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893ACA">
      <w:pPr>
        <w:pageBreakBefore w:val="0"/>
        <w:wordWrap/>
        <w:topLinePunct w:val="0"/>
        <w:bidi w:val="0"/>
        <w:adjustRightInd w:val="0"/>
        <w:snapToGrid w:val="0"/>
        <w:spacing w:line="360" w:lineRule="auto"/>
        <w:ind w:left="2880" w:hanging="3240" w:hangingChars="900"/>
        <w:jc w:val="center"/>
        <w:textAlignment w:val="auto"/>
        <w:rPr>
          <w:rFonts w:hint="eastAsia" w:ascii="宋体" w:hAnsi="宋体" w:eastAsia="宋体" w:cs="宋体"/>
          <w:color w:val="auto"/>
          <w:sz w:val="36"/>
          <w:szCs w:val="36"/>
          <w:highlight w:val="none"/>
        </w:rPr>
      </w:pPr>
      <w:bookmarkStart w:id="0" w:name="_Toc15726"/>
      <w:bookmarkStart w:id="1" w:name="_Toc12789052"/>
      <w:bookmarkStart w:id="2" w:name="_Toc65660329"/>
      <w:bookmarkStart w:id="3" w:name="_Toc24173"/>
      <w:bookmarkStart w:id="4" w:name="_Toc11641050"/>
      <w:bookmarkStart w:id="5" w:name="_Toc106034620"/>
    </w:p>
    <w:p w14:paraId="6F651A36">
      <w:pPr>
        <w:pageBreakBefore w:val="0"/>
        <w:wordWrap/>
        <w:topLinePunct w:val="0"/>
        <w:bidi w:val="0"/>
        <w:adjustRightInd w:val="0"/>
        <w:snapToGrid w:val="0"/>
        <w:spacing w:line="360" w:lineRule="auto"/>
        <w:ind w:left="0" w:firstLine="0" w:firstLineChars="0"/>
        <w:jc w:val="both"/>
        <w:textAlignment w:val="auto"/>
        <w:rPr>
          <w:rFonts w:hint="eastAsia" w:ascii="宋体" w:hAnsi="宋体" w:eastAsia="宋体" w:cs="宋体"/>
          <w:color w:val="auto"/>
          <w:w w:val="90"/>
          <w:sz w:val="36"/>
          <w:szCs w:val="36"/>
          <w:highlight w:val="none"/>
          <w:lang w:eastAsia="zh-CN"/>
        </w:rPr>
      </w:pPr>
      <w:r>
        <w:rPr>
          <w:rFonts w:hint="eastAsia" w:ascii="宋体" w:hAnsi="宋体" w:eastAsia="宋体" w:cs="宋体"/>
          <w:color w:val="auto"/>
          <w:w w:val="90"/>
          <w:sz w:val="36"/>
          <w:szCs w:val="36"/>
          <w:highlight w:val="none"/>
        </w:rPr>
        <w:t>项目名称：</w:t>
      </w:r>
      <w:r>
        <w:rPr>
          <w:rFonts w:hint="eastAsia" w:ascii="宋体" w:hAnsi="宋体" w:cs="宋体"/>
          <w:color w:val="auto"/>
          <w:w w:val="90"/>
          <w:sz w:val="36"/>
          <w:szCs w:val="36"/>
          <w:highlight w:val="none"/>
          <w:lang w:eastAsia="zh-CN"/>
        </w:rPr>
        <w:t>重庆市大渡口区育才幼儿园托育教室改造（第二次）</w:t>
      </w:r>
    </w:p>
    <w:p w14:paraId="25DA5223">
      <w:pPr>
        <w:pageBreakBefore w:val="0"/>
        <w:wordWrap/>
        <w:topLinePunct w:val="0"/>
        <w:bidi w:val="0"/>
        <w:adjustRightInd w:val="0"/>
        <w:snapToGrid w:val="0"/>
        <w:spacing w:line="360" w:lineRule="auto"/>
        <w:ind w:left="2880" w:hanging="2880" w:hangingChars="900"/>
        <w:jc w:val="center"/>
        <w:textAlignment w:val="auto"/>
        <w:rPr>
          <w:rFonts w:hint="eastAsia" w:ascii="宋体" w:hAnsi="宋体" w:eastAsia="宋体" w:cs="宋体"/>
          <w:color w:val="auto"/>
          <w:spacing w:val="80"/>
          <w:sz w:val="84"/>
          <w:szCs w:val="84"/>
          <w:highlight w:val="yellow"/>
          <w:lang w:val="en-US"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val="en-US" w:eastAsia="zh-CN"/>
        </w:rPr>
        <w:t>DDKJY-2025009</w:t>
      </w:r>
    </w:p>
    <w:p w14:paraId="2C9D33C8">
      <w:pPr>
        <w:pageBreakBefore w:val="0"/>
        <w:wordWrap/>
        <w:topLinePunct w:val="0"/>
        <w:bidi w:val="0"/>
        <w:spacing w:line="360" w:lineRule="auto"/>
        <w:textAlignment w:val="auto"/>
        <w:outlineLvl w:val="0"/>
        <w:rPr>
          <w:rFonts w:hint="eastAsia" w:ascii="宋体" w:hAnsi="宋体" w:eastAsia="宋体" w:cs="宋体"/>
          <w:color w:val="auto"/>
          <w:spacing w:val="80"/>
          <w:sz w:val="84"/>
          <w:szCs w:val="84"/>
          <w:highlight w:val="none"/>
        </w:rPr>
      </w:pPr>
      <w:bookmarkStart w:id="226" w:name="_GoBack"/>
      <w:bookmarkEnd w:id="226"/>
    </w:p>
    <w:p w14:paraId="03C5DF5D">
      <w:pPr>
        <w:pageBreakBefore w:val="0"/>
        <w:wordWrap/>
        <w:topLinePunct w:val="0"/>
        <w:bidi w:val="0"/>
        <w:spacing w:line="360" w:lineRule="auto"/>
        <w:jc w:val="center"/>
        <w:textAlignment w:val="auto"/>
        <w:outlineLvl w:val="0"/>
        <w:rPr>
          <w:rFonts w:hint="eastAsia" w:ascii="宋体" w:hAnsi="宋体" w:eastAsia="宋体" w:cs="宋体"/>
          <w:color w:val="auto"/>
          <w:spacing w:val="80"/>
          <w:sz w:val="84"/>
          <w:szCs w:val="84"/>
          <w:highlight w:val="none"/>
        </w:rPr>
      </w:pPr>
    </w:p>
    <w:p w14:paraId="3E54DC74">
      <w:pPr>
        <w:pageBreakBefore w:val="0"/>
        <w:wordWrap/>
        <w:topLinePunct w:val="0"/>
        <w:bidi w:val="0"/>
        <w:spacing w:line="360" w:lineRule="auto"/>
        <w:jc w:val="center"/>
        <w:textAlignment w:val="auto"/>
        <w:outlineLvl w:val="2"/>
        <w:rPr>
          <w:rFonts w:hint="eastAsia" w:ascii="宋体" w:hAnsi="宋体" w:eastAsia="宋体" w:cs="宋体"/>
          <w:color w:val="auto"/>
          <w:sz w:val="72"/>
          <w:szCs w:val="72"/>
          <w:highlight w:val="none"/>
          <w:lang w:eastAsia="zh-CN"/>
        </w:rPr>
      </w:pPr>
      <w:r>
        <w:rPr>
          <w:rFonts w:hint="eastAsia" w:ascii="宋体" w:hAnsi="宋体" w:cs="宋体"/>
          <w:color w:val="auto"/>
          <w:spacing w:val="80"/>
          <w:sz w:val="72"/>
          <w:szCs w:val="72"/>
          <w:highlight w:val="none"/>
          <w:lang w:eastAsia="zh-CN"/>
        </w:rPr>
        <w:t>采购文件</w:t>
      </w:r>
    </w:p>
    <w:p w14:paraId="0F8D7218">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1A98E2C0">
      <w:pPr>
        <w:pStyle w:val="23"/>
        <w:pageBreakBefore w:val="0"/>
        <w:wordWrap/>
        <w:topLinePunct w:val="0"/>
        <w:bidi w:val="0"/>
        <w:spacing w:line="360" w:lineRule="auto"/>
        <w:ind w:left="0"/>
        <w:jc w:val="center"/>
        <w:textAlignment w:val="auto"/>
        <w:rPr>
          <w:rFonts w:hint="eastAsia" w:ascii="宋体" w:hAnsi="宋体" w:eastAsia="宋体" w:cs="宋体"/>
          <w:color w:val="auto"/>
          <w:sz w:val="32"/>
          <w:highlight w:val="none"/>
        </w:rPr>
      </w:pPr>
    </w:p>
    <w:p w14:paraId="1510D320">
      <w:pPr>
        <w:pStyle w:val="23"/>
        <w:pageBreakBefore w:val="0"/>
        <w:wordWrap/>
        <w:topLinePunct w:val="0"/>
        <w:bidi w:val="0"/>
        <w:spacing w:line="360" w:lineRule="auto"/>
        <w:ind w:left="0"/>
        <w:textAlignment w:val="auto"/>
        <w:rPr>
          <w:rFonts w:hint="eastAsia" w:ascii="宋体" w:hAnsi="宋体" w:eastAsia="宋体" w:cs="宋体"/>
          <w:color w:val="auto"/>
          <w:sz w:val="32"/>
          <w:highlight w:val="none"/>
        </w:rPr>
      </w:pPr>
    </w:p>
    <w:p w14:paraId="17FA1A97">
      <w:pPr>
        <w:pageBreakBefore w:val="0"/>
        <w:wordWrap/>
        <w:topLinePunct w:val="0"/>
        <w:bidi w:val="0"/>
        <w:spacing w:line="360" w:lineRule="auto"/>
        <w:jc w:val="both"/>
        <w:textAlignment w:val="auto"/>
        <w:outlineLvl w:val="0"/>
        <w:rPr>
          <w:rFonts w:hint="eastAsia" w:ascii="宋体" w:hAnsi="宋体" w:eastAsia="宋体" w:cs="宋体"/>
          <w:b/>
          <w:bCs/>
          <w:color w:val="auto"/>
          <w:sz w:val="32"/>
          <w:szCs w:val="32"/>
          <w:highlight w:val="none"/>
        </w:rPr>
      </w:pPr>
    </w:p>
    <w:p w14:paraId="7CE85F15">
      <w:pPr>
        <w:pageBreakBefore w:val="0"/>
        <w:wordWrap/>
        <w:topLinePunct w:val="0"/>
        <w:bidi w:val="0"/>
        <w:spacing w:line="360" w:lineRule="auto"/>
        <w:ind w:firstLine="643" w:firstLineChars="200"/>
        <w:textAlignment w:val="auto"/>
        <w:outlineLvl w:val="0"/>
        <w:rPr>
          <w:rFonts w:hint="eastAsia" w:ascii="宋体" w:hAnsi="宋体" w:eastAsia="宋体" w:cs="宋体"/>
          <w:b/>
          <w:bCs/>
          <w:color w:val="auto"/>
          <w:sz w:val="32"/>
          <w:szCs w:val="32"/>
          <w:highlight w:val="none"/>
        </w:rPr>
      </w:pPr>
    </w:p>
    <w:p w14:paraId="367A67CE">
      <w:pPr>
        <w:pStyle w:val="2"/>
        <w:rPr>
          <w:rFonts w:hint="eastAsia" w:ascii="宋体" w:hAnsi="宋体" w:eastAsia="宋体" w:cs="宋体"/>
          <w:color w:val="auto"/>
        </w:rPr>
      </w:pPr>
    </w:p>
    <w:p w14:paraId="0213A92B">
      <w:pPr>
        <w:pStyle w:val="79"/>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3C96D529">
      <w:pPr>
        <w:pageBreakBefore w:val="0"/>
        <w:wordWrap/>
        <w:topLinePunct w:val="0"/>
        <w:bidi w:val="0"/>
        <w:spacing w:line="360" w:lineRule="auto"/>
        <w:textAlignment w:val="auto"/>
        <w:rPr>
          <w:rFonts w:hint="eastAsia" w:ascii="宋体" w:hAnsi="宋体" w:eastAsia="宋体" w:cs="宋体"/>
          <w:b/>
          <w:bCs/>
          <w:color w:val="auto"/>
          <w:sz w:val="32"/>
          <w:szCs w:val="32"/>
          <w:highlight w:val="none"/>
        </w:rPr>
      </w:pPr>
    </w:p>
    <w:p w14:paraId="4B0B0BEF">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6" w:name="_Toc15545"/>
      <w:r>
        <w:rPr>
          <w:rFonts w:hint="eastAsia" w:ascii="宋体" w:hAnsi="宋体" w:cs="宋体"/>
          <w:color w:val="auto"/>
          <w:sz w:val="32"/>
          <w:szCs w:val="32"/>
          <w:highlight w:val="none"/>
          <w:lang w:val="en-US" w:eastAsia="zh-CN"/>
        </w:rPr>
        <w:t xml:space="preserve">采   购   </w:t>
      </w:r>
      <w:r>
        <w:rPr>
          <w:rFonts w:hint="eastAsia" w:ascii="宋体" w:hAnsi="宋体" w:eastAsia="宋体" w:cs="宋体"/>
          <w:color w:val="auto"/>
          <w:sz w:val="32"/>
          <w:szCs w:val="32"/>
          <w:highlight w:val="none"/>
          <w:lang w:eastAsia="zh-CN"/>
        </w:rPr>
        <w:t>人</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u w:val="single"/>
          <w:lang w:eastAsia="zh-CN"/>
        </w:rPr>
        <w:t>重庆市大渡口区育才幼儿园</w:t>
      </w:r>
      <w:r>
        <w:rPr>
          <w:rFonts w:hint="eastAsia" w:ascii="宋体" w:hAnsi="宋体" w:eastAsia="宋体" w:cs="宋体"/>
          <w:color w:val="auto"/>
          <w:sz w:val="32"/>
          <w:szCs w:val="32"/>
          <w:highlight w:val="none"/>
        </w:rPr>
        <w:t>（盖公章）</w:t>
      </w:r>
      <w:bookmarkEnd w:id="6"/>
    </w:p>
    <w:p w14:paraId="3B917359">
      <w:pPr>
        <w:pageBreakBefore w:val="0"/>
        <w:wordWrap/>
        <w:topLinePunct w:val="0"/>
        <w:bidi w:val="0"/>
        <w:spacing w:line="360" w:lineRule="auto"/>
        <w:ind w:firstLine="640" w:firstLineChars="200"/>
        <w:textAlignment w:val="auto"/>
        <w:outlineLvl w:val="1"/>
        <w:rPr>
          <w:rFonts w:hint="eastAsia" w:ascii="宋体" w:hAnsi="宋体" w:eastAsia="宋体" w:cs="宋体"/>
          <w:color w:val="auto"/>
          <w:sz w:val="32"/>
          <w:szCs w:val="32"/>
          <w:highlight w:val="none"/>
        </w:rPr>
      </w:pPr>
      <w:bookmarkStart w:id="7" w:name="_Toc6820"/>
      <w:r>
        <w:rPr>
          <w:rFonts w:hint="eastAsia" w:ascii="宋体" w:hAnsi="宋体" w:cs="宋体"/>
          <w:color w:val="auto"/>
          <w:sz w:val="32"/>
          <w:szCs w:val="32"/>
          <w:highlight w:val="none"/>
          <w:lang w:eastAsia="zh-CN"/>
        </w:rPr>
        <w:t>采购</w:t>
      </w:r>
      <w:r>
        <w:rPr>
          <w:rFonts w:hint="eastAsia" w:ascii="宋体" w:hAnsi="宋体" w:eastAsia="宋体" w:cs="宋体"/>
          <w:color w:val="auto"/>
          <w:sz w:val="32"/>
          <w:szCs w:val="32"/>
          <w:highlight w:val="none"/>
        </w:rPr>
        <w:t>代理机构：</w:t>
      </w:r>
      <w:r>
        <w:rPr>
          <w:rFonts w:hint="eastAsia" w:ascii="宋体" w:hAnsi="宋体" w:eastAsia="宋体" w:cs="宋体"/>
          <w:color w:val="auto"/>
          <w:sz w:val="32"/>
          <w:szCs w:val="32"/>
          <w:highlight w:val="none"/>
          <w:u w:val="single"/>
          <w:lang w:val="en-US" w:eastAsia="zh-CN"/>
        </w:rPr>
        <w:t>重庆瑞盛工程咨询有限公司</w:t>
      </w:r>
      <w:r>
        <w:rPr>
          <w:rFonts w:hint="eastAsia" w:ascii="宋体" w:hAnsi="宋体" w:eastAsia="宋体" w:cs="宋体"/>
          <w:color w:val="auto"/>
          <w:sz w:val="32"/>
          <w:szCs w:val="32"/>
          <w:highlight w:val="none"/>
        </w:rPr>
        <w:t>（盖公章）</w:t>
      </w:r>
      <w:bookmarkEnd w:id="7"/>
    </w:p>
    <w:p w14:paraId="590EEE9E">
      <w:pPr>
        <w:pageBreakBefore w:val="0"/>
        <w:wordWrap/>
        <w:topLinePunct w:val="0"/>
        <w:bidi w:val="0"/>
        <w:snapToGrid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1C02900A">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4B0CD9A4">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14:paraId="3ECD66A1">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14:paraId="0E2F8EB9">
      <w:pPr>
        <w:pStyle w:val="41"/>
        <w:tabs>
          <w:tab w:val="right" w:leader="dot" w:pos="9412"/>
        </w:tabs>
        <w:spacing w:line="480" w:lineRule="auto"/>
        <w:rPr>
          <w:sz w:val="24"/>
          <w:szCs w:val="24"/>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_Toc7417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rPr>
        <w:t xml:space="preserve">第一篇  </w:t>
      </w:r>
      <w:r>
        <w:rPr>
          <w:rFonts w:hint="eastAsia" w:cs="宋体"/>
          <w:kern w:val="2"/>
          <w:sz w:val="24"/>
          <w:szCs w:val="24"/>
          <w:highlight w:val="none"/>
          <w:lang w:val="en-US" w:eastAsia="zh-CN"/>
        </w:rPr>
        <w:t>采购</w:t>
      </w:r>
      <w:r>
        <w:rPr>
          <w:rFonts w:hint="eastAsia" w:ascii="宋体" w:hAnsi="宋体" w:eastAsia="宋体" w:cs="宋体"/>
          <w:kern w:val="2"/>
          <w:sz w:val="24"/>
          <w:szCs w:val="24"/>
          <w:highlight w:val="none"/>
        </w:rPr>
        <w:t>公告</w:t>
      </w:r>
      <w:r>
        <w:rPr>
          <w:sz w:val="24"/>
          <w:szCs w:val="24"/>
        </w:rPr>
        <w:tab/>
      </w:r>
      <w:r>
        <w:rPr>
          <w:sz w:val="24"/>
          <w:szCs w:val="24"/>
        </w:rPr>
        <w:fldChar w:fldCharType="begin"/>
      </w:r>
      <w:r>
        <w:rPr>
          <w:sz w:val="24"/>
          <w:szCs w:val="24"/>
        </w:rPr>
        <w:instrText xml:space="preserve"> PAGEREF _Toc7417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auto"/>
          <w:sz w:val="24"/>
          <w:szCs w:val="24"/>
          <w:highlight w:val="none"/>
        </w:rPr>
        <w:fldChar w:fldCharType="end"/>
      </w:r>
    </w:p>
    <w:p w14:paraId="3E3C0249">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_Toc18563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rPr>
        <w:t xml:space="preserve">第二篇 </w:t>
      </w:r>
      <w:r>
        <w:rPr>
          <w:rFonts w:hint="eastAsia" w:ascii="宋体" w:hAnsi="宋体" w:eastAsia="宋体" w:cs="宋体"/>
          <w:bCs/>
          <w:sz w:val="24"/>
          <w:szCs w:val="24"/>
          <w:highlight w:val="none"/>
        </w:rPr>
        <w:t>项目</w:t>
      </w:r>
      <w:r>
        <w:rPr>
          <w:rFonts w:hint="eastAsia" w:cs="宋体"/>
          <w:bCs/>
          <w:sz w:val="24"/>
          <w:szCs w:val="24"/>
          <w:highlight w:val="none"/>
          <w:lang w:val="en-US" w:eastAsia="zh-CN"/>
        </w:rPr>
        <w:t>技术</w:t>
      </w:r>
      <w:r>
        <w:rPr>
          <w:rFonts w:hint="eastAsia" w:ascii="宋体" w:hAnsi="宋体" w:eastAsia="宋体" w:cs="宋体"/>
          <w:bCs/>
          <w:sz w:val="24"/>
          <w:szCs w:val="24"/>
          <w:highlight w:val="none"/>
        </w:rPr>
        <w:t>需求</w:t>
      </w:r>
      <w:r>
        <w:rPr>
          <w:sz w:val="24"/>
          <w:szCs w:val="24"/>
        </w:rPr>
        <w:tab/>
      </w:r>
      <w:r>
        <w:rPr>
          <w:sz w:val="24"/>
          <w:szCs w:val="24"/>
        </w:rPr>
        <w:fldChar w:fldCharType="begin"/>
      </w:r>
      <w:r>
        <w:rPr>
          <w:sz w:val="24"/>
          <w:szCs w:val="24"/>
        </w:rPr>
        <w:instrText xml:space="preserve"> PAGEREF _Toc18563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color w:val="auto"/>
          <w:sz w:val="24"/>
          <w:szCs w:val="24"/>
          <w:highlight w:val="none"/>
        </w:rPr>
        <w:fldChar w:fldCharType="end"/>
      </w:r>
    </w:p>
    <w:p w14:paraId="2DB2BB77">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_Toc13263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第三篇 项目商务需求</w:t>
      </w:r>
      <w:r>
        <w:rPr>
          <w:sz w:val="24"/>
          <w:szCs w:val="24"/>
        </w:rPr>
        <w:tab/>
      </w:r>
      <w:r>
        <w:rPr>
          <w:sz w:val="24"/>
          <w:szCs w:val="24"/>
        </w:rPr>
        <w:fldChar w:fldCharType="begin"/>
      </w:r>
      <w:r>
        <w:rPr>
          <w:sz w:val="24"/>
          <w:szCs w:val="24"/>
        </w:rPr>
        <w:instrText xml:space="preserve"> PAGEREF _Toc13263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color w:val="auto"/>
          <w:sz w:val="24"/>
          <w:szCs w:val="24"/>
          <w:highlight w:val="none"/>
        </w:rPr>
        <w:fldChar w:fldCharType="end"/>
      </w:r>
    </w:p>
    <w:p w14:paraId="79A6A4DD">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_Toc24542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第四篇  采购程序、评定</w:t>
      </w:r>
      <w:r>
        <w:rPr>
          <w:rFonts w:hint="eastAsia" w:ascii="宋体" w:hAnsi="宋体" w:eastAsia="宋体" w:cs="宋体"/>
          <w:bCs/>
          <w:sz w:val="24"/>
          <w:szCs w:val="24"/>
          <w:highlight w:val="none"/>
          <w:lang w:eastAsia="zh-CN"/>
        </w:rPr>
        <w:t>中标</w:t>
      </w:r>
      <w:r>
        <w:rPr>
          <w:rFonts w:hint="eastAsia" w:ascii="宋体" w:hAnsi="宋体" w:eastAsia="宋体" w:cs="宋体"/>
          <w:bCs/>
          <w:sz w:val="24"/>
          <w:szCs w:val="24"/>
          <w:highlight w:val="none"/>
        </w:rPr>
        <w:t>的标准、无效报价及采购终止</w:t>
      </w:r>
      <w:r>
        <w:rPr>
          <w:sz w:val="24"/>
          <w:szCs w:val="24"/>
        </w:rPr>
        <w:tab/>
      </w:r>
      <w:r>
        <w:rPr>
          <w:sz w:val="24"/>
          <w:szCs w:val="24"/>
        </w:rPr>
        <w:fldChar w:fldCharType="begin"/>
      </w:r>
      <w:r>
        <w:rPr>
          <w:sz w:val="24"/>
          <w:szCs w:val="24"/>
        </w:rPr>
        <w:instrText xml:space="preserve"> PAGEREF _Toc24542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color w:val="auto"/>
          <w:sz w:val="24"/>
          <w:szCs w:val="24"/>
          <w:highlight w:val="none"/>
        </w:rPr>
        <w:fldChar w:fldCharType="end"/>
      </w:r>
    </w:p>
    <w:p w14:paraId="598F661C">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_Toc10956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第五篇  </w:t>
      </w:r>
      <w:r>
        <w:rPr>
          <w:rFonts w:hint="eastAsia" w:hAnsi="宋体" w:cs="宋体"/>
          <w:sz w:val="24"/>
          <w:szCs w:val="24"/>
          <w:highlight w:val="none"/>
          <w:lang w:eastAsia="zh-CN"/>
        </w:rPr>
        <w:t>投标人</w:t>
      </w:r>
      <w:r>
        <w:rPr>
          <w:rFonts w:hint="eastAsia" w:ascii="宋体" w:hAnsi="宋体" w:eastAsia="宋体" w:cs="宋体"/>
          <w:sz w:val="24"/>
          <w:szCs w:val="24"/>
          <w:highlight w:val="none"/>
        </w:rPr>
        <w:t>须知</w:t>
      </w:r>
      <w:r>
        <w:rPr>
          <w:sz w:val="24"/>
          <w:szCs w:val="24"/>
        </w:rPr>
        <w:tab/>
      </w:r>
      <w:r>
        <w:rPr>
          <w:sz w:val="24"/>
          <w:szCs w:val="24"/>
        </w:rPr>
        <w:fldChar w:fldCharType="begin"/>
      </w:r>
      <w:r>
        <w:rPr>
          <w:sz w:val="24"/>
          <w:szCs w:val="24"/>
        </w:rPr>
        <w:instrText xml:space="preserve"> PAGEREF _Toc10956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color w:val="auto"/>
          <w:sz w:val="24"/>
          <w:szCs w:val="24"/>
          <w:highlight w:val="none"/>
        </w:rPr>
        <w:fldChar w:fldCharType="end"/>
      </w:r>
    </w:p>
    <w:p w14:paraId="3A7D913E">
      <w:pPr>
        <w:pStyle w:val="41"/>
        <w:tabs>
          <w:tab w:val="right" w:leader="dot" w:pos="9412"/>
        </w:tabs>
        <w:spacing w:line="480" w:lineRule="auto"/>
        <w:rPr>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_Toc20959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第七篇 </w:t>
      </w:r>
      <w:r>
        <w:rPr>
          <w:rFonts w:hint="eastAsia" w:cs="宋体"/>
          <w:sz w:val="24"/>
          <w:szCs w:val="24"/>
          <w:highlight w:val="none"/>
          <w:lang w:eastAsia="zh-CN"/>
        </w:rPr>
        <w:t>投标</w:t>
      </w:r>
      <w:r>
        <w:rPr>
          <w:rFonts w:hint="eastAsia" w:ascii="宋体" w:hAnsi="宋体" w:eastAsia="宋体" w:cs="宋体"/>
          <w:sz w:val="24"/>
          <w:szCs w:val="24"/>
          <w:highlight w:val="none"/>
        </w:rPr>
        <w:t>文件格式</w:t>
      </w:r>
      <w:r>
        <w:rPr>
          <w:sz w:val="24"/>
          <w:szCs w:val="24"/>
        </w:rPr>
        <w:tab/>
      </w:r>
      <w:r>
        <w:rPr>
          <w:sz w:val="24"/>
          <w:szCs w:val="24"/>
        </w:rPr>
        <w:fldChar w:fldCharType="begin"/>
      </w:r>
      <w:r>
        <w:rPr>
          <w:sz w:val="24"/>
          <w:szCs w:val="24"/>
        </w:rPr>
        <w:instrText xml:space="preserve"> PAGEREF _Toc20959 \h </w:instrText>
      </w:r>
      <w:r>
        <w:rPr>
          <w:sz w:val="24"/>
          <w:szCs w:val="24"/>
        </w:rPr>
        <w:fldChar w:fldCharType="separate"/>
      </w:r>
      <w:r>
        <w:rPr>
          <w:sz w:val="24"/>
          <w:szCs w:val="24"/>
        </w:rPr>
        <w:t>- 53 -</w:t>
      </w:r>
      <w:r>
        <w:rPr>
          <w:sz w:val="24"/>
          <w:szCs w:val="24"/>
        </w:rPr>
        <w:fldChar w:fldCharType="end"/>
      </w:r>
      <w:r>
        <w:rPr>
          <w:rFonts w:hint="eastAsia" w:ascii="宋体" w:hAnsi="宋体" w:eastAsia="宋体" w:cs="宋体"/>
          <w:color w:val="auto"/>
          <w:sz w:val="24"/>
          <w:szCs w:val="24"/>
          <w:highlight w:val="none"/>
        </w:rPr>
        <w:fldChar w:fldCharType="end"/>
      </w:r>
    </w:p>
    <w:p w14:paraId="1555C267">
      <w:pPr>
        <w:pStyle w:val="22"/>
        <w:pageBreakBefore w:val="0"/>
        <w:wordWrap/>
        <w:topLinePunct w:val="0"/>
        <w:bidi w:val="0"/>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0833F9F2">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8" w:name="_Toc30464"/>
      <w:bookmarkStart w:id="9" w:name="_Toc14576"/>
    </w:p>
    <w:p w14:paraId="078E9F23">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10" w:name="_Toc5198"/>
      <w:bookmarkStart w:id="11" w:name="_Toc7417"/>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cs="宋体"/>
          <w:color w:val="auto"/>
          <w:kern w:val="2"/>
          <w:sz w:val="32"/>
          <w:szCs w:val="32"/>
          <w:highlight w:val="none"/>
          <w:lang w:val="en-US" w:eastAsia="zh-CN"/>
        </w:rPr>
        <w:t>采购</w:t>
      </w:r>
      <w:r>
        <w:rPr>
          <w:rFonts w:hint="eastAsia" w:ascii="宋体" w:hAnsi="宋体" w:eastAsia="宋体" w:cs="宋体"/>
          <w:color w:val="auto"/>
          <w:kern w:val="2"/>
          <w:sz w:val="32"/>
          <w:szCs w:val="32"/>
          <w:highlight w:val="none"/>
        </w:rPr>
        <w:t>公告</w:t>
      </w:r>
      <w:bookmarkEnd w:id="8"/>
      <w:bookmarkEnd w:id="9"/>
      <w:bookmarkEnd w:id="10"/>
      <w:bookmarkEnd w:id="11"/>
    </w:p>
    <w:p w14:paraId="61A415A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重庆瑞盛工程咨询有限公司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重庆市大渡口区育才幼儿园</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重庆市大渡口区育才幼儿园托育教室改造（第二次）</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公开</w:t>
      </w:r>
      <w:r>
        <w:rPr>
          <w:rFonts w:hint="eastAsia" w:ascii="宋体" w:hAnsi="宋体" w:cs="宋体"/>
          <w:color w:val="auto"/>
          <w:sz w:val="24"/>
          <w:szCs w:val="24"/>
          <w:highlight w:val="none"/>
          <w:u w:val="single"/>
          <w:lang w:val="en-US" w:eastAsia="zh-CN"/>
        </w:rPr>
        <w:t>采购</w:t>
      </w:r>
      <w:r>
        <w:rPr>
          <w:rFonts w:hint="eastAsia" w:ascii="宋体" w:hAnsi="宋体" w:eastAsia="宋体" w:cs="宋体"/>
          <w:color w:val="auto"/>
          <w:sz w:val="24"/>
          <w:szCs w:val="24"/>
          <w:highlight w:val="none"/>
        </w:rPr>
        <w:t>，欢迎有资格的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6CB77764">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2" w:name="_Toc106034621"/>
      <w:bookmarkStart w:id="13" w:name="_Toc18246"/>
      <w:bookmarkStart w:id="14" w:name="_Toc65660330"/>
      <w:bookmarkStart w:id="15" w:name="_Toc313893526"/>
      <w:bookmarkStart w:id="16" w:name="_Toc317775175"/>
      <w:bookmarkStart w:id="17" w:name="_Toc7758"/>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内容</w:t>
      </w:r>
      <w:bookmarkEnd w:id="12"/>
      <w:bookmarkEnd w:id="13"/>
      <w:bookmarkEnd w:id="14"/>
      <w:bookmarkEnd w:id="15"/>
      <w:bookmarkEnd w:id="16"/>
      <w:bookmarkEnd w:id="17"/>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1943"/>
        <w:gridCol w:w="1832"/>
        <w:gridCol w:w="1971"/>
        <w:gridCol w:w="966"/>
      </w:tblGrid>
      <w:tr w14:paraId="69B5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14:paraId="4C9A4F02">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14:paraId="62AB8069">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985" w:type="pct"/>
            <w:tcBorders>
              <w:top w:val="single" w:color="auto" w:sz="4" w:space="0"/>
              <w:left w:val="single" w:color="auto" w:sz="4" w:space="0"/>
              <w:right w:val="single" w:color="auto" w:sz="4" w:space="0"/>
            </w:tcBorders>
            <w:vAlign w:val="center"/>
          </w:tcPr>
          <w:p w14:paraId="15B5AA52">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投标保证金（元）</w:t>
            </w:r>
          </w:p>
        </w:tc>
        <w:tc>
          <w:tcPr>
            <w:tcW w:w="1060" w:type="pct"/>
            <w:tcBorders>
              <w:top w:val="single" w:color="auto" w:sz="4" w:space="0"/>
              <w:left w:val="single" w:color="auto" w:sz="4" w:space="0"/>
              <w:right w:val="single" w:color="auto" w:sz="4" w:space="0"/>
            </w:tcBorders>
            <w:vAlign w:val="center"/>
          </w:tcPr>
          <w:p w14:paraId="578FA42E">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519" w:type="pct"/>
            <w:tcBorders>
              <w:top w:val="single" w:color="auto" w:sz="4" w:space="0"/>
              <w:left w:val="single" w:color="auto" w:sz="4" w:space="0"/>
              <w:right w:val="single" w:color="auto" w:sz="4" w:space="0"/>
            </w:tcBorders>
            <w:vAlign w:val="center"/>
          </w:tcPr>
          <w:p w14:paraId="5DEA84D2">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14:paraId="6741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14:paraId="3FA6A716">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bookmarkStart w:id="18" w:name="_Hlk344477914"/>
            <w:r>
              <w:rPr>
                <w:rFonts w:hint="eastAsia" w:ascii="宋体" w:hAnsi="宋体" w:cs="宋体"/>
                <w:color w:val="auto"/>
                <w:kern w:val="2"/>
                <w:sz w:val="24"/>
                <w:szCs w:val="24"/>
                <w:highlight w:val="none"/>
                <w:lang w:eastAsia="zh-CN"/>
              </w:rPr>
              <w:t>重庆市大渡口区育才幼儿园托育教室改造（第二次）</w:t>
            </w:r>
          </w:p>
        </w:tc>
        <w:tc>
          <w:tcPr>
            <w:tcW w:w="1045" w:type="pct"/>
            <w:tcBorders>
              <w:top w:val="single" w:color="auto" w:sz="4" w:space="0"/>
              <w:left w:val="single" w:color="auto" w:sz="4" w:space="0"/>
              <w:bottom w:val="single" w:color="auto" w:sz="4" w:space="0"/>
              <w:right w:val="single" w:color="auto" w:sz="4" w:space="0"/>
            </w:tcBorders>
            <w:vAlign w:val="center"/>
          </w:tcPr>
          <w:p w14:paraId="60B643F2">
            <w:pPr>
              <w:pageBreakBefore w:val="0"/>
              <w:kinsoku w:val="0"/>
              <w:wordWrap/>
              <w:overflowPunct w:val="0"/>
              <w:topLinePunct w:val="0"/>
              <w:autoSpaceDE w:val="0"/>
              <w:autoSpaceDN w:val="0"/>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241570.41</w:t>
            </w:r>
          </w:p>
        </w:tc>
        <w:tc>
          <w:tcPr>
            <w:tcW w:w="985" w:type="pct"/>
            <w:tcBorders>
              <w:top w:val="single" w:color="auto" w:sz="4" w:space="0"/>
              <w:left w:val="single" w:color="auto" w:sz="4" w:space="0"/>
              <w:bottom w:val="single" w:color="auto" w:sz="4" w:space="0"/>
              <w:right w:val="single" w:color="auto" w:sz="4" w:space="0"/>
            </w:tcBorders>
            <w:vAlign w:val="center"/>
          </w:tcPr>
          <w:p w14:paraId="4A8C51D1">
            <w:pPr>
              <w:pageBreakBefore w:val="0"/>
              <w:kinsoku w:val="0"/>
              <w:wordWrap/>
              <w:overflowPunct w:val="0"/>
              <w:topLinePunct w:val="0"/>
              <w:autoSpaceDE w:val="0"/>
              <w:autoSpaceDN w:val="0"/>
              <w:bidi w:val="0"/>
              <w:adjustRightInd w:val="0"/>
              <w:snapToGrid w:val="0"/>
              <w:spacing w:line="360" w:lineRule="auto"/>
              <w:ind w:firstLine="240" w:firstLineChars="10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4000.00</w:t>
            </w:r>
          </w:p>
        </w:tc>
        <w:tc>
          <w:tcPr>
            <w:tcW w:w="1060" w:type="pct"/>
            <w:tcBorders>
              <w:top w:val="single" w:color="auto" w:sz="4" w:space="0"/>
              <w:left w:val="single" w:color="auto" w:sz="4" w:space="0"/>
              <w:bottom w:val="single" w:color="auto" w:sz="4" w:space="0"/>
              <w:right w:val="single" w:color="auto" w:sz="4" w:space="0"/>
            </w:tcBorders>
            <w:vAlign w:val="center"/>
          </w:tcPr>
          <w:p w14:paraId="6950568D">
            <w:pPr>
              <w:pageBreakBefore w:val="0"/>
              <w:kinsoku w:val="0"/>
              <w:wordWrap/>
              <w:overflowPunct w:val="0"/>
              <w:topLinePunct w:val="0"/>
              <w:autoSpaceDE w:val="0"/>
              <w:autoSpaceDN w:val="0"/>
              <w:bidi w:val="0"/>
              <w:adjustRightInd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9" w:type="pct"/>
            <w:tcBorders>
              <w:top w:val="single" w:color="auto" w:sz="4" w:space="0"/>
              <w:left w:val="single" w:color="auto" w:sz="4" w:space="0"/>
              <w:bottom w:val="single" w:color="auto" w:sz="4" w:space="0"/>
              <w:right w:val="single" w:color="auto" w:sz="4" w:space="0"/>
            </w:tcBorders>
            <w:vAlign w:val="center"/>
          </w:tcPr>
          <w:p w14:paraId="4B987FFD">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p>
        </w:tc>
      </w:tr>
      <w:bookmarkEnd w:id="18"/>
    </w:tbl>
    <w:p w14:paraId="58361DFA">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9" w:name="_Toc3256"/>
      <w:bookmarkStart w:id="20" w:name="_Toc27028"/>
      <w:bookmarkStart w:id="21" w:name="_Toc65660331"/>
      <w:bookmarkStart w:id="22" w:name="_Toc106034622"/>
      <w:bookmarkStart w:id="23" w:name="_Toc373860293"/>
      <w:bookmarkStart w:id="24" w:name="_Toc317775178"/>
      <w:r>
        <w:rPr>
          <w:rFonts w:hint="eastAsia" w:ascii="宋体" w:hAnsi="宋体" w:eastAsia="宋体" w:cs="宋体"/>
          <w:b/>
          <w:bCs/>
          <w:color w:val="auto"/>
          <w:sz w:val="24"/>
          <w:szCs w:val="24"/>
          <w:highlight w:val="none"/>
        </w:rPr>
        <w:t>二、资金来源</w:t>
      </w:r>
      <w:bookmarkEnd w:id="19"/>
      <w:bookmarkEnd w:id="20"/>
      <w:bookmarkEnd w:id="21"/>
      <w:bookmarkEnd w:id="22"/>
    </w:p>
    <w:p w14:paraId="0B36029B">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5"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default" w:ascii="宋体" w:hAnsi="宋体" w:cs="宋体"/>
          <w:color w:val="auto"/>
          <w:sz w:val="24"/>
          <w:szCs w:val="24"/>
          <w:highlight w:val="none"/>
          <w:lang w:val="en-US" w:eastAsia="zh-CN"/>
        </w:rPr>
        <w:t>241570.41</w:t>
      </w:r>
      <w:r>
        <w:rPr>
          <w:rFonts w:hint="eastAsia" w:ascii="宋体" w:hAnsi="宋体" w:eastAsia="宋体" w:cs="宋体"/>
          <w:color w:val="auto"/>
          <w:kern w:val="2"/>
          <w:sz w:val="24"/>
          <w:szCs w:val="24"/>
          <w:highlight w:val="none"/>
          <w:shd w:val="clear" w:color="auto" w:fill="auto"/>
          <w:lang w:bidi="ar"/>
        </w:rPr>
        <w:t>元。</w:t>
      </w:r>
      <w:bookmarkEnd w:id="25"/>
    </w:p>
    <w:p w14:paraId="43769F8E">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6" w:name="_Toc64731996"/>
      <w:bookmarkStart w:id="27" w:name="_Toc13541"/>
      <w:bookmarkStart w:id="28" w:name="_Toc106034623"/>
      <w:bookmarkStart w:id="29" w:name="_Toc18548"/>
      <w:bookmarkStart w:id="30" w:name="_Toc65660332"/>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6"/>
      <w:bookmarkEnd w:id="27"/>
      <w:bookmarkEnd w:id="28"/>
      <w:bookmarkEnd w:id="29"/>
      <w:bookmarkEnd w:id="30"/>
    </w:p>
    <w:p w14:paraId="700A3EDA">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14:paraId="6B715835">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7F48FF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75D52D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AAD114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9032DA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88A3B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65A0AF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14:paraId="02C41DE9">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p>
    <w:p w14:paraId="2A7494E3">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（1）具备建设行政主管部门颁发的有效的建筑工程施工总承包叁级及以上资质或具备建设行政主管部门颁发的建筑装修装饰工程专业承包贰级及以上资质。</w:t>
      </w:r>
    </w:p>
    <w:p w14:paraId="6C4822A1">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须在响应文件资格审查部分提供有效的资质证书</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color="auto" w:fill="auto"/>
          <w:lang w:bidi="ar"/>
        </w:rPr>
        <w:t>。</w:t>
      </w:r>
    </w:p>
    <w:p w14:paraId="2B057655">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eastAsia="宋体" w:cs="宋体"/>
          <w:color w:val="auto"/>
          <w:kern w:val="2"/>
          <w:sz w:val="24"/>
          <w:szCs w:val="24"/>
          <w:highlight w:val="none"/>
          <w:shd w:val="clear" w:color="auto" w:fill="auto"/>
          <w:lang w:val="en-US" w:eastAsia="zh-CN" w:bidi="ar"/>
        </w:rPr>
        <w:t>2</w:t>
      </w:r>
      <w:r>
        <w:rPr>
          <w:rFonts w:hint="eastAsia" w:ascii="宋体" w:hAnsi="宋体" w:eastAsia="宋体" w:cs="宋体"/>
          <w:color w:val="auto"/>
          <w:kern w:val="2"/>
          <w:sz w:val="24"/>
          <w:szCs w:val="24"/>
          <w:highlight w:val="none"/>
          <w:shd w:val="clear" w:color="auto" w:fill="auto"/>
          <w:lang w:bidi="ar"/>
        </w:rPr>
        <w:t>）具备建设行政主管部门颁发的有效的安全生产许可证。</w:t>
      </w:r>
    </w:p>
    <w:p w14:paraId="6574492C">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须在响应文件资格审查部分提供有效的安全生产许可证</w:t>
      </w:r>
      <w:r>
        <w:rPr>
          <w:rFonts w:hint="eastAsia" w:ascii="宋体" w:hAnsi="宋体" w:cs="宋体"/>
          <w:color w:val="auto"/>
          <w:kern w:val="2"/>
          <w:sz w:val="24"/>
          <w:szCs w:val="24"/>
          <w:highlight w:val="none"/>
          <w:shd w:val="clear"/>
          <w:lang w:val="en-US" w:eastAsia="zh-CN" w:bidi="ar"/>
        </w:rPr>
        <w:t>并加盖投标人公章</w:t>
      </w:r>
      <w:r>
        <w:rPr>
          <w:rFonts w:hint="eastAsia" w:ascii="宋体" w:hAnsi="宋体" w:eastAsia="宋体" w:cs="宋体"/>
          <w:color w:val="auto"/>
          <w:kern w:val="2"/>
          <w:sz w:val="24"/>
          <w:szCs w:val="24"/>
          <w:highlight w:val="none"/>
          <w:shd w:val="clear"/>
          <w:lang w:bidi="ar"/>
        </w:rPr>
        <w:t>。</w:t>
      </w:r>
    </w:p>
    <w:p w14:paraId="535AE828">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bCs/>
          <w:color w:val="auto"/>
          <w:sz w:val="24"/>
          <w:szCs w:val="24"/>
          <w:highlight w:val="none"/>
        </w:rPr>
      </w:pPr>
      <w:bookmarkStart w:id="31" w:name="_Toc1386"/>
      <w:bookmarkStart w:id="32" w:name="_Toc11908"/>
      <w:bookmarkStart w:id="33" w:name="_Toc65660333"/>
      <w:bookmarkStart w:id="34" w:name="_Toc106034624"/>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报名及开标有关说明</w:t>
      </w:r>
      <w:bookmarkEnd w:id="23"/>
      <w:bookmarkEnd w:id="31"/>
      <w:bookmarkEnd w:id="32"/>
      <w:bookmarkEnd w:id="33"/>
      <w:bookmarkEnd w:id="34"/>
    </w:p>
    <w:bookmarkEnd w:id="24"/>
    <w:p w14:paraId="7CF0097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bidi="ar"/>
        </w:rPr>
      </w:pPr>
      <w:bookmarkStart w:id="35" w:name="_Toc6178"/>
      <w:bookmarkStart w:id="36" w:name="_Toc11956"/>
      <w:bookmarkStart w:id="37" w:name="_Toc373860294"/>
      <w:bookmarkStart w:id="38" w:name="_Toc65660334"/>
      <w:bookmarkStart w:id="39" w:name="_Toc106034625"/>
      <w:bookmarkStart w:id="40" w:name="_Toc521053053"/>
      <w:bookmarkStart w:id="41" w:name="_Toc525047161"/>
      <w:r>
        <w:rPr>
          <w:rFonts w:hint="eastAsia" w:ascii="宋体" w:hAnsi="宋体" w:eastAsia="宋体" w:cs="宋体"/>
          <w:color w:val="auto"/>
          <w:sz w:val="24"/>
          <w:szCs w:val="24"/>
          <w:highlight w:val="none"/>
          <w:shd w:val="clear" w:color="auto" w:fill="auto"/>
          <w:lang w:bidi="ar"/>
        </w:rPr>
        <w:t>（一）</w:t>
      </w:r>
      <w:r>
        <w:rPr>
          <w:rFonts w:hint="eastAsia" w:ascii="宋体" w:hAnsi="宋体" w:cs="宋体"/>
          <w:color w:val="auto"/>
          <w:sz w:val="24"/>
          <w:szCs w:val="24"/>
          <w:highlight w:val="none"/>
          <w:shd w:val="clear" w:color="auto" w:fill="auto"/>
          <w:lang w:eastAsia="zh-CN" w:bidi="ar"/>
        </w:rPr>
        <w:t>投标人</w:t>
      </w:r>
      <w:r>
        <w:rPr>
          <w:rFonts w:hint="eastAsia" w:ascii="宋体" w:hAnsi="宋体" w:eastAsia="宋体" w:cs="宋体"/>
          <w:color w:val="auto"/>
          <w:sz w:val="24"/>
          <w:szCs w:val="24"/>
          <w:highlight w:val="none"/>
          <w:shd w:val="clear" w:color="auto" w:fill="auto"/>
          <w:lang w:bidi="ar"/>
        </w:rPr>
        <w:t>应通过“行采家”网站（https://www.gec123.com/）登记加入“供应商库”。</w:t>
      </w:r>
    </w:p>
    <w:p w14:paraId="7132B3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二</w:t>
      </w:r>
      <w:r>
        <w:rPr>
          <w:rFonts w:hint="eastAsia" w:ascii="宋体" w:hAnsi="宋体" w:eastAsia="宋体" w:cs="宋体"/>
          <w:color w:val="auto"/>
          <w:sz w:val="24"/>
          <w:szCs w:val="24"/>
          <w:highlight w:val="none"/>
          <w:shd w:val="clear" w:color="auto" w:fill="auto"/>
          <w:lang w:bidi="ar"/>
        </w:rPr>
        <w:t>）凡有意参加</w:t>
      </w:r>
      <w:r>
        <w:rPr>
          <w:rFonts w:hint="eastAsia" w:ascii="宋体" w:hAnsi="宋体" w:cs="宋体"/>
          <w:color w:val="auto"/>
          <w:sz w:val="24"/>
          <w:szCs w:val="24"/>
          <w:highlight w:val="none"/>
          <w:shd w:val="clear" w:color="auto" w:fill="auto"/>
          <w:lang w:eastAsia="zh-CN" w:bidi="ar"/>
        </w:rPr>
        <w:t>采购</w:t>
      </w:r>
      <w:r>
        <w:rPr>
          <w:rFonts w:hint="eastAsia" w:ascii="宋体" w:hAnsi="宋体" w:eastAsia="宋体" w:cs="宋体"/>
          <w:color w:val="auto"/>
          <w:sz w:val="24"/>
          <w:szCs w:val="24"/>
          <w:highlight w:val="none"/>
          <w:shd w:val="clear" w:color="auto" w:fill="auto"/>
          <w:lang w:bidi="ar"/>
        </w:rPr>
        <w:t>的</w:t>
      </w:r>
      <w:r>
        <w:rPr>
          <w:rFonts w:hint="eastAsia" w:ascii="宋体" w:hAnsi="宋体" w:cs="宋体"/>
          <w:color w:val="auto"/>
          <w:sz w:val="24"/>
          <w:szCs w:val="24"/>
          <w:highlight w:val="none"/>
          <w:shd w:val="clear" w:color="auto" w:fill="auto"/>
          <w:lang w:eastAsia="zh-CN" w:bidi="ar"/>
        </w:rPr>
        <w:t>投标人</w:t>
      </w:r>
      <w:r>
        <w:rPr>
          <w:rFonts w:hint="eastAsia" w:ascii="宋体" w:hAnsi="宋体" w:eastAsia="宋体" w:cs="宋体"/>
          <w:color w:val="auto"/>
          <w:sz w:val="24"/>
          <w:szCs w:val="24"/>
          <w:highlight w:val="none"/>
          <w:shd w:val="clear" w:color="auto" w:fill="auto"/>
          <w:lang w:bidi="ar"/>
        </w:rPr>
        <w:t>，请在行采家（https://www.gec123.com）上下载本项目采购文件以及图纸、澄清等</w:t>
      </w:r>
      <w:r>
        <w:rPr>
          <w:rFonts w:hint="eastAsia" w:ascii="宋体" w:hAnsi="宋体" w:cs="宋体"/>
          <w:color w:val="auto"/>
          <w:sz w:val="24"/>
          <w:szCs w:val="24"/>
          <w:highlight w:val="none"/>
          <w:shd w:val="clear" w:color="auto" w:fill="auto"/>
          <w:lang w:eastAsia="zh-CN" w:bidi="ar"/>
        </w:rPr>
        <w:t>采购</w:t>
      </w:r>
      <w:r>
        <w:rPr>
          <w:rFonts w:hint="eastAsia" w:ascii="宋体" w:hAnsi="宋体" w:eastAsia="宋体" w:cs="宋体"/>
          <w:color w:val="auto"/>
          <w:sz w:val="24"/>
          <w:szCs w:val="24"/>
          <w:highlight w:val="none"/>
          <w:shd w:val="clear" w:color="auto" w:fill="auto"/>
          <w:lang w:bidi="ar"/>
        </w:rPr>
        <w:t>前公布的所有项目资料，无论</w:t>
      </w:r>
      <w:r>
        <w:rPr>
          <w:rFonts w:hint="eastAsia" w:ascii="宋体" w:hAnsi="宋体" w:cs="宋体"/>
          <w:color w:val="auto"/>
          <w:sz w:val="24"/>
          <w:szCs w:val="24"/>
          <w:highlight w:val="none"/>
          <w:shd w:val="clear" w:color="auto" w:fill="auto"/>
          <w:lang w:eastAsia="zh-CN" w:bidi="ar"/>
        </w:rPr>
        <w:t>投标人</w:t>
      </w:r>
      <w:r>
        <w:rPr>
          <w:rFonts w:hint="eastAsia" w:ascii="宋体" w:hAnsi="宋体" w:eastAsia="宋体" w:cs="宋体"/>
          <w:color w:val="auto"/>
          <w:sz w:val="24"/>
          <w:szCs w:val="24"/>
          <w:highlight w:val="none"/>
          <w:shd w:val="clear" w:color="auto" w:fill="auto"/>
          <w:lang w:bidi="ar"/>
        </w:rPr>
        <w:t>下载与否，均视为已知晓所有</w:t>
      </w:r>
      <w:r>
        <w:rPr>
          <w:rFonts w:hint="eastAsia" w:ascii="宋体" w:hAnsi="宋体" w:cs="宋体"/>
          <w:color w:val="auto"/>
          <w:sz w:val="24"/>
          <w:szCs w:val="24"/>
          <w:highlight w:val="none"/>
          <w:shd w:val="clear" w:color="auto" w:fill="auto"/>
          <w:lang w:eastAsia="zh-CN" w:bidi="ar"/>
        </w:rPr>
        <w:t>采购</w:t>
      </w:r>
      <w:r>
        <w:rPr>
          <w:rFonts w:hint="eastAsia" w:ascii="宋体" w:hAnsi="宋体" w:eastAsia="宋体" w:cs="宋体"/>
          <w:color w:val="auto"/>
          <w:sz w:val="24"/>
          <w:szCs w:val="24"/>
          <w:highlight w:val="none"/>
          <w:shd w:val="clear" w:color="auto" w:fill="auto"/>
          <w:lang w:bidi="ar"/>
        </w:rPr>
        <w:t>实质性要求内容。</w:t>
      </w:r>
    </w:p>
    <w:bookmarkEnd w:id="35"/>
    <w:bookmarkEnd w:id="36"/>
    <w:bookmarkEnd w:id="37"/>
    <w:bookmarkEnd w:id="38"/>
    <w:bookmarkEnd w:id="39"/>
    <w:bookmarkEnd w:id="40"/>
    <w:bookmarkEnd w:id="41"/>
    <w:p w14:paraId="4F9174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bidi="ar"/>
        </w:rPr>
      </w:pPr>
      <w:bookmarkStart w:id="42" w:name="OLE_LINK6"/>
      <w:bookmarkStart w:id="43" w:name="_Toc479668114"/>
      <w:bookmarkStart w:id="44" w:name="_Toc521053054"/>
      <w:bookmarkStart w:id="45" w:name="_Toc106034626"/>
      <w:bookmarkStart w:id="46" w:name="_Toc2945"/>
      <w:bookmarkStart w:id="47" w:name="_Toc525047162"/>
      <w:bookmarkStart w:id="48" w:name="_Toc65660335"/>
      <w:bookmarkStart w:id="49" w:name="_Toc4355"/>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三</w:t>
      </w:r>
      <w:r>
        <w:rPr>
          <w:rFonts w:hint="eastAsia" w:ascii="宋体" w:hAnsi="宋体" w:eastAsia="宋体" w:cs="宋体"/>
          <w:color w:val="auto"/>
          <w:sz w:val="24"/>
          <w:szCs w:val="24"/>
          <w:highlight w:val="none"/>
          <w:shd w:val="clear" w:color="auto" w:fill="auto"/>
          <w:lang w:bidi="ar"/>
        </w:rPr>
        <w:t>）采购公告期限：自采购公告发布之日起至报名截止时间止。</w:t>
      </w:r>
    </w:p>
    <w:bookmarkEnd w:id="42"/>
    <w:p w14:paraId="4E7EA56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四</w:t>
      </w:r>
      <w:r>
        <w:rPr>
          <w:rFonts w:hint="eastAsia" w:ascii="宋体" w:hAnsi="宋体" w:eastAsia="宋体" w:cs="宋体"/>
          <w:color w:val="auto"/>
          <w:sz w:val="24"/>
          <w:szCs w:val="24"/>
          <w:highlight w:val="none"/>
          <w:shd w:val="clear" w:color="auto" w:fill="auto"/>
          <w:lang w:bidi="ar"/>
        </w:rPr>
        <w:t>）递交</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文件地点：大渡口区育才幼儿园万有分园（大渡口区锦霞街171号）</w:t>
      </w:r>
    </w:p>
    <w:p w14:paraId="45FE1E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val="en-US" w:eastAsia="zh-CN" w:bidi="ar"/>
        </w:rPr>
        <w:t>五</w:t>
      </w:r>
      <w:r>
        <w:rPr>
          <w:rFonts w:hint="eastAsia" w:ascii="宋体" w:hAnsi="宋体" w:eastAsia="宋体" w:cs="宋体"/>
          <w:color w:val="auto"/>
          <w:sz w:val="24"/>
          <w:szCs w:val="24"/>
          <w:highlight w:val="none"/>
          <w:shd w:val="clear" w:color="auto" w:fill="auto"/>
          <w:lang w:eastAsia="zh-CN" w:bidi="ar"/>
        </w:rPr>
        <w:t>）</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文件递交</w:t>
      </w:r>
      <w:r>
        <w:rPr>
          <w:rFonts w:hint="eastAsia" w:ascii="宋体" w:hAnsi="宋体" w:eastAsia="宋体" w:cs="宋体"/>
          <w:color w:val="auto"/>
          <w:sz w:val="24"/>
          <w:szCs w:val="24"/>
          <w:highlight w:val="none"/>
          <w:shd w:val="clear" w:color="auto" w:fill="auto"/>
          <w:lang w:val="en-US" w:eastAsia="zh-CN" w:bidi="ar"/>
        </w:rPr>
        <w:t>开始</w:t>
      </w:r>
      <w:r>
        <w:rPr>
          <w:rFonts w:hint="eastAsia" w:ascii="宋体" w:hAnsi="宋体" w:eastAsia="宋体" w:cs="宋体"/>
          <w:color w:val="auto"/>
          <w:sz w:val="24"/>
          <w:szCs w:val="24"/>
          <w:highlight w:val="none"/>
          <w:shd w:val="clear" w:color="auto" w:fill="auto"/>
          <w:lang w:bidi="ar"/>
        </w:rPr>
        <w:t>时间：</w:t>
      </w:r>
      <w:r>
        <w:rPr>
          <w:rFonts w:hint="eastAsia" w:ascii="宋体" w:hAnsi="宋体" w:eastAsia="宋体" w:cs="宋体"/>
          <w:color w:val="auto"/>
          <w:sz w:val="24"/>
          <w:szCs w:val="24"/>
          <w:highlight w:val="none"/>
          <w:shd w:val="clear" w:color="auto" w:fill="auto"/>
          <w:lang w:val="en-US" w:eastAsia="zh-CN" w:bidi="ar"/>
        </w:rPr>
        <w:t>2025</w:t>
      </w:r>
      <w:r>
        <w:rPr>
          <w:rFonts w:hint="eastAsia" w:ascii="宋体" w:hAnsi="宋体" w:eastAsia="宋体" w:cs="宋体"/>
          <w:color w:val="auto"/>
          <w:sz w:val="24"/>
          <w:szCs w:val="24"/>
          <w:highlight w:val="none"/>
          <w:shd w:val="clear" w:color="auto" w:fill="auto"/>
          <w:lang w:bidi="ar"/>
        </w:rPr>
        <w:t>年</w:t>
      </w:r>
      <w:r>
        <w:rPr>
          <w:rFonts w:hint="eastAsia" w:ascii="宋体" w:hAnsi="宋体" w:cs="宋体"/>
          <w:color w:val="auto"/>
          <w:sz w:val="24"/>
          <w:szCs w:val="24"/>
          <w:highlight w:val="none"/>
          <w:shd w:val="clear" w:color="auto" w:fill="auto"/>
          <w:lang w:val="en-US" w:eastAsia="zh-CN" w:bidi="ar"/>
        </w:rPr>
        <w:t xml:space="preserve"> 7</w:t>
      </w:r>
      <w:r>
        <w:rPr>
          <w:rFonts w:hint="eastAsia" w:ascii="宋体" w:hAnsi="宋体" w:eastAsia="宋体" w:cs="宋体"/>
          <w:color w:val="auto"/>
          <w:sz w:val="24"/>
          <w:szCs w:val="24"/>
          <w:highlight w:val="none"/>
          <w:shd w:val="clear" w:color="auto" w:fill="auto"/>
          <w:lang w:bidi="ar"/>
        </w:rPr>
        <w:t>月</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日北京时间</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00</w:t>
      </w:r>
    </w:p>
    <w:p w14:paraId="0412EC9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六</w:t>
      </w: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文件递交截止时间：</w:t>
      </w:r>
      <w:r>
        <w:rPr>
          <w:rFonts w:hint="eastAsia" w:ascii="宋体" w:hAnsi="宋体" w:eastAsia="宋体" w:cs="宋体"/>
          <w:color w:val="auto"/>
          <w:sz w:val="24"/>
          <w:szCs w:val="24"/>
          <w:highlight w:val="none"/>
          <w:shd w:val="clear" w:color="auto" w:fill="auto"/>
          <w:lang w:val="en-US" w:eastAsia="zh-CN" w:bidi="ar"/>
        </w:rPr>
        <w:t>2025</w:t>
      </w:r>
      <w:r>
        <w:rPr>
          <w:rFonts w:hint="eastAsia" w:ascii="宋体" w:hAnsi="宋体" w:eastAsia="宋体" w:cs="宋体"/>
          <w:color w:val="auto"/>
          <w:sz w:val="24"/>
          <w:szCs w:val="24"/>
          <w:highlight w:val="none"/>
          <w:shd w:val="clear" w:color="auto" w:fill="auto"/>
          <w:lang w:bidi="ar"/>
        </w:rPr>
        <w:t>年</w:t>
      </w:r>
      <w:r>
        <w:rPr>
          <w:rFonts w:hint="eastAsia" w:ascii="宋体" w:hAnsi="宋体" w:cs="宋体"/>
          <w:color w:val="auto"/>
          <w:sz w:val="24"/>
          <w:szCs w:val="24"/>
          <w:highlight w:val="none"/>
          <w:shd w:val="clear" w:color="auto" w:fill="auto"/>
          <w:lang w:val="en-US" w:eastAsia="zh-CN" w:bidi="ar"/>
        </w:rPr>
        <w:t>7</w:t>
      </w:r>
      <w:r>
        <w:rPr>
          <w:rFonts w:hint="eastAsia" w:ascii="宋体" w:hAnsi="宋体" w:eastAsia="宋体" w:cs="宋体"/>
          <w:color w:val="auto"/>
          <w:sz w:val="24"/>
          <w:szCs w:val="24"/>
          <w:highlight w:val="none"/>
          <w:shd w:val="clear" w:color="auto" w:fill="auto"/>
          <w:lang w:bidi="ar"/>
        </w:rPr>
        <w:t>月</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日北京时间</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30</w:t>
      </w:r>
    </w:p>
    <w:p w14:paraId="21D945D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lang w:bidi="ar"/>
        </w:rPr>
        <w:t>（</w:t>
      </w:r>
      <w:r>
        <w:rPr>
          <w:rFonts w:hint="eastAsia" w:ascii="宋体" w:hAnsi="宋体" w:cs="宋体"/>
          <w:color w:val="auto"/>
          <w:sz w:val="24"/>
          <w:szCs w:val="24"/>
          <w:highlight w:val="none"/>
          <w:shd w:val="clear" w:color="auto" w:fill="auto"/>
          <w:lang w:val="en-US" w:eastAsia="zh-CN" w:bidi="ar"/>
        </w:rPr>
        <w:t>七</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开标</w:t>
      </w:r>
      <w:r>
        <w:rPr>
          <w:rFonts w:hint="eastAsia" w:ascii="宋体" w:hAnsi="宋体" w:eastAsia="宋体" w:cs="宋体"/>
          <w:color w:val="auto"/>
          <w:sz w:val="24"/>
          <w:szCs w:val="24"/>
          <w:highlight w:val="none"/>
          <w:shd w:val="clear" w:color="auto" w:fill="auto"/>
          <w:lang w:bidi="ar"/>
        </w:rPr>
        <w:t>开始时间：</w:t>
      </w:r>
      <w:r>
        <w:rPr>
          <w:rFonts w:hint="eastAsia" w:ascii="宋体" w:hAnsi="宋体" w:eastAsia="宋体" w:cs="宋体"/>
          <w:color w:val="auto"/>
          <w:sz w:val="24"/>
          <w:szCs w:val="24"/>
          <w:highlight w:val="none"/>
          <w:shd w:val="clear" w:color="auto" w:fill="auto"/>
          <w:lang w:val="en-US" w:eastAsia="zh-CN" w:bidi="ar"/>
        </w:rPr>
        <w:t>2025</w:t>
      </w:r>
      <w:r>
        <w:rPr>
          <w:rFonts w:hint="eastAsia" w:ascii="宋体" w:hAnsi="宋体" w:eastAsia="宋体" w:cs="宋体"/>
          <w:color w:val="auto"/>
          <w:sz w:val="24"/>
          <w:szCs w:val="24"/>
          <w:highlight w:val="none"/>
          <w:shd w:val="clear" w:color="auto" w:fill="auto"/>
          <w:lang w:bidi="ar"/>
        </w:rPr>
        <w:t>年</w:t>
      </w:r>
      <w:r>
        <w:rPr>
          <w:rFonts w:hint="eastAsia" w:ascii="宋体" w:hAnsi="宋体" w:cs="宋体"/>
          <w:color w:val="auto"/>
          <w:sz w:val="24"/>
          <w:szCs w:val="24"/>
          <w:highlight w:val="none"/>
          <w:shd w:val="clear" w:color="auto" w:fill="auto"/>
          <w:lang w:val="en-US" w:eastAsia="zh-CN" w:bidi="ar"/>
        </w:rPr>
        <w:t>7</w:t>
      </w:r>
      <w:r>
        <w:rPr>
          <w:rFonts w:hint="eastAsia" w:ascii="宋体" w:hAnsi="宋体" w:eastAsia="宋体" w:cs="宋体"/>
          <w:color w:val="auto"/>
          <w:sz w:val="24"/>
          <w:szCs w:val="24"/>
          <w:highlight w:val="none"/>
          <w:shd w:val="clear" w:color="auto" w:fill="auto"/>
          <w:lang w:bidi="ar"/>
        </w:rPr>
        <w:t>月</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日北京时间</w:t>
      </w:r>
      <w:r>
        <w:rPr>
          <w:rFonts w:hint="eastAsia" w:ascii="宋体" w:hAnsi="宋体" w:cs="宋体"/>
          <w:color w:val="auto"/>
          <w:sz w:val="24"/>
          <w:szCs w:val="24"/>
          <w:highlight w:val="none"/>
          <w:shd w:val="clear" w:color="auto" w:fill="auto"/>
          <w:lang w:val="en-US" w:eastAsia="zh-CN" w:bidi="ar"/>
        </w:rPr>
        <w:t>9</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val="en-US" w:eastAsia="zh-CN" w:bidi="ar"/>
        </w:rPr>
        <w:t>30</w:t>
      </w:r>
    </w:p>
    <w:p w14:paraId="05F1590E">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43"/>
      <w:bookmarkEnd w:id="44"/>
      <w:bookmarkEnd w:id="45"/>
      <w:bookmarkEnd w:id="46"/>
      <w:bookmarkEnd w:id="47"/>
      <w:bookmarkEnd w:id="48"/>
      <w:bookmarkEnd w:id="49"/>
      <w:bookmarkStart w:id="50" w:name="_Toc16269"/>
      <w:bookmarkStart w:id="51" w:name="_Toc521053055"/>
      <w:bookmarkStart w:id="52" w:name="_Toc65660336"/>
      <w:bookmarkStart w:id="53" w:name="_Toc525047163"/>
      <w:bookmarkStart w:id="54" w:name="_Toc6563"/>
      <w:bookmarkStart w:id="55" w:name="_Toc106034627"/>
      <w:r>
        <w:rPr>
          <w:rFonts w:hint="eastAsia" w:ascii="宋体" w:hAnsi="宋体" w:eastAsia="宋体" w:cs="宋体"/>
          <w:b/>
          <w:bCs/>
          <w:color w:val="auto"/>
          <w:sz w:val="24"/>
          <w:szCs w:val="24"/>
          <w:highlight w:val="none"/>
        </w:rPr>
        <w:t>其它有关规定</w:t>
      </w:r>
      <w:bookmarkEnd w:id="50"/>
      <w:bookmarkEnd w:id="51"/>
      <w:bookmarkEnd w:id="52"/>
      <w:bookmarkEnd w:id="53"/>
      <w:bookmarkEnd w:id="54"/>
      <w:bookmarkEnd w:id="55"/>
    </w:p>
    <w:p w14:paraId="33ECCE8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（一）单位负责人为同一人或者存在直接控股、管理关系的不同供应商，不得参加同一合同项（包）下的采购活动，否则均为无效响应。</w:t>
      </w:r>
    </w:p>
    <w:p w14:paraId="23C7B1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，不得再参加该采购项目的其他采购活动。</w:t>
      </w:r>
    </w:p>
    <w:p w14:paraId="39A3231A">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注意下载或到采购代理机构处领取；无论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14:paraId="310A3F2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7454819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6E852B95">
      <w:pPr>
        <w:pStyle w:val="3"/>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7CF3FB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14:paraId="25D27BE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采购活动。</w:t>
      </w:r>
    </w:p>
    <w:p w14:paraId="5F548E89">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14:paraId="76B4F649">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（一）投标保证金递交</w:t>
      </w:r>
    </w:p>
    <w:p w14:paraId="6B5B36AD">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1.转账方式</w:t>
      </w:r>
    </w:p>
    <w:p w14:paraId="1BE54EEC">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1.1</w:t>
      </w: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应足额交纳投标保证金（保证金金额详见本篇，一、采购项目内容），并汇至以下账户，投标保证金的到账截止时间同投标截止时间。</w:t>
      </w:r>
    </w:p>
    <w:p w14:paraId="56E118B2">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投标保证金账户：</w:t>
      </w:r>
    </w:p>
    <w:p w14:paraId="7F7C954B">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zh-CN" w:bidi="ar"/>
        </w:rPr>
      </w:pPr>
      <w:r>
        <w:rPr>
          <w:rFonts w:hint="eastAsia" w:ascii="宋体" w:hAnsi="宋体" w:eastAsia="宋体" w:cs="宋体"/>
          <w:color w:val="auto"/>
          <w:kern w:val="2"/>
          <w:sz w:val="24"/>
          <w:szCs w:val="24"/>
          <w:highlight w:val="none"/>
          <w:shd w:val="clear" w:color="auto" w:fill="auto"/>
          <w:lang w:val="zh-CN" w:bidi="ar"/>
        </w:rPr>
        <w:t>户  名：重庆市大渡口区财政局</w:t>
      </w:r>
    </w:p>
    <w:p w14:paraId="566DE725">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val="zh-CN" w:bidi="ar"/>
        </w:rPr>
      </w:pPr>
      <w:r>
        <w:rPr>
          <w:rFonts w:hint="eastAsia" w:ascii="宋体" w:hAnsi="宋体" w:eastAsia="宋体" w:cs="宋体"/>
          <w:color w:val="auto"/>
          <w:kern w:val="2"/>
          <w:sz w:val="24"/>
          <w:szCs w:val="24"/>
          <w:highlight w:val="none"/>
          <w:shd w:val="clear" w:color="auto" w:fill="auto"/>
          <w:lang w:val="zh-CN" w:bidi="ar"/>
        </w:rPr>
        <w:t>开户行：建行大渡口支行</w:t>
      </w:r>
    </w:p>
    <w:p w14:paraId="5BA04B60">
      <w:pPr>
        <w:adjustRightInd w:val="0"/>
        <w:snapToGrid w:val="0"/>
        <w:spacing w:before="0" w:beforeAutospacing="0" w:after="0" w:afterAutospacing="0"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val="zh-CN" w:bidi="ar"/>
        </w:rPr>
        <w:t>帐  号：</w:t>
      </w:r>
      <w:r>
        <w:rPr>
          <w:rFonts w:hint="eastAsia" w:ascii="宋体" w:hAnsi="宋体" w:eastAsia="宋体" w:cs="宋体"/>
          <w:color w:val="auto"/>
          <w:kern w:val="2"/>
          <w:sz w:val="24"/>
          <w:szCs w:val="24"/>
          <w:highlight w:val="none"/>
          <w:shd w:val="clear" w:color="auto" w:fill="auto"/>
          <w:lang w:bidi="ar"/>
        </w:rPr>
        <w:t>50001103600050004159-142042</w:t>
      </w:r>
    </w:p>
    <w:p w14:paraId="6B6900F2">
      <w:pPr>
        <w:adjustRightInd w:val="0"/>
        <w:snapToGrid w:val="0"/>
        <w:spacing w:before="0" w:beforeAutospacing="0" w:after="0" w:afterAutospacing="0" w:line="360" w:lineRule="auto"/>
        <w:ind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并在备注或用途中注明“**单位缴纳</w:t>
      </w:r>
      <w:r>
        <w:rPr>
          <w:rFonts w:hint="eastAsia" w:ascii="宋体" w:hAnsi="宋体" w:cs="宋体"/>
          <w:color w:val="auto"/>
          <w:kern w:val="2"/>
          <w:sz w:val="24"/>
          <w:szCs w:val="24"/>
          <w:highlight w:val="none"/>
          <w:shd w:val="clear"/>
          <w:lang w:eastAsia="zh-CN" w:bidi="ar"/>
        </w:rPr>
        <w:t>重庆市大渡口区育才幼儿园托育教室改造（第二次）</w:t>
      </w:r>
      <w:r>
        <w:rPr>
          <w:rFonts w:hint="eastAsia" w:ascii="宋体" w:hAnsi="宋体" w:eastAsia="宋体" w:cs="宋体"/>
          <w:color w:val="auto"/>
          <w:sz w:val="24"/>
          <w:szCs w:val="24"/>
          <w:highlight w:val="none"/>
          <w:shd w:val="clear" w:color="auto" w:fill="FFFFFF"/>
          <w:lang w:bidi="ar"/>
        </w:rPr>
        <w:t>”，否则</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保证金无效。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人自行考虑汇入时间风险（如同城汇入、异地汇入、跨行汇入的时间要求）。</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人提交的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保证金未由</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单位的基本银行账户划付或划付的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保证金金额不足的，其</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保证金交纳无效。</w:t>
      </w:r>
    </w:p>
    <w:p w14:paraId="4C7E0C75">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②</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保证金为：人民币</w:t>
      </w:r>
      <w:r>
        <w:rPr>
          <w:rFonts w:hint="eastAsia" w:ascii="宋体" w:hAnsi="宋体" w:cs="宋体"/>
          <w:color w:val="auto"/>
          <w:sz w:val="24"/>
          <w:szCs w:val="24"/>
          <w:highlight w:val="none"/>
          <w:shd w:val="clear" w:color="auto" w:fill="FFFFFF"/>
          <w:lang w:eastAsia="zh-CN" w:bidi="ar"/>
        </w:rPr>
        <w:t>肆</w:t>
      </w:r>
      <w:r>
        <w:rPr>
          <w:rFonts w:hint="eastAsia" w:ascii="宋体" w:hAnsi="宋体" w:eastAsia="宋体" w:cs="宋体"/>
          <w:color w:val="auto"/>
          <w:sz w:val="24"/>
          <w:szCs w:val="24"/>
          <w:highlight w:val="none"/>
          <w:shd w:val="clear" w:color="auto" w:fill="FFFFFF"/>
          <w:lang w:bidi="ar"/>
        </w:rPr>
        <w:t>仟元整（￥</w:t>
      </w:r>
      <w:r>
        <w:rPr>
          <w:rFonts w:hint="eastAsia" w:ascii="宋体" w:hAnsi="宋体" w:cs="宋体"/>
          <w:color w:val="auto"/>
          <w:sz w:val="24"/>
          <w:szCs w:val="24"/>
          <w:highlight w:val="none"/>
          <w:shd w:val="clear" w:color="auto" w:fill="FFFFFF"/>
          <w:lang w:val="en-US" w:eastAsia="zh-CN" w:bidi="ar"/>
        </w:rPr>
        <w:t>4</w:t>
      </w:r>
      <w:r>
        <w:rPr>
          <w:rFonts w:hint="eastAsia" w:ascii="宋体" w:hAnsi="宋体" w:eastAsia="宋体" w:cs="宋体"/>
          <w:color w:val="auto"/>
          <w:sz w:val="24"/>
          <w:szCs w:val="24"/>
          <w:highlight w:val="none"/>
          <w:shd w:val="clear" w:color="auto" w:fill="FFFFFF"/>
          <w:lang w:bidi="ar"/>
        </w:rPr>
        <w:t>000.00元）。</w:t>
      </w:r>
    </w:p>
    <w:p w14:paraId="6B718C1A">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③</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保证金有效期等同</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有效期。</w:t>
      </w:r>
    </w:p>
    <w:p w14:paraId="5B164B6B">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④未在指定时间内到账的</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保证金为无效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保证金，当场退还</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文件。</w:t>
      </w:r>
    </w:p>
    <w:p w14:paraId="5F667415">
      <w:pPr>
        <w:adjustRightInd w:val="0"/>
        <w:snapToGrid w:val="0"/>
        <w:spacing w:before="0" w:beforeAutospacing="0" w:after="0" w:afterAutospacing="0" w:line="360" w:lineRule="auto"/>
        <w:ind w:left="1" w:firstLine="480" w:firstLineChars="200"/>
        <w:jc w:val="left"/>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⑤</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人应将单位基本银行账户的开户许可证复印件（原件备查）及</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保证金进账凭据原件带至开标现场查验，否则取消</w:t>
      </w:r>
      <w:r>
        <w:rPr>
          <w:rFonts w:hint="eastAsia" w:ascii="宋体" w:hAnsi="宋体" w:cs="宋体"/>
          <w:color w:val="auto"/>
          <w:sz w:val="24"/>
          <w:szCs w:val="24"/>
          <w:highlight w:val="none"/>
          <w:shd w:val="clear" w:color="auto" w:fill="FFFFFF"/>
          <w:lang w:eastAsia="zh-CN" w:bidi="ar"/>
        </w:rPr>
        <w:t>投标</w:t>
      </w:r>
      <w:r>
        <w:rPr>
          <w:rFonts w:hint="eastAsia" w:ascii="宋体" w:hAnsi="宋体" w:eastAsia="宋体" w:cs="宋体"/>
          <w:color w:val="auto"/>
          <w:sz w:val="24"/>
          <w:szCs w:val="24"/>
          <w:highlight w:val="none"/>
          <w:shd w:val="clear" w:color="auto" w:fill="FFFFFF"/>
          <w:lang w:bidi="ar"/>
        </w:rPr>
        <w:t>资格。</w:t>
      </w:r>
    </w:p>
    <w:p w14:paraId="476A0339">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（二）保证金退还方式</w:t>
      </w:r>
    </w:p>
    <w:p w14:paraId="15DBB141">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人应持《投（竞）标保证金退款申请表》（见后附件），待学校核实确实到账后，方能退还</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保证金。未</w:t>
      </w:r>
      <w:r>
        <w:rPr>
          <w:rFonts w:hint="eastAsia" w:ascii="宋体" w:hAnsi="宋体" w:eastAsia="宋体" w:cs="宋体"/>
          <w:color w:val="auto"/>
          <w:kern w:val="2"/>
          <w:sz w:val="24"/>
          <w:szCs w:val="24"/>
          <w:highlight w:val="none"/>
          <w:shd w:val="clear"/>
          <w:lang w:val="en-US" w:eastAsia="zh-CN" w:bidi="ar"/>
        </w:rPr>
        <w:t>中标</w:t>
      </w:r>
      <w:r>
        <w:rPr>
          <w:rFonts w:hint="eastAsia" w:ascii="宋体" w:hAnsi="宋体" w:eastAsia="宋体" w:cs="宋体"/>
          <w:color w:val="auto"/>
          <w:kern w:val="2"/>
          <w:sz w:val="24"/>
          <w:szCs w:val="24"/>
          <w:highlight w:val="none"/>
          <w:shd w:val="clear" w:color="auto" w:fill="auto"/>
          <w:lang w:bidi="ar"/>
        </w:rPr>
        <w:t>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保证金在</w:t>
      </w:r>
      <w:r>
        <w:rPr>
          <w:rFonts w:hint="eastAsia" w:ascii="宋体" w:hAnsi="宋体" w:eastAsia="宋体" w:cs="宋体"/>
          <w:color w:val="auto"/>
          <w:kern w:val="2"/>
          <w:sz w:val="24"/>
          <w:szCs w:val="24"/>
          <w:highlight w:val="none"/>
          <w:shd w:val="clear"/>
          <w:lang w:val="en-US" w:eastAsia="zh-CN" w:bidi="ar"/>
        </w:rPr>
        <w:t>中标</w:t>
      </w:r>
      <w:r>
        <w:rPr>
          <w:rFonts w:hint="eastAsia" w:ascii="宋体" w:hAnsi="宋体" w:eastAsia="宋体" w:cs="宋体"/>
          <w:color w:val="auto"/>
          <w:kern w:val="2"/>
          <w:sz w:val="24"/>
          <w:szCs w:val="24"/>
          <w:highlight w:val="none"/>
          <w:shd w:val="clear" w:color="auto" w:fill="auto"/>
          <w:lang w:bidi="ar"/>
        </w:rPr>
        <w:t>通知书发出后30个工作日内无息退还，</w:t>
      </w:r>
      <w:r>
        <w:rPr>
          <w:rFonts w:hint="eastAsia" w:ascii="宋体" w:hAnsi="宋体" w:eastAsia="宋体" w:cs="宋体"/>
          <w:color w:val="auto"/>
          <w:kern w:val="2"/>
          <w:sz w:val="24"/>
          <w:szCs w:val="24"/>
          <w:highlight w:val="none"/>
          <w:shd w:val="clear"/>
          <w:lang w:val="en-US" w:eastAsia="zh-CN" w:bidi="ar"/>
        </w:rPr>
        <w:t>中标人</w:t>
      </w:r>
      <w:r>
        <w:rPr>
          <w:rFonts w:hint="eastAsia" w:ascii="宋体" w:hAnsi="宋体" w:eastAsia="宋体" w:cs="宋体"/>
          <w:color w:val="auto"/>
          <w:kern w:val="2"/>
          <w:sz w:val="24"/>
          <w:szCs w:val="24"/>
          <w:highlight w:val="none"/>
          <w:shd w:val="clear" w:color="auto" w:fill="auto"/>
          <w:lang w:bidi="ar"/>
        </w:rPr>
        <w:t>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保证金在合同签订后30个工作日内无息退还。</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保证金通过对公转账的方式退还至各</w:t>
      </w:r>
      <w:r>
        <w:rPr>
          <w:rFonts w:hint="eastAsia" w:ascii="宋体" w:hAnsi="宋体" w:cs="宋体"/>
          <w:color w:val="auto"/>
          <w:kern w:val="2"/>
          <w:sz w:val="24"/>
          <w:szCs w:val="24"/>
          <w:highlight w:val="none"/>
          <w:shd w:val="clear" w:color="auto" w:fill="auto"/>
          <w:lang w:eastAsia="zh-CN" w:bidi="ar"/>
        </w:rPr>
        <w:t>投标</w:t>
      </w:r>
      <w:r>
        <w:rPr>
          <w:rFonts w:hint="eastAsia" w:ascii="宋体" w:hAnsi="宋体" w:eastAsia="宋体" w:cs="宋体"/>
          <w:color w:val="auto"/>
          <w:kern w:val="2"/>
          <w:sz w:val="24"/>
          <w:szCs w:val="24"/>
          <w:highlight w:val="none"/>
          <w:shd w:val="clear" w:color="auto" w:fill="auto"/>
          <w:lang w:bidi="ar"/>
        </w:rPr>
        <w:t>人缴纳保证金的账户（请确保该账户为对公账户，否则后果自行承担）。</w:t>
      </w:r>
    </w:p>
    <w:p w14:paraId="124FA6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auto"/>
          <w:lang w:bidi="ar"/>
        </w:rPr>
        <w:t>特别提醒：若发现</w:t>
      </w:r>
      <w:r>
        <w:rPr>
          <w:rFonts w:hint="eastAsia" w:ascii="宋体" w:hAnsi="宋体" w:cs="宋体"/>
          <w:color w:val="auto"/>
          <w:sz w:val="24"/>
          <w:szCs w:val="24"/>
          <w:highlight w:val="none"/>
          <w:shd w:val="clear" w:color="auto" w:fill="auto"/>
          <w:lang w:eastAsia="zh-CN" w:bidi="ar"/>
        </w:rPr>
        <w:t>投标</w:t>
      </w:r>
      <w:r>
        <w:rPr>
          <w:rFonts w:hint="eastAsia" w:ascii="宋体" w:hAnsi="宋体" w:eastAsia="宋体" w:cs="宋体"/>
          <w:color w:val="auto"/>
          <w:sz w:val="24"/>
          <w:szCs w:val="24"/>
          <w:highlight w:val="none"/>
          <w:shd w:val="clear" w:color="auto" w:fill="auto"/>
          <w:lang w:bidi="ar"/>
        </w:rPr>
        <w:t>保证金存在伪造网上银行电子回单或其他单位印章等违法行为，一经核实，将立即移交司法机关处理。</w:t>
      </w:r>
    </w:p>
    <w:p w14:paraId="27825694">
      <w:pPr>
        <w:kinsoku w:val="0"/>
        <w:overflowPunct w:val="0"/>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七、 履约保证金</w:t>
      </w:r>
    </w:p>
    <w:p w14:paraId="6B401F5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shd w:val="clear" w:color="auto" w:fill="auto"/>
          <w:lang w:bidi="ar"/>
        </w:rPr>
        <w:t>履约保证金金额：</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金额的10%，公示期结束后5个工作日内同时在合同签订之前，</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缴纳履约保证金（收款单位：重庆市大渡口区财政局；收款账号：50001103600050004159-142042；开户行：建行大渡口支行 ），在缴款单上注明***单位缴纳</w:t>
      </w:r>
      <w:r>
        <w:rPr>
          <w:rFonts w:hint="eastAsia" w:ascii="宋体" w:hAnsi="宋体" w:cs="宋体"/>
          <w:color w:val="auto"/>
          <w:kern w:val="2"/>
          <w:sz w:val="24"/>
          <w:szCs w:val="24"/>
          <w:highlight w:val="none"/>
          <w:shd w:val="clear"/>
          <w:lang w:eastAsia="zh-CN" w:bidi="ar"/>
        </w:rPr>
        <w:t>重庆市大渡口区育才幼儿园托育教室改造（第二次）</w:t>
      </w:r>
      <w:r>
        <w:rPr>
          <w:rFonts w:hint="eastAsia" w:ascii="宋体" w:hAnsi="宋体" w:eastAsia="宋体" w:cs="宋体"/>
          <w:color w:val="auto"/>
          <w:kern w:val="2"/>
          <w:sz w:val="24"/>
          <w:szCs w:val="24"/>
          <w:highlight w:val="none"/>
          <w:shd w:val="clear" w:color="auto" w:fill="auto"/>
          <w:lang w:bidi="ar"/>
        </w:rPr>
        <w:t>履约保证金）。</w:t>
      </w:r>
    </w:p>
    <w:p w14:paraId="31E12AF4">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6" w:name="_Toc1733"/>
      <w:bookmarkStart w:id="57" w:name="_Toc106034628"/>
      <w:bookmarkStart w:id="58" w:name="_Toc521053056"/>
      <w:bookmarkStart w:id="59" w:name="_Toc65660337"/>
      <w:bookmarkStart w:id="60" w:name="_Toc525047164"/>
      <w:bookmarkStart w:id="61" w:name="_Toc10415"/>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、联系方式</w:t>
      </w:r>
      <w:bookmarkEnd w:id="56"/>
      <w:bookmarkEnd w:id="57"/>
      <w:bookmarkEnd w:id="58"/>
      <w:bookmarkEnd w:id="59"/>
      <w:bookmarkEnd w:id="60"/>
      <w:bookmarkEnd w:id="61"/>
    </w:p>
    <w:p w14:paraId="41C7FC26">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62" w:name="OLE_LINK1"/>
      <w:r>
        <w:rPr>
          <w:rFonts w:hint="eastAsia" w:ascii="宋体" w:hAnsi="宋体" w:cs="宋体"/>
          <w:color w:val="auto"/>
          <w:sz w:val="24"/>
          <w:szCs w:val="24"/>
          <w:highlight w:val="none"/>
          <w:lang w:eastAsia="zh-CN"/>
        </w:rPr>
        <w:t>重庆市大渡口区育才幼儿园</w:t>
      </w:r>
    </w:p>
    <w:bookmarkEnd w:id="62"/>
    <w:p w14:paraId="3B408F52">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潘老师</w:t>
      </w:r>
    </w:p>
    <w:p w14:paraId="2795EA4F">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023-68559258</w:t>
      </w:r>
    </w:p>
    <w:p w14:paraId="005A875A">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val="0"/>
          <w:color w:val="auto"/>
          <w:sz w:val="24"/>
          <w:szCs w:val="24"/>
          <w:highlight w:val="none"/>
        </w:rPr>
        <w:t>大渡口区育才幼儿园万有分园（大渡口区锦霞街171号）</w:t>
      </w:r>
    </w:p>
    <w:p w14:paraId="6E2AC64C">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重庆瑞盛工程咨询有限公司</w:t>
      </w:r>
    </w:p>
    <w:p w14:paraId="52EF9DD3">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颜</w:t>
      </w:r>
      <w:r>
        <w:rPr>
          <w:rFonts w:hint="eastAsia" w:ascii="宋体" w:hAnsi="宋体" w:eastAsia="宋体" w:cs="宋体"/>
          <w:color w:val="auto"/>
          <w:sz w:val="24"/>
          <w:szCs w:val="24"/>
          <w:highlight w:val="none"/>
        </w:rPr>
        <w:t xml:space="preserve">老师 </w:t>
      </w:r>
    </w:p>
    <w:p w14:paraId="4A7012B8">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13883905504</w:t>
      </w:r>
    </w:p>
    <w:p w14:paraId="2AD8C703">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rPr>
        <w:t>重庆市大渡口区钢花路1039号附33号2-1</w:t>
      </w:r>
    </w:p>
    <w:p w14:paraId="7CC2FB4C">
      <w:pPr>
        <w:pStyle w:val="63"/>
        <w:rPr>
          <w:rFonts w:hint="eastAsia"/>
        </w:rPr>
      </w:pPr>
    </w:p>
    <w:p w14:paraId="35342DBE">
      <w:pPr>
        <w:rPr>
          <w:rFonts w:hint="eastAsia"/>
        </w:rPr>
      </w:pPr>
    </w:p>
    <w:p w14:paraId="16A1EC58">
      <w:pPr>
        <w:rPr>
          <w:rFonts w:hint="eastAsia"/>
        </w:rPr>
      </w:pPr>
    </w:p>
    <w:p w14:paraId="4EFEE1B5">
      <w:pPr>
        <w:rPr>
          <w:rFonts w:hint="eastAsia"/>
        </w:rPr>
      </w:pPr>
    </w:p>
    <w:p w14:paraId="25E5DADD">
      <w:pPr>
        <w:rPr>
          <w:rFonts w:hint="eastAsia"/>
        </w:rPr>
      </w:pPr>
    </w:p>
    <w:p w14:paraId="3A48C1EA">
      <w:pPr>
        <w:rPr>
          <w:rFonts w:hint="eastAsia"/>
        </w:rPr>
      </w:pPr>
    </w:p>
    <w:p w14:paraId="2DF8EBC5">
      <w:pPr>
        <w:rPr>
          <w:rFonts w:hint="eastAsia"/>
        </w:rPr>
      </w:pPr>
    </w:p>
    <w:p w14:paraId="6A8F9ED1">
      <w:pPr>
        <w:rPr>
          <w:rFonts w:hint="eastAsia"/>
        </w:rPr>
      </w:pPr>
    </w:p>
    <w:p w14:paraId="2661D83B">
      <w:pPr>
        <w:rPr>
          <w:rFonts w:hint="eastAsia"/>
        </w:rPr>
      </w:pPr>
    </w:p>
    <w:p w14:paraId="0B09E7CC">
      <w:pPr>
        <w:rPr>
          <w:rFonts w:hint="eastAsia"/>
        </w:rPr>
      </w:pPr>
    </w:p>
    <w:p w14:paraId="333191D8">
      <w:pPr>
        <w:rPr>
          <w:rFonts w:hint="eastAsia"/>
        </w:rPr>
      </w:pPr>
    </w:p>
    <w:p w14:paraId="5A181A99">
      <w:pPr>
        <w:rPr>
          <w:rFonts w:hint="eastAsia"/>
        </w:rPr>
      </w:pPr>
    </w:p>
    <w:p w14:paraId="1B58C69E">
      <w:pPr>
        <w:rPr>
          <w:rFonts w:hint="eastAsia"/>
        </w:rPr>
      </w:pPr>
    </w:p>
    <w:p w14:paraId="15E23F59">
      <w:pPr>
        <w:rPr>
          <w:rFonts w:hint="eastAsia"/>
        </w:rPr>
      </w:pPr>
    </w:p>
    <w:p w14:paraId="12F81960">
      <w:pPr>
        <w:rPr>
          <w:rFonts w:hint="eastAsia"/>
        </w:rPr>
      </w:pPr>
    </w:p>
    <w:p w14:paraId="67B8AB4F">
      <w:pPr>
        <w:rPr>
          <w:rFonts w:hint="eastAsia"/>
        </w:rPr>
      </w:pPr>
    </w:p>
    <w:p w14:paraId="57FE3DFC">
      <w:pPr>
        <w:rPr>
          <w:rFonts w:hint="eastAsia"/>
        </w:rPr>
      </w:pPr>
    </w:p>
    <w:p w14:paraId="6805A6AF">
      <w:pPr>
        <w:rPr>
          <w:rFonts w:hint="eastAsia"/>
        </w:rPr>
      </w:pPr>
    </w:p>
    <w:p w14:paraId="35A57E17">
      <w:pPr>
        <w:rPr>
          <w:rFonts w:hint="eastAsia"/>
        </w:rPr>
      </w:pPr>
    </w:p>
    <w:p w14:paraId="012DCFEC">
      <w:pPr>
        <w:rPr>
          <w:rFonts w:hint="eastAsia"/>
        </w:rPr>
      </w:pPr>
    </w:p>
    <w:p w14:paraId="68B54B9F">
      <w:pPr>
        <w:rPr>
          <w:rFonts w:hint="eastAsia"/>
        </w:rPr>
      </w:pPr>
    </w:p>
    <w:p w14:paraId="317EA8BC">
      <w:pPr>
        <w:rPr>
          <w:rFonts w:hint="eastAsia"/>
        </w:rPr>
      </w:pPr>
    </w:p>
    <w:p w14:paraId="0F5644C4">
      <w:pPr>
        <w:rPr>
          <w:rFonts w:hint="eastAsia"/>
        </w:rPr>
      </w:pPr>
    </w:p>
    <w:p w14:paraId="7FC79BFE">
      <w:pPr>
        <w:rPr>
          <w:rFonts w:hint="eastAsia"/>
        </w:rPr>
      </w:pPr>
    </w:p>
    <w:p w14:paraId="17E7F0B0">
      <w:pPr>
        <w:rPr>
          <w:rFonts w:hint="eastAsia"/>
        </w:rPr>
      </w:pPr>
    </w:p>
    <w:p w14:paraId="7C283ECC">
      <w:pPr>
        <w:rPr>
          <w:rFonts w:hint="eastAsia"/>
        </w:rPr>
      </w:pPr>
    </w:p>
    <w:p w14:paraId="2B31F17B">
      <w:pPr>
        <w:rPr>
          <w:rFonts w:hint="eastAsia"/>
        </w:rPr>
      </w:pPr>
    </w:p>
    <w:p w14:paraId="4D898673">
      <w:pPr>
        <w:rPr>
          <w:rFonts w:hint="eastAsia"/>
        </w:rPr>
      </w:pPr>
    </w:p>
    <w:p w14:paraId="3E029E68">
      <w:pPr>
        <w:rPr>
          <w:rFonts w:hint="eastAsia"/>
        </w:rPr>
      </w:pPr>
    </w:p>
    <w:p w14:paraId="4458B381">
      <w:pPr>
        <w:rPr>
          <w:rFonts w:hint="eastAsia"/>
        </w:rPr>
      </w:pPr>
    </w:p>
    <w:p w14:paraId="561B8FCD">
      <w:pPr>
        <w:rPr>
          <w:rFonts w:hint="eastAsia"/>
        </w:rPr>
      </w:pPr>
    </w:p>
    <w:p w14:paraId="69A38975">
      <w:pPr>
        <w:rPr>
          <w:rFonts w:hint="eastAsia"/>
        </w:rPr>
      </w:pPr>
    </w:p>
    <w:p w14:paraId="4EF7FB74">
      <w:pPr>
        <w:rPr>
          <w:rFonts w:hint="eastAsia"/>
        </w:rPr>
      </w:pPr>
    </w:p>
    <w:p w14:paraId="6C162D15">
      <w:pPr>
        <w:rPr>
          <w:rFonts w:hint="eastAsia"/>
        </w:rPr>
      </w:pPr>
    </w:p>
    <w:p w14:paraId="607CB825">
      <w:pPr>
        <w:rPr>
          <w:rFonts w:hint="eastAsia"/>
        </w:rPr>
      </w:pPr>
    </w:p>
    <w:p w14:paraId="64E6C218">
      <w:pPr>
        <w:pStyle w:val="2"/>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63" w:name="_Toc19562"/>
      <w:bookmarkStart w:id="64" w:name="_Toc24167"/>
      <w:bookmarkStart w:id="65" w:name="_Toc106034632"/>
      <w:bookmarkStart w:id="66" w:name="_Toc102227313"/>
      <w:bookmarkStart w:id="67" w:name="_Toc13356"/>
      <w:bookmarkStart w:id="68" w:name="_Toc65660341"/>
      <w:bookmarkStart w:id="69" w:name="_Toc15492"/>
      <w:bookmarkStart w:id="70" w:name="_Toc30544"/>
      <w:r>
        <w:rPr>
          <w:rFonts w:hint="eastAsia" w:ascii="宋体" w:hAnsi="宋体" w:eastAsia="宋体" w:cs="宋体"/>
          <w:b/>
          <w:bCs/>
          <w:color w:val="auto"/>
          <w:sz w:val="32"/>
          <w:szCs w:val="32"/>
          <w:highlight w:val="none"/>
        </w:rPr>
        <w:t xml:space="preserve"> </w:t>
      </w:r>
      <w:bookmarkStart w:id="71" w:name="_Toc21243"/>
      <w:bookmarkStart w:id="72" w:name="_Toc24552"/>
      <w:bookmarkStart w:id="73" w:name="_Toc18563"/>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63"/>
      <w:bookmarkEnd w:id="64"/>
      <w:bookmarkEnd w:id="71"/>
      <w:bookmarkEnd w:id="72"/>
      <w:bookmarkEnd w:id="73"/>
    </w:p>
    <w:p w14:paraId="588E0AC5">
      <w:pPr>
        <w:pStyle w:val="36"/>
        <w:spacing w:line="360" w:lineRule="auto"/>
        <w:ind w:firstLineChars="200"/>
        <w:rPr>
          <w:rFonts w:hint="eastAsia" w:ascii="宋体" w:hAnsi="宋体" w:eastAsia="宋体" w:cs="宋体"/>
          <w:color w:val="auto"/>
          <w:sz w:val="24"/>
          <w:szCs w:val="24"/>
          <w:highlight w:val="none"/>
        </w:rPr>
      </w:pPr>
      <w:bookmarkStart w:id="74" w:name="_Toc8713"/>
      <w:bookmarkStart w:id="75" w:name="_Toc23236"/>
      <w:bookmarkStart w:id="76" w:name="_Toc16238"/>
      <w:bookmarkStart w:id="77" w:name="_Toc22268"/>
      <w:bookmarkStart w:id="78" w:name="_Toc2484"/>
      <w:bookmarkStart w:id="79" w:name="_Toc15391"/>
      <w:bookmarkStart w:id="80" w:name="_Toc1342"/>
      <w:bookmarkStart w:id="81" w:name="_Toc16659"/>
      <w:bookmarkStart w:id="82" w:name="_Toc149062814"/>
      <w:bookmarkStart w:id="83" w:name="_Toc23361"/>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rPr>
        <w:t>需求为符合性审查中的实质性要求，响应文件若不满足按无效响应处理。</w:t>
      </w:r>
    </w:p>
    <w:p w14:paraId="192497AF">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en-US" w:eastAsia="zh-CN"/>
        </w:rPr>
        <w:t>建设规模及内容</w:t>
      </w:r>
    </w:p>
    <w:p w14:paraId="1E0C659C">
      <w:pPr>
        <w:keepNext w:val="0"/>
        <w:keepLines w:val="0"/>
        <w:pageBreakBefore w:val="0"/>
        <w:wordWrap/>
        <w:overflowPunct/>
        <w:topLinePunct w:val="0"/>
        <w:bidi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主要包括</w:t>
      </w:r>
      <w:r>
        <w:rPr>
          <w:rFonts w:hint="eastAsia" w:ascii="宋体" w:hAnsi="宋体" w:cs="宋体"/>
          <w:color w:val="auto"/>
          <w:sz w:val="24"/>
          <w:szCs w:val="24"/>
          <w:highlight w:val="none"/>
          <w:lang w:val="en-US" w:eastAsia="zh-CN"/>
        </w:rPr>
        <w:t>电气工程、给排水工程，装修工程、建筑工程改造</w:t>
      </w:r>
      <w:r>
        <w:rPr>
          <w:rFonts w:hint="eastAsia" w:ascii="宋体" w:hAnsi="宋体" w:cs="宋体"/>
          <w:color w:val="auto"/>
          <w:sz w:val="24"/>
          <w:szCs w:val="24"/>
          <w:highlight w:val="none"/>
        </w:rPr>
        <w:t>等内容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具体内容以图纸和工程量清单为准。当图纸与工程量清单不一致时，以工程量清单为准。</w:t>
      </w:r>
    </w:p>
    <w:p w14:paraId="0A714657">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技术要求及标准</w:t>
      </w:r>
    </w:p>
    <w:p w14:paraId="42D92388">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1.质量要求：达到采购人要求并通过验收。</w:t>
      </w:r>
    </w:p>
    <w:p w14:paraId="705A003F">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2.质量问题响应时间要求：成交投标人接到采购人出现问题的通知后立即作出响应，24小时内到达现场进行处理。</w:t>
      </w:r>
    </w:p>
    <w:p w14:paraId="2D807262">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3.项目原则上不允许变更施工内容，如特需变更的，经采购人同意后方可实施变更。</w:t>
      </w:r>
    </w:p>
    <w:p w14:paraId="429A6D51">
      <w:pPr>
        <w:pStyle w:val="3"/>
        <w:keepNext w:val="0"/>
        <w:keepLines w:val="0"/>
        <w:widowControl/>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4" w:name="_Toc6415"/>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、技术要求</w:t>
      </w:r>
      <w:bookmarkEnd w:id="84"/>
    </w:p>
    <w:p w14:paraId="6119AF44">
      <w:pPr>
        <w:pStyle w:val="57"/>
        <w:widowControl/>
        <w:spacing w:beforeAutospacing="0" w:afterAutospacing="0" w:line="500" w:lineRule="exact"/>
        <w:ind w:firstLine="36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投标人须根据该工程项目做出技术方案，至少包含</w:t>
      </w:r>
      <w:r>
        <w:rPr>
          <w:rFonts w:hint="eastAsia" w:cs="宋体"/>
          <w:color w:val="auto"/>
          <w:kern w:val="2"/>
          <w:sz w:val="24"/>
          <w:szCs w:val="24"/>
          <w:highlight w:val="none"/>
          <w:lang w:val="en-US" w:eastAsia="zh-CN" w:bidi="ar-SA"/>
        </w:rPr>
        <w:t>实施</w:t>
      </w:r>
      <w:r>
        <w:rPr>
          <w:rFonts w:hint="eastAsia" w:ascii="宋体" w:hAnsi="宋体" w:eastAsia="宋体" w:cs="宋体"/>
          <w:color w:val="auto"/>
          <w:kern w:val="2"/>
          <w:sz w:val="24"/>
          <w:szCs w:val="24"/>
          <w:highlight w:val="none"/>
          <w:lang w:val="en-US" w:eastAsia="zh-CN" w:bidi="ar-SA"/>
        </w:rPr>
        <w:t>方案、施工配置情况质量保证措施、安全生产及应急抢险方案、进度计划等。投标人施工过程中必须按国家相关规范及要求进行施工，施工工艺必须达到国家相关规范要求。</w:t>
      </w:r>
    </w:p>
    <w:p w14:paraId="377C5744">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、管理人员要求</w:t>
      </w:r>
    </w:p>
    <w:p w14:paraId="668F59DD">
      <w:pPr>
        <w:snapToGrid w:val="0"/>
        <w:spacing w:line="360" w:lineRule="auto"/>
        <w:ind w:firstLine="360" w:firstLineChars="150"/>
        <w:rPr>
          <w:rFonts w:hint="eastAsia" w:ascii="宋体" w:hAnsi="宋体" w:eastAsia="宋体" w:cs="宋体"/>
          <w:color w:val="auto"/>
          <w:kern w:val="2"/>
          <w:sz w:val="24"/>
          <w:szCs w:val="24"/>
          <w:highlight w:val="none"/>
          <w:shd w:val="clear" w:color="auto" w:fill="auto"/>
          <w:lang w:bidi="ar"/>
        </w:rPr>
      </w:pPr>
      <w:bookmarkStart w:id="85" w:name="_Toc1086"/>
      <w:r>
        <w:rPr>
          <w:rFonts w:hint="eastAsia" w:ascii="宋体" w:hAnsi="宋体" w:eastAsia="宋体" w:cs="宋体"/>
          <w:color w:val="auto"/>
          <w:kern w:val="2"/>
          <w:sz w:val="24"/>
          <w:szCs w:val="24"/>
          <w:highlight w:val="none"/>
          <w:shd w:val="clear" w:color="auto" w:fill="auto"/>
          <w:lang w:bidi="ar"/>
        </w:rPr>
        <w:t>项目经理资格要求：</w:t>
      </w:r>
    </w:p>
    <w:p w14:paraId="3D7AF8A6">
      <w:pPr>
        <w:numPr>
          <w:ilvl w:val="-1"/>
          <w:numId w:val="0"/>
        </w:numPr>
        <w:snapToGrid w:val="0"/>
        <w:spacing w:line="360" w:lineRule="auto"/>
        <w:ind w:firstLine="360" w:firstLineChars="15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拟派的项目经理应具有建筑工程专业二级及以上注册建造师执业资格且必须已在</w:t>
      </w:r>
      <w:r>
        <w:rPr>
          <w:rFonts w:hint="eastAsia" w:ascii="宋体" w:hAnsi="宋体" w:eastAsia="宋体" w:cs="宋体"/>
          <w:color w:val="auto"/>
          <w:kern w:val="2"/>
          <w:sz w:val="24"/>
          <w:szCs w:val="24"/>
          <w:highlight w:val="none"/>
          <w:shd w:val="clear"/>
          <w:lang w:eastAsia="zh-CN" w:bidi="ar"/>
        </w:rPr>
        <w:t>投标人</w:t>
      </w:r>
      <w:r>
        <w:rPr>
          <w:rFonts w:hint="eastAsia" w:ascii="宋体" w:hAnsi="宋体" w:eastAsia="宋体" w:cs="宋体"/>
          <w:color w:val="auto"/>
          <w:kern w:val="2"/>
          <w:sz w:val="24"/>
          <w:szCs w:val="24"/>
          <w:highlight w:val="none"/>
          <w:shd w:val="clear" w:color="auto" w:fill="auto"/>
          <w:lang w:bidi="ar"/>
        </w:rPr>
        <w:t>本单位注册。</w:t>
      </w:r>
    </w:p>
    <w:p w14:paraId="3328A8E6">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（1）提供拟派项目经理人身份证复印件加盖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1762CADD">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（2）提供拟派项目经理人</w:t>
      </w:r>
      <w:r>
        <w:rPr>
          <w:rFonts w:hint="eastAsia" w:ascii="宋体" w:hAnsi="宋体" w:eastAsia="宋体" w:cs="宋体"/>
          <w:color w:val="auto"/>
          <w:sz w:val="24"/>
          <w:szCs w:val="24"/>
          <w:highlight w:val="none"/>
        </w:rPr>
        <w:t>注册证书</w:t>
      </w:r>
      <w:r>
        <w:rPr>
          <w:rFonts w:hint="eastAsia" w:ascii="宋体" w:hAnsi="宋体" w:eastAsia="宋体" w:cs="宋体"/>
          <w:color w:val="auto"/>
          <w:sz w:val="24"/>
          <w:szCs w:val="24"/>
          <w:highlight w:val="none"/>
          <w:shd w:val="clear" w:color="auto" w:fill="FFFFFF"/>
          <w:lang w:bidi="ar"/>
        </w:rPr>
        <w:t>复印件加盖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公章；</w:t>
      </w:r>
    </w:p>
    <w:p w14:paraId="54E53A33">
      <w:pPr>
        <w:widowControl/>
        <w:snapToGrid w:val="0"/>
        <w:spacing w:beforeAutospacing="0" w:afterAutospacing="0" w:line="360" w:lineRule="auto"/>
        <w:ind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bidi="ar"/>
        </w:rPr>
        <w:t>（3）提供</w:t>
      </w:r>
      <w:r>
        <w:rPr>
          <w:rFonts w:hint="eastAsia" w:ascii="宋体" w:hAnsi="宋体" w:eastAsia="宋体" w:cs="宋体"/>
          <w:color w:val="auto"/>
          <w:sz w:val="24"/>
          <w:szCs w:val="24"/>
          <w:highlight w:val="none"/>
          <w:shd w:val="clear"/>
          <w:lang w:val="en-US" w:eastAsia="zh-CN" w:bidi="ar"/>
        </w:rPr>
        <w:t>投标人</w:t>
      </w:r>
      <w:r>
        <w:rPr>
          <w:rFonts w:hint="eastAsia" w:ascii="宋体" w:hAnsi="宋体" w:eastAsia="宋体" w:cs="宋体"/>
          <w:color w:val="auto"/>
          <w:sz w:val="24"/>
          <w:szCs w:val="24"/>
          <w:highlight w:val="none"/>
          <w:shd w:val="clear" w:color="auto" w:fill="FFFFFF"/>
          <w:lang w:bidi="ar"/>
        </w:rPr>
        <w:t>为其缴纳的</w:t>
      </w:r>
      <w:r>
        <w:rPr>
          <w:rFonts w:hint="eastAsia" w:ascii="宋体" w:hAnsi="宋体" w:eastAsia="宋体" w:cs="宋体"/>
          <w:color w:val="auto"/>
          <w:kern w:val="2"/>
          <w:sz w:val="24"/>
          <w:szCs w:val="28"/>
          <w:highlight w:val="none"/>
          <w:lang w:val="en-US" w:eastAsia="zh-CN" w:bidi="ar-SA"/>
        </w:rPr>
        <w:t>截止开标前三个月任意一个月的养老保险证明（个人）材料复印件并加盖投标人公章</w:t>
      </w:r>
      <w:r>
        <w:rPr>
          <w:rFonts w:hint="eastAsia" w:ascii="宋体" w:hAnsi="宋体" w:eastAsia="宋体" w:cs="宋体"/>
          <w:color w:val="auto"/>
          <w:sz w:val="24"/>
          <w:szCs w:val="24"/>
          <w:highlight w:val="none"/>
          <w:shd w:val="clear" w:color="auto" w:fill="FFFFFF"/>
          <w:lang w:bidi="ar"/>
        </w:rPr>
        <w:t>；</w:t>
      </w:r>
    </w:p>
    <w:p w14:paraId="4AEB34E4">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主要管理人员</w:t>
      </w:r>
      <w:r>
        <w:rPr>
          <w:rFonts w:hint="eastAsia" w:ascii="宋体" w:hAnsi="宋体" w:eastAsia="宋体" w:cs="宋体"/>
          <w:color w:val="auto"/>
          <w:sz w:val="24"/>
          <w:szCs w:val="24"/>
          <w:highlight w:val="none"/>
          <w:shd w:val="clear" w:color="auto" w:fill="FFFFFF"/>
          <w:lang w:val="en-US" w:eastAsia="zh-CN" w:bidi="ar"/>
        </w:rPr>
        <w:t>要求</w:t>
      </w:r>
      <w:r>
        <w:rPr>
          <w:rFonts w:hint="eastAsia" w:ascii="宋体" w:hAnsi="宋体" w:eastAsia="宋体" w:cs="宋体"/>
          <w:color w:val="auto"/>
          <w:sz w:val="24"/>
          <w:szCs w:val="24"/>
          <w:highlight w:val="none"/>
          <w:shd w:val="clear" w:color="auto" w:fill="FFFFFF"/>
          <w:lang w:bidi="ar"/>
        </w:rPr>
        <w:t>：</w:t>
      </w:r>
    </w:p>
    <w:p w14:paraId="38BB476A">
      <w:pPr>
        <w:widowControl/>
        <w:snapToGrid w:val="0"/>
        <w:spacing w:beforeAutospacing="0" w:afterAutospacing="0" w:line="360" w:lineRule="auto"/>
        <w:ind w:firstLineChars="15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w:t>
      </w:r>
      <w:r>
        <w:rPr>
          <w:rFonts w:hint="eastAsia" w:ascii="宋体" w:hAnsi="宋体" w:eastAsia="宋体" w:cs="宋体"/>
          <w:color w:val="auto"/>
          <w:sz w:val="24"/>
          <w:szCs w:val="24"/>
          <w:highlight w:val="none"/>
          <w:shd w:val="clear"/>
          <w:lang w:bidi="ar"/>
        </w:rPr>
        <w:t>提供</w:t>
      </w:r>
      <w:r>
        <w:rPr>
          <w:rFonts w:hint="eastAsia" w:ascii="宋体" w:hAnsi="宋体" w:eastAsia="宋体" w:cs="宋体"/>
          <w:color w:val="auto"/>
          <w:sz w:val="24"/>
          <w:szCs w:val="24"/>
          <w:highlight w:val="none"/>
          <w:shd w:val="clear"/>
          <w:lang w:val="en-US" w:eastAsia="zh-CN" w:bidi="ar"/>
        </w:rPr>
        <w:t>投标人</w:t>
      </w:r>
      <w:r>
        <w:rPr>
          <w:rFonts w:hint="eastAsia" w:ascii="宋体" w:hAnsi="宋体" w:eastAsia="宋体" w:cs="宋体"/>
          <w:color w:val="auto"/>
          <w:sz w:val="24"/>
          <w:szCs w:val="24"/>
          <w:highlight w:val="none"/>
          <w:shd w:val="clear"/>
          <w:lang w:bidi="ar"/>
        </w:rPr>
        <w:t>为其缴纳的</w:t>
      </w:r>
      <w:r>
        <w:rPr>
          <w:rFonts w:hint="eastAsia" w:ascii="宋体" w:hAnsi="宋体" w:eastAsia="宋体" w:cs="宋体"/>
          <w:color w:val="auto"/>
          <w:kern w:val="2"/>
          <w:sz w:val="24"/>
          <w:szCs w:val="28"/>
          <w:highlight w:val="none"/>
          <w:lang w:val="en-US" w:eastAsia="zh-CN" w:bidi="ar-SA"/>
        </w:rPr>
        <w:t>截止开标前三个月任意一个月的养老保险证明（个人）材料复印件并加盖投标人公章</w:t>
      </w:r>
      <w:r>
        <w:rPr>
          <w:rFonts w:hint="eastAsia" w:ascii="宋体" w:hAnsi="宋体" w:eastAsia="宋体" w:cs="宋体"/>
          <w:color w:val="auto"/>
          <w:sz w:val="24"/>
          <w:szCs w:val="24"/>
          <w:highlight w:val="none"/>
          <w:shd w:val="clear" w:color="auto" w:fill="FFFFFF"/>
          <w:lang w:bidi="ar"/>
        </w:rPr>
        <w:t>。中标后不能满足该要求的，</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可取消其中标资格，给</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依法承担违约赔偿责任。</w:t>
      </w:r>
      <w:r>
        <w:rPr>
          <w:rFonts w:hint="eastAsia" w:ascii="宋体" w:hAnsi="宋体" w:eastAsia="宋体" w:cs="宋体"/>
          <w:color w:val="auto"/>
          <w:sz w:val="24"/>
          <w:szCs w:val="24"/>
          <w:highlight w:val="none"/>
          <w:lang w:val="en-US" w:eastAsia="zh-CN"/>
        </w:rPr>
        <w:t>由投标人在其响应文件中单独提供书面承诺函（格式自拟）</w:t>
      </w:r>
    </w:p>
    <w:p w14:paraId="1E7BA68A">
      <w:pPr>
        <w:pStyle w:val="3"/>
        <w:keepNext w:val="0"/>
        <w:keepLines w:val="0"/>
        <w:widowControl/>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、现场踏勘</w:t>
      </w:r>
      <w:bookmarkEnd w:id="85"/>
    </w:p>
    <w:p w14:paraId="38F97478">
      <w:pPr>
        <w:keepNext w:val="0"/>
        <w:keepLines w:val="0"/>
        <w:pageBreakBefore w:val="0"/>
        <w:wordWrap/>
        <w:overflowPunct/>
        <w:topLinePunct w:val="0"/>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本项目不组织集体现场踏勘，各</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可自行对现场进行踏勘。</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充分了解该项目的项目背景、服务地点、服务范围、设备组织、现场条件、道路环境、安全措施、人员安排、物业规定、文明施工、市政监管、运输工具等各种情况，以便获取本项目编制响应文件和签署合同所需的所有数据。踏勘现场所发生的所有费用（包含因踏勘现场而造成的死亡、人身伤害、财产损失和产生的其他费用）均由</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自行承担，</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应充分考虑了本项目可能面临的不确定因素和可能导致的风险，</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一旦成交，成交</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不得以不完全了解现场情况为借口而提出额外赔偿，或延长工期等要求，由</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在其响应文件中单独提供书面承诺函（格式自拟）。</w:t>
      </w:r>
    </w:p>
    <w:p w14:paraId="0EA977C3">
      <w:pPr>
        <w:pStyle w:val="3"/>
        <w:keepNext w:val="0"/>
        <w:keepLines w:val="0"/>
        <w:widowControl/>
        <w:spacing w:line="500" w:lineRule="exact"/>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6" w:name="_Toc25393"/>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、安全要求</w:t>
      </w:r>
      <w:bookmarkEnd w:id="86"/>
    </w:p>
    <w:p w14:paraId="50632404">
      <w:pPr>
        <w:pStyle w:val="2"/>
        <w:ind w:firstLine="480" w:firstLineChars="200"/>
        <w:jc w:val="left"/>
        <w:rPr>
          <w:rFonts w:hint="eastAsia" w:ascii="宋体" w:hAnsi="宋体" w:eastAsia="宋体" w:cs="宋体"/>
          <w:b w:val="0"/>
          <w:color w:val="auto"/>
          <w:sz w:val="24"/>
          <w:szCs w:val="24"/>
          <w:highlight w:val="none"/>
          <w:shd w:val="clear"/>
          <w:lang w:bidi="ar-SA"/>
        </w:rPr>
      </w:pPr>
      <w:r>
        <w:rPr>
          <w:rFonts w:hint="eastAsia" w:ascii="宋体" w:hAnsi="宋体" w:eastAsia="宋体" w:cs="宋体"/>
          <w:b w:val="0"/>
          <w:bCs w:val="0"/>
          <w:color w:val="auto"/>
          <w:kern w:val="2"/>
          <w:sz w:val="24"/>
          <w:szCs w:val="24"/>
          <w:highlight w:val="none"/>
          <w:lang w:val="en-US" w:eastAsia="zh-CN" w:bidi="ar-SA"/>
        </w:rPr>
        <w:t>投标人在响应文件中自行承诺（格式自拟）遵守安全生产的有关管理规定，严格按照安全标准组织实施，采取必要的安全防护措施，消除隐患。在施工过程中由于投标人管理或安全措施不力造成周边环境破坏或事故责任和因此发生的费用，由投标人承担。投标人负责进入现场实施人员及财物安全，发生任何伤亡事故与采购人无关，投标人自行解决并承担相应的法律责任和财产损失。如因施工导致第三人人身、财产损失由成交投标人承担相关的赔偿责任。</w:t>
      </w:r>
      <w:bookmarkEnd w:id="74"/>
      <w:bookmarkEnd w:id="75"/>
      <w:bookmarkEnd w:id="76"/>
      <w:bookmarkEnd w:id="77"/>
      <w:bookmarkEnd w:id="78"/>
      <w:bookmarkEnd w:id="79"/>
      <w:bookmarkEnd w:id="80"/>
      <w:r>
        <w:rPr>
          <w:rFonts w:hint="eastAsia" w:cs="宋体"/>
          <w:b w:val="0"/>
          <w:bCs w:val="0"/>
          <w:color w:val="auto"/>
          <w:sz w:val="24"/>
          <w:szCs w:val="24"/>
          <w:highlight w:val="none"/>
          <w:shd w:val="clear"/>
          <w:lang w:val="en-US" w:eastAsia="zh-CN" w:bidi="ar-SA"/>
        </w:rPr>
        <w:t xml:space="preserve"> </w:t>
      </w:r>
      <w:r>
        <w:rPr>
          <w:rFonts w:hint="eastAsia" w:cs="宋体"/>
          <w:b w:val="0"/>
          <w:color w:val="auto"/>
          <w:sz w:val="24"/>
          <w:szCs w:val="24"/>
          <w:highlight w:val="none"/>
          <w:shd w:val="clear"/>
          <w:lang w:val="en-US" w:eastAsia="zh-CN" w:bidi="ar-SA"/>
        </w:rPr>
        <w:t xml:space="preserve">    </w:t>
      </w:r>
      <w:bookmarkStart w:id="87" w:name="_Toc28038"/>
      <w:bookmarkStart w:id="88" w:name="_Toc14065"/>
      <w:bookmarkStart w:id="89" w:name="_Toc2189"/>
      <w:bookmarkStart w:id="90" w:name="_Toc14704"/>
    </w:p>
    <w:p w14:paraId="2BA97D9E">
      <w:pPr>
        <w:pStyle w:val="2"/>
        <w:jc w:val="center"/>
        <w:rPr>
          <w:rFonts w:hint="eastAsia" w:ascii="宋体" w:hAnsi="宋体" w:eastAsia="宋体" w:cs="宋体"/>
          <w:color w:val="auto"/>
          <w:szCs w:val="24"/>
          <w:highlight w:val="none"/>
          <w:shd w:val="clear" w:color="auto" w:fill="FFFFFF"/>
          <w:lang w:bidi="ar"/>
        </w:rPr>
      </w:pPr>
    </w:p>
    <w:p w14:paraId="4FDD97C1">
      <w:pPr>
        <w:pStyle w:val="2"/>
        <w:jc w:val="center"/>
        <w:rPr>
          <w:rFonts w:hint="eastAsia" w:ascii="宋体" w:hAnsi="宋体" w:eastAsia="宋体" w:cs="宋体"/>
          <w:color w:val="auto"/>
          <w:szCs w:val="24"/>
          <w:highlight w:val="none"/>
          <w:shd w:val="clear" w:color="auto" w:fill="FFFFFF"/>
          <w:lang w:bidi="ar"/>
        </w:rPr>
      </w:pPr>
    </w:p>
    <w:p w14:paraId="33A3515D">
      <w:pPr>
        <w:rPr>
          <w:rFonts w:hint="eastAsia" w:ascii="宋体" w:hAnsi="宋体" w:eastAsia="宋体" w:cs="宋体"/>
          <w:color w:val="auto"/>
          <w:szCs w:val="24"/>
          <w:highlight w:val="none"/>
          <w:shd w:val="clear" w:color="auto" w:fill="FFFFFF"/>
          <w:lang w:bidi="ar"/>
        </w:rPr>
      </w:pPr>
    </w:p>
    <w:p w14:paraId="5663F179">
      <w:pPr>
        <w:pStyle w:val="62"/>
        <w:rPr>
          <w:rFonts w:hint="eastAsia" w:ascii="宋体" w:hAnsi="宋体" w:eastAsia="宋体" w:cs="宋体"/>
          <w:color w:val="auto"/>
          <w:szCs w:val="24"/>
          <w:highlight w:val="none"/>
          <w:shd w:val="clear" w:color="auto" w:fill="FFFFFF"/>
          <w:lang w:bidi="ar"/>
        </w:rPr>
      </w:pPr>
    </w:p>
    <w:p w14:paraId="5FECCF4D">
      <w:pPr>
        <w:pStyle w:val="63"/>
        <w:rPr>
          <w:rFonts w:hint="eastAsia" w:ascii="宋体" w:hAnsi="宋体" w:eastAsia="宋体" w:cs="宋体"/>
          <w:color w:val="auto"/>
          <w:szCs w:val="24"/>
          <w:highlight w:val="none"/>
          <w:shd w:val="clear" w:color="auto" w:fill="FFFFFF"/>
          <w:lang w:bidi="ar"/>
        </w:rPr>
      </w:pPr>
    </w:p>
    <w:p w14:paraId="2212B0ED">
      <w:pPr>
        <w:rPr>
          <w:rFonts w:hint="eastAsia" w:ascii="宋体" w:hAnsi="宋体" w:eastAsia="宋体" w:cs="宋体"/>
          <w:color w:val="auto"/>
          <w:szCs w:val="24"/>
          <w:highlight w:val="none"/>
          <w:shd w:val="clear" w:color="auto" w:fill="FFFFFF"/>
          <w:lang w:bidi="ar"/>
        </w:rPr>
      </w:pPr>
    </w:p>
    <w:p w14:paraId="4980EB05">
      <w:pPr>
        <w:pStyle w:val="62"/>
        <w:rPr>
          <w:rFonts w:hint="eastAsia" w:ascii="宋体" w:hAnsi="宋体" w:eastAsia="宋体" w:cs="宋体"/>
          <w:color w:val="auto"/>
          <w:szCs w:val="24"/>
          <w:highlight w:val="none"/>
          <w:shd w:val="clear" w:color="auto" w:fill="FFFFFF"/>
          <w:lang w:bidi="ar"/>
        </w:rPr>
      </w:pPr>
    </w:p>
    <w:p w14:paraId="4DB7A576">
      <w:pPr>
        <w:pStyle w:val="63"/>
        <w:rPr>
          <w:rFonts w:hint="eastAsia" w:ascii="宋体" w:hAnsi="宋体" w:eastAsia="宋体" w:cs="宋体"/>
          <w:color w:val="auto"/>
          <w:szCs w:val="24"/>
          <w:highlight w:val="none"/>
          <w:shd w:val="clear" w:color="auto" w:fill="FFFFFF"/>
          <w:lang w:bidi="ar"/>
        </w:rPr>
      </w:pPr>
    </w:p>
    <w:p w14:paraId="54023252">
      <w:pPr>
        <w:rPr>
          <w:rFonts w:hint="eastAsia" w:ascii="宋体" w:hAnsi="宋体" w:eastAsia="宋体" w:cs="宋体"/>
          <w:color w:val="auto"/>
          <w:szCs w:val="24"/>
          <w:highlight w:val="none"/>
          <w:shd w:val="clear" w:color="auto" w:fill="FFFFFF"/>
          <w:lang w:bidi="ar"/>
        </w:rPr>
      </w:pPr>
    </w:p>
    <w:p w14:paraId="138FEC7B">
      <w:pPr>
        <w:pStyle w:val="62"/>
        <w:rPr>
          <w:rFonts w:hint="eastAsia" w:ascii="宋体" w:hAnsi="宋体" w:eastAsia="宋体" w:cs="宋体"/>
          <w:color w:val="auto"/>
          <w:szCs w:val="24"/>
          <w:highlight w:val="none"/>
          <w:shd w:val="clear" w:color="auto" w:fill="FFFFFF"/>
          <w:lang w:bidi="ar"/>
        </w:rPr>
      </w:pPr>
    </w:p>
    <w:p w14:paraId="0CD736E3">
      <w:pPr>
        <w:pStyle w:val="63"/>
        <w:rPr>
          <w:rFonts w:hint="eastAsia" w:ascii="宋体" w:hAnsi="宋体" w:eastAsia="宋体" w:cs="宋体"/>
          <w:color w:val="auto"/>
          <w:szCs w:val="24"/>
          <w:highlight w:val="none"/>
          <w:shd w:val="clear" w:color="auto" w:fill="FFFFFF"/>
          <w:lang w:bidi="ar"/>
        </w:rPr>
      </w:pPr>
    </w:p>
    <w:p w14:paraId="4E244B54">
      <w:pPr>
        <w:rPr>
          <w:rFonts w:hint="eastAsia" w:ascii="宋体" w:hAnsi="宋体" w:eastAsia="宋体" w:cs="宋体"/>
          <w:color w:val="auto"/>
          <w:szCs w:val="24"/>
          <w:highlight w:val="none"/>
          <w:shd w:val="clear" w:color="auto" w:fill="FFFFFF"/>
          <w:lang w:bidi="ar"/>
        </w:rPr>
      </w:pPr>
    </w:p>
    <w:p w14:paraId="12BB5C14">
      <w:pPr>
        <w:pStyle w:val="62"/>
        <w:rPr>
          <w:rFonts w:hint="eastAsia" w:ascii="宋体" w:hAnsi="宋体" w:eastAsia="宋体" w:cs="宋体"/>
          <w:color w:val="auto"/>
          <w:szCs w:val="24"/>
          <w:highlight w:val="none"/>
          <w:shd w:val="clear" w:color="auto" w:fill="FFFFFF"/>
          <w:lang w:bidi="ar"/>
        </w:rPr>
      </w:pPr>
    </w:p>
    <w:p w14:paraId="1FFBA036">
      <w:pPr>
        <w:pStyle w:val="63"/>
        <w:ind w:left="0" w:leftChars="0" w:firstLine="0" w:firstLineChars="0"/>
        <w:rPr>
          <w:rFonts w:hint="eastAsia"/>
        </w:rPr>
      </w:pPr>
    </w:p>
    <w:p w14:paraId="39D90656">
      <w:pPr>
        <w:pStyle w:val="2"/>
        <w:jc w:val="center"/>
        <w:rPr>
          <w:rFonts w:hint="eastAsia" w:ascii="宋体" w:hAnsi="宋体" w:eastAsia="宋体" w:cs="宋体"/>
          <w:b/>
          <w:bCs/>
          <w:color w:val="auto"/>
          <w:sz w:val="36"/>
          <w:szCs w:val="36"/>
          <w:highlight w:val="none"/>
        </w:rPr>
      </w:pPr>
      <w:bookmarkStart w:id="91" w:name="_Toc13263"/>
      <w:r>
        <w:rPr>
          <w:rFonts w:hint="eastAsia" w:ascii="宋体" w:hAnsi="宋体" w:eastAsia="宋体" w:cs="宋体"/>
          <w:b/>
          <w:bCs/>
          <w:color w:val="auto"/>
          <w:sz w:val="36"/>
          <w:szCs w:val="36"/>
          <w:highlight w:val="none"/>
        </w:rPr>
        <w:t>第三篇 项目商务需求</w:t>
      </w:r>
      <w:bookmarkEnd w:id="87"/>
      <w:bookmarkEnd w:id="88"/>
      <w:bookmarkEnd w:id="89"/>
      <w:bookmarkEnd w:id="90"/>
      <w:bookmarkEnd w:id="91"/>
    </w:p>
    <w:p w14:paraId="34BE7267">
      <w:pPr>
        <w:pStyle w:val="36"/>
        <w:spacing w:line="360" w:lineRule="auto"/>
        <w:ind w:firstLineChars="200"/>
        <w:rPr>
          <w:rFonts w:hint="eastAsia" w:ascii="宋体" w:hAnsi="宋体" w:eastAsia="宋体" w:cs="宋体"/>
          <w:color w:val="auto"/>
          <w:sz w:val="24"/>
          <w:szCs w:val="24"/>
          <w:highlight w:val="none"/>
        </w:rPr>
      </w:pPr>
      <w:bookmarkStart w:id="92"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需求为符合性审查中的实质性要求，响应文件若不满足按无效响应处理。</w:t>
      </w:r>
    </w:p>
    <w:p w14:paraId="6BA5BC44">
      <w:pPr>
        <w:pStyle w:val="36"/>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93" w:name="_Toc2837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一、工期、施工地点及验收方式</w:t>
      </w:r>
      <w:bookmarkEnd w:id="93"/>
    </w:p>
    <w:p w14:paraId="6181A758">
      <w:pPr>
        <w:pStyle w:val="36"/>
        <w:widowControl/>
        <w:numPr>
          <w:ilvl w:val="0"/>
          <w:numId w:val="14"/>
        </w:numPr>
        <w:spacing w:beforeAutospacing="0" w:afterAutospacing="0" w:line="360" w:lineRule="auto"/>
        <w:ind w:left="716" w:leftChars="170" w:hanging="240" w:hangingChars="100"/>
        <w:jc w:val="both"/>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工期</w:t>
      </w:r>
      <w:r>
        <w:rPr>
          <w:rFonts w:hint="eastAsia" w:ascii="宋体" w:hAnsi="宋体" w:eastAsia="宋体" w:cs="宋体"/>
          <w:color w:val="auto"/>
          <w:sz w:val="24"/>
          <w:szCs w:val="24"/>
          <w:highlight w:val="none"/>
          <w:shd w:val="clear" w:color="auto" w:fill="FFFFFF"/>
          <w:lang w:val="en-US" w:eastAsia="zh-CN" w:bidi="ar"/>
        </w:rPr>
        <w:t>要求</w:t>
      </w:r>
      <w:r>
        <w:rPr>
          <w:rFonts w:hint="eastAsia" w:ascii="宋体" w:hAnsi="宋体" w:eastAsia="宋体" w:cs="宋体"/>
          <w:color w:val="auto"/>
          <w:sz w:val="24"/>
          <w:szCs w:val="24"/>
          <w:highlight w:val="none"/>
          <w:shd w:val="clear" w:color="auto" w:fill="FFFFFF"/>
          <w:lang w:bidi="ar"/>
        </w:rPr>
        <w:t>：本项目工期</w:t>
      </w:r>
      <w:r>
        <w:rPr>
          <w:rFonts w:hint="eastAsia" w:ascii="宋体" w:hAnsi="宋体" w:cs="宋体"/>
          <w:color w:val="auto"/>
          <w:sz w:val="24"/>
          <w:szCs w:val="24"/>
          <w:highlight w:val="none"/>
          <w:shd w:val="clear" w:color="auto" w:fill="FFFFFF"/>
          <w:lang w:val="en-US" w:eastAsia="zh-CN" w:bidi="ar"/>
        </w:rPr>
        <w:t>20</w:t>
      </w:r>
      <w:r>
        <w:rPr>
          <w:rFonts w:hint="eastAsia" w:ascii="宋体" w:hAnsi="宋体" w:eastAsia="宋体" w:cs="宋体"/>
          <w:color w:val="auto"/>
          <w:sz w:val="24"/>
          <w:szCs w:val="24"/>
          <w:highlight w:val="none"/>
          <w:shd w:val="clear" w:color="auto" w:fill="FFFFFF"/>
          <w:lang w:val="en-US" w:eastAsia="zh-CN" w:bidi="ar"/>
        </w:rPr>
        <w:t>个</w:t>
      </w:r>
      <w:r>
        <w:rPr>
          <w:rFonts w:hint="eastAsia" w:ascii="宋体" w:hAnsi="宋体" w:eastAsia="宋体" w:cs="宋体"/>
          <w:color w:val="auto"/>
          <w:sz w:val="24"/>
          <w:szCs w:val="24"/>
          <w:highlight w:val="none"/>
          <w:shd w:val="clear" w:color="auto" w:fill="FFFFFF"/>
          <w:lang w:bidi="ar"/>
        </w:rPr>
        <w:t>日历天（合同签订后5个工作日内必须进场</w:t>
      </w:r>
      <w:r>
        <w:rPr>
          <w:rFonts w:hint="eastAsia" w:ascii="宋体" w:hAnsi="宋体" w:cs="宋体"/>
          <w:color w:val="auto"/>
          <w:sz w:val="24"/>
          <w:szCs w:val="24"/>
          <w:highlight w:val="none"/>
          <w:shd w:val="clear" w:color="auto" w:fill="FFFFFF"/>
          <w:lang w:eastAsia="zh-CN" w:bidi="ar"/>
        </w:rPr>
        <w:t>）。</w:t>
      </w:r>
    </w:p>
    <w:p w14:paraId="09BB8C63">
      <w:pPr>
        <w:pStyle w:val="36"/>
        <w:widowControl/>
        <w:numPr>
          <w:ilvl w:val="0"/>
          <w:numId w:val="14"/>
        </w:numPr>
        <w:spacing w:beforeAutospacing="0" w:afterAutospacing="0" w:line="360" w:lineRule="auto"/>
        <w:ind w:left="716" w:leftChars="170" w:hanging="240" w:hangingChars="100"/>
        <w:jc w:val="both"/>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施工地点：</w:t>
      </w:r>
      <w:r>
        <w:rPr>
          <w:rFonts w:hint="eastAsia" w:ascii="宋体" w:hAnsi="宋体" w:eastAsia="宋体" w:cs="宋体"/>
          <w:color w:val="auto"/>
          <w:sz w:val="24"/>
          <w:szCs w:val="24"/>
          <w:highlight w:val="none"/>
          <w:shd w:val="clear" w:color="auto" w:fill="FFFFFF"/>
          <w:lang w:val="en-US" w:eastAsia="zh-CN" w:bidi="ar"/>
        </w:rPr>
        <w:t>采购人指定地点</w:t>
      </w:r>
      <w:r>
        <w:rPr>
          <w:rFonts w:hint="eastAsia" w:ascii="宋体" w:hAnsi="宋体" w:eastAsia="宋体" w:cs="宋体"/>
          <w:color w:val="auto"/>
          <w:sz w:val="24"/>
          <w:szCs w:val="24"/>
          <w:highlight w:val="none"/>
          <w:shd w:val="clear" w:color="auto" w:fill="FFFFFF"/>
          <w:lang w:bidi="ar"/>
        </w:rPr>
        <w:t>。</w:t>
      </w:r>
    </w:p>
    <w:p w14:paraId="38E346A6">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（三）验收方式：</w:t>
      </w:r>
    </w:p>
    <w:p w14:paraId="11BE06DC">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1.本项目每完成一个工序，均要求</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或监理到场查看验收，合格之后才能进入下一工序施工，直至工程全部竣工验收合格为止。</w:t>
      </w:r>
    </w:p>
    <w:p w14:paraId="22409E68">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提供所有设备和材料应有完善的质量检测手段和质量保证体系，必须符合国家标准和行业标准。如验收不合格，对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应承担修复、赔偿损失等责任，</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不再另行付费。</w:t>
      </w:r>
    </w:p>
    <w:p w14:paraId="0351A050">
      <w:pPr>
        <w:pStyle w:val="36"/>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94" w:name="_Toc76462329"/>
      <w:bookmarkEnd w:id="94"/>
      <w:bookmarkStart w:id="95" w:name="_Toc344475121"/>
      <w:bookmarkEnd w:id="95"/>
      <w:bookmarkStart w:id="96" w:name="_Toc1543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二、报价要求</w:t>
      </w:r>
      <w:bookmarkEnd w:id="96"/>
    </w:p>
    <w:p w14:paraId="475BF40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97" w:name="_Toc76462330"/>
      <w:bookmarkEnd w:id="97"/>
      <w:bookmarkStart w:id="98" w:name="_Toc344475122"/>
      <w:r>
        <w:rPr>
          <w:rFonts w:hint="eastAsia" w:ascii="宋体" w:hAnsi="宋体" w:eastAsia="宋体" w:cs="宋体"/>
          <w:color w:val="auto"/>
          <w:sz w:val="24"/>
          <w:szCs w:val="24"/>
          <w:highlight w:val="none"/>
          <w:shd w:val="clear" w:color="auto" w:fill="FFFFFF"/>
          <w:lang w:bidi="ar"/>
        </w:rPr>
        <w:t>（一）本工程将设置投标总价最高限价、措施项目费总报价（含安全文明施工费）最高限价、每项清单单价最高限价，</w:t>
      </w:r>
      <w:r>
        <w:rPr>
          <w:rFonts w:hint="eastAsia" w:ascii="宋体" w:hAnsi="宋体" w:eastAsia="宋体" w:cs="宋体"/>
          <w:b/>
          <w:bCs/>
          <w:color w:val="auto"/>
          <w:sz w:val="24"/>
          <w:szCs w:val="24"/>
          <w:highlight w:val="none"/>
          <w:lang w:val="en-US" w:eastAsia="zh-CN"/>
        </w:rPr>
        <w:t>最高限价：241570.41元（大写：贰拾肆万壹仟伍佰柒拾元肆角壹分 ）、其中安全文明施工费：7711.68元</w:t>
      </w:r>
      <w:r>
        <w:rPr>
          <w:rFonts w:hint="eastAsia" w:ascii="宋体" w:hAnsi="宋体" w:eastAsia="宋体" w:cs="宋体"/>
          <w:color w:val="auto"/>
          <w:sz w:val="24"/>
          <w:szCs w:val="24"/>
          <w:highlight w:val="none"/>
          <w:shd w:val="clear" w:color="auto" w:fill="FFFFFF"/>
          <w:lang w:bidi="ar"/>
        </w:rPr>
        <w:t>（安全文明施工费按此填报不得浮动，否则由评标委员会按无效响应处理）。每项清单单价最高限价详见附件工程量清单。</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的投标总报价、措施项目费总报价（含安全文明施工费）、每项清单的投标单价，均不得超过最高限价，否则按无效响应文件处理。</w:t>
      </w:r>
      <w:bookmarkEnd w:id="98"/>
    </w:p>
    <w:p w14:paraId="5A337AF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注：报价包括完成本项目所需的全部拆除费、采购费、材料费、人工费、运输费、安装费、税费、利润等的总和。因</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自身原因造成漏报、少报皆由其自行承担责任，</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不再补偿。</w:t>
      </w:r>
    </w:p>
    <w:p w14:paraId="05CF4081">
      <w:pPr>
        <w:pStyle w:val="36"/>
        <w:keepNext w:val="0"/>
        <w:keepLines w:val="0"/>
        <w:widowControl/>
        <w:spacing w:line="360" w:lineRule="auto"/>
        <w:ind w:firstLineChars="200"/>
        <w:rPr>
          <w:rFonts w:hint="eastAsia" w:ascii="宋体" w:hAnsi="宋体" w:eastAsia="宋体" w:cs="宋体"/>
          <w:color w:val="auto"/>
          <w:sz w:val="24"/>
          <w:szCs w:val="24"/>
          <w:highlight w:val="none"/>
          <w:shd w:val="clear" w:color="auto" w:fill="FFFFFF"/>
          <w:lang w:bidi="ar"/>
        </w:rPr>
      </w:pPr>
      <w:bookmarkStart w:id="99" w:name="_Toc574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lang w:bidi="ar"/>
        </w:rPr>
        <w:t>三、质量保证及售后服务</w:t>
      </w:r>
      <w:bookmarkEnd w:id="99"/>
    </w:p>
    <w:p w14:paraId="0C57C9D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00" w:name="_Toc4112"/>
      <w:r>
        <w:rPr>
          <w:rFonts w:hint="eastAsia" w:ascii="宋体" w:hAnsi="宋体" w:eastAsia="宋体" w:cs="宋体"/>
          <w:color w:val="auto"/>
          <w:sz w:val="24"/>
          <w:szCs w:val="24"/>
          <w:highlight w:val="none"/>
          <w:shd w:val="clear" w:color="auto" w:fill="FFFFFF"/>
          <w:lang w:bidi="ar"/>
        </w:rPr>
        <w:t>（一）工程设施设备和材料质量总体要求：工程相关设施设备和材料必须货真价实，符合环保节能要求，假冒伪劣产品不得参与采购；设施设备和材料的各项手续、文件必须真实完整有效；其他材料各项质量指标必须符合国家技术质量监督机构及有关管理部门和行业的规定和标准。</w:t>
      </w:r>
    </w:p>
    <w:p w14:paraId="068E1B06">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（二）施工过程应遵照现行国家有关及规程规范进行施工，按照有关要求进行检查验收。</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提供的所有施工设施设备和材料应有完善的质量检测手段和质量保证体系，必须符合国家标准和行业标准。</w:t>
      </w:r>
    </w:p>
    <w:p w14:paraId="7C884FB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（三）项目施工所需货物到达现场后，</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或其指定验收单位清点品名、规格、数量；检查外观，作出验收记录，双方签字确认。</w:t>
      </w:r>
    </w:p>
    <w:p w14:paraId="545934C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（四）</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保证项目施工期间的安全；项目所需货物到达</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现场所在地完好无损，如有缺漏、损坏，由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负责调换、补齐或赔偿。</w:t>
      </w:r>
    </w:p>
    <w:p w14:paraId="3379C74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（五）工程完工后，按国家相关标准验收程序和规程进行验收，验收合格后双方认可签字。验收合格条件如下：</w:t>
      </w:r>
    </w:p>
    <w:p w14:paraId="273033D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1.项目施工标准达到国家现行标准及</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要求。</w:t>
      </w:r>
    </w:p>
    <w:p w14:paraId="53CBF98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2.项目所需货物技术资料、装箱单、合格证等资料齐全。</w:t>
      </w:r>
    </w:p>
    <w:p w14:paraId="75982A0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3.在规定时间内完工并验收，并经</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确认。</w:t>
      </w:r>
    </w:p>
    <w:p w14:paraId="350916D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（六）</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使用的项目所需货物及材料未达到采购文件规定要求，且对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造成损失的，由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承担一切责任，并赔偿所造成的损失。</w:t>
      </w:r>
    </w:p>
    <w:p w14:paraId="63316BA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（七）</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对</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提供的施工材料有权要求其作质量及环保检测，检测费用由</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承担，因施工材料未达到国家和行业标准，</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有权要求更换不合格材料，由此造成的工期延误，</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承担相应违约责任、一切经济损失及法律责任。</w:t>
      </w:r>
    </w:p>
    <w:p w14:paraId="5CDBBC4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（八）工程缺陷责任期为2年（质保期从竣工验收合格之日起计算）。</w:t>
      </w:r>
    </w:p>
    <w:p w14:paraId="3237C2CE">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（九）工程保修期内，所有设施设备和施工质量缺陷的维护及维修（非人为损坏）均为免费。</w:t>
      </w:r>
    </w:p>
    <w:p w14:paraId="35CBEEC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（十）工程保修期内，所有设施设备维护和施工质量缺陷维修均为现场服务，由此产生的费用均不再收取。</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应在采购方通知24小时内到现场进行维修维护，如质量保证期内</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未按时间要求对工程质量问题进行维修整改，</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有权从质量保证金中安排资金用于工程维修维护及赔偿，如有不足，将通过法律途径向</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追偿。</w:t>
      </w:r>
    </w:p>
    <w:p w14:paraId="7A9D0ABE">
      <w:pPr>
        <w:pStyle w:val="4"/>
        <w:spacing w:before="0" w:after="0" w:line="336" w:lineRule="auto"/>
        <w:rPr>
          <w:rFonts w:hint="eastAsia" w:ascii="宋体" w:hAnsi="宋体" w:eastAsia="宋体" w:cs="宋体"/>
          <w:color w:val="auto"/>
          <w:sz w:val="24"/>
          <w:szCs w:val="24"/>
          <w:highlight w:val="none"/>
        </w:rPr>
      </w:pPr>
      <w:bookmarkStart w:id="101" w:name="_Toc19786039"/>
      <w:bookmarkStart w:id="102" w:name="_Toc19554"/>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、结算原则</w:t>
      </w:r>
      <w:bookmarkEnd w:id="101"/>
      <w:bookmarkEnd w:id="102"/>
    </w:p>
    <w:p w14:paraId="261A4267">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bookmarkStart w:id="103" w:name="_Hlk122447792"/>
      <w:r>
        <w:rPr>
          <w:rFonts w:hint="eastAsia" w:ascii="宋体" w:hAnsi="宋体" w:eastAsia="宋体" w:cs="宋体"/>
          <w:color w:val="auto"/>
          <w:kern w:val="2"/>
          <w:sz w:val="24"/>
          <w:szCs w:val="24"/>
          <w:highlight w:val="none"/>
          <w:shd w:val="clear" w:color="auto" w:fill="FFFFFF"/>
          <w:lang w:bidi="ar"/>
        </w:rPr>
        <w:t>结算总价＝分部分项工程费+措施费（不包含安全文明施工费）+安全文明施工费+设计变更、技术洽商新增项目费用+规费+税金+其他项目费+合同约定其它费，具体结算办法如下：</w:t>
      </w:r>
    </w:p>
    <w:bookmarkEnd w:id="103"/>
    <w:p w14:paraId="1B720397">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（1）分部分项工程量清单结算价：</w:t>
      </w:r>
    </w:p>
    <w:p w14:paraId="277387F6">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分部分项工程量清单项目按</w:t>
      </w:r>
      <w:r>
        <w:rPr>
          <w:rFonts w:hint="eastAsia" w:ascii="宋体" w:hAnsi="宋体" w:eastAsia="宋体" w:cs="宋体"/>
          <w:color w:val="auto"/>
          <w:kern w:val="2"/>
          <w:sz w:val="24"/>
          <w:szCs w:val="24"/>
          <w:highlight w:val="none"/>
          <w:shd w:val="clear" w:color="auto" w:fill="FFFFFF"/>
          <w:lang w:eastAsia="zh-CN" w:bidi="ar"/>
        </w:rPr>
        <w:t>中标</w:t>
      </w:r>
      <w:r>
        <w:rPr>
          <w:rFonts w:hint="eastAsia" w:ascii="宋体" w:hAnsi="宋体" w:eastAsia="宋体" w:cs="宋体"/>
          <w:color w:val="auto"/>
          <w:kern w:val="2"/>
          <w:sz w:val="24"/>
          <w:szCs w:val="24"/>
          <w:highlight w:val="none"/>
          <w:shd w:val="clear" w:color="auto" w:fill="FFFFFF"/>
          <w:lang w:bidi="ar"/>
        </w:rPr>
        <w:t>单价实行综合单价包干。工程结算时，以</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最后</w:t>
      </w:r>
      <w:r>
        <w:rPr>
          <w:rFonts w:hint="eastAsia" w:ascii="宋体" w:hAnsi="宋体" w:eastAsia="宋体" w:cs="宋体"/>
          <w:color w:val="auto"/>
          <w:kern w:val="2"/>
          <w:sz w:val="24"/>
          <w:szCs w:val="24"/>
          <w:highlight w:val="none"/>
          <w:shd w:val="clear" w:color="auto" w:fill="FFFFFF"/>
          <w:lang w:eastAsia="zh-CN" w:bidi="ar"/>
        </w:rPr>
        <w:t>中标</w:t>
      </w:r>
      <w:r>
        <w:rPr>
          <w:rFonts w:hint="eastAsia" w:ascii="宋体" w:hAnsi="宋体" w:eastAsia="宋体" w:cs="宋体"/>
          <w:color w:val="auto"/>
          <w:kern w:val="2"/>
          <w:sz w:val="24"/>
          <w:szCs w:val="24"/>
          <w:highlight w:val="none"/>
          <w:shd w:val="clear" w:color="auto" w:fill="FFFFFF"/>
          <w:lang w:bidi="ar"/>
        </w:rPr>
        <w:t>单价为结算单价依据，乘以按照国家及重庆市相关工程量清单计算规则计算出且经</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及监理工程师（有监理单位的情况下）审核的施工图及设计变更的工程量，作为该子项的结算合价。各分部分项工程量清单子项合价累计相加，得出分部分项工程量清单结算价。</w:t>
      </w:r>
    </w:p>
    <w:p w14:paraId="72BA1299">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（2）措施费</w:t>
      </w:r>
    </w:p>
    <w:p w14:paraId="5A22F0E6">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①施工组织措施费：无论因设计变更或施工工艺变化等任何因素而引起实际措施费的变化，均按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时施工组织措施项目费（除安全文明施工费外）的报价作为结算价。</w:t>
      </w:r>
    </w:p>
    <w:p w14:paraId="36DBC84B">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②施工技术措施费：无论因设计变更或施工工艺变化等任何因素而引起实际措施费的变化，均按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时施工技术措施项目费的报价作为结算价。</w:t>
      </w:r>
    </w:p>
    <w:p w14:paraId="3FE0000A">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（3）本工程设计变更、采购工程量清单漏项或新增项目价款结算办法：工程设计的变更确定后，设计变更涉及工程价款调整的，或采购工程量清单中有漏项或工程施工中出现新增项目，由</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在变更项目启动前7天内向</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提出，按大渡口区相关文件规定报批同意后调整合同价款。调整方法如下：</w:t>
      </w:r>
    </w:p>
    <w:p w14:paraId="58CDAED5">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①变更（包括签证）工程与</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报价的工程量清单中有相同的子项，则按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时的相同子项的综合单价报价执行；</w:t>
      </w:r>
    </w:p>
    <w:p w14:paraId="64C0932B">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②变更（包括签证）工程与工程量清单中有类似项目时，应参照类似项目只对价差进行调整（类似项目即为工程量清单中工程内容和工程特征均有2/3及以相似）；</w:t>
      </w:r>
    </w:p>
    <w:p w14:paraId="552D3FC0">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③变更（包括签证）工程与工程量清单中无相同子项或类似子项的，按《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费用定额》（CQFYDE-2018）、《重庆市建设工程施工机械台班定额》（CQJXDE-2018）、《重庆市建设工程混凝土及砂浆配合比表》（CQPHBB-2018）的规定进行组价，其中的人工工日单价、材料价格和未计价材料价格按以下办法调整：</w:t>
      </w:r>
    </w:p>
    <w:p w14:paraId="5C3C111F">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A材料由</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进行采购。</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报价中有的材料价格按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报价执行；</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报价中没有的材料价格，</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需在采购前报监理人和招标人核质核价后再进行采购，按核定价格进行结算，如《重庆工程造价信息》中有的材料，其核定价格不得高于施工期间《重庆工程造价信息》公布的大渡口区材料价格的算术平均值。</w:t>
      </w:r>
    </w:p>
    <w:p w14:paraId="39CB0C3B">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B人工工日单价按</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报价中的人工工日单价执行 ，</w:t>
      </w:r>
      <w:r>
        <w:rPr>
          <w:rFonts w:hint="eastAsia" w:ascii="宋体" w:hAnsi="宋体" w:eastAsia="宋体" w:cs="宋体"/>
          <w:color w:val="auto"/>
          <w:kern w:val="2"/>
          <w:sz w:val="24"/>
          <w:szCs w:val="24"/>
          <w:highlight w:val="none"/>
          <w:shd w:val="clear" w:color="auto" w:fill="FFFFFF"/>
          <w:lang w:eastAsia="zh-CN" w:bidi="ar"/>
        </w:rPr>
        <w:t>投标</w:t>
      </w:r>
      <w:r>
        <w:rPr>
          <w:rFonts w:hint="eastAsia" w:ascii="宋体" w:hAnsi="宋体" w:eastAsia="宋体" w:cs="宋体"/>
          <w:color w:val="auto"/>
          <w:kern w:val="2"/>
          <w:sz w:val="24"/>
          <w:szCs w:val="24"/>
          <w:highlight w:val="none"/>
          <w:shd w:val="clear" w:color="auto" w:fill="FFFFFF"/>
          <w:lang w:bidi="ar"/>
        </w:rPr>
        <w:t>报价中没有的则按施工期间《重庆工程造价信息》公布的大渡口区人工指导价的算术平均值执行。</w:t>
      </w:r>
    </w:p>
    <w:p w14:paraId="139A1E1D">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④变更工程量按《重庆市建设工程工程量计算规则》（CQJLGZ-2013）的规定的计量规则计算。</w:t>
      </w:r>
    </w:p>
    <w:p w14:paraId="3746C925">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（4）其他项目清单结算金额</w:t>
      </w:r>
    </w:p>
    <w:p w14:paraId="46E91C66">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①本工程材料采用暂估价格采购，结算时则按经监理人、</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认质核价后的材料价格进行结算。</w:t>
      </w:r>
    </w:p>
    <w:p w14:paraId="61E15D00">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 xml:space="preserve"> ②本工程采用专业工程暂估价或暂列金额采购的，结算时按实结算。其中以暂列金额采购的施工内容实施与否由</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决定。</w:t>
      </w:r>
    </w:p>
    <w:p w14:paraId="090BFB73">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（5）安全文明施工费：根据《重庆市建设工程安全文明施工费计取及使用管理规定》的通知（渝建管〔2024〕38号）的合格标准计算。安全文明施工综合评定结果为不合格，则不计取。</w:t>
      </w:r>
    </w:p>
    <w:p w14:paraId="51C302C0">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（6）规费:按投标费率结算，若</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的投标报价中规费费率高于规定费率，则以规定费率结算。</w:t>
      </w:r>
    </w:p>
    <w:p w14:paraId="5B58F882">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（7）税金：按投标费率结算，若</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的投标报价中税金费率高于规定费率，则以规定费率结算。</w:t>
      </w:r>
    </w:p>
    <w:p w14:paraId="19090113">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（8）</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要求</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完成合同以外施工范围内或施工范围外，但与本施工项目有密切关系的零星项目，</w:t>
      </w:r>
      <w:r>
        <w:rPr>
          <w:rFonts w:hint="eastAsia" w:ascii="宋体" w:hAnsi="宋体" w:eastAsia="宋体" w:cs="宋体"/>
          <w:color w:val="auto"/>
          <w:kern w:val="2"/>
          <w:sz w:val="24"/>
          <w:szCs w:val="24"/>
          <w:highlight w:val="none"/>
          <w:shd w:val="clear" w:color="auto" w:fill="FFFFFF"/>
          <w:lang w:eastAsia="zh-CN" w:bidi="ar"/>
        </w:rPr>
        <w:t>中标人</w:t>
      </w:r>
      <w:r>
        <w:rPr>
          <w:rFonts w:hint="eastAsia" w:ascii="宋体" w:hAnsi="宋体" w:eastAsia="宋体" w:cs="宋体"/>
          <w:color w:val="auto"/>
          <w:kern w:val="2"/>
          <w:sz w:val="24"/>
          <w:szCs w:val="24"/>
          <w:highlight w:val="none"/>
          <w:shd w:val="clear" w:color="auto" w:fill="FFFFFF"/>
          <w:lang w:bidi="ar"/>
        </w:rPr>
        <w:t>应接受</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施工要求，并向</w:t>
      </w:r>
      <w:r>
        <w:rPr>
          <w:rFonts w:hint="eastAsia" w:ascii="宋体" w:hAnsi="宋体" w:eastAsia="宋体" w:cs="宋体"/>
          <w:color w:val="auto"/>
          <w:kern w:val="2"/>
          <w:sz w:val="24"/>
          <w:szCs w:val="24"/>
          <w:highlight w:val="none"/>
          <w:shd w:val="clear" w:color="auto" w:fill="FFFFFF"/>
          <w:lang w:eastAsia="zh-CN" w:bidi="ar"/>
        </w:rPr>
        <w:t>采购人</w:t>
      </w:r>
      <w:r>
        <w:rPr>
          <w:rFonts w:hint="eastAsia" w:ascii="宋体" w:hAnsi="宋体" w:eastAsia="宋体" w:cs="宋体"/>
          <w:color w:val="auto"/>
          <w:kern w:val="2"/>
          <w:sz w:val="24"/>
          <w:szCs w:val="24"/>
          <w:highlight w:val="none"/>
          <w:shd w:val="clear" w:color="auto" w:fill="FFFFFF"/>
          <w:lang w:bidi="ar"/>
        </w:rPr>
        <w:t>提出工程量签证。</w:t>
      </w:r>
    </w:p>
    <w:p w14:paraId="6DA55FFA">
      <w:pPr>
        <w:pStyle w:val="36"/>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shd w:val="clear" w:color="auto" w:fill="FFFFFF"/>
          <w:lang w:bidi="ar"/>
        </w:rPr>
        <w:t>3.本工程结算金额最终以审计机构审定的金额为准</w:t>
      </w:r>
    </w:p>
    <w:p w14:paraId="41F631C9">
      <w:pPr>
        <w:pStyle w:val="36"/>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bidi="ar"/>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kern w:val="2"/>
          <w:sz w:val="24"/>
          <w:szCs w:val="24"/>
          <w:highlight w:val="none"/>
          <w:shd w:val="clear" w:color="auto" w:fill="FFFFFF"/>
          <w:lang w:eastAsia="zh-CN" w:bidi="ar"/>
        </w:rPr>
        <w:t>五</w:t>
      </w:r>
      <w:r>
        <w:rPr>
          <w:rFonts w:hint="eastAsia" w:ascii="宋体" w:hAnsi="宋体" w:eastAsia="宋体" w:cs="宋体"/>
          <w:b w:val="0"/>
          <w:bCs w:val="0"/>
          <w:color w:val="auto"/>
          <w:kern w:val="2"/>
          <w:sz w:val="24"/>
          <w:szCs w:val="24"/>
          <w:highlight w:val="none"/>
          <w:shd w:val="clear" w:color="auto" w:fill="FFFFFF"/>
          <w:lang w:bidi="ar"/>
        </w:rPr>
        <w:t>、付款方式</w:t>
      </w:r>
    </w:p>
    <w:p w14:paraId="6BD93307">
      <w:pPr>
        <w:pStyle w:val="36"/>
        <w:spacing w:line="360" w:lineRule="auto"/>
        <w:ind w:firstLineChars="200"/>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1、工程完工验收合格后支付合同价的70%，结算审计后支付审定金额的97%，余款3%作为质保金，二年后无息支付。</w:t>
      </w:r>
    </w:p>
    <w:p w14:paraId="293245FF">
      <w:pPr>
        <w:pStyle w:val="36"/>
        <w:keepNext w:val="0"/>
        <w:keepLines w:val="0"/>
        <w:widowControl/>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shd w:val="clear" w:color="auto" w:fill="FFFFFF"/>
          <w:lang w:bidi="ar"/>
        </w:rPr>
        <w:t>2、项目在支第一笔项目款之前时需出具施工单位提供的施工人员工酬支付证明。</w:t>
      </w:r>
    </w:p>
    <w:bookmarkEnd w:id="100"/>
    <w:p w14:paraId="3DE91765">
      <w:pPr>
        <w:pStyle w:val="36"/>
        <w:keepNext w:val="0"/>
        <w:keepLines w:val="0"/>
        <w:widowControl/>
        <w:spacing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04" w:name="_Toc51655846"/>
      <w:bookmarkEnd w:id="104"/>
      <w:bookmarkStart w:id="105" w:name="_Toc6750"/>
      <w:bookmarkEnd w:id="105"/>
      <w:bookmarkStart w:id="106" w:name="_Toc376184488"/>
      <w:bookmarkEnd w:id="106"/>
      <w:bookmarkStart w:id="107" w:name="_Toc51655845"/>
      <w:bookmarkEnd w:id="107"/>
      <w:bookmarkStart w:id="108" w:name="_Toc23575"/>
      <w:bookmarkEnd w:id="108"/>
      <w:bookmarkStart w:id="109" w:name="_Toc19873"/>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shd w:val="clear" w:color="auto" w:fill="FFFFFF"/>
          <w:lang w:val="en-US" w:eastAsia="zh-CN" w:bidi="ar"/>
        </w:rPr>
        <w:t>六</w:t>
      </w:r>
      <w:r>
        <w:rPr>
          <w:rFonts w:hint="eastAsia" w:ascii="宋体" w:hAnsi="宋体" w:eastAsia="宋体" w:cs="宋体"/>
          <w:color w:val="auto"/>
          <w:sz w:val="24"/>
          <w:szCs w:val="24"/>
          <w:highlight w:val="none"/>
          <w:shd w:val="clear" w:color="auto" w:fill="FFFFFF"/>
          <w:lang w:bidi="ar"/>
        </w:rPr>
        <w:t>、其他</w:t>
      </w:r>
      <w:bookmarkEnd w:id="109"/>
    </w:p>
    <w:p w14:paraId="18F3AF1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（一）</w:t>
      </w:r>
      <w:r>
        <w:rPr>
          <w:rFonts w:hint="eastAsia" w:ascii="宋体" w:hAnsi="宋体" w:eastAsia="宋体" w:cs="宋体"/>
          <w:color w:val="auto"/>
          <w:sz w:val="24"/>
          <w:szCs w:val="24"/>
          <w:highlight w:val="none"/>
          <w:shd w:val="clear"/>
          <w:lang w:eastAsia="zh-CN" w:bidi="ar"/>
        </w:rPr>
        <w:t>投标人</w:t>
      </w:r>
      <w:r>
        <w:rPr>
          <w:rFonts w:hint="eastAsia" w:ascii="宋体" w:hAnsi="宋体" w:eastAsia="宋体" w:cs="宋体"/>
          <w:color w:val="auto"/>
          <w:sz w:val="24"/>
          <w:szCs w:val="24"/>
          <w:highlight w:val="none"/>
          <w:shd w:val="clear" w:color="auto" w:fill="FFFFFF"/>
          <w:lang w:bidi="ar"/>
        </w:rPr>
        <w:t>必须在响应文件中对以上条款和服务承诺明确列出，承诺内容必须达到本篇及采购文件其他条款的要求。</w:t>
      </w:r>
    </w:p>
    <w:p w14:paraId="7AF7A75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（二）在项目结算评审时，</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先进行初审，再报结算评审。结算评审的基本收费由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承担，如果送审结算金额与评审审定金额相比，审减率在5%之内（含5%）的审减效益费由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承担；审减率超过5%的，全部审减效益费由</w:t>
      </w:r>
      <w:r>
        <w:rPr>
          <w:rFonts w:hint="eastAsia" w:ascii="宋体" w:hAnsi="宋体" w:eastAsia="宋体" w:cs="宋体"/>
          <w:color w:val="auto"/>
          <w:sz w:val="24"/>
          <w:szCs w:val="24"/>
          <w:highlight w:val="none"/>
          <w:shd w:val="clear"/>
          <w:lang w:val="en-US" w:eastAsia="zh-CN" w:bidi="ar"/>
        </w:rPr>
        <w:t>中标人</w:t>
      </w:r>
      <w:r>
        <w:rPr>
          <w:rFonts w:hint="eastAsia" w:ascii="宋体" w:hAnsi="宋体" w:eastAsia="宋体" w:cs="宋体"/>
          <w:color w:val="auto"/>
          <w:sz w:val="24"/>
          <w:szCs w:val="24"/>
          <w:highlight w:val="none"/>
          <w:shd w:val="clear" w:color="auto" w:fill="FFFFFF"/>
          <w:lang w:bidi="ar"/>
        </w:rPr>
        <w:t>承担，由</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统一支付后，在工程款中扣减。(该审减率为抵扣审增部分的品迭后审减率)。</w:t>
      </w:r>
    </w:p>
    <w:p w14:paraId="348FD9A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（三）</w:t>
      </w:r>
      <w:r>
        <w:rPr>
          <w:rFonts w:hint="eastAsia" w:ascii="宋体" w:hAnsi="宋体" w:eastAsia="宋体" w:cs="宋体"/>
          <w:color w:val="auto"/>
          <w:sz w:val="24"/>
          <w:szCs w:val="24"/>
          <w:highlight w:val="none"/>
          <w:shd w:val="clear"/>
          <w:lang w:eastAsia="zh-CN" w:bidi="ar"/>
        </w:rPr>
        <w:t>中标人</w:t>
      </w:r>
      <w:r>
        <w:rPr>
          <w:rFonts w:hint="eastAsia" w:ascii="宋体" w:hAnsi="宋体" w:eastAsia="宋体" w:cs="宋体"/>
          <w:color w:val="auto"/>
          <w:sz w:val="24"/>
          <w:szCs w:val="24"/>
          <w:highlight w:val="none"/>
          <w:shd w:val="clear" w:color="auto" w:fill="FFFFFF"/>
          <w:lang w:bidi="ar"/>
        </w:rPr>
        <w:t>须和</w:t>
      </w:r>
      <w:r>
        <w:rPr>
          <w:rFonts w:hint="eastAsia" w:ascii="宋体" w:hAnsi="宋体" w:cs="宋体"/>
          <w:color w:val="auto"/>
          <w:sz w:val="24"/>
          <w:szCs w:val="24"/>
          <w:highlight w:val="none"/>
          <w:shd w:val="clear"/>
          <w:lang w:eastAsia="zh-CN" w:bidi="ar"/>
        </w:rPr>
        <w:t>采购</w:t>
      </w:r>
      <w:r>
        <w:rPr>
          <w:rFonts w:hint="eastAsia" w:ascii="宋体" w:hAnsi="宋体" w:eastAsia="宋体" w:cs="宋体"/>
          <w:color w:val="auto"/>
          <w:sz w:val="24"/>
          <w:szCs w:val="24"/>
          <w:highlight w:val="none"/>
          <w:shd w:val="clear"/>
          <w:lang w:eastAsia="zh-CN" w:bidi="ar"/>
        </w:rPr>
        <w:t>人</w:t>
      </w:r>
      <w:r>
        <w:rPr>
          <w:rFonts w:hint="eastAsia" w:ascii="宋体" w:hAnsi="宋体" w:eastAsia="宋体" w:cs="宋体"/>
          <w:color w:val="auto"/>
          <w:sz w:val="24"/>
          <w:szCs w:val="24"/>
          <w:highlight w:val="none"/>
          <w:shd w:val="clear" w:color="auto" w:fill="FFFFFF"/>
          <w:lang w:bidi="ar"/>
        </w:rPr>
        <w:t>等相关施工参与单位一起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14:paraId="65DF01C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color="auto" w:fill="FFFFFF"/>
          <w:lang w:bidi="ar"/>
        </w:rPr>
      </w:pPr>
      <w:bookmarkStart w:id="110" w:name="_Toc20711"/>
      <w:bookmarkEnd w:id="110"/>
      <w:bookmarkStart w:id="111" w:name="_Toc3715"/>
      <w:r>
        <w:rPr>
          <w:rFonts w:hint="eastAsia" w:ascii="宋体" w:hAnsi="宋体" w:eastAsia="宋体" w:cs="宋体"/>
          <w:color w:val="auto"/>
          <w:sz w:val="24"/>
          <w:szCs w:val="24"/>
          <w:highlight w:val="none"/>
          <w:shd w:val="clear" w:color="auto" w:fill="FFFFFF"/>
          <w:lang w:bidi="ar"/>
        </w:rPr>
        <w:t>（四）</w:t>
      </w:r>
      <w:bookmarkEnd w:id="111"/>
      <w:r>
        <w:rPr>
          <w:rFonts w:hint="eastAsia" w:ascii="宋体" w:hAnsi="宋体" w:eastAsia="宋体" w:cs="宋体"/>
          <w:color w:val="auto"/>
          <w:sz w:val="24"/>
          <w:szCs w:val="24"/>
          <w:highlight w:val="none"/>
          <w:shd w:val="clear" w:color="auto" w:fill="FFFFFF"/>
          <w:lang w:bidi="ar"/>
        </w:rPr>
        <w:t>由于承包人原因，未能按项目进度计划完成工作，承包人应采取措施加快进度，并承担加快进度所增加的费用。由于承包人原因造成工期延误并导致逾期竣工的，承包人应支付逾期竣工违约金。逾期竣工违约金的计算方法：每延误1 天，承包人按 1000 元/天计算逾期竣工违约金，累计违约金上限不超过签约合同价的 10%。承包人支付逾期竣工违约金后，不免除承包人继续完成工程及修补缺陷的义务，且发包人有权从工程进度款、竣工结算款或约定提交的履约担保中扣除相当于逾期竣工违约金的金额。</w:t>
      </w:r>
    </w:p>
    <w:p w14:paraId="1A154BD5">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（五）其他未尽事宜由供需双方在采购合同中详细约定。</w:t>
      </w:r>
    </w:p>
    <w:p w14:paraId="6CF665C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2FBD06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310D27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8BEB8A3">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110711B">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FABC314">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CE447C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BC49A8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1C5DA5F">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17946FFD">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61C5490">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7586A19">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2CCE0E8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77A9BE66">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542E6978">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9BE659A">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48DB4D32">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3686BF23">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67D2A181">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14:paraId="018BDAC4">
      <w:pPr>
        <w:pStyle w:val="36"/>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92"/>
    <w:p w14:paraId="714276FF">
      <w:pPr>
        <w:widowControl/>
        <w:tabs>
          <w:tab w:val="left" w:pos="2370"/>
          <w:tab w:val="center" w:pos="4320"/>
        </w:tabs>
        <w:spacing w:line="360" w:lineRule="auto"/>
        <w:outlineLvl w:val="0"/>
        <w:rPr>
          <w:rStyle w:val="80"/>
          <w:rFonts w:hint="eastAsia" w:ascii="宋体" w:hAnsi="宋体" w:eastAsia="宋体" w:cs="宋体"/>
          <w:b/>
          <w:bCs/>
          <w:color w:val="auto"/>
          <w:sz w:val="36"/>
          <w:szCs w:val="36"/>
          <w:highlight w:val="none"/>
        </w:rPr>
      </w:pPr>
      <w:bookmarkStart w:id="112" w:name="_Toc24542"/>
      <w:bookmarkStart w:id="113" w:name="_Toc25013"/>
      <w:bookmarkStart w:id="114" w:name="_Toc32593"/>
      <w:bookmarkStart w:id="115" w:name="_Toc25960"/>
      <w:bookmarkStart w:id="116" w:name="_Toc106034789"/>
      <w:bookmarkStart w:id="117" w:name="_Toc31282"/>
      <w:bookmarkStart w:id="118" w:name="_Toc3807"/>
      <w:r>
        <w:rPr>
          <w:rStyle w:val="80"/>
          <w:rFonts w:hint="eastAsia" w:ascii="宋体" w:hAnsi="宋体" w:eastAsia="宋体" w:cs="宋体"/>
          <w:b/>
          <w:bCs/>
          <w:color w:val="auto"/>
          <w:sz w:val="36"/>
          <w:szCs w:val="36"/>
          <w:highlight w:val="none"/>
        </w:rPr>
        <w:t>第四篇 采购程序、评定</w:t>
      </w:r>
      <w:r>
        <w:rPr>
          <w:rStyle w:val="80"/>
          <w:rFonts w:hint="eastAsia" w:ascii="宋体" w:hAnsi="宋体" w:eastAsia="宋体" w:cs="宋体"/>
          <w:b/>
          <w:bCs/>
          <w:color w:val="auto"/>
          <w:sz w:val="36"/>
          <w:szCs w:val="36"/>
          <w:highlight w:val="none"/>
          <w:lang w:eastAsia="zh-CN"/>
        </w:rPr>
        <w:t>中标</w:t>
      </w:r>
      <w:r>
        <w:rPr>
          <w:rStyle w:val="80"/>
          <w:rFonts w:hint="eastAsia" w:ascii="宋体" w:hAnsi="宋体" w:eastAsia="宋体" w:cs="宋体"/>
          <w:b/>
          <w:bCs/>
          <w:color w:val="auto"/>
          <w:sz w:val="36"/>
          <w:szCs w:val="36"/>
          <w:highlight w:val="none"/>
        </w:rPr>
        <w:t>的标准、无效报价及采购终止</w:t>
      </w:r>
      <w:bookmarkEnd w:id="112"/>
      <w:bookmarkEnd w:id="113"/>
      <w:bookmarkEnd w:id="114"/>
      <w:bookmarkEnd w:id="115"/>
      <w:bookmarkEnd w:id="116"/>
      <w:bookmarkEnd w:id="117"/>
      <w:bookmarkEnd w:id="118"/>
    </w:p>
    <w:p w14:paraId="77B3A823">
      <w:pPr>
        <w:pStyle w:val="3"/>
        <w:adjustRightInd w:val="0"/>
        <w:snapToGrid w:val="0"/>
        <w:spacing w:before="0" w:after="0" w:line="560" w:lineRule="exact"/>
        <w:rPr>
          <w:rFonts w:hint="eastAsia" w:ascii="宋体" w:hAnsi="宋体" w:eastAsia="宋体" w:cs="宋体"/>
          <w:color w:val="auto"/>
          <w:sz w:val="24"/>
          <w:highlight w:val="none"/>
        </w:rPr>
      </w:pPr>
      <w:bookmarkStart w:id="119" w:name="_Toc106034790"/>
      <w:bookmarkStart w:id="120" w:name="_Toc11767"/>
      <w:bookmarkStart w:id="121" w:name="_Toc27932"/>
      <w:bookmarkStart w:id="122" w:name="_Toc6046"/>
      <w:bookmarkStart w:id="123" w:name="_Toc11973"/>
      <w:bookmarkStart w:id="124" w:name="_Toc11926"/>
      <w:r>
        <w:rPr>
          <w:rFonts w:hint="eastAsia" w:ascii="宋体" w:hAnsi="宋体" w:eastAsia="宋体" w:cs="宋体"/>
          <w:color w:val="auto"/>
          <w:sz w:val="24"/>
          <w:highlight w:val="none"/>
        </w:rPr>
        <w:t>一、采购程序</w:t>
      </w:r>
      <w:bookmarkEnd w:id="119"/>
      <w:bookmarkEnd w:id="120"/>
      <w:bookmarkEnd w:id="121"/>
      <w:bookmarkEnd w:id="122"/>
      <w:bookmarkEnd w:id="123"/>
      <w:bookmarkEnd w:id="124"/>
    </w:p>
    <w:p w14:paraId="15C447A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规定的时间和地点进行。</w:t>
      </w:r>
    </w:p>
    <w:p w14:paraId="0DA5F48F">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14:paraId="0205B55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的规定，对响应文件中的资格证明材料、保证金等进行审查。资格性审查内容如下：</w:t>
      </w:r>
    </w:p>
    <w:tbl>
      <w:tblPr>
        <w:tblStyle w:val="64"/>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63AA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3EDD7DDA">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14:paraId="7FE65453">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14:paraId="2C1E9C01">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756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092DE21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14:paraId="46487D91">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14:paraId="0106AFFE">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14:paraId="348F4E63">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14:paraId="3147D721">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14:paraId="3E92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06DC8075">
            <w:pPr>
              <w:rPr>
                <w:rFonts w:hint="eastAsia" w:ascii="宋体" w:hAnsi="宋体" w:eastAsia="宋体" w:cs="宋体"/>
                <w:color w:val="auto"/>
                <w:sz w:val="21"/>
                <w:szCs w:val="21"/>
                <w:highlight w:val="none"/>
              </w:rPr>
            </w:pPr>
          </w:p>
        </w:tc>
        <w:tc>
          <w:tcPr>
            <w:tcW w:w="851" w:type="dxa"/>
            <w:vMerge w:val="continue"/>
            <w:noWrap w:val="0"/>
            <w:vAlign w:val="center"/>
          </w:tcPr>
          <w:p w14:paraId="40540B72">
            <w:pPr>
              <w:rPr>
                <w:rFonts w:hint="eastAsia" w:ascii="宋体" w:hAnsi="宋体" w:eastAsia="宋体" w:cs="宋体"/>
                <w:color w:val="auto"/>
                <w:sz w:val="21"/>
                <w:szCs w:val="21"/>
                <w:highlight w:val="none"/>
              </w:rPr>
            </w:pPr>
          </w:p>
        </w:tc>
        <w:tc>
          <w:tcPr>
            <w:tcW w:w="4421" w:type="dxa"/>
            <w:noWrap w:val="0"/>
            <w:vAlign w:val="center"/>
          </w:tcPr>
          <w:p w14:paraId="0866206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14:paraId="19D3FC10">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14:paraId="11415939">
            <w:pPr>
              <w:snapToGrid w:val="0"/>
              <w:rPr>
                <w:rFonts w:hint="eastAsia" w:ascii="宋体" w:hAnsi="宋体" w:eastAsia="宋体" w:cs="宋体"/>
                <w:color w:val="auto"/>
                <w:sz w:val="21"/>
                <w:szCs w:val="21"/>
                <w:highlight w:val="none"/>
              </w:rPr>
            </w:pPr>
          </w:p>
        </w:tc>
      </w:tr>
      <w:tr w14:paraId="5034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5FD2312F">
            <w:pPr>
              <w:rPr>
                <w:rFonts w:hint="eastAsia" w:ascii="宋体" w:hAnsi="宋体" w:eastAsia="宋体" w:cs="宋体"/>
                <w:color w:val="auto"/>
                <w:sz w:val="21"/>
                <w:szCs w:val="21"/>
                <w:highlight w:val="none"/>
              </w:rPr>
            </w:pPr>
          </w:p>
        </w:tc>
        <w:tc>
          <w:tcPr>
            <w:tcW w:w="851" w:type="dxa"/>
            <w:vMerge w:val="continue"/>
            <w:noWrap w:val="0"/>
            <w:vAlign w:val="center"/>
          </w:tcPr>
          <w:p w14:paraId="3D96CD6D">
            <w:pPr>
              <w:rPr>
                <w:rFonts w:hint="eastAsia" w:ascii="宋体" w:hAnsi="宋体" w:eastAsia="宋体" w:cs="宋体"/>
                <w:color w:val="auto"/>
                <w:sz w:val="21"/>
                <w:szCs w:val="21"/>
                <w:highlight w:val="none"/>
              </w:rPr>
            </w:pPr>
          </w:p>
        </w:tc>
        <w:tc>
          <w:tcPr>
            <w:tcW w:w="4421" w:type="dxa"/>
            <w:noWrap w:val="0"/>
            <w:vAlign w:val="center"/>
          </w:tcPr>
          <w:p w14:paraId="60B3738F">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14:paraId="6C6A34C8">
            <w:pPr>
              <w:snapToGrid w:val="0"/>
              <w:rPr>
                <w:rFonts w:hint="eastAsia" w:ascii="宋体" w:hAnsi="宋体" w:eastAsia="宋体" w:cs="宋体"/>
                <w:color w:val="auto"/>
                <w:sz w:val="21"/>
                <w:szCs w:val="21"/>
                <w:highlight w:val="none"/>
              </w:rPr>
            </w:pPr>
          </w:p>
        </w:tc>
      </w:tr>
      <w:tr w14:paraId="6320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588298BD">
            <w:pPr>
              <w:rPr>
                <w:rFonts w:hint="eastAsia" w:ascii="宋体" w:hAnsi="宋体" w:eastAsia="宋体" w:cs="宋体"/>
                <w:color w:val="auto"/>
                <w:sz w:val="21"/>
                <w:szCs w:val="21"/>
                <w:highlight w:val="none"/>
              </w:rPr>
            </w:pPr>
          </w:p>
        </w:tc>
        <w:tc>
          <w:tcPr>
            <w:tcW w:w="851" w:type="dxa"/>
            <w:vMerge w:val="continue"/>
            <w:noWrap w:val="0"/>
            <w:vAlign w:val="center"/>
          </w:tcPr>
          <w:p w14:paraId="62CD7112">
            <w:pPr>
              <w:rPr>
                <w:rFonts w:hint="eastAsia" w:ascii="宋体" w:hAnsi="宋体" w:eastAsia="宋体" w:cs="宋体"/>
                <w:color w:val="auto"/>
                <w:sz w:val="21"/>
                <w:szCs w:val="21"/>
                <w:highlight w:val="none"/>
              </w:rPr>
            </w:pPr>
          </w:p>
        </w:tc>
        <w:tc>
          <w:tcPr>
            <w:tcW w:w="4421" w:type="dxa"/>
            <w:noWrap w:val="0"/>
            <w:vAlign w:val="center"/>
          </w:tcPr>
          <w:p w14:paraId="439D4607">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14:paraId="64EC5DC7">
            <w:pPr>
              <w:snapToGrid w:val="0"/>
              <w:rPr>
                <w:rFonts w:hint="eastAsia" w:ascii="宋体" w:hAnsi="宋体" w:eastAsia="宋体" w:cs="宋体"/>
                <w:color w:val="auto"/>
                <w:sz w:val="21"/>
                <w:szCs w:val="21"/>
                <w:highlight w:val="none"/>
              </w:rPr>
            </w:pPr>
          </w:p>
        </w:tc>
      </w:tr>
      <w:tr w14:paraId="11BE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14:paraId="7BC61482">
            <w:pPr>
              <w:rPr>
                <w:rFonts w:hint="eastAsia" w:ascii="宋体" w:hAnsi="宋体" w:eastAsia="宋体" w:cs="宋体"/>
                <w:color w:val="auto"/>
                <w:sz w:val="21"/>
                <w:szCs w:val="21"/>
                <w:highlight w:val="none"/>
              </w:rPr>
            </w:pPr>
          </w:p>
        </w:tc>
        <w:tc>
          <w:tcPr>
            <w:tcW w:w="851" w:type="dxa"/>
            <w:vMerge w:val="continue"/>
            <w:noWrap w:val="0"/>
            <w:vAlign w:val="center"/>
          </w:tcPr>
          <w:p w14:paraId="742F24AC">
            <w:pPr>
              <w:rPr>
                <w:rFonts w:hint="eastAsia" w:ascii="宋体" w:hAnsi="宋体" w:eastAsia="宋体" w:cs="宋体"/>
                <w:color w:val="auto"/>
                <w:sz w:val="21"/>
                <w:szCs w:val="21"/>
                <w:highlight w:val="none"/>
              </w:rPr>
            </w:pPr>
          </w:p>
        </w:tc>
        <w:tc>
          <w:tcPr>
            <w:tcW w:w="4421" w:type="dxa"/>
            <w:noWrap w:val="0"/>
            <w:vAlign w:val="center"/>
          </w:tcPr>
          <w:p w14:paraId="14F7BA70">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14:paraId="2272D859">
            <w:pPr>
              <w:snapToGrid w:val="0"/>
              <w:rPr>
                <w:rFonts w:hint="eastAsia" w:ascii="宋体" w:hAnsi="宋体" w:eastAsia="宋体" w:cs="宋体"/>
                <w:b/>
                <w:color w:val="auto"/>
                <w:sz w:val="21"/>
                <w:szCs w:val="21"/>
                <w:highlight w:val="none"/>
              </w:rPr>
            </w:pPr>
          </w:p>
        </w:tc>
      </w:tr>
      <w:tr w14:paraId="2604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31011AB7">
            <w:pPr>
              <w:rPr>
                <w:rFonts w:hint="eastAsia" w:ascii="宋体" w:hAnsi="宋体" w:eastAsia="宋体" w:cs="宋体"/>
                <w:color w:val="auto"/>
                <w:sz w:val="21"/>
                <w:szCs w:val="21"/>
                <w:highlight w:val="none"/>
              </w:rPr>
            </w:pPr>
          </w:p>
        </w:tc>
        <w:tc>
          <w:tcPr>
            <w:tcW w:w="851" w:type="dxa"/>
            <w:vMerge w:val="continue"/>
            <w:noWrap w:val="0"/>
            <w:vAlign w:val="center"/>
          </w:tcPr>
          <w:p w14:paraId="0A0F8A72">
            <w:pPr>
              <w:rPr>
                <w:rFonts w:hint="eastAsia" w:ascii="宋体" w:hAnsi="宋体" w:eastAsia="宋体" w:cs="宋体"/>
                <w:color w:val="auto"/>
                <w:sz w:val="21"/>
                <w:szCs w:val="21"/>
                <w:highlight w:val="none"/>
              </w:rPr>
            </w:pPr>
          </w:p>
        </w:tc>
        <w:tc>
          <w:tcPr>
            <w:tcW w:w="4421" w:type="dxa"/>
            <w:noWrap w:val="0"/>
            <w:vAlign w:val="center"/>
          </w:tcPr>
          <w:p w14:paraId="6F066D58">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14:paraId="524DE8B5">
            <w:pPr>
              <w:snapToGrid w:val="0"/>
              <w:rPr>
                <w:rFonts w:hint="eastAsia" w:ascii="宋体" w:hAnsi="宋体" w:eastAsia="宋体" w:cs="宋体"/>
                <w:color w:val="auto"/>
                <w:sz w:val="21"/>
                <w:szCs w:val="21"/>
                <w:highlight w:val="none"/>
              </w:rPr>
            </w:pPr>
          </w:p>
        </w:tc>
      </w:tr>
      <w:tr w14:paraId="7DA9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7F670CFB">
            <w:pPr>
              <w:rPr>
                <w:rFonts w:hint="eastAsia" w:ascii="宋体" w:hAnsi="宋体" w:eastAsia="宋体" w:cs="宋体"/>
                <w:color w:val="auto"/>
                <w:sz w:val="21"/>
                <w:szCs w:val="21"/>
                <w:highlight w:val="none"/>
              </w:rPr>
            </w:pPr>
          </w:p>
        </w:tc>
        <w:tc>
          <w:tcPr>
            <w:tcW w:w="851" w:type="dxa"/>
            <w:vMerge w:val="continue"/>
            <w:noWrap w:val="0"/>
            <w:vAlign w:val="center"/>
          </w:tcPr>
          <w:p w14:paraId="0CF43609">
            <w:pPr>
              <w:rPr>
                <w:rFonts w:hint="eastAsia" w:ascii="宋体" w:hAnsi="宋体" w:eastAsia="宋体" w:cs="宋体"/>
                <w:color w:val="auto"/>
                <w:sz w:val="21"/>
                <w:szCs w:val="21"/>
                <w:highlight w:val="none"/>
              </w:rPr>
            </w:pPr>
          </w:p>
        </w:tc>
        <w:tc>
          <w:tcPr>
            <w:tcW w:w="4421" w:type="dxa"/>
            <w:shd w:val="clear" w:color="auto" w:fill="auto"/>
            <w:noWrap w:val="0"/>
            <w:vAlign w:val="center"/>
          </w:tcPr>
          <w:p w14:paraId="19301A5E">
            <w:pPr>
              <w:pStyle w:val="57"/>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7.本项目的特定资格要求</w:t>
            </w:r>
          </w:p>
        </w:tc>
        <w:tc>
          <w:tcPr>
            <w:tcW w:w="3579" w:type="dxa"/>
            <w:shd w:val="clear" w:color="auto" w:fill="auto"/>
            <w:noWrap w:val="0"/>
            <w:vAlign w:val="center"/>
          </w:tcPr>
          <w:p w14:paraId="51A0FD81">
            <w:pPr>
              <w:pStyle w:val="57"/>
              <w:widowControl/>
              <w:spacing w:beforeAutospacing="0" w:afterAutospacing="0" w:line="400" w:lineRule="exact"/>
              <w:jc w:val="both"/>
              <w:rPr>
                <w:rFonts w:hint="eastAsia" w:ascii="宋体" w:hAnsi="宋体" w:eastAsia="宋体" w:cs="宋体"/>
                <w:color w:val="auto"/>
                <w:kern w:val="2"/>
                <w:sz w:val="21"/>
                <w:szCs w:val="21"/>
                <w:highlight w:val="none"/>
                <w:shd w:val="clear" w:color="auto" w:fill="auto"/>
                <w:lang w:val="zh-CN" w:eastAsia="zh-CN" w:bidi="ar-SA"/>
              </w:rPr>
            </w:pPr>
            <w:r>
              <w:rPr>
                <w:rFonts w:hint="eastAsia" w:ascii="宋体" w:hAnsi="宋体" w:eastAsia="宋体" w:cs="宋体"/>
                <w:color w:val="auto"/>
                <w:kern w:val="2"/>
                <w:sz w:val="21"/>
                <w:szCs w:val="21"/>
                <w:highlight w:val="none"/>
                <w:shd w:val="clear" w:color="auto" w:fill="auto"/>
                <w:lang w:val="zh-CN" w:bidi="ar-SA"/>
              </w:rPr>
              <w:t>按“第一篇三、</w:t>
            </w:r>
            <w:r>
              <w:rPr>
                <w:rFonts w:hint="eastAsia" w:ascii="宋体" w:hAnsi="宋体" w:eastAsia="宋体" w:cs="宋体"/>
                <w:color w:val="auto"/>
                <w:kern w:val="2"/>
                <w:sz w:val="21"/>
                <w:szCs w:val="21"/>
                <w:highlight w:val="none"/>
                <w:shd w:val="clear"/>
                <w:lang w:val="zh-CN" w:bidi="ar-SA"/>
              </w:rPr>
              <w:t>投标人</w:t>
            </w:r>
            <w:r>
              <w:rPr>
                <w:rFonts w:hint="eastAsia" w:ascii="宋体" w:hAnsi="宋体" w:eastAsia="宋体" w:cs="宋体"/>
                <w:color w:val="auto"/>
                <w:kern w:val="2"/>
                <w:sz w:val="21"/>
                <w:szCs w:val="21"/>
                <w:highlight w:val="none"/>
                <w:shd w:val="clear" w:color="auto" w:fill="auto"/>
                <w:lang w:val="zh-CN" w:bidi="ar-SA"/>
              </w:rPr>
              <w:t>资格要求（三）本项目的特定资格要求”的要求提交。</w:t>
            </w:r>
          </w:p>
        </w:tc>
      </w:tr>
      <w:tr w14:paraId="566A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349F31CD">
            <w:pPr>
              <w:ind w:firstLine="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w:t>
            </w:r>
          </w:p>
        </w:tc>
        <w:tc>
          <w:tcPr>
            <w:tcW w:w="851" w:type="dxa"/>
            <w:noWrap w:val="0"/>
            <w:vAlign w:val="center"/>
          </w:tcPr>
          <w:p w14:paraId="0AF72645">
            <w:pPr>
              <w:rPr>
                <w:rFonts w:hint="eastAsia" w:ascii="宋体" w:hAnsi="宋体" w:eastAsia="宋体" w:cs="宋体"/>
                <w:color w:val="auto"/>
                <w:sz w:val="21"/>
                <w:szCs w:val="21"/>
                <w:highlight w:val="none"/>
              </w:rPr>
            </w:pPr>
          </w:p>
        </w:tc>
        <w:tc>
          <w:tcPr>
            <w:tcW w:w="4421" w:type="dxa"/>
            <w:shd w:val="clear" w:color="auto" w:fill="auto"/>
            <w:noWrap w:val="0"/>
            <w:vAlign w:val="center"/>
          </w:tcPr>
          <w:p w14:paraId="312E1847">
            <w:pPr>
              <w:snapToGrid w:val="0"/>
              <w:spacing w:line="240" w:lineRule="auto"/>
              <w:jc w:val="left"/>
              <w:rPr>
                <w:rFonts w:hint="eastAsia" w:ascii="宋体" w:hAnsi="宋体" w:eastAsia="宋体" w:cs="宋体"/>
                <w:color w:val="auto"/>
                <w:kern w:val="2"/>
                <w:sz w:val="21"/>
                <w:szCs w:val="21"/>
                <w:highlight w:val="none"/>
                <w:shd w:val="clear" w:color="auto" w:fill="auto"/>
                <w:lang w:val="zh-CN" w:eastAsia="zh-CN" w:bidi="ar"/>
              </w:rPr>
            </w:pPr>
            <w:r>
              <w:rPr>
                <w:rFonts w:hint="eastAsia" w:ascii="宋体" w:hAnsi="宋体" w:eastAsia="宋体" w:cs="宋体"/>
                <w:color w:val="auto"/>
                <w:kern w:val="2"/>
                <w:sz w:val="21"/>
                <w:szCs w:val="21"/>
                <w:highlight w:val="none"/>
                <w:shd w:val="clear" w:color="auto" w:fill="auto"/>
                <w:lang w:val="zh-CN" w:bidi="ar"/>
              </w:rPr>
              <w:t>投标保证金</w:t>
            </w:r>
          </w:p>
        </w:tc>
        <w:tc>
          <w:tcPr>
            <w:tcW w:w="3579" w:type="dxa"/>
            <w:shd w:val="clear" w:color="auto" w:fill="auto"/>
            <w:noWrap w:val="0"/>
            <w:vAlign w:val="center"/>
          </w:tcPr>
          <w:p w14:paraId="31E6A08B">
            <w:pPr>
              <w:snapToGrid w:val="0"/>
              <w:spacing w:line="240" w:lineRule="auto"/>
              <w:rPr>
                <w:rFonts w:hint="eastAsia" w:ascii="宋体" w:hAnsi="宋体" w:eastAsia="宋体" w:cs="宋体"/>
                <w:color w:val="auto"/>
                <w:kern w:val="2"/>
                <w:sz w:val="21"/>
                <w:szCs w:val="21"/>
                <w:highlight w:val="none"/>
                <w:shd w:val="clear" w:color="auto" w:fill="auto"/>
                <w:lang w:val="zh-CN" w:eastAsia="zh-CN" w:bidi="ar"/>
              </w:rPr>
            </w:pPr>
            <w:r>
              <w:rPr>
                <w:rFonts w:hint="eastAsia" w:ascii="宋体" w:hAnsi="宋体" w:eastAsia="宋体" w:cs="宋体"/>
                <w:color w:val="auto"/>
                <w:kern w:val="2"/>
                <w:sz w:val="21"/>
                <w:szCs w:val="21"/>
                <w:highlight w:val="none"/>
                <w:shd w:val="clear" w:color="auto" w:fill="auto"/>
                <w:lang w:val="zh-CN" w:bidi="ar"/>
              </w:rPr>
              <w:t>按采购文件要求缴纳投标保证金</w:t>
            </w:r>
          </w:p>
        </w:tc>
      </w:tr>
    </w:tbl>
    <w:p w14:paraId="4900501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65F7B2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可于响应文件递交截止时间前通过 “信用中国”网站(www.creditchina.gov.cn)、"中国政府采购网"(www.ccgp.gov.cn)等渠道查询信用记录。</w:t>
      </w:r>
    </w:p>
    <w:p w14:paraId="7357359C">
      <w:pPr>
        <w:numPr>
          <w:ilvl w:val="0"/>
          <w:numId w:val="15"/>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应当对响应文件进行评审，并根据网上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规定的采购程序、评定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的响应文件按无效处理，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AF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FDEFEC8">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14:paraId="31CA051E">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14:paraId="7C7219C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14:paraId="6058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321DA0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14:paraId="6389846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6259" w:type="dxa"/>
            <w:noWrap w:val="0"/>
            <w:vAlign w:val="center"/>
          </w:tcPr>
          <w:p w14:paraId="054233A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按“第七篇响应文件格式要求”要求签署或盖章。</w:t>
            </w:r>
          </w:p>
        </w:tc>
      </w:tr>
      <w:tr w14:paraId="0A7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82AC0C4">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3114B6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14:paraId="4C6CE4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规定的格式，签署或盖章齐全。</w:t>
            </w:r>
          </w:p>
        </w:tc>
      </w:tr>
      <w:tr w14:paraId="5B73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BD2A457">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6BDF6DD6">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14:paraId="0006D6F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481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1D30E51">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56F2F784">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14:paraId="192FB00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5A4A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60AB0E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14:paraId="2E0C3B5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zh-CN"/>
              </w:rPr>
              <w:t>份数</w:t>
            </w:r>
          </w:p>
        </w:tc>
        <w:tc>
          <w:tcPr>
            <w:tcW w:w="6259" w:type="dxa"/>
            <w:noWrap w:val="0"/>
            <w:vAlign w:val="center"/>
          </w:tcPr>
          <w:p w14:paraId="2DFAE92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响应文件符合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tc>
      </w:tr>
      <w:tr w14:paraId="31BF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674C63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14:paraId="389E0D0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6259" w:type="dxa"/>
            <w:noWrap w:val="0"/>
            <w:vAlign w:val="center"/>
          </w:tcPr>
          <w:p w14:paraId="5C4596E0">
            <w:pPr>
              <w:pStyle w:val="35"/>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满足本网上</w:t>
            </w:r>
            <w:r>
              <w:rPr>
                <w:rFonts w:hint="eastAsia" w:ascii="宋体" w:hAnsi="宋体" w:cs="宋体"/>
                <w:color w:val="auto"/>
                <w:kern w:val="0"/>
                <w:sz w:val="24"/>
                <w:szCs w:val="24"/>
                <w:highlight w:val="none"/>
                <w:lang w:val="en-US" w:eastAsia="zh-CN"/>
              </w:rPr>
              <w:t>采购文件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14:paraId="795F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3DEE2CD6">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14:paraId="77735D66">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有效期</w:t>
            </w:r>
          </w:p>
        </w:tc>
        <w:tc>
          <w:tcPr>
            <w:tcW w:w="6259" w:type="dxa"/>
            <w:noWrap w:val="0"/>
            <w:vAlign w:val="center"/>
          </w:tcPr>
          <w:p w14:paraId="7E1A401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42B35EAF">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在对响应文件的有效性、完整性和响应程度进行审查时，可以要求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的澄清、说明或者更正不得超出响应文件的范围或者改变响应文件的实质性内容。</w:t>
      </w:r>
    </w:p>
    <w:p w14:paraId="29E6254C">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澄清、说明或者更正响应文件应当以书面形式作出。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为自然人的，应当由本人签署并附身份证明。</w:t>
      </w:r>
    </w:p>
    <w:p w14:paraId="66415F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和响应文件（含有效的补充文件）。</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判断响应文件对网上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的响应，仅基于响应文件本身而不靠外部证据。</w:t>
      </w:r>
    </w:p>
    <w:p w14:paraId="41146010">
      <w:pPr>
        <w:pStyle w:val="3"/>
        <w:adjustRightInd w:val="0"/>
        <w:snapToGrid w:val="0"/>
        <w:spacing w:before="0" w:after="0" w:line="360" w:lineRule="auto"/>
        <w:ind w:firstLine="480" w:firstLineChars="200"/>
        <w:rPr>
          <w:rFonts w:hint="eastAsia" w:ascii="宋体" w:hAnsi="宋体" w:eastAsia="宋体" w:cs="宋体"/>
          <w:color w:val="auto"/>
          <w:sz w:val="24"/>
          <w:szCs w:val="24"/>
          <w:highlight w:val="none"/>
        </w:rPr>
      </w:pPr>
      <w:bookmarkStart w:id="125" w:name="_Toc26139"/>
      <w:bookmarkStart w:id="126" w:name="_Toc22303"/>
      <w:bookmarkStart w:id="127" w:name="_Toc5149"/>
      <w:bookmarkStart w:id="128" w:name="_Toc27567"/>
      <w:bookmarkStart w:id="129" w:name="_Toc27998"/>
      <w:bookmarkStart w:id="130" w:name="_Toc106034791"/>
      <w:r>
        <w:rPr>
          <w:rFonts w:hint="eastAsia" w:ascii="宋体" w:hAnsi="宋体" w:eastAsia="宋体" w:cs="宋体"/>
          <w:color w:val="auto"/>
          <w:sz w:val="24"/>
          <w:szCs w:val="24"/>
          <w:highlight w:val="none"/>
        </w:rPr>
        <w:t>二、评定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w:t>
      </w:r>
      <w:bookmarkEnd w:id="125"/>
      <w:bookmarkEnd w:id="126"/>
      <w:bookmarkEnd w:id="127"/>
      <w:bookmarkEnd w:id="128"/>
      <w:bookmarkEnd w:id="129"/>
      <w:bookmarkEnd w:id="130"/>
    </w:p>
    <w:p w14:paraId="046C58AA">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（一）综合评分法。</w:t>
      </w:r>
    </w:p>
    <w:p w14:paraId="7E26B1E0">
      <w:pPr>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对已投标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的资格条件、响应文件的有效性、完整性和响应程度进行资格性和符合性审查，各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只有在完全符合要求的前提下，才能成为入围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对入围</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的报价和响应文件按照评审因素的量化指标评审得分最高的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候选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总得分为价格、</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等评定因素分别按照相应权重值计算分项得分后相加，满分为100分（详见评审标准）若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的评审得分相同的，按照投标报价由低到高的顺序排列推荐。评审得分且投标报价相同的，按照</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指标优劣顺序排列推荐。若所推荐的成交供应商的</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部分为0分，将失去成为成交候选</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w:t>
      </w:r>
    </w:p>
    <w:p w14:paraId="704382A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eastAsia="zh-CN"/>
        </w:rPr>
        <w:t>中标投标人</w:t>
      </w:r>
      <w:r>
        <w:rPr>
          <w:rFonts w:hint="eastAsia" w:ascii="宋体" w:hAnsi="宋体" w:eastAsia="宋体" w:cs="宋体"/>
          <w:color w:val="auto"/>
          <w:sz w:val="24"/>
          <w:szCs w:val="24"/>
          <w:highlight w:val="none"/>
        </w:rPr>
        <w:t>的报价。</w:t>
      </w:r>
    </w:p>
    <w:p w14:paraId="2E7183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highlight w:val="none"/>
        </w:rPr>
        <w:t>评审标准：</w:t>
      </w:r>
    </w:p>
    <w:tbl>
      <w:tblPr>
        <w:tblStyle w:val="64"/>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5"/>
        <w:gridCol w:w="1078"/>
        <w:gridCol w:w="1241"/>
        <w:gridCol w:w="4636"/>
        <w:gridCol w:w="1905"/>
      </w:tblGrid>
      <w:tr w14:paraId="40FD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69" w:type="dxa"/>
            <w:gridSpan w:val="2"/>
            <w:tcBorders>
              <w:top w:val="single" w:color="auto" w:sz="4" w:space="0"/>
              <w:left w:val="single" w:color="auto" w:sz="4" w:space="0"/>
              <w:bottom w:val="single" w:color="auto" w:sz="4" w:space="0"/>
              <w:right w:val="single" w:color="auto" w:sz="4" w:space="0"/>
            </w:tcBorders>
            <w:noWrap w:val="0"/>
            <w:vAlign w:val="center"/>
          </w:tcPr>
          <w:p w14:paraId="79717453">
            <w:pPr>
              <w:spacing w:line="240" w:lineRule="exact"/>
              <w:ind w:firstLine="28"/>
              <w:jc w:val="center"/>
              <w:rPr>
                <w:rFonts w:hint="eastAsia" w:ascii="宋体" w:hAnsi="宋体" w:eastAsia="宋体" w:cs="宋体"/>
                <w:color w:val="auto"/>
                <w:sz w:val="21"/>
                <w:szCs w:val="21"/>
                <w:highlight w:val="none"/>
              </w:rPr>
            </w:pPr>
            <w:bookmarkStart w:id="131" w:name="_Toc65660352"/>
            <w:bookmarkStart w:id="132" w:name="_Toc12644"/>
            <w:bookmarkStart w:id="133" w:name="_Toc29113"/>
            <w:bookmarkStart w:id="134" w:name="_Toc961"/>
            <w:bookmarkStart w:id="135" w:name="_Toc106034792"/>
            <w:bookmarkStart w:id="136" w:name="_Toc27957"/>
            <w:bookmarkStart w:id="137" w:name="_Toc27414"/>
            <w:bookmarkStart w:id="138" w:name="_Toc19473"/>
            <w:bookmarkStart w:id="139" w:name="_Toc13822"/>
            <w:r>
              <w:rPr>
                <w:rFonts w:hint="eastAsia" w:ascii="宋体" w:hAnsi="宋体" w:eastAsia="宋体" w:cs="宋体"/>
                <w:color w:val="auto"/>
                <w:sz w:val="21"/>
                <w:szCs w:val="21"/>
                <w:highlight w:val="none"/>
              </w:rPr>
              <w:t>序号</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7722BAB">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评分因素及权值</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FC5956A">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511B49EB">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D5AA4D0">
            <w:pPr>
              <w:pStyle w:val="235"/>
              <w:spacing w:line="24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说明</w:t>
            </w:r>
          </w:p>
        </w:tc>
      </w:tr>
      <w:tr w14:paraId="7BD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2C4B3258">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35" w:type="dxa"/>
            <w:tcBorders>
              <w:top w:val="single" w:color="auto" w:sz="4" w:space="0"/>
              <w:left w:val="single" w:color="auto" w:sz="4" w:space="0"/>
              <w:bottom w:val="single" w:color="auto" w:sz="4" w:space="0"/>
              <w:right w:val="single" w:color="auto" w:sz="4" w:space="0"/>
            </w:tcBorders>
            <w:noWrap w:val="0"/>
            <w:vAlign w:val="center"/>
          </w:tcPr>
          <w:p w14:paraId="4B4182F5">
            <w:pPr>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经济部分</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0B32A01">
            <w:pPr>
              <w:spacing w:line="240" w:lineRule="exact"/>
              <w:ind w:firstLine="28"/>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总报价（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5FD9389">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4490C493">
            <w:pPr>
              <w:spacing w:line="2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有效的</w:t>
            </w: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lang w:eastAsia="zh-CN"/>
              </w:rPr>
              <w:t>报价中的最低价为评标基准价，按照下列公式计算每个</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的投标价格得分。</w:t>
            </w:r>
          </w:p>
          <w:p w14:paraId="07A1C72A">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竞标报价得分＝（评标基准价/竞标报价）×价格权重×100。</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7F03AB3">
            <w:pPr>
              <w:spacing w:line="2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计算结果保留两位小数，第三位四舍五入。</w:t>
            </w:r>
          </w:p>
        </w:tc>
      </w:tr>
      <w:tr w14:paraId="7BE8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534" w:type="dxa"/>
            <w:vMerge w:val="restart"/>
            <w:tcBorders>
              <w:top w:val="single" w:color="auto" w:sz="4" w:space="0"/>
              <w:left w:val="single" w:color="auto" w:sz="4" w:space="0"/>
              <w:right w:val="single" w:color="auto" w:sz="4" w:space="0"/>
            </w:tcBorders>
            <w:noWrap w:val="0"/>
            <w:vAlign w:val="center"/>
          </w:tcPr>
          <w:p w14:paraId="2C650D8D">
            <w:pPr>
              <w:widowControl/>
              <w:spacing w:line="24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35" w:type="dxa"/>
            <w:vMerge w:val="restart"/>
            <w:tcBorders>
              <w:top w:val="single" w:color="auto" w:sz="4" w:space="0"/>
              <w:left w:val="single" w:color="auto" w:sz="4" w:space="0"/>
              <w:right w:val="single" w:color="auto" w:sz="4" w:space="0"/>
            </w:tcBorders>
            <w:noWrap w:val="0"/>
            <w:vAlign w:val="center"/>
          </w:tcPr>
          <w:p w14:paraId="6B473BB8">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p>
        </w:tc>
        <w:tc>
          <w:tcPr>
            <w:tcW w:w="1078" w:type="dxa"/>
            <w:vMerge w:val="restart"/>
            <w:tcBorders>
              <w:top w:val="single" w:color="auto" w:sz="4" w:space="0"/>
              <w:left w:val="single" w:color="auto" w:sz="4" w:space="0"/>
              <w:right w:val="single" w:color="auto" w:sz="4" w:space="0"/>
            </w:tcBorders>
            <w:noWrap w:val="0"/>
            <w:vAlign w:val="center"/>
          </w:tcPr>
          <w:p w14:paraId="421209A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技术方案（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241" w:type="dxa"/>
            <w:tcBorders>
              <w:top w:val="single" w:color="auto" w:sz="4" w:space="0"/>
              <w:left w:val="single" w:color="auto" w:sz="4" w:space="0"/>
              <w:right w:val="single" w:color="auto" w:sz="4" w:space="0"/>
            </w:tcBorders>
            <w:noWrap w:val="0"/>
            <w:vAlign w:val="center"/>
          </w:tcPr>
          <w:p w14:paraId="33D9B52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652F618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施工方案合理且完整，对工程认识深刻、表述全面准确，解决方案系统、安全、经济，可操作性强，保障措施有效，对施工关键技术、工艺把握准确，应用到位，阐释清晰，其主要工程不能出现遗漏，施工工艺符合设计及相关技术规范要求等。</w:t>
            </w:r>
          </w:p>
          <w:p w14:paraId="097FD72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A5E60E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49977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8CE76D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6A44126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restart"/>
            <w:tcBorders>
              <w:top w:val="single" w:color="auto" w:sz="4" w:space="0"/>
              <w:left w:val="single" w:color="auto" w:sz="4" w:space="0"/>
              <w:right w:val="single" w:color="auto" w:sz="4" w:space="0"/>
            </w:tcBorders>
            <w:noWrap w:val="0"/>
            <w:vAlign w:val="center"/>
          </w:tcPr>
          <w:p w14:paraId="73341DC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小组根据供应商提供的《技术方案》进行综合评分。提供技术方案，格式自拟，并加盖公章。</w:t>
            </w:r>
          </w:p>
          <w:p w14:paraId="30248DD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备注:技术方案原则上不超过 200 页，但不得将页数作为评审因素。</w:t>
            </w:r>
          </w:p>
          <w:p w14:paraId="5AC7A21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14:paraId="031CAE4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方案中出现不适用本项目特性或非专门针对本项目制定、方案中提出的措施举措不利于本项目目标的实现、现有技术条件下不可能的情形，得0分。</w:t>
            </w:r>
          </w:p>
          <w:p w14:paraId="7F8B25C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2.评审专家对每份技术方案独立打分。</w:t>
            </w:r>
          </w:p>
        </w:tc>
      </w:tr>
      <w:tr w14:paraId="0BFA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34" w:type="dxa"/>
            <w:vMerge w:val="continue"/>
            <w:tcBorders>
              <w:left w:val="single" w:color="auto" w:sz="4" w:space="0"/>
              <w:right w:val="single" w:color="auto" w:sz="4" w:space="0"/>
            </w:tcBorders>
            <w:noWrap w:val="0"/>
            <w:vAlign w:val="center"/>
          </w:tcPr>
          <w:p w14:paraId="69F8BC75">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00212AE2">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3728709C">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771F3B6D">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项目的理解与分析（</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7D13F100">
            <w:pPr>
              <w:widowControl/>
              <w:spacing w:before="20" w:after="20"/>
              <w:ind w:firstLine="420" w:firstLineChars="200"/>
              <w:jc w:val="left"/>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val="0"/>
                <w:color w:val="auto"/>
                <w:kern w:val="2"/>
                <w:sz w:val="21"/>
                <w:szCs w:val="21"/>
                <w:highlight w:val="none"/>
                <w:lang w:val="en-US" w:eastAsia="zh-CN"/>
              </w:rPr>
              <w:t>针对本项目背景阐述、现场情况概述、周围环境分析项目重点难点分析以及解决办法等方面打分。</w:t>
            </w:r>
          </w:p>
          <w:p w14:paraId="343C150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35B393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C29B09E">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7C1F76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53E59FA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418BF1A8">
            <w:pPr>
              <w:spacing w:line="400" w:lineRule="exact"/>
              <w:rPr>
                <w:rFonts w:hint="eastAsia" w:ascii="宋体" w:hAnsi="宋体" w:eastAsia="宋体" w:cs="宋体"/>
                <w:color w:val="auto"/>
                <w:sz w:val="21"/>
                <w:szCs w:val="21"/>
                <w:highlight w:val="none"/>
              </w:rPr>
            </w:pPr>
          </w:p>
        </w:tc>
      </w:tr>
      <w:tr w14:paraId="5D3F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34" w:type="dxa"/>
            <w:vMerge w:val="continue"/>
            <w:tcBorders>
              <w:left w:val="single" w:color="auto" w:sz="4" w:space="0"/>
              <w:right w:val="single" w:color="auto" w:sz="4" w:space="0"/>
            </w:tcBorders>
            <w:noWrap w:val="0"/>
            <w:vAlign w:val="center"/>
          </w:tcPr>
          <w:p w14:paraId="6714E28D">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57312EDF">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27BD1D21">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5D39D7B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质量管理体系与措施（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6FC58B2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针对本项目的质量管理体系与措施（包括但不限于：施工质量保证体系、质量检查监督机构、并有有效的控制措施和手段等内容）。</w:t>
            </w:r>
          </w:p>
          <w:p w14:paraId="1A44ADA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F5324D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DD54B3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9D61A1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209A3B6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5FA2832E">
            <w:pPr>
              <w:spacing w:line="400" w:lineRule="exact"/>
              <w:rPr>
                <w:rFonts w:hint="eastAsia" w:ascii="宋体" w:hAnsi="宋体" w:eastAsia="宋体" w:cs="宋体"/>
                <w:color w:val="auto"/>
                <w:sz w:val="21"/>
                <w:szCs w:val="21"/>
                <w:highlight w:val="none"/>
              </w:rPr>
            </w:pPr>
          </w:p>
        </w:tc>
      </w:tr>
      <w:tr w14:paraId="30FD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534" w:type="dxa"/>
            <w:vMerge w:val="continue"/>
            <w:tcBorders>
              <w:left w:val="single" w:color="auto" w:sz="4" w:space="0"/>
              <w:right w:val="single" w:color="auto" w:sz="4" w:space="0"/>
            </w:tcBorders>
            <w:noWrap w:val="0"/>
            <w:vAlign w:val="center"/>
          </w:tcPr>
          <w:p w14:paraId="1FC9B26C">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344B988E">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537CBAB8">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3F8C8EC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安全管理体系与措施（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68C599EE">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安全管理体系与措施（包括但不限于建立了施工安全保障体系、施工现场管理人员安全生产职责明确、施工安全保证目标明确、针对工程特点和周边环境，确定危险源并制定具体的防护措施等内容）。</w:t>
            </w:r>
          </w:p>
          <w:p w14:paraId="2EE7BD1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0B98F87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3595F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514166">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3FB71F03">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5A0DCCCE">
            <w:pPr>
              <w:spacing w:line="400" w:lineRule="exact"/>
              <w:rPr>
                <w:rFonts w:hint="eastAsia" w:ascii="宋体" w:hAnsi="宋体" w:eastAsia="宋体" w:cs="宋体"/>
                <w:color w:val="auto"/>
                <w:sz w:val="21"/>
                <w:szCs w:val="21"/>
                <w:highlight w:val="none"/>
              </w:rPr>
            </w:pPr>
          </w:p>
        </w:tc>
      </w:tr>
      <w:tr w14:paraId="28C0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534" w:type="dxa"/>
            <w:vMerge w:val="continue"/>
            <w:tcBorders>
              <w:left w:val="single" w:color="auto" w:sz="4" w:space="0"/>
              <w:right w:val="single" w:color="auto" w:sz="4" w:space="0"/>
            </w:tcBorders>
            <w:noWrap w:val="0"/>
            <w:vAlign w:val="center"/>
          </w:tcPr>
          <w:p w14:paraId="70739003">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00FA6AF3">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6E6997A3">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3A7CAE2E">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1A2B1A13">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针对本项目的环境保护管理体系措施（包括但不限于：对废弃物的管理和处理措施妥当、对施工车辆有效控制、周边环境和施工工艺等内容）。</w:t>
            </w:r>
          </w:p>
          <w:p w14:paraId="5AC93CB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599A9E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7F0CC4">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8E7C1D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7FF0EC7E">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vMerge w:val="continue"/>
            <w:tcBorders>
              <w:left w:val="single" w:color="auto" w:sz="4" w:space="0"/>
              <w:right w:val="single" w:color="auto" w:sz="4" w:space="0"/>
            </w:tcBorders>
            <w:noWrap w:val="0"/>
            <w:vAlign w:val="center"/>
          </w:tcPr>
          <w:p w14:paraId="7D975F84">
            <w:pPr>
              <w:spacing w:line="400" w:lineRule="exact"/>
              <w:rPr>
                <w:rFonts w:hint="eastAsia" w:ascii="宋体" w:hAnsi="宋体" w:eastAsia="宋体" w:cs="宋体"/>
                <w:color w:val="auto"/>
                <w:sz w:val="21"/>
                <w:szCs w:val="21"/>
                <w:highlight w:val="none"/>
              </w:rPr>
            </w:pPr>
          </w:p>
        </w:tc>
      </w:tr>
      <w:tr w14:paraId="215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34" w:type="dxa"/>
            <w:vMerge w:val="continue"/>
            <w:tcBorders>
              <w:left w:val="single" w:color="auto" w:sz="4" w:space="0"/>
              <w:right w:val="single" w:color="auto" w:sz="4" w:space="0"/>
            </w:tcBorders>
            <w:noWrap w:val="0"/>
            <w:vAlign w:val="center"/>
          </w:tcPr>
          <w:p w14:paraId="1FF00897">
            <w:pPr>
              <w:widowControl/>
              <w:spacing w:line="240" w:lineRule="exact"/>
              <w:ind w:firstLine="28"/>
              <w:jc w:val="center"/>
              <w:rPr>
                <w:rFonts w:hint="eastAsia" w:ascii="宋体" w:hAnsi="宋体" w:eastAsia="宋体" w:cs="宋体"/>
                <w:color w:val="auto"/>
                <w:kern w:val="0"/>
                <w:sz w:val="21"/>
                <w:szCs w:val="21"/>
                <w:highlight w:val="none"/>
              </w:rPr>
            </w:pPr>
          </w:p>
        </w:tc>
        <w:tc>
          <w:tcPr>
            <w:tcW w:w="635" w:type="dxa"/>
            <w:vMerge w:val="continue"/>
            <w:tcBorders>
              <w:left w:val="single" w:color="auto" w:sz="4" w:space="0"/>
              <w:right w:val="single" w:color="auto" w:sz="4" w:space="0"/>
            </w:tcBorders>
            <w:noWrap w:val="0"/>
            <w:vAlign w:val="center"/>
          </w:tcPr>
          <w:p w14:paraId="11439138">
            <w:pPr>
              <w:spacing w:line="360" w:lineRule="auto"/>
              <w:jc w:val="center"/>
              <w:rPr>
                <w:rFonts w:hint="eastAsia" w:ascii="宋体" w:hAnsi="宋体" w:eastAsia="宋体" w:cs="宋体"/>
                <w:color w:val="auto"/>
                <w:sz w:val="21"/>
                <w:szCs w:val="21"/>
                <w:highlight w:val="none"/>
              </w:rPr>
            </w:pPr>
          </w:p>
        </w:tc>
        <w:tc>
          <w:tcPr>
            <w:tcW w:w="1078" w:type="dxa"/>
            <w:vMerge w:val="continue"/>
            <w:tcBorders>
              <w:left w:val="single" w:color="auto" w:sz="4" w:space="0"/>
              <w:right w:val="single" w:color="auto" w:sz="4" w:space="0"/>
            </w:tcBorders>
            <w:noWrap w:val="0"/>
            <w:vAlign w:val="center"/>
          </w:tcPr>
          <w:p w14:paraId="053902D4">
            <w:pPr>
              <w:spacing w:line="360" w:lineRule="auto"/>
              <w:jc w:val="center"/>
              <w:rPr>
                <w:rFonts w:hint="eastAsia" w:ascii="宋体" w:hAnsi="宋体" w:eastAsia="宋体" w:cs="宋体"/>
                <w:color w:val="auto"/>
                <w:sz w:val="21"/>
                <w:szCs w:val="21"/>
                <w:highlight w:val="none"/>
              </w:rPr>
            </w:pPr>
          </w:p>
        </w:tc>
        <w:tc>
          <w:tcPr>
            <w:tcW w:w="1241" w:type="dxa"/>
            <w:tcBorders>
              <w:left w:val="single" w:color="auto" w:sz="4" w:space="0"/>
              <w:right w:val="single" w:color="auto" w:sz="4" w:space="0"/>
            </w:tcBorders>
            <w:noWrap w:val="0"/>
            <w:vAlign w:val="center"/>
          </w:tcPr>
          <w:p w14:paraId="3BC422C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工程进度计划与措施（</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16E29BB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针对本项目的工程进度计划与措施（包括但不限于：具备有效的进度控制计划、赶工方案，雨季专项施工方案等内容）。</w:t>
            </w:r>
          </w:p>
          <w:p w14:paraId="6E90F1CE">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方案内容不存在瑕疵得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E35367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3B8290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3A6D4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方案内容存在3处瑕疵及以上得1分。</w:t>
            </w:r>
          </w:p>
          <w:p w14:paraId="51934746">
            <w:pPr>
              <w:widowControl/>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不提供得0分。</w:t>
            </w:r>
          </w:p>
        </w:tc>
        <w:tc>
          <w:tcPr>
            <w:tcW w:w="1905" w:type="dxa"/>
            <w:tcBorders>
              <w:left w:val="single" w:color="auto" w:sz="4" w:space="0"/>
              <w:right w:val="single" w:color="auto" w:sz="4" w:space="0"/>
            </w:tcBorders>
            <w:noWrap w:val="0"/>
            <w:vAlign w:val="center"/>
          </w:tcPr>
          <w:p w14:paraId="45F365EC">
            <w:pPr>
              <w:spacing w:line="400" w:lineRule="exact"/>
              <w:rPr>
                <w:rFonts w:hint="eastAsia" w:ascii="宋体" w:hAnsi="宋体" w:eastAsia="宋体" w:cs="宋体"/>
                <w:color w:val="auto"/>
                <w:sz w:val="21"/>
                <w:szCs w:val="21"/>
                <w:highlight w:val="none"/>
              </w:rPr>
            </w:pPr>
          </w:p>
        </w:tc>
      </w:tr>
      <w:tr w14:paraId="71B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534" w:type="dxa"/>
            <w:tcBorders>
              <w:left w:val="single" w:color="auto" w:sz="4" w:space="0"/>
              <w:right w:val="single" w:color="auto" w:sz="4" w:space="0"/>
            </w:tcBorders>
            <w:noWrap w:val="0"/>
            <w:vAlign w:val="center"/>
          </w:tcPr>
          <w:p w14:paraId="0800012F">
            <w:pPr>
              <w:widowControl/>
              <w:spacing w:line="240" w:lineRule="exact"/>
              <w:ind w:firstLine="28"/>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35" w:type="dxa"/>
            <w:tcBorders>
              <w:left w:val="single" w:color="auto" w:sz="4" w:space="0"/>
              <w:right w:val="single" w:color="auto" w:sz="4" w:space="0"/>
            </w:tcBorders>
            <w:noWrap w:val="0"/>
            <w:vAlign w:val="center"/>
          </w:tcPr>
          <w:p w14:paraId="578A98D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p>
        </w:tc>
        <w:tc>
          <w:tcPr>
            <w:tcW w:w="1078" w:type="dxa"/>
            <w:tcBorders>
              <w:left w:val="single" w:color="auto" w:sz="4" w:space="0"/>
              <w:right w:val="single" w:color="auto" w:sz="4" w:space="0"/>
            </w:tcBorders>
            <w:noWrap w:val="0"/>
            <w:vAlign w:val="center"/>
          </w:tcPr>
          <w:p w14:paraId="54B5A92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p>
        </w:tc>
        <w:tc>
          <w:tcPr>
            <w:tcW w:w="1241" w:type="dxa"/>
            <w:tcBorders>
              <w:left w:val="single" w:color="auto" w:sz="4" w:space="0"/>
              <w:right w:val="single" w:color="auto" w:sz="4" w:space="0"/>
            </w:tcBorders>
            <w:noWrap w:val="0"/>
            <w:vAlign w:val="center"/>
          </w:tcPr>
          <w:p w14:paraId="65317364">
            <w:pPr>
              <w:widowControl/>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p>
        </w:tc>
        <w:tc>
          <w:tcPr>
            <w:tcW w:w="4636" w:type="dxa"/>
            <w:tcBorders>
              <w:top w:val="single" w:color="auto" w:sz="4" w:space="0"/>
              <w:left w:val="single" w:color="auto" w:sz="4" w:space="0"/>
              <w:bottom w:val="single" w:color="auto" w:sz="4" w:space="0"/>
              <w:right w:val="single" w:color="auto" w:sz="4" w:space="0"/>
            </w:tcBorders>
            <w:noWrap w:val="0"/>
            <w:vAlign w:val="center"/>
          </w:tcPr>
          <w:p w14:paraId="02507BCA">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供应商提供2022年1月1日至今完成过类似项目业绩，提供1项服务业绩一个得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分，本项最多</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p>
        </w:tc>
        <w:tc>
          <w:tcPr>
            <w:tcW w:w="1905" w:type="dxa"/>
            <w:tcBorders>
              <w:left w:val="single" w:color="auto" w:sz="4" w:space="0"/>
              <w:right w:val="single" w:color="auto" w:sz="4" w:space="0"/>
            </w:tcBorders>
            <w:noWrap w:val="0"/>
            <w:vAlign w:val="center"/>
          </w:tcPr>
          <w:p w14:paraId="0D2C491E">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提供合同复印件（以合同签订时间为准）并加盖供应商公章，转包分包合同无效。</w:t>
            </w:r>
          </w:p>
        </w:tc>
      </w:tr>
    </w:tbl>
    <w:p w14:paraId="1FFCC83F">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三、无效</w:t>
      </w:r>
      <w:bookmarkEnd w:id="131"/>
      <w:bookmarkEnd w:id="132"/>
      <w:bookmarkEnd w:id="133"/>
      <w:r>
        <w:rPr>
          <w:rFonts w:hint="eastAsia" w:ascii="宋体" w:hAnsi="宋体" w:eastAsia="宋体" w:cs="宋体"/>
          <w:color w:val="auto"/>
          <w:sz w:val="24"/>
          <w:highlight w:val="none"/>
        </w:rPr>
        <w:t>报价</w:t>
      </w:r>
      <w:bookmarkEnd w:id="134"/>
      <w:bookmarkEnd w:id="135"/>
      <w:bookmarkEnd w:id="136"/>
      <w:bookmarkEnd w:id="137"/>
      <w:bookmarkEnd w:id="138"/>
      <w:bookmarkEnd w:id="139"/>
    </w:p>
    <w:p w14:paraId="5F9D6D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14:paraId="144E0E57">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14:paraId="1E2DE4BE">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14:paraId="002509DD">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14:paraId="74848606">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所提交的响应文件未按“第七篇响应文件格式要求”要求签署或盖章的；</w:t>
      </w:r>
    </w:p>
    <w:p w14:paraId="747343BB">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14:paraId="3045F168">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14:paraId="662E1CF2">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（七）单位负责人为同一人或者存在直接控股、管理关系的不同供应商，参加同一合同项（包）报价的；</w:t>
      </w:r>
    </w:p>
    <w:p w14:paraId="3A7C73B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再参加该采购项目的其他采购活动的；</w:t>
      </w:r>
    </w:p>
    <w:p w14:paraId="5332B824">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22CBDDFE">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14:paraId="6C03C4DA">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p w14:paraId="7C32DFBB">
      <w:pPr>
        <w:pStyle w:val="3"/>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40" w:name="_Toc28422"/>
      <w:bookmarkStart w:id="141" w:name="_Toc22457"/>
      <w:bookmarkStart w:id="142" w:name="_Toc9262"/>
      <w:bookmarkStart w:id="143" w:name="_Toc19421"/>
      <w:bookmarkStart w:id="144" w:name="_Toc29298"/>
      <w:bookmarkStart w:id="145" w:name="_Toc13488"/>
      <w:bookmarkStart w:id="146" w:name="_Toc65660353"/>
      <w:bookmarkStart w:id="147" w:name="_Toc22716"/>
      <w:bookmarkStart w:id="148" w:name="_Toc106034793"/>
      <w:r>
        <w:rPr>
          <w:rFonts w:hint="eastAsia" w:ascii="宋体" w:hAnsi="宋体" w:eastAsia="宋体" w:cs="宋体"/>
          <w:color w:val="auto"/>
          <w:sz w:val="24"/>
          <w:highlight w:val="none"/>
        </w:rPr>
        <w:t>四、采购终止</w:t>
      </w:r>
      <w:bookmarkEnd w:id="140"/>
      <w:bookmarkEnd w:id="141"/>
      <w:bookmarkEnd w:id="142"/>
      <w:bookmarkEnd w:id="143"/>
      <w:bookmarkEnd w:id="144"/>
      <w:bookmarkEnd w:id="145"/>
      <w:bookmarkEnd w:id="146"/>
      <w:bookmarkEnd w:id="147"/>
      <w:bookmarkEnd w:id="148"/>
    </w:p>
    <w:p w14:paraId="3397809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或者采购代理机构应当终止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活动，发布项目终止公告并说明原因，重新开展采购活动：</w:t>
      </w:r>
    </w:p>
    <w:p w14:paraId="34D1C7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方式适用情形的；</w:t>
      </w:r>
    </w:p>
    <w:p w14:paraId="36F023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9D0E6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5"/>
    <w:bookmarkEnd w:id="66"/>
    <w:bookmarkEnd w:id="67"/>
    <w:bookmarkEnd w:id="68"/>
    <w:bookmarkEnd w:id="69"/>
    <w:bookmarkEnd w:id="70"/>
    <w:bookmarkEnd w:id="81"/>
    <w:bookmarkEnd w:id="82"/>
    <w:bookmarkEnd w:id="83"/>
    <w:p w14:paraId="41E4E324">
      <w:pPr>
        <w:pStyle w:val="33"/>
        <w:pageBreakBefore w:val="0"/>
        <w:wordWrap/>
        <w:topLinePunct w:val="0"/>
        <w:bidi w:val="0"/>
        <w:adjustRightInd w:val="0"/>
        <w:snapToGrid w:val="0"/>
        <w:spacing w:line="360" w:lineRule="auto"/>
        <w:ind w:firstLine="480" w:firstLineChars="200"/>
        <w:jc w:val="center"/>
        <w:textAlignment w:val="auto"/>
        <w:outlineLvl w:val="0"/>
        <w:rPr>
          <w:rFonts w:hint="eastAsia" w:ascii="宋体" w:hAnsi="宋体" w:eastAsia="宋体" w:cs="宋体"/>
          <w:color w:val="auto"/>
          <w:highlight w:val="none"/>
        </w:rPr>
      </w:pPr>
      <w:bookmarkStart w:id="149" w:name="_Toc342913389"/>
      <w:r>
        <w:rPr>
          <w:rFonts w:hint="eastAsia" w:ascii="宋体" w:hAnsi="宋体" w:eastAsia="宋体" w:cs="宋体"/>
          <w:color w:val="auto"/>
          <w:sz w:val="24"/>
          <w:szCs w:val="24"/>
          <w:highlight w:val="none"/>
        </w:rPr>
        <w:br w:type="page"/>
      </w:r>
      <w:bookmarkStart w:id="150" w:name="_Toc10956"/>
      <w:bookmarkStart w:id="151" w:name="_Toc32330"/>
      <w:bookmarkStart w:id="152" w:name="_Toc2089"/>
      <w:bookmarkStart w:id="153" w:name="_Toc20491"/>
      <w:r>
        <w:rPr>
          <w:rFonts w:hint="eastAsia" w:ascii="宋体" w:hAnsi="宋体" w:eastAsia="宋体" w:cs="宋体"/>
          <w:b/>
          <w:color w:val="auto"/>
          <w:sz w:val="32"/>
          <w:szCs w:val="32"/>
          <w:highlight w:val="none"/>
        </w:rPr>
        <w:t xml:space="preserve">第五篇  </w:t>
      </w:r>
      <w:r>
        <w:rPr>
          <w:rFonts w:hint="eastAsia" w:hAnsi="宋体" w:cs="宋体"/>
          <w:b/>
          <w:color w:val="auto"/>
          <w:sz w:val="32"/>
          <w:szCs w:val="32"/>
          <w:highlight w:val="none"/>
          <w:lang w:eastAsia="zh-CN"/>
        </w:rPr>
        <w:t>投标人</w:t>
      </w:r>
      <w:r>
        <w:rPr>
          <w:rFonts w:hint="eastAsia" w:ascii="宋体" w:hAnsi="宋体" w:eastAsia="宋体" w:cs="宋体"/>
          <w:b/>
          <w:color w:val="auto"/>
          <w:sz w:val="32"/>
          <w:szCs w:val="32"/>
          <w:highlight w:val="none"/>
        </w:rPr>
        <w:t>须知</w:t>
      </w:r>
      <w:bookmarkEnd w:id="150"/>
      <w:bookmarkEnd w:id="151"/>
      <w:bookmarkEnd w:id="152"/>
      <w:bookmarkEnd w:id="153"/>
    </w:p>
    <w:p w14:paraId="58996B32">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54" w:name="_Toc29821"/>
      <w:bookmarkStart w:id="155" w:name="_Toc106034650"/>
      <w:bookmarkStart w:id="156" w:name="_Toc65660359"/>
      <w:bookmarkStart w:id="157" w:name="_Toc1092"/>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14:paraId="4801502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14:paraId="3316F45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文件、参加公开竞争的法人、其他组织或者自然人。</w:t>
      </w:r>
    </w:p>
    <w:p w14:paraId="16C66F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14:paraId="54E78B2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文件作出实质性响应。</w:t>
      </w:r>
    </w:p>
    <w:p w14:paraId="6C0623F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14:paraId="3C2CFB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3B48BF5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77D7305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14:paraId="3AD3E2AD">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p>
    <w:p w14:paraId="5272B07E">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14:paraId="480AD922">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文件由</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邀请书、</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14:paraId="18DB1B61">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文件所作的一切有效的书面通知、修改及补充，都是</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文件不可分割的部分。</w:t>
      </w:r>
    </w:p>
    <w:p w14:paraId="41C44204">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文件、澄清文件的内容。。</w:t>
      </w:r>
    </w:p>
    <w:p w14:paraId="7BB2E966">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代理机构对已发出的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文件需要进行澄清或修改的，应以书面形式或公告形式通知所有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文件收受人。该澄清或者修改的内容为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文件的组成部分。</w:t>
      </w:r>
    </w:p>
    <w:p w14:paraId="098FB77F">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14:paraId="5F5B116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14:paraId="46CA33F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14:paraId="6F5265B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14:paraId="6ADEB9C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14:paraId="0384180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14:paraId="11F2B69B">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14:paraId="47F6A3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14:paraId="6B92F6E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14:paraId="0C00287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文件一式</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份，电子文档一份(电子文档内容应与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文件正本一致，推荐采用光盘或U盘为文件载体)。每套纸质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文件须在封面清楚地标明“正本”、“副本”或“电子文档”，副本应为正本的完整复印件，副本与正本不一致时以正本为准。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文件电子文档与纸质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文件正本不一致时，以纸质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文件正本为准；</w:t>
      </w:r>
    </w:p>
    <w:p w14:paraId="52AF40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文件正本中，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文件格式中规定签字、盖章的地方必须按规定签字盖章；</w:t>
      </w:r>
    </w:p>
    <w:p w14:paraId="576BF54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文件的错处作必要修改，则应在修改处加盖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公章或由法定代其规定签字、盖章；</w:t>
      </w:r>
    </w:p>
    <w:p w14:paraId="3470A70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文件概不接受。</w:t>
      </w:r>
    </w:p>
    <w:p w14:paraId="2ADA161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14:paraId="19DCA97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14:paraId="2F2EDC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14:paraId="62F47CC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14:paraId="0D47CDE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14:paraId="158E860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14:paraId="26D58F2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14:paraId="7874ED2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35F6D55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14:paraId="265672D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0C63D6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14:paraId="5B80358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文件的递交</w:t>
      </w:r>
    </w:p>
    <w:p w14:paraId="37261A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文件的正本、副本以及电子文档均应密封送达</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地点，应在封套上注明项目名称、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名称。若正本、副本以及电子文档分别进行密封的，还应在封套上注明“正本”“副本”、“电子文档”字样。</w:t>
      </w:r>
    </w:p>
    <w:p w14:paraId="58386EC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14:paraId="324B9D6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公告”确定的时间和地点公开进行。</w:t>
      </w:r>
    </w:p>
    <w:p w14:paraId="0C48EE3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代理机构可视采购具体情况，延长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文件收受人。</w:t>
      </w:r>
    </w:p>
    <w:p w14:paraId="01D969C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14:paraId="5B2942D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14:paraId="553841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14:paraId="09AE328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代理机构指定专人负责记录，并存档备查。</w:t>
      </w:r>
    </w:p>
    <w:p w14:paraId="0B5882C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14:paraId="0D1394FC">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14:paraId="31F1B7E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14:paraId="179113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14:paraId="7688089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14:paraId="7FBE1460">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3710888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14:paraId="1C2DFEB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14:paraId="6465D38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代理机构应当在评标结束后2个工作日内将评标报告送</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60C5285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14:paraId="5B5E2E9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代理机构应当自中标人确定之日起2个工作日内，在行采家（https://www.gec123.com）网上发布。中标公告期限为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个日</w:t>
      </w:r>
      <w:r>
        <w:rPr>
          <w:rFonts w:hint="eastAsia" w:ascii="宋体" w:hAnsi="宋体" w:cs="宋体"/>
          <w:color w:val="auto"/>
          <w:sz w:val="24"/>
          <w:szCs w:val="24"/>
          <w:highlight w:val="none"/>
          <w:lang w:val="en-US" w:eastAsia="zh-CN"/>
        </w:rPr>
        <w:t>历天</w:t>
      </w:r>
      <w:r>
        <w:rPr>
          <w:rFonts w:hint="eastAsia" w:ascii="宋体" w:hAnsi="宋体" w:eastAsia="宋体" w:cs="宋体"/>
          <w:color w:val="auto"/>
          <w:sz w:val="24"/>
          <w:szCs w:val="24"/>
          <w:highlight w:val="none"/>
        </w:rPr>
        <w:t>；</w:t>
      </w:r>
    </w:p>
    <w:p w14:paraId="4F54D8C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14:paraId="443DE0C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可以按照评标报告推荐的中标候选人顺序确定排名下一位的候选人为中标人，也可以重新开展采购</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活动。</w:t>
      </w:r>
    </w:p>
    <w:p w14:paraId="47EC12A5">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14:paraId="1C50E4D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代理机构以书面形式发出中选通知书。</w:t>
      </w:r>
    </w:p>
    <w:p w14:paraId="71450D1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14:paraId="1E08B23F">
      <w:pPr>
        <w:pStyle w:val="3"/>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14:paraId="4C64EFBF">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3A20FDE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14:paraId="3BBCAF9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7FB42F8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文件、采购过程和中标结果使自己的权益受到伤害的，可向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代理机构以书面形式提出质疑。</w:t>
      </w:r>
    </w:p>
    <w:p w14:paraId="38D508D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1073DD5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4747F2F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文件提出质疑的，应在依法获取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文件之日或者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文件公告期限届满之日起七个工作日内提出；</w:t>
      </w:r>
    </w:p>
    <w:p w14:paraId="20372C1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对采购过程提出质疑的，应在各采购程序环节结束之日起七个工作日内提出；</w:t>
      </w:r>
    </w:p>
    <w:p w14:paraId="37B64359">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14:paraId="16F1B5F6">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0376E3E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1.4.2质疑项目的名称、项目编号以及采购执行编号；</w:t>
      </w:r>
    </w:p>
    <w:p w14:paraId="27E2A7A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14:paraId="1B984A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11A94AD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6FB4B39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6F587DB5">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14:paraId="2FDA72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10D93CD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00839A4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11FA71D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F77EE8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63DA8116">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94号及相关法律法规要求，在法定质疑期内一次性提出针对同一采购程序环节的质疑；</w:t>
      </w:r>
    </w:p>
    <w:p w14:paraId="0996E10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105B2E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14:paraId="2C85F1A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14:paraId="0A73308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代理机构未在规定时间内作出答复的，可以在答复期满后15个工作日内按照相关法律法规向相关部门提起</w:t>
      </w:r>
    </w:p>
    <w:p w14:paraId="6F83E023">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14:paraId="50D60F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14:paraId="23DDA55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14:paraId="38208F9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14:paraId="4F026E9C">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九、采购代理服务费</w:t>
      </w:r>
    </w:p>
    <w:p w14:paraId="008A5F81">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投标人中标</w:t>
      </w:r>
      <w:r>
        <w:rPr>
          <w:rFonts w:hint="eastAsia" w:ascii="宋体" w:hAnsi="宋体" w:eastAsia="宋体" w:cs="宋体"/>
          <w:color w:val="auto"/>
          <w:sz w:val="24"/>
          <w:szCs w:val="24"/>
          <w:highlight w:val="none"/>
        </w:rPr>
        <w:t>后向采购代理机构缴纳采购代理服务费，采购代理服务费收取标准按照</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收费标准的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0%计取，</w:t>
      </w:r>
      <w:r>
        <w:rPr>
          <w:rFonts w:hint="eastAsia" w:ascii="宋体" w:hAnsi="宋体" w:eastAsia="宋体" w:cs="宋体"/>
          <w:color w:val="auto"/>
          <w:sz w:val="24"/>
          <w:szCs w:val="24"/>
          <w:highlight w:val="none"/>
          <w:lang w:val="en-US" w:eastAsia="zh-CN"/>
        </w:rPr>
        <w:t>代理费不足3000元的按3000元计取，</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2176"/>
        <w:gridCol w:w="2176"/>
        <w:gridCol w:w="2176"/>
      </w:tblGrid>
      <w:tr w14:paraId="2D38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2690" w:type="dxa"/>
            <w:noWrap w:val="0"/>
            <w:vAlign w:val="top"/>
          </w:tcPr>
          <w:p w14:paraId="30AFF1FF">
            <w:pPr>
              <w:ind w:firstLine="12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-6350</wp:posOffset>
                      </wp:positionV>
                      <wp:extent cx="1291590" cy="1209675"/>
                      <wp:effectExtent l="3175" t="3175" r="19685" b="6350"/>
                      <wp:wrapNone/>
                      <wp:docPr id="5" name="直接连接符 5"/>
                      <wp:cNvGraphicFramePr/>
                      <a:graphic xmlns:a="http://schemas.openxmlformats.org/drawingml/2006/main">
                        <a:graphicData uri="http://schemas.microsoft.com/office/word/2010/wordprocessingShape">
                          <wps:wsp>
                            <wps:cNvCnPr/>
                            <wps:spPr>
                              <a:xfrm flipH="1" flipV="1">
                                <a:off x="0" y="0"/>
                                <a:ext cx="1291590" cy="12096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7pt;margin-top:-0.5pt;height:95.25pt;width:101.7pt;z-index:251661312;mso-width-relative:page;mso-height-relative:page;" filled="f" stroked="t" coordsize="21600,21600" o:gfxdata="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gmVNUAAAAJAQAADwAAAAAAAAABACAAAAAiAAAAZHJz&#10;L2Rvd25yZXYueG1sUEsBAhQAFAAAAAgAh07iQLuZjpgHAgAA/g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WESB5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服</w:t>
            </w:r>
          </w:p>
          <w:p w14:paraId="626D03BA">
            <w:pPr>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　　　　　务</w:t>
            </w:r>
          </w:p>
          <w:p w14:paraId="6C6156DB">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90805</wp:posOffset>
                      </wp:positionV>
                      <wp:extent cx="1710055" cy="710565"/>
                      <wp:effectExtent l="1905" t="4445" r="2540" b="8890"/>
                      <wp:wrapNone/>
                      <wp:docPr id="7" name="直接连接符 7"/>
                      <wp:cNvGraphicFramePr/>
                      <a:graphic xmlns:a="http://schemas.openxmlformats.org/drawingml/2006/main">
                        <a:graphicData uri="http://schemas.microsoft.com/office/word/2010/wordprocessingShape">
                          <wps:wsp>
                            <wps:cNvCnPr/>
                            <wps:spPr>
                              <a:xfrm flipH="1" flipV="1">
                                <a:off x="0" y="0"/>
                                <a:ext cx="1710055" cy="7105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7.15pt;height:55.95pt;width:134.65pt;z-index:251660288;mso-width-relative:page;mso-height-relative:page;" filled="f" stroked="t" coordsize="21600,21600" o:gfxdata="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d+o+9QAAAAKAQAADwAAAAAAAAABACAAAAAiAAAAZHJzL2Rvd25y&#10;ZXYueG1sUEsBAhQAFAAAAAgAh07iQN2sF5YCAgAA/QMAAA4AAAAAAAAAAQAgAAAAIwEAAGRycy9l&#10;Mm9Eb2MueG1sUEsFBgAAAAAGAAYAWQEAAJcFA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　　　类</w:t>
            </w:r>
          </w:p>
          <w:p w14:paraId="29A33217">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率　　　型</w:t>
            </w:r>
          </w:p>
          <w:p w14:paraId="19905DCC">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p w14:paraId="56A6B9A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中标金额（万元）</w:t>
            </w:r>
          </w:p>
        </w:tc>
        <w:tc>
          <w:tcPr>
            <w:tcW w:w="2176" w:type="dxa"/>
            <w:noWrap w:val="0"/>
            <w:vAlign w:val="center"/>
          </w:tcPr>
          <w:p w14:paraId="3C1E76F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货物招标</w:t>
            </w:r>
          </w:p>
        </w:tc>
        <w:tc>
          <w:tcPr>
            <w:tcW w:w="2176" w:type="dxa"/>
            <w:noWrap w:val="0"/>
            <w:vAlign w:val="center"/>
          </w:tcPr>
          <w:p w14:paraId="6C5588C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服务招标</w:t>
            </w:r>
          </w:p>
        </w:tc>
        <w:tc>
          <w:tcPr>
            <w:tcW w:w="2176" w:type="dxa"/>
            <w:noWrap w:val="0"/>
            <w:vAlign w:val="center"/>
          </w:tcPr>
          <w:p w14:paraId="7202D88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工程招标</w:t>
            </w:r>
          </w:p>
        </w:tc>
      </w:tr>
      <w:tr w14:paraId="6F03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690" w:type="dxa"/>
            <w:noWrap w:val="0"/>
            <w:vAlign w:val="top"/>
          </w:tcPr>
          <w:p w14:paraId="3E2BC4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176" w:type="dxa"/>
            <w:noWrap w:val="0"/>
            <w:vAlign w:val="top"/>
          </w:tcPr>
          <w:p w14:paraId="298E29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76" w:type="dxa"/>
            <w:noWrap w:val="0"/>
            <w:vAlign w:val="top"/>
          </w:tcPr>
          <w:p w14:paraId="2D9BDB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76" w:type="dxa"/>
            <w:noWrap w:val="0"/>
            <w:vAlign w:val="top"/>
          </w:tcPr>
          <w:p w14:paraId="581F28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7B26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37150B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176" w:type="dxa"/>
            <w:noWrap w:val="0"/>
            <w:vAlign w:val="top"/>
          </w:tcPr>
          <w:p w14:paraId="5981FE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176" w:type="dxa"/>
            <w:noWrap w:val="0"/>
            <w:vAlign w:val="top"/>
          </w:tcPr>
          <w:p w14:paraId="47318E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176" w:type="dxa"/>
            <w:noWrap w:val="0"/>
            <w:vAlign w:val="top"/>
          </w:tcPr>
          <w:p w14:paraId="6A487C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562A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3F3427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176" w:type="dxa"/>
            <w:noWrap w:val="0"/>
            <w:vAlign w:val="top"/>
          </w:tcPr>
          <w:p w14:paraId="6A62BA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176" w:type="dxa"/>
            <w:noWrap w:val="0"/>
            <w:vAlign w:val="top"/>
          </w:tcPr>
          <w:p w14:paraId="2797E5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2176" w:type="dxa"/>
            <w:noWrap w:val="0"/>
            <w:vAlign w:val="top"/>
          </w:tcPr>
          <w:p w14:paraId="50E07D7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048B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5FE93E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176" w:type="dxa"/>
            <w:noWrap w:val="0"/>
            <w:vAlign w:val="top"/>
          </w:tcPr>
          <w:p w14:paraId="075C73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176" w:type="dxa"/>
            <w:noWrap w:val="0"/>
            <w:vAlign w:val="top"/>
          </w:tcPr>
          <w:p w14:paraId="39DEEC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176" w:type="dxa"/>
            <w:noWrap w:val="0"/>
            <w:vAlign w:val="top"/>
          </w:tcPr>
          <w:p w14:paraId="7DD7B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6B0E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32C296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176" w:type="dxa"/>
            <w:noWrap w:val="0"/>
            <w:vAlign w:val="top"/>
          </w:tcPr>
          <w:p w14:paraId="221B34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176" w:type="dxa"/>
            <w:noWrap w:val="0"/>
            <w:vAlign w:val="top"/>
          </w:tcPr>
          <w:p w14:paraId="6A3EE6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2176" w:type="dxa"/>
            <w:noWrap w:val="0"/>
            <w:vAlign w:val="top"/>
          </w:tcPr>
          <w:p w14:paraId="093A48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3C4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14:paraId="449D01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10000-100000</w:t>
            </w:r>
          </w:p>
        </w:tc>
        <w:tc>
          <w:tcPr>
            <w:tcW w:w="2176" w:type="dxa"/>
            <w:noWrap w:val="0"/>
            <w:vAlign w:val="top"/>
          </w:tcPr>
          <w:p w14:paraId="75F86C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176" w:type="dxa"/>
            <w:noWrap w:val="0"/>
            <w:vAlign w:val="top"/>
          </w:tcPr>
          <w:p w14:paraId="62E402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176" w:type="dxa"/>
            <w:noWrap w:val="0"/>
            <w:vAlign w:val="top"/>
          </w:tcPr>
          <w:p w14:paraId="65304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14:paraId="5E6F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90" w:type="dxa"/>
            <w:noWrap w:val="0"/>
            <w:vAlign w:val="top"/>
          </w:tcPr>
          <w:p w14:paraId="31323E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1000000以上</w:t>
            </w:r>
          </w:p>
        </w:tc>
        <w:tc>
          <w:tcPr>
            <w:tcW w:w="2176" w:type="dxa"/>
            <w:noWrap w:val="0"/>
            <w:vAlign w:val="top"/>
          </w:tcPr>
          <w:p w14:paraId="584B9C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176" w:type="dxa"/>
            <w:noWrap w:val="0"/>
            <w:vAlign w:val="top"/>
          </w:tcPr>
          <w:p w14:paraId="2AE84A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176" w:type="dxa"/>
            <w:noWrap w:val="0"/>
            <w:vAlign w:val="top"/>
          </w:tcPr>
          <w:p w14:paraId="6A7C55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r>
    </w:tbl>
    <w:p w14:paraId="3C3D4D84">
      <w:pPr>
        <w:rPr>
          <w:rFonts w:hint="eastAsia" w:ascii="宋体" w:hAnsi="宋体" w:eastAsia="宋体" w:cs="宋体"/>
          <w:color w:val="auto"/>
          <w:sz w:val="24"/>
          <w:szCs w:val="24"/>
        </w:rPr>
      </w:pPr>
    </w:p>
    <w:p w14:paraId="1A4B03A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注：代理服务收费按差额定率累进法计算。</w:t>
      </w:r>
    </w:p>
    <w:p w14:paraId="770B565E">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（二）采购代理服务费缴纳账号：</w:t>
      </w:r>
    </w:p>
    <w:p w14:paraId="0D19DA58">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单位名称：重庆瑞盛工程咨询有限公司</w:t>
      </w:r>
    </w:p>
    <w:p w14:paraId="40C1A1F1">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账    号：15678261020076</w:t>
      </w:r>
    </w:p>
    <w:p w14:paraId="178B8FDD">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开 户 行：平安银行重庆沙坪坝支行</w:t>
      </w:r>
    </w:p>
    <w:p w14:paraId="0D78F164">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54"/>
      <w:bookmarkEnd w:id="155"/>
      <w:bookmarkEnd w:id="156"/>
      <w:bookmarkEnd w:id="157"/>
    </w:p>
    <w:p w14:paraId="6A9E55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14:paraId="25EDC3F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代理机构将以书面形式发出《中选通知书》，《中选通知书》一经发出即发生法律效力。</w:t>
      </w:r>
    </w:p>
    <w:p w14:paraId="67B292A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14:paraId="180FF1D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14:paraId="78A8E9DB">
      <w:pPr>
        <w:pStyle w:val="3"/>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14:paraId="48D91F70">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14:paraId="202067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14:paraId="09E86D1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bookmarkEnd w:id="149"/>
    <w:p w14:paraId="783E6E5F">
      <w:pPr>
        <w:pageBreakBefore w:val="0"/>
        <w:wordWrap/>
        <w:topLinePunct w:val="0"/>
        <w:bidi w:val="0"/>
        <w:spacing w:line="360" w:lineRule="auto"/>
        <w:textAlignment w:val="auto"/>
        <w:rPr>
          <w:rFonts w:hint="eastAsia" w:ascii="宋体" w:hAnsi="宋体" w:eastAsia="宋体" w:cs="宋体"/>
          <w:color w:val="auto"/>
          <w:highlight w:val="none"/>
        </w:rPr>
      </w:pPr>
      <w:bookmarkStart w:id="158" w:name="_Toc8232"/>
      <w:bookmarkStart w:id="159" w:name="_Toc14861"/>
      <w:bookmarkStart w:id="160" w:name="_Toc65660365"/>
      <w:bookmarkStart w:id="161" w:name="_Toc12789059"/>
      <w:bookmarkStart w:id="162" w:name="_Toc11641055"/>
      <w:bookmarkStart w:id="163" w:name="_Toc28162"/>
      <w:bookmarkStart w:id="164" w:name="_Toc106034657"/>
      <w:r>
        <w:rPr>
          <w:rFonts w:hint="eastAsia" w:ascii="宋体" w:hAnsi="宋体" w:eastAsia="宋体" w:cs="宋体"/>
          <w:color w:val="auto"/>
          <w:highlight w:val="none"/>
        </w:rPr>
        <w:br w:type="page"/>
      </w:r>
    </w:p>
    <w:bookmarkEnd w:id="158"/>
    <w:bookmarkEnd w:id="159"/>
    <w:bookmarkEnd w:id="160"/>
    <w:bookmarkEnd w:id="161"/>
    <w:bookmarkEnd w:id="162"/>
    <w:bookmarkEnd w:id="163"/>
    <w:bookmarkEnd w:id="164"/>
    <w:p w14:paraId="441DFA93">
      <w:pPr>
        <w:pStyle w:val="3"/>
        <w:keepNext w:val="0"/>
        <w:keepLines w:val="0"/>
        <w:widowControl/>
        <w:spacing w:line="500" w:lineRule="exact"/>
        <w:ind w:left="4800" w:hanging="4800" w:hangingChars="1200"/>
        <w:jc w:val="center"/>
        <w:rPr>
          <w:rFonts w:hint="eastAsia" w:ascii="宋体" w:hAnsi="宋体" w:eastAsia="宋体" w:cs="宋体"/>
          <w:color w:val="auto"/>
          <w:sz w:val="24"/>
          <w:szCs w:val="24"/>
          <w:highlight w:val="none"/>
          <w:shd w:val="clear" w:color="auto" w:fill="FFFFFF"/>
          <w:lang w:bidi="ar"/>
        </w:rPr>
      </w:pPr>
      <w:bookmarkStart w:id="165" w:name="_Toc18215"/>
      <w:bookmarkStart w:id="166" w:name="_Toc32031"/>
      <w:bookmarkStart w:id="167" w:name="_Toc76462348"/>
      <w:bookmarkStart w:id="168" w:name="_Toc13468"/>
      <w:bookmarkStart w:id="169" w:name="_Toc303945820"/>
      <w:bookmarkStart w:id="170" w:name="_Toc102227321"/>
      <w:bookmarkStart w:id="171" w:name="_Toc148265480"/>
      <w:bookmarkStart w:id="172" w:name="_Toc106030897"/>
      <w:bookmarkStart w:id="173" w:name="_Toc342913395"/>
      <w:bookmarkStart w:id="174" w:name="_Toc29416"/>
      <w:bookmarkStart w:id="175" w:name="_Toc76462342"/>
      <w:bookmarkStart w:id="176" w:name="_Toc76462343"/>
      <w:bookmarkStart w:id="177" w:name="_Toc106030898"/>
      <w:r>
        <w:rPr>
          <w:rFonts w:hint="eastAsia" w:ascii="宋体" w:hAnsi="宋体" w:eastAsia="宋体" w:cs="宋体"/>
          <w:b w:val="0"/>
          <w:color w:val="auto"/>
          <w:sz w:val="40"/>
          <w:szCs w:val="40"/>
          <w:highlight w:val="none"/>
          <w:shd w:val="clear" w:color="auto" w:fill="FFFFFF"/>
          <w:lang w:bidi="ar"/>
        </w:rPr>
        <w:t>第六篇  合同条款及格式</w:t>
      </w:r>
    </w:p>
    <w:p w14:paraId="3D522EF0">
      <w:pPr>
        <w:pStyle w:val="57"/>
        <w:widowControl/>
        <w:spacing w:beforeAutospacing="0" w:afterAutospacing="0" w:line="500" w:lineRule="exact"/>
        <w:rPr>
          <w:rFonts w:hint="eastAsia" w:ascii="宋体" w:hAnsi="宋体" w:eastAsia="宋体" w:cs="宋体"/>
          <w:b/>
          <w:bCs/>
          <w:color w:val="auto"/>
          <w:szCs w:val="24"/>
          <w:highlight w:val="none"/>
          <w:shd w:val="clear" w:color="auto" w:fill="FFFFFF"/>
        </w:rPr>
      </w:pPr>
      <w:r>
        <w:rPr>
          <w:rFonts w:hint="eastAsia" w:ascii="宋体" w:hAnsi="宋体" w:eastAsia="宋体" w:cs="宋体"/>
          <w:b/>
          <w:bCs/>
          <w:color w:val="auto"/>
          <w:szCs w:val="24"/>
          <w:highlight w:val="none"/>
          <w:shd w:val="clear" w:color="auto" w:fill="FFFFFF"/>
        </w:rPr>
        <w:t> </w:t>
      </w:r>
    </w:p>
    <w:p w14:paraId="35F83F47">
      <w:pPr>
        <w:spacing w:before="215" w:line="219" w:lineRule="auto"/>
        <w:ind w:left="6465"/>
        <w:jc w:val="left"/>
        <w:rPr>
          <w:rFonts w:ascii="宋体" w:hAnsi="宋体" w:eastAsia="宋体" w:cs="宋体"/>
          <w:color w:val="auto"/>
          <w:sz w:val="24"/>
          <w:szCs w:val="24"/>
        </w:rPr>
      </w:pPr>
      <w:r>
        <w:rPr>
          <w:rFonts w:ascii="宋体" w:hAnsi="宋体" w:eastAsia="宋体" w:cs="宋体"/>
          <w:b/>
          <w:bCs/>
          <w:color w:val="auto"/>
          <w:spacing w:val="18"/>
          <w:sz w:val="24"/>
          <w:szCs w:val="24"/>
        </w:rPr>
        <w:t>合同编号：</w:t>
      </w:r>
    </w:p>
    <w:p w14:paraId="77C0DDBD">
      <w:pPr>
        <w:pStyle w:val="22"/>
        <w:spacing w:line="257" w:lineRule="auto"/>
        <w:jc w:val="left"/>
        <w:rPr>
          <w:color w:val="auto"/>
        </w:rPr>
      </w:pPr>
    </w:p>
    <w:p w14:paraId="4FB15084">
      <w:pPr>
        <w:pStyle w:val="22"/>
        <w:spacing w:line="257" w:lineRule="auto"/>
        <w:jc w:val="left"/>
        <w:rPr>
          <w:color w:val="auto"/>
        </w:rPr>
      </w:pPr>
    </w:p>
    <w:p w14:paraId="6E6C7955">
      <w:pPr>
        <w:pStyle w:val="22"/>
        <w:spacing w:line="258" w:lineRule="auto"/>
        <w:jc w:val="left"/>
        <w:rPr>
          <w:color w:val="auto"/>
        </w:rPr>
      </w:pPr>
    </w:p>
    <w:p w14:paraId="241E897B">
      <w:pPr>
        <w:spacing w:line="1353" w:lineRule="exact"/>
        <w:jc w:val="left"/>
        <w:rPr>
          <w:color w:val="auto"/>
        </w:rPr>
      </w:pPr>
    </w:p>
    <w:p w14:paraId="187440A8">
      <w:pPr>
        <w:spacing w:before="340" w:line="220" w:lineRule="auto"/>
        <w:ind w:left="1672"/>
        <w:jc w:val="left"/>
        <w:outlineLvl w:val="0"/>
        <w:rPr>
          <w:rFonts w:ascii="宋体" w:hAnsi="宋体" w:eastAsia="宋体" w:cs="宋体"/>
          <w:color w:val="auto"/>
          <w:sz w:val="70"/>
          <w:szCs w:val="70"/>
        </w:rPr>
      </w:pPr>
      <w:r>
        <w:rPr>
          <w:rFonts w:ascii="宋体" w:hAnsi="宋体" w:eastAsia="宋体" w:cs="宋体"/>
          <w:b/>
          <w:bCs/>
          <w:color w:val="auto"/>
          <w:spacing w:val="-33"/>
          <w:sz w:val="70"/>
          <w:szCs w:val="70"/>
        </w:rPr>
        <w:t>工</w:t>
      </w:r>
      <w:r>
        <w:rPr>
          <w:rFonts w:ascii="宋体" w:hAnsi="宋体" w:eastAsia="宋体" w:cs="宋体"/>
          <w:color w:val="auto"/>
          <w:spacing w:val="54"/>
          <w:sz w:val="70"/>
          <w:szCs w:val="70"/>
        </w:rPr>
        <w:t xml:space="preserve"> </w:t>
      </w:r>
      <w:r>
        <w:rPr>
          <w:rFonts w:ascii="宋体" w:hAnsi="宋体" w:eastAsia="宋体" w:cs="宋体"/>
          <w:b/>
          <w:bCs/>
          <w:color w:val="auto"/>
          <w:spacing w:val="-33"/>
          <w:sz w:val="70"/>
          <w:szCs w:val="70"/>
        </w:rPr>
        <w:t>程</w:t>
      </w:r>
      <w:r>
        <w:rPr>
          <w:rFonts w:ascii="宋体" w:hAnsi="宋体" w:eastAsia="宋体" w:cs="宋体"/>
          <w:color w:val="auto"/>
          <w:spacing w:val="52"/>
          <w:sz w:val="70"/>
          <w:szCs w:val="70"/>
        </w:rPr>
        <w:t xml:space="preserve"> </w:t>
      </w:r>
      <w:r>
        <w:rPr>
          <w:rFonts w:ascii="宋体" w:hAnsi="宋体" w:eastAsia="宋体" w:cs="宋体"/>
          <w:b/>
          <w:bCs/>
          <w:color w:val="auto"/>
          <w:spacing w:val="-33"/>
          <w:sz w:val="70"/>
          <w:szCs w:val="70"/>
        </w:rPr>
        <w:t>施</w:t>
      </w:r>
      <w:r>
        <w:rPr>
          <w:rFonts w:ascii="宋体" w:hAnsi="宋体" w:eastAsia="宋体" w:cs="宋体"/>
          <w:color w:val="auto"/>
          <w:spacing w:val="64"/>
          <w:sz w:val="70"/>
          <w:szCs w:val="70"/>
        </w:rPr>
        <w:t xml:space="preserve"> </w:t>
      </w:r>
      <w:r>
        <w:rPr>
          <w:rFonts w:ascii="宋体" w:hAnsi="宋体" w:eastAsia="宋体" w:cs="宋体"/>
          <w:b/>
          <w:bCs/>
          <w:color w:val="auto"/>
          <w:spacing w:val="-33"/>
          <w:sz w:val="70"/>
          <w:szCs w:val="70"/>
        </w:rPr>
        <w:t>工</w:t>
      </w:r>
      <w:r>
        <w:rPr>
          <w:rFonts w:ascii="宋体" w:hAnsi="宋体" w:eastAsia="宋体" w:cs="宋体"/>
          <w:color w:val="auto"/>
          <w:spacing w:val="58"/>
          <w:sz w:val="70"/>
          <w:szCs w:val="70"/>
        </w:rPr>
        <w:t xml:space="preserve"> </w:t>
      </w:r>
      <w:r>
        <w:rPr>
          <w:rFonts w:ascii="宋体" w:hAnsi="宋体" w:eastAsia="宋体" w:cs="宋体"/>
          <w:b/>
          <w:bCs/>
          <w:color w:val="auto"/>
          <w:spacing w:val="-33"/>
          <w:sz w:val="70"/>
          <w:szCs w:val="70"/>
        </w:rPr>
        <w:t>合</w:t>
      </w:r>
      <w:r>
        <w:rPr>
          <w:rFonts w:ascii="宋体" w:hAnsi="宋体" w:eastAsia="宋体" w:cs="宋体"/>
          <w:color w:val="auto"/>
          <w:spacing w:val="123"/>
          <w:sz w:val="70"/>
          <w:szCs w:val="70"/>
        </w:rPr>
        <w:t xml:space="preserve"> </w:t>
      </w:r>
      <w:r>
        <w:rPr>
          <w:rFonts w:ascii="宋体" w:hAnsi="宋体" w:eastAsia="宋体" w:cs="宋体"/>
          <w:b/>
          <w:bCs/>
          <w:color w:val="auto"/>
          <w:spacing w:val="-33"/>
          <w:sz w:val="70"/>
          <w:szCs w:val="70"/>
        </w:rPr>
        <w:t>同</w:t>
      </w:r>
    </w:p>
    <w:p w14:paraId="34067040">
      <w:pPr>
        <w:pStyle w:val="22"/>
        <w:spacing w:line="243" w:lineRule="auto"/>
        <w:jc w:val="left"/>
        <w:rPr>
          <w:color w:val="auto"/>
        </w:rPr>
      </w:pPr>
    </w:p>
    <w:p w14:paraId="56835BDF">
      <w:pPr>
        <w:pStyle w:val="22"/>
        <w:spacing w:line="243" w:lineRule="auto"/>
        <w:jc w:val="left"/>
        <w:rPr>
          <w:color w:val="auto"/>
        </w:rPr>
      </w:pPr>
    </w:p>
    <w:p w14:paraId="74BE1520">
      <w:pPr>
        <w:pStyle w:val="22"/>
        <w:spacing w:line="243" w:lineRule="auto"/>
        <w:jc w:val="left"/>
        <w:rPr>
          <w:color w:val="auto"/>
        </w:rPr>
      </w:pPr>
    </w:p>
    <w:p w14:paraId="53FC73CE">
      <w:pPr>
        <w:pStyle w:val="22"/>
        <w:spacing w:line="243" w:lineRule="auto"/>
        <w:jc w:val="left"/>
        <w:rPr>
          <w:color w:val="auto"/>
        </w:rPr>
      </w:pPr>
    </w:p>
    <w:p w14:paraId="09911BCB">
      <w:pPr>
        <w:pStyle w:val="22"/>
        <w:spacing w:line="243" w:lineRule="auto"/>
        <w:jc w:val="left"/>
        <w:rPr>
          <w:color w:val="auto"/>
        </w:rPr>
      </w:pPr>
    </w:p>
    <w:p w14:paraId="0614B9BD">
      <w:pPr>
        <w:pStyle w:val="22"/>
        <w:spacing w:line="243" w:lineRule="auto"/>
        <w:jc w:val="left"/>
        <w:rPr>
          <w:color w:val="auto"/>
        </w:rPr>
      </w:pPr>
    </w:p>
    <w:p w14:paraId="43FE82A8">
      <w:pPr>
        <w:pStyle w:val="22"/>
        <w:spacing w:line="243" w:lineRule="auto"/>
        <w:jc w:val="left"/>
        <w:rPr>
          <w:color w:val="auto"/>
        </w:rPr>
      </w:pPr>
    </w:p>
    <w:p w14:paraId="39391594">
      <w:pPr>
        <w:pStyle w:val="22"/>
        <w:spacing w:line="244" w:lineRule="auto"/>
        <w:jc w:val="left"/>
        <w:rPr>
          <w:color w:val="auto"/>
        </w:rPr>
      </w:pPr>
    </w:p>
    <w:p w14:paraId="0361FA83">
      <w:pPr>
        <w:pStyle w:val="22"/>
        <w:spacing w:line="244" w:lineRule="auto"/>
        <w:jc w:val="left"/>
        <w:rPr>
          <w:color w:val="auto"/>
        </w:rPr>
      </w:pPr>
    </w:p>
    <w:p w14:paraId="027F66B4">
      <w:pPr>
        <w:pStyle w:val="22"/>
        <w:spacing w:line="244" w:lineRule="auto"/>
        <w:jc w:val="left"/>
        <w:rPr>
          <w:color w:val="auto"/>
        </w:rPr>
      </w:pPr>
    </w:p>
    <w:p w14:paraId="6705F142">
      <w:pPr>
        <w:spacing w:before="94"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4"/>
          <w:sz w:val="29"/>
          <w:szCs w:val="29"/>
          <w:u w:val="none" w:color="auto"/>
        </w:rPr>
        <w:t>工程名称：</w:t>
      </w:r>
    </w:p>
    <w:p w14:paraId="1E47D46E">
      <w:pPr>
        <w:spacing w:before="246" w:line="219" w:lineRule="auto"/>
        <w:ind w:left="1302"/>
        <w:jc w:val="left"/>
        <w:rPr>
          <w:rFonts w:ascii="宋体" w:hAnsi="宋体" w:eastAsia="宋体" w:cs="宋体"/>
          <w:color w:val="auto"/>
          <w:sz w:val="29"/>
          <w:szCs w:val="29"/>
        </w:rPr>
      </w:pPr>
      <w:r>
        <w:rPr>
          <w:rFonts w:ascii="宋体" w:hAnsi="宋体" w:eastAsia="宋体" w:cs="宋体"/>
          <w:color w:val="auto"/>
          <w:spacing w:val="46"/>
          <w:sz w:val="29"/>
          <w:szCs w:val="29"/>
          <w:u w:val="none" w:color="auto"/>
        </w:rPr>
        <w:t>工程地点：</w:t>
      </w:r>
    </w:p>
    <w:p w14:paraId="59390024">
      <w:pPr>
        <w:spacing w:before="265" w:line="219" w:lineRule="auto"/>
        <w:ind w:left="1302"/>
        <w:jc w:val="left"/>
        <w:rPr>
          <w:rFonts w:ascii="宋体" w:hAnsi="宋体" w:eastAsia="宋体" w:cs="宋体"/>
          <w:color w:val="auto"/>
          <w:sz w:val="29"/>
          <w:szCs w:val="29"/>
        </w:rPr>
      </w:pPr>
      <w:r>
        <w:rPr>
          <w:rFonts w:ascii="宋体" w:hAnsi="宋体" w:eastAsia="宋体" w:cs="宋体"/>
          <w:color w:val="auto"/>
          <w:spacing w:val="39"/>
          <w:sz w:val="29"/>
          <w:szCs w:val="29"/>
          <w:u w:val="none" w:color="auto"/>
        </w:rPr>
        <w:t>发包人(全称):</w:t>
      </w:r>
    </w:p>
    <w:p w14:paraId="2085513F">
      <w:pPr>
        <w:spacing w:before="266" w:line="219" w:lineRule="auto"/>
        <w:ind w:left="1302"/>
        <w:jc w:val="left"/>
        <w:rPr>
          <w:rFonts w:hint="default" w:ascii="宋体" w:hAnsi="宋体" w:eastAsia="宋体" w:cs="宋体"/>
          <w:color w:val="auto"/>
          <w:sz w:val="29"/>
          <w:szCs w:val="29"/>
          <w:lang w:val="en-US" w:eastAsia="zh-CN"/>
        </w:rPr>
      </w:pPr>
      <w:r>
        <w:rPr>
          <w:rFonts w:ascii="宋体" w:hAnsi="宋体" w:eastAsia="宋体" w:cs="宋体"/>
          <w:color w:val="auto"/>
          <w:spacing w:val="12"/>
          <w:sz w:val="29"/>
          <w:szCs w:val="29"/>
          <w:u w:val="none" w:color="auto"/>
        </w:rPr>
        <w:t>承包人(全称):</w:t>
      </w:r>
    </w:p>
    <w:p w14:paraId="745C9A13">
      <w:pPr>
        <w:spacing w:line="219" w:lineRule="auto"/>
        <w:jc w:val="left"/>
        <w:rPr>
          <w:rFonts w:ascii="宋体" w:hAnsi="宋体" w:eastAsia="宋体" w:cs="宋体"/>
          <w:color w:val="auto"/>
          <w:sz w:val="29"/>
          <w:szCs w:val="29"/>
        </w:rPr>
        <w:sectPr>
          <w:pgSz w:w="11920" w:h="16840"/>
          <w:pgMar w:top="1431" w:right="1417" w:bottom="1417" w:left="1417" w:header="0" w:footer="0" w:gutter="0"/>
          <w:cols w:space="720" w:num="1"/>
        </w:sectPr>
      </w:pPr>
    </w:p>
    <w:p w14:paraId="11B33A7D">
      <w:pPr>
        <w:spacing w:before="146" w:line="219" w:lineRule="auto"/>
        <w:ind w:left="2815"/>
        <w:jc w:val="left"/>
        <w:rPr>
          <w:rFonts w:ascii="宋体" w:hAnsi="宋体" w:eastAsia="宋体" w:cs="宋体"/>
          <w:color w:val="auto"/>
          <w:sz w:val="29"/>
          <w:szCs w:val="29"/>
        </w:rPr>
      </w:pPr>
      <w:r>
        <w:rPr>
          <w:rFonts w:ascii="宋体" w:hAnsi="宋体" w:eastAsia="宋体" w:cs="宋体"/>
          <w:b/>
          <w:bCs/>
          <w:color w:val="auto"/>
          <w:sz w:val="29"/>
          <w:szCs w:val="29"/>
        </w:rPr>
        <w:t>第一部分合同协议书</w:t>
      </w:r>
    </w:p>
    <w:p w14:paraId="1EA7E827">
      <w:pPr>
        <w:pStyle w:val="22"/>
        <w:spacing w:line="293" w:lineRule="auto"/>
        <w:jc w:val="left"/>
        <w:rPr>
          <w:color w:val="auto"/>
        </w:rPr>
      </w:pPr>
    </w:p>
    <w:p w14:paraId="3F540E1E">
      <w:pPr>
        <w:pStyle w:val="22"/>
        <w:spacing w:line="294" w:lineRule="auto"/>
        <w:jc w:val="left"/>
        <w:rPr>
          <w:color w:val="auto"/>
        </w:rPr>
      </w:pPr>
    </w:p>
    <w:p w14:paraId="497FDFCA">
      <w:pPr>
        <w:spacing w:before="75" w:line="235" w:lineRule="auto"/>
        <w:ind w:left="1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发包人(全称):</w:t>
      </w:r>
    </w:p>
    <w:p w14:paraId="26FAA2D2">
      <w:pPr>
        <w:spacing w:before="157" w:line="227" w:lineRule="auto"/>
        <w:ind w:left="14"/>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6409690</wp:posOffset>
                </wp:positionH>
                <wp:positionV relativeFrom="paragraph">
                  <wp:posOffset>219710</wp:posOffset>
                </wp:positionV>
                <wp:extent cx="134620" cy="996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 cy="99695"/>
                        </a:xfrm>
                        <a:prstGeom prst="rect">
                          <a:avLst/>
                        </a:prstGeom>
                        <a:noFill/>
                        <a:ln>
                          <a:noFill/>
                        </a:ln>
                      </wps:spPr>
                      <wps:txbx>
                        <w:txbxContent>
                          <w:p w14:paraId="59114F76"/>
                        </w:txbxContent>
                      </wps:txbx>
                      <wps:bodyPr lIns="0" tIns="0" rIns="0" bIns="0" upright="1"/>
                    </wps:wsp>
                  </a:graphicData>
                </a:graphic>
              </wp:anchor>
            </w:drawing>
          </mc:Choice>
          <mc:Fallback>
            <w:pict>
              <v:shape id="_x0000_s1026" o:spid="_x0000_s1026" o:spt="202" type="#_x0000_t202" style="position:absolute;left:0pt;margin-left:504.7pt;margin-top:17.3pt;height:7.85pt;width:10.6pt;z-index:251662336;mso-width-relative:page;mso-height-relative:page;" filled="f" stroked="f" coordsize="21600,21600" o:gfxdata="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u+vLZAAAACwEAAA8AAAAAAAAAAQAgAAAAIgAAAGRycy9kb3ducmV2LnhtbFBLAQIU&#10;ABQAAAAIAIdO4kBBk3yZuQEAAHADAAAOAAAAAAAAAAEAIAAAACgBAABkcnMvZTJvRG9jLnhtbFBL&#10;BQYAAAAABgAGAFkBAABTBQAAAAA=&#10;">
                <v:fill on="f" focussize="0,0"/>
                <v:stroke on="f"/>
                <v:imagedata o:title=""/>
                <o:lock v:ext="edit" aspectratio="f"/>
                <v:textbox inset="0mm,0mm,0mm,0mm">
                  <w:txbxContent>
                    <w:p w14:paraId="59114F76"/>
                  </w:txbxContent>
                </v:textbox>
              </v:shape>
            </w:pict>
          </mc:Fallback>
        </mc:AlternateContent>
      </w:r>
      <w:r>
        <w:rPr>
          <w:rFonts w:hint="eastAsia" w:asciiTheme="minorEastAsia" w:hAnsiTheme="minorEastAsia" w:eastAsiaTheme="minorEastAsia" w:cstheme="minorEastAsia"/>
          <w:b/>
          <w:bCs/>
          <w:color w:val="auto"/>
          <w:spacing w:val="11"/>
          <w:sz w:val="24"/>
          <w:szCs w:val="24"/>
        </w:rPr>
        <w:t>承包人(全称):</w:t>
      </w:r>
    </w:p>
    <w:p w14:paraId="69A0DA10">
      <w:pPr>
        <w:spacing w:before="204" w:line="368" w:lineRule="auto"/>
        <w:ind w:left="319" w:leftChars="114" w:right="1346" w:firstLine="305" w:firstLineChars="1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发包人为建设</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4"/>
          <w:sz w:val="24"/>
          <w:szCs w:val="24"/>
        </w:rPr>
        <w:t>(以下简称“本工程”),</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z w:val="24"/>
          <w:szCs w:val="24"/>
        </w:rPr>
        <w:t>已</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月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z w:val="24"/>
          <w:szCs w:val="24"/>
        </w:rPr>
        <w:t>日进行了公开</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，承包人以</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lang w:val="en-US" w:eastAsia="zh-CN"/>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rPr>
        <w:t>元(大写</w:t>
      </w:r>
      <w:r>
        <w:rPr>
          <w:rFonts w:hint="eastAsia" w:asciiTheme="minorEastAsia" w:hAnsiTheme="minorEastAsia" w:eastAsiaTheme="minorEastAsia" w:cstheme="minorEastAsia"/>
          <w:color w:val="auto"/>
          <w:spacing w:val="8"/>
          <w:sz w:val="24"/>
          <w:szCs w:val="24"/>
          <w:u w:val="single"/>
        </w:rPr>
        <w:t xml:space="preserve">： </w:t>
      </w:r>
      <w:r>
        <w:rPr>
          <w:rFonts w:hint="eastAsia" w:asciiTheme="minorEastAsia" w:hAnsiTheme="minorEastAsia" w:eastAsiaTheme="minorEastAsia" w:cstheme="minorEastAsia"/>
          <w:color w:val="auto"/>
          <w:spacing w:val="8"/>
          <w:sz w:val="24"/>
          <w:szCs w:val="24"/>
          <w:u w:val="single"/>
          <w:lang w:val="en-US" w:eastAsia="zh-CN"/>
        </w:rPr>
        <w:t xml:space="preserve">          </w:t>
      </w:r>
      <w:r>
        <w:rPr>
          <w:rFonts w:hint="eastAsia" w:asciiTheme="minorEastAsia" w:hAnsiTheme="minorEastAsia" w:eastAsiaTheme="minorEastAsia" w:cstheme="minorEastAsia"/>
          <w:color w:val="auto"/>
          <w:spacing w:val="8"/>
          <w:sz w:val="24"/>
          <w:szCs w:val="24"/>
        </w:rPr>
        <w:t>)价格成为该项目的成交人。根</w:t>
      </w:r>
      <w:r>
        <w:rPr>
          <w:rFonts w:hint="eastAsia" w:asciiTheme="minorEastAsia" w:hAnsiTheme="minorEastAsia" w:eastAsiaTheme="minorEastAsia" w:cstheme="minorEastAsia"/>
          <w:color w:val="auto"/>
          <w:spacing w:val="7"/>
          <w:sz w:val="24"/>
          <w:szCs w:val="24"/>
        </w:rPr>
        <w:t>据《中华人民共和国民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法典》、《中华人民共和国建筑法》及有关法律规定，遵循平等、自愿、公平和诚实信</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7"/>
          <w:sz w:val="24"/>
          <w:szCs w:val="24"/>
        </w:rPr>
        <w:t>用的原则，协商一致，共同达成如下协议：</w:t>
      </w:r>
    </w:p>
    <w:p w14:paraId="518EE3F4">
      <w:pPr>
        <w:spacing w:line="219"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一</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10"/>
          <w:sz w:val="24"/>
          <w:szCs w:val="24"/>
        </w:rPr>
        <w:t>、工程概况</w:t>
      </w:r>
    </w:p>
    <w:p w14:paraId="79E82ABD">
      <w:pPr>
        <w:spacing w:before="210"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1.工程名称：</w:t>
      </w:r>
    </w:p>
    <w:p w14:paraId="6D16EE39">
      <w:pPr>
        <w:spacing w:before="157"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2.工程地点：</w:t>
      </w:r>
    </w:p>
    <w:p w14:paraId="7DA91E90">
      <w:pPr>
        <w:spacing w:before="171" w:line="220"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3.工程立项批准文号:</w:t>
      </w:r>
    </w:p>
    <w:p w14:paraId="0B73E042">
      <w:pPr>
        <w:spacing w:before="232"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4.资金来源：财政资金。</w:t>
      </w:r>
    </w:p>
    <w:p w14:paraId="2437C039">
      <w:pPr>
        <w:spacing w:before="177" w:line="302" w:lineRule="auto"/>
        <w:ind w:left="11" w:right="133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5.工程内容：</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包含但不限于本次采购项目图纸及工程量清单中</w:t>
      </w:r>
      <w:r>
        <w:rPr>
          <w:rFonts w:hint="eastAsia" w:asciiTheme="minorEastAsia" w:hAnsiTheme="minorEastAsia" w:eastAsiaTheme="minorEastAsia" w:cstheme="minorEastAsia"/>
          <w:color w:val="auto"/>
          <w:spacing w:val="6"/>
          <w:sz w:val="24"/>
          <w:szCs w:val="24"/>
          <w:u w:val="single" w:color="auto"/>
        </w:rPr>
        <w:t>全部建设内容。以</w:t>
      </w:r>
      <w:r>
        <w:rPr>
          <w:rFonts w:hint="eastAsia" w:asciiTheme="minorEastAsia" w:hAnsiTheme="minorEastAsia" w:eastAsiaTheme="minorEastAsia" w:cstheme="minorEastAsia"/>
          <w:color w:val="auto"/>
          <w:spacing w:val="13"/>
          <w:sz w:val="24"/>
          <w:szCs w:val="24"/>
          <w:u w:val="single" w:color="auto"/>
        </w:rPr>
        <w:t>采购人发出的采购文件、澄清、补遗等资料为准</w:t>
      </w:r>
      <w:r>
        <w:rPr>
          <w:rFonts w:hint="eastAsia" w:asciiTheme="minorEastAsia" w:hAnsiTheme="minorEastAsia" w:eastAsiaTheme="minorEastAsia" w:cstheme="minorEastAsia"/>
          <w:color w:val="auto"/>
          <w:spacing w:val="13"/>
          <w:sz w:val="24"/>
          <w:szCs w:val="24"/>
        </w:rPr>
        <w:t>。</w:t>
      </w:r>
    </w:p>
    <w:p w14:paraId="6A380268">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6.工程承包范围：</w:t>
      </w:r>
    </w:p>
    <w:p w14:paraId="18C09FCF">
      <w:pPr>
        <w:spacing w:before="176"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施工图、采购文件及补答疑补遗等所包含的施工内容(具体详见工程量清单)。</w:t>
      </w:r>
    </w:p>
    <w:p w14:paraId="18CF1D87">
      <w:pPr>
        <w:spacing w:before="196"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二</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b/>
          <w:bCs/>
          <w:color w:val="auto"/>
          <w:spacing w:val="-7"/>
          <w:sz w:val="24"/>
          <w:szCs w:val="24"/>
        </w:rPr>
        <w:t>、合同工期</w:t>
      </w:r>
    </w:p>
    <w:p w14:paraId="502F11BE">
      <w:pPr>
        <w:spacing w:before="149"/>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计划开工日期：</w:t>
      </w:r>
      <w:r>
        <w:rPr>
          <w:rFonts w:hint="eastAsia" w:asciiTheme="minorEastAsia" w:hAnsiTheme="minorEastAsia" w:eastAsiaTheme="minorEastAsia" w:cstheme="minorEastAsia"/>
          <w:color w:val="auto"/>
          <w:spacing w:val="-56"/>
          <w:sz w:val="24"/>
          <w:szCs w:val="24"/>
          <w:u w:val="single"/>
        </w:rPr>
        <w:t xml:space="preserve"> </w:t>
      </w:r>
      <w:r>
        <w:rPr>
          <w:rFonts w:hint="eastAsia" w:asciiTheme="minorEastAsia" w:hAnsiTheme="minorEastAsia" w:eastAsiaTheme="minorEastAsia" w:cstheme="minorEastAsia"/>
          <w:color w:val="auto"/>
          <w:spacing w:val="-56"/>
          <w:sz w:val="24"/>
          <w:szCs w:val="24"/>
          <w:u w:val="single"/>
          <w:lang w:val="en-US" w:eastAsia="zh-CN"/>
        </w:rPr>
        <w:t xml:space="preserve">           </w:t>
      </w:r>
      <w:r>
        <w:rPr>
          <w:rFonts w:hint="eastAsia" w:asciiTheme="minorEastAsia" w:hAnsiTheme="minorEastAsia" w:eastAsiaTheme="minorEastAsia" w:cstheme="minorEastAsia"/>
          <w:color w:val="auto"/>
          <w:spacing w:val="-56"/>
          <w:sz w:val="24"/>
          <w:szCs w:val="24"/>
          <w:u w:val="none" w:color="auto"/>
          <w:lang w:val="en-US" w:eastAsia="zh-CN"/>
        </w:rPr>
        <w:t xml:space="preserve"> </w:t>
      </w:r>
      <w:r>
        <w:rPr>
          <w:rFonts w:hint="eastAsia" w:asciiTheme="minorEastAsia" w:hAnsiTheme="minorEastAsia" w:eastAsiaTheme="minorEastAsia" w:cstheme="minorEastAsia"/>
          <w:color w:val="auto"/>
          <w:spacing w:val="-8"/>
          <w:position w:val="-3"/>
          <w:sz w:val="24"/>
          <w:szCs w:val="24"/>
          <w:u w:val="none" w:color="auto"/>
        </w:rPr>
        <w:t>年</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30"/>
          <w:position w:val="-3"/>
          <w:sz w:val="24"/>
          <w:szCs w:val="24"/>
          <w:u w:val="single" w:color="auto"/>
          <w:lang w:val="en-US" w:eastAsia="zh-CN"/>
        </w:rPr>
        <w:t xml:space="preserve"> </w:t>
      </w:r>
      <w:r>
        <w:rPr>
          <w:rFonts w:hint="eastAsia" w:asciiTheme="minorEastAsia" w:hAnsiTheme="minorEastAsia" w:eastAsiaTheme="minorEastAsia" w:cstheme="minorEastAsia"/>
          <w:color w:val="auto"/>
          <w:spacing w:val="30"/>
          <w:position w:val="-3"/>
          <w:sz w:val="24"/>
          <w:szCs w:val="24"/>
          <w:u w:val="single" w:color="auto"/>
        </w:rPr>
        <w:t xml:space="preserve">  </w:t>
      </w:r>
      <w:r>
        <w:rPr>
          <w:rFonts w:hint="eastAsia" w:asciiTheme="minorEastAsia" w:hAnsiTheme="minorEastAsia" w:eastAsiaTheme="minorEastAsia" w:cstheme="minorEastAsia"/>
          <w:color w:val="auto"/>
          <w:spacing w:val="-8"/>
          <w:position w:val="1"/>
          <w:sz w:val="24"/>
          <w:szCs w:val="24"/>
        </w:rPr>
        <w:t>月</w:t>
      </w:r>
      <w:r>
        <w:rPr>
          <w:rFonts w:hint="eastAsia" w:asciiTheme="minorEastAsia" w:hAnsiTheme="minorEastAsia" w:eastAsiaTheme="minorEastAsia" w:cstheme="minorEastAsia"/>
          <w:color w:val="auto"/>
          <w:spacing w:val="24"/>
          <w:position w:val="1"/>
          <w:sz w:val="24"/>
          <w:szCs w:val="24"/>
          <w:u w:val="single" w:color="auto"/>
        </w:rPr>
        <w:t xml:space="preserve">    </w:t>
      </w:r>
      <w:r>
        <w:rPr>
          <w:rFonts w:hint="eastAsia" w:asciiTheme="minorEastAsia" w:hAnsiTheme="minorEastAsia" w:eastAsiaTheme="minorEastAsia" w:cstheme="minorEastAsia"/>
          <w:color w:val="auto"/>
          <w:spacing w:val="-118"/>
          <w:position w:val="1"/>
          <w:sz w:val="24"/>
          <w:szCs w:val="24"/>
        </w:rPr>
        <w:t xml:space="preserve"> </w:t>
      </w:r>
      <w:r>
        <w:rPr>
          <w:rFonts w:hint="eastAsia" w:asciiTheme="minorEastAsia" w:hAnsiTheme="minorEastAsia" w:eastAsiaTheme="minorEastAsia" w:cstheme="minorEastAsia"/>
          <w:color w:val="auto"/>
          <w:spacing w:val="-8"/>
          <w:position w:val="1"/>
          <w:sz w:val="24"/>
          <w:szCs w:val="24"/>
        </w:rPr>
        <w:t>日。</w:t>
      </w:r>
    </w:p>
    <w:p w14:paraId="574E44FF">
      <w:pPr>
        <w:spacing w:before="113"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计划竣工日期：</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u w:val="none" w:color="auto"/>
        </w:rPr>
        <w:t>月</w:t>
      </w:r>
      <w:r>
        <w:rPr>
          <w:rFonts w:hint="eastAsia" w:asciiTheme="minorEastAsia" w:hAnsiTheme="minorEastAsia" w:eastAsiaTheme="minorEastAsia" w:cstheme="minorEastAsia"/>
          <w:color w:val="auto"/>
          <w:spacing w:val="22"/>
          <w:sz w:val="24"/>
          <w:szCs w:val="24"/>
          <w:u w:val="single" w:color="auto"/>
        </w:rPr>
        <w:t xml:space="preserve">    </w:t>
      </w:r>
      <w:r>
        <w:rPr>
          <w:rFonts w:hint="eastAsia" w:asciiTheme="minorEastAsia" w:hAnsiTheme="minorEastAsia" w:eastAsiaTheme="minorEastAsia" w:cstheme="minorEastAsia"/>
          <w:color w:val="auto"/>
          <w:spacing w:val="-120"/>
          <w:sz w:val="24"/>
          <w:szCs w:val="24"/>
        </w:rPr>
        <w:t xml:space="preserve"> </w:t>
      </w:r>
      <w:r>
        <w:rPr>
          <w:rFonts w:hint="eastAsia" w:asciiTheme="minorEastAsia" w:hAnsiTheme="minorEastAsia" w:eastAsiaTheme="minorEastAsia" w:cstheme="minorEastAsia"/>
          <w:color w:val="auto"/>
          <w:spacing w:val="-5"/>
          <w:sz w:val="24"/>
          <w:szCs w:val="24"/>
        </w:rPr>
        <w:t>日。</w:t>
      </w:r>
    </w:p>
    <w:p w14:paraId="19FB96BC">
      <w:pPr>
        <w:spacing w:before="170" w:line="355" w:lineRule="auto"/>
        <w:ind w:left="11" w:right="1355"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工期总日历天数：</w:t>
      </w:r>
      <w:r>
        <w:rPr>
          <w:rFonts w:hint="eastAsia" w:asciiTheme="minorEastAsia" w:hAnsiTheme="minorEastAsia" w:eastAsiaTheme="minorEastAsia" w:cstheme="minorEastAsia"/>
          <w:color w:val="auto"/>
          <w:spacing w:val="4"/>
          <w:sz w:val="24"/>
          <w:szCs w:val="24"/>
          <w:u w:val="single"/>
          <w:lang w:val="en-US" w:eastAsia="zh-CN"/>
        </w:rPr>
        <w:t xml:space="preserve">        </w:t>
      </w:r>
      <w:r>
        <w:rPr>
          <w:rFonts w:hint="eastAsia" w:asciiTheme="minorEastAsia" w:hAnsiTheme="minorEastAsia" w:eastAsiaTheme="minorEastAsia" w:cstheme="minorEastAsia"/>
          <w:color w:val="auto"/>
          <w:spacing w:val="-44"/>
          <w:sz w:val="24"/>
          <w:szCs w:val="24"/>
          <w:u w:val="single"/>
        </w:rPr>
        <w:t xml:space="preserve"> </w:t>
      </w:r>
      <w:r>
        <w:rPr>
          <w:rFonts w:hint="eastAsia" w:asciiTheme="minorEastAsia" w:hAnsiTheme="minorEastAsia" w:eastAsiaTheme="minorEastAsia" w:cstheme="minorEastAsia"/>
          <w:color w:val="auto"/>
          <w:spacing w:val="4"/>
          <w:sz w:val="24"/>
          <w:szCs w:val="24"/>
          <w:u w:val="none" w:color="auto"/>
        </w:rPr>
        <w:t>历天</w:t>
      </w:r>
      <w:r>
        <w:rPr>
          <w:rFonts w:hint="eastAsia" w:asciiTheme="minorEastAsia" w:hAnsiTheme="minorEastAsia" w:eastAsiaTheme="minorEastAsia" w:cstheme="minorEastAsia"/>
          <w:color w:val="auto"/>
          <w:spacing w:val="4"/>
          <w:sz w:val="24"/>
          <w:szCs w:val="24"/>
        </w:rPr>
        <w:t>。工期总日历天数与根据前述计划开竣工日期计算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的工期天数不一致的，以工期总日历天数为准。</w:t>
      </w:r>
    </w:p>
    <w:p w14:paraId="696DEF8E">
      <w:pPr>
        <w:spacing w:before="13" w:line="220"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三</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7"/>
          <w:sz w:val="24"/>
          <w:szCs w:val="24"/>
        </w:rPr>
        <w:t>、质量标准</w:t>
      </w:r>
    </w:p>
    <w:p w14:paraId="1606B861">
      <w:pPr>
        <w:spacing w:before="178"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工程质量：</w:t>
      </w:r>
      <w:r>
        <w:rPr>
          <w:rFonts w:hint="eastAsia" w:asciiTheme="minorEastAsia" w:hAnsiTheme="minorEastAsia" w:eastAsiaTheme="minorEastAsia" w:cstheme="minorEastAsia"/>
          <w:color w:val="auto"/>
          <w:spacing w:val="15"/>
          <w:sz w:val="24"/>
          <w:szCs w:val="24"/>
          <w:u w:val="single" w:color="auto"/>
        </w:rPr>
        <w:t>达到国家有关施工质量验收规范</w:t>
      </w:r>
      <w:r>
        <w:rPr>
          <w:rFonts w:hint="eastAsia" w:asciiTheme="minorEastAsia" w:hAnsiTheme="minorEastAsia" w:eastAsiaTheme="minorEastAsia" w:cstheme="minorEastAsia"/>
          <w:color w:val="auto"/>
          <w:spacing w:val="14"/>
          <w:sz w:val="24"/>
          <w:szCs w:val="24"/>
          <w:u w:val="single" w:color="auto"/>
        </w:rPr>
        <w:t>要求，并达到合格标准</w:t>
      </w:r>
      <w:r>
        <w:rPr>
          <w:rFonts w:hint="eastAsia" w:asciiTheme="minorEastAsia" w:hAnsiTheme="minorEastAsia" w:eastAsiaTheme="minorEastAsia" w:cstheme="minorEastAsia"/>
          <w:color w:val="auto"/>
          <w:spacing w:val="14"/>
          <w:sz w:val="24"/>
          <w:szCs w:val="24"/>
        </w:rPr>
        <w:t>。</w:t>
      </w:r>
    </w:p>
    <w:p w14:paraId="66990471">
      <w:pPr>
        <w:spacing w:before="192" w:line="218" w:lineRule="auto"/>
        <w:ind w:left="484"/>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b/>
          <w:bCs/>
          <w:color w:val="auto"/>
          <w:sz w:val="24"/>
          <w:szCs w:val="24"/>
        </w:rPr>
        <w:t>、签约合同价与合同价格形式</w:t>
      </w:r>
    </w:p>
    <w:p w14:paraId="5386FC5F">
      <w:pPr>
        <w:spacing w:before="214" w:line="219" w:lineRule="auto"/>
        <w:ind w:left="48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1.合同金额为：</w:t>
      </w:r>
    </w:p>
    <w:p w14:paraId="77EC1ED8">
      <w:pPr>
        <w:spacing w:before="196" w:line="219" w:lineRule="auto"/>
        <w:ind w:left="65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5"/>
          <w:sz w:val="24"/>
          <w:szCs w:val="24"/>
          <w:u w:val="single" w:color="auto"/>
        </w:rPr>
        <w:t xml:space="preserve"> </w:t>
      </w:r>
      <w:r>
        <w:rPr>
          <w:rFonts w:hint="eastAsia" w:asciiTheme="minorEastAsia" w:hAnsiTheme="minorEastAsia" w:eastAsiaTheme="minorEastAsia" w:cstheme="minorEastAsia"/>
          <w:color w:val="auto"/>
          <w:spacing w:val="85"/>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1"/>
          <w:sz w:val="24"/>
          <w:szCs w:val="24"/>
        </w:rPr>
        <w:t>元);</w:t>
      </w:r>
    </w:p>
    <w:p w14:paraId="63AADC6B">
      <w:pPr>
        <w:spacing w:before="178" w:line="219" w:lineRule="auto"/>
        <w:ind w:left="761"/>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4"/>
          <w:sz w:val="24"/>
          <w:szCs w:val="24"/>
        </w:rPr>
        <w:t>其中：安全文明施工费：</w:t>
      </w:r>
    </w:p>
    <w:p w14:paraId="085FF316">
      <w:pPr>
        <w:spacing w:before="178" w:line="225" w:lineRule="auto"/>
        <w:ind w:firstLine="792"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人民币(大写)</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02"/>
          <w:sz w:val="24"/>
          <w:szCs w:val="24"/>
          <w:u w:val="single" w:color="auto"/>
          <w:lang w:val="en-US" w:eastAsia="zh-CN"/>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u w:val="single" w:color="auto"/>
          <w:lang w:val="en-US" w:eastAsia="zh-CN"/>
        </w:rPr>
        <w:t xml:space="preserve">           </w:t>
      </w:r>
      <w:r>
        <w:rPr>
          <w:rFonts w:hint="eastAsia" w:asciiTheme="minorEastAsia" w:hAnsiTheme="minorEastAsia" w:eastAsiaTheme="minorEastAsia" w:cstheme="minorEastAsia"/>
          <w:color w:val="auto"/>
          <w:spacing w:val="12"/>
          <w:position w:val="-1"/>
          <w:sz w:val="24"/>
          <w:szCs w:val="24"/>
          <w:u w:val="single" w:color="auto"/>
        </w:rPr>
        <w:t xml:space="preserve">   </w:t>
      </w:r>
      <w:r>
        <w:rPr>
          <w:rFonts w:hint="eastAsia" w:asciiTheme="minorEastAsia" w:hAnsiTheme="minorEastAsia" w:eastAsiaTheme="minorEastAsia" w:cstheme="minorEastAsia"/>
          <w:color w:val="auto"/>
          <w:spacing w:val="12"/>
          <w:position w:val="-1"/>
          <w:sz w:val="24"/>
          <w:szCs w:val="24"/>
        </w:rPr>
        <w:t xml:space="preserve">  </w:t>
      </w:r>
      <w:r>
        <w:rPr>
          <w:rFonts w:hint="eastAsia" w:asciiTheme="minorEastAsia" w:hAnsiTheme="minorEastAsia" w:eastAsiaTheme="minorEastAsia" w:cstheme="minorEastAsia"/>
          <w:color w:val="auto"/>
          <w:spacing w:val="12"/>
          <w:position w:val="2"/>
          <w:sz w:val="24"/>
          <w:szCs w:val="24"/>
        </w:rPr>
        <w:t>元);</w:t>
      </w:r>
    </w:p>
    <w:p w14:paraId="5BCB4487">
      <w:pPr>
        <w:spacing w:before="120" w:line="21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 xml:space="preserve">2. 合同价格形式：  </w:t>
      </w:r>
      <w:r>
        <w:rPr>
          <w:rFonts w:hint="eastAsia" w:asciiTheme="minorEastAsia" w:hAnsiTheme="minorEastAsia" w:eastAsiaTheme="minorEastAsia" w:cstheme="minorEastAsia"/>
          <w:color w:val="auto"/>
          <w:spacing w:val="-102"/>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采用固定单价合同</w:t>
      </w:r>
      <w:r>
        <w:rPr>
          <w:rFonts w:hint="eastAsia" w:asciiTheme="minorEastAsia" w:hAnsiTheme="minorEastAsia" w:eastAsiaTheme="minorEastAsia" w:cstheme="minorEastAsia"/>
          <w:color w:val="auto"/>
          <w:spacing w:val="11"/>
          <w:sz w:val="24"/>
          <w:szCs w:val="24"/>
        </w:rPr>
        <w:t>。</w:t>
      </w:r>
    </w:p>
    <w:p w14:paraId="31E63B41">
      <w:pPr>
        <w:spacing w:before="187"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五</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b/>
          <w:bCs/>
          <w:color w:val="auto"/>
          <w:spacing w:val="-5"/>
          <w:sz w:val="24"/>
          <w:szCs w:val="24"/>
        </w:rPr>
        <w:t>、项目经理</w:t>
      </w:r>
    </w:p>
    <w:p w14:paraId="26444129">
      <w:pPr>
        <w:spacing w:before="157" w:line="227"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承包人项目经理：  </w:t>
      </w:r>
      <w:r>
        <w:rPr>
          <w:rFonts w:hint="eastAsia" w:asciiTheme="minorEastAsia" w:hAnsiTheme="minorEastAsia" w:eastAsiaTheme="minorEastAsia" w:cstheme="minorEastAsia"/>
          <w:color w:val="auto"/>
          <w:spacing w:val="-105"/>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1"/>
          <w:position w:val="-2"/>
          <w:sz w:val="24"/>
          <w:szCs w:val="24"/>
          <w:u w:val="single" w:color="auto"/>
          <w:lang w:val="en-US" w:eastAsia="zh-CN"/>
        </w:rPr>
        <w:t xml:space="preserve">       </w:t>
      </w:r>
      <w:r>
        <w:rPr>
          <w:rFonts w:hint="eastAsia" w:asciiTheme="minorEastAsia" w:hAnsiTheme="minorEastAsia" w:eastAsiaTheme="minorEastAsia" w:cstheme="minorEastAsia"/>
          <w:color w:val="auto"/>
          <w:spacing w:val="1"/>
          <w:position w:val="-2"/>
          <w:sz w:val="24"/>
          <w:szCs w:val="24"/>
          <w:u w:val="single" w:color="auto"/>
        </w:rPr>
        <w:t xml:space="preserve">  </w:t>
      </w:r>
      <w:r>
        <w:rPr>
          <w:rFonts w:hint="eastAsia" w:asciiTheme="minorEastAsia" w:hAnsiTheme="minorEastAsia" w:eastAsiaTheme="minorEastAsia" w:cstheme="minorEastAsia"/>
          <w:color w:val="auto"/>
          <w:spacing w:val="-96"/>
          <w:position w:val="-2"/>
          <w:sz w:val="24"/>
          <w:szCs w:val="24"/>
          <w:lang w:eastAsia="zh-CN"/>
        </w:rPr>
        <w:t>；</w:t>
      </w:r>
      <w:r>
        <w:rPr>
          <w:rFonts w:hint="eastAsia" w:asciiTheme="minorEastAsia" w:hAnsiTheme="minorEastAsia" w:eastAsiaTheme="minorEastAsia" w:cstheme="minorEastAsia"/>
          <w:color w:val="auto"/>
          <w:spacing w:val="1"/>
          <w:position w:val="1"/>
          <w:sz w:val="24"/>
          <w:szCs w:val="24"/>
        </w:rPr>
        <w:t>技术负</w:t>
      </w:r>
      <w:r>
        <w:rPr>
          <w:rFonts w:hint="eastAsia" w:asciiTheme="minorEastAsia" w:hAnsiTheme="minorEastAsia" w:eastAsiaTheme="minorEastAsia" w:cstheme="minorEastAsia"/>
          <w:color w:val="auto"/>
          <w:position w:val="1"/>
          <w:sz w:val="24"/>
          <w:szCs w:val="24"/>
        </w:rPr>
        <w:t>责人</w:t>
      </w:r>
    </w:p>
    <w:p w14:paraId="00B324B9">
      <w:pPr>
        <w:spacing w:before="165"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六、合同文件构成</w:t>
      </w:r>
    </w:p>
    <w:p w14:paraId="4AE1B9FC">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本协议书与下列文件一起构成合同文件：</w:t>
      </w:r>
    </w:p>
    <w:p w14:paraId="2668D4EF">
      <w:pPr>
        <w:spacing w:before="21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drawing>
          <wp:anchor distT="0" distB="0" distL="0" distR="0" simplePos="0" relativeHeight="251663360" behindDoc="0" locked="0" layoutInCell="1" allowOverlap="1">
            <wp:simplePos x="0" y="0"/>
            <wp:positionH relativeFrom="column">
              <wp:posOffset>3856990</wp:posOffset>
            </wp:positionH>
            <wp:positionV relativeFrom="paragraph">
              <wp:posOffset>386080</wp:posOffset>
            </wp:positionV>
            <wp:extent cx="1524000" cy="13081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523951" cy="1308164"/>
                    </a:xfrm>
                    <a:prstGeom prst="rect">
                      <a:avLst/>
                    </a:prstGeom>
                  </pic:spPr>
                </pic:pic>
              </a:graphicData>
            </a:graphic>
          </wp:anchor>
        </w:drawing>
      </w:r>
      <w:r>
        <w:rPr>
          <w:rFonts w:hint="eastAsia" w:asciiTheme="minorEastAsia" w:hAnsiTheme="minorEastAsia" w:eastAsiaTheme="minorEastAsia" w:cstheme="minorEastAsia"/>
          <w:color w:val="auto"/>
          <w:spacing w:val="13"/>
          <w:sz w:val="24"/>
          <w:szCs w:val="24"/>
        </w:rPr>
        <w:t>(1)成交通知书；</w:t>
      </w:r>
    </w:p>
    <w:p w14:paraId="6EE5E6BF">
      <w:pPr>
        <w:spacing w:before="176"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(2)</w:t>
      </w:r>
      <w:r>
        <w:rPr>
          <w:rFonts w:hint="eastAsia" w:asciiTheme="minorEastAsia" w:hAnsiTheme="minorEastAsia" w:eastAsiaTheme="minorEastAsia" w:cstheme="minorEastAsia"/>
          <w:color w:val="auto"/>
          <w:spacing w:val="12"/>
          <w:sz w:val="24"/>
          <w:szCs w:val="24"/>
          <w:lang w:val="en-US" w:eastAsia="zh-CN"/>
        </w:rPr>
        <w:t>采购文件</w:t>
      </w:r>
      <w:r>
        <w:rPr>
          <w:rFonts w:hint="eastAsia" w:asciiTheme="minorEastAsia" w:hAnsiTheme="minorEastAsia" w:eastAsiaTheme="minorEastAsia" w:cstheme="minorEastAsia"/>
          <w:color w:val="auto"/>
          <w:spacing w:val="12"/>
          <w:sz w:val="24"/>
          <w:szCs w:val="24"/>
        </w:rPr>
        <w:t>报价函及其明细报价表；</w:t>
      </w:r>
    </w:p>
    <w:p w14:paraId="7937700F">
      <w:pPr>
        <w:spacing w:before="19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(3)专用合同条款及其附件；</w:t>
      </w:r>
    </w:p>
    <w:p w14:paraId="3C226E48">
      <w:pPr>
        <w:spacing w:before="169"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(4)通用合同条款；</w:t>
      </w:r>
    </w:p>
    <w:p w14:paraId="418C792B">
      <w:pPr>
        <w:spacing w:before="187"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(5)技术标准和要求；</w:t>
      </w:r>
    </w:p>
    <w:p w14:paraId="58967E3F">
      <w:pPr>
        <w:spacing w:before="158" w:line="221"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(6)图纸；</w:t>
      </w:r>
    </w:p>
    <w:p w14:paraId="7F3BB2BE">
      <w:pPr>
        <w:spacing w:before="202" w:line="218"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(7)已标价工程量清单；</w:t>
      </w:r>
    </w:p>
    <w:p w14:paraId="18A24674">
      <w:pPr>
        <w:spacing w:before="200" w:line="219" w:lineRule="auto"/>
        <w:ind w:left="90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(8)其他合同文件。</w:t>
      </w:r>
    </w:p>
    <w:p w14:paraId="59402700">
      <w:pPr>
        <w:spacing w:before="208"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在合同订立及履行过程中形成的与合同有关的文件</w:t>
      </w:r>
      <w:r>
        <w:rPr>
          <w:rFonts w:hint="eastAsia" w:asciiTheme="minorEastAsia" w:hAnsiTheme="minorEastAsia" w:eastAsiaTheme="minorEastAsia" w:cstheme="minorEastAsia"/>
          <w:color w:val="auto"/>
          <w:spacing w:val="8"/>
          <w:sz w:val="24"/>
          <w:szCs w:val="24"/>
        </w:rPr>
        <w:t>均构成合同文件组成部分。</w:t>
      </w:r>
    </w:p>
    <w:p w14:paraId="4AB87E86">
      <w:pPr>
        <w:spacing w:before="187" w:line="333" w:lineRule="auto"/>
        <w:ind w:right="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上述文件互相补充和解释，如有不明确或不一致之处，以合同约定次</w:t>
      </w:r>
      <w:r>
        <w:rPr>
          <w:rFonts w:hint="eastAsia" w:asciiTheme="minorEastAsia" w:hAnsiTheme="minorEastAsia" w:eastAsiaTheme="minorEastAsia" w:cstheme="minorEastAsia"/>
          <w:color w:val="auto"/>
          <w:spacing w:val="8"/>
          <w:sz w:val="24"/>
          <w:szCs w:val="24"/>
        </w:rPr>
        <w:t>序在先者为</w:t>
      </w:r>
      <w:r>
        <w:rPr>
          <w:rFonts w:hint="eastAsia" w:asciiTheme="minorEastAsia" w:hAnsiTheme="minorEastAsia" w:eastAsiaTheme="minorEastAsia" w:cstheme="minorEastAsia"/>
          <w:color w:val="auto"/>
          <w:spacing w:val="2"/>
          <w:sz w:val="24"/>
          <w:szCs w:val="24"/>
        </w:rPr>
        <w:t>准。</w:t>
      </w:r>
    </w:p>
    <w:p w14:paraId="0F4072B1">
      <w:pPr>
        <w:spacing w:before="47" w:line="219"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七、承诺</w:t>
      </w:r>
    </w:p>
    <w:p w14:paraId="297379EE">
      <w:pPr>
        <w:spacing w:before="199" w:line="293" w:lineRule="auto"/>
        <w:ind w:left="294" w:right="63" w:firstLine="450"/>
        <w:jc w:val="left"/>
        <w:rPr>
          <w:rFonts w:hint="eastAsia" w:asciiTheme="minorEastAsia" w:hAnsiTheme="minorEastAsia" w:eastAsiaTheme="minorEastAsia" w:cstheme="minorEastAsia"/>
          <w:color w:val="auto"/>
          <w:spacing w:val="10"/>
          <w:sz w:val="24"/>
          <w:szCs w:val="24"/>
        </w:rPr>
      </w:pPr>
      <w:r>
        <w:rPr>
          <w:rFonts w:hint="eastAsia" w:asciiTheme="minorEastAsia" w:hAnsiTheme="minorEastAsia" w:eastAsiaTheme="minorEastAsia" w:cstheme="minorEastAsia"/>
          <w:color w:val="auto"/>
          <w:spacing w:val="10"/>
          <w:sz w:val="24"/>
          <w:szCs w:val="24"/>
        </w:rPr>
        <w:t>1.发包人承诺按照法律规定履行项目审批手续、筹集工程建设资金并按照合同约</w:t>
      </w:r>
    </w:p>
    <w:p w14:paraId="56AEDFF8">
      <w:pPr>
        <w:spacing w:before="199" w:line="293" w:lineRule="auto"/>
        <w:ind w:left="294" w:right="63"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定的期限和方式支付合同价款。</w:t>
      </w:r>
    </w:p>
    <w:p w14:paraId="338BD592">
      <w:pPr>
        <w:numPr>
          <w:ilvl w:val="0"/>
          <w:numId w:val="16"/>
        </w:numPr>
        <w:spacing w:before="191" w:line="298" w:lineRule="auto"/>
        <w:ind w:left="294" w:firstLine="45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承包人承诺按照法律规定及合同约定组织完成工程施工，确保工程质量和安全，</w:t>
      </w:r>
    </w:p>
    <w:p w14:paraId="0FD08A03">
      <w:pPr>
        <w:numPr>
          <w:ilvl w:val="0"/>
          <w:numId w:val="16"/>
        </w:numPr>
        <w:spacing w:before="191" w:line="298" w:lineRule="auto"/>
        <w:ind w:left="294" w:firstLine="4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不进行转包及违法分包，并在缺陷责任期及保修期内承担相应的工程维修责任。</w:t>
      </w:r>
    </w:p>
    <w:p w14:paraId="62D24F0C">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八 、词语含义</w:t>
      </w:r>
    </w:p>
    <w:p w14:paraId="5560B369">
      <w:pPr>
        <w:spacing w:before="195"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本协议书中词语含义与第二部分通用合同条款中赋予的含义相同。</w:t>
      </w:r>
    </w:p>
    <w:p w14:paraId="7BF29AC6">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九 、签订时间</w:t>
      </w:r>
    </w:p>
    <w:p w14:paraId="1A11F604">
      <w:pPr>
        <w:spacing w:before="171" w:line="228"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本合同于</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position w:val="-2"/>
          <w:sz w:val="24"/>
          <w:szCs w:val="24"/>
        </w:rPr>
        <w:t>年</w:t>
      </w:r>
      <w:r>
        <w:rPr>
          <w:rFonts w:hint="eastAsia" w:asciiTheme="minorEastAsia" w:hAnsiTheme="minorEastAsia" w:eastAsiaTheme="minorEastAsia" w:cstheme="minorEastAsia"/>
          <w:color w:val="auto"/>
          <w:spacing w:val="-96"/>
          <w:position w:val="-2"/>
          <w:sz w:val="24"/>
          <w:szCs w:val="24"/>
        </w:rPr>
        <w:t xml:space="preserve"> </w:t>
      </w:r>
      <w:r>
        <w:rPr>
          <w:rFonts w:hint="eastAsia" w:asciiTheme="minorEastAsia" w:hAnsiTheme="minorEastAsia" w:eastAsiaTheme="minorEastAsia" w:cstheme="minorEastAsia"/>
          <w:color w:val="auto"/>
          <w:spacing w:val="-3"/>
          <w:position w:val="-2"/>
          <w:sz w:val="24"/>
          <w:szCs w:val="24"/>
          <w:u w:val="single" w:color="auto"/>
        </w:rPr>
        <w:t xml:space="preserve">      </w:t>
      </w:r>
      <w:r>
        <w:rPr>
          <w:rFonts w:hint="eastAsia" w:asciiTheme="minorEastAsia" w:hAnsiTheme="minorEastAsia" w:eastAsiaTheme="minorEastAsia" w:cstheme="minorEastAsia"/>
          <w:color w:val="auto"/>
          <w:spacing w:val="-3"/>
          <w:sz w:val="24"/>
          <w:szCs w:val="24"/>
        </w:rPr>
        <w:t>月</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3"/>
          <w:position w:val="-4"/>
          <w:sz w:val="24"/>
          <w:szCs w:val="24"/>
          <w:u w:val="single" w:color="auto"/>
        </w:rPr>
        <w:t xml:space="preserve">          </w:t>
      </w:r>
      <w:r>
        <w:rPr>
          <w:rFonts w:hint="eastAsia" w:asciiTheme="minorEastAsia" w:hAnsiTheme="minorEastAsia" w:eastAsiaTheme="minorEastAsia" w:cstheme="minorEastAsia"/>
          <w:color w:val="auto"/>
          <w:spacing w:val="-3"/>
          <w:sz w:val="24"/>
          <w:szCs w:val="24"/>
        </w:rPr>
        <w:t>日签订。</w:t>
      </w:r>
    </w:p>
    <w:p w14:paraId="3D82ACFA">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 、签订地点</w:t>
      </w:r>
    </w:p>
    <w:p w14:paraId="1E37875E">
      <w:pPr>
        <w:spacing w:before="192"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本合同</w:t>
      </w:r>
      <w:r>
        <w:rPr>
          <w:rFonts w:hint="eastAsia" w:asciiTheme="minorEastAsia" w:hAnsiTheme="minorEastAsia" w:eastAsiaTheme="minorEastAsia" w:cstheme="minorEastAsia"/>
          <w:color w:val="auto"/>
          <w:spacing w:val="7"/>
          <w:sz w:val="24"/>
          <w:szCs w:val="24"/>
          <w:u w:val="none" w:color="auto"/>
        </w:rPr>
        <w:t>在</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lang w:val="en-US" w:eastAsia="zh-CN"/>
        </w:rPr>
        <w:t xml:space="preserve">                      </w:t>
      </w:r>
      <w:r>
        <w:rPr>
          <w:rFonts w:hint="eastAsia" w:asciiTheme="minorEastAsia" w:hAnsiTheme="minorEastAsia" w:eastAsiaTheme="minorEastAsia" w:cstheme="minorEastAsia"/>
          <w:color w:val="auto"/>
          <w:spacing w:val="7"/>
          <w:sz w:val="24"/>
          <w:szCs w:val="24"/>
          <w:u w:val="none" w:color="auto"/>
        </w:rPr>
        <w:t>签订</w:t>
      </w:r>
      <w:r>
        <w:rPr>
          <w:rFonts w:hint="eastAsia" w:asciiTheme="minorEastAsia" w:hAnsiTheme="minorEastAsia" w:eastAsiaTheme="minorEastAsia" w:cstheme="minorEastAsia"/>
          <w:color w:val="auto"/>
          <w:spacing w:val="7"/>
          <w:sz w:val="24"/>
          <w:szCs w:val="24"/>
        </w:rPr>
        <w:t>。</w:t>
      </w:r>
    </w:p>
    <w:p w14:paraId="35A2EC95">
      <w:pPr>
        <w:spacing w:before="176" w:line="220" w:lineRule="auto"/>
        <w:ind w:left="747"/>
        <w:jc w:val="left"/>
        <w:outlineLvl w:val="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十</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b/>
          <w:bCs/>
          <w:color w:val="auto"/>
          <w:spacing w:val="-2"/>
          <w:sz w:val="24"/>
          <w:szCs w:val="24"/>
        </w:rPr>
        <w:t>一、补充协议</w:t>
      </w:r>
    </w:p>
    <w:p w14:paraId="181C0556">
      <w:pPr>
        <w:spacing w:before="209" w:line="219" w:lineRule="auto"/>
        <w:ind w:left="744"/>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合同未尽事宜，合同当事人另行签订补充协议，补充协议是合同的组成部分。</w:t>
      </w:r>
    </w:p>
    <w:p w14:paraId="00C43831">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6C944BA9">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p>
    <w:p w14:paraId="7FC49D3E">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十二、合同生效</w:t>
      </w:r>
    </w:p>
    <w:p w14:paraId="456EB439">
      <w:pPr>
        <w:spacing w:before="134" w:line="219" w:lineRule="auto"/>
        <w:ind w:left="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本合同自  </w:t>
      </w:r>
      <w:r>
        <w:rPr>
          <w:rFonts w:hint="eastAsia" w:asciiTheme="minorEastAsia" w:hAnsiTheme="minorEastAsia" w:eastAsiaTheme="minorEastAsia" w:cstheme="minorEastAsia"/>
          <w:color w:val="auto"/>
          <w:spacing w:val="-9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合同各方签字盖章之日起生</w:t>
      </w:r>
      <w:r>
        <w:rPr>
          <w:rFonts w:hint="eastAsia" w:asciiTheme="minorEastAsia" w:hAnsiTheme="minorEastAsia" w:eastAsiaTheme="minorEastAsia" w:cstheme="minorEastAsia"/>
          <w:color w:val="auto"/>
          <w:spacing w:val="2"/>
          <w:sz w:val="24"/>
          <w:szCs w:val="24"/>
        </w:rPr>
        <w:t>效。</w:t>
      </w:r>
    </w:p>
    <w:p w14:paraId="48D86A30">
      <w:pPr>
        <w:spacing w:before="165" w:line="219" w:lineRule="auto"/>
        <w:ind w:left="747"/>
        <w:jc w:val="left"/>
        <w:outlineLvl w:val="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十三、合同份数</w:t>
      </w:r>
    </w:p>
    <w:p w14:paraId="65B4BBEF">
      <w:pPr>
        <w:spacing w:before="203" w:line="334" w:lineRule="auto"/>
        <w:ind w:right="1239" w:firstLine="5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本合同一式</w:t>
      </w:r>
      <w:r>
        <w:rPr>
          <w:rFonts w:hint="eastAsia" w:asciiTheme="minorEastAsia" w:hAnsiTheme="minorEastAsia" w:eastAsiaTheme="minorEastAsia" w:cstheme="minorEastAsia"/>
          <w:color w:val="auto"/>
          <w:spacing w:val="-47"/>
          <w:sz w:val="24"/>
          <w:szCs w:val="24"/>
          <w:u w:val="single"/>
        </w:rPr>
        <w:t xml:space="preserve"> </w:t>
      </w:r>
      <w:r>
        <w:rPr>
          <w:rFonts w:hint="eastAsia" w:asciiTheme="minorEastAsia" w:hAnsiTheme="minorEastAsia" w:eastAsiaTheme="minorEastAsia" w:cstheme="minorEastAsia"/>
          <w:color w:val="auto"/>
          <w:spacing w:val="-47"/>
          <w:sz w:val="24"/>
          <w:szCs w:val="24"/>
          <w:u w:val="single"/>
          <w:lang w:val="en-US" w:eastAsia="zh-CN"/>
        </w:rPr>
        <w:t xml:space="preserve">     </w:t>
      </w:r>
      <w:r>
        <w:rPr>
          <w:rFonts w:hint="eastAsia" w:asciiTheme="minorEastAsia" w:hAnsiTheme="minorEastAsia" w:eastAsiaTheme="minorEastAsia" w:cstheme="minorEastAsia"/>
          <w:color w:val="auto"/>
          <w:spacing w:val="-1"/>
          <w:sz w:val="24"/>
          <w:szCs w:val="24"/>
          <w:u w:val="single"/>
        </w:rPr>
        <w:t xml:space="preserve"> </w:t>
      </w:r>
      <w:r>
        <w:rPr>
          <w:rFonts w:hint="eastAsia" w:asciiTheme="minorEastAsia" w:hAnsiTheme="minorEastAsia" w:eastAsiaTheme="minorEastAsia" w:cstheme="minorEastAsia"/>
          <w:color w:val="auto"/>
          <w:spacing w:val="-1"/>
          <w:sz w:val="24"/>
          <w:szCs w:val="24"/>
        </w:rPr>
        <w:t xml:space="preserve"> 份，均具有同等法律效力，发</w:t>
      </w:r>
      <w:r>
        <w:rPr>
          <w:rFonts w:hint="eastAsia" w:asciiTheme="minorEastAsia" w:hAnsiTheme="minorEastAsia" w:eastAsiaTheme="minorEastAsia" w:cstheme="minorEastAsia"/>
          <w:color w:val="auto"/>
          <w:spacing w:val="1"/>
          <w:sz w:val="24"/>
          <w:szCs w:val="24"/>
        </w:rPr>
        <w:t>包人执</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u w:val="none" w:color="auto"/>
        </w:rPr>
        <w:t xml:space="preserve"> </w:t>
      </w:r>
      <w:r>
        <w:rPr>
          <w:rFonts w:hint="eastAsia" w:asciiTheme="minorEastAsia" w:hAnsiTheme="minorEastAsia" w:eastAsiaTheme="minorEastAsia" w:cstheme="minorEastAsia"/>
          <w:color w:val="auto"/>
          <w:spacing w:val="1"/>
          <w:sz w:val="24"/>
          <w:szCs w:val="24"/>
          <w:u w:val="none" w:color="auto"/>
          <w:lang w:val="en-US" w:eastAsia="zh-CN"/>
        </w:rPr>
        <w:t>份</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rPr>
        <w:t>,承包人执</w:t>
      </w:r>
      <w:r>
        <w:rPr>
          <w:rFonts w:hint="eastAsia" w:asciiTheme="minorEastAsia" w:hAnsiTheme="minorEastAsia" w:eastAsiaTheme="minorEastAsia" w:cstheme="minorEastAsia"/>
          <w:color w:val="auto"/>
          <w:spacing w:val="-110"/>
          <w:sz w:val="24"/>
          <w:szCs w:val="24"/>
          <w:u w:val="single"/>
        </w:rPr>
        <w:t xml:space="preserve"> </w:t>
      </w:r>
      <w:r>
        <w:rPr>
          <w:rFonts w:hint="eastAsia" w:asciiTheme="minorEastAsia" w:hAnsiTheme="minorEastAsia" w:eastAsiaTheme="minorEastAsia" w:cstheme="minorEastAsia"/>
          <w:color w:val="auto"/>
          <w:spacing w:val="-110"/>
          <w:sz w:val="24"/>
          <w:szCs w:val="24"/>
          <w:u w:val="single"/>
          <w:lang w:val="en-US" w:eastAsia="zh-CN"/>
        </w:rPr>
        <w:t xml:space="preserve">                                       </w:t>
      </w:r>
      <w:r>
        <w:rPr>
          <w:rFonts w:hint="eastAsia" w:asciiTheme="minorEastAsia" w:hAnsiTheme="minorEastAsia" w:eastAsiaTheme="minorEastAsia" w:cstheme="minorEastAsia"/>
          <w:color w:val="auto"/>
          <w:spacing w:val="-110"/>
          <w:sz w:val="24"/>
          <w:szCs w:val="24"/>
          <w:u w:val="none"/>
          <w:lang w:val="en-US" w:eastAsia="zh-CN"/>
        </w:rPr>
        <w:t>份         。</w:t>
      </w:r>
    </w:p>
    <w:p w14:paraId="75064498">
      <w:pPr>
        <w:spacing w:before="71"/>
        <w:jc w:val="left"/>
        <w:rPr>
          <w:rFonts w:hint="eastAsia" w:asciiTheme="minorEastAsia" w:hAnsiTheme="minorEastAsia" w:eastAsiaTheme="minorEastAsia" w:cstheme="minorEastAsia"/>
          <w:color w:val="auto"/>
          <w:sz w:val="24"/>
          <w:szCs w:val="24"/>
        </w:rPr>
      </w:pPr>
    </w:p>
    <w:p w14:paraId="55B891AA">
      <w:pPr>
        <w:jc w:val="left"/>
        <w:rPr>
          <w:rFonts w:hint="eastAsia" w:asciiTheme="minorEastAsia" w:hAnsiTheme="minorEastAsia" w:eastAsiaTheme="minorEastAsia" w:cstheme="minorEastAsia"/>
          <w:color w:val="auto"/>
          <w:sz w:val="24"/>
          <w:szCs w:val="24"/>
        </w:rPr>
        <w:sectPr>
          <w:footerReference r:id="rId3" w:type="default"/>
          <w:pgSz w:w="12290" w:h="17100"/>
          <w:pgMar w:top="1453" w:right="209" w:bottom="1437" w:left="1809" w:header="0" w:footer="1311" w:gutter="0"/>
          <w:cols w:equalWidth="0" w:num="1">
            <w:col w:w="10271"/>
          </w:cols>
        </w:sectPr>
      </w:pPr>
    </w:p>
    <w:p w14:paraId="44F995BB">
      <w:pPr>
        <w:pStyle w:val="22"/>
        <w:spacing w:line="250" w:lineRule="auto"/>
        <w:jc w:val="left"/>
        <w:rPr>
          <w:rFonts w:hint="eastAsia" w:asciiTheme="minorEastAsia" w:hAnsiTheme="minorEastAsia" w:eastAsiaTheme="minorEastAsia" w:cstheme="minorEastAsia"/>
          <w:color w:val="auto"/>
          <w:sz w:val="24"/>
          <w:szCs w:val="24"/>
        </w:rPr>
      </w:pPr>
    </w:p>
    <w:p w14:paraId="4138536A">
      <w:pPr>
        <w:pStyle w:val="22"/>
        <w:spacing w:line="251" w:lineRule="auto"/>
        <w:jc w:val="left"/>
        <w:rPr>
          <w:rFonts w:hint="eastAsia" w:asciiTheme="minorEastAsia" w:hAnsiTheme="minorEastAsia" w:eastAsiaTheme="minorEastAsia" w:cstheme="minorEastAsia"/>
          <w:color w:val="auto"/>
          <w:sz w:val="24"/>
          <w:szCs w:val="24"/>
        </w:rPr>
      </w:pPr>
    </w:p>
    <w:p w14:paraId="679F9F17">
      <w:pPr>
        <w:spacing w:before="78" w:line="212" w:lineRule="auto"/>
        <w:jc w:val="left"/>
        <w:rPr>
          <w:rFonts w:hint="eastAsia" w:asciiTheme="minorEastAsia" w:hAnsiTheme="minorEastAsia" w:eastAsiaTheme="minorEastAsia" w:cstheme="minorEastAsia"/>
          <w:color w:val="auto"/>
          <w:spacing w:val="-6"/>
          <w:sz w:val="24"/>
          <w:szCs w:val="24"/>
        </w:rPr>
      </w:pPr>
    </w:p>
    <w:p w14:paraId="71D6706B">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发包人：( 公章)</w:t>
      </w:r>
    </w:p>
    <w:p w14:paraId="5DF4374D">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3037D8C0">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382DDCAB">
      <w:pPr>
        <w:spacing w:before="203" w:line="229"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452F7248">
      <w:pPr>
        <w:spacing w:before="79" w:line="219" w:lineRule="auto"/>
        <w:jc w:val="left"/>
        <w:rPr>
          <w:rFonts w:hint="eastAsia" w:asciiTheme="minorEastAsia" w:hAnsiTheme="minorEastAsia" w:eastAsiaTheme="minorEastAsia" w:cstheme="minorEastAsia"/>
          <w:color w:val="auto"/>
          <w:sz w:val="24"/>
          <w:szCs w:val="24"/>
        </w:rPr>
      </w:pPr>
    </w:p>
    <w:p w14:paraId="69DFCD15">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地  址：</w:t>
      </w:r>
    </w:p>
    <w:p w14:paraId="41808FF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4D92F3B0">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开户银行 ：</w:t>
      </w:r>
    </w:p>
    <w:p w14:paraId="64EA699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 ：</w:t>
      </w:r>
    </w:p>
    <w:p w14:paraId="5E042924">
      <w:pPr>
        <w:spacing w:before="203" w:line="229" w:lineRule="auto"/>
        <w:jc w:val="left"/>
        <w:rPr>
          <w:rFonts w:hint="eastAsia" w:asciiTheme="minorEastAsia" w:hAnsiTheme="minorEastAsia" w:eastAsiaTheme="minorEastAsia" w:cstheme="minorEastAsia"/>
          <w:color w:val="auto"/>
          <w:spacing w:val="-5"/>
          <w:sz w:val="24"/>
          <w:szCs w:val="24"/>
        </w:rPr>
      </w:pPr>
    </w:p>
    <w:p w14:paraId="1F625B13">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签约时间：       年      月</w:t>
      </w:r>
      <w:r>
        <w:rPr>
          <w:rFonts w:hint="eastAsia" w:asciiTheme="minorEastAsia" w:hAnsiTheme="minorEastAsia" w:eastAsiaTheme="minorEastAsia" w:cstheme="minorEastAsia"/>
          <w:color w:val="auto"/>
          <w:spacing w:val="-5"/>
          <w:sz w:val="24"/>
          <w:szCs w:val="24"/>
          <w:lang w:val="en-US" w:eastAsia="zh-CN"/>
        </w:rPr>
        <w:t xml:space="preserve">   </w:t>
      </w:r>
      <w:r>
        <w:rPr>
          <w:rFonts w:hint="eastAsia" w:asciiTheme="minorEastAsia" w:hAnsiTheme="minorEastAsia" w:eastAsiaTheme="minorEastAsia" w:cstheme="minorEastAsia"/>
          <w:color w:val="auto"/>
          <w:spacing w:val="-5"/>
          <w:sz w:val="24"/>
          <w:szCs w:val="24"/>
        </w:rPr>
        <w:t xml:space="preserve"> 日</w:t>
      </w:r>
    </w:p>
    <w:p w14:paraId="4154CF97">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签约地点：</w:t>
      </w:r>
    </w:p>
    <w:p w14:paraId="1E7B200D">
      <w:pPr>
        <w:spacing w:before="203" w:line="229" w:lineRule="auto"/>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br w:type="column"/>
      </w:r>
    </w:p>
    <w:p w14:paraId="6195AFDF">
      <w:pPr>
        <w:spacing w:before="203" w:line="229" w:lineRule="auto"/>
        <w:jc w:val="left"/>
        <w:rPr>
          <w:rFonts w:hint="eastAsia" w:asciiTheme="minorEastAsia" w:hAnsiTheme="minorEastAsia" w:eastAsiaTheme="minorEastAsia" w:cstheme="minorEastAsia"/>
          <w:color w:val="auto"/>
          <w:spacing w:val="-5"/>
          <w:sz w:val="24"/>
          <w:szCs w:val="24"/>
        </w:rPr>
      </w:pPr>
    </w:p>
    <w:p w14:paraId="3A332EDA">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承包人 ：( 公章)</w:t>
      </w:r>
    </w:p>
    <w:p w14:paraId="7C07B12D">
      <w:pPr>
        <w:spacing w:before="203" w:line="229" w:lineRule="auto"/>
        <w:jc w:val="left"/>
        <w:rPr>
          <w:rFonts w:hint="eastAsia" w:asciiTheme="minorEastAsia" w:hAnsiTheme="minorEastAsia" w:eastAsiaTheme="minorEastAsia" w:cstheme="minorEastAsia"/>
          <w:color w:val="auto"/>
          <w:spacing w:val="-5"/>
          <w:sz w:val="24"/>
          <w:szCs w:val="24"/>
          <w:lang w:val="en-US" w:eastAsia="zh-CN"/>
        </w:rPr>
      </w:pPr>
    </w:p>
    <w:p w14:paraId="4B9D5EC3">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 xml:space="preserve">法定代表人或其委托代理人： (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07B72DF7">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lang w:val="en-US" w:eastAsia="zh-CN"/>
        </w:rPr>
        <w:t>经办人：</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签字</w:t>
      </w:r>
      <w:r>
        <w:rPr>
          <w:rFonts w:hint="eastAsia" w:asciiTheme="minorEastAsia" w:hAnsiTheme="minorEastAsia" w:eastAsiaTheme="minorEastAsia" w:cstheme="minorEastAsia"/>
          <w:color w:val="auto"/>
          <w:spacing w:val="-5"/>
          <w:sz w:val="24"/>
          <w:szCs w:val="24"/>
        </w:rPr>
        <w:t>)</w:t>
      </w:r>
    </w:p>
    <w:p w14:paraId="6CCBBF8A">
      <w:pPr>
        <w:spacing w:before="203" w:line="229" w:lineRule="auto"/>
        <w:jc w:val="left"/>
        <w:rPr>
          <w:rFonts w:hint="eastAsia" w:asciiTheme="minorEastAsia" w:hAnsiTheme="minorEastAsia" w:eastAsiaTheme="minorEastAsia" w:cstheme="minorEastAsia"/>
          <w:color w:val="auto"/>
          <w:spacing w:val="-5"/>
          <w:sz w:val="24"/>
          <w:szCs w:val="24"/>
        </w:rPr>
      </w:pPr>
    </w:p>
    <w:p w14:paraId="70B9156B">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rPr>
        <w:t>地  址：</w:t>
      </w:r>
    </w:p>
    <w:p w14:paraId="553A4788">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电  话：</w:t>
      </w:r>
    </w:p>
    <w:p w14:paraId="752840CD">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开 户 银 行 ：</w:t>
      </w:r>
    </w:p>
    <w:p w14:paraId="64F1F9D6">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账  号：</w:t>
      </w:r>
    </w:p>
    <w:p w14:paraId="3E101E14">
      <w:pPr>
        <w:spacing w:before="203" w:line="229" w:lineRule="auto"/>
        <w:ind w:firstLine="460" w:firstLineChars="200"/>
        <w:jc w:val="left"/>
        <w:rPr>
          <w:rFonts w:hint="eastAsia" w:asciiTheme="minorEastAsia" w:hAnsiTheme="minorEastAsia" w:eastAsiaTheme="minorEastAsia" w:cstheme="minorEastAsia"/>
          <w:color w:val="auto"/>
          <w:spacing w:val="-5"/>
          <w:sz w:val="24"/>
          <w:szCs w:val="24"/>
        </w:rPr>
      </w:pPr>
    </w:p>
    <w:p w14:paraId="4F809CCE">
      <w:pPr>
        <w:pStyle w:val="22"/>
        <w:spacing w:line="14" w:lineRule="auto"/>
        <w:jc w:val="left"/>
        <w:rPr>
          <w:color w:val="auto"/>
          <w:sz w:val="2"/>
        </w:rPr>
      </w:pPr>
      <w:r>
        <w:rPr>
          <w:rFonts w:hint="eastAsia" w:asciiTheme="minorEastAsia" w:hAnsiTheme="minorEastAsia" w:eastAsiaTheme="minorEastAsia" w:cstheme="minorEastAsia"/>
          <w:color w:val="auto"/>
          <w:sz w:val="24"/>
          <w:szCs w:val="24"/>
        </w:rPr>
        <w:br w:type="column"/>
      </w:r>
    </w:p>
    <w:p w14:paraId="015CA5E9">
      <w:pPr>
        <w:pStyle w:val="22"/>
        <w:jc w:val="left"/>
        <w:rPr>
          <w:color w:val="auto"/>
        </w:rPr>
      </w:pPr>
    </w:p>
    <w:p w14:paraId="1E5F31E3">
      <w:pPr>
        <w:pStyle w:val="22"/>
        <w:jc w:val="left"/>
        <w:rPr>
          <w:color w:val="auto"/>
        </w:rPr>
      </w:pPr>
    </w:p>
    <w:p w14:paraId="582C1B0F">
      <w:pPr>
        <w:pStyle w:val="22"/>
        <w:jc w:val="left"/>
        <w:rPr>
          <w:color w:val="auto"/>
        </w:rPr>
      </w:pPr>
    </w:p>
    <w:p w14:paraId="35E3CD35">
      <w:pPr>
        <w:pStyle w:val="22"/>
        <w:jc w:val="left"/>
        <w:rPr>
          <w:color w:val="auto"/>
        </w:rPr>
      </w:pPr>
    </w:p>
    <w:p w14:paraId="39A91439">
      <w:pPr>
        <w:pStyle w:val="22"/>
        <w:jc w:val="left"/>
        <w:rPr>
          <w:color w:val="auto"/>
        </w:rPr>
      </w:pPr>
    </w:p>
    <w:p w14:paraId="7F7558BB">
      <w:pPr>
        <w:pStyle w:val="22"/>
        <w:jc w:val="left"/>
        <w:rPr>
          <w:color w:val="auto"/>
        </w:rPr>
      </w:pPr>
    </w:p>
    <w:p w14:paraId="33540712">
      <w:pPr>
        <w:pStyle w:val="22"/>
        <w:jc w:val="left"/>
        <w:rPr>
          <w:color w:val="auto"/>
        </w:rPr>
      </w:pPr>
    </w:p>
    <w:p w14:paraId="74944AD9">
      <w:pPr>
        <w:pStyle w:val="22"/>
        <w:jc w:val="left"/>
        <w:rPr>
          <w:color w:val="auto"/>
        </w:rPr>
      </w:pPr>
    </w:p>
    <w:p w14:paraId="07FDD445">
      <w:pPr>
        <w:pStyle w:val="22"/>
        <w:jc w:val="left"/>
        <w:rPr>
          <w:color w:val="auto"/>
        </w:rPr>
      </w:pPr>
    </w:p>
    <w:p w14:paraId="751B5BF3">
      <w:pPr>
        <w:pStyle w:val="22"/>
        <w:spacing w:line="241" w:lineRule="auto"/>
        <w:jc w:val="left"/>
        <w:rPr>
          <w:color w:val="auto"/>
        </w:rPr>
      </w:pPr>
    </w:p>
    <w:p w14:paraId="08EDEDE6">
      <w:pPr>
        <w:pStyle w:val="22"/>
        <w:spacing w:line="241" w:lineRule="auto"/>
        <w:jc w:val="left"/>
        <w:rPr>
          <w:color w:val="auto"/>
        </w:rPr>
      </w:pPr>
    </w:p>
    <w:p w14:paraId="655D8A80">
      <w:pPr>
        <w:pStyle w:val="22"/>
        <w:spacing w:line="241" w:lineRule="auto"/>
        <w:jc w:val="left"/>
        <w:rPr>
          <w:color w:val="auto"/>
        </w:rPr>
      </w:pPr>
    </w:p>
    <w:p w14:paraId="60BC50E3">
      <w:pPr>
        <w:pStyle w:val="22"/>
        <w:spacing w:line="241" w:lineRule="auto"/>
        <w:jc w:val="left"/>
        <w:rPr>
          <w:color w:val="auto"/>
        </w:rPr>
      </w:pPr>
    </w:p>
    <w:p w14:paraId="179D19EB">
      <w:pPr>
        <w:pStyle w:val="22"/>
        <w:spacing w:line="241" w:lineRule="auto"/>
        <w:jc w:val="left"/>
        <w:rPr>
          <w:color w:val="auto"/>
        </w:rPr>
      </w:pPr>
    </w:p>
    <w:p w14:paraId="6099629B">
      <w:pPr>
        <w:pStyle w:val="22"/>
        <w:spacing w:line="241" w:lineRule="auto"/>
        <w:jc w:val="left"/>
        <w:rPr>
          <w:color w:val="auto"/>
        </w:rPr>
      </w:pPr>
    </w:p>
    <w:p w14:paraId="4DBF05AD">
      <w:pPr>
        <w:pStyle w:val="22"/>
        <w:spacing w:line="241" w:lineRule="auto"/>
        <w:jc w:val="left"/>
        <w:rPr>
          <w:color w:val="auto"/>
        </w:rPr>
      </w:pPr>
    </w:p>
    <w:p w14:paraId="147146F8">
      <w:pPr>
        <w:pStyle w:val="22"/>
        <w:spacing w:line="241" w:lineRule="auto"/>
        <w:jc w:val="left"/>
        <w:rPr>
          <w:color w:val="auto"/>
        </w:rPr>
      </w:pPr>
    </w:p>
    <w:p w14:paraId="7305A415">
      <w:pPr>
        <w:pStyle w:val="22"/>
        <w:spacing w:line="241" w:lineRule="auto"/>
        <w:jc w:val="left"/>
        <w:rPr>
          <w:color w:val="auto"/>
        </w:rPr>
      </w:pPr>
    </w:p>
    <w:p w14:paraId="3CC9AB49">
      <w:pPr>
        <w:pStyle w:val="22"/>
        <w:spacing w:line="241" w:lineRule="auto"/>
        <w:jc w:val="left"/>
        <w:rPr>
          <w:color w:val="auto"/>
        </w:rPr>
      </w:pPr>
    </w:p>
    <w:p w14:paraId="6CDD5FD3">
      <w:pPr>
        <w:pStyle w:val="22"/>
        <w:spacing w:line="241" w:lineRule="auto"/>
        <w:jc w:val="left"/>
        <w:rPr>
          <w:color w:val="auto"/>
        </w:rPr>
      </w:pPr>
    </w:p>
    <w:p w14:paraId="19A9B8CA">
      <w:pPr>
        <w:pStyle w:val="22"/>
        <w:spacing w:line="241" w:lineRule="auto"/>
        <w:jc w:val="left"/>
        <w:rPr>
          <w:color w:val="auto"/>
        </w:rPr>
      </w:pPr>
    </w:p>
    <w:p w14:paraId="5DD32185">
      <w:pPr>
        <w:pStyle w:val="22"/>
        <w:spacing w:line="241" w:lineRule="auto"/>
        <w:jc w:val="left"/>
        <w:rPr>
          <w:color w:val="auto"/>
        </w:rPr>
      </w:pPr>
    </w:p>
    <w:p w14:paraId="0BC54A3A">
      <w:pPr>
        <w:pStyle w:val="22"/>
        <w:spacing w:line="241" w:lineRule="auto"/>
        <w:jc w:val="left"/>
        <w:rPr>
          <w:color w:val="auto"/>
        </w:rPr>
      </w:pPr>
    </w:p>
    <w:p w14:paraId="2A6E65D9">
      <w:pPr>
        <w:pStyle w:val="22"/>
        <w:spacing w:line="241" w:lineRule="auto"/>
        <w:jc w:val="left"/>
        <w:rPr>
          <w:color w:val="auto"/>
        </w:rPr>
      </w:pPr>
    </w:p>
    <w:p w14:paraId="54092BC2">
      <w:pPr>
        <w:pStyle w:val="22"/>
        <w:spacing w:line="241" w:lineRule="auto"/>
        <w:jc w:val="left"/>
        <w:rPr>
          <w:color w:val="auto"/>
        </w:rPr>
      </w:pPr>
    </w:p>
    <w:p w14:paraId="5E5F0409">
      <w:pPr>
        <w:spacing w:line="2295" w:lineRule="exact"/>
        <w:jc w:val="left"/>
        <w:rPr>
          <w:color w:val="auto"/>
        </w:rPr>
        <w:sectPr>
          <w:type w:val="continuous"/>
          <w:pgSz w:w="12290" w:h="17100"/>
          <w:pgMar w:top="1453" w:right="209" w:bottom="1437" w:left="1809" w:header="0" w:footer="1311" w:gutter="0"/>
          <w:cols w:equalWidth="0" w:num="3">
            <w:col w:w="4201" w:space="100"/>
            <w:col w:w="5151" w:space="100"/>
            <w:col w:w="720"/>
          </w:cols>
        </w:sectPr>
      </w:pPr>
    </w:p>
    <w:p w14:paraId="5C4F122C">
      <w:pPr>
        <w:spacing w:before="142" w:line="219" w:lineRule="auto"/>
        <w:ind w:left="3206"/>
        <w:jc w:val="left"/>
        <w:rPr>
          <w:rFonts w:ascii="宋体" w:hAnsi="宋体" w:eastAsia="宋体" w:cs="宋体"/>
          <w:color w:val="auto"/>
          <w:sz w:val="29"/>
          <w:szCs w:val="29"/>
        </w:rPr>
      </w:pPr>
      <w:r>
        <w:rPr>
          <w:rFonts w:ascii="宋体" w:hAnsi="宋体" w:eastAsia="宋体" w:cs="宋体"/>
          <w:b/>
          <w:bCs/>
          <w:color w:val="auto"/>
          <w:spacing w:val="2"/>
          <w:sz w:val="29"/>
          <w:szCs w:val="29"/>
        </w:rPr>
        <w:t>第二部分通用合同条款</w:t>
      </w:r>
    </w:p>
    <w:p w14:paraId="53051B77">
      <w:pPr>
        <w:spacing w:before="206" w:line="219" w:lineRule="auto"/>
        <w:jc w:val="left"/>
        <w:rPr>
          <w:rFonts w:ascii="宋体" w:hAnsi="宋体" w:eastAsia="宋体" w:cs="宋体"/>
          <w:color w:val="auto"/>
          <w:sz w:val="24"/>
          <w:szCs w:val="24"/>
        </w:rPr>
      </w:pPr>
      <w:r>
        <w:rPr>
          <w:rFonts w:ascii="宋体" w:hAnsi="宋体" w:eastAsia="宋体" w:cs="宋体"/>
          <w:color w:val="auto"/>
          <w:spacing w:val="-1"/>
          <w:sz w:val="24"/>
          <w:szCs w:val="24"/>
        </w:rPr>
        <w:t>通用条款部分按照建设工程施工合同示范文本</w:t>
      </w:r>
      <w:r>
        <w:rPr>
          <w:rFonts w:ascii="Times New Roman" w:hAnsi="Times New Roman" w:eastAsia="Times New Roman" w:cs="Times New Roman"/>
          <w:color w:val="auto"/>
          <w:spacing w:val="-1"/>
          <w:sz w:val="24"/>
          <w:szCs w:val="24"/>
        </w:rPr>
        <w:t>G</w:t>
      </w:r>
      <w:r>
        <w:rPr>
          <w:rFonts w:ascii="Times New Roman" w:hAnsi="Times New Roman" w:eastAsia="Times New Roman" w:cs="Times New Roman"/>
          <w:color w:val="auto"/>
          <w:spacing w:val="-2"/>
          <w:sz w:val="24"/>
          <w:szCs w:val="24"/>
        </w:rPr>
        <w:t>F-2013-0201</w:t>
      </w:r>
      <w:r>
        <w:rPr>
          <w:rFonts w:ascii="宋体" w:hAnsi="宋体" w:eastAsia="宋体" w:cs="宋体"/>
          <w:color w:val="auto"/>
          <w:spacing w:val="-2"/>
          <w:sz w:val="24"/>
          <w:szCs w:val="24"/>
        </w:rPr>
        <w:t>中的通用合同条款执行。</w:t>
      </w:r>
    </w:p>
    <w:p w14:paraId="674AF92D">
      <w:pPr>
        <w:pStyle w:val="22"/>
        <w:spacing w:line="259" w:lineRule="auto"/>
        <w:jc w:val="left"/>
        <w:rPr>
          <w:color w:val="auto"/>
        </w:rPr>
      </w:pPr>
    </w:p>
    <w:p w14:paraId="68C83D70">
      <w:pPr>
        <w:pStyle w:val="22"/>
        <w:spacing w:line="259" w:lineRule="auto"/>
        <w:jc w:val="left"/>
        <w:rPr>
          <w:color w:val="auto"/>
        </w:rPr>
      </w:pPr>
    </w:p>
    <w:p w14:paraId="515F4911">
      <w:pPr>
        <w:pStyle w:val="22"/>
        <w:spacing w:line="260" w:lineRule="auto"/>
        <w:jc w:val="left"/>
        <w:rPr>
          <w:color w:val="auto"/>
        </w:rPr>
      </w:pPr>
    </w:p>
    <w:p w14:paraId="0ABC5F30">
      <w:pPr>
        <w:pStyle w:val="22"/>
        <w:spacing w:line="260" w:lineRule="auto"/>
        <w:jc w:val="left"/>
        <w:rPr>
          <w:color w:val="auto"/>
        </w:rPr>
      </w:pPr>
    </w:p>
    <w:p w14:paraId="51788FDF">
      <w:pPr>
        <w:pStyle w:val="22"/>
        <w:spacing w:line="260" w:lineRule="auto"/>
        <w:jc w:val="left"/>
        <w:rPr>
          <w:color w:val="auto"/>
        </w:rPr>
      </w:pPr>
    </w:p>
    <w:p w14:paraId="01D46F90">
      <w:pPr>
        <w:spacing w:line="2380" w:lineRule="exact"/>
        <w:ind w:firstLine="1251"/>
        <w:jc w:val="left"/>
        <w:rPr>
          <w:color w:val="auto"/>
        </w:rPr>
      </w:pPr>
    </w:p>
    <w:p w14:paraId="567236F4">
      <w:pPr>
        <w:spacing w:line="2380" w:lineRule="exact"/>
        <w:jc w:val="left"/>
        <w:rPr>
          <w:color w:val="auto"/>
        </w:rPr>
        <w:sectPr>
          <w:footerReference r:id="rId4" w:type="default"/>
          <w:pgSz w:w="12320" w:h="17120"/>
          <w:pgMar w:top="1455" w:right="1456" w:bottom="1426" w:left="1848" w:header="0" w:footer="1299" w:gutter="0"/>
          <w:cols w:space="720" w:num="1"/>
        </w:sectPr>
      </w:pPr>
    </w:p>
    <w:p w14:paraId="5CAD45E1">
      <w:pPr>
        <w:spacing w:before="58" w:line="219" w:lineRule="auto"/>
        <w:ind w:left="3563"/>
        <w:jc w:val="left"/>
        <w:rPr>
          <w:rFonts w:ascii="宋体" w:hAnsi="宋体" w:eastAsia="宋体" w:cs="宋体"/>
          <w:color w:val="auto"/>
          <w:sz w:val="29"/>
          <w:szCs w:val="29"/>
        </w:rPr>
      </w:pPr>
      <w:r>
        <w:rPr>
          <w:rFonts w:ascii="宋体" w:hAnsi="宋体" w:eastAsia="宋体" w:cs="宋体"/>
          <w:b/>
          <w:bCs/>
          <w:color w:val="auto"/>
          <w:spacing w:val="-12"/>
          <w:sz w:val="29"/>
          <w:szCs w:val="29"/>
        </w:rPr>
        <w:t>第三部分</w:t>
      </w:r>
      <w:r>
        <w:rPr>
          <w:rFonts w:ascii="宋体" w:hAnsi="宋体" w:eastAsia="宋体" w:cs="宋体"/>
          <w:color w:val="auto"/>
          <w:spacing w:val="65"/>
          <w:sz w:val="29"/>
          <w:szCs w:val="29"/>
        </w:rPr>
        <w:t xml:space="preserve">  </w:t>
      </w:r>
      <w:r>
        <w:rPr>
          <w:rFonts w:ascii="宋体" w:hAnsi="宋体" w:eastAsia="宋体" w:cs="宋体"/>
          <w:b/>
          <w:bCs/>
          <w:color w:val="auto"/>
          <w:spacing w:val="-12"/>
          <w:sz w:val="29"/>
          <w:szCs w:val="29"/>
        </w:rPr>
        <w:t>专用条款</w:t>
      </w:r>
    </w:p>
    <w:p w14:paraId="4C36BF40">
      <w:pPr>
        <w:pStyle w:val="22"/>
        <w:spacing w:line="251" w:lineRule="auto"/>
        <w:jc w:val="left"/>
        <w:rPr>
          <w:color w:val="auto"/>
        </w:rPr>
      </w:pPr>
    </w:p>
    <w:p w14:paraId="1014CF82">
      <w:pPr>
        <w:spacing w:before="75" w:line="220" w:lineRule="auto"/>
        <w:ind w:left="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一般约定</w:t>
      </w:r>
    </w:p>
    <w:p w14:paraId="6A8B70A4">
      <w:pPr>
        <w:pStyle w:val="22"/>
        <w:spacing w:line="249" w:lineRule="auto"/>
        <w:jc w:val="left"/>
        <w:rPr>
          <w:rFonts w:hint="eastAsia" w:asciiTheme="minorEastAsia" w:hAnsiTheme="minorEastAsia" w:eastAsiaTheme="minorEastAsia" w:cstheme="minorEastAsia"/>
          <w:color w:val="auto"/>
          <w:sz w:val="24"/>
          <w:szCs w:val="24"/>
        </w:rPr>
      </w:pPr>
    </w:p>
    <w:p w14:paraId="2766CB71">
      <w:pPr>
        <w:spacing w:before="75"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13"/>
          <w:sz w:val="24"/>
          <w:szCs w:val="24"/>
        </w:rPr>
        <w:t>1词语定义</w:t>
      </w:r>
    </w:p>
    <w:p w14:paraId="5A138F69">
      <w:pPr>
        <w:spacing w:before="2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1.1.1合同</w:t>
      </w:r>
    </w:p>
    <w:p w14:paraId="2A1BFBCB">
      <w:pPr>
        <w:spacing w:before="181"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1.1.1.1其他合同文件包括：</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2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7FF15206">
      <w:pPr>
        <w:spacing w:before="168"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1.1.2工程和设备</w:t>
      </w:r>
    </w:p>
    <w:p w14:paraId="715D1DCA">
      <w:pPr>
        <w:spacing w:before="185"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"1.1.2.1"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pacing w:val="3"/>
          <w:sz w:val="24"/>
          <w:szCs w:val="24"/>
        </w:rPr>
        <w:t>1.1.2.1</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3"/>
          <w:sz w:val="24"/>
          <w:szCs w:val="24"/>
        </w:rPr>
        <w:t xml:space="preserve">作为施工现场组成部分的其他场所包括： </w:t>
      </w:r>
      <w:r>
        <w:rPr>
          <w:rFonts w:hint="eastAsia" w:asciiTheme="minorEastAsia" w:hAnsiTheme="minorEastAsia" w:eastAsiaTheme="minorEastAsia" w:cstheme="minorEastAsia"/>
          <w:color w:val="auto"/>
          <w:spacing w:val="3"/>
          <w:sz w:val="24"/>
          <w:szCs w:val="24"/>
          <w:u w:val="single" w:color="auto"/>
        </w:rPr>
        <w:t>按现有条件施工</w:t>
      </w:r>
      <w:r>
        <w:rPr>
          <w:rFonts w:hint="eastAsia" w:asciiTheme="minorEastAsia" w:hAnsiTheme="minorEastAsia" w:eastAsiaTheme="minorEastAsia" w:cstheme="minorEastAsia"/>
          <w:color w:val="auto"/>
          <w:spacing w:val="3"/>
          <w:sz w:val="24"/>
          <w:szCs w:val="24"/>
        </w:rPr>
        <w:t>。</w:t>
      </w:r>
    </w:p>
    <w:p w14:paraId="672945AD">
      <w:pPr>
        <w:spacing w:before="198" w:line="221"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1.1.2.2永久占地包括：</w:t>
      </w:r>
      <w:r>
        <w:rPr>
          <w:rFonts w:hint="eastAsia" w:asciiTheme="minorEastAsia" w:hAnsiTheme="minorEastAsia" w:eastAsiaTheme="minorEastAsia" w:cstheme="minorEastAsia"/>
          <w:color w:val="auto"/>
          <w:spacing w:val="3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z w:val="24"/>
          <w:szCs w:val="24"/>
        </w:rPr>
        <w:t>。</w:t>
      </w:r>
    </w:p>
    <w:p w14:paraId="0D2C9D41">
      <w:pPr>
        <w:spacing w:before="184"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1.1.2.3临时占地包括：</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rPr>
        <w:t>。</w:t>
      </w:r>
    </w:p>
    <w:p w14:paraId="123C8CBE">
      <w:pPr>
        <w:spacing w:before="17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1.2法律</w:t>
      </w:r>
    </w:p>
    <w:p w14:paraId="408A0F79">
      <w:pPr>
        <w:spacing w:before="276" w:line="366" w:lineRule="auto"/>
        <w:ind w:left="29" w:right="140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适用于合同的其他规范性文件</w:t>
      </w:r>
      <w:r>
        <w:rPr>
          <w:rFonts w:hint="eastAsia" w:asciiTheme="minorEastAsia" w:hAnsiTheme="minorEastAsia" w:eastAsiaTheme="minorEastAsia" w:cstheme="minorEastAsia"/>
          <w:color w:val="auto"/>
          <w:sz w:val="24"/>
          <w:szCs w:val="24"/>
          <w:u w:val="single" w:color="auto"/>
        </w:rPr>
        <w:t>：《中华人民共和国建筑</w:t>
      </w:r>
      <w:r>
        <w:rPr>
          <w:rFonts w:hint="eastAsia" w:asciiTheme="minorEastAsia" w:hAnsiTheme="minorEastAsia" w:eastAsiaTheme="minorEastAsia" w:cstheme="minorEastAsia"/>
          <w:color w:val="auto"/>
          <w:spacing w:val="-1"/>
          <w:sz w:val="24"/>
          <w:szCs w:val="24"/>
          <w:u w:val="single" w:color="auto"/>
        </w:rPr>
        <w:t>法》、《中华人民共和国民</w:t>
      </w:r>
      <w:r>
        <w:rPr>
          <w:rFonts w:hint="eastAsia" w:asciiTheme="minorEastAsia" w:hAnsiTheme="minorEastAsia" w:eastAsiaTheme="minorEastAsia" w:cstheme="minorEastAsia"/>
          <w:color w:val="auto"/>
          <w:sz w:val="24"/>
          <w:szCs w:val="24"/>
          <w:u w:val="single" w:color="auto"/>
        </w:rPr>
        <w:t>法典》及相应的法律和地方政府的有关规定等。</w:t>
      </w:r>
    </w:p>
    <w:p w14:paraId="3FD272E2">
      <w:pPr>
        <w:spacing w:line="220"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8"/>
          <w:sz w:val="24"/>
          <w:szCs w:val="24"/>
        </w:rPr>
        <w:t>1.3标准和规范</w:t>
      </w:r>
    </w:p>
    <w:p w14:paraId="0722D46D">
      <w:pPr>
        <w:spacing w:before="275" w:line="377" w:lineRule="auto"/>
        <w:ind w:right="13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1.3.1适用于工程的标准规范包括</w:t>
      </w:r>
      <w:r>
        <w:rPr>
          <w:rFonts w:hint="eastAsia" w:asciiTheme="minorEastAsia" w:hAnsiTheme="minorEastAsia" w:eastAsiaTheme="minorEastAsia" w:cstheme="minorEastAsia"/>
          <w:color w:val="auto"/>
          <w:spacing w:val="-1"/>
          <w:sz w:val="24"/>
          <w:szCs w:val="24"/>
          <w:u w:val="single" w:color="auto"/>
        </w:rPr>
        <w:t>：《建设工程质量管理条例》、</w:t>
      </w:r>
      <w:r>
        <w:rPr>
          <w:rFonts w:hint="eastAsia" w:asciiTheme="minorEastAsia" w:hAnsiTheme="minorEastAsia" w:eastAsiaTheme="minorEastAsia" w:cstheme="minorEastAsia"/>
          <w:color w:val="auto"/>
          <w:spacing w:val="-2"/>
          <w:sz w:val="24"/>
          <w:szCs w:val="24"/>
          <w:u w:val="single" w:color="auto"/>
        </w:rPr>
        <w:t>国家及重庆现行与</w:t>
      </w:r>
      <w:r>
        <w:rPr>
          <w:rFonts w:hint="eastAsia" w:asciiTheme="minorEastAsia" w:hAnsiTheme="minorEastAsia" w:eastAsiaTheme="minorEastAsia" w:cstheme="minorEastAsia"/>
          <w:color w:val="auto"/>
          <w:spacing w:val="4"/>
          <w:sz w:val="24"/>
          <w:szCs w:val="24"/>
          <w:u w:val="single" w:color="auto"/>
        </w:rPr>
        <w:t>本工程相关的施工验收规范、质量标准及操作规程</w:t>
      </w:r>
      <w:r>
        <w:rPr>
          <w:rFonts w:hint="eastAsia" w:asciiTheme="minorEastAsia" w:hAnsiTheme="minorEastAsia" w:eastAsiaTheme="minorEastAsia" w:cstheme="minorEastAsia"/>
          <w:color w:val="auto"/>
          <w:spacing w:val="4"/>
          <w:sz w:val="24"/>
          <w:szCs w:val="24"/>
        </w:rPr>
        <w:t>。</w:t>
      </w:r>
    </w:p>
    <w:p w14:paraId="76C43180">
      <w:pPr>
        <w:spacing w:before="1" w:line="218"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 xml:space="preserve">1.3.2发包人提供国外标准、规范的名称：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724A3B80">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发包人提供国外标准、规范的份数：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27E95D11">
      <w:pPr>
        <w:spacing w:before="197"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发包人提供国外标准、规范的名称：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        </w:t>
      </w:r>
      <w:r>
        <w:rPr>
          <w:rFonts w:hint="eastAsia" w:asciiTheme="minorEastAsia" w:hAnsiTheme="minorEastAsia" w:eastAsiaTheme="minorEastAsia" w:cstheme="minorEastAsia"/>
          <w:color w:val="auto"/>
          <w:sz w:val="24"/>
          <w:szCs w:val="24"/>
        </w:rPr>
        <w:t>。</w:t>
      </w:r>
    </w:p>
    <w:p w14:paraId="258C7E5B">
      <w:pPr>
        <w:spacing w:before="179" w:line="219" w:lineRule="auto"/>
        <w:ind w:left="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1.3.3发包人对工程的技术标准和功能要求的特殊要求：</w:t>
      </w:r>
      <w:r>
        <w:rPr>
          <w:rFonts w:hint="eastAsia" w:asciiTheme="minorEastAsia" w:hAnsiTheme="minorEastAsia" w:eastAsiaTheme="minorEastAsia" w:cstheme="minorEastAsia"/>
          <w:color w:val="auto"/>
          <w:spacing w:val="11"/>
          <w:sz w:val="24"/>
          <w:szCs w:val="24"/>
          <w:u w:val="single" w:color="auto"/>
        </w:rPr>
        <w:t>见施工图设计文件</w:t>
      </w:r>
      <w:r>
        <w:rPr>
          <w:rFonts w:hint="eastAsia" w:asciiTheme="minorEastAsia" w:hAnsiTheme="minorEastAsia" w:eastAsiaTheme="minorEastAsia" w:cstheme="minorEastAsia"/>
          <w:color w:val="auto"/>
          <w:spacing w:val="11"/>
          <w:sz w:val="24"/>
          <w:szCs w:val="24"/>
        </w:rPr>
        <w:t>。</w:t>
      </w:r>
    </w:p>
    <w:p w14:paraId="030F1F4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1.4合同文件的优先顺序</w:t>
      </w:r>
    </w:p>
    <w:p w14:paraId="635197FE">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合同文件组成及优先顺序为：</w:t>
      </w:r>
    </w:p>
    <w:p w14:paraId="4B0D3E4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(1)合同协议书；</w:t>
      </w:r>
    </w:p>
    <w:p w14:paraId="275D1AE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(2)成交通知书；</w:t>
      </w:r>
    </w:p>
    <w:p w14:paraId="2CA7715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(3)采购报价函及其明细报价表；</w:t>
      </w:r>
    </w:p>
    <w:p w14:paraId="2EFC3F80">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(4)专用合同条款及其附件；</w:t>
      </w:r>
    </w:p>
    <w:p w14:paraId="1D0AAB7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(5)通用合同条款；</w:t>
      </w:r>
    </w:p>
    <w:p w14:paraId="300E86AF">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(6)技术标准和要求；</w:t>
      </w:r>
    </w:p>
    <w:p w14:paraId="69031C7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(7)图纸；</w:t>
      </w:r>
    </w:p>
    <w:p w14:paraId="10BCF223">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(8)已标价工程量清单；</w:t>
      </w:r>
    </w:p>
    <w:p w14:paraId="0574B291">
      <w:pPr>
        <w:spacing w:before="135" w:line="219" w:lineRule="auto"/>
        <w:ind w:left="0" w:right="0" w:firstLine="464" w:firstLineChars="200"/>
        <w:jc w:val="left"/>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(9)其他合同文件(合同实施期间合同当事人的往来文件包括信函、纪要、备忘等 ) 。</w:t>
      </w:r>
    </w:p>
    <w:p w14:paraId="4D580FFE">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1.5图纸和承包人文件</w:t>
      </w:r>
    </w:p>
    <w:p w14:paraId="50E4FD90">
      <w:pPr>
        <w:spacing w:before="197" w:line="219" w:lineRule="auto"/>
        <w:ind w:left="43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1.5.1 图纸的提供</w:t>
      </w:r>
    </w:p>
    <w:p w14:paraId="17021E8A">
      <w:pPr>
        <w:spacing w:before="19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发包人向承包人提供图纸的期限：</w:t>
      </w:r>
      <w:r>
        <w:rPr>
          <w:rFonts w:hint="eastAsia" w:asciiTheme="minorEastAsia" w:hAnsiTheme="minorEastAsia" w:eastAsiaTheme="minorEastAsia" w:cstheme="minorEastAsia"/>
          <w:color w:val="auto"/>
          <w:spacing w:val="6"/>
          <w:sz w:val="24"/>
          <w:szCs w:val="24"/>
          <w:u w:val="single" w:color="auto"/>
        </w:rPr>
        <w:t>合同签订</w:t>
      </w:r>
      <w:r>
        <w:rPr>
          <w:rFonts w:hint="eastAsia" w:asciiTheme="minorEastAsia" w:hAnsiTheme="minorEastAsia" w:eastAsiaTheme="minorEastAsia" w:cstheme="minorEastAsia"/>
          <w:color w:val="auto"/>
          <w:spacing w:val="5"/>
          <w:sz w:val="24"/>
          <w:szCs w:val="24"/>
          <w:u w:val="single" w:color="auto"/>
          <w:lang w:val="en-US" w:eastAsia="zh-CN"/>
        </w:rPr>
        <w:t>10</w:t>
      </w:r>
      <w:r>
        <w:rPr>
          <w:rFonts w:hint="eastAsia" w:asciiTheme="minorEastAsia" w:hAnsiTheme="minorEastAsia" w:eastAsiaTheme="minorEastAsia" w:cstheme="minorEastAsia"/>
          <w:color w:val="auto"/>
          <w:spacing w:val="5"/>
          <w:sz w:val="24"/>
          <w:szCs w:val="24"/>
          <w:u w:val="single" w:color="auto"/>
        </w:rPr>
        <w:t>日内提供施工图</w:t>
      </w:r>
      <w:r>
        <w:rPr>
          <w:rFonts w:hint="eastAsia" w:asciiTheme="minorEastAsia" w:hAnsiTheme="minorEastAsia" w:eastAsiaTheme="minorEastAsia" w:cstheme="minorEastAsia"/>
          <w:color w:val="auto"/>
          <w:spacing w:val="5"/>
          <w:sz w:val="24"/>
          <w:szCs w:val="24"/>
        </w:rPr>
        <w:t xml:space="preserve">  ：</w:t>
      </w:r>
    </w:p>
    <w:p w14:paraId="72FBAAFC">
      <w:pPr>
        <w:spacing w:before="13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发包人向承包人提供图纸的数量：</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lang w:val="en-US" w:eastAsia="zh-CN"/>
        </w:rPr>
        <w:t>1</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3A5F6DA0">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发包人向承包人提供图纸的内容：</w:t>
      </w:r>
      <w:r>
        <w:rPr>
          <w:rFonts w:hint="eastAsia" w:asciiTheme="minorEastAsia" w:hAnsiTheme="minorEastAsia" w:eastAsiaTheme="minorEastAsia" w:cstheme="minorEastAsia"/>
          <w:color w:val="auto"/>
          <w:spacing w:val="-1"/>
          <w:sz w:val="24"/>
          <w:szCs w:val="24"/>
          <w:u w:val="single" w:color="auto"/>
        </w:rPr>
        <w:t xml:space="preserve">    完整</w:t>
      </w:r>
      <w:r>
        <w:rPr>
          <w:rFonts w:hint="eastAsia" w:asciiTheme="minorEastAsia" w:hAnsiTheme="minorEastAsia" w:eastAsiaTheme="minorEastAsia" w:cstheme="minorEastAsia"/>
          <w:color w:val="auto"/>
          <w:spacing w:val="-2"/>
          <w:sz w:val="24"/>
          <w:szCs w:val="24"/>
          <w:u w:val="single" w:color="auto"/>
        </w:rPr>
        <w:t>的施工图。</w:t>
      </w:r>
    </w:p>
    <w:p w14:paraId="3722390B">
      <w:pPr>
        <w:spacing w:before="17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1.5.2承包人文件</w:t>
      </w:r>
    </w:p>
    <w:p w14:paraId="7B316A60">
      <w:pPr>
        <w:spacing w:before="184"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需要由承包人提供的文件，包括：</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30E53AC5">
      <w:pPr>
        <w:spacing w:before="186"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承包人提供的文件的期限为：</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p>
    <w:p w14:paraId="339E367B">
      <w:pPr>
        <w:spacing w:before="172"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承包人提供的文件的数量为：</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6"/>
          <w:sz w:val="24"/>
          <w:szCs w:val="24"/>
        </w:rPr>
        <w:t>;</w:t>
      </w:r>
    </w:p>
    <w:p w14:paraId="14C32482">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承包人提供的文件的形式为：</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w:t>
      </w:r>
    </w:p>
    <w:p w14:paraId="6A0765EB">
      <w:pPr>
        <w:spacing w:before="14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发包人审批承包人文件的期限：</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0FC01909">
      <w:pPr>
        <w:spacing w:before="166"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1.5.3现场图纸准备</w:t>
      </w:r>
    </w:p>
    <w:p w14:paraId="73642DD6">
      <w:pPr>
        <w:spacing w:before="194" w:line="22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关于现场图纸准备的约定：</w:t>
      </w:r>
      <w:r>
        <w:rPr>
          <w:rFonts w:hint="eastAsia" w:asciiTheme="minorEastAsia" w:hAnsiTheme="minorEastAsia" w:eastAsiaTheme="minorEastAsia" w:cstheme="minorEastAsia"/>
          <w:color w:val="auto"/>
          <w:spacing w:val="2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p>
    <w:p w14:paraId="4D09F9FE">
      <w:pPr>
        <w:spacing w:before="177" w:line="22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3"/>
          <w:sz w:val="24"/>
          <w:szCs w:val="24"/>
        </w:rPr>
        <w:t>6联络</w:t>
      </w:r>
    </w:p>
    <w:p w14:paraId="013474BE">
      <w:pPr>
        <w:spacing w:before="269" w:line="361"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1.6.1发包人和承包人应当</w:t>
      </w:r>
      <w:r>
        <w:rPr>
          <w:rFonts w:hint="eastAsia" w:asciiTheme="minorEastAsia" w:hAnsiTheme="minorEastAsia" w:eastAsiaTheme="minorEastAsia" w:cstheme="minorEastAsia"/>
          <w:color w:val="auto"/>
          <w:spacing w:val="-5"/>
          <w:sz w:val="24"/>
          <w:szCs w:val="24"/>
          <w:u w:val="none" w:color="auto"/>
        </w:rPr>
        <w:t>在</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4"/>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rPr>
        <w:t xml:space="preserve">  天内将与合同有关的通知、批准、证明、证书、</w:t>
      </w:r>
      <w:r>
        <w:rPr>
          <w:rFonts w:hint="eastAsia" w:asciiTheme="minorEastAsia" w:hAnsiTheme="minorEastAsia" w:eastAsiaTheme="minorEastAsia" w:cstheme="minorEastAsia"/>
          <w:color w:val="auto"/>
          <w:spacing w:val="-3"/>
          <w:sz w:val="24"/>
          <w:szCs w:val="24"/>
        </w:rPr>
        <w:t>指示、指令、要求、请求、同意、意见、确定和决定等书面函件送达对方当事人。</w:t>
      </w:r>
    </w:p>
    <w:p w14:paraId="1C077AAF">
      <w:pPr>
        <w:spacing w:before="1" w:line="218"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1.6.2发包人接收文件的地点：</w:t>
      </w:r>
    </w:p>
    <w:p w14:paraId="6918F542">
      <w:pPr>
        <w:spacing w:before="207"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发包人指定的接收人为：</w:t>
      </w:r>
    </w:p>
    <w:p w14:paraId="542240BA">
      <w:pPr>
        <w:spacing w:before="16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承包人接收文件的地点：</w:t>
      </w:r>
    </w:p>
    <w:p w14:paraId="70A592D7">
      <w:pPr>
        <w:spacing w:before="176"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承包人指定的接收人为：</w:t>
      </w:r>
    </w:p>
    <w:p w14:paraId="5665D0D2">
      <w:pPr>
        <w:spacing w:before="1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1.7交通运输</w:t>
      </w:r>
    </w:p>
    <w:p w14:paraId="2CD4A3FD">
      <w:pPr>
        <w:spacing w:before="29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1.7.1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5"/>
          <w:sz w:val="24"/>
          <w:szCs w:val="24"/>
        </w:rPr>
        <w:t>出入现场的权利</w:t>
      </w:r>
    </w:p>
    <w:p w14:paraId="541867CB">
      <w:pPr>
        <w:spacing w:before="182" w:line="222"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关于出入现场的权利的约定：</w:t>
      </w:r>
      <w:r>
        <w:rPr>
          <w:rFonts w:hint="eastAsia" w:asciiTheme="minorEastAsia" w:hAnsiTheme="minorEastAsia" w:eastAsiaTheme="minorEastAsia" w:cstheme="minorEastAsia"/>
          <w:color w:val="auto"/>
          <w:spacing w:val="17"/>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r>
        <w:rPr>
          <w:rFonts w:hint="eastAsia" w:asciiTheme="minorEastAsia" w:hAnsiTheme="minorEastAsia" w:eastAsiaTheme="minorEastAsia" w:cstheme="minorEastAsia"/>
          <w:color w:val="auto"/>
          <w:spacing w:val="4"/>
          <w:position w:val="1"/>
          <w:sz w:val="24"/>
          <w:szCs w:val="24"/>
          <w:u w:val="single" w:color="auto"/>
        </w:rPr>
        <w:t xml:space="preserve">                  </w:t>
      </w:r>
      <w:r>
        <w:rPr>
          <w:rFonts w:hint="eastAsia" w:asciiTheme="minorEastAsia" w:hAnsiTheme="minorEastAsia" w:eastAsiaTheme="minorEastAsia" w:cstheme="minorEastAsia"/>
          <w:color w:val="auto"/>
          <w:spacing w:val="-2"/>
          <w:position w:val="1"/>
          <w:sz w:val="24"/>
          <w:szCs w:val="24"/>
          <w:u w:val="single" w:color="auto"/>
        </w:rPr>
        <w:t>。</w:t>
      </w:r>
    </w:p>
    <w:p w14:paraId="0490EC97">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1.7.2场内交通</w:t>
      </w:r>
    </w:p>
    <w:p w14:paraId="72EA6044">
      <w:pPr>
        <w:spacing w:before="175"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关于场外交通和场内交通的边界的约定：</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现场现状  </w:t>
      </w:r>
      <w:r>
        <w:rPr>
          <w:rFonts w:hint="eastAsia" w:asciiTheme="minorEastAsia" w:hAnsiTheme="minorEastAsia" w:eastAsiaTheme="minorEastAsia" w:cstheme="minorEastAsia"/>
          <w:color w:val="auto"/>
          <w:spacing w:val="4"/>
          <w:sz w:val="24"/>
          <w:szCs w:val="24"/>
        </w:rPr>
        <w:t>。</w:t>
      </w:r>
    </w:p>
    <w:p w14:paraId="190623B6">
      <w:pPr>
        <w:spacing w:before="139" w:line="219" w:lineRule="auto"/>
        <w:ind w:left="0"/>
        <w:jc w:val="left"/>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关于发包人向承包人免费提供满足工程施工需要的场内道路和交通设施的约定：</w:t>
      </w:r>
    </w:p>
    <w:p w14:paraId="07081CD8">
      <w:pPr>
        <w:spacing w:before="139" w:line="219"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1.7.3超大件和超重件的运输</w:t>
      </w:r>
    </w:p>
    <w:p w14:paraId="340F0C7D">
      <w:pPr>
        <w:spacing w:before="177" w:line="365" w:lineRule="auto"/>
        <w:ind w:right="128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运输超大件或超重件所需的道路和桥梁临时加固改造费用和其他有关</w:t>
      </w:r>
      <w:r>
        <w:rPr>
          <w:rFonts w:hint="eastAsia" w:asciiTheme="minorEastAsia" w:hAnsiTheme="minorEastAsia" w:eastAsiaTheme="minorEastAsia" w:cstheme="minorEastAsia"/>
          <w:color w:val="auto"/>
          <w:spacing w:val="9"/>
          <w:sz w:val="24"/>
          <w:szCs w:val="24"/>
        </w:rPr>
        <w:t>费用由</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承</w:t>
      </w:r>
      <w:r>
        <w:rPr>
          <w:rFonts w:hint="eastAsia" w:asciiTheme="minorEastAsia" w:hAnsiTheme="minorEastAsia" w:eastAsiaTheme="minorEastAsia" w:cstheme="minorEastAsia"/>
          <w:color w:val="auto"/>
          <w:spacing w:val="-2"/>
          <w:sz w:val="24"/>
          <w:szCs w:val="24"/>
          <w:u w:val="single" w:color="auto"/>
        </w:rPr>
        <w:t>包人</w:t>
      </w:r>
      <w:r>
        <w:rPr>
          <w:rFonts w:hint="eastAsia" w:asciiTheme="minorEastAsia" w:hAnsiTheme="minorEastAsia" w:eastAsiaTheme="minorEastAsia" w:cstheme="minorEastAsia"/>
          <w:color w:val="auto"/>
          <w:spacing w:val="35"/>
          <w:sz w:val="24"/>
          <w:szCs w:val="24"/>
          <w:u w:val="single" w:color="auto"/>
        </w:rPr>
        <w:t xml:space="preserve"> </w:t>
      </w:r>
      <w:r>
        <w:rPr>
          <w:rFonts w:hint="eastAsia" w:asciiTheme="minorEastAsia" w:hAnsiTheme="minorEastAsia" w:eastAsiaTheme="minorEastAsia" w:cstheme="minorEastAsia"/>
          <w:color w:val="auto"/>
          <w:spacing w:val="-2"/>
          <w:sz w:val="24"/>
          <w:szCs w:val="24"/>
        </w:rPr>
        <w:t>承担。</w:t>
      </w:r>
    </w:p>
    <w:p w14:paraId="2F03F354">
      <w:pPr>
        <w:spacing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1.8知识产权</w:t>
      </w:r>
    </w:p>
    <w:p w14:paraId="56093ECD">
      <w:pPr>
        <w:spacing w:before="255" w:line="372" w:lineRule="auto"/>
        <w:ind w:right="122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1.8.1关于发包人提供给承包人的图纸、发包人为实施工程自行编制或委托</w:t>
      </w:r>
      <w:r>
        <w:rPr>
          <w:rFonts w:hint="eastAsia" w:asciiTheme="minorEastAsia" w:hAnsiTheme="minorEastAsia" w:eastAsiaTheme="minorEastAsia" w:cstheme="minorEastAsia"/>
          <w:color w:val="auto"/>
          <w:spacing w:val="7"/>
          <w:sz w:val="24"/>
          <w:szCs w:val="24"/>
        </w:rPr>
        <w:t>编制的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技术规范以及反映发包人关于合同要求或其他类似性质的文件的著作权的归属：发包</w:t>
      </w:r>
      <w:r>
        <w:rPr>
          <w:rFonts w:hint="eastAsia" w:asciiTheme="minorEastAsia" w:hAnsiTheme="minorEastAsia" w:eastAsiaTheme="minorEastAsia" w:cstheme="minorEastAsia"/>
          <w:color w:val="auto"/>
          <w:spacing w:val="-6"/>
          <w:sz w:val="24"/>
          <w:szCs w:val="24"/>
        </w:rPr>
        <w:t>人</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6"/>
          <w:sz w:val="24"/>
          <w:szCs w:val="24"/>
        </w:rPr>
        <w:t>。</w:t>
      </w:r>
    </w:p>
    <w:p w14:paraId="62A5392E">
      <w:pPr>
        <w:tabs>
          <w:tab w:val="left" w:pos="9037"/>
        </w:tabs>
        <w:spacing w:before="2" w:line="358" w:lineRule="auto"/>
        <w:ind w:right="115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关于发包人提供的上述文件的使用限制的要求：</w:t>
      </w:r>
      <w:r>
        <w:rPr>
          <w:rFonts w:hint="eastAsia" w:asciiTheme="minorEastAsia" w:hAnsiTheme="minorEastAsia" w:eastAsiaTheme="minorEastAsia" w:cstheme="minorEastAsia"/>
          <w:color w:val="auto"/>
          <w:spacing w:val="5"/>
          <w:sz w:val="24"/>
          <w:szCs w:val="24"/>
          <w:u w:val="single" w:color="auto"/>
        </w:rPr>
        <w:t>承包人可</w:t>
      </w:r>
      <w:r>
        <w:rPr>
          <w:rFonts w:hint="eastAsia" w:asciiTheme="minorEastAsia" w:hAnsiTheme="minorEastAsia" w:eastAsiaTheme="minorEastAsia" w:cstheme="minorEastAsia"/>
          <w:color w:val="auto"/>
          <w:spacing w:val="4"/>
          <w:sz w:val="24"/>
          <w:szCs w:val="24"/>
          <w:u w:val="single" w:color="auto"/>
        </w:rPr>
        <w:t>以为实现合同目的复制、</w:t>
      </w:r>
      <w:r>
        <w:rPr>
          <w:rFonts w:hint="eastAsia" w:asciiTheme="minorEastAsia" w:hAnsiTheme="minorEastAsia" w:eastAsiaTheme="minorEastAsia" w:cstheme="minorEastAsia"/>
          <w:color w:val="auto"/>
          <w:spacing w:val="11"/>
          <w:sz w:val="24"/>
          <w:szCs w:val="24"/>
          <w:u w:val="single" w:color="auto"/>
        </w:rPr>
        <w:t>使用此类文件，但不能用于与合同无关的其他事项，未经发包人书面同意，</w:t>
      </w:r>
      <w:r>
        <w:rPr>
          <w:rFonts w:hint="eastAsia" w:asciiTheme="minorEastAsia" w:hAnsiTheme="minorEastAsia" w:eastAsiaTheme="minorEastAsia" w:cstheme="minorEastAsia"/>
          <w:color w:val="auto"/>
          <w:spacing w:val="11"/>
          <w:sz w:val="24"/>
          <w:szCs w:val="24"/>
          <w:u w:val="none" w:color="auto"/>
        </w:rPr>
        <w:t>承包人不</w:t>
      </w:r>
      <w:r>
        <w:rPr>
          <w:rFonts w:hint="eastAsia" w:asciiTheme="minorEastAsia" w:hAnsiTheme="minorEastAsia" w:eastAsiaTheme="minorEastAsia" w:cstheme="minorEastAsia"/>
          <w:color w:val="auto"/>
          <w:spacing w:val="8"/>
          <w:sz w:val="24"/>
          <w:szCs w:val="24"/>
        </w:rPr>
        <w:t>得为了合同以外的目的而复制、使用上述文件或将之提供给任何第三方。</w:t>
      </w:r>
    </w:p>
    <w:p w14:paraId="45B5F312">
      <w:pPr>
        <w:spacing w:before="1" w:line="219"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1.8.2关于承包人为实施工程所编制文件的著作权的归属：</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5"/>
          <w:sz w:val="24"/>
          <w:szCs w:val="24"/>
          <w:u w:val="single" w:color="auto"/>
        </w:rPr>
        <w:t>发包人。</w:t>
      </w:r>
    </w:p>
    <w:p w14:paraId="6F0CD1BB">
      <w:pPr>
        <w:spacing w:before="177" w:line="367" w:lineRule="auto"/>
        <w:ind w:right="1281"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关于承包人提供的上述文件的使用限制的要求：</w:t>
      </w:r>
      <w:r>
        <w:rPr>
          <w:rFonts w:hint="eastAsia" w:asciiTheme="minorEastAsia" w:hAnsiTheme="minorEastAsia" w:eastAsiaTheme="minorEastAsia" w:cstheme="minorEastAsia"/>
          <w:color w:val="auto"/>
          <w:spacing w:val="4"/>
          <w:sz w:val="24"/>
          <w:szCs w:val="24"/>
          <w:u w:val="single" w:color="auto"/>
        </w:rPr>
        <w:t>承包人可因实施工程的运行、调试、维修、改造等目的复制、使用此类文件，但不能用于与合同无关的其他事项，未经发包人书面同意，承包人不得为了合同以外的目的而复制、使用上述文件或将之提供给任何第三方。</w:t>
      </w:r>
    </w:p>
    <w:p w14:paraId="7C60ADDC">
      <w:pPr>
        <w:spacing w:before="1" w:line="365" w:lineRule="auto"/>
        <w:ind w:right="1339" w:firstLine="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1.8.3承包人在施工过程中所采用的专利、专有技术、技术秘密</w:t>
      </w:r>
      <w:r>
        <w:rPr>
          <w:rFonts w:hint="eastAsia" w:asciiTheme="minorEastAsia" w:hAnsiTheme="minorEastAsia" w:eastAsiaTheme="minorEastAsia" w:cstheme="minorEastAsia"/>
          <w:color w:val="auto"/>
          <w:spacing w:val="12"/>
          <w:sz w:val="24"/>
          <w:szCs w:val="24"/>
        </w:rPr>
        <w:t>的使用费的承担</w:t>
      </w:r>
      <w:r>
        <w:rPr>
          <w:rFonts w:hint="eastAsia" w:asciiTheme="minorEastAsia" w:hAnsiTheme="minorEastAsia" w:eastAsiaTheme="minorEastAsia" w:cstheme="minorEastAsia"/>
          <w:color w:val="auto"/>
          <w:spacing w:val="6"/>
          <w:sz w:val="24"/>
          <w:szCs w:val="24"/>
        </w:rPr>
        <w:t>方式：</w:t>
      </w:r>
      <w:r>
        <w:rPr>
          <w:rFonts w:hint="eastAsia" w:asciiTheme="minorEastAsia" w:hAnsiTheme="minorEastAsia" w:eastAsiaTheme="minorEastAsia" w:cstheme="minorEastAsia"/>
          <w:color w:val="auto"/>
          <w:spacing w:val="6"/>
          <w:sz w:val="24"/>
          <w:szCs w:val="24"/>
          <w:u w:val="single" w:color="auto"/>
        </w:rPr>
        <w:t>承包人承担，已包含在合同价中</w:t>
      </w:r>
      <w:r>
        <w:rPr>
          <w:rFonts w:hint="eastAsia" w:asciiTheme="minorEastAsia" w:hAnsiTheme="minorEastAsia" w:eastAsiaTheme="minorEastAsia" w:cstheme="minorEastAsia"/>
          <w:color w:val="auto"/>
          <w:spacing w:val="6"/>
          <w:sz w:val="24"/>
          <w:szCs w:val="24"/>
        </w:rPr>
        <w:t>。</w:t>
      </w:r>
    </w:p>
    <w:p w14:paraId="69CCA473">
      <w:pPr>
        <w:spacing w:line="219" w:lineRule="auto"/>
        <w:ind w:left="440"/>
        <w:jc w:val="left"/>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1.9工程量清单错误的修正</w:t>
      </w:r>
    </w:p>
    <w:p w14:paraId="1AA300C6">
      <w:pPr>
        <w:spacing w:line="219" w:lineRule="auto"/>
        <w:ind w:left="440"/>
        <w:jc w:val="left"/>
        <w:rPr>
          <w:rFonts w:hint="eastAsia" w:asciiTheme="minorEastAsia" w:hAnsiTheme="minorEastAsia" w:eastAsiaTheme="minorEastAsia" w:cstheme="minorEastAsia"/>
          <w:color w:val="auto"/>
          <w:sz w:val="24"/>
          <w:szCs w:val="24"/>
        </w:rPr>
      </w:pPr>
    </w:p>
    <w:p w14:paraId="2864371D">
      <w:pPr>
        <w:spacing w:before="76" w:line="218" w:lineRule="auto"/>
        <w:ind w:left="4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出现工程量清单错误时，是否调整合同价格：</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采用</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43AD13B2">
      <w:pPr>
        <w:tabs>
          <w:tab w:val="left" w:pos="9037"/>
        </w:tabs>
        <w:spacing w:before="2" w:line="358" w:lineRule="auto"/>
        <w:ind w:right="1151" w:firstLine="440" w:firstLineChars="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发包人</w:t>
      </w:r>
    </w:p>
    <w:p w14:paraId="55E63BDB">
      <w:pPr>
        <w:tabs>
          <w:tab w:val="left" w:pos="9037"/>
        </w:tabs>
        <w:spacing w:before="2" w:line="358" w:lineRule="auto"/>
        <w:ind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2. 1发包人代表</w:t>
      </w:r>
    </w:p>
    <w:p w14:paraId="337398D8">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发包人代表：</w:t>
      </w:r>
    </w:p>
    <w:p w14:paraId="398D99C3">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姓    名：</w:t>
      </w:r>
    </w:p>
    <w:p w14:paraId="027C0D1A">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身份证号：</w:t>
      </w:r>
    </w:p>
    <w:p w14:paraId="13E01563">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职    务：</w:t>
      </w:r>
    </w:p>
    <w:p w14:paraId="3C7B53ED">
      <w:pPr>
        <w:tabs>
          <w:tab w:val="left" w:pos="9037"/>
        </w:tabs>
        <w:spacing w:before="2" w:line="358" w:lineRule="auto"/>
        <w:ind w:left="0" w:right="1151" w:firstLine="440"/>
        <w:jc w:val="left"/>
        <w:rPr>
          <w:rFonts w:hint="eastAsia" w:asciiTheme="minorEastAsia" w:hAnsiTheme="minorEastAsia" w:eastAsiaTheme="minorEastAsia" w:cstheme="minorEastAsia"/>
          <w:color w:val="auto"/>
          <w:spacing w:val="11"/>
          <w:sz w:val="24"/>
          <w:szCs w:val="24"/>
          <w:u w:val="none" w:color="auto"/>
        </w:rPr>
      </w:pPr>
      <w:r>
        <w:rPr>
          <w:rFonts w:hint="eastAsia" w:asciiTheme="minorEastAsia" w:hAnsiTheme="minorEastAsia" w:eastAsiaTheme="minorEastAsia" w:cstheme="minorEastAsia"/>
          <w:color w:val="auto"/>
          <w:spacing w:val="11"/>
          <w:sz w:val="24"/>
          <w:szCs w:val="24"/>
          <w:u w:val="none" w:color="auto"/>
        </w:rPr>
        <w:t>联 系 电 话 ：</w:t>
      </w:r>
    </w:p>
    <w:p w14:paraId="122C0363">
      <w:pPr>
        <w:spacing w:before="179" w:line="378" w:lineRule="auto"/>
        <w:ind w:firstLine="496"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发包人对发包人代表的授权范围如下：</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103"/>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发包人代表对本</w:t>
      </w:r>
      <w:r>
        <w:rPr>
          <w:rFonts w:hint="eastAsia" w:asciiTheme="minorEastAsia" w:hAnsiTheme="minorEastAsia" w:eastAsiaTheme="minorEastAsia" w:cstheme="minorEastAsia"/>
          <w:color w:val="auto"/>
          <w:spacing w:val="3"/>
          <w:sz w:val="24"/>
          <w:szCs w:val="24"/>
          <w:u w:val="single" w:color="auto"/>
        </w:rPr>
        <w:t>工程施工过程中的质量、进度、</w:t>
      </w:r>
      <w:r>
        <w:rPr>
          <w:rFonts w:hint="eastAsia" w:asciiTheme="minorEastAsia" w:hAnsiTheme="minorEastAsia" w:eastAsiaTheme="minorEastAsia" w:cstheme="minorEastAsia"/>
          <w:color w:val="auto"/>
          <w:spacing w:val="11"/>
          <w:sz w:val="24"/>
          <w:szCs w:val="24"/>
          <w:u w:val="single" w:color="auto"/>
        </w:rPr>
        <w:t>投资、安全文明施工等进行监督和检查、协调解决必须由发包人处理的有关问题，并</w:t>
      </w:r>
      <w:r>
        <w:rPr>
          <w:rFonts w:hint="eastAsia" w:asciiTheme="minorEastAsia" w:hAnsiTheme="minorEastAsia" w:eastAsiaTheme="minorEastAsia" w:cstheme="minorEastAsia"/>
          <w:color w:val="auto"/>
          <w:spacing w:val="8"/>
          <w:sz w:val="24"/>
          <w:szCs w:val="24"/>
          <w:u w:val="single" w:color="auto"/>
        </w:rPr>
        <w:t>对工程量进行确认，最终以发包人核实并盖章确认的工程量</w:t>
      </w:r>
      <w:r>
        <w:rPr>
          <w:rFonts w:hint="eastAsia" w:asciiTheme="minorEastAsia" w:hAnsiTheme="minorEastAsia" w:eastAsiaTheme="minorEastAsia" w:cstheme="minorEastAsia"/>
          <w:color w:val="auto"/>
          <w:spacing w:val="7"/>
          <w:sz w:val="24"/>
          <w:szCs w:val="24"/>
          <w:u w:val="single" w:color="auto"/>
        </w:rPr>
        <w:t>为准</w:t>
      </w:r>
      <w:r>
        <w:rPr>
          <w:rFonts w:hint="eastAsia" w:asciiTheme="minorEastAsia" w:hAnsiTheme="minorEastAsia" w:eastAsiaTheme="minorEastAsia" w:cstheme="minorEastAsia"/>
          <w:color w:val="auto"/>
          <w:spacing w:val="7"/>
          <w:sz w:val="24"/>
          <w:szCs w:val="24"/>
        </w:rPr>
        <w:t>。</w:t>
      </w:r>
    </w:p>
    <w:p w14:paraId="3A351608">
      <w:pPr>
        <w:spacing w:before="1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2.2施工现场、施工条件和基础资料的提供</w:t>
      </w:r>
    </w:p>
    <w:p w14:paraId="767E9FC3">
      <w:pPr>
        <w:spacing w:before="7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2.2.1提供施工现场</w:t>
      </w:r>
    </w:p>
    <w:p w14:paraId="7A0FD1F0">
      <w:pPr>
        <w:spacing w:before="209" w:line="22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关于发包人移交施工现场的期限要求：</w:t>
      </w:r>
      <w:r>
        <w:rPr>
          <w:rFonts w:hint="eastAsia" w:asciiTheme="minorEastAsia" w:hAnsiTheme="minorEastAsia" w:eastAsiaTheme="minorEastAsia" w:cstheme="minorEastAsia"/>
          <w:color w:val="auto"/>
          <w:spacing w:val="1"/>
          <w:sz w:val="24"/>
          <w:szCs w:val="24"/>
          <w:u w:val="single" w:color="auto"/>
        </w:rPr>
        <w:t>以通知为准。</w:t>
      </w:r>
    </w:p>
    <w:p w14:paraId="09BB666D">
      <w:pPr>
        <w:spacing w:before="193"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2.2.2提供施工条件</w:t>
      </w:r>
    </w:p>
    <w:p w14:paraId="59B774AB">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关于发包人应负责提供施工所需要的条件，包括：</w:t>
      </w:r>
      <w:r>
        <w:rPr>
          <w:rFonts w:hint="eastAsia" w:asciiTheme="minorEastAsia" w:hAnsiTheme="minorEastAsia" w:eastAsiaTheme="minorEastAsia" w:cstheme="minorEastAsia"/>
          <w:color w:val="auto"/>
          <w:spacing w:val="7"/>
          <w:sz w:val="24"/>
          <w:szCs w:val="24"/>
          <w:u w:val="single" w:color="auto"/>
        </w:rPr>
        <w:t>按现有条件施工</w:t>
      </w:r>
      <w:r>
        <w:rPr>
          <w:rFonts w:hint="eastAsia" w:asciiTheme="minorEastAsia" w:hAnsiTheme="minorEastAsia" w:eastAsiaTheme="minorEastAsia" w:cstheme="minorEastAsia"/>
          <w:color w:val="auto"/>
          <w:spacing w:val="7"/>
          <w:sz w:val="24"/>
          <w:szCs w:val="24"/>
        </w:rPr>
        <w:t>。</w:t>
      </w:r>
    </w:p>
    <w:p w14:paraId="0D95FB52">
      <w:pPr>
        <w:spacing w:before="16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2.3资金来源证明及支付担保</w:t>
      </w:r>
    </w:p>
    <w:p w14:paraId="111DAB04">
      <w:pPr>
        <w:spacing w:before="31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发包人提供资金来源证明的期限要求：</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73A9040C">
      <w:pPr>
        <w:spacing w:before="21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发包人是否提供支付担保：</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256952FC">
      <w:pPr>
        <w:spacing w:before="19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发包人提供支付担保的形式：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044FB690">
      <w:pPr>
        <w:spacing w:before="299" w:line="219"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5"/>
          <w:sz w:val="24"/>
          <w:szCs w:val="24"/>
        </w:rPr>
        <w:t>承包人</w:t>
      </w:r>
    </w:p>
    <w:p w14:paraId="23E30ED8">
      <w:pPr>
        <w:pStyle w:val="22"/>
        <w:jc w:val="left"/>
        <w:rPr>
          <w:rFonts w:hint="eastAsia" w:asciiTheme="minorEastAsia" w:hAnsiTheme="minorEastAsia" w:eastAsiaTheme="minorEastAsia" w:cstheme="minorEastAsia"/>
          <w:color w:val="auto"/>
          <w:sz w:val="24"/>
          <w:szCs w:val="24"/>
        </w:rPr>
      </w:pPr>
    </w:p>
    <w:p w14:paraId="12C07E4F">
      <w:pPr>
        <w:spacing w:before="76"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3.1承包人的一般义务</w:t>
      </w:r>
    </w:p>
    <w:p w14:paraId="23026E8D">
      <w:pPr>
        <w:spacing w:before="275" w:line="347" w:lineRule="auto"/>
        <w:ind w:right="75"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 xml:space="preserve">3.1.1承包人提交的竣工资料的内容： </w:t>
      </w:r>
      <w:r>
        <w:rPr>
          <w:rFonts w:hint="eastAsia" w:asciiTheme="minorEastAsia" w:hAnsiTheme="minorEastAsia" w:eastAsiaTheme="minorEastAsia" w:cstheme="minorEastAsia"/>
          <w:color w:val="auto"/>
          <w:spacing w:val="-100"/>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施工图、开工报告、竣工验收报告、竣工</w:t>
      </w:r>
      <w:r>
        <w:rPr>
          <w:rFonts w:hint="eastAsia" w:asciiTheme="minorEastAsia" w:hAnsiTheme="minorEastAsia" w:eastAsiaTheme="minorEastAsia" w:cstheme="minorEastAsia"/>
          <w:color w:val="auto"/>
          <w:spacing w:val="11"/>
          <w:sz w:val="24"/>
          <w:szCs w:val="24"/>
          <w:u w:val="single" w:color="auto"/>
        </w:rPr>
        <w:t>图、结算书、施工影像等。</w:t>
      </w:r>
    </w:p>
    <w:p w14:paraId="5E28BE85">
      <w:pPr>
        <w:spacing w:line="221"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承包人需要提交的竣工资料套数： </w:t>
      </w:r>
      <w:r>
        <w:rPr>
          <w:rFonts w:hint="eastAsia" w:asciiTheme="minorEastAsia" w:hAnsiTheme="minorEastAsia" w:eastAsiaTheme="minorEastAsia" w:cstheme="minorEastAsia"/>
          <w:color w:val="auto"/>
          <w:spacing w:val="9"/>
          <w:position w:val="2"/>
          <w:sz w:val="24"/>
          <w:szCs w:val="24"/>
          <w:u w:val="single" w:color="auto"/>
        </w:rPr>
        <w:t xml:space="preserve">  </w:t>
      </w:r>
      <w:r>
        <w:rPr>
          <w:rFonts w:hint="eastAsia" w:asciiTheme="minorEastAsia" w:hAnsiTheme="minorEastAsia" w:eastAsiaTheme="minorEastAsia" w:cstheme="minorEastAsia"/>
          <w:color w:val="auto"/>
          <w:spacing w:val="9"/>
          <w:position w:val="2"/>
          <w:sz w:val="24"/>
          <w:szCs w:val="24"/>
          <w:u w:val="single" w:color="auto"/>
          <w:lang w:val="en-US" w:eastAsia="zh-CN"/>
        </w:rPr>
        <w:t>1</w:t>
      </w:r>
      <w:r>
        <w:rPr>
          <w:rFonts w:hint="eastAsia" w:asciiTheme="minorEastAsia" w:hAnsiTheme="minorEastAsia" w:eastAsiaTheme="minorEastAsia" w:cstheme="minorEastAsia"/>
          <w:color w:val="auto"/>
          <w:spacing w:val="-2"/>
          <w:position w:val="2"/>
          <w:sz w:val="24"/>
          <w:szCs w:val="24"/>
          <w:u w:val="single" w:color="auto"/>
        </w:rPr>
        <w:t xml:space="preserve"> 套</w:t>
      </w:r>
    </w:p>
    <w:p w14:paraId="0FFCD802">
      <w:pPr>
        <w:spacing w:before="187"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承包人提交的竣工资料的费用承担：</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79"/>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由承包人</w:t>
      </w:r>
      <w:r>
        <w:rPr>
          <w:rFonts w:hint="eastAsia" w:asciiTheme="minorEastAsia" w:hAnsiTheme="minorEastAsia" w:eastAsiaTheme="minorEastAsia" w:cstheme="minorEastAsia"/>
          <w:color w:val="auto"/>
          <w:spacing w:val="3"/>
          <w:sz w:val="24"/>
          <w:szCs w:val="24"/>
          <w:u w:val="single" w:color="auto"/>
        </w:rPr>
        <w:t>承担</w:t>
      </w:r>
      <w:r>
        <w:rPr>
          <w:rFonts w:hint="eastAsia" w:asciiTheme="minorEastAsia" w:hAnsiTheme="minorEastAsia" w:eastAsiaTheme="minorEastAsia" w:cstheme="minorEastAsia"/>
          <w:color w:val="auto"/>
          <w:spacing w:val="3"/>
          <w:sz w:val="24"/>
          <w:szCs w:val="24"/>
        </w:rPr>
        <w:t>。</w:t>
      </w:r>
    </w:p>
    <w:p w14:paraId="65764756">
      <w:pPr>
        <w:spacing w:before="198"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 xml:space="preserve">承包人提交的竣工资料移交时间： </w:t>
      </w:r>
      <w:r>
        <w:rPr>
          <w:rFonts w:hint="eastAsia" w:asciiTheme="minorEastAsia" w:hAnsiTheme="minorEastAsia" w:eastAsiaTheme="minorEastAsia" w:cstheme="minorEastAsia"/>
          <w:color w:val="auto"/>
          <w:spacing w:val="15"/>
          <w:sz w:val="24"/>
          <w:szCs w:val="24"/>
          <w:u w:val="single" w:color="auto"/>
        </w:rPr>
        <w:t>项目通过竣工验收14天内。</w:t>
      </w:r>
    </w:p>
    <w:p w14:paraId="5FA56EFA">
      <w:pPr>
        <w:spacing w:before="185"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承包人提交的竣工资料形式要求： </w:t>
      </w:r>
      <w:r>
        <w:rPr>
          <w:rFonts w:hint="eastAsia" w:asciiTheme="minorEastAsia" w:hAnsiTheme="minorEastAsia" w:eastAsiaTheme="minorEastAsia" w:cstheme="minorEastAsia"/>
          <w:color w:val="auto"/>
          <w:spacing w:val="3"/>
          <w:sz w:val="24"/>
          <w:szCs w:val="24"/>
          <w:u w:val="single" w:color="auto"/>
        </w:rPr>
        <w:t>书面和电子文档</w:t>
      </w:r>
      <w:r>
        <w:rPr>
          <w:rFonts w:hint="eastAsia" w:asciiTheme="minorEastAsia" w:hAnsiTheme="minorEastAsia" w:eastAsiaTheme="minorEastAsia" w:cstheme="minorEastAsia"/>
          <w:color w:val="auto"/>
          <w:spacing w:val="3"/>
          <w:sz w:val="24"/>
          <w:szCs w:val="24"/>
        </w:rPr>
        <w:t>。</w:t>
      </w:r>
    </w:p>
    <w:p w14:paraId="30C9CBF5">
      <w:pPr>
        <w:spacing w:before="169" w:line="219"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3.1.2承包人应履行的其他义务：</w:t>
      </w:r>
    </w:p>
    <w:p w14:paraId="3F9852CD">
      <w:pPr>
        <w:spacing w:before="165" w:line="360" w:lineRule="auto"/>
        <w:ind w:right="29"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A、承包人应对工程所需的所有货物和其他物品的包装、装载、运输、接收</w:t>
      </w:r>
      <w:r>
        <w:rPr>
          <w:rFonts w:hint="eastAsia" w:asciiTheme="minorEastAsia" w:hAnsiTheme="minorEastAsia" w:eastAsiaTheme="minorEastAsia" w:cstheme="minorEastAsia"/>
          <w:color w:val="auto"/>
          <w:sz w:val="24"/>
          <w:szCs w:val="24"/>
          <w:u w:val="single" w:color="auto"/>
        </w:rPr>
        <w:t>、卸货、</w:t>
      </w:r>
      <w:r>
        <w:rPr>
          <w:rFonts w:hint="eastAsia" w:asciiTheme="minorEastAsia" w:hAnsiTheme="minorEastAsia" w:eastAsiaTheme="minorEastAsia" w:cstheme="minorEastAsia"/>
          <w:color w:val="auto"/>
          <w:spacing w:val="-1"/>
          <w:sz w:val="24"/>
          <w:szCs w:val="24"/>
          <w:u w:val="single" w:color="auto"/>
        </w:rPr>
        <w:t>保存和保护负责。</w:t>
      </w:r>
    </w:p>
    <w:p w14:paraId="287D1DF2">
      <w:pPr>
        <w:spacing w:before="286" w:line="360" w:lineRule="auto"/>
        <w:ind w:right="20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u w:val="single" w:color="auto"/>
        </w:rPr>
        <w:t>B、在工程实施期间，承包人应使现场避免出现一切不必要的障碍物，妥善存放并</w:t>
      </w:r>
      <w:r>
        <w:rPr>
          <w:rFonts w:hint="eastAsia" w:asciiTheme="minorEastAsia" w:hAnsiTheme="minorEastAsia" w:eastAsiaTheme="minorEastAsia" w:cstheme="minorEastAsia"/>
          <w:color w:val="auto"/>
          <w:spacing w:val="1"/>
          <w:sz w:val="24"/>
          <w:szCs w:val="24"/>
          <w:u w:val="single" w:color="auto"/>
        </w:rPr>
        <w:t>处置承包人的任何设备、材料或剩余材料。</w:t>
      </w:r>
    </w:p>
    <w:p w14:paraId="7777A755">
      <w:pPr>
        <w:spacing w:before="168" w:line="360" w:lineRule="auto"/>
        <w:ind w:left="0"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u w:val="single" w:color="auto"/>
        </w:rPr>
        <w:t>C、承包人必须按本施工合同进行组织施工，</w:t>
      </w:r>
      <w:r>
        <w:rPr>
          <w:rFonts w:hint="eastAsia" w:asciiTheme="minorEastAsia" w:hAnsiTheme="minorEastAsia" w:eastAsiaTheme="minorEastAsia" w:cstheme="minorEastAsia"/>
          <w:color w:val="auto"/>
          <w:spacing w:val="6"/>
          <w:sz w:val="24"/>
          <w:szCs w:val="24"/>
          <w:u w:val="single" w:color="auto"/>
        </w:rPr>
        <w:t>接受发包人指令。承包人项目部的管</w:t>
      </w:r>
      <w:r>
        <w:rPr>
          <w:rFonts w:hint="eastAsia" w:asciiTheme="minorEastAsia" w:hAnsiTheme="minorEastAsia" w:eastAsiaTheme="minorEastAsia" w:cstheme="minorEastAsia"/>
          <w:color w:val="auto"/>
          <w:spacing w:val="9"/>
          <w:sz w:val="24"/>
          <w:szCs w:val="24"/>
          <w:u w:val="single" w:color="auto"/>
        </w:rPr>
        <w:t>理人员均须专职在岗，不得兼任其他项目任何职务；如需变更①人员安排、②机械设</w:t>
      </w:r>
      <w:r>
        <w:rPr>
          <w:rFonts w:hint="eastAsia" w:asciiTheme="minorEastAsia" w:hAnsiTheme="minorEastAsia" w:eastAsiaTheme="minorEastAsia" w:cstheme="minorEastAsia"/>
          <w:color w:val="auto"/>
          <w:spacing w:val="4"/>
          <w:sz w:val="24"/>
          <w:szCs w:val="24"/>
          <w:u w:val="single" w:color="auto"/>
        </w:rPr>
        <w:t>备、③施工方案等，须提前一周书面上报发包人并经同意方可执行。</w:t>
      </w:r>
    </w:p>
    <w:p w14:paraId="26C19A7B">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D、对承包人的以下人员，经发包人提出，承包人必须在24小时内将其调离本工程范围，同时，承包人应在3天内完成用合格的人员(经发包人批准)代替上述调离的任何人员：</w:t>
      </w:r>
    </w:p>
    <w:p w14:paraId="519CA745">
      <w:pPr>
        <w:spacing w:before="309" w:line="360" w:lineRule="auto"/>
        <w:ind w:left="0" w:right="205" w:firstLine="459"/>
        <w:jc w:val="left"/>
        <w:rPr>
          <w:rFonts w:hint="eastAsia" w:asciiTheme="minorEastAsia" w:hAnsiTheme="minorEastAsia" w:eastAsiaTheme="minorEastAsia" w:cstheme="minorEastAsia"/>
          <w:color w:val="auto"/>
          <w:spacing w:val="7"/>
          <w:sz w:val="24"/>
          <w:szCs w:val="24"/>
          <w:u w:val="single" w:color="auto"/>
        </w:rPr>
      </w:pPr>
      <w:r>
        <w:rPr>
          <w:rFonts w:hint="eastAsia" w:asciiTheme="minorEastAsia" w:hAnsiTheme="minorEastAsia" w:eastAsiaTheme="minorEastAsia" w:cstheme="minorEastAsia"/>
          <w:color w:val="auto"/>
          <w:spacing w:val="7"/>
          <w:sz w:val="24"/>
          <w:szCs w:val="24"/>
          <w:u w:val="single" w:color="auto"/>
        </w:rPr>
        <w:t>a.发包人认为无法胜任工作者，包括：对分部分项工程施工进度及施工质量达不 到合同要求负有责任的施工人员、不熟悉本专业工作的施工人员、工作责任心不强的施工人员、不积极配合发包人工作、不积极执行发包人指令者。</w:t>
      </w:r>
    </w:p>
    <w:p w14:paraId="15522D7A">
      <w:pPr>
        <w:spacing w:before="304"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b.不能积极配合发包人正常工作者；</w:t>
      </w:r>
    </w:p>
    <w:p w14:paraId="74C5E220">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c.违反发包人或承包人工地现场管理规定者；</w:t>
      </w:r>
    </w:p>
    <w:p w14:paraId="7F27DF23">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d.无证上岗者(适用于按规定必须有上岗证);</w:t>
      </w:r>
    </w:p>
    <w:p w14:paraId="4159F77A">
      <w:pPr>
        <w:spacing w:before="304" w:line="360" w:lineRule="auto"/>
        <w:ind w:left="463"/>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pacing w:val="1"/>
          <w:sz w:val="24"/>
          <w:szCs w:val="24"/>
          <w:u w:val="single" w:color="auto"/>
        </w:rPr>
        <w:t>e.与本采购文件约定名册不符者；</w:t>
      </w:r>
    </w:p>
    <w:p w14:paraId="5CE635A2">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8"/>
          <w:sz w:val="24"/>
          <w:szCs w:val="24"/>
        </w:rPr>
        <w:t>F、承包人在施工中的问题应本着“文来文去”的原则，而且须提前三天发文给发</w:t>
      </w:r>
      <w:r>
        <w:rPr>
          <w:rFonts w:hint="eastAsia" w:asciiTheme="minorEastAsia" w:hAnsiTheme="minorEastAsia" w:eastAsiaTheme="minorEastAsia" w:cstheme="minorEastAsia"/>
          <w:color w:val="auto"/>
          <w:spacing w:val="12"/>
          <w:sz w:val="24"/>
          <w:szCs w:val="24"/>
          <w:u w:val="single" w:color="auto"/>
        </w:rPr>
        <w:t>包人，口头汇报不作依据。承包人发文应由项目经理签署发出，发包人代表签署姓名和日期后生效。承包人、发包人代表均不得无故拒收对方文件。</w:t>
      </w:r>
    </w:p>
    <w:p w14:paraId="740EC091">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G、停水停电、施工场地不足、在场外食宿、成品保护等所需措施的一切费用和工期承包人已充分考虑，并已考虑了各种可能因素影响施工所增加的费用。该部分费用在合同价款中已充分考虑，不另行增加。</w:t>
      </w:r>
    </w:p>
    <w:p w14:paraId="6275C5E5">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H、承包人承担因违反以上各条而导致的一切责任和费用，且不得以任何理由停工或向发包人提出费用和工期补偿要求。承包人确保不因上述原因使发包人声誉受到不良影响。</w:t>
      </w:r>
    </w:p>
    <w:p w14:paraId="79F3A917">
      <w:pPr>
        <w:spacing w:before="257" w:line="360" w:lineRule="auto"/>
        <w:ind w:left="2" w:right="1126" w:firstLine="460"/>
        <w:jc w:val="left"/>
        <w:rPr>
          <w:rFonts w:hint="eastAsia" w:asciiTheme="minorEastAsia" w:hAnsiTheme="minorEastAsia" w:eastAsiaTheme="minorEastAsia" w:cstheme="minorEastAsia"/>
          <w:color w:val="auto"/>
          <w:spacing w:val="12"/>
          <w:sz w:val="24"/>
          <w:szCs w:val="24"/>
          <w:u w:val="single" w:color="auto"/>
        </w:rPr>
      </w:pPr>
      <w:r>
        <w:rPr>
          <w:rFonts w:hint="eastAsia" w:asciiTheme="minorEastAsia" w:hAnsiTheme="minorEastAsia" w:eastAsiaTheme="minorEastAsia" w:cstheme="minorEastAsia"/>
          <w:color w:val="auto"/>
          <w:spacing w:val="12"/>
          <w:sz w:val="24"/>
          <w:szCs w:val="24"/>
          <w:u w:val="single" w:color="auto"/>
        </w:rPr>
        <w:t>I、按合同做好施工现场保护工作，其费用已含在合同价款中，承担因自身原因违反有关规定造成的损失和罚款。</w:t>
      </w:r>
    </w:p>
    <w:p w14:paraId="60FD077E">
      <w:pPr>
        <w:spacing w:before="257" w:line="360" w:lineRule="auto"/>
        <w:ind w:left="2" w:right="1126"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u w:val="single" w:color="auto"/>
        </w:rPr>
        <w:t>J、承包人应积极支付农民工工资，若因承包人原因与农民工或劳务费结算等发生纠纷，应按重庆市有关政策规定承担责任。</w:t>
      </w:r>
    </w:p>
    <w:p w14:paraId="21DFD73B">
      <w:pPr>
        <w:spacing w:before="75" w:line="360" w:lineRule="auto"/>
        <w:ind w:left="2" w:right="1154" w:firstLine="4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K、施工临时用水用电由发包人负责指定接入位置，</w:t>
      </w:r>
      <w:r>
        <w:rPr>
          <w:rFonts w:hint="eastAsia" w:asciiTheme="minorEastAsia" w:hAnsiTheme="minorEastAsia" w:eastAsiaTheme="minorEastAsia" w:cstheme="minorEastAsia"/>
          <w:color w:val="auto"/>
          <w:spacing w:val="7"/>
          <w:sz w:val="24"/>
          <w:szCs w:val="24"/>
          <w:u w:val="single" w:color="auto"/>
        </w:rPr>
        <w:t>承包方负责接入施工现场，施</w:t>
      </w:r>
      <w:r>
        <w:rPr>
          <w:rFonts w:hint="eastAsia" w:asciiTheme="minorEastAsia" w:hAnsiTheme="minorEastAsia" w:eastAsiaTheme="minorEastAsia" w:cstheme="minorEastAsia"/>
          <w:color w:val="auto"/>
          <w:spacing w:val="11"/>
          <w:sz w:val="24"/>
          <w:szCs w:val="24"/>
          <w:u w:val="single" w:color="auto"/>
        </w:rPr>
        <w:t>工场地内用水、用电由承包人自行解决。且充分考虑水电安装的可实施性，自行联系供电、供水事宜，编制供电、供水方案，确保施工供电的及时性；所产生的供电、</w:t>
      </w:r>
      <w:r>
        <w:rPr>
          <w:rFonts w:hint="eastAsia" w:asciiTheme="minorEastAsia" w:hAnsiTheme="minorEastAsia" w:eastAsiaTheme="minorEastAsia" w:cstheme="minorEastAsia"/>
          <w:color w:val="auto"/>
          <w:spacing w:val="-1"/>
          <w:sz w:val="24"/>
          <w:szCs w:val="24"/>
          <w:u w:val="single" w:color="auto"/>
        </w:rPr>
        <w:t>水费用均已进入投标报价中，发包人不再支付任何相关费用。若使用发包方的水</w:t>
      </w:r>
      <w:r>
        <w:rPr>
          <w:rFonts w:hint="eastAsia" w:asciiTheme="minorEastAsia" w:hAnsiTheme="minorEastAsia" w:eastAsiaTheme="minorEastAsia" w:cstheme="minorEastAsia"/>
          <w:color w:val="auto"/>
          <w:spacing w:val="-2"/>
          <w:sz w:val="24"/>
          <w:szCs w:val="24"/>
          <w:u w:val="single" w:color="auto"/>
        </w:rPr>
        <w:t>电，</w:t>
      </w:r>
      <w:r>
        <w:rPr>
          <w:rFonts w:hint="eastAsia" w:asciiTheme="minorEastAsia" w:hAnsiTheme="minorEastAsia" w:eastAsiaTheme="minorEastAsia" w:cstheme="minorEastAsia"/>
          <w:color w:val="auto"/>
          <w:spacing w:val="-1"/>
          <w:sz w:val="24"/>
          <w:szCs w:val="24"/>
          <w:u w:val="single" w:color="auto"/>
        </w:rPr>
        <w:t>承包方应向发包方支付相关费用。</w:t>
      </w:r>
    </w:p>
    <w:p w14:paraId="6293C17B">
      <w:pPr>
        <w:spacing w:before="9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3.2</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承包人人员</w:t>
      </w:r>
    </w:p>
    <w:p w14:paraId="53C84E06">
      <w:pPr>
        <w:spacing w:before="272" w:line="360" w:lineRule="auto"/>
        <w:ind w:left="242" w:right="7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8"/>
          <w:sz w:val="24"/>
          <w:szCs w:val="24"/>
        </w:rPr>
        <w:t>3.2.1 承包人提交项目管理机构及施工现场管理人员安排报告</w:t>
      </w:r>
      <w:r>
        <w:rPr>
          <w:rFonts w:hint="eastAsia" w:asciiTheme="minorEastAsia" w:hAnsiTheme="minorEastAsia" w:eastAsiaTheme="minorEastAsia" w:cstheme="minorEastAsia"/>
          <w:color w:val="auto"/>
          <w:spacing w:val="27"/>
          <w:sz w:val="24"/>
          <w:szCs w:val="24"/>
        </w:rPr>
        <w:t>的期限：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6"/>
          <w:w w:val="98"/>
          <w:sz w:val="24"/>
          <w:szCs w:val="24"/>
          <w:u w:val="single" w:color="auto"/>
          <w:lang w:val="en-US" w:eastAsia="zh-CN"/>
        </w:rPr>
        <w:t>/</w:t>
      </w:r>
    </w:p>
    <w:p w14:paraId="2CBD0A80">
      <w:pPr>
        <w:pStyle w:val="22"/>
        <w:spacing w:before="1" w:line="360" w:lineRule="auto"/>
        <w:ind w:left="242" w:right="53"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2"/>
          <w:sz w:val="24"/>
          <w:szCs w:val="24"/>
        </w:rPr>
        <w:t>3</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2"/>
          <w:sz w:val="24"/>
          <w:szCs w:val="24"/>
        </w:rPr>
        <w:t>.</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2"/>
          <w:sz w:val="24"/>
          <w:szCs w:val="24"/>
        </w:rPr>
        <w:t>2承包人无正当理由拒绝撤换主要施工管理</w:t>
      </w:r>
      <w:r>
        <w:rPr>
          <w:rFonts w:hint="eastAsia" w:asciiTheme="minorEastAsia" w:hAnsiTheme="minorEastAsia" w:eastAsiaTheme="minorEastAsia" w:cstheme="minorEastAsia"/>
          <w:color w:val="auto"/>
          <w:spacing w:val="41"/>
          <w:sz w:val="24"/>
          <w:szCs w:val="24"/>
        </w:rPr>
        <w:t>人员的违约责任：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u w:val="single" w:color="auto"/>
        </w:rPr>
        <w:t>/</w:t>
      </w:r>
    </w:p>
    <w:p w14:paraId="5E9F29F7">
      <w:pPr>
        <w:spacing w:before="2" w:line="360" w:lineRule="auto"/>
        <w:ind w:left="242" w:right="2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3.2.3承包人主要施工管理人员离开施工现场的批准要求：</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8"/>
          <w:sz w:val="24"/>
          <w:szCs w:val="24"/>
          <w:u w:val="single" w:color="auto"/>
        </w:rPr>
        <w:t>必须经过发包人同</w:t>
      </w:r>
      <w:r>
        <w:rPr>
          <w:rFonts w:hint="eastAsia" w:asciiTheme="minorEastAsia" w:hAnsiTheme="minorEastAsia" w:eastAsiaTheme="minorEastAsia" w:cstheme="minorEastAsia"/>
          <w:color w:val="auto"/>
          <w:spacing w:val="-8"/>
          <w:sz w:val="24"/>
          <w:szCs w:val="24"/>
        </w:rPr>
        <w:t>意。</w:t>
      </w:r>
    </w:p>
    <w:p w14:paraId="44D4DD4E">
      <w:pPr>
        <w:spacing w:before="1" w:line="360" w:lineRule="auto"/>
        <w:ind w:left="322" w:right="52" w:firstLine="41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3.2.4承包人擅自更换主要施工管理人员的违约责任：</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83"/>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由承包</w:t>
      </w:r>
      <w:r>
        <w:rPr>
          <w:rFonts w:hint="eastAsia" w:asciiTheme="minorEastAsia" w:hAnsiTheme="minorEastAsia" w:eastAsiaTheme="minorEastAsia" w:cstheme="minorEastAsia"/>
          <w:color w:val="auto"/>
          <w:spacing w:val="-3"/>
          <w:sz w:val="24"/>
          <w:szCs w:val="24"/>
          <w:u w:val="single" w:color="auto"/>
        </w:rPr>
        <w:t>人全权承担，发包</w:t>
      </w:r>
      <w:r>
        <w:rPr>
          <w:rFonts w:hint="eastAsia" w:asciiTheme="minorEastAsia" w:hAnsiTheme="minorEastAsia" w:eastAsiaTheme="minorEastAsia" w:cstheme="minorEastAsia"/>
          <w:color w:val="auto"/>
          <w:spacing w:val="-8"/>
          <w:sz w:val="24"/>
          <w:szCs w:val="24"/>
          <w:u w:val="single" w:color="auto"/>
        </w:rPr>
        <w:t>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position w:val="3"/>
          <w:sz w:val="24"/>
          <w:szCs w:val="24"/>
        </w:rPr>
        <w:drawing>
          <wp:inline distT="0" distB="0" distL="0" distR="0">
            <wp:extent cx="19050" cy="50800"/>
            <wp:effectExtent l="0" t="0" r="635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
                    <a:stretch>
                      <a:fillRect/>
                    </a:stretch>
                  </pic:blipFill>
                  <pic:spPr>
                    <a:xfrm>
                      <a:off x="0" y="0"/>
                      <a:ext cx="19052" cy="50817"/>
                    </a:xfrm>
                    <a:prstGeom prst="rect">
                      <a:avLst/>
                    </a:prstGeom>
                  </pic:spPr>
                </pic:pic>
              </a:graphicData>
            </a:graphic>
          </wp:inline>
        </w:drawing>
      </w:r>
    </w:p>
    <w:p w14:paraId="7C55285F">
      <w:pPr>
        <w:spacing w:before="2" w:line="360" w:lineRule="auto"/>
        <w:ind w:left="242"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承包人主要施工管理人员擅自离开施工现场的违约责任：</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z w:val="24"/>
          <w:szCs w:val="24"/>
          <w:u w:val="single" w:color="auto"/>
        </w:rPr>
        <w:t>由承包人全权承担，</w:t>
      </w:r>
      <w:r>
        <w:rPr>
          <w:rFonts w:hint="eastAsia" w:asciiTheme="minorEastAsia" w:hAnsiTheme="minorEastAsia" w:eastAsiaTheme="minorEastAsia" w:cstheme="minorEastAsia"/>
          <w:color w:val="auto"/>
          <w:spacing w:val="-5"/>
          <w:sz w:val="24"/>
          <w:szCs w:val="24"/>
          <w:u w:val="single" w:color="auto"/>
        </w:rPr>
        <w:t>发包人有权作出相关处置</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94"/>
          <w:sz w:val="24"/>
          <w:szCs w:val="24"/>
        </w:rPr>
        <w:t xml:space="preserve"> </w:t>
      </w:r>
      <w:r>
        <w:rPr>
          <w:rFonts w:hint="eastAsia" w:asciiTheme="minorEastAsia" w:hAnsiTheme="minorEastAsia" w:eastAsiaTheme="minorEastAsia" w:cstheme="minorEastAsia"/>
          <w:color w:val="auto"/>
          <w:position w:val="2"/>
          <w:sz w:val="24"/>
          <w:szCs w:val="24"/>
        </w:rPr>
        <w:drawing>
          <wp:inline distT="0" distB="0" distL="0" distR="0">
            <wp:extent cx="31115" cy="50800"/>
            <wp:effectExtent l="0" t="0" r="6985"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3"/>
                    <a:stretch>
                      <a:fillRect/>
                    </a:stretch>
                  </pic:blipFill>
                  <pic:spPr>
                    <a:xfrm>
                      <a:off x="0" y="0"/>
                      <a:ext cx="31701" cy="50817"/>
                    </a:xfrm>
                    <a:prstGeom prst="rect">
                      <a:avLst/>
                    </a:prstGeom>
                  </pic:spPr>
                </pic:pic>
              </a:graphicData>
            </a:graphic>
          </wp:inline>
        </w:drawing>
      </w:r>
    </w:p>
    <w:p w14:paraId="44E5878D">
      <w:pPr>
        <w:spacing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4"/>
          <w:sz w:val="24"/>
          <w:szCs w:val="24"/>
        </w:rPr>
        <w:t>.3分包</w:t>
      </w:r>
    </w:p>
    <w:p w14:paraId="0A903A54">
      <w:pPr>
        <w:spacing w:before="30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3.3.1分包的一般约定</w:t>
      </w:r>
    </w:p>
    <w:p w14:paraId="24B68339">
      <w:pPr>
        <w:spacing w:before="176"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禁止分包的工程包括：</w:t>
      </w:r>
      <w:r>
        <w:rPr>
          <w:rFonts w:hint="eastAsia" w:asciiTheme="minorEastAsia" w:hAnsiTheme="minorEastAsia" w:eastAsiaTheme="minorEastAsia" w:cstheme="minorEastAsia"/>
          <w:color w:val="auto"/>
          <w:spacing w:val="-3"/>
          <w:sz w:val="24"/>
          <w:szCs w:val="24"/>
          <w:u w:val="single" w:color="auto"/>
        </w:rPr>
        <w:t xml:space="preserve">不 允 许 </w:t>
      </w:r>
      <w:r>
        <w:rPr>
          <w:rFonts w:hint="eastAsia" w:asciiTheme="minorEastAsia" w:hAnsiTheme="minorEastAsia" w:eastAsiaTheme="minorEastAsia" w:cstheme="minorEastAsia"/>
          <w:color w:val="auto"/>
          <w:spacing w:val="-3"/>
          <w:sz w:val="24"/>
          <w:szCs w:val="24"/>
          <w:u w:val="single" w:color="auto"/>
          <w:lang w:val="en-US" w:eastAsia="zh-CN"/>
        </w:rPr>
        <w:t xml:space="preserve">违 法 </w:t>
      </w:r>
      <w:r>
        <w:rPr>
          <w:rFonts w:hint="eastAsia" w:asciiTheme="minorEastAsia" w:hAnsiTheme="minorEastAsia" w:eastAsiaTheme="minorEastAsia" w:cstheme="minorEastAsia"/>
          <w:color w:val="auto"/>
          <w:spacing w:val="-3"/>
          <w:sz w:val="24"/>
          <w:szCs w:val="24"/>
          <w:u w:val="single" w:color="auto"/>
        </w:rPr>
        <w:t>分 包_</w:t>
      </w:r>
    </w:p>
    <w:p w14:paraId="7718F0C5">
      <w:pPr>
        <w:spacing w:before="163"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主体结构、关键性工作的范围：</w:t>
      </w:r>
      <w:r>
        <w:rPr>
          <w:rFonts w:hint="eastAsia" w:asciiTheme="minorEastAsia" w:hAnsiTheme="minorEastAsia" w:eastAsiaTheme="minorEastAsia" w:cstheme="minorEastAsia"/>
          <w:color w:val="auto"/>
          <w:sz w:val="24"/>
          <w:szCs w:val="24"/>
          <w:u w:val="single" w:color="auto"/>
        </w:rPr>
        <w:t xml:space="preserve">         /</w:t>
      </w:r>
    </w:p>
    <w:p w14:paraId="015A4A13">
      <w:pPr>
        <w:spacing w:before="16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3.3.2分包的确定</w:t>
      </w:r>
    </w:p>
    <w:p w14:paraId="4A343595">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pacing w:val="-3"/>
          <w:sz w:val="24"/>
          <w:szCs w:val="24"/>
        </w:rPr>
        <w:t>允许分包的专业工程包括：</w:t>
      </w:r>
      <w:r>
        <w:rPr>
          <w:rFonts w:hint="eastAsia" w:asciiTheme="minorEastAsia" w:hAnsiTheme="minorEastAsia" w:eastAsiaTheme="minorEastAsia" w:cstheme="minorEastAsia"/>
          <w:color w:val="auto"/>
          <w:spacing w:val="-3"/>
          <w:sz w:val="24"/>
          <w:szCs w:val="24"/>
          <w:u w:val="single" w:color="auto"/>
          <w:lang w:val="en-US" w:eastAsia="zh-CN"/>
        </w:rPr>
        <w:t>/</w:t>
      </w:r>
    </w:p>
    <w:p w14:paraId="6B825C71">
      <w:pPr>
        <w:spacing w:before="163" w:line="360" w:lineRule="auto"/>
        <w:ind w:left="732"/>
        <w:jc w:val="left"/>
        <w:rPr>
          <w:rFonts w:hint="eastAsia" w:asciiTheme="minorEastAsia" w:hAnsiTheme="minorEastAsia" w:eastAsiaTheme="minorEastAsia" w:cstheme="minorEastAsia"/>
          <w:color w:val="auto"/>
          <w:spacing w:val="-3"/>
          <w:sz w:val="24"/>
          <w:szCs w:val="24"/>
          <w:u w:val="single" w:color="auto"/>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452755</wp:posOffset>
                </wp:positionH>
                <wp:positionV relativeFrom="paragraph">
                  <wp:posOffset>90170</wp:posOffset>
                </wp:positionV>
                <wp:extent cx="3652520" cy="2203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52520" cy="220345"/>
                        </a:xfrm>
                        <a:prstGeom prst="rect">
                          <a:avLst/>
                        </a:prstGeom>
                        <a:noFill/>
                        <a:ln>
                          <a:noFill/>
                        </a:ln>
                      </wps:spPr>
                      <wps:txbx>
                        <w:txbxContent>
                          <w:p w14:paraId="14B7239D">
                            <w:pPr>
                              <w:pStyle w:val="2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wps:txbx>
                      <wps:bodyPr lIns="0" tIns="0" rIns="0" bIns="0" upright="1"/>
                    </wps:wsp>
                  </a:graphicData>
                </a:graphic>
              </wp:anchor>
            </w:drawing>
          </mc:Choice>
          <mc:Fallback>
            <w:pict>
              <v:shape id="_x0000_s1026" o:spid="_x0000_s1026" o:spt="202" type="#_x0000_t202" style="position:absolute;left:0pt;margin-left:35.65pt;margin-top:7.1pt;height:17.35pt;width:287.6pt;z-index:251665408;mso-width-relative:page;mso-height-relative:page;" filled="f" stroked="f" coordsize="21600,21600" o:gfxdata="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gxog2AAAAAgBAAAPAAAAAAAAAAEAIAAAACIAAABkcnMvZG93bnJldi54bWxQSwEC&#10;FAAUAAAACACHTuJA+tlfirsBAAByAwAADgAAAAAAAAABACAAAAAnAQAAZHJzL2Uyb0RvYy54bWxQ&#10;SwUGAAAAAAYABgBZAQAAVAUAAAAA&#10;">
                <v:fill on="f" focussize="0,0"/>
                <v:stroke on="f"/>
                <v:imagedata o:title=""/>
                <o:lock v:ext="edit" aspectratio="f"/>
                <v:textbox inset="0mm,0mm,0mm,0mm">
                  <w:txbxContent>
                    <w:p w14:paraId="14B7239D">
                      <w:pPr>
                        <w:pStyle w:val="22"/>
                        <w:spacing w:before="20" w:line="220" w:lineRule="auto"/>
                        <w:ind w:left="20"/>
                        <w:rPr>
                          <w:sz w:val="6"/>
                          <w:szCs w:val="6"/>
                        </w:rPr>
                      </w:pPr>
                      <w:r>
                        <w:rPr>
                          <w:rFonts w:ascii="宋体" w:hAnsi="宋体" w:eastAsia="宋体" w:cs="宋体"/>
                          <w:spacing w:val="-20"/>
                          <w:sz w:val="24"/>
                          <w:szCs w:val="24"/>
                        </w:rPr>
                        <w:t xml:space="preserve">其他关于分包的约定：: </w:t>
                      </w:r>
                      <w:r>
                        <w:rPr>
                          <w:rFonts w:ascii="宋体" w:hAnsi="宋体" w:eastAsia="宋体" w:cs="宋体"/>
                          <w:spacing w:val="11"/>
                          <w:sz w:val="24"/>
                          <w:szCs w:val="24"/>
                          <w:u w:val="single" w:color="auto"/>
                        </w:rPr>
                        <w:t xml:space="preserve">        </w:t>
                      </w:r>
                      <w:r>
                        <w:rPr>
                          <w:rFonts w:ascii="宋体" w:hAnsi="宋体" w:eastAsia="宋体" w:cs="宋体"/>
                          <w:spacing w:val="-20"/>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spacing w:val="4"/>
                          <w:w w:val="115"/>
                          <w:position w:val="4"/>
                          <w:sz w:val="6"/>
                          <w:szCs w:val="6"/>
                        </w:rPr>
                        <w:t>o</w:t>
                      </w:r>
                    </w:p>
                  </w:txbxContent>
                </v:textbox>
              </v:shape>
            </w:pict>
          </mc:Fallback>
        </mc:AlternateContent>
      </w:r>
    </w:p>
    <w:p w14:paraId="4155602A">
      <w:pPr>
        <w:spacing w:before="268" w:line="360" w:lineRule="auto"/>
        <w:ind w:firstLine="780"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3.3.3分包合同价款</w:t>
      </w:r>
    </w:p>
    <w:p w14:paraId="628BEDE6">
      <w:pPr>
        <w:spacing w:before="15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4116070</wp:posOffset>
                </wp:positionH>
                <wp:positionV relativeFrom="paragraph">
                  <wp:posOffset>159385</wp:posOffset>
                </wp:positionV>
                <wp:extent cx="44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450" cy="191770"/>
                        </a:xfrm>
                        <a:prstGeom prst="rect">
                          <a:avLst/>
                        </a:prstGeom>
                        <a:noFill/>
                        <a:ln>
                          <a:noFill/>
                        </a:ln>
                      </wps:spPr>
                      <wps:txbx>
                        <w:txbxContent>
                          <w:p w14:paraId="68129125">
                            <w:pPr>
                              <w:pStyle w:val="22"/>
                              <w:tabs>
                                <w:tab w:val="left" w:pos="50"/>
                              </w:tabs>
                              <w:spacing w:before="19"/>
                              <w:ind w:left="20"/>
                            </w:pPr>
                            <w:r>
                              <w:rPr>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324.1pt;margin-top:12.55pt;height:15.1pt;width:3.5pt;z-index:251664384;mso-width-relative:page;mso-height-relative:page;" filled="f" stroked="f" coordsize="21600,21600" o:gfxdata="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bXsSdgAAAAJAQAADwAAAAAAAAABACAAAAAiAAAAZHJzL2Rvd25yZXYueG1sUEsBAhQA&#10;FAAAAAgAh07iQGcqC9G5AQAAcAMAAA4AAAAAAAAAAQAgAAAAJwEAAGRycy9lMm9Eb2MueG1sUEsF&#10;BgAAAAAGAAYAWQEAAFIFAAAAAA==&#10;">
                <v:fill on="f" focussize="0,0"/>
                <v:stroke on="f"/>
                <v:imagedata o:title=""/>
                <o:lock v:ext="edit" aspectratio="f"/>
                <v:textbox inset="0mm,0mm,0mm,0mm">
                  <w:txbxContent>
                    <w:p w14:paraId="68129125">
                      <w:pPr>
                        <w:pStyle w:val="22"/>
                        <w:tabs>
                          <w:tab w:val="left" w:pos="50"/>
                        </w:tabs>
                        <w:spacing w:before="19"/>
                        <w:ind w:left="20"/>
                      </w:pPr>
                      <w:r>
                        <w:rPr>
                          <w:u w:val="single" w:color="auto"/>
                        </w:rPr>
                        <w:tab/>
                      </w:r>
                    </w:p>
                  </w:txbxContent>
                </v:textbox>
              </v:shape>
            </w:pict>
          </mc:Fallback>
        </mc:AlternateContent>
      </w:r>
      <w:r>
        <w:rPr>
          <w:rFonts w:hint="eastAsia" w:asciiTheme="minorEastAsia" w:hAnsiTheme="minorEastAsia" w:eastAsiaTheme="minorEastAsia" w:cstheme="minorEastAsia"/>
          <w:color w:val="auto"/>
          <w:spacing w:val="20"/>
          <w:sz w:val="24"/>
          <w:szCs w:val="24"/>
        </w:rPr>
        <w:t>关于分包合同价款支付的约定：</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0"/>
          <w:sz w:val="24"/>
          <w:szCs w:val="24"/>
          <w:u w:val="single" w:color="auto"/>
        </w:rPr>
        <w:t>/</w:t>
      </w:r>
    </w:p>
    <w:p w14:paraId="46604DA9">
      <w:pPr>
        <w:spacing w:before="284"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3.4工程照管与成品、半成品保护</w:t>
      </w:r>
    </w:p>
    <w:p w14:paraId="60EC1B62">
      <w:pPr>
        <w:spacing w:before="264" w:line="360" w:lineRule="auto"/>
        <w:ind w:left="242" w:right="30"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承包人负责照管工程及工程相关的材料、工程设备的起始时间</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工程开工至竣工</w:t>
      </w:r>
      <w:r>
        <w:rPr>
          <w:rFonts w:hint="eastAsia" w:asciiTheme="minorEastAsia" w:hAnsiTheme="minorEastAsia" w:eastAsiaTheme="minorEastAsia" w:cstheme="minorEastAsia"/>
          <w:color w:val="auto"/>
          <w:spacing w:val="12"/>
          <w:sz w:val="24"/>
          <w:szCs w:val="24"/>
          <w:u w:val="single" w:color="auto"/>
        </w:rPr>
        <w:t>验收合格并移交发包人</w:t>
      </w:r>
      <w:r>
        <w:rPr>
          <w:rFonts w:hint="eastAsia" w:asciiTheme="minorEastAsia" w:hAnsiTheme="minorEastAsia" w:eastAsiaTheme="minorEastAsia" w:cstheme="minorEastAsia"/>
          <w:color w:val="auto"/>
          <w:spacing w:val="12"/>
          <w:sz w:val="24"/>
          <w:szCs w:val="24"/>
        </w:rPr>
        <w:t>。</w:t>
      </w:r>
    </w:p>
    <w:p w14:paraId="74B993F4">
      <w:pPr>
        <w:spacing w:before="105"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3.5履约担保</w:t>
      </w:r>
    </w:p>
    <w:p w14:paraId="4C830C12">
      <w:pPr>
        <w:spacing w:before="301" w:line="360" w:lineRule="auto"/>
        <w:ind w:left="7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1、成交供应商是否提供履约担保：</w:t>
      </w:r>
      <w:r>
        <w:rPr>
          <w:rFonts w:hint="eastAsia" w:asciiTheme="minorEastAsia" w:hAnsiTheme="minorEastAsia" w:eastAsiaTheme="minorEastAsia" w:cstheme="minorEastAsia"/>
          <w:color w:val="auto"/>
          <w:spacing w:val="-4"/>
          <w:sz w:val="24"/>
          <w:szCs w:val="24"/>
          <w:u w:val="single" w:color="auto"/>
        </w:rPr>
        <w:t>不提供。</w:t>
      </w:r>
    </w:p>
    <w:p w14:paraId="44D1FACC">
      <w:pPr>
        <w:spacing w:before="176" w:line="360" w:lineRule="auto"/>
        <w:ind w:left="732"/>
        <w:jc w:val="left"/>
        <w:rPr>
          <w:rFonts w:hint="eastAsia" w:asciiTheme="minorEastAsia" w:hAnsiTheme="minorEastAsia" w:eastAsiaTheme="minorEastAsia" w:cstheme="minorEastAsia"/>
          <w:color w:val="auto"/>
          <w:spacing w:val="-1"/>
          <w:position w:val="-4"/>
          <w:sz w:val="24"/>
          <w:szCs w:val="24"/>
          <w:u w:val="single" w:color="auto"/>
        </w:rPr>
      </w:pPr>
      <w:r>
        <w:rPr>
          <w:rFonts w:hint="eastAsia" w:asciiTheme="minorEastAsia" w:hAnsiTheme="minorEastAsia" w:eastAsiaTheme="minorEastAsia" w:cstheme="minorEastAsia"/>
          <w:color w:val="auto"/>
          <w:spacing w:val="-1"/>
          <w:sz w:val="24"/>
          <w:szCs w:val="24"/>
        </w:rPr>
        <w:t>2、成交供应商提供履约担保的形式、金额及期限：</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8"/>
          <w:position w:val="-4"/>
          <w:sz w:val="24"/>
          <w:szCs w:val="24"/>
          <w:u w:val="single" w:color="auto"/>
        </w:rPr>
        <w:t xml:space="preserve">      </w:t>
      </w:r>
      <w:r>
        <w:rPr>
          <w:rFonts w:hint="eastAsia" w:asciiTheme="minorEastAsia" w:hAnsiTheme="minorEastAsia" w:eastAsiaTheme="minorEastAsia" w:cstheme="minorEastAsia"/>
          <w:color w:val="auto"/>
          <w:spacing w:val="-1"/>
          <w:position w:val="-4"/>
          <w:sz w:val="24"/>
          <w:szCs w:val="24"/>
          <w:u w:val="single" w:color="auto"/>
        </w:rPr>
        <w:t>∠</w:t>
      </w:r>
    </w:p>
    <w:p w14:paraId="56345089">
      <w:pPr>
        <w:spacing w:before="176" w:line="360" w:lineRule="auto"/>
        <w:ind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 工程质量</w:t>
      </w:r>
    </w:p>
    <w:p w14:paraId="587D7868">
      <w:pPr>
        <w:spacing w:before="31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4.1质量要求</w:t>
      </w:r>
    </w:p>
    <w:p w14:paraId="42235E36">
      <w:pPr>
        <w:spacing w:before="280" w:line="360" w:lineRule="auto"/>
        <w:ind w:left="46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达到国家有关施工质量验收规范要求，并达到合格标准。</w:t>
      </w:r>
    </w:p>
    <w:p w14:paraId="5E9BCEFD">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本项目严格执行质量责任追究制度。质量事故处理实行“四不放过”原则；事故 原因调查不清不放过；事故责任都没有受到教育不放过；没有防范措施不放过；相关 责任人没受到处理不放过。</w:t>
      </w:r>
    </w:p>
    <w:p w14:paraId="740BA7DF">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特殊质量标准和要求：</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r>
        <w:rPr>
          <w:rFonts w:hint="eastAsia" w:asciiTheme="minorEastAsia" w:hAnsiTheme="minorEastAsia" w:eastAsiaTheme="minorEastAsia" w:cstheme="minorEastAsia"/>
          <w:color w:val="auto"/>
          <w:spacing w:val="13"/>
          <w:sz w:val="24"/>
          <w:szCs w:val="24"/>
          <w:u w:val="single" w:color="auto"/>
        </w:rPr>
        <w:t xml:space="preserve">        </w:t>
      </w:r>
      <w:r>
        <w:rPr>
          <w:rFonts w:hint="eastAsia" w:asciiTheme="minorEastAsia" w:hAnsiTheme="minorEastAsia" w:eastAsiaTheme="minorEastAsia" w:cstheme="minorEastAsia"/>
          <w:color w:val="auto"/>
          <w:sz w:val="24"/>
          <w:szCs w:val="24"/>
        </w:rPr>
        <w:t>。</w:t>
      </w:r>
    </w:p>
    <w:p w14:paraId="5B4B7FDF">
      <w:pPr>
        <w:spacing w:before="196" w:line="360" w:lineRule="auto"/>
        <w:ind w:left="97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关于工程奖项的约定：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4AC00F87">
      <w:pPr>
        <w:spacing w:before="28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 安全文明施工与环境保护</w:t>
      </w:r>
    </w:p>
    <w:p w14:paraId="3C71F020">
      <w:pPr>
        <w:spacing w:before="29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5.1安全文明施工</w:t>
      </w:r>
    </w:p>
    <w:p w14:paraId="35AB72AB">
      <w:pPr>
        <w:spacing w:before="274" w:line="360" w:lineRule="auto"/>
        <w:ind w:right="1378" w:firstLine="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 项目安全生产的达标目标及相应事项的约定：</w:t>
      </w:r>
      <w:r>
        <w:rPr>
          <w:rFonts w:hint="eastAsia" w:asciiTheme="minorEastAsia" w:hAnsiTheme="minorEastAsia" w:eastAsiaTheme="minorEastAsia" w:cstheme="minorEastAsia"/>
          <w:color w:val="auto"/>
          <w:sz w:val="24"/>
          <w:szCs w:val="24"/>
          <w:u w:val="single" w:color="auto"/>
        </w:rPr>
        <w:t>承包人应在施工中注意排查</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u w:val="single" w:color="auto"/>
        </w:rPr>
        <w:t>地下管线，做到安全文明施工。发现地下管网等安全隐患时应采取措施加以保</w:t>
      </w:r>
      <w:r>
        <w:rPr>
          <w:rFonts w:hint="eastAsia" w:asciiTheme="minorEastAsia" w:hAnsiTheme="minorEastAsia" w:eastAsiaTheme="minorEastAsia" w:cstheme="minorEastAsia"/>
          <w:color w:val="auto"/>
          <w:spacing w:val="-1"/>
          <w:sz w:val="24"/>
          <w:szCs w:val="24"/>
          <w:u w:val="single" w:color="auto"/>
        </w:rPr>
        <w:t>护。</w:t>
      </w:r>
    </w:p>
    <w:p w14:paraId="1180CF56">
      <w:pPr>
        <w:spacing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5.1.2关于治安保卫的特别约定：</w:t>
      </w:r>
    </w:p>
    <w:p w14:paraId="1DFDB9B1">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关于编制施工场地治安管理计划的约定：</w:t>
      </w:r>
      <w:r>
        <w:rPr>
          <w:rFonts w:hint="eastAsia" w:asciiTheme="minorEastAsia" w:hAnsiTheme="minorEastAsia" w:eastAsiaTheme="minorEastAsia" w:cstheme="minorEastAsia"/>
          <w:color w:val="auto"/>
          <w:spacing w:val="-3"/>
          <w:sz w:val="24"/>
          <w:szCs w:val="24"/>
          <w:u w:val="single" w:color="auto"/>
        </w:rPr>
        <w:t>承包人负责</w:t>
      </w:r>
      <w:r>
        <w:rPr>
          <w:rFonts w:hint="eastAsia" w:asciiTheme="minorEastAsia" w:hAnsiTheme="minorEastAsia" w:eastAsiaTheme="minorEastAsia" w:cstheme="minorEastAsia"/>
          <w:color w:val="auto"/>
          <w:spacing w:val="-3"/>
          <w:sz w:val="24"/>
          <w:szCs w:val="24"/>
        </w:rPr>
        <w:t>。</w:t>
      </w:r>
    </w:p>
    <w:p w14:paraId="05EA5AC2">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5.1.3文明施工</w:t>
      </w:r>
    </w:p>
    <w:p w14:paraId="5D8CCC31">
      <w:pPr>
        <w:spacing w:before="20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合同当事人对文明施工的要求：</w:t>
      </w:r>
      <w:r>
        <w:rPr>
          <w:rFonts w:hint="eastAsia" w:asciiTheme="minorEastAsia" w:hAnsiTheme="minorEastAsia" w:eastAsiaTheme="minorEastAsia" w:cstheme="minorEastAsia"/>
          <w:color w:val="auto"/>
          <w:spacing w:val="1"/>
          <w:sz w:val="24"/>
          <w:szCs w:val="24"/>
          <w:u w:val="single" w:color="auto"/>
        </w:rPr>
        <w:t xml:space="preserve"> 承包人应</w:t>
      </w:r>
      <w:r>
        <w:rPr>
          <w:rFonts w:hint="eastAsia" w:asciiTheme="minorEastAsia" w:hAnsiTheme="minorEastAsia" w:eastAsiaTheme="minorEastAsia" w:cstheme="minorEastAsia"/>
          <w:color w:val="auto"/>
          <w:sz w:val="24"/>
          <w:szCs w:val="24"/>
          <w:u w:val="single" w:color="auto"/>
        </w:rPr>
        <w:t>做到文明施工、规范管理</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w:t>
      </w:r>
    </w:p>
    <w:p w14:paraId="11BB0C8F">
      <w:pPr>
        <w:spacing w:before="15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5.1.4关于安全文明施工费支付比例和支付期限的约定：</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       /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u w:val="none" w:color="auto"/>
        </w:rPr>
        <w:t>。</w:t>
      </w:r>
    </w:p>
    <w:p w14:paraId="5A8911BF">
      <w:pPr>
        <w:spacing w:before="2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 工期和进度</w:t>
      </w:r>
    </w:p>
    <w:p w14:paraId="46DF27C1">
      <w:pPr>
        <w:spacing w:before="284"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6.1 施工组织设计</w:t>
      </w:r>
    </w:p>
    <w:p w14:paraId="4754FA57">
      <w:pPr>
        <w:spacing w:before="312"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6.1.1 合同当事人约定的施工组织设计应包括的其他内容：</w:t>
      </w:r>
      <w:r>
        <w:rPr>
          <w:rFonts w:hint="eastAsia" w:asciiTheme="minorEastAsia" w:hAnsiTheme="minorEastAsia" w:eastAsiaTheme="minorEastAsia" w:cstheme="minorEastAsia"/>
          <w:color w:val="auto"/>
          <w:spacing w:val="-2"/>
          <w:sz w:val="24"/>
          <w:szCs w:val="24"/>
          <w:u w:val="single" w:color="auto"/>
        </w:rPr>
        <w:t xml:space="preserve">       /        </w:t>
      </w:r>
      <w:r>
        <w:rPr>
          <w:rFonts w:hint="eastAsia" w:asciiTheme="minorEastAsia" w:hAnsiTheme="minorEastAsia" w:eastAsiaTheme="minorEastAsia" w:cstheme="minorEastAsia"/>
          <w:color w:val="auto"/>
          <w:spacing w:val="-2"/>
          <w:sz w:val="24"/>
          <w:szCs w:val="24"/>
        </w:rPr>
        <w:t>。</w:t>
      </w:r>
    </w:p>
    <w:p w14:paraId="68DEDC08">
      <w:pPr>
        <w:spacing w:before="18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6.1.2施工组织设计的提交和修</w:t>
      </w:r>
      <w:r>
        <w:rPr>
          <w:rFonts w:hint="eastAsia" w:asciiTheme="minorEastAsia" w:hAnsiTheme="minorEastAsia" w:eastAsiaTheme="minorEastAsia" w:cstheme="minorEastAsia"/>
          <w:color w:val="auto"/>
          <w:spacing w:val="1"/>
          <w:sz w:val="24"/>
          <w:szCs w:val="24"/>
          <w:u w:val="single" w:color="auto"/>
        </w:rPr>
        <w:t>改</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p>
    <w:p w14:paraId="56BD8D2C">
      <w:pPr>
        <w:spacing w:before="17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承包人提交详细施工组织设计的期限的约定：</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      。</w:t>
      </w:r>
    </w:p>
    <w:p w14:paraId="63B85B09">
      <w:pPr>
        <w:spacing w:before="17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发包人在收到详细的施工组织设计后确认或提出修改意见的期限：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112EAD86">
      <w:pPr>
        <w:spacing w:before="146"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6.2施工进度计划</w:t>
      </w:r>
    </w:p>
    <w:p w14:paraId="6558608A">
      <w:pPr>
        <w:spacing w:before="293"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6.2.1施工进度计划的修订</w:t>
      </w:r>
    </w:p>
    <w:p w14:paraId="208F724C">
      <w:pPr>
        <w:spacing w:before="235"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发包人在收到修订的施工进度计划后确认或提出修改意见的期限：</w:t>
      </w:r>
      <w:r>
        <w:rPr>
          <w:rFonts w:hint="eastAsia" w:asciiTheme="minorEastAsia" w:hAnsiTheme="minorEastAsia" w:eastAsiaTheme="minorEastAsia" w:cstheme="minorEastAsia"/>
          <w:color w:val="auto"/>
          <w:spacing w:val="20"/>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w:t>
      </w:r>
    </w:p>
    <w:p w14:paraId="664728A9">
      <w:pPr>
        <w:spacing w:before="127" w:line="360" w:lineRule="auto"/>
        <w:ind w:left="459"/>
        <w:jc w:val="left"/>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6.3开工</w:t>
      </w:r>
    </w:p>
    <w:p w14:paraId="1B5872B0">
      <w:pPr>
        <w:spacing w:before="127" w:line="360" w:lineRule="auto"/>
        <w:ind w:left="45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6.3.1 开工准备</w:t>
      </w:r>
    </w:p>
    <w:p w14:paraId="274686C1">
      <w:pPr>
        <w:spacing w:before="191"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关于承包人提交工程开工报审表的期限：</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6AF1F948">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关于发包人应完成的其他开工准备工作及期限：</w:t>
      </w:r>
    </w:p>
    <w:p w14:paraId="1EDA0D78">
      <w:pPr>
        <w:spacing w:before="27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由发包人办理的施工所需证件、批件的名称和完</w:t>
      </w:r>
      <w:r>
        <w:rPr>
          <w:rFonts w:hint="eastAsia" w:asciiTheme="minorEastAsia" w:hAnsiTheme="minorEastAsia" w:eastAsiaTheme="minorEastAsia" w:cstheme="minorEastAsia"/>
          <w:color w:val="auto"/>
          <w:spacing w:val="-8"/>
          <w:sz w:val="24"/>
          <w:szCs w:val="24"/>
        </w:rPr>
        <w:t>成时间：</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8"/>
          <w:sz w:val="24"/>
          <w:szCs w:val="24"/>
        </w:rPr>
        <w:t>。</w:t>
      </w:r>
    </w:p>
    <w:p w14:paraId="36928C01">
      <w:pPr>
        <w:spacing w:before="15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水准点与座标控制点交验要求：</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9"/>
          <w:sz w:val="24"/>
          <w:szCs w:val="24"/>
        </w:rPr>
        <w:t>。</w:t>
      </w:r>
    </w:p>
    <w:p w14:paraId="0B8DCA2C">
      <w:pPr>
        <w:spacing w:before="18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图纸会审和设计交底时间：</w:t>
      </w:r>
      <w:r>
        <w:rPr>
          <w:rFonts w:hint="eastAsia" w:asciiTheme="minorEastAsia" w:hAnsiTheme="minorEastAsia" w:eastAsiaTheme="minorEastAsia" w:cstheme="minorEastAsia"/>
          <w:color w:val="auto"/>
          <w:spacing w:val="-10"/>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1"/>
          <w:sz w:val="24"/>
          <w:szCs w:val="24"/>
        </w:rPr>
        <w:t>。</w:t>
      </w:r>
    </w:p>
    <w:p w14:paraId="6DDD5DE4">
      <w:pPr>
        <w:spacing w:before="79" w:line="360" w:lineRule="auto"/>
        <w:ind w:left="462"/>
        <w:jc w:val="left"/>
        <w:rPr>
          <w:rFonts w:hint="eastAsia" w:asciiTheme="minorEastAsia" w:hAnsiTheme="minorEastAsia" w:eastAsiaTheme="minorEastAsia" w:cstheme="minorEastAsia"/>
          <w:color w:val="auto"/>
          <w:spacing w:val="-6"/>
          <w:sz w:val="10"/>
          <w:szCs w:val="10"/>
        </w:rPr>
      </w:pPr>
    </w:p>
    <w:p w14:paraId="6EE7D294">
      <w:pPr>
        <w:spacing w:before="7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双方约定发包人应做的其他工作：</w:t>
      </w:r>
      <w:r>
        <w:rPr>
          <w:rFonts w:hint="eastAsia" w:asciiTheme="minorEastAsia" w:hAnsiTheme="minorEastAsia" w:eastAsiaTheme="minorEastAsia" w:cstheme="minorEastAsia"/>
          <w:color w:val="auto"/>
          <w:spacing w:val="9"/>
          <w:sz w:val="24"/>
          <w:szCs w:val="24"/>
          <w:u w:val="single" w:color="auto"/>
        </w:rPr>
        <w:t xml:space="preserve">        </w:t>
      </w:r>
      <w:r>
        <w:rPr>
          <w:rFonts w:hint="eastAsia" w:asciiTheme="minorEastAsia" w:hAnsiTheme="minorEastAsia" w:eastAsiaTheme="minorEastAsia" w:cstheme="minorEastAsia"/>
          <w:color w:val="auto"/>
          <w:spacing w:val="-6"/>
          <w:sz w:val="24"/>
          <w:szCs w:val="24"/>
          <w:u w:val="single" w:color="auto"/>
        </w:rPr>
        <w:t>/</w:t>
      </w:r>
    </w:p>
    <w:p w14:paraId="1C118560">
      <w:pPr>
        <w:spacing w:before="15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发包人委托承包人办理的工作：</w:t>
      </w:r>
      <w:r>
        <w:rPr>
          <w:rFonts w:hint="eastAsia" w:asciiTheme="minorEastAsia" w:hAnsiTheme="minorEastAsia" w:eastAsiaTheme="minorEastAsia" w:cstheme="minorEastAsia"/>
          <w:color w:val="auto"/>
          <w:spacing w:val="74"/>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届时双方协商，以书面通知或协议为准</w:t>
      </w:r>
      <w:r>
        <w:rPr>
          <w:rFonts w:hint="eastAsia" w:asciiTheme="minorEastAsia" w:hAnsiTheme="minorEastAsia" w:eastAsiaTheme="minorEastAsia" w:cstheme="minorEastAsia"/>
          <w:color w:val="auto"/>
          <w:spacing w:val="-1"/>
          <w:sz w:val="24"/>
          <w:szCs w:val="24"/>
        </w:rPr>
        <w:t>。</w:t>
      </w:r>
    </w:p>
    <w:p w14:paraId="4431CD84">
      <w:pPr>
        <w:spacing w:before="157" w:line="360" w:lineRule="auto"/>
        <w:ind w:left="22" w:right="130"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关于承包人应完成的其他开工准备工作及期限：</w:t>
      </w:r>
      <w:r>
        <w:rPr>
          <w:rFonts w:hint="eastAsia" w:asciiTheme="minorEastAsia" w:hAnsiTheme="minorEastAsia" w:eastAsiaTheme="minorEastAsia" w:cstheme="minorEastAsia"/>
          <w:color w:val="auto"/>
          <w:spacing w:val="3"/>
          <w:sz w:val="24"/>
          <w:szCs w:val="24"/>
          <w:u w:val="single" w:color="auto"/>
        </w:rPr>
        <w:t>承包人在收到成交通知书后</w:t>
      </w:r>
      <w:r>
        <w:rPr>
          <w:rFonts w:hint="eastAsia" w:asciiTheme="minorEastAsia" w:hAnsiTheme="minorEastAsia" w:eastAsiaTheme="minorEastAsia" w:cstheme="minorEastAsia"/>
          <w:color w:val="auto"/>
          <w:spacing w:val="3"/>
          <w:sz w:val="24"/>
          <w:szCs w:val="24"/>
          <w:u w:val="single" w:color="auto"/>
          <w:lang w:val="en-US" w:eastAsia="zh-CN"/>
        </w:rPr>
        <w:t>5</w:t>
      </w:r>
      <w:r>
        <w:rPr>
          <w:rFonts w:hint="eastAsia" w:asciiTheme="minorEastAsia" w:hAnsiTheme="minorEastAsia" w:eastAsiaTheme="minorEastAsia" w:cstheme="minorEastAsia"/>
          <w:color w:val="auto"/>
          <w:spacing w:val="3"/>
          <w:sz w:val="24"/>
          <w:szCs w:val="24"/>
          <w:u w:val="single" w:color="auto"/>
        </w:rPr>
        <w:t>日</w:t>
      </w:r>
      <w:r>
        <w:rPr>
          <w:rFonts w:hint="eastAsia" w:asciiTheme="minorEastAsia" w:hAnsiTheme="minorEastAsia" w:eastAsiaTheme="minorEastAsia" w:cstheme="minorEastAsia"/>
          <w:color w:val="auto"/>
          <w:spacing w:val="5"/>
          <w:sz w:val="24"/>
          <w:szCs w:val="24"/>
          <w:u w:val="single" w:color="auto"/>
        </w:rPr>
        <w:t>内完成所有开工前准备工作</w:t>
      </w:r>
      <w:r>
        <w:rPr>
          <w:rFonts w:hint="eastAsia" w:asciiTheme="minorEastAsia" w:hAnsiTheme="minorEastAsia" w:eastAsiaTheme="minorEastAsia" w:cstheme="minorEastAsia"/>
          <w:color w:val="auto"/>
          <w:spacing w:val="5"/>
          <w:sz w:val="24"/>
          <w:szCs w:val="24"/>
        </w:rPr>
        <w:t>。</w:t>
      </w:r>
    </w:p>
    <w:p w14:paraId="14EEEC5C">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6.4工期延误</w:t>
      </w:r>
    </w:p>
    <w:p w14:paraId="4A008383">
      <w:pPr>
        <w:spacing w:before="78"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6.4.1 因发包人原因导致工期延误</w:t>
      </w:r>
    </w:p>
    <w:p w14:paraId="447271F2">
      <w:pPr>
        <w:spacing w:before="153" w:line="360" w:lineRule="auto"/>
        <w:ind w:left="22" w:right="15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因发包人原因导致工期延误的其他情形：</w:t>
      </w:r>
      <w:r>
        <w:rPr>
          <w:rFonts w:hint="eastAsia" w:asciiTheme="minorEastAsia" w:hAnsiTheme="minorEastAsia" w:eastAsiaTheme="minorEastAsia" w:cstheme="minorEastAsia"/>
          <w:color w:val="auto"/>
          <w:spacing w:val="-1"/>
          <w:sz w:val="24"/>
          <w:szCs w:val="24"/>
          <w:u w:val="single" w:color="auto"/>
        </w:rPr>
        <w:t>发包人只顺延工期，但不承担其它违约</w:t>
      </w:r>
      <w:r>
        <w:rPr>
          <w:rFonts w:hint="eastAsia" w:asciiTheme="minorEastAsia" w:hAnsiTheme="minorEastAsia" w:eastAsiaTheme="minorEastAsia" w:cstheme="minorEastAsia"/>
          <w:color w:val="auto"/>
          <w:spacing w:val="-3"/>
          <w:sz w:val="24"/>
          <w:szCs w:val="24"/>
          <w:u w:val="single" w:color="auto"/>
        </w:rPr>
        <w:t>责任及费用索赔</w:t>
      </w:r>
      <w:r>
        <w:rPr>
          <w:rFonts w:hint="eastAsia" w:asciiTheme="minorEastAsia" w:hAnsiTheme="minorEastAsia" w:eastAsiaTheme="minorEastAsia" w:cstheme="minorEastAsia"/>
          <w:color w:val="auto"/>
          <w:spacing w:val="-3"/>
          <w:sz w:val="24"/>
          <w:szCs w:val="24"/>
        </w:rPr>
        <w:t>。</w:t>
      </w:r>
    </w:p>
    <w:p w14:paraId="70876939">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6.4.2因承包人原因导致工期延误</w:t>
      </w:r>
    </w:p>
    <w:p w14:paraId="709332B9">
      <w:pPr>
        <w:spacing w:before="155" w:line="360" w:lineRule="auto"/>
        <w:ind w:left="22"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因承包人原因造成工期延误，逾期竣工违约金的计算方法为：</w:t>
      </w:r>
      <w:r>
        <w:rPr>
          <w:rFonts w:hint="eastAsia" w:asciiTheme="minorEastAsia" w:hAnsiTheme="minorEastAsia" w:eastAsiaTheme="minorEastAsia" w:cstheme="minorEastAsia"/>
          <w:color w:val="auto"/>
          <w:spacing w:val="-3"/>
          <w:sz w:val="24"/>
          <w:szCs w:val="24"/>
          <w:u w:val="single" w:color="auto"/>
        </w:rPr>
        <w:t>按1000元/天计算，</w:t>
      </w:r>
      <w:r>
        <w:rPr>
          <w:rFonts w:hint="eastAsia" w:asciiTheme="minorEastAsia" w:hAnsiTheme="minorEastAsia" w:eastAsiaTheme="minorEastAsia" w:cstheme="minorEastAsia"/>
          <w:color w:val="auto"/>
          <w:spacing w:val="-1"/>
          <w:sz w:val="24"/>
          <w:szCs w:val="24"/>
          <w:u w:val="single" w:color="auto"/>
        </w:rPr>
        <w:t>所扣费用在付款结算时一并扣除。</w:t>
      </w:r>
    </w:p>
    <w:p w14:paraId="25467223">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因承包人原因造成工期延误，逾期竣工违约金的上限：</w:t>
      </w:r>
      <w:r>
        <w:rPr>
          <w:rFonts w:hint="eastAsia" w:asciiTheme="minorEastAsia" w:hAnsiTheme="minorEastAsia" w:eastAsiaTheme="minorEastAsia" w:cstheme="minorEastAsia"/>
          <w:color w:val="auto"/>
          <w:spacing w:val="-1"/>
          <w:sz w:val="24"/>
          <w:szCs w:val="24"/>
          <w:u w:val="single" w:color="auto"/>
        </w:rPr>
        <w:t>累计违约金</w:t>
      </w:r>
      <w:r>
        <w:rPr>
          <w:rFonts w:hint="eastAsia" w:asciiTheme="minorEastAsia" w:hAnsiTheme="minorEastAsia" w:eastAsiaTheme="minorEastAsia" w:cstheme="minorEastAsia"/>
          <w:color w:val="auto"/>
          <w:spacing w:val="-2"/>
          <w:sz w:val="24"/>
          <w:szCs w:val="24"/>
          <w:u w:val="single" w:color="auto"/>
        </w:rPr>
        <w:t>上限不超过签</w:t>
      </w:r>
    </w:p>
    <w:p w14:paraId="2480EBC1">
      <w:pPr>
        <w:spacing w:before="233" w:line="360" w:lineRule="auto"/>
        <w:ind w:left="2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u w:val="single" w:color="auto"/>
        </w:rPr>
        <w:t>约合同价的10%。</w:t>
      </w:r>
    </w:p>
    <w:p w14:paraId="03BB60E1">
      <w:pPr>
        <w:spacing w:before="139"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6.5不利物质条件</w:t>
      </w:r>
    </w:p>
    <w:p w14:paraId="4343205F">
      <w:pPr>
        <w:spacing w:before="285" w:line="360" w:lineRule="auto"/>
        <w:ind w:left="2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不利物质条件的其他情形和有关约定：</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36B0DEFB">
      <w:pPr>
        <w:spacing w:before="165"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6.6异常恶劣的气候条件</w:t>
      </w:r>
    </w:p>
    <w:p w14:paraId="5D16526B">
      <w:pPr>
        <w:spacing w:before="274" w:line="360" w:lineRule="auto"/>
        <w:ind w:left="22" w:right="164" w:firstLine="4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发包人和承包人同意以下情形视为异常恶劣的气候条件：</w:t>
      </w:r>
      <w:r>
        <w:rPr>
          <w:rFonts w:hint="eastAsia" w:asciiTheme="minorEastAsia" w:hAnsiTheme="minorEastAsia" w:eastAsiaTheme="minorEastAsia" w:cstheme="minorEastAsia"/>
          <w:color w:val="auto"/>
          <w:spacing w:val="-1"/>
          <w:sz w:val="24"/>
          <w:szCs w:val="24"/>
          <w:u w:val="single" w:color="auto"/>
        </w:rPr>
        <w:t>按政</w:t>
      </w:r>
      <w:r>
        <w:rPr>
          <w:rFonts w:hint="eastAsia" w:asciiTheme="minorEastAsia" w:hAnsiTheme="minorEastAsia" w:eastAsiaTheme="minorEastAsia" w:cstheme="minorEastAsia"/>
          <w:color w:val="auto"/>
          <w:spacing w:val="-2"/>
          <w:sz w:val="24"/>
          <w:szCs w:val="24"/>
          <w:u w:val="single" w:color="auto"/>
        </w:rPr>
        <w:t>府或相关部门文件</w:t>
      </w:r>
      <w:r>
        <w:rPr>
          <w:rFonts w:hint="eastAsia" w:asciiTheme="minorEastAsia" w:hAnsiTheme="minorEastAsia" w:eastAsiaTheme="minorEastAsia" w:cstheme="minorEastAsia"/>
          <w:color w:val="auto"/>
          <w:sz w:val="24"/>
          <w:szCs w:val="24"/>
          <w:u w:val="single" w:color="auto"/>
        </w:rPr>
        <w:t>规定执行。</w:t>
      </w:r>
    </w:p>
    <w:p w14:paraId="37616D5A">
      <w:pPr>
        <w:spacing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6.7提前竣工的奖励</w:t>
      </w:r>
    </w:p>
    <w:p w14:paraId="7328206E">
      <w:pPr>
        <w:spacing w:before="286"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6.7.1提前竣工的奖励：</w:t>
      </w:r>
      <w:r>
        <w:rPr>
          <w:rFonts w:hint="eastAsia" w:asciiTheme="minorEastAsia" w:hAnsiTheme="minorEastAsia" w:eastAsiaTheme="minorEastAsia" w:cstheme="minorEastAsia"/>
          <w:color w:val="auto"/>
          <w:spacing w:val="3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不奖励</w:t>
      </w:r>
      <w:r>
        <w:rPr>
          <w:rFonts w:hint="eastAsia" w:asciiTheme="minorEastAsia" w:hAnsiTheme="minorEastAsia" w:eastAsiaTheme="minorEastAsia" w:cstheme="minorEastAsia"/>
          <w:color w:val="auto"/>
          <w:spacing w:val="30"/>
          <w:sz w:val="24"/>
          <w:szCs w:val="24"/>
          <w:u w:val="single" w:color="auto"/>
        </w:rPr>
        <w:t xml:space="preserve">  </w:t>
      </w:r>
      <w:r>
        <w:rPr>
          <w:rFonts w:hint="eastAsia" w:asciiTheme="minorEastAsia" w:hAnsiTheme="minorEastAsia" w:eastAsiaTheme="minorEastAsia" w:cstheme="minorEastAsia"/>
          <w:color w:val="auto"/>
          <w:spacing w:val="-1"/>
          <w:sz w:val="24"/>
          <w:szCs w:val="24"/>
        </w:rPr>
        <w:t>。</w:t>
      </w:r>
    </w:p>
    <w:p w14:paraId="561B9001">
      <w:pPr>
        <w:spacing w:before="293" w:line="360" w:lineRule="auto"/>
        <w:ind w:left="46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7. 材料与设备</w:t>
      </w:r>
    </w:p>
    <w:p w14:paraId="162D9FE7">
      <w:pPr>
        <w:spacing w:before="15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7.1材料与工程设备的保管与使用</w:t>
      </w:r>
    </w:p>
    <w:p w14:paraId="2AF6F18F">
      <w:pPr>
        <w:spacing w:before="284"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7.1.1发包人供应的材料设备的保管费用的承担：</w:t>
      </w:r>
      <w:r>
        <w:rPr>
          <w:rFonts w:hint="eastAsia" w:asciiTheme="minorEastAsia" w:hAnsiTheme="minorEastAsia" w:eastAsiaTheme="minorEastAsia" w:cstheme="minorEastAsia"/>
          <w:color w:val="auto"/>
          <w:spacing w:val="1"/>
          <w:sz w:val="24"/>
          <w:szCs w:val="24"/>
          <w:u w:val="single" w:color="auto"/>
        </w:rPr>
        <w:t>/</w:t>
      </w:r>
    </w:p>
    <w:p w14:paraId="6616C65A">
      <w:pPr>
        <w:spacing w:before="18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7.2样品</w:t>
      </w:r>
    </w:p>
    <w:p w14:paraId="584AC8B6">
      <w:pPr>
        <w:spacing w:before="31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7.2.1</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2"/>
          <w:sz w:val="24"/>
          <w:szCs w:val="24"/>
        </w:rPr>
        <w:t>样品的报送与封存</w:t>
      </w:r>
    </w:p>
    <w:p w14:paraId="430D4C53">
      <w:pPr>
        <w:spacing w:before="182" w:line="360" w:lineRule="auto"/>
        <w:ind w:right="10" w:firstLine="639"/>
        <w:jc w:val="left"/>
        <w:rPr>
          <w:rFonts w:hint="eastAsia" w:asciiTheme="minorEastAsia" w:hAnsiTheme="minorEastAsia" w:eastAsiaTheme="minorEastAsia" w:cstheme="minorEastAsia"/>
          <w:color w:val="auto"/>
          <w:sz w:val="24"/>
          <w:szCs w:val="24"/>
          <w:u w:val="single" w:color="auto"/>
        </w:rPr>
      </w:pPr>
      <w:r>
        <w:rPr>
          <w:rFonts w:hint="eastAsia" w:asciiTheme="minorEastAsia" w:hAnsiTheme="minorEastAsia" w:eastAsiaTheme="minorEastAsia" w:cstheme="minorEastAsia"/>
          <w:color w:val="auto"/>
          <w:sz w:val="24"/>
          <w:szCs w:val="24"/>
          <w:u w:val="single" w:color="auto"/>
        </w:rPr>
        <w:t>需要承包人报送样品的材料或工程设备，样品的种类、名称、规格、数量要求：(1)本工程施工所需全部设备、配件及材料由承包人采购，所采购的设备、配件及材料必须符合国家、地方现行规范标准及设计要求，保证质量，提供有效的产品合格证明和必要的材料检验报告，并对材料质量负责，所有材料价格均不因市场价格变化及其他政策性文件而进行调整。</w:t>
      </w:r>
    </w:p>
    <w:p w14:paraId="427A89F8">
      <w:pPr>
        <w:spacing w:before="182" w:line="360" w:lineRule="auto"/>
        <w:ind w:right="10" w:firstLine="63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(2)承包人采购的设备、配件及材料与设计或标准要求不符时，承包人应按发包人要求的时间运出施工场地，重新采购符合要求的产品，承担由此发生的费用，由此</w:t>
      </w:r>
      <w:r>
        <w:rPr>
          <w:rFonts w:hint="eastAsia" w:asciiTheme="minorEastAsia" w:hAnsiTheme="minorEastAsia" w:eastAsiaTheme="minorEastAsia" w:cstheme="minorEastAsia"/>
          <w:color w:val="auto"/>
          <w:spacing w:val="1"/>
          <w:sz w:val="24"/>
          <w:szCs w:val="24"/>
          <w:u w:val="single" w:color="auto"/>
        </w:rPr>
        <w:t>延误的工期不予顺延。</w:t>
      </w:r>
    </w:p>
    <w:p w14:paraId="5167047D">
      <w:pPr>
        <w:spacing w:before="174" w:line="360" w:lineRule="auto"/>
        <w:ind w:firstLine="60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(3)承包人在工程实施时，需先提供各种主要材料的样品，经发包人对样品确认</w:t>
      </w:r>
      <w:r>
        <w:rPr>
          <w:rFonts w:hint="eastAsia" w:asciiTheme="minorEastAsia" w:hAnsiTheme="minorEastAsia" w:eastAsiaTheme="minorEastAsia" w:cstheme="minorEastAsia"/>
          <w:color w:val="auto"/>
          <w:spacing w:val="2"/>
          <w:sz w:val="24"/>
          <w:szCs w:val="24"/>
          <w:u w:val="single" w:color="auto"/>
        </w:rPr>
        <w:t>后，承包人方可进行材料的采购和下一步的施工，由</w:t>
      </w:r>
      <w:r>
        <w:rPr>
          <w:rFonts w:hint="eastAsia" w:asciiTheme="minorEastAsia" w:hAnsiTheme="minorEastAsia" w:eastAsiaTheme="minorEastAsia" w:cstheme="minorEastAsia"/>
          <w:color w:val="auto"/>
          <w:spacing w:val="1"/>
          <w:sz w:val="24"/>
          <w:szCs w:val="24"/>
          <w:u w:val="single" w:color="auto"/>
        </w:rPr>
        <w:t>此发生的相关费用已包含在合同价款中，工程结算时发包人不另行支付该费用和调整合同价</w:t>
      </w:r>
      <w:r>
        <w:rPr>
          <w:rFonts w:hint="eastAsia" w:asciiTheme="minorEastAsia" w:hAnsiTheme="minorEastAsia" w:eastAsiaTheme="minorEastAsia" w:cstheme="minorEastAsia"/>
          <w:color w:val="auto"/>
          <w:spacing w:val="1"/>
          <w:sz w:val="24"/>
          <w:szCs w:val="24"/>
        </w:rPr>
        <w:t>。</w:t>
      </w:r>
    </w:p>
    <w:p w14:paraId="1BBAEDEF">
      <w:pPr>
        <w:spacing w:before="15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7.3施工设备和临时设施</w:t>
      </w:r>
    </w:p>
    <w:p w14:paraId="04A1467B">
      <w:pPr>
        <w:spacing w:before="283"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7.3.1承包人提供的施工设备和临时设施</w:t>
      </w:r>
    </w:p>
    <w:p w14:paraId="124B295D">
      <w:pPr>
        <w:spacing w:before="195"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关于修建临时设施费用承担的约定：</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10"/>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承包人承担，包含在合同价中</w:t>
      </w:r>
      <w:r>
        <w:rPr>
          <w:rFonts w:hint="eastAsia" w:asciiTheme="minorEastAsia" w:hAnsiTheme="minorEastAsia" w:eastAsiaTheme="minorEastAsia" w:cstheme="minorEastAsia"/>
          <w:color w:val="auto"/>
          <w:sz w:val="24"/>
          <w:szCs w:val="24"/>
        </w:rPr>
        <w:t>。</w:t>
      </w:r>
    </w:p>
    <w:p w14:paraId="21C2B173">
      <w:pPr>
        <w:spacing w:before="309"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8.</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试验与检验</w:t>
      </w:r>
    </w:p>
    <w:p w14:paraId="60CC6DEA">
      <w:pPr>
        <w:spacing w:before="296" w:line="360" w:lineRule="auto"/>
        <w:ind w:left="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8.1试验设备与试验人员</w:t>
      </w:r>
    </w:p>
    <w:p w14:paraId="16085994">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8.1.1 试验设备</w:t>
      </w:r>
    </w:p>
    <w:p w14:paraId="2E46D7E8">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施工现场需要配置的试验场所：</w:t>
      </w:r>
      <w:r>
        <w:rPr>
          <w:rFonts w:hint="eastAsia" w:asciiTheme="minorEastAsia" w:hAnsiTheme="minorEastAsia" w:eastAsiaTheme="minorEastAsia" w:cstheme="minorEastAsia"/>
          <w:color w:val="auto"/>
          <w:spacing w:val="6"/>
          <w:sz w:val="24"/>
          <w:szCs w:val="24"/>
          <w:u w:val="single"/>
        </w:rPr>
        <w:t xml:space="preserve">        /</w:t>
      </w:r>
    </w:p>
    <w:p w14:paraId="63B52878">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施工现场需要配备的试验设备：</w:t>
      </w:r>
      <w:r>
        <w:rPr>
          <w:rFonts w:hint="eastAsia" w:asciiTheme="minorEastAsia" w:hAnsiTheme="minorEastAsia" w:eastAsiaTheme="minorEastAsia" w:cstheme="minorEastAsia"/>
          <w:color w:val="auto"/>
          <w:spacing w:val="6"/>
          <w:sz w:val="24"/>
          <w:szCs w:val="24"/>
          <w:u w:val="single"/>
        </w:rPr>
        <w:t xml:space="preserve">        /</w:t>
      </w:r>
    </w:p>
    <w:p w14:paraId="68555422">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施工现场需要具备的其他试验条件：</w:t>
      </w:r>
      <w:r>
        <w:rPr>
          <w:rFonts w:hint="eastAsia" w:asciiTheme="minorEastAsia" w:hAnsiTheme="minorEastAsia" w:eastAsiaTheme="minorEastAsia" w:cstheme="minorEastAsia"/>
          <w:color w:val="auto"/>
          <w:spacing w:val="6"/>
          <w:sz w:val="24"/>
          <w:szCs w:val="24"/>
          <w:u w:val="single"/>
        </w:rPr>
        <w:t xml:space="preserve">        /</w:t>
      </w:r>
    </w:p>
    <w:p w14:paraId="5F809DD6">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8.2现场工艺试验</w:t>
      </w:r>
    </w:p>
    <w:p w14:paraId="0F91257C">
      <w:pPr>
        <w:spacing w:before="283" w:line="360" w:lineRule="auto"/>
        <w:ind w:left="469"/>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现场工艺试验的有关约定：</w:t>
      </w:r>
      <w:r>
        <w:rPr>
          <w:rFonts w:hint="eastAsia" w:asciiTheme="minorEastAsia" w:hAnsiTheme="minorEastAsia" w:eastAsiaTheme="minorEastAsia" w:cstheme="minorEastAsia"/>
          <w:color w:val="auto"/>
          <w:spacing w:val="6"/>
          <w:sz w:val="24"/>
          <w:szCs w:val="24"/>
          <w:u w:val="single"/>
        </w:rPr>
        <w:t xml:space="preserve">    </w:t>
      </w:r>
      <w:bookmarkStart w:id="178" w:name="OLE_LINK7"/>
      <w:r>
        <w:rPr>
          <w:rFonts w:hint="eastAsia" w:asciiTheme="minorEastAsia" w:hAnsiTheme="minorEastAsia" w:eastAsiaTheme="minorEastAsia" w:cstheme="minorEastAsia"/>
          <w:color w:val="auto"/>
          <w:spacing w:val="6"/>
          <w:sz w:val="24"/>
          <w:szCs w:val="24"/>
          <w:u w:val="single"/>
        </w:rPr>
        <w:t xml:space="preserve"> /</w:t>
      </w:r>
      <w:bookmarkEnd w:id="178"/>
    </w:p>
    <w:p w14:paraId="11989EDB">
      <w:pPr>
        <w:spacing w:before="283" w:line="360" w:lineRule="auto"/>
        <w:ind w:left="469" w:firstLine="252" w:firstLineChars="100"/>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9. 变更</w:t>
      </w:r>
    </w:p>
    <w:p w14:paraId="30634FD8">
      <w:pPr>
        <w:spacing w:before="177"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9.1变更的范围</w:t>
      </w:r>
    </w:p>
    <w:p w14:paraId="3C936DDE">
      <w:pPr>
        <w:spacing w:before="259" w:line="360" w:lineRule="auto"/>
        <w:ind w:left="242" w:right="67"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关于变更的范围的约定：</w:t>
      </w:r>
      <w:r>
        <w:rPr>
          <w:rFonts w:hint="eastAsia" w:asciiTheme="minorEastAsia" w:hAnsiTheme="minorEastAsia" w:eastAsiaTheme="minorEastAsia" w:cstheme="minorEastAsia"/>
          <w:color w:val="auto"/>
          <w:spacing w:val="1"/>
          <w:sz w:val="24"/>
          <w:szCs w:val="24"/>
          <w:u w:val="single" w:color="auto"/>
        </w:rPr>
        <w:t>设计变更、发包人要求的施工变更及采购范围外的</w:t>
      </w:r>
      <w:r>
        <w:rPr>
          <w:rFonts w:hint="eastAsia" w:asciiTheme="minorEastAsia" w:hAnsiTheme="minorEastAsia" w:eastAsiaTheme="minorEastAsia" w:cstheme="minorEastAsia"/>
          <w:color w:val="auto"/>
          <w:sz w:val="24"/>
          <w:szCs w:val="24"/>
          <w:u w:val="single" w:color="auto"/>
        </w:rPr>
        <w:t>增项</w:t>
      </w:r>
      <w:r>
        <w:rPr>
          <w:rFonts w:hint="eastAsia" w:asciiTheme="minorEastAsia" w:hAnsiTheme="minorEastAsia" w:eastAsiaTheme="minorEastAsia" w:cstheme="minorEastAsia"/>
          <w:color w:val="auto"/>
          <w:spacing w:val="1"/>
          <w:sz w:val="24"/>
          <w:szCs w:val="24"/>
          <w:u w:val="single" w:color="auto"/>
        </w:rPr>
        <w:t>或减少、技术商洽均属工程变更。工程变更</w:t>
      </w:r>
      <w:r>
        <w:rPr>
          <w:rFonts w:hint="eastAsia" w:asciiTheme="minorEastAsia" w:hAnsiTheme="minorEastAsia" w:eastAsiaTheme="minorEastAsia" w:cstheme="minorEastAsia"/>
          <w:color w:val="auto"/>
          <w:sz w:val="24"/>
          <w:szCs w:val="24"/>
          <w:u w:val="single" w:color="auto"/>
        </w:rPr>
        <w:t>必须按程序先审批后实施。所有工程变更</w:t>
      </w:r>
      <w:r>
        <w:rPr>
          <w:rFonts w:hint="eastAsia" w:asciiTheme="minorEastAsia" w:hAnsiTheme="minorEastAsia" w:eastAsiaTheme="minorEastAsia" w:cstheme="minorEastAsia"/>
          <w:color w:val="auto"/>
          <w:spacing w:val="8"/>
          <w:sz w:val="24"/>
          <w:szCs w:val="24"/>
          <w:u w:val="single" w:color="auto"/>
        </w:rPr>
        <w:t>必须征得发包人、监理人(有监理单位的情况下)及跟审单位(有跟审单位的情</w:t>
      </w:r>
      <w:r>
        <w:rPr>
          <w:rFonts w:hint="eastAsia" w:asciiTheme="minorEastAsia" w:hAnsiTheme="minorEastAsia" w:eastAsiaTheme="minorEastAsia" w:cstheme="minorEastAsia"/>
          <w:color w:val="auto"/>
          <w:spacing w:val="7"/>
          <w:sz w:val="24"/>
          <w:szCs w:val="24"/>
          <w:u w:val="single" w:color="auto"/>
        </w:rPr>
        <w:t>况下)</w:t>
      </w:r>
      <w:r>
        <w:rPr>
          <w:rFonts w:hint="eastAsia" w:asciiTheme="minorEastAsia" w:hAnsiTheme="minorEastAsia" w:eastAsiaTheme="minorEastAsia" w:cstheme="minorEastAsia"/>
          <w:color w:val="auto"/>
          <w:sz w:val="24"/>
          <w:szCs w:val="24"/>
          <w:u w:val="single" w:color="auto"/>
        </w:rPr>
        <w:t>的同意签认后，才可以实施。承包人不得直接向设计单位提出设计变更，确需进行设</w:t>
      </w:r>
      <w:r>
        <w:rPr>
          <w:rFonts w:hint="eastAsia" w:asciiTheme="minorEastAsia" w:hAnsiTheme="minorEastAsia" w:eastAsiaTheme="minorEastAsia" w:cstheme="minorEastAsia"/>
          <w:color w:val="auto"/>
          <w:spacing w:val="7"/>
          <w:sz w:val="24"/>
          <w:szCs w:val="24"/>
          <w:u w:val="single" w:color="auto"/>
        </w:rPr>
        <w:t>计变更的，由承包人向发包人提出，经发包人、监理人(有监理单位的情况下)及跟</w:t>
      </w:r>
      <w:r>
        <w:rPr>
          <w:rFonts w:hint="eastAsia" w:asciiTheme="minorEastAsia" w:hAnsiTheme="minorEastAsia" w:eastAsiaTheme="minorEastAsia" w:cstheme="minorEastAsia"/>
          <w:color w:val="auto"/>
          <w:spacing w:val="2"/>
          <w:sz w:val="24"/>
          <w:szCs w:val="24"/>
          <w:u w:val="single" w:color="auto"/>
        </w:rPr>
        <w:t>审单位(有跟审单位的情况下)同意后，由发包人向设计单位提出进行设</w:t>
      </w:r>
      <w:r>
        <w:rPr>
          <w:rFonts w:hint="eastAsia" w:asciiTheme="minorEastAsia" w:hAnsiTheme="minorEastAsia" w:eastAsiaTheme="minorEastAsia" w:cstheme="minorEastAsia"/>
          <w:color w:val="auto"/>
          <w:spacing w:val="1"/>
          <w:sz w:val="24"/>
          <w:szCs w:val="24"/>
          <w:u w:val="single" w:color="auto"/>
        </w:rPr>
        <w:t>计变更。</w:t>
      </w:r>
      <w:r>
        <w:rPr>
          <w:rFonts w:hint="eastAsia" w:asciiTheme="minorEastAsia" w:hAnsiTheme="minorEastAsia" w:eastAsiaTheme="minorEastAsia" w:cstheme="minorEastAsia"/>
          <w:color w:val="auto"/>
          <w:spacing w:val="-6"/>
          <w:sz w:val="24"/>
          <w:szCs w:val="24"/>
          <w:u w:val="single" w:color="auto"/>
        </w:rPr>
        <w:t>施工中发生工程变更，承包人按照经发包人认可的变更设计文件，进行变更施工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6"/>
          <w:sz w:val="24"/>
          <w:szCs w:val="24"/>
        </w:rPr>
        <w:t>。</w:t>
      </w:r>
    </w:p>
    <w:p w14:paraId="0549222E">
      <w:pPr>
        <w:spacing w:before="165"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9.2“设计变更”签证资料</w:t>
      </w:r>
    </w:p>
    <w:p w14:paraId="2787073D">
      <w:pPr>
        <w:spacing w:before="302"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9.2.1设计变更必须由发包人出据资料并签字盖章后才有效；</w:t>
      </w:r>
    </w:p>
    <w:p w14:paraId="1C1A7207">
      <w:pPr>
        <w:spacing w:before="187" w:line="360" w:lineRule="auto"/>
        <w:ind w:left="242" w:right="104" w:firstLine="46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9.2.2“技术核定”、“工程量收方”、“工期顺延”和“其它事宜”的签证资料由承包人出据资料，送发包人、监理人(有监理单位的情况下)及跟审单位(有跟审单位的情况下)或设计单位审核确认签字盖章后有效；</w:t>
      </w:r>
    </w:p>
    <w:p w14:paraId="6B2893B7">
      <w:pPr>
        <w:spacing w:before="177" w:line="360" w:lineRule="auto"/>
        <w:ind w:left="242" w:right="9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9.2.3发包人签证资料的签证人员由发包人指定的现场代表、工程部负责人、项目</w:t>
      </w:r>
      <w:r>
        <w:rPr>
          <w:rFonts w:hint="eastAsia" w:asciiTheme="minorEastAsia" w:hAnsiTheme="minorEastAsia" w:eastAsiaTheme="minorEastAsia" w:cstheme="minorEastAsia"/>
          <w:color w:val="auto"/>
          <w:spacing w:val="-8"/>
          <w:sz w:val="24"/>
          <w:szCs w:val="24"/>
        </w:rPr>
        <w:t>负责人组成。</w:t>
      </w:r>
    </w:p>
    <w:p w14:paraId="75A972EB">
      <w:pPr>
        <w:spacing w:before="187" w:line="360" w:lineRule="auto"/>
        <w:ind w:left="242" w:right="10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9.2.4发包人签字人员：设计变更按发包人单位程序办理，</w:t>
      </w:r>
      <w:r>
        <w:rPr>
          <w:rFonts w:hint="eastAsia" w:asciiTheme="minorEastAsia" w:hAnsiTheme="minorEastAsia" w:eastAsiaTheme="minorEastAsia" w:cstheme="minorEastAsia"/>
          <w:color w:val="auto"/>
          <w:spacing w:val="-3"/>
          <w:sz w:val="24"/>
          <w:szCs w:val="24"/>
        </w:rPr>
        <w:t>经现场代表、项目负责</w:t>
      </w:r>
      <w:r>
        <w:rPr>
          <w:rFonts w:hint="eastAsia" w:asciiTheme="minorEastAsia" w:hAnsiTheme="minorEastAsia" w:eastAsiaTheme="minorEastAsia" w:cstheme="minorEastAsia"/>
          <w:color w:val="auto"/>
          <w:sz w:val="24"/>
          <w:szCs w:val="24"/>
        </w:rPr>
        <w:t>人签字并经领导审核盖章生效；现场收方签证由发包人</w:t>
      </w:r>
      <w:r>
        <w:rPr>
          <w:rFonts w:hint="eastAsia" w:asciiTheme="minorEastAsia" w:hAnsiTheme="minorEastAsia" w:eastAsiaTheme="minorEastAsia" w:cstheme="minorEastAsia"/>
          <w:color w:val="auto"/>
          <w:spacing w:val="-1"/>
          <w:sz w:val="24"/>
          <w:szCs w:val="24"/>
        </w:rPr>
        <w:t>现场代表组织，发包人现场代</w:t>
      </w:r>
      <w:r>
        <w:rPr>
          <w:rFonts w:hint="eastAsia" w:asciiTheme="minorEastAsia" w:hAnsiTheme="minorEastAsia" w:eastAsiaTheme="minorEastAsia" w:cstheme="minorEastAsia"/>
          <w:color w:val="auto"/>
          <w:spacing w:val="-3"/>
          <w:sz w:val="24"/>
          <w:szCs w:val="24"/>
        </w:rPr>
        <w:t>表以及发包人认为需要参加的人员参加。</w:t>
      </w:r>
    </w:p>
    <w:p w14:paraId="191B1C3C">
      <w:pPr>
        <w:spacing w:before="16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9.3  变更程序</w:t>
      </w:r>
    </w:p>
    <w:p w14:paraId="7BDD556D">
      <w:pPr>
        <w:spacing w:before="284" w:line="360" w:lineRule="auto"/>
        <w:ind w:left="71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9.3.1变更的提出：</w:t>
      </w:r>
    </w:p>
    <w:p w14:paraId="5D797F67">
      <w:pPr>
        <w:spacing w:before="164" w:line="360" w:lineRule="auto"/>
        <w:ind w:left="242"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(1)承包人提出变更设计，必须征得发包人</w:t>
      </w:r>
      <w:r>
        <w:rPr>
          <w:rFonts w:hint="eastAsia" w:asciiTheme="minorEastAsia" w:hAnsiTheme="minorEastAsia" w:eastAsiaTheme="minorEastAsia" w:cstheme="minorEastAsia"/>
          <w:color w:val="auto"/>
          <w:spacing w:val="7"/>
          <w:sz w:val="24"/>
          <w:szCs w:val="24"/>
        </w:rPr>
        <w:t>、监理人(有监理单位的情况下)及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跟审单位(有跟审单位的情况下)同意，经设计单位从功能结构论证后，并变更设计、</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发包人确认后的费用由责任方承担。</w:t>
      </w:r>
    </w:p>
    <w:p w14:paraId="23D15FD6">
      <w:pPr>
        <w:spacing w:before="153" w:line="360" w:lineRule="auto"/>
        <w:ind w:left="83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(2)发包人确认增加的工程变更价款作为追加合同价款，在支付进度款</w:t>
      </w:r>
      <w:r>
        <w:rPr>
          <w:rFonts w:hint="eastAsia" w:asciiTheme="minorEastAsia" w:hAnsiTheme="minorEastAsia" w:eastAsiaTheme="minorEastAsia" w:cstheme="minorEastAsia"/>
          <w:color w:val="auto"/>
          <w:spacing w:val="1"/>
          <w:sz w:val="24"/>
          <w:szCs w:val="24"/>
        </w:rPr>
        <w:t>时支付。</w:t>
      </w:r>
    </w:p>
    <w:p w14:paraId="74530C99">
      <w:pPr>
        <w:spacing w:before="178" w:line="360" w:lineRule="auto"/>
        <w:ind w:left="242" w:right="71" w:firstLine="5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(3)承包人在施工中提出的合理化建议涉及到对设计图纸或施工组织设计的更改</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4"/>
          <w:sz w:val="24"/>
          <w:szCs w:val="24"/>
        </w:rPr>
        <w:t>及对材料、设备的换用，须经发包人、监理人(有监理单位</w:t>
      </w:r>
      <w:r>
        <w:rPr>
          <w:rFonts w:hint="eastAsia" w:asciiTheme="minorEastAsia" w:hAnsiTheme="minorEastAsia" w:eastAsiaTheme="minorEastAsia" w:cstheme="minorEastAsia"/>
          <w:color w:val="auto"/>
          <w:spacing w:val="3"/>
          <w:sz w:val="24"/>
          <w:szCs w:val="24"/>
        </w:rPr>
        <w:t>的情况下)及跟审单位(有</w:t>
      </w:r>
      <w:r>
        <w:rPr>
          <w:rFonts w:hint="eastAsia" w:asciiTheme="minorEastAsia" w:hAnsiTheme="minorEastAsia" w:eastAsiaTheme="minorEastAsia" w:cstheme="minorEastAsia"/>
          <w:color w:val="auto"/>
          <w:spacing w:val="-2"/>
          <w:sz w:val="24"/>
          <w:szCs w:val="24"/>
        </w:rPr>
        <w:t>跟审单位的情况下)同意。未经同意擅自更改或换用时，承包人承担由此发生的费用，</w:t>
      </w:r>
      <w:r>
        <w:rPr>
          <w:rFonts w:hint="eastAsia" w:asciiTheme="minorEastAsia" w:hAnsiTheme="minorEastAsia" w:eastAsiaTheme="minorEastAsia" w:cstheme="minorEastAsia"/>
          <w:color w:val="auto"/>
          <w:spacing w:val="-3"/>
          <w:sz w:val="24"/>
          <w:szCs w:val="24"/>
        </w:rPr>
        <w:t>并赔偿发包人的有关损失，延误的工期不予顺延。</w:t>
      </w:r>
    </w:p>
    <w:p w14:paraId="7750BD01">
      <w:pPr>
        <w:spacing w:before="165" w:line="360" w:lineRule="auto"/>
        <w:ind w:left="832"/>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pacing w:val="5"/>
          <w:sz w:val="24"/>
          <w:szCs w:val="24"/>
        </w:rPr>
        <w:t>(4)发包人变更设计按通用条款执行。</w:t>
      </w:r>
    </w:p>
    <w:p w14:paraId="3164995E">
      <w:pPr>
        <w:tabs>
          <w:tab w:val="left" w:pos="6469"/>
        </w:tabs>
        <w:spacing w:before="0" w:line="360" w:lineRule="auto"/>
        <w:ind w:left="0" w:firstLine="46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10. 价格调整</w:t>
      </w:r>
    </w:p>
    <w:p w14:paraId="44EBD523">
      <w:pPr>
        <w:spacing w:before="30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10.1 市场价格波动引起的调整</w:t>
      </w:r>
    </w:p>
    <w:p w14:paraId="0D4E493A">
      <w:pPr>
        <w:spacing w:before="7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市场价格波动是否调整合同价格的约定：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不</w:t>
      </w:r>
      <w:r>
        <w:rPr>
          <w:rFonts w:hint="eastAsia" w:asciiTheme="minorEastAsia" w:hAnsiTheme="minorEastAsia" w:eastAsiaTheme="minorEastAsia" w:cstheme="minorEastAsia"/>
          <w:color w:val="auto"/>
          <w:spacing w:val="54"/>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采</w:t>
      </w:r>
      <w:r>
        <w:rPr>
          <w:rFonts w:hint="eastAsia" w:asciiTheme="minorEastAsia" w:hAnsiTheme="minorEastAsia" w:eastAsiaTheme="minorEastAsia" w:cstheme="minorEastAsia"/>
          <w:color w:val="auto"/>
          <w:spacing w:val="57"/>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用。</w:t>
      </w:r>
    </w:p>
    <w:p w14:paraId="5DA77B6A">
      <w:pPr>
        <w:spacing w:before="31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合同价格、计量与支付</w:t>
      </w:r>
    </w:p>
    <w:p w14:paraId="1EDA1DBF">
      <w:pPr>
        <w:spacing w:before="31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11.1合同价格形式</w:t>
      </w:r>
    </w:p>
    <w:p w14:paraId="5C103722">
      <w:pPr>
        <w:spacing w:before="2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(1)单价合同。</w:t>
      </w:r>
    </w:p>
    <w:p w14:paraId="5A16AC69">
      <w:pPr>
        <w:spacing w:before="188"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风险费用的计算方法：</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 调</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整</w:t>
      </w:r>
      <w:r>
        <w:rPr>
          <w:rFonts w:hint="eastAsia" w:asciiTheme="minorEastAsia" w:hAnsiTheme="minorEastAsia" w:eastAsiaTheme="minorEastAsia" w:cstheme="minorEastAsia"/>
          <w:color w:val="auto"/>
          <w:spacing w:val="-1"/>
          <w:sz w:val="24"/>
          <w:szCs w:val="24"/>
        </w:rPr>
        <w:t>。</w:t>
      </w:r>
    </w:p>
    <w:p w14:paraId="2EBF8B88">
      <w:pPr>
        <w:spacing w:before="184"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风险范围以外合同价格的调整方法：</w:t>
      </w:r>
      <w:r>
        <w:rPr>
          <w:rFonts w:hint="eastAsia" w:asciiTheme="minorEastAsia" w:hAnsiTheme="minorEastAsia" w:eastAsiaTheme="minorEastAsia" w:cstheme="minorEastAsia"/>
          <w:color w:val="auto"/>
          <w:spacing w:val="-2"/>
          <w:sz w:val="24"/>
          <w:szCs w:val="24"/>
          <w:u w:val="single" w:color="auto"/>
        </w:rPr>
        <w:t xml:space="preserve">不 采 </w:t>
      </w:r>
      <w:r>
        <w:rPr>
          <w:rFonts w:hint="eastAsia" w:asciiTheme="minorEastAsia" w:hAnsiTheme="minorEastAsia" w:eastAsiaTheme="minorEastAsia" w:cstheme="minorEastAsia"/>
          <w:color w:val="auto"/>
          <w:spacing w:val="-3"/>
          <w:sz w:val="24"/>
          <w:szCs w:val="24"/>
          <w:u w:val="single" w:color="auto"/>
        </w:rPr>
        <w:t>用</w:t>
      </w:r>
      <w:r>
        <w:rPr>
          <w:rFonts w:hint="eastAsia" w:asciiTheme="minorEastAsia" w:hAnsiTheme="minorEastAsia" w:eastAsiaTheme="minorEastAsia" w:cstheme="minorEastAsia"/>
          <w:color w:val="auto"/>
          <w:spacing w:val="3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w:t>
      </w:r>
    </w:p>
    <w:p w14:paraId="5F2DF73A">
      <w:pPr>
        <w:spacing w:before="19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(2)总价合同。</w:t>
      </w:r>
    </w:p>
    <w:p w14:paraId="29978F5B">
      <w:pPr>
        <w:spacing w:before="18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风险费用的计算方法：</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6CC6CA84">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风险范围以外合同价格的调整方法：</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07"/>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不采用</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02AA9D3B">
      <w:pPr>
        <w:spacing w:before="177"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(3)其他价格方式：</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rPr>
        <w:t>。</w:t>
      </w:r>
    </w:p>
    <w:p w14:paraId="54C1C9D4">
      <w:pPr>
        <w:spacing w:before="179"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11.2预付款</w:t>
      </w:r>
    </w:p>
    <w:p w14:paraId="2771E395">
      <w:pPr>
        <w:spacing w:before="27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11.2.1 预付款的支付</w:t>
      </w:r>
    </w:p>
    <w:p w14:paraId="13FC2E99">
      <w:pPr>
        <w:spacing w:before="22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预付款支付比例或金额：</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12"/>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6"/>
          <w:sz w:val="24"/>
          <w:szCs w:val="24"/>
          <w:u w:val="single" w:color="auto"/>
        </w:rPr>
        <w:t xml:space="preserve">   </w:t>
      </w:r>
      <w:r>
        <w:rPr>
          <w:rFonts w:hint="eastAsia" w:asciiTheme="minorEastAsia" w:hAnsiTheme="minorEastAsia" w:eastAsiaTheme="minorEastAsia" w:cstheme="minorEastAsia"/>
          <w:color w:val="auto"/>
          <w:spacing w:val="-2"/>
          <w:sz w:val="24"/>
          <w:szCs w:val="24"/>
        </w:rPr>
        <w:t>。</w:t>
      </w:r>
    </w:p>
    <w:p w14:paraId="2658EBBC">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预付款支付期限：</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pacing w:val="-3"/>
          <w:sz w:val="24"/>
          <w:szCs w:val="24"/>
        </w:rPr>
        <w:t>。</w:t>
      </w:r>
    </w:p>
    <w:p w14:paraId="5A786B3B">
      <w:pPr>
        <w:spacing w:before="19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预付款扣回的方式：</w:t>
      </w:r>
      <w:r>
        <w:rPr>
          <w:rFonts w:hint="eastAsia" w:asciiTheme="minorEastAsia" w:hAnsiTheme="minorEastAsia" w:eastAsiaTheme="minorEastAsia" w:cstheme="minorEastAsia"/>
          <w:color w:val="auto"/>
          <w:spacing w:val="8"/>
          <w:sz w:val="24"/>
          <w:szCs w:val="24"/>
          <w:u w:val="single" w:color="auto"/>
        </w:rPr>
        <w:t xml:space="preserve">    </w:t>
      </w:r>
      <w:r>
        <w:rPr>
          <w:rFonts w:hint="eastAsia" w:asciiTheme="minorEastAsia" w:hAnsiTheme="minorEastAsia" w:eastAsiaTheme="minorEastAsia" w:cstheme="minorEastAsia"/>
          <w:color w:val="auto"/>
          <w:spacing w:val="-7"/>
          <w:sz w:val="24"/>
          <w:szCs w:val="24"/>
          <w:u w:val="single" w:color="auto"/>
        </w:rPr>
        <w:t>/   。</w:t>
      </w:r>
    </w:p>
    <w:p w14:paraId="5B78A9D5">
      <w:pPr>
        <w:spacing w:before="14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11.2.2预付款担保</w:t>
      </w:r>
    </w:p>
    <w:p w14:paraId="5BF9A13B">
      <w:pPr>
        <w:spacing w:before="185"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承包人提交预付款担保的期限：</w:t>
      </w:r>
      <w:r>
        <w:rPr>
          <w:rFonts w:hint="eastAsia" w:asciiTheme="minorEastAsia" w:hAnsiTheme="minorEastAsia" w:eastAsiaTheme="minorEastAsia" w:cstheme="minorEastAsia"/>
          <w:color w:val="auto"/>
          <w:spacing w:val="28"/>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4"/>
          <w:sz w:val="24"/>
          <w:szCs w:val="24"/>
        </w:rPr>
        <w:t>。</w:t>
      </w:r>
    </w:p>
    <w:p w14:paraId="5A9DC107">
      <w:pPr>
        <w:spacing w:before="15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预付款担保的形式为：</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1F26C4E1">
      <w:pPr>
        <w:spacing w:before="176"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11.3计量</w:t>
      </w:r>
    </w:p>
    <w:p w14:paraId="50B8A759">
      <w:pPr>
        <w:spacing w:before="292" w:line="360" w:lineRule="auto"/>
        <w:ind w:left="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11.3.1计量原则</w:t>
      </w:r>
    </w:p>
    <w:p w14:paraId="6D946A08">
      <w:pPr>
        <w:spacing w:before="171" w:line="360" w:lineRule="auto"/>
        <w:ind w:firstLine="420"/>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pacing w:val="-8"/>
          <w:sz w:val="24"/>
          <w:szCs w:val="24"/>
        </w:rPr>
        <w:t>工程量计算规则</w:t>
      </w:r>
      <w:r>
        <w:rPr>
          <w:rFonts w:hint="eastAsia" w:asciiTheme="minorEastAsia" w:hAnsiTheme="minorEastAsia" w:eastAsiaTheme="minorEastAsia" w:cstheme="minorEastAsia"/>
          <w:color w:val="auto"/>
          <w:spacing w:val="-8"/>
          <w:sz w:val="24"/>
          <w:szCs w:val="24"/>
          <w:u w:val="single" w:color="auto"/>
        </w:rPr>
        <w:t>：《建设工程工程量清单计价规范》(GB50500-2013)、《房屋建筑</w:t>
      </w:r>
      <w:r>
        <w:rPr>
          <w:rFonts w:hint="eastAsia" w:asciiTheme="minorEastAsia" w:hAnsiTheme="minorEastAsia" w:eastAsiaTheme="minorEastAsia" w:cstheme="minorEastAsia"/>
          <w:color w:val="auto"/>
          <w:spacing w:val="1"/>
          <w:sz w:val="24"/>
          <w:szCs w:val="24"/>
          <w:u w:val="single" w:color="auto"/>
        </w:rPr>
        <w:t>与装饰工程工程量计算规范》</w:t>
      </w:r>
      <w:r>
        <w:rPr>
          <w:rFonts w:hint="eastAsia" w:asciiTheme="minorEastAsia" w:hAnsiTheme="minorEastAsia" w:eastAsiaTheme="minorEastAsia" w:cstheme="minorEastAsia"/>
          <w:color w:val="auto"/>
          <w:spacing w:val="-3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z w:val="24"/>
          <w:szCs w:val="24"/>
          <w:u w:val="single" w:color="auto"/>
        </w:rPr>
        <w:t>GB</w:t>
      </w:r>
      <w:r>
        <w:rPr>
          <w:rFonts w:hint="eastAsia" w:asciiTheme="minorEastAsia" w:hAnsiTheme="minorEastAsia" w:eastAsiaTheme="minorEastAsia" w:cstheme="minorEastAsia"/>
          <w:color w:val="auto"/>
          <w:spacing w:val="1"/>
          <w:sz w:val="24"/>
          <w:szCs w:val="24"/>
          <w:u w:val="single" w:color="auto"/>
        </w:rPr>
        <w:t>50845-2013)、《仿古建筑工程工程量计算规范》</w:t>
      </w:r>
      <w:r>
        <w:rPr>
          <w:rFonts w:hint="eastAsia" w:asciiTheme="minorEastAsia" w:hAnsiTheme="minorEastAsia" w:eastAsiaTheme="minorEastAsia" w:cstheme="minorEastAsia"/>
          <w:color w:val="auto"/>
          <w:spacing w:val="-8"/>
          <w:sz w:val="24"/>
          <w:szCs w:val="24"/>
          <w:u w:val="single" w:color="auto"/>
        </w:rPr>
        <w:t>(GB50855-2013)、《市政工程工程量计算规范》(GB50857-2013)、《通用安装工程</w:t>
      </w:r>
      <w:r>
        <w:rPr>
          <w:rFonts w:hint="eastAsia" w:asciiTheme="minorEastAsia" w:hAnsiTheme="minorEastAsia" w:eastAsiaTheme="minorEastAsia" w:cstheme="minorEastAsia"/>
          <w:color w:val="auto"/>
          <w:spacing w:val="-9"/>
          <w:sz w:val="24"/>
          <w:szCs w:val="24"/>
          <w:u w:val="single" w:color="auto"/>
        </w:rPr>
        <w:t>工程</w:t>
      </w:r>
      <w:r>
        <w:rPr>
          <w:rFonts w:hint="eastAsia" w:asciiTheme="minorEastAsia" w:hAnsiTheme="minorEastAsia" w:eastAsiaTheme="minorEastAsia" w:cstheme="minorEastAsia"/>
          <w:color w:val="auto"/>
          <w:spacing w:val="-14"/>
          <w:sz w:val="24"/>
          <w:szCs w:val="24"/>
          <w:u w:val="single" w:color="auto"/>
        </w:rPr>
        <w:t>量计算规范》(GB50856-2013)、《重庆市建设工程工程量计算规则》</w:t>
      </w:r>
      <w:r>
        <w:rPr>
          <w:rFonts w:hint="eastAsia" w:asciiTheme="minorEastAsia" w:hAnsiTheme="minorEastAsia" w:eastAsiaTheme="minorEastAsia" w:cstheme="minorEastAsia"/>
          <w:color w:val="auto"/>
          <w:spacing w:val="-15"/>
          <w:sz w:val="24"/>
          <w:szCs w:val="24"/>
          <w:u w:val="single" w:color="auto"/>
        </w:rPr>
        <w:t>(CQJLGZ-2013)、《重</w:t>
      </w:r>
      <w:r>
        <w:rPr>
          <w:rFonts w:hint="eastAsia" w:asciiTheme="minorEastAsia" w:hAnsiTheme="minorEastAsia" w:eastAsiaTheme="minorEastAsia" w:cstheme="minorEastAsia"/>
          <w:color w:val="auto"/>
          <w:spacing w:val="-1"/>
          <w:sz w:val="24"/>
          <w:szCs w:val="24"/>
          <w:u w:val="single" w:color="auto"/>
        </w:rPr>
        <w:t>庆市建设工程工程量清单计价规则》(CQJJGZ-2013)约定的计量规则计算的实际合格</w:t>
      </w:r>
      <w:r>
        <w:rPr>
          <w:rFonts w:hint="eastAsia" w:asciiTheme="minorEastAsia" w:hAnsiTheme="minorEastAsia" w:eastAsiaTheme="minorEastAsia" w:cstheme="minorEastAsia"/>
          <w:color w:val="auto"/>
          <w:spacing w:val="-4"/>
          <w:sz w:val="24"/>
          <w:szCs w:val="24"/>
          <w:u w:val="single" w:color="auto"/>
        </w:rPr>
        <w:t>工程量</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4"/>
          <w:sz w:val="24"/>
          <w:szCs w:val="24"/>
        </w:rPr>
        <w:t>。</w:t>
      </w:r>
    </w:p>
    <w:p w14:paraId="1DC3421B">
      <w:pPr>
        <w:spacing w:before="188" w:line="360" w:lineRule="auto"/>
        <w:ind w:right="2850"/>
        <w:jc w:val="left"/>
        <w:rPr>
          <w:rFonts w:hint="eastAsia"/>
          <w:lang w:val="en-US" w:eastAsia="zh-CN"/>
        </w:rPr>
      </w:pPr>
      <w:r>
        <w:rPr>
          <w:rFonts w:hint="eastAsia" w:asciiTheme="minorEastAsia" w:hAnsiTheme="minorEastAsia" w:eastAsiaTheme="minorEastAsia" w:cstheme="minorEastAsia"/>
          <w:color w:val="auto"/>
          <w:sz w:val="24"/>
          <w:szCs w:val="24"/>
        </w:rPr>
        <w:t>发包人逾期支付进度款的违约金的计算方式：</w:t>
      </w:r>
      <w:r>
        <w:rPr>
          <w:rFonts w:hint="eastAsia" w:asciiTheme="minorEastAsia" w:hAnsiTheme="minorEastAsia" w:eastAsiaTheme="minorEastAsia" w:cstheme="minorEastAsia"/>
          <w:color w:val="auto"/>
          <w:spacing w:val="-33"/>
          <w:sz w:val="24"/>
          <w:szCs w:val="24"/>
          <w:u w:val="single"/>
          <w:lang w:val="en-US" w:eastAsia="zh-CN"/>
        </w:rPr>
        <w:t>/</w:t>
      </w:r>
    </w:p>
    <w:p w14:paraId="793867C5">
      <w:pPr>
        <w:spacing w:before="188" w:line="360" w:lineRule="auto"/>
        <w:ind w:left="0" w:right="2850" w:firstLine="226"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12.</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7"/>
          <w:sz w:val="24"/>
          <w:szCs w:val="24"/>
        </w:rPr>
        <w:t>验收</w:t>
      </w:r>
    </w:p>
    <w:p w14:paraId="743C8A60">
      <w:pPr>
        <w:spacing w:before="34"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12.1 竣工验收</w:t>
      </w:r>
    </w:p>
    <w:p w14:paraId="1ADA2C56">
      <w:pPr>
        <w:spacing w:before="31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12.1.1竣工验收程序</w:t>
      </w:r>
    </w:p>
    <w:p w14:paraId="7B5CF92C">
      <w:pPr>
        <w:spacing w:before="173" w:line="360" w:lineRule="auto"/>
        <w:ind w:left="227" w:right="35"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(1)承包人在项目完工后5个日历天内向发包人提交</w:t>
      </w:r>
      <w:r>
        <w:rPr>
          <w:rFonts w:hint="eastAsia" w:asciiTheme="minorEastAsia" w:hAnsiTheme="minorEastAsia" w:eastAsiaTheme="minorEastAsia" w:cstheme="minorEastAsia"/>
          <w:color w:val="auto"/>
          <w:spacing w:val="3"/>
          <w:sz w:val="24"/>
          <w:szCs w:val="24"/>
        </w:rPr>
        <w:t>竣工验收申请报告及办理竣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7"/>
          <w:sz w:val="24"/>
          <w:szCs w:val="24"/>
        </w:rPr>
        <w:t>工验收所需全部资料。</w:t>
      </w:r>
    </w:p>
    <w:p w14:paraId="261E2485">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(2)发包人应在收到竣工验收申请报告后及时开展竣工验收。工</w:t>
      </w:r>
      <w:r>
        <w:rPr>
          <w:rFonts w:hint="eastAsia" w:asciiTheme="minorEastAsia" w:hAnsiTheme="minorEastAsia" w:eastAsiaTheme="minorEastAsia" w:cstheme="minorEastAsia"/>
          <w:color w:val="auto"/>
          <w:sz w:val="24"/>
          <w:szCs w:val="24"/>
        </w:rPr>
        <w:t xml:space="preserve">程竣工验收不合 </w:t>
      </w:r>
      <w:r>
        <w:rPr>
          <w:rFonts w:hint="eastAsia" w:asciiTheme="minorEastAsia" w:hAnsiTheme="minorEastAsia" w:eastAsiaTheme="minorEastAsia" w:cstheme="minorEastAsia"/>
          <w:color w:val="auto"/>
          <w:spacing w:val="-2"/>
          <w:sz w:val="24"/>
          <w:szCs w:val="24"/>
        </w:rPr>
        <w:t>格的，应依照工程竣工验收意见在期限内完成整改，并重新履行工程竣工验收程序。</w:t>
      </w:r>
    </w:p>
    <w:p w14:paraId="5E96126D">
      <w:pPr>
        <w:spacing w:before="187" w:line="360" w:lineRule="auto"/>
        <w:ind w:left="227"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(3)发包人不按照本项约定组织竣工验收、颁发工程接收证书的违约金的计算方</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12"/>
          <w:sz w:val="24"/>
          <w:szCs w:val="24"/>
        </w:rPr>
        <w:t>法：</w:t>
      </w:r>
      <w:r>
        <w:rPr>
          <w:rFonts w:hint="eastAsia" w:asciiTheme="minorEastAsia" w:hAnsiTheme="minorEastAsia" w:eastAsiaTheme="minorEastAsia" w:cstheme="minorEastAsia"/>
          <w:color w:val="auto"/>
          <w:spacing w:val="-12"/>
          <w:sz w:val="24"/>
          <w:szCs w:val="24"/>
          <w:u w:val="single" w:color="auto"/>
        </w:rPr>
        <w:t>丕采用</w:t>
      </w:r>
      <w:r>
        <w:rPr>
          <w:rFonts w:hint="eastAsia" w:asciiTheme="minorEastAsia" w:hAnsiTheme="minorEastAsia" w:eastAsiaTheme="minorEastAsia" w:cstheme="minorEastAsia"/>
          <w:color w:val="auto"/>
          <w:spacing w:val="-12"/>
          <w:sz w:val="24"/>
          <w:szCs w:val="24"/>
        </w:rPr>
        <w:t>。</w:t>
      </w:r>
    </w:p>
    <w:p w14:paraId="423C0716">
      <w:pPr>
        <w:spacing w:before="147"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12.2.2移交、接收全部与部分工程</w:t>
      </w:r>
    </w:p>
    <w:p w14:paraId="0737822B">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drawing>
          <wp:anchor distT="0" distB="0" distL="0" distR="0" simplePos="0" relativeHeight="251666432" behindDoc="0" locked="0" layoutInCell="1" allowOverlap="1">
            <wp:simplePos x="0" y="0"/>
            <wp:positionH relativeFrom="column">
              <wp:posOffset>3775710</wp:posOffset>
            </wp:positionH>
            <wp:positionV relativeFrom="paragraph">
              <wp:posOffset>187325</wp:posOffset>
            </wp:positionV>
            <wp:extent cx="25400" cy="57150"/>
            <wp:effectExtent l="0" t="0" r="0" b="635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
                    <a:stretch>
                      <a:fillRect/>
                    </a:stretch>
                  </pic:blipFill>
                  <pic:spPr>
                    <a:xfrm>
                      <a:off x="0" y="0"/>
                      <a:ext cx="25474" cy="57198"/>
                    </a:xfrm>
                    <a:prstGeom prst="rect">
                      <a:avLst/>
                    </a:prstGeom>
                  </pic:spPr>
                </pic:pic>
              </a:graphicData>
            </a:graphic>
          </wp:anchor>
        </w:drawing>
      </w:r>
      <w:r>
        <w:rPr>
          <w:rFonts w:hint="eastAsia" w:asciiTheme="minorEastAsia" w:hAnsiTheme="minorEastAsia" w:eastAsiaTheme="minorEastAsia" w:cstheme="minorEastAsia"/>
          <w:color w:val="auto"/>
          <w:spacing w:val="1"/>
          <w:sz w:val="24"/>
          <w:szCs w:val="24"/>
        </w:rPr>
        <w:t>承包人向发包人移交工程的期限：</w:t>
      </w:r>
      <w:r>
        <w:rPr>
          <w:rFonts w:hint="eastAsia" w:asciiTheme="minorEastAsia" w:hAnsiTheme="minorEastAsia" w:eastAsiaTheme="minorEastAsia" w:cstheme="minorEastAsia"/>
          <w:color w:val="auto"/>
          <w:spacing w:val="1"/>
          <w:sz w:val="24"/>
          <w:szCs w:val="24"/>
          <w:lang w:val="en-US" w:eastAsia="zh-CN"/>
        </w:rPr>
        <w:t>10</w:t>
      </w:r>
      <w:r>
        <w:rPr>
          <w:rFonts w:hint="eastAsia" w:asciiTheme="minorEastAsia" w:hAnsiTheme="minorEastAsia" w:eastAsiaTheme="minorEastAsia" w:cstheme="minorEastAsia"/>
          <w:color w:val="auto"/>
          <w:spacing w:val="1"/>
          <w:sz w:val="24"/>
          <w:szCs w:val="24"/>
        </w:rPr>
        <w:t>日历天</w:t>
      </w:r>
    </w:p>
    <w:p w14:paraId="08DA9C18">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发包人未按本合同约定接收全部或部分工程的，违约金的计算方法为：不采用。</w:t>
      </w:r>
    </w:p>
    <w:p w14:paraId="2DDE8E23">
      <w:pPr>
        <w:spacing w:before="163" w:line="360" w:lineRule="auto"/>
        <w:ind w:left="227" w:right="18" w:firstLine="6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承包人未按时移交工程的，违约金的计算方法为：按逾期天数1000元/天计算</w:t>
      </w:r>
      <w:r>
        <w:rPr>
          <w:rFonts w:hint="eastAsia" w:asciiTheme="minorEastAsia" w:hAnsiTheme="minorEastAsia" w:eastAsiaTheme="minorEastAsia" w:cstheme="minorEastAsia"/>
          <w:color w:val="auto"/>
          <w:spacing w:val="1"/>
          <w:sz w:val="24"/>
          <w:szCs w:val="24"/>
          <w:lang w:eastAsia="zh-CN"/>
        </w:rPr>
        <w:t>。</w:t>
      </w:r>
    </w:p>
    <w:p w14:paraId="56A81BD3">
      <w:pPr>
        <w:spacing w:before="78"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12.3竣工退场</w:t>
      </w:r>
    </w:p>
    <w:p w14:paraId="66697482">
      <w:pPr>
        <w:spacing w:before="316"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12.3.1 竣工退场</w:t>
      </w:r>
    </w:p>
    <w:p w14:paraId="6C4ED5AC">
      <w:pPr>
        <w:spacing w:before="195" w:line="360" w:lineRule="auto"/>
        <w:ind w:left="71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承包人完成竣工退场的期限：</w:t>
      </w:r>
      <w:r>
        <w:rPr>
          <w:rFonts w:hint="eastAsia" w:asciiTheme="minorEastAsia" w:hAnsiTheme="minorEastAsia" w:eastAsiaTheme="minorEastAsia" w:cstheme="minorEastAsia"/>
          <w:color w:val="auto"/>
          <w:spacing w:val="-1"/>
          <w:sz w:val="24"/>
          <w:szCs w:val="24"/>
          <w:u w:val="single" w:color="auto"/>
        </w:rPr>
        <w:t>竣工验收合格3日内。</w:t>
      </w:r>
    </w:p>
    <w:p w14:paraId="46F52377">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12.4工程进度款支付</w:t>
      </w:r>
    </w:p>
    <w:p w14:paraId="0821A265">
      <w:pPr>
        <w:spacing w:before="163" w:line="360" w:lineRule="auto"/>
        <w:ind w:left="227" w:right="18" w:firstLine="484" w:firstLineChars="200"/>
        <w:jc w:val="left"/>
        <w:rPr>
          <w:rFonts w:hint="eastAsia" w:asciiTheme="minorEastAsia" w:hAnsiTheme="minorEastAsia" w:eastAsiaTheme="minorEastAsia" w:cstheme="minorEastAsia"/>
          <w:color w:val="auto"/>
          <w:spacing w:val="1"/>
          <w:kern w:val="2"/>
          <w:sz w:val="24"/>
          <w:szCs w:val="24"/>
          <w:highlight w:val="none"/>
          <w:shd w:val="clear" w:color="auto" w:fill="auto"/>
          <w:lang w:bidi="ar-SA"/>
        </w:rPr>
      </w:pPr>
      <w:r>
        <w:rPr>
          <w:rFonts w:hint="eastAsia" w:asciiTheme="minorEastAsia" w:hAnsiTheme="minorEastAsia" w:eastAsiaTheme="minorEastAsia" w:cstheme="minorEastAsia"/>
          <w:color w:val="auto"/>
          <w:spacing w:val="1"/>
          <w:kern w:val="2"/>
          <w:sz w:val="24"/>
          <w:szCs w:val="24"/>
          <w:highlight w:val="none"/>
          <w:shd w:val="clear" w:color="auto" w:fill="auto"/>
          <w:lang w:bidi="ar-SA"/>
        </w:rPr>
        <w:t>1、工程完工验收合格后支付合同价的70%，结算审计后支付审定金额的97%，余款3%作为质保金，</w:t>
      </w:r>
      <w:r>
        <w:rPr>
          <w:rFonts w:hint="eastAsia" w:asciiTheme="minorEastAsia" w:hAnsiTheme="minorEastAsia" w:eastAsiaTheme="minorEastAsia" w:cstheme="minorEastAsia"/>
          <w:color w:val="auto"/>
          <w:spacing w:val="1"/>
          <w:kern w:val="2"/>
          <w:sz w:val="24"/>
          <w:szCs w:val="24"/>
          <w:highlight w:val="none"/>
          <w:shd w:val="clear" w:color="auto" w:fill="auto"/>
          <w:lang w:val="en-US" w:eastAsia="zh-CN" w:bidi="ar-SA"/>
        </w:rPr>
        <w:t>二</w:t>
      </w:r>
      <w:r>
        <w:rPr>
          <w:rFonts w:hint="eastAsia" w:asciiTheme="minorEastAsia" w:hAnsiTheme="minorEastAsia" w:eastAsiaTheme="minorEastAsia" w:cstheme="minorEastAsia"/>
          <w:color w:val="auto"/>
          <w:spacing w:val="1"/>
          <w:kern w:val="2"/>
          <w:sz w:val="24"/>
          <w:szCs w:val="24"/>
          <w:highlight w:val="none"/>
          <w:shd w:val="clear" w:color="auto" w:fill="auto"/>
          <w:lang w:bidi="ar-SA"/>
        </w:rPr>
        <w:t>年后无息支付。</w:t>
      </w:r>
    </w:p>
    <w:p w14:paraId="522433D0">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b w:val="0"/>
          <w:color w:val="auto"/>
          <w:spacing w:val="1"/>
          <w:sz w:val="24"/>
          <w:szCs w:val="24"/>
          <w:highlight w:val="none"/>
          <w:shd w:val="clear" w:color="auto" w:fill="auto"/>
          <w:lang w:bidi="ar-SA"/>
        </w:rPr>
        <w:t>2、项目在支第一笔项目款之前时需出具施工单位提供的施工人员工酬支付证明。</w:t>
      </w:r>
      <w:r>
        <w:rPr>
          <w:rFonts w:hint="eastAsia" w:asciiTheme="minorEastAsia" w:hAnsiTheme="minorEastAsia" w:eastAsiaTheme="minorEastAsia" w:cstheme="minorEastAsia"/>
          <w:color w:val="auto"/>
          <w:spacing w:val="1"/>
          <w:sz w:val="24"/>
          <w:szCs w:val="24"/>
        </w:rPr>
        <w:t>13.竣工结算</w:t>
      </w:r>
    </w:p>
    <w:p w14:paraId="00E5A8A8">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13.1结算原则</w:t>
      </w:r>
    </w:p>
    <w:p w14:paraId="2A11A9AE">
      <w:pPr>
        <w:spacing w:before="163" w:line="360" w:lineRule="auto"/>
        <w:ind w:left="227" w:right="18" w:firstLine="62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 结算总价=分部分项工程量清单综合单价×子项工程量+措施项目费+其他项 目费+安全文明施工费+规费+税金+设计变更及新增部分金额+合同约定的其它费用(合 同如果没有约定，则取消此项目)。</w:t>
      </w:r>
    </w:p>
    <w:p w14:paraId="2435C21A">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2.各部分的结算原则如下：</w:t>
      </w:r>
    </w:p>
    <w:p w14:paraId="68330610">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(1)分部分项工程量清单结算价：</w:t>
      </w:r>
    </w:p>
    <w:p w14:paraId="37F5719D">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分部分项工程量清单项目按成交单价实行综合单价包干。工程结算时，以成交人最后成交单价为结算单价依据，乘以施工图及设计变更按《建设工程工程量清单计价规范》(GB50500-2013)</w:t>
      </w:r>
      <w:r>
        <w:rPr>
          <w:rFonts w:hint="eastAsia" w:asciiTheme="minorEastAsia" w:hAnsiTheme="minorEastAsia" w:eastAsiaTheme="minorEastAsia" w:cstheme="minorEastAsia"/>
          <w:color w:val="auto"/>
          <w:spacing w:val="-1"/>
          <w:w w:val="100"/>
          <w:sz w:val="24"/>
          <w:szCs w:val="24"/>
        </w:rPr>
        <w:t xml:space="preserve"> </w:t>
      </w:r>
      <w:r>
        <w:rPr>
          <w:rFonts w:hint="eastAsia" w:asciiTheme="minorEastAsia" w:hAnsiTheme="minorEastAsia" w:eastAsiaTheme="minorEastAsia" w:cstheme="minorEastAsia"/>
          <w:color w:val="auto"/>
          <w:spacing w:val="-1"/>
          <w:sz w:val="24"/>
          <w:szCs w:val="24"/>
        </w:rPr>
        <w:t>计算且经采购人、监理人(有监理单位的情况下)及跟审单位(有跟审单位的情况下)审核的工程量，作为该子项的结算合价。各分部分项工程量 清单子项合价累计相加，得分部分项工程量清单结算价。</w:t>
      </w:r>
    </w:p>
    <w:p w14:paraId="1C1B9139">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(2)措施费：</w:t>
      </w:r>
    </w:p>
    <w:p w14:paraId="6C1CFF97">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施工组织措施费：无论因设计变更或施工工艺变化等任何因素而引起实际措施费的变化，均按投标时施工组织措施项目费的报价作为结算价。</w:t>
      </w:r>
    </w:p>
    <w:p w14:paraId="755CD7A8">
      <w:pPr>
        <w:spacing w:before="3" w:line="360" w:lineRule="auto"/>
        <w:ind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施工技术措施费：施工技术措施清单中以项计列的项目，无</w:t>
      </w:r>
      <w:r>
        <w:rPr>
          <w:rFonts w:hint="eastAsia" w:asciiTheme="minorEastAsia" w:hAnsiTheme="minorEastAsia" w:eastAsiaTheme="minorEastAsia" w:cstheme="minorEastAsia"/>
          <w:color w:val="auto"/>
          <w:spacing w:val="1"/>
          <w:sz w:val="24"/>
          <w:szCs w:val="24"/>
        </w:rPr>
        <w:t>论因设计变更或施工工艺变化等任何因素而引起实际措施费的变化，均按投标时施工技术措施项目费的报</w:t>
      </w:r>
      <w:r>
        <w:rPr>
          <w:rFonts w:hint="eastAsia" w:asciiTheme="minorEastAsia" w:hAnsiTheme="minorEastAsia" w:eastAsiaTheme="minorEastAsia" w:cstheme="minorEastAsia"/>
          <w:color w:val="auto"/>
          <w:spacing w:val="2"/>
          <w:sz w:val="24"/>
          <w:szCs w:val="24"/>
        </w:rPr>
        <w:t>价作为结算价；施工技术措施清单中以项目编码、</w:t>
      </w:r>
      <w:r>
        <w:rPr>
          <w:rFonts w:hint="eastAsia" w:asciiTheme="minorEastAsia" w:hAnsiTheme="minorEastAsia" w:eastAsiaTheme="minorEastAsia" w:cstheme="minorEastAsia"/>
          <w:color w:val="auto"/>
          <w:spacing w:val="1"/>
          <w:sz w:val="24"/>
          <w:szCs w:val="24"/>
        </w:rPr>
        <w:t>项目名称、项目特征、工程量及计</w:t>
      </w:r>
      <w:r>
        <w:rPr>
          <w:rFonts w:hint="eastAsia" w:asciiTheme="minorEastAsia" w:hAnsiTheme="minorEastAsia" w:eastAsiaTheme="minorEastAsia" w:cstheme="minorEastAsia"/>
          <w:color w:val="auto"/>
          <w:sz w:val="24"/>
          <w:szCs w:val="24"/>
        </w:rPr>
        <w:t>量单位列项的项目，以成交人投标报价的综合单价乘以按《</w:t>
      </w:r>
      <w:r>
        <w:rPr>
          <w:rFonts w:hint="eastAsia" w:asciiTheme="minorEastAsia" w:hAnsiTheme="minorEastAsia" w:eastAsiaTheme="minorEastAsia" w:cstheme="minorEastAsia"/>
          <w:color w:val="auto"/>
          <w:spacing w:val="-1"/>
          <w:sz w:val="24"/>
          <w:szCs w:val="24"/>
        </w:rPr>
        <w:t>重庆市建设工程工程量计算规》(CQJLGZ-2013)</w:t>
      </w:r>
      <w:r>
        <w:rPr>
          <w:rFonts w:hint="eastAsia" w:asciiTheme="minorEastAsia" w:hAnsiTheme="minorEastAsia" w:eastAsiaTheme="minorEastAsia" w:cstheme="minorEastAsia"/>
          <w:color w:val="auto"/>
          <w:spacing w:val="37"/>
          <w:w w:val="101"/>
          <w:sz w:val="24"/>
          <w:szCs w:val="24"/>
        </w:rPr>
        <w:t xml:space="preserve"> </w:t>
      </w:r>
      <w:r>
        <w:rPr>
          <w:rFonts w:hint="eastAsia" w:asciiTheme="minorEastAsia" w:hAnsiTheme="minorEastAsia" w:eastAsiaTheme="minorEastAsia" w:cstheme="minorEastAsia"/>
          <w:color w:val="auto"/>
          <w:spacing w:val="-1"/>
          <w:sz w:val="24"/>
          <w:szCs w:val="24"/>
        </w:rPr>
        <w:t>约定的计量规则计算</w:t>
      </w:r>
      <w:r>
        <w:rPr>
          <w:rFonts w:hint="eastAsia" w:asciiTheme="minorEastAsia" w:hAnsiTheme="minorEastAsia" w:eastAsiaTheme="minorEastAsia" w:cstheme="minorEastAsia"/>
          <w:color w:val="auto"/>
          <w:spacing w:val="-2"/>
          <w:sz w:val="24"/>
          <w:szCs w:val="24"/>
        </w:rPr>
        <w:t>的实际合格工程量办理结算。</w:t>
      </w:r>
    </w:p>
    <w:p w14:paraId="7A1B4D12">
      <w:pPr>
        <w:spacing w:before="29" w:line="360" w:lineRule="auto"/>
        <w:ind w:firstLine="61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(3)本工程设计变更、采购工程量清单漏项或新增项目价款结算办法：工程设计变更确定后，设计变更涉及工程价款调整的，或采购工程</w:t>
      </w:r>
      <w:r>
        <w:rPr>
          <w:rFonts w:hint="eastAsia" w:asciiTheme="minorEastAsia" w:hAnsiTheme="minorEastAsia" w:eastAsiaTheme="minorEastAsia" w:cstheme="minorEastAsia"/>
          <w:color w:val="auto"/>
          <w:spacing w:val="1"/>
          <w:sz w:val="24"/>
          <w:szCs w:val="24"/>
        </w:rPr>
        <w:t>量清单中有漏项或工程施工</w:t>
      </w:r>
      <w:r>
        <w:rPr>
          <w:rFonts w:hint="eastAsia" w:asciiTheme="minorEastAsia" w:hAnsiTheme="minorEastAsia" w:eastAsiaTheme="minorEastAsia" w:cstheme="minorEastAsia"/>
          <w:color w:val="auto"/>
          <w:spacing w:val="4"/>
          <w:sz w:val="24"/>
          <w:szCs w:val="24"/>
        </w:rPr>
        <w:t>中出现新增项目，由成交人在变更项目启动后向采购人提出，经采购人、监理人(有</w:t>
      </w:r>
      <w:r>
        <w:rPr>
          <w:rFonts w:hint="eastAsia" w:asciiTheme="minorEastAsia" w:hAnsiTheme="minorEastAsia" w:eastAsiaTheme="minorEastAsia" w:cstheme="minorEastAsia"/>
          <w:color w:val="auto"/>
          <w:spacing w:val="10"/>
          <w:sz w:val="24"/>
          <w:szCs w:val="24"/>
        </w:rPr>
        <w:t>监理单位的情况下)及跟审单位(有跟审单位的情况下)审核同意后调整合同价</w:t>
      </w:r>
      <w:r>
        <w:rPr>
          <w:rFonts w:hint="eastAsia" w:asciiTheme="minorEastAsia" w:hAnsiTheme="minorEastAsia" w:eastAsiaTheme="minorEastAsia" w:cstheme="minorEastAsia"/>
          <w:color w:val="auto"/>
          <w:spacing w:val="9"/>
          <w:sz w:val="24"/>
          <w:szCs w:val="24"/>
        </w:rPr>
        <w:t>款。</w:t>
      </w:r>
      <w:r>
        <w:rPr>
          <w:rFonts w:hint="eastAsia" w:asciiTheme="minorEastAsia" w:hAnsiTheme="minorEastAsia" w:eastAsiaTheme="minorEastAsia" w:cstheme="minorEastAsia"/>
          <w:color w:val="auto"/>
          <w:spacing w:val="-9"/>
          <w:sz w:val="24"/>
          <w:szCs w:val="24"/>
        </w:rPr>
        <w:t>调整方法如下：</w:t>
      </w:r>
    </w:p>
    <w:p w14:paraId="2A68C8D8">
      <w:pPr>
        <w:spacing w:before="3" w:line="360" w:lineRule="auto"/>
        <w:ind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变更(包括签证)工程与投标报价的工程量清单中有相同的子项，原则上按投标 时的相同子项的成交综合单价报价执行；如投标报价中相同子项的成交综合单价明显 高于市场价格，其综合单价需由成交人报送采购人重新审核，以采购人、监理人(有监理单位的情况下)及跟审单位(有跟审单位的情况下)的审定的综合单价执行。</w:t>
      </w:r>
    </w:p>
    <w:p w14:paraId="43471BC3">
      <w:pPr>
        <w:spacing w:before="3" w:line="360" w:lineRule="auto"/>
        <w:ind w:left="0" w:right="36" w:firstLine="480"/>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rPr>
        <w:t>变更(包括签证)工程与投标报价的工程量清单中有类似子项的，原则上按投标 时的类似子项的成交综合单价报价执行；如投标报价中类似子项的成交综合单价明显 高于市场价格，其综合单价需由成交人报送采购人重新审核，以采购人、监理人(有监理单位的情况下)及跟审单位(有跟审单位的情况下)的审定的综合单价执行。</w:t>
      </w:r>
    </w:p>
    <w:p w14:paraId="35FC9F40">
      <w:pPr>
        <w:spacing w:before="3" w:line="360" w:lineRule="auto"/>
        <w:ind w:left="0" w:right="3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变更(包括签证)工程与工程量清单中无相同子项或类似子项的，按照《建设工程工程量清单计价规范》(GB50500-2013)、《重庆市建设工程工程量清单计价规则》(CQJJGZ-2013)、《重庆市房屋建筑与装饰工程计价定额》(CQJZZSDE-2018)、《重庆市 市政工程计价定额》(CQSZDE-2018)、《重庆市安装工程计价定额》(CQAZDE-2018)、</w:t>
      </w:r>
      <w:r>
        <w:rPr>
          <w:rFonts w:hint="eastAsia" w:asciiTheme="minorEastAsia" w:hAnsiTheme="minorEastAsia" w:eastAsiaTheme="minorEastAsia" w:cstheme="minorEastAsia"/>
          <w:color w:val="auto"/>
          <w:spacing w:val="-9"/>
          <w:sz w:val="24"/>
          <w:szCs w:val="24"/>
        </w:rPr>
        <w:t>《重</w:t>
      </w:r>
      <w:r>
        <w:rPr>
          <w:rFonts w:hint="eastAsia" w:asciiTheme="minorEastAsia" w:hAnsiTheme="minorEastAsia" w:eastAsiaTheme="minorEastAsia" w:cstheme="minorEastAsia"/>
          <w:color w:val="auto"/>
          <w:spacing w:val="-5"/>
          <w:sz w:val="24"/>
          <w:szCs w:val="24"/>
        </w:rPr>
        <w:t>庆市建设工程费用定额》(CQFYDE-2018)、《混凝土及砂浆配合比表、施工机</w:t>
      </w:r>
      <w:r>
        <w:rPr>
          <w:rFonts w:hint="eastAsia" w:asciiTheme="minorEastAsia" w:hAnsiTheme="minorEastAsia" w:eastAsiaTheme="minorEastAsia" w:cstheme="minorEastAsia"/>
          <w:color w:val="auto"/>
          <w:spacing w:val="-6"/>
          <w:sz w:val="24"/>
          <w:szCs w:val="24"/>
        </w:rPr>
        <w:t>械台班定</w:t>
      </w:r>
      <w:r>
        <w:rPr>
          <w:rFonts w:hint="eastAsia" w:asciiTheme="minorEastAsia" w:hAnsiTheme="minorEastAsia" w:eastAsiaTheme="minorEastAsia" w:cstheme="minorEastAsia"/>
          <w:color w:val="auto"/>
          <w:spacing w:val="3"/>
          <w:sz w:val="24"/>
          <w:szCs w:val="24"/>
        </w:rPr>
        <w:t>额》(</w:t>
      </w:r>
      <w:r>
        <w:rPr>
          <w:rFonts w:hint="eastAsia" w:asciiTheme="minorEastAsia" w:hAnsiTheme="minorEastAsia" w:eastAsiaTheme="minorEastAsia" w:cstheme="minorEastAsia"/>
          <w:color w:val="auto"/>
          <w:sz w:val="24"/>
          <w:szCs w:val="24"/>
        </w:rPr>
        <w:t>CQPSDE</w:t>
      </w:r>
      <w:r>
        <w:rPr>
          <w:rFonts w:hint="eastAsia" w:asciiTheme="minorEastAsia" w:hAnsiTheme="minorEastAsia" w:eastAsiaTheme="minorEastAsia" w:cstheme="minorEastAsia"/>
          <w:color w:val="auto"/>
          <w:spacing w:val="3"/>
          <w:sz w:val="24"/>
          <w:szCs w:val="24"/>
        </w:rPr>
        <w:t>-2018) 及相关配套文件的规定进行组价(其中材料及人工费成交价中有</w:t>
      </w:r>
      <w:r>
        <w:rPr>
          <w:rFonts w:hint="eastAsia" w:asciiTheme="minorEastAsia" w:hAnsiTheme="minorEastAsia" w:eastAsiaTheme="minorEastAsia" w:cstheme="minorEastAsia"/>
          <w:color w:val="auto"/>
          <w:spacing w:val="1"/>
          <w:sz w:val="24"/>
          <w:szCs w:val="24"/>
        </w:rPr>
        <w:t>的按成交价计算；成交价中没有的材料单价按施工期</w:t>
      </w:r>
      <w:r>
        <w:rPr>
          <w:rFonts w:hint="eastAsia" w:asciiTheme="minorEastAsia" w:hAnsiTheme="minorEastAsia" w:eastAsiaTheme="minorEastAsia" w:cstheme="minorEastAsia"/>
          <w:color w:val="auto"/>
          <w:sz w:val="24"/>
          <w:szCs w:val="24"/>
        </w:rPr>
        <w:t>间重庆市建设工程造价总站主办</w:t>
      </w:r>
      <w:r>
        <w:rPr>
          <w:rFonts w:hint="eastAsia" w:asciiTheme="minorEastAsia" w:hAnsiTheme="minorEastAsia" w:eastAsiaTheme="minorEastAsia" w:cstheme="minorEastAsia"/>
          <w:color w:val="auto"/>
          <w:spacing w:val="1"/>
          <w:sz w:val="24"/>
          <w:szCs w:val="24"/>
        </w:rPr>
        <w:t>的《重庆工程造价》公布的信息价算数平均值执行；成</w:t>
      </w:r>
      <w:r>
        <w:rPr>
          <w:rFonts w:hint="eastAsia" w:asciiTheme="minorEastAsia" w:hAnsiTheme="minorEastAsia" w:eastAsiaTheme="minorEastAsia" w:cstheme="minorEastAsia"/>
          <w:color w:val="auto"/>
          <w:sz w:val="24"/>
          <w:szCs w:val="24"/>
        </w:rPr>
        <w:t>交价及《重庆工程造价》中均</w:t>
      </w:r>
      <w:r>
        <w:rPr>
          <w:rFonts w:hint="eastAsia" w:asciiTheme="minorEastAsia" w:hAnsiTheme="minorEastAsia" w:eastAsiaTheme="minorEastAsia" w:cstheme="minorEastAsia"/>
          <w:color w:val="auto"/>
          <w:spacing w:val="10"/>
          <w:sz w:val="24"/>
          <w:szCs w:val="24"/>
        </w:rPr>
        <w:t>没有的材料由采购人、监理人(有监理单位的情况下)及跟审单位(有跟审单位的情</w:t>
      </w:r>
      <w:r>
        <w:rPr>
          <w:rFonts w:hint="eastAsia" w:asciiTheme="minorEastAsia" w:hAnsiTheme="minorEastAsia" w:eastAsiaTheme="minorEastAsia" w:cstheme="minorEastAsia"/>
          <w:color w:val="auto"/>
          <w:spacing w:val="4"/>
          <w:sz w:val="24"/>
          <w:szCs w:val="24"/>
        </w:rPr>
        <w:t>况下)认质核价后，按核定的材料价格执行),组价后按成交价与最</w:t>
      </w:r>
      <w:r>
        <w:rPr>
          <w:rFonts w:hint="eastAsia" w:asciiTheme="minorEastAsia" w:hAnsiTheme="minorEastAsia" w:eastAsiaTheme="minorEastAsia" w:cstheme="minorEastAsia"/>
          <w:color w:val="auto"/>
          <w:spacing w:val="3"/>
          <w:sz w:val="24"/>
          <w:szCs w:val="24"/>
        </w:rPr>
        <w:t>高限价下浮比例下</w:t>
      </w:r>
      <w:r>
        <w:rPr>
          <w:rFonts w:hint="eastAsia" w:asciiTheme="minorEastAsia" w:hAnsiTheme="minorEastAsia" w:eastAsiaTheme="minorEastAsia" w:cstheme="minorEastAsia"/>
          <w:color w:val="auto"/>
          <w:spacing w:val="2"/>
          <w:sz w:val="24"/>
          <w:szCs w:val="24"/>
        </w:rPr>
        <w:t>浮后进入结算(其中按市场价计入的材料单</w:t>
      </w:r>
      <w:r>
        <w:rPr>
          <w:rFonts w:hint="eastAsia" w:asciiTheme="minorEastAsia" w:hAnsiTheme="minorEastAsia" w:eastAsiaTheme="minorEastAsia" w:cstheme="minorEastAsia"/>
          <w:color w:val="auto"/>
          <w:spacing w:val="1"/>
          <w:sz w:val="24"/>
          <w:szCs w:val="24"/>
        </w:rPr>
        <w:t>价或综合单价不下浮)。</w:t>
      </w:r>
    </w:p>
    <w:p w14:paraId="4CF02C87">
      <w:pPr>
        <w:spacing w:before="126" w:line="360" w:lineRule="auto"/>
        <w:ind w:left="239" w:right="130"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A、材料由成交人进行采购，其中工程的主要材料部分采购前需报监理人(有监理</w:t>
      </w:r>
      <w:r>
        <w:rPr>
          <w:rFonts w:hint="eastAsia" w:asciiTheme="minorEastAsia" w:hAnsiTheme="minorEastAsia" w:eastAsiaTheme="minorEastAsia" w:cstheme="minorEastAsia"/>
          <w:color w:val="auto"/>
          <w:spacing w:val="9"/>
          <w:sz w:val="24"/>
          <w:szCs w:val="24"/>
        </w:rPr>
        <w:t>单位的情况下)及跟审单位(有跟审单位的情况下</w:t>
      </w:r>
      <w:r>
        <w:rPr>
          <w:rFonts w:hint="eastAsia" w:asciiTheme="minorEastAsia" w:hAnsiTheme="minorEastAsia" w:eastAsiaTheme="minorEastAsia" w:cstheme="minorEastAsia"/>
          <w:color w:val="auto"/>
          <w:spacing w:val="8"/>
          <w:sz w:val="24"/>
          <w:szCs w:val="24"/>
        </w:rPr>
        <w:t>)和采购人核质核价后再行采购，</w:t>
      </w:r>
      <w:r>
        <w:rPr>
          <w:rFonts w:hint="eastAsia" w:asciiTheme="minorEastAsia" w:hAnsiTheme="minorEastAsia" w:eastAsiaTheme="minorEastAsia" w:cstheme="minorEastAsia"/>
          <w:color w:val="auto"/>
          <w:sz w:val="24"/>
          <w:szCs w:val="24"/>
        </w:rPr>
        <w:t>按结算评审部门审定后价格进行结算；如《重庆工程造价》中有的材料，核定价不得</w:t>
      </w:r>
      <w:r>
        <w:rPr>
          <w:rFonts w:hint="eastAsia" w:asciiTheme="minorEastAsia" w:hAnsiTheme="minorEastAsia" w:eastAsiaTheme="minorEastAsia" w:cstheme="minorEastAsia"/>
          <w:color w:val="auto"/>
          <w:spacing w:val="-2"/>
          <w:sz w:val="24"/>
          <w:szCs w:val="24"/>
        </w:rPr>
        <w:t>高于施工期间《重庆工程造价》信息价的算术平均</w:t>
      </w:r>
      <w:r>
        <w:rPr>
          <w:rFonts w:hint="eastAsia" w:asciiTheme="minorEastAsia" w:hAnsiTheme="minorEastAsia" w:eastAsiaTheme="minorEastAsia" w:cstheme="minorEastAsia"/>
          <w:color w:val="auto"/>
          <w:spacing w:val="-3"/>
          <w:sz w:val="24"/>
          <w:szCs w:val="24"/>
        </w:rPr>
        <w:t>值。</w:t>
      </w:r>
    </w:p>
    <w:p w14:paraId="49C5A0DB">
      <w:pPr>
        <w:spacing w:before="185" w:line="360" w:lineRule="auto"/>
        <w:ind w:left="239" w:right="9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B、人工工日单价按投标报价中的人工工日单价执行，投标报价中没有的人工工日</w:t>
      </w:r>
      <w:r>
        <w:rPr>
          <w:rFonts w:hint="eastAsia" w:asciiTheme="minorEastAsia" w:hAnsiTheme="minorEastAsia" w:eastAsiaTheme="minorEastAsia" w:cstheme="minorEastAsia"/>
          <w:color w:val="auto"/>
          <w:spacing w:val="-2"/>
          <w:sz w:val="24"/>
          <w:szCs w:val="24"/>
        </w:rPr>
        <w:t>单价则按施工期间《重庆工程造价》公布的</w:t>
      </w:r>
      <w:r>
        <w:rPr>
          <w:rFonts w:hint="eastAsia" w:asciiTheme="minorEastAsia" w:hAnsiTheme="minorEastAsia" w:eastAsiaTheme="minorEastAsia" w:cstheme="minorEastAsia"/>
          <w:color w:val="auto"/>
          <w:spacing w:val="-3"/>
          <w:sz w:val="24"/>
          <w:szCs w:val="24"/>
        </w:rPr>
        <w:t>主城区人工指导价的算术平均值执行。</w:t>
      </w:r>
    </w:p>
    <w:p w14:paraId="2FC01901">
      <w:pPr>
        <w:spacing w:before="161" w:line="360" w:lineRule="auto"/>
        <w:ind w:left="239" w:right="14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④变更工程量按《重庆市建设工程工程量计算</w:t>
      </w:r>
      <w:r>
        <w:rPr>
          <w:rFonts w:hint="eastAsia" w:asciiTheme="minorEastAsia" w:hAnsiTheme="minorEastAsia" w:eastAsiaTheme="minorEastAsia" w:cstheme="minorEastAsia"/>
          <w:color w:val="auto"/>
          <w:spacing w:val="-1"/>
          <w:sz w:val="24"/>
          <w:szCs w:val="24"/>
        </w:rPr>
        <w:t>规则》(CQJLGZ-2013)的规定的计</w:t>
      </w:r>
      <w:r>
        <w:rPr>
          <w:rFonts w:hint="eastAsia" w:asciiTheme="minorEastAsia" w:hAnsiTheme="minorEastAsia" w:eastAsiaTheme="minorEastAsia" w:cstheme="minorEastAsia"/>
          <w:color w:val="auto"/>
          <w:spacing w:val="-7"/>
          <w:sz w:val="24"/>
          <w:szCs w:val="24"/>
        </w:rPr>
        <w:t>量规则计算。</w:t>
      </w:r>
    </w:p>
    <w:p w14:paraId="1747EB92">
      <w:pPr>
        <w:spacing w:before="165" w:line="360" w:lineRule="auto"/>
        <w:ind w:left="84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(4)其他项目清单结算金额</w:t>
      </w:r>
    </w:p>
    <w:p w14:paraId="239DEE8E">
      <w:pPr>
        <w:spacing w:before="143" w:line="360" w:lineRule="auto"/>
        <w:ind w:left="239"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①材料采用暂估单价的，在施工过程中，使用前由成交人报价，经采购人、监理</w:t>
      </w:r>
      <w:r>
        <w:rPr>
          <w:rFonts w:hint="eastAsia" w:asciiTheme="minorEastAsia" w:hAnsiTheme="minorEastAsia" w:eastAsiaTheme="minorEastAsia" w:cstheme="minorEastAsia"/>
          <w:color w:val="auto"/>
          <w:spacing w:val="8"/>
          <w:sz w:val="24"/>
          <w:szCs w:val="24"/>
        </w:rPr>
        <w:t>人(有监理单位的情况下)及跟审单位(有跟审单位的情况下)审核同意后方可采购、</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4"/>
          <w:sz w:val="24"/>
          <w:szCs w:val="24"/>
        </w:rPr>
        <w:t>施工。结算时只对采购人核定单价与暂估单价的价差部分进行调整(调整</w:t>
      </w:r>
      <w:r>
        <w:rPr>
          <w:rFonts w:hint="eastAsia" w:asciiTheme="minorEastAsia" w:hAnsiTheme="minorEastAsia" w:eastAsiaTheme="minorEastAsia" w:cstheme="minorEastAsia"/>
          <w:color w:val="auto"/>
          <w:spacing w:val="3"/>
          <w:sz w:val="24"/>
          <w:szCs w:val="24"/>
        </w:rPr>
        <w:t>的数量根据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工程结算数量确定),该价差除税金外不再计取</w:t>
      </w:r>
      <w:r>
        <w:rPr>
          <w:rFonts w:hint="eastAsia" w:asciiTheme="minorEastAsia" w:hAnsiTheme="minorEastAsia" w:eastAsiaTheme="minorEastAsia" w:cstheme="minorEastAsia"/>
          <w:color w:val="auto"/>
          <w:spacing w:val="1"/>
          <w:sz w:val="24"/>
          <w:szCs w:val="24"/>
        </w:rPr>
        <w:t>其他任何费用。</w:t>
      </w:r>
    </w:p>
    <w:p w14:paraId="5B3272FB">
      <w:pPr>
        <w:spacing w:before="148" w:line="360" w:lineRule="auto"/>
        <w:ind w:left="239" w:right="124"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注：材料暂估单价仅指此类材料本身运至施工现场的价格，不包括这些材料</w:t>
      </w:r>
      <w:r>
        <w:rPr>
          <w:rFonts w:hint="eastAsia" w:asciiTheme="minorEastAsia" w:hAnsiTheme="minorEastAsia" w:eastAsiaTheme="minorEastAsia" w:cstheme="minorEastAsia"/>
          <w:color w:val="auto"/>
          <w:sz w:val="24"/>
          <w:szCs w:val="24"/>
        </w:rPr>
        <w:t xml:space="preserve">的安 </w:t>
      </w:r>
      <w:r>
        <w:rPr>
          <w:rFonts w:hint="eastAsia" w:asciiTheme="minorEastAsia" w:hAnsiTheme="minorEastAsia" w:eastAsiaTheme="minorEastAsia" w:cstheme="minorEastAsia"/>
          <w:color w:val="auto"/>
          <w:spacing w:val="1"/>
          <w:sz w:val="24"/>
          <w:szCs w:val="24"/>
        </w:rPr>
        <w:t>装、安装所必须的辅助材料以及发生在现场</w:t>
      </w:r>
      <w:r>
        <w:rPr>
          <w:rFonts w:hint="eastAsia" w:asciiTheme="minorEastAsia" w:hAnsiTheme="minorEastAsia" w:eastAsiaTheme="minorEastAsia" w:cstheme="minorEastAsia"/>
          <w:color w:val="auto"/>
          <w:sz w:val="24"/>
          <w:szCs w:val="24"/>
        </w:rPr>
        <w:t>内的验收、存储、保管、二次搬运、从存</w:t>
      </w:r>
      <w:r>
        <w:rPr>
          <w:rFonts w:hint="eastAsia" w:asciiTheme="minorEastAsia" w:hAnsiTheme="minorEastAsia" w:eastAsiaTheme="minorEastAsia" w:cstheme="minorEastAsia"/>
          <w:color w:val="auto"/>
          <w:spacing w:val="1"/>
          <w:sz w:val="24"/>
          <w:szCs w:val="24"/>
        </w:rPr>
        <w:t>放地点运至安装地点以及其他任何必要的辅助工作所发</w:t>
      </w:r>
      <w:r>
        <w:rPr>
          <w:rFonts w:hint="eastAsia" w:asciiTheme="minorEastAsia" w:hAnsiTheme="minorEastAsia" w:eastAsiaTheme="minorEastAsia" w:cstheme="minorEastAsia"/>
          <w:color w:val="auto"/>
          <w:sz w:val="24"/>
          <w:szCs w:val="24"/>
        </w:rPr>
        <w:t>生的费用，上述费用由供应商</w:t>
      </w:r>
      <w:r>
        <w:rPr>
          <w:rFonts w:hint="eastAsia" w:asciiTheme="minorEastAsia" w:hAnsiTheme="minorEastAsia" w:eastAsiaTheme="minorEastAsia" w:cstheme="minorEastAsia"/>
          <w:color w:val="auto"/>
          <w:spacing w:val="-3"/>
          <w:sz w:val="24"/>
          <w:szCs w:val="24"/>
        </w:rPr>
        <w:t>自行考虑计入各相应子目的综合单价报价中，成交后不再计取。</w:t>
      </w:r>
    </w:p>
    <w:p w14:paraId="24F03D9F">
      <w:pPr>
        <w:spacing w:before="36" w:line="360" w:lineRule="auto"/>
        <w:ind w:left="709"/>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2"/>
          <w:sz w:val="24"/>
          <w:szCs w:val="24"/>
        </w:rPr>
        <w:t>②本工程采用专业工程暂估价或暂列金额采购的，结</w:t>
      </w:r>
      <w:r>
        <w:rPr>
          <w:rFonts w:hint="eastAsia" w:asciiTheme="minorEastAsia" w:hAnsiTheme="minorEastAsia" w:eastAsiaTheme="minorEastAsia" w:cstheme="minorEastAsia"/>
          <w:color w:val="auto"/>
          <w:spacing w:val="1"/>
          <w:sz w:val="24"/>
          <w:szCs w:val="24"/>
        </w:rPr>
        <w:t>算时按实结算。其中以暂列</w:t>
      </w:r>
    </w:p>
    <w:p w14:paraId="75BA2833">
      <w:pPr>
        <w:spacing w:before="177"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金额采购的施工内容实施与否由采购人决定。</w:t>
      </w:r>
    </w:p>
    <w:p w14:paraId="19EBB13C">
      <w:pPr>
        <w:spacing w:before="176" w:line="360" w:lineRule="auto"/>
        <w:ind w:right="5" w:firstLine="6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(5)安全文明施工费：按《重庆市建设工程安全文明施工费计取及使用</w:t>
      </w:r>
      <w:r>
        <w:rPr>
          <w:rFonts w:hint="eastAsia" w:asciiTheme="minorEastAsia" w:hAnsiTheme="minorEastAsia" w:eastAsiaTheme="minorEastAsia" w:cstheme="minorEastAsia"/>
          <w:color w:val="auto"/>
          <w:spacing w:val="2"/>
          <w:sz w:val="24"/>
          <w:szCs w:val="24"/>
        </w:rPr>
        <w:t>管理规定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(2024版)》(渝建管(2024)38号)</w:t>
      </w:r>
      <w:r>
        <w:rPr>
          <w:rFonts w:hint="eastAsia" w:asciiTheme="minorEastAsia" w:hAnsiTheme="minorEastAsia" w:eastAsiaTheme="minorEastAsia" w:cstheme="minorEastAsia"/>
          <w:color w:val="auto"/>
          <w:spacing w:val="1"/>
          <w:sz w:val="24"/>
          <w:szCs w:val="24"/>
        </w:rPr>
        <w:t>、《关于适用增值税新税率调整建设工程计价依据的</w:t>
      </w:r>
      <w:r>
        <w:rPr>
          <w:rFonts w:hint="eastAsia" w:asciiTheme="minorEastAsia" w:hAnsiTheme="minorEastAsia" w:eastAsiaTheme="minorEastAsia" w:cstheme="minorEastAsia"/>
          <w:color w:val="auto"/>
          <w:spacing w:val="6"/>
          <w:sz w:val="24"/>
          <w:szCs w:val="24"/>
        </w:rPr>
        <w:t>通知》(渝建【2019】143号)的规定按实结</w:t>
      </w:r>
      <w:r>
        <w:rPr>
          <w:rFonts w:hint="eastAsia" w:asciiTheme="minorEastAsia" w:hAnsiTheme="minorEastAsia" w:eastAsiaTheme="minorEastAsia" w:cstheme="minorEastAsia"/>
          <w:color w:val="auto"/>
          <w:spacing w:val="5"/>
          <w:sz w:val="24"/>
          <w:szCs w:val="24"/>
        </w:rPr>
        <w:t>算。</w:t>
      </w:r>
    </w:p>
    <w:p w14:paraId="48663049">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(6)规费：按投标费率结算，若成交人的投标报价中规费费率高于规定费率，则以规定费率结算。</w:t>
      </w:r>
    </w:p>
    <w:p w14:paraId="30E3DA40">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(7)税金：按投标费率结算，若成交人的投标报价中税金费率高于规定费率，则以规定费率结算。</w:t>
      </w:r>
    </w:p>
    <w:p w14:paraId="5D1987C9">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(8)采购人要求成交人完成合同以外施工范围内或施工范围外但与本施工项目有 密切关系的零星项目，成交人应接受采购人施工要求，并向采购人提出工程量签证。</w:t>
      </w:r>
    </w:p>
    <w:p w14:paraId="27D871DF">
      <w:pPr>
        <w:spacing w:before="284" w:line="360" w:lineRule="auto"/>
        <w:ind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3. 本工程所需材料、设备(暂估价、暂列金额除外)由供应商自行承担材料、设备价格涨跌风险，成交后不作调整。另施工用水用电、临时道路等所有工程产生费用由成交人承担，采购人不额外支付任何费用。</w:t>
      </w:r>
    </w:p>
    <w:p w14:paraId="64D89C06">
      <w:pPr>
        <w:spacing w:before="284" w:line="360" w:lineRule="auto"/>
        <w:ind w:left="0" w:right="2" w:firstLine="520"/>
        <w:jc w:val="left"/>
        <w:rPr>
          <w:rFonts w:hint="eastAsia" w:asciiTheme="minorEastAsia" w:hAnsiTheme="minorEastAsia" w:eastAsiaTheme="minorEastAsia" w:cstheme="minorEastAsia"/>
          <w:color w:val="auto"/>
          <w:spacing w:val="5"/>
          <w:sz w:val="24"/>
          <w:szCs w:val="24"/>
        </w:rPr>
      </w:pPr>
      <w:r>
        <w:rPr>
          <w:rFonts w:hint="eastAsia" w:asciiTheme="minorEastAsia" w:hAnsiTheme="minorEastAsia" w:eastAsiaTheme="minorEastAsia" w:cstheme="minorEastAsia"/>
          <w:color w:val="auto"/>
          <w:spacing w:val="5"/>
          <w:sz w:val="24"/>
          <w:szCs w:val="24"/>
        </w:rPr>
        <w:t>4. 本工程结算金额最终以审计机构审定的金额为准。</w:t>
      </w:r>
    </w:p>
    <w:p w14:paraId="223311D2">
      <w:pPr>
        <w:spacing w:before="287"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 缺陷责任期与保修</w:t>
      </w:r>
    </w:p>
    <w:p w14:paraId="1AABDDA4">
      <w:pPr>
        <w:spacing w:before="2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14.1缺陷责任期</w:t>
      </w:r>
    </w:p>
    <w:p w14:paraId="32DB0AD6">
      <w:pPr>
        <w:spacing w:before="79"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缺陷责任期的具体期限：</w:t>
      </w:r>
      <w:r>
        <w:rPr>
          <w:rFonts w:hint="eastAsia" w:asciiTheme="minorEastAsia" w:hAnsiTheme="minorEastAsia" w:eastAsiaTheme="minorEastAsia" w:cstheme="minorEastAsia"/>
          <w:color w:val="auto"/>
          <w:spacing w:val="-1"/>
          <w:sz w:val="24"/>
          <w:szCs w:val="24"/>
          <w:u w:val="single"/>
          <w:lang w:val="en-US" w:eastAsia="zh-CN"/>
        </w:rPr>
        <w:t xml:space="preserve">2 </w:t>
      </w:r>
      <w:r>
        <w:rPr>
          <w:rFonts w:hint="eastAsia" w:asciiTheme="minorEastAsia" w:hAnsiTheme="minorEastAsia" w:eastAsiaTheme="minorEastAsia" w:cstheme="minorEastAsia"/>
          <w:color w:val="auto"/>
          <w:spacing w:val="-1"/>
          <w:sz w:val="24"/>
          <w:szCs w:val="24"/>
        </w:rPr>
        <w:t>年。</w:t>
      </w:r>
    </w:p>
    <w:p w14:paraId="2CB2B3D7">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14.2质量保证金</w:t>
      </w:r>
    </w:p>
    <w:p w14:paraId="7D9D4768">
      <w:pPr>
        <w:spacing w:before="283"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14.2.1  质量保证金的金额或比例：</w:t>
      </w:r>
      <w:r>
        <w:rPr>
          <w:rFonts w:hint="eastAsia" w:asciiTheme="minorEastAsia" w:hAnsiTheme="minorEastAsia" w:eastAsiaTheme="minorEastAsia" w:cstheme="minorEastAsia"/>
          <w:color w:val="auto"/>
          <w:spacing w:val="-1"/>
          <w:sz w:val="24"/>
          <w:szCs w:val="24"/>
          <w:u w:val="single" w:color="auto"/>
        </w:rPr>
        <w:t>结算审核审定金额的3%。</w:t>
      </w:r>
    </w:p>
    <w:p w14:paraId="3D2688A5">
      <w:pPr>
        <w:spacing w:before="284" w:line="360" w:lineRule="auto"/>
        <w:ind w:right="2" w:firstLine="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14.2.2  按本合同第12.4条约定的</w:t>
      </w:r>
      <w:r>
        <w:rPr>
          <w:rFonts w:hint="eastAsia" w:asciiTheme="minorEastAsia" w:hAnsiTheme="minorEastAsia" w:eastAsiaTheme="minorEastAsia" w:cstheme="minorEastAsia"/>
          <w:color w:val="auto"/>
          <w:spacing w:val="5"/>
          <w:sz w:val="24"/>
          <w:szCs w:val="24"/>
          <w:lang w:val="en-US" w:eastAsia="zh-CN"/>
        </w:rPr>
        <w:t>2</w:t>
      </w:r>
      <w:r>
        <w:rPr>
          <w:rFonts w:hint="eastAsia" w:asciiTheme="minorEastAsia" w:hAnsiTheme="minorEastAsia" w:eastAsiaTheme="minorEastAsia" w:cstheme="minorEastAsia"/>
          <w:color w:val="auto"/>
          <w:spacing w:val="5"/>
          <w:sz w:val="24"/>
          <w:szCs w:val="24"/>
        </w:rPr>
        <w:t>年</w:t>
      </w:r>
      <w:r>
        <w:rPr>
          <w:rFonts w:hint="eastAsia" w:asciiTheme="minorEastAsia" w:hAnsiTheme="minorEastAsia" w:eastAsiaTheme="minorEastAsia" w:cstheme="minorEastAsia"/>
          <w:color w:val="auto"/>
          <w:spacing w:val="4"/>
          <w:sz w:val="24"/>
          <w:szCs w:val="24"/>
        </w:rPr>
        <w:t>缺陷责任期满，无质量问题后支付剩余的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3%尾款。</w:t>
      </w:r>
    </w:p>
    <w:p w14:paraId="7A5DD3B0">
      <w:pPr>
        <w:spacing w:before="282"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14.3保修</w:t>
      </w:r>
    </w:p>
    <w:p w14:paraId="6E81CE5A">
      <w:pPr>
        <w:spacing w:before="31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14.3.1</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4"/>
          <w:sz w:val="24"/>
          <w:szCs w:val="24"/>
        </w:rPr>
        <w:t>保修责任</w:t>
      </w:r>
    </w:p>
    <w:p w14:paraId="0388C01B">
      <w:pPr>
        <w:spacing w:before="156"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工程保修期为：</w:t>
      </w:r>
      <w:r>
        <w:rPr>
          <w:rFonts w:hint="eastAsia" w:asciiTheme="minorEastAsia" w:hAnsiTheme="minorEastAsia" w:eastAsiaTheme="minorEastAsia" w:cstheme="minorEastAsia"/>
          <w:color w:val="auto"/>
          <w:spacing w:val="42"/>
          <w:sz w:val="24"/>
          <w:szCs w:val="24"/>
          <w:u w:val="single" w:color="auto"/>
        </w:rPr>
        <w:t xml:space="preserve"> </w:t>
      </w:r>
      <w:r>
        <w:rPr>
          <w:rFonts w:hint="eastAsia" w:asciiTheme="minorEastAsia" w:hAnsiTheme="minorEastAsia" w:eastAsiaTheme="minorEastAsia" w:cstheme="minorEastAsia"/>
          <w:color w:val="auto"/>
          <w:spacing w:val="42"/>
          <w:sz w:val="24"/>
          <w:szCs w:val="24"/>
          <w:u w:val="single" w:color="auto"/>
          <w:lang w:val="en-US" w:eastAsia="zh-CN"/>
        </w:rPr>
        <w:t xml:space="preserve">           </w:t>
      </w:r>
      <w:r>
        <w:rPr>
          <w:rFonts w:hint="eastAsia" w:asciiTheme="minorEastAsia" w:hAnsiTheme="minorEastAsia" w:eastAsiaTheme="minorEastAsia" w:cstheme="minorEastAsia"/>
          <w:color w:val="auto"/>
          <w:spacing w:val="42"/>
          <w:sz w:val="24"/>
          <w:szCs w:val="24"/>
          <w:u w:val="none" w:color="auto"/>
          <w:lang w:val="en-US" w:eastAsia="zh-CN"/>
        </w:rPr>
        <w:t xml:space="preserve"> </w:t>
      </w:r>
      <w:r>
        <w:rPr>
          <w:rFonts w:hint="eastAsia" w:asciiTheme="minorEastAsia" w:hAnsiTheme="minorEastAsia" w:eastAsiaTheme="minorEastAsia" w:cstheme="minorEastAsia"/>
          <w:color w:val="auto"/>
          <w:spacing w:val="-3"/>
          <w:sz w:val="24"/>
          <w:szCs w:val="24"/>
          <w:u w:val="none" w:color="auto"/>
        </w:rPr>
        <w:t>年。</w:t>
      </w:r>
    </w:p>
    <w:p w14:paraId="2683CA9A">
      <w:pPr>
        <w:spacing w:before="175" w:line="360" w:lineRule="auto"/>
        <w:ind w:left="5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14.3.2修复通知</w:t>
      </w:r>
    </w:p>
    <w:p w14:paraId="6BD2952C">
      <w:pPr>
        <w:spacing w:before="176" w:line="360" w:lineRule="auto"/>
        <w:ind w:left="520" w:right="2048"/>
        <w:jc w:val="left"/>
        <w:rPr>
          <w:rFonts w:hint="eastAsia" w:asciiTheme="minorEastAsia" w:hAnsiTheme="minorEastAsia" w:eastAsiaTheme="minorEastAsia" w:cstheme="minorEastAsia"/>
          <w:color w:val="auto"/>
          <w:spacing w:val="1"/>
          <w:sz w:val="24"/>
          <w:szCs w:val="24"/>
          <w:u w:val="single" w:color="auto"/>
        </w:rPr>
      </w:pPr>
      <w:r>
        <w:rPr>
          <w:rFonts w:hint="eastAsia" w:asciiTheme="minorEastAsia" w:hAnsiTheme="minorEastAsia" w:eastAsiaTheme="minorEastAsia" w:cstheme="minorEastAsia"/>
          <w:color w:val="auto"/>
          <w:sz w:val="24"/>
          <w:szCs w:val="24"/>
        </w:rPr>
        <w:drawing>
          <wp:anchor distT="0" distB="0" distL="0" distR="0" simplePos="0" relativeHeight="251667456" behindDoc="0" locked="0" layoutInCell="1" allowOverlap="1">
            <wp:simplePos x="0" y="0"/>
            <wp:positionH relativeFrom="column">
              <wp:posOffset>4514215</wp:posOffset>
            </wp:positionH>
            <wp:positionV relativeFrom="paragraph">
              <wp:posOffset>181610</wp:posOffset>
            </wp:positionV>
            <wp:extent cx="25400" cy="508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5"/>
                    <a:stretch>
                      <a:fillRect/>
                    </a:stretch>
                  </pic:blipFill>
                  <pic:spPr>
                    <a:xfrm>
                      <a:off x="0" y="0"/>
                      <a:ext cx="25394" cy="50867"/>
                    </a:xfrm>
                    <a:prstGeom prst="rect">
                      <a:avLst/>
                    </a:prstGeom>
                  </pic:spPr>
                </pic:pic>
              </a:graphicData>
            </a:graphic>
          </wp:anchor>
        </w:drawing>
      </w:r>
      <w:r>
        <w:rPr>
          <w:rFonts w:hint="eastAsia" w:asciiTheme="minorEastAsia" w:hAnsiTheme="minorEastAsia" w:eastAsiaTheme="minorEastAsia" w:cstheme="minorEastAsia"/>
          <w:color w:val="auto"/>
          <w:spacing w:val="2"/>
          <w:sz w:val="24"/>
          <w:szCs w:val="24"/>
        </w:rPr>
        <w:t>承包人收到保修通知并到达工程现场的合理时间</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0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24小时内</w:t>
      </w:r>
    </w:p>
    <w:p w14:paraId="781FBDC7">
      <w:pPr>
        <w:spacing w:before="176" w:line="360" w:lineRule="auto"/>
        <w:ind w:left="520" w:right="2048"/>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 违约</w:t>
      </w:r>
    </w:p>
    <w:p w14:paraId="2A6AB2CB">
      <w:pPr>
        <w:spacing w:before="48"/>
        <w:ind w:firstLine="46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15.1 发包人违约</w:t>
      </w:r>
    </w:p>
    <w:p w14:paraId="29F80A3E">
      <w:pPr>
        <w:spacing w:before="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15.1.1发包人违约的情形</w:t>
      </w:r>
    </w:p>
    <w:p w14:paraId="3E542750">
      <w:pPr>
        <w:spacing w:before="19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发包人违约的其他情形：</w:t>
      </w:r>
      <w:r>
        <w:rPr>
          <w:rFonts w:hint="eastAsia" w:asciiTheme="minorEastAsia" w:hAnsiTheme="minorEastAsia" w:eastAsiaTheme="minorEastAsia" w:cstheme="minorEastAsia"/>
          <w:color w:val="auto"/>
          <w:spacing w:val="-11"/>
          <w:sz w:val="24"/>
          <w:szCs w:val="24"/>
          <w:u w:val="single" w:color="auto"/>
        </w:rPr>
        <w:t>不</w:t>
      </w:r>
      <w:r>
        <w:rPr>
          <w:rFonts w:hint="eastAsia" w:asciiTheme="minorEastAsia" w:hAnsiTheme="minorEastAsia" w:eastAsiaTheme="minorEastAsia" w:cstheme="minorEastAsia"/>
          <w:color w:val="auto"/>
          <w:spacing w:val="-16"/>
          <w:sz w:val="24"/>
          <w:szCs w:val="24"/>
          <w:u w:val="single" w:color="auto"/>
        </w:rPr>
        <w:t xml:space="preserve"> </w:t>
      </w:r>
      <w:r>
        <w:rPr>
          <w:rFonts w:hint="eastAsia" w:asciiTheme="minorEastAsia" w:hAnsiTheme="minorEastAsia" w:eastAsiaTheme="minorEastAsia" w:cstheme="minorEastAsia"/>
          <w:color w:val="auto"/>
          <w:spacing w:val="-11"/>
          <w:sz w:val="24"/>
          <w:szCs w:val="24"/>
          <w:u w:val="single" w:color="auto"/>
        </w:rPr>
        <w:t>采 用</w:t>
      </w:r>
      <w:r>
        <w:rPr>
          <w:rFonts w:hint="eastAsia" w:asciiTheme="minorEastAsia" w:hAnsiTheme="minorEastAsia" w:eastAsiaTheme="minorEastAsia" w:cstheme="minorEastAsia"/>
          <w:color w:val="auto"/>
          <w:spacing w:val="-11"/>
          <w:sz w:val="24"/>
          <w:szCs w:val="24"/>
        </w:rPr>
        <w:t>。</w:t>
      </w:r>
    </w:p>
    <w:p w14:paraId="5849694E">
      <w:pPr>
        <w:spacing w:before="17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15.1.2发包人违约的责任</w:t>
      </w:r>
    </w:p>
    <w:p w14:paraId="31F81DB1">
      <w:pPr>
        <w:spacing w:before="16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发包人违约责任的承担方式和计算方法：</w:t>
      </w:r>
    </w:p>
    <w:p w14:paraId="7624A64C">
      <w:pPr>
        <w:spacing w:before="174" w:line="360" w:lineRule="auto"/>
        <w:ind w:right="98"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(1)因发包人原因未能在计划开工日期前7</w:t>
      </w:r>
      <w:r>
        <w:rPr>
          <w:rFonts w:hint="eastAsia" w:asciiTheme="minorEastAsia" w:hAnsiTheme="minorEastAsia" w:eastAsiaTheme="minorEastAsia" w:cstheme="minorEastAsia"/>
          <w:color w:val="auto"/>
          <w:spacing w:val="-1"/>
          <w:sz w:val="24"/>
          <w:szCs w:val="24"/>
        </w:rPr>
        <w:t>天内下达开工通知的违约责任：</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u w:val="single" w:color="auto"/>
        </w:rPr>
        <w:t>工</w:t>
      </w:r>
      <w:r>
        <w:rPr>
          <w:rFonts w:hint="eastAsia" w:asciiTheme="minorEastAsia" w:hAnsiTheme="minorEastAsia" w:eastAsiaTheme="minorEastAsia" w:cstheme="minorEastAsia"/>
          <w:color w:val="auto"/>
          <w:spacing w:val="-50"/>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期</w:t>
      </w:r>
      <w:r>
        <w:rPr>
          <w:rFonts w:hint="eastAsia" w:asciiTheme="minorEastAsia" w:hAnsiTheme="minorEastAsia" w:eastAsiaTheme="minorEastAsia" w:cstheme="minorEastAsia"/>
          <w:color w:val="auto"/>
          <w:spacing w:val="-3"/>
          <w:sz w:val="24"/>
          <w:szCs w:val="24"/>
          <w:u w:val="single" w:color="auto"/>
        </w:rPr>
        <w:t>顺延，但不承担其他违约责任及费用</w:t>
      </w:r>
      <w:r>
        <w:rPr>
          <w:rFonts w:hint="eastAsia" w:asciiTheme="minorEastAsia" w:hAnsiTheme="minorEastAsia" w:eastAsiaTheme="minorEastAsia" w:cstheme="minorEastAsia"/>
          <w:color w:val="auto"/>
          <w:spacing w:val="-3"/>
          <w:sz w:val="24"/>
          <w:szCs w:val="24"/>
        </w:rPr>
        <w:t>。</w:t>
      </w:r>
    </w:p>
    <w:p w14:paraId="027CAFFD">
      <w:pPr>
        <w:spacing w:before="1"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(2)因发包人原因未能按合同约定支付合同</w:t>
      </w:r>
      <w:r>
        <w:rPr>
          <w:rFonts w:hint="eastAsia" w:asciiTheme="minorEastAsia" w:hAnsiTheme="minorEastAsia" w:eastAsiaTheme="minorEastAsia" w:cstheme="minorEastAsia"/>
          <w:color w:val="auto"/>
          <w:spacing w:val="3"/>
          <w:sz w:val="24"/>
          <w:szCs w:val="24"/>
        </w:rPr>
        <w:t>价款的违约责任：</w:t>
      </w:r>
      <w:r>
        <w:rPr>
          <w:rFonts w:hint="eastAsia" w:asciiTheme="minorEastAsia" w:hAnsiTheme="minorEastAsia" w:eastAsiaTheme="minorEastAsia" w:cstheme="minorEastAsia"/>
          <w:color w:val="auto"/>
          <w:spacing w:val="3"/>
          <w:sz w:val="24"/>
          <w:szCs w:val="24"/>
          <w:u w:val="single" w:color="auto"/>
        </w:rPr>
        <w:t>不采用</w:t>
      </w:r>
      <w:r>
        <w:rPr>
          <w:rFonts w:hint="eastAsia" w:asciiTheme="minorEastAsia" w:hAnsiTheme="minorEastAsia" w:eastAsiaTheme="minorEastAsia" w:cstheme="minorEastAsia"/>
          <w:color w:val="auto"/>
          <w:spacing w:val="3"/>
          <w:sz w:val="24"/>
          <w:szCs w:val="24"/>
        </w:rPr>
        <w:t>。</w:t>
      </w:r>
    </w:p>
    <w:p w14:paraId="491D120B">
      <w:pPr>
        <w:spacing w:before="178"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(3)发包人违反第10.1款(变更的范围)第(2)项约定，自行实施被取消的工</w:t>
      </w:r>
    </w:p>
    <w:p w14:paraId="1C1390A1">
      <w:pPr>
        <w:spacing w:before="204"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作或转由他人实施的违约责任：</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2"/>
          <w:sz w:val="24"/>
          <w:szCs w:val="24"/>
        </w:rPr>
        <w:t>。</w:t>
      </w:r>
    </w:p>
    <w:p w14:paraId="0C2FFDAD">
      <w:pPr>
        <w:spacing w:before="146" w:line="360" w:lineRule="auto"/>
        <w:ind w:right="104"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(4)发包人提供的材料、工程设备的规格、数量或质量不符合合同约定，或因发</w:t>
      </w:r>
      <w:r>
        <w:rPr>
          <w:rFonts w:hint="eastAsia" w:asciiTheme="minorEastAsia" w:hAnsiTheme="minorEastAsia" w:eastAsiaTheme="minorEastAsia" w:cstheme="minorEastAsia"/>
          <w:color w:val="auto"/>
          <w:spacing w:val="-1"/>
          <w:sz w:val="24"/>
          <w:szCs w:val="24"/>
        </w:rPr>
        <w:t>包人原因导致交货日期延误或交货地点变更等情况的违约责任：</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pacing w:val="-1"/>
          <w:sz w:val="24"/>
          <w:szCs w:val="24"/>
          <w:u w:val="single" w:color="auto"/>
        </w:rPr>
        <w:t>不</w:t>
      </w:r>
      <w:r>
        <w:rPr>
          <w:rFonts w:hint="eastAsia" w:asciiTheme="minorEastAsia" w:hAnsiTheme="minorEastAsia" w:eastAsiaTheme="minorEastAsia" w:cstheme="minorEastAsia"/>
          <w:color w:val="auto"/>
          <w:spacing w:val="-41"/>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采</w:t>
      </w:r>
      <w:r>
        <w:rPr>
          <w:rFonts w:hint="eastAsia" w:asciiTheme="minorEastAsia" w:hAnsiTheme="minorEastAsia" w:eastAsiaTheme="minorEastAsia" w:cstheme="minorEastAsia"/>
          <w:color w:val="auto"/>
          <w:spacing w:val="-37"/>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用</w:t>
      </w:r>
      <w:r>
        <w:rPr>
          <w:rFonts w:hint="eastAsia" w:asciiTheme="minorEastAsia" w:hAnsiTheme="minorEastAsia" w:eastAsiaTheme="minorEastAsia" w:cstheme="minorEastAsia"/>
          <w:color w:val="auto"/>
          <w:spacing w:val="-2"/>
          <w:sz w:val="24"/>
          <w:szCs w:val="24"/>
        </w:rPr>
        <w:t>。</w:t>
      </w:r>
    </w:p>
    <w:p w14:paraId="54D54695">
      <w:pPr>
        <w:spacing w:before="157" w:line="360" w:lineRule="auto"/>
        <w:ind w:right="117"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(5)因发包人违反合同约定造成暂停施工的违约责任：</w:t>
      </w:r>
      <w:r>
        <w:rPr>
          <w:rFonts w:hint="eastAsia" w:asciiTheme="minorEastAsia" w:hAnsiTheme="minorEastAsia" w:eastAsiaTheme="minorEastAsia" w:cstheme="minorEastAsia"/>
          <w:color w:val="auto"/>
          <w:sz w:val="24"/>
          <w:szCs w:val="24"/>
          <w:u w:val="single" w:color="auto"/>
        </w:rPr>
        <w:t>工期顺延，但不</w:t>
      </w:r>
      <w:r>
        <w:rPr>
          <w:rFonts w:hint="eastAsia" w:asciiTheme="minorEastAsia" w:hAnsiTheme="minorEastAsia" w:eastAsiaTheme="minorEastAsia" w:cstheme="minorEastAsia"/>
          <w:color w:val="auto"/>
          <w:spacing w:val="-1"/>
          <w:sz w:val="24"/>
          <w:szCs w:val="24"/>
          <w:u w:val="single" w:color="auto"/>
        </w:rPr>
        <w:t>承担其他</w:t>
      </w:r>
      <w:r>
        <w:rPr>
          <w:rFonts w:hint="eastAsia" w:asciiTheme="minorEastAsia" w:hAnsiTheme="minorEastAsia" w:eastAsiaTheme="minorEastAsia" w:cstheme="minorEastAsia"/>
          <w:color w:val="auto"/>
          <w:spacing w:val="-2"/>
          <w:sz w:val="24"/>
          <w:szCs w:val="24"/>
          <w:u w:val="single" w:color="auto"/>
        </w:rPr>
        <w:t>违约责任及费用</w:t>
      </w:r>
      <w:r>
        <w:rPr>
          <w:rFonts w:hint="eastAsia" w:asciiTheme="minorEastAsia" w:hAnsiTheme="minorEastAsia" w:eastAsiaTheme="minorEastAsia" w:cstheme="minorEastAsia"/>
          <w:color w:val="auto"/>
          <w:spacing w:val="-2"/>
          <w:sz w:val="24"/>
          <w:szCs w:val="24"/>
        </w:rPr>
        <w:t>。</w:t>
      </w:r>
    </w:p>
    <w:p w14:paraId="6EC55EE4">
      <w:pPr>
        <w:spacing w:before="185"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(6)发包人无正当理由没有在约定期限内发出复工指示，导致承包人无法复工的</w:t>
      </w:r>
      <w:r>
        <w:rPr>
          <w:rFonts w:hint="eastAsia" w:asciiTheme="minorEastAsia" w:hAnsiTheme="minorEastAsia" w:eastAsiaTheme="minorEastAsia" w:cstheme="minorEastAsia"/>
          <w:color w:val="auto"/>
          <w:spacing w:val="-1"/>
          <w:sz w:val="24"/>
          <w:szCs w:val="24"/>
        </w:rPr>
        <w:t>违约责任：</w:t>
      </w:r>
      <w:r>
        <w:rPr>
          <w:rFonts w:hint="eastAsia" w:asciiTheme="minorEastAsia" w:hAnsiTheme="minorEastAsia" w:eastAsiaTheme="minorEastAsia" w:cstheme="minorEastAsia"/>
          <w:color w:val="auto"/>
          <w:spacing w:val="-1"/>
          <w:sz w:val="24"/>
          <w:szCs w:val="24"/>
          <w:u w:val="single" w:color="auto"/>
        </w:rPr>
        <w:t>工期顺延，但不承担其他违约责任及费用</w:t>
      </w:r>
      <w:r>
        <w:rPr>
          <w:rFonts w:hint="eastAsia" w:asciiTheme="minorEastAsia" w:hAnsiTheme="minorEastAsia" w:eastAsiaTheme="minorEastAsia" w:cstheme="minorEastAsia"/>
          <w:color w:val="auto"/>
          <w:spacing w:val="-1"/>
          <w:sz w:val="24"/>
          <w:szCs w:val="24"/>
        </w:rPr>
        <w:t>。</w:t>
      </w:r>
    </w:p>
    <w:p w14:paraId="47E34D6C">
      <w:pPr>
        <w:spacing w:before="16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(7)其他：</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2"/>
          <w:sz w:val="24"/>
          <w:szCs w:val="24"/>
        </w:rPr>
        <w:t>。</w:t>
      </w:r>
    </w:p>
    <w:p w14:paraId="6178ED39">
      <w:pPr>
        <w:spacing w:before="162"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15.1.3因发包人违约解除合同：</w:t>
      </w:r>
      <w:r>
        <w:rPr>
          <w:rFonts w:hint="eastAsia" w:asciiTheme="minorEastAsia" w:hAnsiTheme="minorEastAsia" w:eastAsiaTheme="minorEastAsia" w:cstheme="minorEastAsia"/>
          <w:color w:val="auto"/>
          <w:spacing w:val="62"/>
          <w:sz w:val="24"/>
          <w:szCs w:val="24"/>
        </w:rPr>
        <w:t xml:space="preserve"> </w:t>
      </w:r>
      <w:r>
        <w:rPr>
          <w:rFonts w:hint="eastAsia" w:asciiTheme="minorEastAsia" w:hAnsiTheme="minorEastAsia" w:eastAsiaTheme="minorEastAsia" w:cstheme="minorEastAsia"/>
          <w:color w:val="auto"/>
          <w:spacing w:val="-106"/>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不采用</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w:t>
      </w:r>
    </w:p>
    <w:p w14:paraId="29344482">
      <w:pPr>
        <w:spacing w:before="147"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15.2承包人违约</w:t>
      </w:r>
    </w:p>
    <w:p w14:paraId="30344694">
      <w:pPr>
        <w:spacing w:before="31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15.2.1 承包人违约的情形</w:t>
      </w:r>
    </w:p>
    <w:p w14:paraId="4D9693EC">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承包人违约的其他情形：</w:t>
      </w:r>
    </w:p>
    <w:p w14:paraId="4DB177C2">
      <w:pPr>
        <w:spacing w:before="186"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(1)因承包人原因，造成拖欠民工工资。</w:t>
      </w:r>
    </w:p>
    <w:p w14:paraId="571BC6BA">
      <w:pPr>
        <w:spacing w:before="18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(2)承包人在竣工验收合格3日内未做竣工完场清理，向发包人移交工程场地。</w:t>
      </w:r>
    </w:p>
    <w:p w14:paraId="0542FDFC">
      <w:pPr>
        <w:spacing w:before="164"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(3)承包人所用材料不符合本合同要求。</w:t>
      </w:r>
    </w:p>
    <w:p w14:paraId="733F770A">
      <w:pPr>
        <w:spacing w:before="105" w:line="360" w:lineRule="auto"/>
        <w:ind w:left="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(4)承包人在施工中未按发包人书面意见或不明确而又不向发包人求证，致使施</w:t>
      </w:r>
    </w:p>
    <w:p w14:paraId="7FA2B014">
      <w:pPr>
        <w:spacing w:before="228"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u w:val="single" w:color="auto"/>
        </w:rPr>
        <w:t>工不能达到发包人要求。</w:t>
      </w:r>
    </w:p>
    <w:p w14:paraId="1B9B5402">
      <w:pPr>
        <w:spacing w:before="151" w:line="360" w:lineRule="auto"/>
        <w:ind w:right="96" w:firstLine="49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(5)承包人提出合理的变更涉及到对设计图纸或施工组织计划的更改及对材料的</w:t>
      </w:r>
      <w:r>
        <w:rPr>
          <w:rFonts w:hint="eastAsia" w:asciiTheme="minorEastAsia" w:hAnsiTheme="minorEastAsia" w:eastAsiaTheme="minorEastAsia" w:cstheme="minorEastAsia"/>
          <w:color w:val="auto"/>
          <w:spacing w:val="-2"/>
          <w:sz w:val="24"/>
          <w:szCs w:val="24"/>
          <w:u w:val="single" w:color="auto"/>
        </w:rPr>
        <w:t>换用时，未经发包人同意而擅自更改或换用。</w:t>
      </w:r>
    </w:p>
    <w:p w14:paraId="32313844">
      <w:pPr>
        <w:spacing w:line="360" w:lineRule="auto"/>
        <w:ind w:left="490"/>
        <w:jc w:val="left"/>
        <w:rPr>
          <w:rFonts w:hint="eastAsia" w:ascii="Times New Roman" w:hAnsi="Times New Roman" w:eastAsia="宋体" w:cs="Times New Roman"/>
          <w:kern w:val="2"/>
          <w:sz w:val="28"/>
          <w:lang w:val="en-US" w:eastAsia="zh-CN" w:bidi="ar-SA"/>
        </w:rPr>
      </w:pPr>
      <w:r>
        <w:rPr>
          <w:rFonts w:hint="eastAsia" w:asciiTheme="minorEastAsia" w:hAnsiTheme="minorEastAsia" w:eastAsiaTheme="minorEastAsia" w:cstheme="minorEastAsia"/>
          <w:color w:val="auto"/>
          <w:sz w:val="24"/>
          <w:szCs w:val="24"/>
          <w:u w:val="single" w:color="auto"/>
        </w:rPr>
        <w:t>(6)未经发包人许可，承包人擅自将所承包的工程分包。</w:t>
      </w:r>
    </w:p>
    <w:p w14:paraId="1D3D22E8">
      <w:pPr>
        <w:spacing w:before="48" w:line="360" w:lineRule="auto"/>
        <w:ind w:left="0" w:firstLine="52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(7)投标文件约定的其他违约责任</w:t>
      </w:r>
      <w:r>
        <w:rPr>
          <w:rFonts w:hint="eastAsia" w:asciiTheme="minorEastAsia" w:hAnsiTheme="minorEastAsia" w:eastAsiaTheme="minorEastAsia" w:cstheme="minorEastAsia"/>
          <w:color w:val="auto"/>
          <w:spacing w:val="10"/>
          <w:sz w:val="24"/>
          <w:szCs w:val="24"/>
        </w:rPr>
        <w:t>。</w:t>
      </w:r>
    </w:p>
    <w:p w14:paraId="0AD34576">
      <w:pPr>
        <w:spacing w:before="15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15.2.2承包人违约的责任</w:t>
      </w:r>
    </w:p>
    <w:p w14:paraId="24D51F48">
      <w:pPr>
        <w:spacing w:before="185"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承包人违约责任的承担方式和计算方法：</w:t>
      </w:r>
    </w:p>
    <w:p w14:paraId="31064093">
      <w:pPr>
        <w:spacing w:before="186" w:line="360" w:lineRule="auto"/>
        <w:ind w:right="11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一、承包人有15.2.1款(1)条违约情形的，发包人有权将工程进度款优先支付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给民工或从承包人履约保证金中支付；</w:t>
      </w:r>
    </w:p>
    <w:p w14:paraId="649B4EA6">
      <w:pPr>
        <w:spacing w:before="183" w:line="360" w:lineRule="auto"/>
        <w:ind w:right="10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二、承包人有15.2.1款(2)条违约情形的，应承担由此给发包人造成的结算和</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z w:val="24"/>
          <w:szCs w:val="24"/>
          <w:u w:val="single" w:color="auto"/>
        </w:rPr>
        <w:t>支付延误的损失。</w:t>
      </w:r>
    </w:p>
    <w:p w14:paraId="438B04DC">
      <w:pPr>
        <w:spacing w:before="194" w:line="360" w:lineRule="auto"/>
        <w:ind w:right="10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三、承包人有15.2.1款(3)条违约情形的，返工损失由承包人自负，且工期不</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u w:val="single" w:color="auto"/>
        </w:rPr>
        <w:t>得顺延，并每发现一次承担5000元违约金。</w:t>
      </w:r>
    </w:p>
    <w:p w14:paraId="16E8AE70">
      <w:pPr>
        <w:spacing w:before="173" w:line="360" w:lineRule="auto"/>
        <w:ind w:right="12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u w:val="single" w:color="auto"/>
        </w:rPr>
        <w:t>四、承包人有15.2.1款(4)条违约</w:t>
      </w:r>
      <w:r>
        <w:rPr>
          <w:rFonts w:hint="eastAsia" w:asciiTheme="minorEastAsia" w:hAnsiTheme="minorEastAsia" w:eastAsiaTheme="minorEastAsia" w:cstheme="minorEastAsia"/>
          <w:color w:val="auto"/>
          <w:spacing w:val="10"/>
          <w:sz w:val="24"/>
          <w:szCs w:val="24"/>
          <w:u w:val="single" w:color="auto"/>
        </w:rPr>
        <w:t>情形的，发包人有权要求承包人返工并由承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color="auto"/>
        </w:rPr>
        <w:t>包人承担返工损失，工期不得顺延。</w:t>
      </w:r>
    </w:p>
    <w:p w14:paraId="3C88BCBC">
      <w:pPr>
        <w:spacing w:before="174" w:line="360" w:lineRule="auto"/>
        <w:ind w:right="6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u w:val="single" w:color="auto"/>
        </w:rPr>
        <w:t>五、承包人有15.2.1款(5)条违约情形的</w:t>
      </w:r>
      <w:r>
        <w:rPr>
          <w:rFonts w:hint="eastAsia" w:asciiTheme="minorEastAsia" w:hAnsiTheme="minorEastAsia" w:eastAsiaTheme="minorEastAsia" w:cstheme="minorEastAsia"/>
          <w:color w:val="auto"/>
          <w:spacing w:val="7"/>
          <w:sz w:val="24"/>
          <w:szCs w:val="24"/>
          <w:u w:val="single" w:color="auto"/>
        </w:rPr>
        <w:t>，承包人自行承担由此发生的费用，</w:t>
      </w:r>
      <w:r>
        <w:rPr>
          <w:rFonts w:hint="eastAsia" w:asciiTheme="minorEastAsia" w:hAnsiTheme="minorEastAsia" w:eastAsiaTheme="minorEastAsia" w:cstheme="minorEastAsia"/>
          <w:color w:val="auto"/>
          <w:spacing w:val="-1"/>
          <w:sz w:val="24"/>
          <w:szCs w:val="24"/>
          <w:u w:val="single" w:color="auto"/>
        </w:rPr>
        <w:t>并赔偿发包人有关的损失，且延误的工期不得顺延。</w:t>
      </w:r>
    </w:p>
    <w:p w14:paraId="35045346">
      <w:pPr>
        <w:spacing w:before="164" w:line="360" w:lineRule="auto"/>
        <w:ind w:right="148"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u w:val="single" w:color="auto"/>
        </w:rPr>
        <w:t>六、承包人有15.2.1款(6)条违约情形的，发包人将处以违规分包行为的承包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u w:val="single" w:color="auto"/>
        </w:rPr>
        <w:t>人收取合同金额10%且不少于1万元的违约金。</w:t>
      </w:r>
    </w:p>
    <w:p w14:paraId="283DE632">
      <w:pPr>
        <w:spacing w:before="173"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七、采购文件约定的其他方式。</w:t>
      </w:r>
    </w:p>
    <w:p w14:paraId="00C416E3">
      <w:pPr>
        <w:spacing w:before="187" w:line="360" w:lineRule="auto"/>
        <w:ind w:right="126"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u w:val="single" w:color="auto"/>
        </w:rPr>
        <w:t>本工程涉及违约金均应累计，其承担的违约金由发包人从履约保证金中扣除，不</w:t>
      </w:r>
      <w:r>
        <w:rPr>
          <w:rFonts w:hint="eastAsia" w:asciiTheme="minorEastAsia" w:hAnsiTheme="minorEastAsia" w:eastAsiaTheme="minorEastAsia" w:cstheme="minorEastAsia"/>
          <w:color w:val="auto"/>
          <w:spacing w:val="-3"/>
          <w:sz w:val="24"/>
          <w:szCs w:val="24"/>
          <w:u w:val="single" w:color="auto"/>
        </w:rPr>
        <w:t>足部分从未支付的工程款中予以扣减</w:t>
      </w:r>
      <w:r>
        <w:rPr>
          <w:rFonts w:hint="eastAsia" w:asciiTheme="minorEastAsia" w:hAnsiTheme="minorEastAsia" w:eastAsiaTheme="minorEastAsia" w:cstheme="minorEastAsia"/>
          <w:color w:val="auto"/>
          <w:spacing w:val="-3"/>
          <w:sz w:val="24"/>
          <w:szCs w:val="24"/>
        </w:rPr>
        <w:t>。</w:t>
      </w:r>
    </w:p>
    <w:p w14:paraId="6874241D">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15.2.3因承包人违约解除合同</w:t>
      </w:r>
    </w:p>
    <w:p w14:paraId="00856786">
      <w:pPr>
        <w:spacing w:before="264"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关于承包人违约解除合同的特别约定：</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4"/>
          <w:sz w:val="24"/>
          <w:szCs w:val="24"/>
          <w:u w:val="single" w:color="auto"/>
        </w:rPr>
        <w:t xml:space="preserve">/                 </w:t>
      </w:r>
      <w:r>
        <w:rPr>
          <w:rFonts w:hint="eastAsia" w:asciiTheme="minorEastAsia" w:hAnsiTheme="minorEastAsia" w:eastAsiaTheme="minorEastAsia" w:cstheme="minorEastAsia"/>
          <w:color w:val="auto"/>
          <w:spacing w:val="-4"/>
          <w:sz w:val="24"/>
          <w:szCs w:val="24"/>
        </w:rPr>
        <w:t>。</w:t>
      </w:r>
    </w:p>
    <w:p w14:paraId="50CF74F5">
      <w:pPr>
        <w:spacing w:before="278" w:line="360" w:lineRule="auto"/>
        <w:ind w:right="183"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发包人继续使用承包人在施工现场的材料、设</w:t>
      </w:r>
      <w:r>
        <w:rPr>
          <w:rFonts w:hint="eastAsia" w:asciiTheme="minorEastAsia" w:hAnsiTheme="minorEastAsia" w:eastAsiaTheme="minorEastAsia" w:cstheme="minorEastAsia"/>
          <w:color w:val="auto"/>
          <w:spacing w:val="-1"/>
          <w:sz w:val="24"/>
          <w:szCs w:val="24"/>
        </w:rPr>
        <w:t>备、临时工程、承包人文件和由承</w:t>
      </w:r>
      <w:r>
        <w:rPr>
          <w:rFonts w:hint="eastAsia" w:asciiTheme="minorEastAsia" w:hAnsiTheme="minorEastAsia" w:eastAsiaTheme="minorEastAsia" w:cstheme="minorEastAsia"/>
          <w:color w:val="auto"/>
          <w:spacing w:val="-4"/>
          <w:sz w:val="24"/>
          <w:szCs w:val="24"/>
        </w:rPr>
        <w:t>包人或以其名义编制的其他文件的费用承担方式：</w:t>
      </w:r>
      <w:r>
        <w:rPr>
          <w:rFonts w:hint="eastAsia" w:asciiTheme="minorEastAsia" w:hAnsiTheme="minorEastAsia" w:eastAsiaTheme="minorEastAsia" w:cstheme="minorEastAsia"/>
          <w:color w:val="auto"/>
          <w:spacing w:val="-4"/>
          <w:sz w:val="24"/>
          <w:szCs w:val="24"/>
          <w:u w:val="single" w:color="auto"/>
        </w:rPr>
        <w:t>不采用。</w:t>
      </w:r>
    </w:p>
    <w:p w14:paraId="772307EF">
      <w:pPr>
        <w:spacing w:before="127"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16.</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1"/>
          <w:sz w:val="24"/>
          <w:szCs w:val="24"/>
        </w:rPr>
        <w:t>不可抗力</w:t>
      </w:r>
    </w:p>
    <w:p w14:paraId="5883BECB">
      <w:pPr>
        <w:spacing w:before="305"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16.1不可抗力的确认</w:t>
      </w:r>
    </w:p>
    <w:p w14:paraId="0B85D175">
      <w:pPr>
        <w:spacing w:before="255" w:line="360" w:lineRule="auto"/>
        <w:ind w:right="149"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除通用合同条款约定的不可抗力事件之外，视为不可抗力的其他情形：</w:t>
      </w:r>
      <w:r>
        <w:rPr>
          <w:rFonts w:hint="eastAsia" w:asciiTheme="minorEastAsia" w:hAnsiTheme="minorEastAsia" w:eastAsiaTheme="minorEastAsia" w:cstheme="minorEastAsia"/>
          <w:color w:val="auto"/>
          <w:spacing w:val="2"/>
          <w:sz w:val="24"/>
          <w:szCs w:val="24"/>
          <w:u w:val="single" w:color="auto"/>
        </w:rPr>
        <w:t>不采</w:t>
      </w:r>
      <w:r>
        <w:rPr>
          <w:rFonts w:hint="eastAsia" w:asciiTheme="minorEastAsia" w:hAnsiTheme="minorEastAsia" w:eastAsiaTheme="minorEastAsia" w:cstheme="minorEastAsia"/>
          <w:color w:val="auto"/>
          <w:spacing w:val="-6"/>
          <w:sz w:val="24"/>
          <w:szCs w:val="24"/>
          <w:u w:val="single" w:color="auto"/>
        </w:rPr>
        <w:t>用</w:t>
      </w:r>
      <w:r>
        <w:rPr>
          <w:rFonts w:hint="eastAsia" w:asciiTheme="minorEastAsia" w:hAnsiTheme="minorEastAsia" w:eastAsiaTheme="minorEastAsia" w:cstheme="minorEastAsia"/>
          <w:color w:val="auto"/>
          <w:spacing w:val="-6"/>
          <w:sz w:val="24"/>
          <w:szCs w:val="24"/>
        </w:rPr>
        <w:t>。</w:t>
      </w:r>
    </w:p>
    <w:p w14:paraId="07D764E2">
      <w:pPr>
        <w:spacing w:line="360" w:lineRule="auto"/>
        <w:ind w:left="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16.2因不可抗力解除合同</w:t>
      </w:r>
    </w:p>
    <w:p w14:paraId="162E26A9">
      <w:pPr>
        <w:spacing w:before="79"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合同解除后，发包人应在商定或确定发包人应支付款项后</w:t>
      </w:r>
      <w:r>
        <w:rPr>
          <w:rFonts w:hint="eastAsia" w:asciiTheme="minorEastAsia" w:hAnsiTheme="minorEastAsia" w:eastAsiaTheme="minorEastAsia" w:cstheme="minorEastAsia"/>
          <w:color w:val="auto"/>
          <w:spacing w:val="-5"/>
          <w:sz w:val="24"/>
          <w:szCs w:val="24"/>
          <w:u w:val="single" w:color="auto"/>
        </w:rPr>
        <w:t>30</w:t>
      </w:r>
      <w:r>
        <w:rPr>
          <w:rFonts w:hint="eastAsia" w:asciiTheme="minorEastAsia" w:hAnsiTheme="minorEastAsia" w:eastAsiaTheme="minorEastAsia" w:cstheme="minorEastAsia"/>
          <w:color w:val="auto"/>
          <w:spacing w:val="-5"/>
          <w:sz w:val="24"/>
          <w:szCs w:val="24"/>
        </w:rPr>
        <w:t xml:space="preserve"> 天内完成款项的支</w:t>
      </w:r>
      <w:r>
        <w:rPr>
          <w:rFonts w:hint="eastAsia" w:asciiTheme="minorEastAsia" w:hAnsiTheme="minorEastAsia" w:eastAsiaTheme="minorEastAsia" w:cstheme="minorEastAsia"/>
          <w:color w:val="auto"/>
          <w:spacing w:val="-6"/>
          <w:sz w:val="24"/>
          <w:szCs w:val="24"/>
        </w:rPr>
        <w:t>付。</w:t>
      </w:r>
    </w:p>
    <w:p w14:paraId="7D4B0940">
      <w:pPr>
        <w:tabs>
          <w:tab w:val="left" w:pos="1379"/>
        </w:tabs>
        <w:spacing w:before="0" w:line="240" w:lineRule="auto"/>
        <w:ind w:lef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17. 保险</w:t>
      </w:r>
    </w:p>
    <w:p w14:paraId="4F222E7B">
      <w:pPr>
        <w:spacing w:before="284"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 工程保险</w:t>
      </w:r>
    </w:p>
    <w:p w14:paraId="2D6B3930">
      <w:pPr>
        <w:spacing w:before="312" w:line="231"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关于工程保险的特别约定：</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0"/>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r>
        <w:rPr>
          <w:rFonts w:hint="eastAsia" w:asciiTheme="minorEastAsia" w:hAnsiTheme="minorEastAsia" w:eastAsiaTheme="minorEastAsia" w:cstheme="minorEastAsia"/>
          <w:color w:val="auto"/>
          <w:spacing w:val="2"/>
          <w:position w:val="-3"/>
          <w:sz w:val="24"/>
          <w:szCs w:val="24"/>
          <w:u w:val="single" w:color="auto"/>
        </w:rPr>
        <w:t xml:space="preserve">                 </w:t>
      </w:r>
      <w:r>
        <w:rPr>
          <w:rFonts w:hint="eastAsia" w:asciiTheme="minorEastAsia" w:hAnsiTheme="minorEastAsia" w:eastAsiaTheme="minorEastAsia" w:cstheme="minorEastAsia"/>
          <w:color w:val="auto"/>
          <w:spacing w:val="-2"/>
          <w:position w:val="-3"/>
          <w:sz w:val="24"/>
          <w:szCs w:val="24"/>
          <w:u w:val="single" w:color="auto"/>
        </w:rPr>
        <w:t>。</w:t>
      </w:r>
    </w:p>
    <w:p w14:paraId="1590EDF4">
      <w:pPr>
        <w:spacing w:before="151"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17.2其他保险</w:t>
      </w:r>
    </w:p>
    <w:p w14:paraId="4AEDDD61">
      <w:pPr>
        <w:spacing w:before="294" w:line="224"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关于其他保险的约定：</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w:t>
      </w:r>
    </w:p>
    <w:p w14:paraId="20163C6E">
      <w:pPr>
        <w:spacing w:before="19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承包人是否应为其施工设备等办理财产保险：</w:t>
      </w:r>
      <w:r>
        <w:rPr>
          <w:rFonts w:hint="eastAsia" w:asciiTheme="minorEastAsia" w:hAnsiTheme="minorEastAsia" w:eastAsiaTheme="minorEastAsia" w:cstheme="minorEastAsia"/>
          <w:color w:val="auto"/>
          <w:sz w:val="24"/>
          <w:szCs w:val="24"/>
          <w:u w:val="single" w:color="auto"/>
        </w:rPr>
        <w:t xml:space="preserve">     /          。</w:t>
      </w:r>
    </w:p>
    <w:p w14:paraId="1F549CEE">
      <w:pPr>
        <w:spacing w:before="14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17.3通知义务</w:t>
      </w:r>
    </w:p>
    <w:p w14:paraId="506A50E9">
      <w:pPr>
        <w:spacing w:before="30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关于变更保险合同时的通知义务的约定：</w:t>
      </w:r>
      <w:r>
        <w:rPr>
          <w:rFonts w:hint="eastAsia" w:asciiTheme="minorEastAsia" w:hAnsiTheme="minorEastAsia" w:eastAsiaTheme="minorEastAsia" w:cstheme="minorEastAsia"/>
          <w:color w:val="auto"/>
          <w:spacing w:val="-1"/>
          <w:sz w:val="24"/>
          <w:szCs w:val="24"/>
          <w:u w:val="single" w:color="auto"/>
        </w:rPr>
        <w:t>按通用条款</w:t>
      </w:r>
      <w:r>
        <w:rPr>
          <w:rFonts w:hint="eastAsia" w:asciiTheme="minorEastAsia" w:hAnsiTheme="minorEastAsia" w:eastAsiaTheme="minorEastAsia" w:cstheme="minorEastAsia"/>
          <w:color w:val="auto"/>
          <w:spacing w:val="-2"/>
          <w:sz w:val="24"/>
          <w:szCs w:val="24"/>
          <w:u w:val="single" w:color="auto"/>
        </w:rPr>
        <w:t>执行</w:t>
      </w:r>
      <w:r>
        <w:rPr>
          <w:rFonts w:hint="eastAsia" w:asciiTheme="minorEastAsia" w:hAnsiTheme="minorEastAsia" w:eastAsiaTheme="minorEastAsia" w:cstheme="minorEastAsia"/>
          <w:color w:val="auto"/>
          <w:spacing w:val="-2"/>
          <w:sz w:val="24"/>
          <w:szCs w:val="24"/>
        </w:rPr>
        <w:t>。</w:t>
      </w:r>
    </w:p>
    <w:p w14:paraId="58FD1AA1">
      <w:pPr>
        <w:spacing w:before="29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 争议解决</w:t>
      </w:r>
    </w:p>
    <w:p w14:paraId="06784BD9">
      <w:pPr>
        <w:spacing w:before="29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18.1争议评审</w:t>
      </w:r>
    </w:p>
    <w:p w14:paraId="3D9AD69F">
      <w:pPr>
        <w:spacing w:before="31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合同当事人是否同意将工程争议提交争议评审小组决定：否。</w:t>
      </w:r>
    </w:p>
    <w:p w14:paraId="1B8A8CC1">
      <w:pPr>
        <w:spacing w:before="13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19仲裁或诉讼</w:t>
      </w:r>
    </w:p>
    <w:p w14:paraId="15D4D84E">
      <w:pPr>
        <w:spacing w:before="306"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因合同及合同有关事项发生的争议，按下列第</w:t>
      </w:r>
      <w:r>
        <w:rPr>
          <w:rFonts w:hint="eastAsia" w:asciiTheme="minorEastAsia" w:hAnsiTheme="minorEastAsia" w:eastAsiaTheme="minorEastAsia" w:cstheme="minorEastAsia"/>
          <w:color w:val="auto"/>
          <w:spacing w:val="-62"/>
          <w:sz w:val="24"/>
          <w:szCs w:val="24"/>
          <w:u w:val="single" w:color="auto"/>
        </w:rPr>
        <w:t xml:space="preserve"> </w:t>
      </w:r>
      <w:r>
        <w:rPr>
          <w:rFonts w:hint="eastAsia" w:asciiTheme="minorEastAsia" w:hAnsiTheme="minorEastAsia" w:eastAsiaTheme="minorEastAsia" w:cstheme="minorEastAsia"/>
          <w:color w:val="auto"/>
          <w:spacing w:val="-5"/>
          <w:sz w:val="24"/>
          <w:szCs w:val="24"/>
          <w:u w:val="single" w:color="auto"/>
        </w:rPr>
        <w:t>(2)</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5"/>
          <w:sz w:val="24"/>
          <w:szCs w:val="24"/>
        </w:rPr>
        <w:t>种方式解决：</w:t>
      </w:r>
    </w:p>
    <w:p w14:paraId="6CAAC516">
      <w:pPr>
        <w:spacing w:before="303"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(1)向</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
          <w:sz w:val="24"/>
          <w:szCs w:val="24"/>
        </w:rPr>
        <w:t>仲裁委员会申请仲裁；</w:t>
      </w:r>
    </w:p>
    <w:p w14:paraId="0856F940">
      <w:pPr>
        <w:spacing w:before="168" w:line="220"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(2)向 </w:t>
      </w:r>
      <w:r>
        <w:rPr>
          <w:rFonts w:hint="eastAsia" w:asciiTheme="minorEastAsia" w:hAnsiTheme="minorEastAsia" w:eastAsiaTheme="minorEastAsia" w:cstheme="minorEastAsia"/>
          <w:color w:val="auto"/>
          <w:spacing w:val="2"/>
          <w:sz w:val="24"/>
          <w:szCs w:val="24"/>
          <w:u w:val="single" w:color="auto"/>
        </w:rPr>
        <w:t>项目所在地</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人民法院起诉。</w:t>
      </w:r>
    </w:p>
    <w:p w14:paraId="7B8DF5C8">
      <w:pPr>
        <w:spacing w:before="141" w:line="219" w:lineRule="auto"/>
        <w:ind w:firstLine="654" w:firstLineChars="3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20.本合同一式</w:t>
      </w:r>
      <w:r>
        <w:rPr>
          <w:rFonts w:hint="eastAsia" w:asciiTheme="minorEastAsia" w:hAnsiTheme="minorEastAsia" w:eastAsiaTheme="minorEastAsia" w:cstheme="minorEastAsia"/>
          <w:color w:val="auto"/>
          <w:spacing w:val="112"/>
          <w:sz w:val="24"/>
          <w:szCs w:val="24"/>
        </w:rPr>
        <w:t xml:space="preserve"> </w:t>
      </w:r>
      <w:r>
        <w:rPr>
          <w:rFonts w:hint="eastAsia" w:asciiTheme="minorEastAsia" w:hAnsiTheme="minorEastAsia" w:eastAsiaTheme="minorEastAsia" w:cstheme="minorEastAsia"/>
          <w:color w:val="auto"/>
          <w:spacing w:val="-105"/>
          <w:sz w:val="24"/>
          <w:szCs w:val="24"/>
          <w:u w:val="single" w:color="auto"/>
        </w:rPr>
        <w:t xml:space="preserve"> </w:t>
      </w:r>
      <w:r>
        <w:rPr>
          <w:rFonts w:hint="eastAsia" w:asciiTheme="minorEastAsia" w:hAnsiTheme="minorEastAsia" w:eastAsiaTheme="minorEastAsia" w:cstheme="minorEastAsia"/>
          <w:color w:val="auto"/>
          <w:spacing w:val="-105"/>
          <w:sz w:val="24"/>
          <w:szCs w:val="24"/>
          <w:u w:val="single" w:color="auto"/>
          <w:lang w:val="en-US" w:eastAsia="zh-CN"/>
        </w:rPr>
        <w:t xml:space="preserve">                                 </w:t>
      </w:r>
      <w:r>
        <w:rPr>
          <w:rFonts w:hint="eastAsia" w:asciiTheme="minorEastAsia" w:hAnsiTheme="minorEastAsia" w:eastAsiaTheme="minorEastAsia" w:cstheme="minorEastAsia"/>
          <w:color w:val="auto"/>
          <w:spacing w:val="-11"/>
          <w:sz w:val="24"/>
          <w:szCs w:val="24"/>
        </w:rPr>
        <w:t xml:space="preserve">  份，</w:t>
      </w:r>
      <w:r>
        <w:rPr>
          <w:rFonts w:hint="eastAsia" w:asciiTheme="minorEastAsia" w:hAnsiTheme="minorEastAsia" w:eastAsiaTheme="minorEastAsia" w:cstheme="minorEastAsia"/>
          <w:color w:val="auto"/>
          <w:spacing w:val="-3"/>
          <w:sz w:val="24"/>
          <w:szCs w:val="24"/>
        </w:rPr>
        <w:t>发包人</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lang w:val="en-US" w:eastAsia="zh-CN"/>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10"/>
          <w:sz w:val="24"/>
          <w:szCs w:val="24"/>
        </w:rPr>
        <w:t xml:space="preserve"> </w:t>
      </w:r>
      <w:r>
        <w:rPr>
          <w:rFonts w:hint="eastAsia" w:asciiTheme="minorEastAsia" w:hAnsiTheme="minorEastAsia" w:eastAsiaTheme="minorEastAsia" w:cstheme="minorEastAsia"/>
          <w:color w:val="auto"/>
          <w:spacing w:val="-3"/>
          <w:sz w:val="24"/>
          <w:szCs w:val="24"/>
        </w:rPr>
        <w:t>份，承包人</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u w:val="single"/>
          <w:lang w:val="en-US" w:eastAsia="zh-CN"/>
        </w:rPr>
        <w:t xml:space="preserve">      </w:t>
      </w:r>
      <w:r>
        <w:rPr>
          <w:rFonts w:hint="eastAsia" w:asciiTheme="minorEastAsia" w:hAnsiTheme="minorEastAsia" w:eastAsiaTheme="minorEastAsia" w:cstheme="minorEastAsia"/>
          <w:color w:val="auto"/>
          <w:spacing w:val="-3"/>
          <w:sz w:val="24"/>
          <w:szCs w:val="24"/>
          <w:u w:val="single"/>
        </w:rPr>
        <w:t xml:space="preserve"> </w:t>
      </w:r>
      <w:r>
        <w:rPr>
          <w:rFonts w:hint="eastAsia" w:asciiTheme="minorEastAsia" w:hAnsiTheme="minorEastAsia" w:eastAsiaTheme="minorEastAsia" w:cstheme="minorEastAsia"/>
          <w:color w:val="auto"/>
          <w:spacing w:val="-3"/>
          <w:sz w:val="24"/>
          <w:szCs w:val="24"/>
        </w:rPr>
        <w:t>份</w:t>
      </w:r>
    </w:p>
    <w:p w14:paraId="0B0E7178">
      <w:pPr>
        <w:spacing w:before="157"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21补充条款：</w:t>
      </w:r>
    </w:p>
    <w:p w14:paraId="20E5E360">
      <w:pPr>
        <w:spacing w:before="185" w:line="219" w:lineRule="auto"/>
        <w:ind w:left="572"/>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 违约责任</w:t>
      </w:r>
    </w:p>
    <w:p w14:paraId="168672CD">
      <w:pPr>
        <w:spacing w:before="137" w:line="314" w:lineRule="auto"/>
        <w:ind w:left="92" w:right="117"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(1)承包人须按《工程建设标准强制性条文》、国家及重庆市</w:t>
      </w:r>
      <w:r>
        <w:rPr>
          <w:rFonts w:hint="eastAsia" w:asciiTheme="minorEastAsia" w:hAnsiTheme="minorEastAsia" w:eastAsiaTheme="minorEastAsia" w:cstheme="minorEastAsia"/>
          <w:color w:val="auto"/>
          <w:spacing w:val="-3"/>
          <w:sz w:val="24"/>
          <w:szCs w:val="24"/>
        </w:rPr>
        <w:t>现行各专业工程施</w:t>
      </w:r>
      <w:r>
        <w:rPr>
          <w:rFonts w:hint="eastAsia" w:asciiTheme="minorEastAsia" w:hAnsiTheme="minorEastAsia" w:eastAsiaTheme="minorEastAsia" w:cstheme="minorEastAsia"/>
          <w:color w:val="auto"/>
          <w:spacing w:val="-2"/>
          <w:sz w:val="24"/>
          <w:szCs w:val="24"/>
        </w:rPr>
        <w:t>工质量验收规范，对工程质量验收达到合格，否则，属承包人违约</w:t>
      </w:r>
      <w:r>
        <w:rPr>
          <w:rFonts w:hint="eastAsia" w:asciiTheme="minorEastAsia" w:hAnsiTheme="minorEastAsia" w:eastAsiaTheme="minorEastAsia" w:cstheme="minorEastAsia"/>
          <w:color w:val="auto"/>
          <w:spacing w:val="-3"/>
          <w:sz w:val="24"/>
          <w:szCs w:val="24"/>
        </w:rPr>
        <w:t>。除承包人返修达到合格，否则由此给发包人造成的结算和支付延误由承包人负责且承包人自行承担因</w:t>
      </w:r>
      <w:r>
        <w:rPr>
          <w:rFonts w:hint="eastAsia" w:asciiTheme="minorEastAsia" w:hAnsiTheme="minorEastAsia" w:eastAsiaTheme="minorEastAsia" w:cstheme="minorEastAsia"/>
          <w:color w:val="auto"/>
          <w:spacing w:val="-6"/>
          <w:sz w:val="24"/>
          <w:szCs w:val="24"/>
        </w:rPr>
        <w:t>此而造成的损失及赔偿责任。</w:t>
      </w:r>
    </w:p>
    <w:p w14:paraId="34F56D47">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不得以任何理由拖欠民工工资，若因承包人拖欠民工工资，导致民工上访、民工集体上访、聚众滋事，扰乱正常施工、干扰发包人及党政机关正常办公、扰乱道路交通等社会公共秩序的不良行为发生，每发生一次，发包人从承包人的工程 款中惩扣500元/次的违约金；如承包人项目经理或单位主要负责人在事件发生后不在现场妥善处理的，每出现一次，发包人从承包人的工程款中惩扣1000元/次的违约金；</w:t>
      </w:r>
    </w:p>
    <w:p w14:paraId="61B6456B">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(3)发包人有权要求更换承包人不称职的项目管理人员。承包人应在接到发包人要求更换不称职的项目管理人员书面通知后2日内更换相应的管理人员。</w:t>
      </w:r>
    </w:p>
    <w:p w14:paraId="7D0B7A7B">
      <w:pPr>
        <w:spacing w:line="220" w:lineRule="auto"/>
        <w:ind w:left="49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1"/>
          <w:sz w:val="24"/>
          <w:szCs w:val="24"/>
        </w:rPr>
        <w:t>21.2其他</w:t>
      </w:r>
    </w:p>
    <w:p w14:paraId="34922AA4">
      <w:pPr>
        <w:spacing w:before="163" w:line="219" w:lineRule="auto"/>
        <w:ind w:left="61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(1)承包人应做到文明施工、规范管理，所涉及的费</w:t>
      </w:r>
      <w:r>
        <w:rPr>
          <w:rFonts w:hint="eastAsia" w:asciiTheme="minorEastAsia" w:hAnsiTheme="minorEastAsia" w:eastAsiaTheme="minorEastAsia" w:cstheme="minorEastAsia"/>
          <w:color w:val="auto"/>
          <w:spacing w:val="2"/>
          <w:sz w:val="24"/>
          <w:szCs w:val="24"/>
        </w:rPr>
        <w:t>用由承包人承担。</w:t>
      </w:r>
    </w:p>
    <w:p w14:paraId="441BD893">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承包人应在施工中注意排查地下管线，做到安全文明施工。发现地下管网等安全隐患时应采取措施加以保护。对施工不当所造成的突发隐患险情应积极组织力量排危抢险，并同时联络有关单位施救并及时通报发包人，由此造成的一切损失由承包人承担。</w:t>
      </w:r>
    </w:p>
    <w:p w14:paraId="22BDBFDA">
      <w:pPr>
        <w:spacing w:before="164" w:line="326" w:lineRule="auto"/>
        <w:ind w:left="21" w:right="88"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(3)转包、分包、农民工工资。</w:t>
      </w:r>
    </w:p>
    <w:p w14:paraId="483994AF">
      <w:pPr>
        <w:spacing w:before="151" w:line="404"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①、承包人不得部分或全部转让其应履行的合同义务，</w:t>
      </w:r>
      <w:r>
        <w:rPr>
          <w:rFonts w:hint="eastAsia" w:asciiTheme="minorEastAsia" w:hAnsiTheme="minorEastAsia" w:eastAsiaTheme="minorEastAsia" w:cstheme="minorEastAsia"/>
          <w:color w:val="auto"/>
          <w:spacing w:val="1"/>
          <w:sz w:val="24"/>
          <w:szCs w:val="24"/>
        </w:rPr>
        <w:t>更不得违法转包和违规分</w:t>
      </w:r>
      <w:r>
        <w:rPr>
          <w:rFonts w:hint="eastAsia" w:asciiTheme="minorEastAsia" w:hAnsiTheme="minorEastAsia" w:eastAsiaTheme="minorEastAsia" w:cstheme="minorEastAsia"/>
          <w:color w:val="auto"/>
          <w:spacing w:val="-4"/>
          <w:sz w:val="24"/>
          <w:szCs w:val="24"/>
        </w:rPr>
        <w:t>包</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4"/>
          <w:sz w:val="24"/>
          <w:szCs w:val="24"/>
        </w:rPr>
        <w:t>。</w:t>
      </w:r>
    </w:p>
    <w:p w14:paraId="4986C9CC">
      <w:pPr>
        <w:spacing w:before="1" w:line="291" w:lineRule="auto"/>
        <w:ind w:left="21" w:right="9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②、承包人不得将工程分包，如发包人发现承包人私自</w:t>
      </w:r>
      <w:r>
        <w:rPr>
          <w:rFonts w:hint="eastAsia" w:asciiTheme="minorEastAsia" w:hAnsiTheme="minorEastAsia" w:eastAsiaTheme="minorEastAsia" w:cstheme="minorEastAsia"/>
          <w:color w:val="auto"/>
          <w:spacing w:val="1"/>
          <w:sz w:val="24"/>
          <w:szCs w:val="24"/>
        </w:rPr>
        <w:t>分包的，承包人须立即纠</w:t>
      </w:r>
      <w:r>
        <w:rPr>
          <w:rFonts w:hint="eastAsia" w:asciiTheme="minorEastAsia" w:hAnsiTheme="minorEastAsia" w:eastAsiaTheme="minorEastAsia" w:cstheme="minorEastAsia"/>
          <w:color w:val="auto"/>
          <w:spacing w:val="2"/>
          <w:sz w:val="24"/>
          <w:szCs w:val="24"/>
        </w:rPr>
        <w:t>正；发包人有权对拒不纠正违规分包行为的承包人收取合同金额5%的违约金。</w:t>
      </w:r>
    </w:p>
    <w:p w14:paraId="3A77318B">
      <w:pPr>
        <w:spacing w:before="171" w:line="310" w:lineRule="auto"/>
        <w:ind w:left="21" w:right="69"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③、对承包人的违法转包，</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1"/>
          <w:sz w:val="24"/>
          <w:szCs w:val="24"/>
        </w:rPr>
        <w:t>一旦构成事实，发包人除有权向承包人收取合同金额</w:t>
      </w:r>
      <w:r>
        <w:rPr>
          <w:rFonts w:hint="eastAsia" w:asciiTheme="minorEastAsia" w:hAnsiTheme="minorEastAsia" w:eastAsiaTheme="minorEastAsia" w:cstheme="minorEastAsia"/>
          <w:color w:val="auto"/>
          <w:spacing w:val="5"/>
          <w:sz w:val="24"/>
          <w:szCs w:val="24"/>
        </w:rPr>
        <w:t>5%的违约金外，还有权部分或全部终止合同，履约保证金不予退还；承包人3日内无</w:t>
      </w:r>
      <w:r>
        <w:rPr>
          <w:rFonts w:hint="eastAsia" w:asciiTheme="minorEastAsia" w:hAnsiTheme="minorEastAsia" w:eastAsiaTheme="minorEastAsia" w:cstheme="minorEastAsia"/>
          <w:color w:val="auto"/>
          <w:spacing w:val="-3"/>
          <w:sz w:val="24"/>
          <w:szCs w:val="24"/>
        </w:rPr>
        <w:t>条件退场，并承担由此给发包人造成的损失。</w:t>
      </w:r>
    </w:p>
    <w:p w14:paraId="6B49B0A1">
      <w:pPr>
        <w:spacing w:before="143" w:line="326" w:lineRule="auto"/>
        <w:ind w:left="21" w:right="81" w:firstLine="46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④、承包人应积极支付农民工工资，若因承包人原因</w:t>
      </w:r>
      <w:r>
        <w:rPr>
          <w:rFonts w:hint="eastAsia" w:asciiTheme="minorEastAsia" w:hAnsiTheme="minorEastAsia" w:eastAsiaTheme="minorEastAsia" w:cstheme="minorEastAsia"/>
          <w:color w:val="auto"/>
          <w:spacing w:val="1"/>
          <w:sz w:val="24"/>
          <w:szCs w:val="24"/>
        </w:rPr>
        <w:t>拖欠民工工资或劳务费结算</w:t>
      </w:r>
      <w:r>
        <w:rPr>
          <w:rFonts w:hint="eastAsia" w:asciiTheme="minorEastAsia" w:hAnsiTheme="minorEastAsia" w:eastAsiaTheme="minorEastAsia" w:cstheme="minorEastAsia"/>
          <w:color w:val="auto"/>
          <w:spacing w:val="-5"/>
          <w:sz w:val="24"/>
          <w:szCs w:val="24"/>
        </w:rPr>
        <w:t>等发生纠纷，按重庆市有关政策规定承担责任外，发包人有权从承包人应得的任何工程</w:t>
      </w:r>
      <w:r>
        <w:rPr>
          <w:rFonts w:hint="eastAsia" w:asciiTheme="minorEastAsia" w:hAnsiTheme="minorEastAsia" w:eastAsiaTheme="minorEastAsia" w:cstheme="minorEastAsia"/>
          <w:color w:val="auto"/>
          <w:spacing w:val="-1"/>
          <w:sz w:val="24"/>
          <w:szCs w:val="24"/>
        </w:rPr>
        <w:t>款项中扣出，并直接支付给民工。项目在支付审定金额7</w:t>
      </w:r>
      <w:r>
        <w:rPr>
          <w:rFonts w:hint="eastAsia" w:asciiTheme="minorEastAsia" w:hAnsiTheme="minorEastAsia" w:eastAsiaTheme="minorEastAsia" w:cstheme="minorEastAsia"/>
          <w:color w:val="auto"/>
          <w:spacing w:val="-2"/>
          <w:sz w:val="24"/>
          <w:szCs w:val="24"/>
          <w:lang w:val="en-US" w:eastAsia="zh-CN"/>
        </w:rPr>
        <w:t>0</w:t>
      </w:r>
      <w:r>
        <w:rPr>
          <w:rFonts w:hint="eastAsia" w:asciiTheme="minorEastAsia" w:hAnsiTheme="minorEastAsia" w:eastAsiaTheme="minorEastAsia" w:cstheme="minorEastAsia"/>
          <w:color w:val="auto"/>
          <w:spacing w:val="-2"/>
          <w:sz w:val="24"/>
          <w:szCs w:val="24"/>
        </w:rPr>
        <w:t>%前时需出具施工单位提供的</w:t>
      </w:r>
      <w:r>
        <w:rPr>
          <w:rFonts w:hint="eastAsia" w:asciiTheme="minorEastAsia" w:hAnsiTheme="minorEastAsia" w:eastAsiaTheme="minorEastAsia" w:cstheme="minorEastAsia"/>
          <w:color w:val="auto"/>
          <w:spacing w:val="3"/>
          <w:sz w:val="24"/>
          <w:szCs w:val="24"/>
        </w:rPr>
        <w:t>施工人员工酬支付证明(无欠薪承诺书、工资表签收记录</w:t>
      </w:r>
      <w:r>
        <w:rPr>
          <w:rFonts w:hint="eastAsia" w:asciiTheme="minorEastAsia" w:hAnsiTheme="minorEastAsia" w:eastAsiaTheme="minorEastAsia" w:cstheme="minorEastAsia"/>
          <w:color w:val="auto"/>
          <w:spacing w:val="2"/>
          <w:sz w:val="24"/>
          <w:szCs w:val="24"/>
        </w:rPr>
        <w:t>)。</w:t>
      </w:r>
    </w:p>
    <w:p w14:paraId="27C03F3C">
      <w:pPr>
        <w:spacing w:before="175" w:line="291" w:lineRule="auto"/>
        <w:ind w:left="21" w:right="88"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(4)承包人在执行本合同过程中，因承包人原因所产生的对外部造成影响而</w:t>
      </w:r>
      <w:r>
        <w:rPr>
          <w:rFonts w:hint="eastAsia" w:asciiTheme="minorEastAsia" w:hAnsiTheme="minorEastAsia" w:eastAsiaTheme="minorEastAsia" w:cstheme="minorEastAsia"/>
          <w:color w:val="auto"/>
          <w:spacing w:val="1"/>
          <w:sz w:val="24"/>
          <w:szCs w:val="24"/>
        </w:rPr>
        <w:t>要求</w:t>
      </w:r>
      <w:r>
        <w:rPr>
          <w:rFonts w:hint="eastAsia" w:asciiTheme="minorEastAsia" w:hAnsiTheme="minorEastAsia" w:eastAsiaTheme="minorEastAsia" w:cstheme="minorEastAsia"/>
          <w:color w:val="auto"/>
          <w:spacing w:val="-3"/>
          <w:sz w:val="24"/>
          <w:szCs w:val="24"/>
        </w:rPr>
        <w:t>赔偿的事故由承包人自行赔偿。</w:t>
      </w:r>
    </w:p>
    <w:p w14:paraId="502335AE">
      <w:pPr>
        <w:spacing w:before="164" w:line="287" w:lineRule="auto"/>
        <w:ind w:left="21" w:right="9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(5)对承包人的各项违约金及承包人承担的各项损失赔偿，发包人有权</w:t>
      </w:r>
      <w:r>
        <w:rPr>
          <w:rFonts w:hint="eastAsia" w:asciiTheme="minorEastAsia" w:hAnsiTheme="minorEastAsia" w:eastAsiaTheme="minorEastAsia" w:cstheme="minorEastAsia"/>
          <w:color w:val="auto"/>
          <w:spacing w:val="1"/>
          <w:sz w:val="24"/>
          <w:szCs w:val="24"/>
        </w:rPr>
        <w:t>在应支付</w:t>
      </w:r>
      <w:r>
        <w:rPr>
          <w:rFonts w:hint="eastAsia" w:asciiTheme="minorEastAsia" w:hAnsiTheme="minorEastAsia" w:eastAsiaTheme="minorEastAsia" w:cstheme="minorEastAsia"/>
          <w:color w:val="auto"/>
          <w:spacing w:val="10"/>
          <w:sz w:val="24"/>
          <w:szCs w:val="24"/>
        </w:rPr>
        <w:t>给承包人的工程款(或保证金)中直接扣除。</w:t>
      </w:r>
    </w:p>
    <w:p w14:paraId="71D46C68">
      <w:pPr>
        <w:spacing w:before="165" w:line="326" w:lineRule="auto"/>
        <w:ind w:left="21" w:right="70" w:firstLine="589"/>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(6)承包人在施工中发生安全事故，除承担安全事故赔偿责任外，还应承担每出</w:t>
      </w:r>
      <w:r>
        <w:rPr>
          <w:rFonts w:hint="eastAsia" w:asciiTheme="minorEastAsia" w:hAnsiTheme="minorEastAsia" w:eastAsiaTheme="minorEastAsia" w:cstheme="minorEastAsia"/>
          <w:color w:val="auto"/>
          <w:spacing w:val="8"/>
          <w:sz w:val="24"/>
          <w:szCs w:val="24"/>
        </w:rPr>
        <w:t>现重伤一人次罚款1万元，死亡一人次罚款20万元；隐瞒伤亡情况，罚</w:t>
      </w:r>
      <w:r>
        <w:rPr>
          <w:rFonts w:hint="eastAsia" w:asciiTheme="minorEastAsia" w:hAnsiTheme="minorEastAsia" w:eastAsiaTheme="minorEastAsia" w:cstheme="minorEastAsia"/>
          <w:color w:val="auto"/>
          <w:spacing w:val="7"/>
          <w:sz w:val="24"/>
          <w:szCs w:val="24"/>
        </w:rPr>
        <w:t>款3万元。造</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成第三方伤亡，罚款加倍。以上款项在发包人应支</w:t>
      </w:r>
      <w:r>
        <w:rPr>
          <w:rFonts w:hint="eastAsia" w:asciiTheme="minorEastAsia" w:hAnsiTheme="minorEastAsia" w:eastAsiaTheme="minorEastAsia" w:cstheme="minorEastAsia"/>
          <w:color w:val="auto"/>
          <w:spacing w:val="1"/>
          <w:sz w:val="24"/>
          <w:szCs w:val="24"/>
        </w:rPr>
        <w:t>付给承包人的工程款项或履约保证</w:t>
      </w:r>
      <w:r>
        <w:rPr>
          <w:rFonts w:hint="eastAsia" w:asciiTheme="minorEastAsia" w:hAnsiTheme="minorEastAsia" w:eastAsiaTheme="minorEastAsia" w:cstheme="minorEastAsia"/>
          <w:color w:val="auto"/>
          <w:spacing w:val="-1"/>
          <w:sz w:val="24"/>
          <w:szCs w:val="24"/>
        </w:rPr>
        <w:t>金中扣除。出现上述情况，承包人还必须接受国家、重庆市及行</w:t>
      </w:r>
      <w:r>
        <w:rPr>
          <w:rFonts w:hint="eastAsia" w:asciiTheme="minorEastAsia" w:hAnsiTheme="minorEastAsia" w:eastAsiaTheme="minorEastAsia" w:cstheme="minorEastAsia"/>
          <w:color w:val="auto"/>
          <w:spacing w:val="-2"/>
          <w:sz w:val="24"/>
          <w:szCs w:val="24"/>
        </w:rPr>
        <w:t>业相关规定的处罚。</w:t>
      </w:r>
    </w:p>
    <w:p w14:paraId="06A5D2A8">
      <w:pPr>
        <w:spacing w:before="165" w:line="326" w:lineRule="auto"/>
        <w:ind w:left="21" w:right="70" w:firstLine="589"/>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(7)发包人在结算时对承包人成交工程量清单综合单价进行复核，如发现成交价中细目工程量乘以综合单价计算后不等于合价或总价时，按有利于发包人的方面执行。</w:t>
      </w:r>
    </w:p>
    <w:p w14:paraId="049F9219">
      <w:pPr>
        <w:spacing w:before="165" w:line="326" w:lineRule="auto"/>
        <w:ind w:left="21" w:right="70" w:firstLine="589" w:firstLineChars="0"/>
        <w:jc w:val="left"/>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(8)承包人原因导致工期延期，按1000元/天计算，所扣费用在付款结算时一并扣 除 。</w:t>
      </w:r>
    </w:p>
    <w:p w14:paraId="61D14CE2">
      <w:pPr>
        <w:spacing w:before="226" w:line="219" w:lineRule="auto"/>
        <w:ind w:firstLine="544"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(9)发票开具和付款方式</w:t>
      </w:r>
    </w:p>
    <w:p w14:paraId="1AECFEAE">
      <w:pPr>
        <w:spacing w:before="187"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发票种类：承包人向发包人开具的收款发票为增值税普通</w:t>
      </w:r>
      <w:r>
        <w:rPr>
          <w:rFonts w:hint="eastAsia" w:asciiTheme="minorEastAsia" w:hAnsiTheme="minorEastAsia" w:eastAsiaTheme="minorEastAsia" w:cstheme="minorEastAsia"/>
          <w:color w:val="auto"/>
          <w:spacing w:val="6"/>
          <w:sz w:val="24"/>
          <w:szCs w:val="24"/>
        </w:rPr>
        <w:t>发票；</w:t>
      </w:r>
    </w:p>
    <w:p w14:paraId="26666CA2">
      <w:pPr>
        <w:spacing w:before="197" w:line="219" w:lineRule="auto"/>
        <w:ind w:firstLine="50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开票时间：在发包人向承包人支付工程款前；</w:t>
      </w:r>
    </w:p>
    <w:p w14:paraId="47BE9ED4">
      <w:pPr>
        <w:spacing w:before="175" w:line="219" w:lineRule="auto"/>
        <w:ind w:firstLine="50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付款时间：发包人收到承包人合规的增值税普通发票后才支付工程款。</w:t>
      </w:r>
    </w:p>
    <w:p w14:paraId="38B37495">
      <w:pPr>
        <w:spacing w:before="269" w:line="219" w:lineRule="auto"/>
        <w:ind w:firstLine="528"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(10)未尽事宜，由承、发包双方协商解决。</w:t>
      </w:r>
    </w:p>
    <w:p w14:paraId="26D9D654">
      <w:pPr>
        <w:spacing w:line="500" w:lineRule="exact"/>
        <w:jc w:val="center"/>
        <w:rPr>
          <w:rFonts w:hint="eastAsia" w:ascii="宋体" w:hAnsi="宋体" w:eastAsia="宋体" w:cs="宋体"/>
          <w:b/>
          <w:color w:val="auto"/>
          <w:sz w:val="32"/>
          <w:szCs w:val="32"/>
          <w:highlight w:val="none"/>
        </w:rPr>
      </w:pPr>
    </w:p>
    <w:p w14:paraId="79324BA2">
      <w:pPr>
        <w:spacing w:line="500" w:lineRule="exact"/>
        <w:jc w:val="center"/>
        <w:rPr>
          <w:rFonts w:hint="eastAsia" w:ascii="宋体" w:hAnsi="宋体" w:eastAsia="宋体" w:cs="宋体"/>
          <w:b/>
          <w:color w:val="auto"/>
          <w:sz w:val="32"/>
          <w:szCs w:val="32"/>
          <w:highlight w:val="none"/>
        </w:rPr>
      </w:pPr>
    </w:p>
    <w:p w14:paraId="05660FDF">
      <w:pPr>
        <w:spacing w:line="500" w:lineRule="exact"/>
        <w:jc w:val="center"/>
        <w:rPr>
          <w:rFonts w:hint="eastAsia" w:ascii="宋体" w:hAnsi="宋体" w:eastAsia="宋体" w:cs="宋体"/>
          <w:b/>
          <w:color w:val="auto"/>
          <w:sz w:val="32"/>
          <w:szCs w:val="32"/>
          <w:highlight w:val="none"/>
        </w:rPr>
      </w:pPr>
    </w:p>
    <w:p w14:paraId="047EA05F">
      <w:pPr>
        <w:spacing w:line="500" w:lineRule="exact"/>
        <w:jc w:val="center"/>
        <w:rPr>
          <w:rFonts w:hint="eastAsia" w:ascii="宋体" w:hAnsi="宋体" w:eastAsia="宋体" w:cs="宋体"/>
          <w:b/>
          <w:color w:val="auto"/>
          <w:sz w:val="32"/>
          <w:szCs w:val="32"/>
          <w:highlight w:val="none"/>
        </w:rPr>
      </w:pPr>
    </w:p>
    <w:p w14:paraId="24BC4F88">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bCs/>
          <w:color w:val="auto"/>
          <w:sz w:val="22"/>
          <w:szCs w:val="22"/>
          <w:highlight w:val="none"/>
        </w:rPr>
        <w:br w:type="page"/>
      </w:r>
      <w:r>
        <w:rPr>
          <w:rFonts w:hint="eastAsia" w:ascii="宋体" w:hAnsi="宋体" w:eastAsia="宋体" w:cs="宋体"/>
          <w:color w:val="auto"/>
          <w:sz w:val="24"/>
          <w:szCs w:val="24"/>
          <w:highlight w:val="none"/>
        </w:rPr>
        <w:t>附表：</w:t>
      </w:r>
    </w:p>
    <w:p w14:paraId="5ABC3489">
      <w:pPr>
        <w:tabs>
          <w:tab w:val="left" w:pos="2460"/>
        </w:tabs>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学校</w:t>
      </w:r>
    </w:p>
    <w:p w14:paraId="0FD71FED">
      <w:pPr>
        <w:tabs>
          <w:tab w:val="left" w:pos="2460"/>
        </w:tabs>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项目施工人员花名册</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410"/>
        <w:gridCol w:w="989"/>
        <w:gridCol w:w="2146"/>
        <w:gridCol w:w="955"/>
        <w:gridCol w:w="1796"/>
        <w:gridCol w:w="1377"/>
      </w:tblGrid>
      <w:tr w14:paraId="3478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59" w:type="dxa"/>
            <w:vAlign w:val="center"/>
          </w:tcPr>
          <w:p w14:paraId="52C9CC15">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3E55ECC4">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93" w:type="dxa"/>
            <w:vAlign w:val="center"/>
          </w:tcPr>
          <w:p w14:paraId="0A23D3BF">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2159" w:type="dxa"/>
            <w:vAlign w:val="center"/>
          </w:tcPr>
          <w:p w14:paraId="033BCFEB">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家庭住址</w:t>
            </w:r>
          </w:p>
        </w:tc>
        <w:tc>
          <w:tcPr>
            <w:tcW w:w="959" w:type="dxa"/>
            <w:vAlign w:val="center"/>
          </w:tcPr>
          <w:p w14:paraId="634A2242">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806" w:type="dxa"/>
            <w:vAlign w:val="center"/>
          </w:tcPr>
          <w:p w14:paraId="0B46DB60">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383" w:type="dxa"/>
            <w:vAlign w:val="center"/>
          </w:tcPr>
          <w:p w14:paraId="76731869">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98D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DA7472">
            <w:pPr>
              <w:tabs>
                <w:tab w:val="left" w:pos="2460"/>
              </w:tabs>
              <w:spacing w:line="500" w:lineRule="exact"/>
              <w:rPr>
                <w:rFonts w:hint="eastAsia" w:ascii="宋体" w:hAnsi="宋体" w:eastAsia="宋体" w:cs="宋体"/>
                <w:color w:val="auto"/>
                <w:sz w:val="24"/>
                <w:szCs w:val="24"/>
                <w:highlight w:val="none"/>
              </w:rPr>
            </w:pPr>
          </w:p>
        </w:tc>
        <w:tc>
          <w:tcPr>
            <w:tcW w:w="1417" w:type="dxa"/>
          </w:tcPr>
          <w:p w14:paraId="326C88F4">
            <w:pPr>
              <w:tabs>
                <w:tab w:val="left" w:pos="2460"/>
              </w:tabs>
              <w:spacing w:line="500" w:lineRule="exact"/>
              <w:rPr>
                <w:rFonts w:hint="eastAsia" w:ascii="宋体" w:hAnsi="宋体" w:eastAsia="宋体" w:cs="宋体"/>
                <w:color w:val="auto"/>
                <w:sz w:val="24"/>
                <w:szCs w:val="24"/>
                <w:highlight w:val="none"/>
              </w:rPr>
            </w:pPr>
          </w:p>
        </w:tc>
        <w:tc>
          <w:tcPr>
            <w:tcW w:w="993" w:type="dxa"/>
          </w:tcPr>
          <w:p w14:paraId="0CD83291">
            <w:pPr>
              <w:tabs>
                <w:tab w:val="left" w:pos="2460"/>
              </w:tabs>
              <w:spacing w:line="500" w:lineRule="exact"/>
              <w:rPr>
                <w:rFonts w:hint="eastAsia" w:ascii="宋体" w:hAnsi="宋体" w:eastAsia="宋体" w:cs="宋体"/>
                <w:color w:val="auto"/>
                <w:sz w:val="24"/>
                <w:szCs w:val="24"/>
                <w:highlight w:val="none"/>
              </w:rPr>
            </w:pPr>
          </w:p>
        </w:tc>
        <w:tc>
          <w:tcPr>
            <w:tcW w:w="2159" w:type="dxa"/>
          </w:tcPr>
          <w:p w14:paraId="53418076">
            <w:pPr>
              <w:tabs>
                <w:tab w:val="left" w:pos="2460"/>
              </w:tabs>
              <w:spacing w:line="500" w:lineRule="exact"/>
              <w:rPr>
                <w:rFonts w:hint="eastAsia" w:ascii="宋体" w:hAnsi="宋体" w:eastAsia="宋体" w:cs="宋体"/>
                <w:color w:val="auto"/>
                <w:sz w:val="24"/>
                <w:szCs w:val="24"/>
                <w:highlight w:val="none"/>
              </w:rPr>
            </w:pPr>
          </w:p>
        </w:tc>
        <w:tc>
          <w:tcPr>
            <w:tcW w:w="959" w:type="dxa"/>
          </w:tcPr>
          <w:p w14:paraId="5CF444B1">
            <w:pPr>
              <w:tabs>
                <w:tab w:val="left" w:pos="2460"/>
              </w:tabs>
              <w:spacing w:line="500" w:lineRule="exact"/>
              <w:rPr>
                <w:rFonts w:hint="eastAsia" w:ascii="宋体" w:hAnsi="宋体" w:eastAsia="宋体" w:cs="宋体"/>
                <w:color w:val="auto"/>
                <w:sz w:val="24"/>
                <w:szCs w:val="24"/>
                <w:highlight w:val="none"/>
              </w:rPr>
            </w:pPr>
          </w:p>
        </w:tc>
        <w:tc>
          <w:tcPr>
            <w:tcW w:w="1806" w:type="dxa"/>
          </w:tcPr>
          <w:p w14:paraId="01F5E904">
            <w:pPr>
              <w:tabs>
                <w:tab w:val="left" w:pos="2460"/>
              </w:tabs>
              <w:spacing w:line="500" w:lineRule="exact"/>
              <w:rPr>
                <w:rFonts w:hint="eastAsia" w:ascii="宋体" w:hAnsi="宋体" w:eastAsia="宋体" w:cs="宋体"/>
                <w:color w:val="auto"/>
                <w:sz w:val="24"/>
                <w:szCs w:val="24"/>
                <w:highlight w:val="none"/>
              </w:rPr>
            </w:pPr>
          </w:p>
        </w:tc>
        <w:tc>
          <w:tcPr>
            <w:tcW w:w="1383" w:type="dxa"/>
          </w:tcPr>
          <w:p w14:paraId="6E0C8D36">
            <w:pPr>
              <w:tabs>
                <w:tab w:val="left" w:pos="2460"/>
              </w:tabs>
              <w:spacing w:line="500" w:lineRule="exact"/>
              <w:rPr>
                <w:rFonts w:hint="eastAsia" w:ascii="宋体" w:hAnsi="宋体" w:eastAsia="宋体" w:cs="宋体"/>
                <w:color w:val="auto"/>
                <w:sz w:val="24"/>
                <w:szCs w:val="24"/>
                <w:highlight w:val="none"/>
              </w:rPr>
            </w:pPr>
          </w:p>
        </w:tc>
      </w:tr>
      <w:tr w14:paraId="0BF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86DF2">
            <w:pPr>
              <w:tabs>
                <w:tab w:val="left" w:pos="2460"/>
              </w:tabs>
              <w:spacing w:line="500" w:lineRule="exact"/>
              <w:rPr>
                <w:rFonts w:hint="eastAsia" w:ascii="宋体" w:hAnsi="宋体" w:eastAsia="宋体" w:cs="宋体"/>
                <w:color w:val="auto"/>
                <w:sz w:val="24"/>
                <w:szCs w:val="24"/>
                <w:highlight w:val="none"/>
              </w:rPr>
            </w:pPr>
          </w:p>
        </w:tc>
        <w:tc>
          <w:tcPr>
            <w:tcW w:w="1417" w:type="dxa"/>
          </w:tcPr>
          <w:p w14:paraId="0A235C96">
            <w:pPr>
              <w:tabs>
                <w:tab w:val="left" w:pos="2460"/>
              </w:tabs>
              <w:spacing w:line="500" w:lineRule="exact"/>
              <w:rPr>
                <w:rFonts w:hint="eastAsia" w:ascii="宋体" w:hAnsi="宋体" w:eastAsia="宋体" w:cs="宋体"/>
                <w:color w:val="auto"/>
                <w:sz w:val="24"/>
                <w:szCs w:val="24"/>
                <w:highlight w:val="none"/>
              </w:rPr>
            </w:pPr>
          </w:p>
        </w:tc>
        <w:tc>
          <w:tcPr>
            <w:tcW w:w="993" w:type="dxa"/>
          </w:tcPr>
          <w:p w14:paraId="0B59B8FF">
            <w:pPr>
              <w:tabs>
                <w:tab w:val="left" w:pos="2460"/>
              </w:tabs>
              <w:spacing w:line="500" w:lineRule="exact"/>
              <w:rPr>
                <w:rFonts w:hint="eastAsia" w:ascii="宋体" w:hAnsi="宋体" w:eastAsia="宋体" w:cs="宋体"/>
                <w:color w:val="auto"/>
                <w:sz w:val="24"/>
                <w:szCs w:val="24"/>
                <w:highlight w:val="none"/>
              </w:rPr>
            </w:pPr>
          </w:p>
        </w:tc>
        <w:tc>
          <w:tcPr>
            <w:tcW w:w="2159" w:type="dxa"/>
          </w:tcPr>
          <w:p w14:paraId="66C5CC6C">
            <w:pPr>
              <w:tabs>
                <w:tab w:val="left" w:pos="2460"/>
              </w:tabs>
              <w:spacing w:line="500" w:lineRule="exact"/>
              <w:rPr>
                <w:rFonts w:hint="eastAsia" w:ascii="宋体" w:hAnsi="宋体" w:eastAsia="宋体" w:cs="宋体"/>
                <w:color w:val="auto"/>
                <w:sz w:val="24"/>
                <w:szCs w:val="24"/>
                <w:highlight w:val="none"/>
              </w:rPr>
            </w:pPr>
          </w:p>
        </w:tc>
        <w:tc>
          <w:tcPr>
            <w:tcW w:w="959" w:type="dxa"/>
          </w:tcPr>
          <w:p w14:paraId="4383DEA0">
            <w:pPr>
              <w:tabs>
                <w:tab w:val="left" w:pos="2460"/>
              </w:tabs>
              <w:spacing w:line="500" w:lineRule="exact"/>
              <w:rPr>
                <w:rFonts w:hint="eastAsia" w:ascii="宋体" w:hAnsi="宋体" w:eastAsia="宋体" w:cs="宋体"/>
                <w:color w:val="auto"/>
                <w:sz w:val="24"/>
                <w:szCs w:val="24"/>
                <w:highlight w:val="none"/>
              </w:rPr>
            </w:pPr>
          </w:p>
        </w:tc>
        <w:tc>
          <w:tcPr>
            <w:tcW w:w="1806" w:type="dxa"/>
          </w:tcPr>
          <w:p w14:paraId="1B70A45E">
            <w:pPr>
              <w:tabs>
                <w:tab w:val="left" w:pos="2460"/>
              </w:tabs>
              <w:spacing w:line="500" w:lineRule="exact"/>
              <w:rPr>
                <w:rFonts w:hint="eastAsia" w:ascii="宋体" w:hAnsi="宋体" w:eastAsia="宋体" w:cs="宋体"/>
                <w:color w:val="auto"/>
                <w:sz w:val="24"/>
                <w:szCs w:val="24"/>
                <w:highlight w:val="none"/>
              </w:rPr>
            </w:pPr>
          </w:p>
        </w:tc>
        <w:tc>
          <w:tcPr>
            <w:tcW w:w="1383" w:type="dxa"/>
          </w:tcPr>
          <w:p w14:paraId="701DD313">
            <w:pPr>
              <w:tabs>
                <w:tab w:val="left" w:pos="2460"/>
              </w:tabs>
              <w:spacing w:line="500" w:lineRule="exact"/>
              <w:rPr>
                <w:rFonts w:hint="eastAsia" w:ascii="宋体" w:hAnsi="宋体" w:eastAsia="宋体" w:cs="宋体"/>
                <w:color w:val="auto"/>
                <w:sz w:val="24"/>
                <w:szCs w:val="24"/>
                <w:highlight w:val="none"/>
              </w:rPr>
            </w:pPr>
          </w:p>
        </w:tc>
      </w:tr>
      <w:tr w14:paraId="63CA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3D494F">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103B799">
            <w:pPr>
              <w:tabs>
                <w:tab w:val="left" w:pos="2460"/>
              </w:tabs>
              <w:spacing w:line="500" w:lineRule="exact"/>
              <w:rPr>
                <w:rFonts w:hint="eastAsia" w:ascii="宋体" w:hAnsi="宋体" w:eastAsia="宋体" w:cs="宋体"/>
                <w:color w:val="auto"/>
                <w:sz w:val="24"/>
                <w:szCs w:val="24"/>
                <w:highlight w:val="none"/>
              </w:rPr>
            </w:pPr>
          </w:p>
        </w:tc>
        <w:tc>
          <w:tcPr>
            <w:tcW w:w="993" w:type="dxa"/>
          </w:tcPr>
          <w:p w14:paraId="6638E0DC">
            <w:pPr>
              <w:tabs>
                <w:tab w:val="left" w:pos="2460"/>
              </w:tabs>
              <w:spacing w:line="500" w:lineRule="exact"/>
              <w:rPr>
                <w:rFonts w:hint="eastAsia" w:ascii="宋体" w:hAnsi="宋体" w:eastAsia="宋体" w:cs="宋体"/>
                <w:color w:val="auto"/>
                <w:sz w:val="24"/>
                <w:szCs w:val="24"/>
                <w:highlight w:val="none"/>
              </w:rPr>
            </w:pPr>
          </w:p>
        </w:tc>
        <w:tc>
          <w:tcPr>
            <w:tcW w:w="2159" w:type="dxa"/>
          </w:tcPr>
          <w:p w14:paraId="57462A57">
            <w:pPr>
              <w:tabs>
                <w:tab w:val="left" w:pos="2460"/>
              </w:tabs>
              <w:spacing w:line="500" w:lineRule="exact"/>
              <w:rPr>
                <w:rFonts w:hint="eastAsia" w:ascii="宋体" w:hAnsi="宋体" w:eastAsia="宋体" w:cs="宋体"/>
                <w:color w:val="auto"/>
                <w:sz w:val="24"/>
                <w:szCs w:val="24"/>
                <w:highlight w:val="none"/>
              </w:rPr>
            </w:pPr>
          </w:p>
        </w:tc>
        <w:tc>
          <w:tcPr>
            <w:tcW w:w="959" w:type="dxa"/>
          </w:tcPr>
          <w:p w14:paraId="3C28400E">
            <w:pPr>
              <w:tabs>
                <w:tab w:val="left" w:pos="2460"/>
              </w:tabs>
              <w:spacing w:line="500" w:lineRule="exact"/>
              <w:rPr>
                <w:rFonts w:hint="eastAsia" w:ascii="宋体" w:hAnsi="宋体" w:eastAsia="宋体" w:cs="宋体"/>
                <w:color w:val="auto"/>
                <w:sz w:val="24"/>
                <w:szCs w:val="24"/>
                <w:highlight w:val="none"/>
              </w:rPr>
            </w:pPr>
          </w:p>
        </w:tc>
        <w:tc>
          <w:tcPr>
            <w:tcW w:w="1806" w:type="dxa"/>
          </w:tcPr>
          <w:p w14:paraId="010D321B">
            <w:pPr>
              <w:tabs>
                <w:tab w:val="left" w:pos="2460"/>
              </w:tabs>
              <w:spacing w:line="500" w:lineRule="exact"/>
              <w:rPr>
                <w:rFonts w:hint="eastAsia" w:ascii="宋体" w:hAnsi="宋体" w:eastAsia="宋体" w:cs="宋体"/>
                <w:color w:val="auto"/>
                <w:sz w:val="24"/>
                <w:szCs w:val="24"/>
                <w:highlight w:val="none"/>
              </w:rPr>
            </w:pPr>
          </w:p>
        </w:tc>
        <w:tc>
          <w:tcPr>
            <w:tcW w:w="1383" w:type="dxa"/>
          </w:tcPr>
          <w:p w14:paraId="454444FF">
            <w:pPr>
              <w:tabs>
                <w:tab w:val="left" w:pos="2460"/>
              </w:tabs>
              <w:spacing w:line="500" w:lineRule="exact"/>
              <w:rPr>
                <w:rFonts w:hint="eastAsia" w:ascii="宋体" w:hAnsi="宋体" w:eastAsia="宋体" w:cs="宋体"/>
                <w:color w:val="auto"/>
                <w:sz w:val="24"/>
                <w:szCs w:val="24"/>
                <w:highlight w:val="none"/>
              </w:rPr>
            </w:pPr>
          </w:p>
        </w:tc>
      </w:tr>
      <w:tr w14:paraId="736D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1DA096">
            <w:pPr>
              <w:tabs>
                <w:tab w:val="left" w:pos="2460"/>
              </w:tabs>
              <w:spacing w:line="500" w:lineRule="exact"/>
              <w:rPr>
                <w:rFonts w:hint="eastAsia" w:ascii="宋体" w:hAnsi="宋体" w:eastAsia="宋体" w:cs="宋体"/>
                <w:color w:val="auto"/>
                <w:sz w:val="24"/>
                <w:szCs w:val="24"/>
                <w:highlight w:val="none"/>
              </w:rPr>
            </w:pPr>
          </w:p>
        </w:tc>
        <w:tc>
          <w:tcPr>
            <w:tcW w:w="1417" w:type="dxa"/>
          </w:tcPr>
          <w:p w14:paraId="0973E8AA">
            <w:pPr>
              <w:tabs>
                <w:tab w:val="left" w:pos="2460"/>
              </w:tabs>
              <w:spacing w:line="500" w:lineRule="exact"/>
              <w:rPr>
                <w:rFonts w:hint="eastAsia" w:ascii="宋体" w:hAnsi="宋体" w:eastAsia="宋体" w:cs="宋体"/>
                <w:color w:val="auto"/>
                <w:sz w:val="24"/>
                <w:szCs w:val="24"/>
                <w:highlight w:val="none"/>
              </w:rPr>
            </w:pPr>
          </w:p>
        </w:tc>
        <w:tc>
          <w:tcPr>
            <w:tcW w:w="993" w:type="dxa"/>
          </w:tcPr>
          <w:p w14:paraId="4EFA5399">
            <w:pPr>
              <w:tabs>
                <w:tab w:val="left" w:pos="2460"/>
              </w:tabs>
              <w:spacing w:line="500" w:lineRule="exact"/>
              <w:rPr>
                <w:rFonts w:hint="eastAsia" w:ascii="宋体" w:hAnsi="宋体" w:eastAsia="宋体" w:cs="宋体"/>
                <w:color w:val="auto"/>
                <w:sz w:val="24"/>
                <w:szCs w:val="24"/>
                <w:highlight w:val="none"/>
              </w:rPr>
            </w:pPr>
          </w:p>
        </w:tc>
        <w:tc>
          <w:tcPr>
            <w:tcW w:w="2159" w:type="dxa"/>
          </w:tcPr>
          <w:p w14:paraId="373E5AE8">
            <w:pPr>
              <w:tabs>
                <w:tab w:val="left" w:pos="2460"/>
              </w:tabs>
              <w:spacing w:line="500" w:lineRule="exact"/>
              <w:rPr>
                <w:rFonts w:hint="eastAsia" w:ascii="宋体" w:hAnsi="宋体" w:eastAsia="宋体" w:cs="宋体"/>
                <w:color w:val="auto"/>
                <w:sz w:val="24"/>
                <w:szCs w:val="24"/>
                <w:highlight w:val="none"/>
              </w:rPr>
            </w:pPr>
          </w:p>
        </w:tc>
        <w:tc>
          <w:tcPr>
            <w:tcW w:w="959" w:type="dxa"/>
          </w:tcPr>
          <w:p w14:paraId="10E1FEB5">
            <w:pPr>
              <w:tabs>
                <w:tab w:val="left" w:pos="2460"/>
              </w:tabs>
              <w:spacing w:line="500" w:lineRule="exact"/>
              <w:rPr>
                <w:rFonts w:hint="eastAsia" w:ascii="宋体" w:hAnsi="宋体" w:eastAsia="宋体" w:cs="宋体"/>
                <w:color w:val="auto"/>
                <w:sz w:val="24"/>
                <w:szCs w:val="24"/>
                <w:highlight w:val="none"/>
              </w:rPr>
            </w:pPr>
          </w:p>
        </w:tc>
        <w:tc>
          <w:tcPr>
            <w:tcW w:w="1806" w:type="dxa"/>
          </w:tcPr>
          <w:p w14:paraId="6DC75353">
            <w:pPr>
              <w:tabs>
                <w:tab w:val="left" w:pos="2460"/>
              </w:tabs>
              <w:spacing w:line="500" w:lineRule="exact"/>
              <w:rPr>
                <w:rFonts w:hint="eastAsia" w:ascii="宋体" w:hAnsi="宋体" w:eastAsia="宋体" w:cs="宋体"/>
                <w:color w:val="auto"/>
                <w:sz w:val="24"/>
                <w:szCs w:val="24"/>
                <w:highlight w:val="none"/>
              </w:rPr>
            </w:pPr>
          </w:p>
        </w:tc>
        <w:tc>
          <w:tcPr>
            <w:tcW w:w="1383" w:type="dxa"/>
          </w:tcPr>
          <w:p w14:paraId="33ABCBD9">
            <w:pPr>
              <w:tabs>
                <w:tab w:val="left" w:pos="2460"/>
              </w:tabs>
              <w:spacing w:line="500" w:lineRule="exact"/>
              <w:rPr>
                <w:rFonts w:hint="eastAsia" w:ascii="宋体" w:hAnsi="宋体" w:eastAsia="宋体" w:cs="宋体"/>
                <w:color w:val="auto"/>
                <w:sz w:val="24"/>
                <w:szCs w:val="24"/>
                <w:highlight w:val="none"/>
              </w:rPr>
            </w:pPr>
          </w:p>
        </w:tc>
      </w:tr>
      <w:tr w14:paraId="5FBD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8BA839">
            <w:pPr>
              <w:tabs>
                <w:tab w:val="left" w:pos="2460"/>
              </w:tabs>
              <w:spacing w:line="500" w:lineRule="exact"/>
              <w:rPr>
                <w:rFonts w:hint="eastAsia" w:ascii="宋体" w:hAnsi="宋体" w:eastAsia="宋体" w:cs="宋体"/>
                <w:color w:val="auto"/>
                <w:sz w:val="24"/>
                <w:szCs w:val="24"/>
                <w:highlight w:val="none"/>
              </w:rPr>
            </w:pPr>
          </w:p>
        </w:tc>
        <w:tc>
          <w:tcPr>
            <w:tcW w:w="1417" w:type="dxa"/>
          </w:tcPr>
          <w:p w14:paraId="7660B02D">
            <w:pPr>
              <w:tabs>
                <w:tab w:val="left" w:pos="2460"/>
              </w:tabs>
              <w:spacing w:line="500" w:lineRule="exact"/>
              <w:rPr>
                <w:rFonts w:hint="eastAsia" w:ascii="宋体" w:hAnsi="宋体" w:eastAsia="宋体" w:cs="宋体"/>
                <w:color w:val="auto"/>
                <w:sz w:val="24"/>
                <w:szCs w:val="24"/>
                <w:highlight w:val="none"/>
              </w:rPr>
            </w:pPr>
          </w:p>
        </w:tc>
        <w:tc>
          <w:tcPr>
            <w:tcW w:w="993" w:type="dxa"/>
          </w:tcPr>
          <w:p w14:paraId="4221E737">
            <w:pPr>
              <w:tabs>
                <w:tab w:val="left" w:pos="2460"/>
              </w:tabs>
              <w:spacing w:line="500" w:lineRule="exact"/>
              <w:rPr>
                <w:rFonts w:hint="eastAsia" w:ascii="宋体" w:hAnsi="宋体" w:eastAsia="宋体" w:cs="宋体"/>
                <w:color w:val="auto"/>
                <w:sz w:val="24"/>
                <w:szCs w:val="24"/>
                <w:highlight w:val="none"/>
              </w:rPr>
            </w:pPr>
          </w:p>
        </w:tc>
        <w:tc>
          <w:tcPr>
            <w:tcW w:w="2159" w:type="dxa"/>
          </w:tcPr>
          <w:p w14:paraId="395CB71F">
            <w:pPr>
              <w:tabs>
                <w:tab w:val="left" w:pos="2460"/>
              </w:tabs>
              <w:spacing w:line="500" w:lineRule="exact"/>
              <w:rPr>
                <w:rFonts w:hint="eastAsia" w:ascii="宋体" w:hAnsi="宋体" w:eastAsia="宋体" w:cs="宋体"/>
                <w:color w:val="auto"/>
                <w:sz w:val="24"/>
                <w:szCs w:val="24"/>
                <w:highlight w:val="none"/>
              </w:rPr>
            </w:pPr>
          </w:p>
        </w:tc>
        <w:tc>
          <w:tcPr>
            <w:tcW w:w="959" w:type="dxa"/>
          </w:tcPr>
          <w:p w14:paraId="3CEF9396">
            <w:pPr>
              <w:tabs>
                <w:tab w:val="left" w:pos="2460"/>
              </w:tabs>
              <w:spacing w:line="500" w:lineRule="exact"/>
              <w:rPr>
                <w:rFonts w:hint="eastAsia" w:ascii="宋体" w:hAnsi="宋体" w:eastAsia="宋体" w:cs="宋体"/>
                <w:color w:val="auto"/>
                <w:sz w:val="24"/>
                <w:szCs w:val="24"/>
                <w:highlight w:val="none"/>
              </w:rPr>
            </w:pPr>
          </w:p>
        </w:tc>
        <w:tc>
          <w:tcPr>
            <w:tcW w:w="1806" w:type="dxa"/>
          </w:tcPr>
          <w:p w14:paraId="0F76CE22">
            <w:pPr>
              <w:tabs>
                <w:tab w:val="left" w:pos="2460"/>
              </w:tabs>
              <w:spacing w:line="500" w:lineRule="exact"/>
              <w:rPr>
                <w:rFonts w:hint="eastAsia" w:ascii="宋体" w:hAnsi="宋体" w:eastAsia="宋体" w:cs="宋体"/>
                <w:color w:val="auto"/>
                <w:sz w:val="24"/>
                <w:szCs w:val="24"/>
                <w:highlight w:val="none"/>
              </w:rPr>
            </w:pPr>
          </w:p>
        </w:tc>
        <w:tc>
          <w:tcPr>
            <w:tcW w:w="1383" w:type="dxa"/>
          </w:tcPr>
          <w:p w14:paraId="426A9F3E">
            <w:pPr>
              <w:tabs>
                <w:tab w:val="left" w:pos="2460"/>
              </w:tabs>
              <w:spacing w:line="500" w:lineRule="exact"/>
              <w:rPr>
                <w:rFonts w:hint="eastAsia" w:ascii="宋体" w:hAnsi="宋体" w:eastAsia="宋体" w:cs="宋体"/>
                <w:color w:val="auto"/>
                <w:sz w:val="24"/>
                <w:szCs w:val="24"/>
                <w:highlight w:val="none"/>
              </w:rPr>
            </w:pPr>
          </w:p>
        </w:tc>
      </w:tr>
    </w:tbl>
    <w:p w14:paraId="46A9B0DD">
      <w:pPr>
        <w:tabs>
          <w:tab w:val="left" w:pos="2460"/>
        </w:tabs>
        <w:spacing w:line="500" w:lineRule="exact"/>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重庆市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学校</w:t>
      </w:r>
    </w:p>
    <w:p w14:paraId="05D0976C">
      <w:pPr>
        <w:tabs>
          <w:tab w:val="left" w:pos="2460"/>
        </w:tabs>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项目施工人员工酬支付名册</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410"/>
        <w:gridCol w:w="1552"/>
        <w:gridCol w:w="2960"/>
        <w:gridCol w:w="1411"/>
        <w:gridCol w:w="1340"/>
      </w:tblGrid>
      <w:tr w14:paraId="73BC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59" w:type="dxa"/>
            <w:vAlign w:val="center"/>
          </w:tcPr>
          <w:p w14:paraId="71FCB35F">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099B8C37">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60" w:type="dxa"/>
            <w:vAlign w:val="center"/>
          </w:tcPr>
          <w:p w14:paraId="620D2F97">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支付金额</w:t>
            </w:r>
          </w:p>
        </w:tc>
        <w:tc>
          <w:tcPr>
            <w:tcW w:w="2976" w:type="dxa"/>
            <w:vAlign w:val="center"/>
          </w:tcPr>
          <w:p w14:paraId="01642E4C">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支付流水号（或签字）</w:t>
            </w:r>
          </w:p>
        </w:tc>
        <w:tc>
          <w:tcPr>
            <w:tcW w:w="1418" w:type="dxa"/>
            <w:vAlign w:val="center"/>
          </w:tcPr>
          <w:p w14:paraId="6EF130BD">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支付日期</w:t>
            </w:r>
          </w:p>
        </w:tc>
        <w:tc>
          <w:tcPr>
            <w:tcW w:w="1346" w:type="dxa"/>
            <w:vAlign w:val="center"/>
          </w:tcPr>
          <w:p w14:paraId="79A84DCF">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776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B8DBBD">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24E5987">
            <w:pPr>
              <w:tabs>
                <w:tab w:val="left" w:pos="2460"/>
              </w:tabs>
              <w:spacing w:line="500" w:lineRule="exact"/>
              <w:rPr>
                <w:rFonts w:hint="eastAsia" w:ascii="宋体" w:hAnsi="宋体" w:eastAsia="宋体" w:cs="宋体"/>
                <w:color w:val="auto"/>
                <w:sz w:val="24"/>
                <w:szCs w:val="24"/>
                <w:highlight w:val="none"/>
              </w:rPr>
            </w:pPr>
          </w:p>
        </w:tc>
        <w:tc>
          <w:tcPr>
            <w:tcW w:w="1560" w:type="dxa"/>
          </w:tcPr>
          <w:p w14:paraId="1BBF0ABE">
            <w:pPr>
              <w:tabs>
                <w:tab w:val="left" w:pos="2460"/>
              </w:tabs>
              <w:spacing w:line="500" w:lineRule="exact"/>
              <w:rPr>
                <w:rFonts w:hint="eastAsia" w:ascii="宋体" w:hAnsi="宋体" w:eastAsia="宋体" w:cs="宋体"/>
                <w:color w:val="auto"/>
                <w:sz w:val="24"/>
                <w:szCs w:val="24"/>
                <w:highlight w:val="none"/>
              </w:rPr>
            </w:pPr>
          </w:p>
        </w:tc>
        <w:tc>
          <w:tcPr>
            <w:tcW w:w="2976" w:type="dxa"/>
          </w:tcPr>
          <w:p w14:paraId="5F19E4F3">
            <w:pPr>
              <w:tabs>
                <w:tab w:val="left" w:pos="2460"/>
              </w:tabs>
              <w:spacing w:line="500" w:lineRule="exact"/>
              <w:rPr>
                <w:rFonts w:hint="eastAsia" w:ascii="宋体" w:hAnsi="宋体" w:eastAsia="宋体" w:cs="宋体"/>
                <w:color w:val="auto"/>
                <w:sz w:val="24"/>
                <w:szCs w:val="24"/>
                <w:highlight w:val="none"/>
              </w:rPr>
            </w:pPr>
          </w:p>
        </w:tc>
        <w:tc>
          <w:tcPr>
            <w:tcW w:w="1418" w:type="dxa"/>
          </w:tcPr>
          <w:p w14:paraId="2A570EDE">
            <w:pPr>
              <w:tabs>
                <w:tab w:val="left" w:pos="2460"/>
              </w:tabs>
              <w:spacing w:line="500" w:lineRule="exact"/>
              <w:rPr>
                <w:rFonts w:hint="eastAsia" w:ascii="宋体" w:hAnsi="宋体" w:eastAsia="宋体" w:cs="宋体"/>
                <w:color w:val="auto"/>
                <w:sz w:val="24"/>
                <w:szCs w:val="24"/>
                <w:highlight w:val="none"/>
              </w:rPr>
            </w:pPr>
          </w:p>
        </w:tc>
        <w:tc>
          <w:tcPr>
            <w:tcW w:w="1346" w:type="dxa"/>
          </w:tcPr>
          <w:p w14:paraId="7112DA94">
            <w:pPr>
              <w:tabs>
                <w:tab w:val="left" w:pos="2460"/>
              </w:tabs>
              <w:spacing w:line="500" w:lineRule="exact"/>
              <w:rPr>
                <w:rFonts w:hint="eastAsia" w:ascii="宋体" w:hAnsi="宋体" w:eastAsia="宋体" w:cs="宋体"/>
                <w:color w:val="auto"/>
                <w:sz w:val="24"/>
                <w:szCs w:val="24"/>
                <w:highlight w:val="none"/>
              </w:rPr>
            </w:pPr>
          </w:p>
        </w:tc>
      </w:tr>
      <w:tr w14:paraId="6FD9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7F549B">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32FE552">
            <w:pPr>
              <w:tabs>
                <w:tab w:val="left" w:pos="2460"/>
              </w:tabs>
              <w:spacing w:line="500" w:lineRule="exact"/>
              <w:rPr>
                <w:rFonts w:hint="eastAsia" w:ascii="宋体" w:hAnsi="宋体" w:eastAsia="宋体" w:cs="宋体"/>
                <w:color w:val="auto"/>
                <w:sz w:val="24"/>
                <w:szCs w:val="24"/>
                <w:highlight w:val="none"/>
              </w:rPr>
            </w:pPr>
          </w:p>
        </w:tc>
        <w:tc>
          <w:tcPr>
            <w:tcW w:w="1560" w:type="dxa"/>
          </w:tcPr>
          <w:p w14:paraId="31462840">
            <w:pPr>
              <w:tabs>
                <w:tab w:val="left" w:pos="2460"/>
              </w:tabs>
              <w:spacing w:line="500" w:lineRule="exact"/>
              <w:rPr>
                <w:rFonts w:hint="eastAsia" w:ascii="宋体" w:hAnsi="宋体" w:eastAsia="宋体" w:cs="宋体"/>
                <w:color w:val="auto"/>
                <w:sz w:val="24"/>
                <w:szCs w:val="24"/>
                <w:highlight w:val="none"/>
              </w:rPr>
            </w:pPr>
          </w:p>
        </w:tc>
        <w:tc>
          <w:tcPr>
            <w:tcW w:w="2976" w:type="dxa"/>
          </w:tcPr>
          <w:p w14:paraId="6C0A983E">
            <w:pPr>
              <w:tabs>
                <w:tab w:val="left" w:pos="2460"/>
              </w:tabs>
              <w:spacing w:line="500" w:lineRule="exact"/>
              <w:rPr>
                <w:rFonts w:hint="eastAsia" w:ascii="宋体" w:hAnsi="宋体" w:eastAsia="宋体" w:cs="宋体"/>
                <w:color w:val="auto"/>
                <w:sz w:val="24"/>
                <w:szCs w:val="24"/>
                <w:highlight w:val="none"/>
              </w:rPr>
            </w:pPr>
          </w:p>
        </w:tc>
        <w:tc>
          <w:tcPr>
            <w:tcW w:w="1418" w:type="dxa"/>
          </w:tcPr>
          <w:p w14:paraId="52489574">
            <w:pPr>
              <w:tabs>
                <w:tab w:val="left" w:pos="2460"/>
              </w:tabs>
              <w:spacing w:line="500" w:lineRule="exact"/>
              <w:rPr>
                <w:rFonts w:hint="eastAsia" w:ascii="宋体" w:hAnsi="宋体" w:eastAsia="宋体" w:cs="宋体"/>
                <w:color w:val="auto"/>
                <w:sz w:val="24"/>
                <w:szCs w:val="24"/>
                <w:highlight w:val="none"/>
              </w:rPr>
            </w:pPr>
          </w:p>
        </w:tc>
        <w:tc>
          <w:tcPr>
            <w:tcW w:w="1346" w:type="dxa"/>
          </w:tcPr>
          <w:p w14:paraId="4F3CBEBC">
            <w:pPr>
              <w:tabs>
                <w:tab w:val="left" w:pos="2460"/>
              </w:tabs>
              <w:spacing w:line="500" w:lineRule="exact"/>
              <w:rPr>
                <w:rFonts w:hint="eastAsia" w:ascii="宋体" w:hAnsi="宋体" w:eastAsia="宋体" w:cs="宋体"/>
                <w:color w:val="auto"/>
                <w:sz w:val="24"/>
                <w:szCs w:val="24"/>
                <w:highlight w:val="none"/>
              </w:rPr>
            </w:pPr>
          </w:p>
        </w:tc>
      </w:tr>
      <w:tr w14:paraId="6977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9DE070">
            <w:pPr>
              <w:tabs>
                <w:tab w:val="left" w:pos="2460"/>
              </w:tabs>
              <w:spacing w:line="500" w:lineRule="exact"/>
              <w:rPr>
                <w:rFonts w:hint="eastAsia" w:ascii="宋体" w:hAnsi="宋体" w:eastAsia="宋体" w:cs="宋体"/>
                <w:color w:val="auto"/>
                <w:sz w:val="24"/>
                <w:szCs w:val="24"/>
                <w:highlight w:val="none"/>
              </w:rPr>
            </w:pPr>
          </w:p>
        </w:tc>
        <w:tc>
          <w:tcPr>
            <w:tcW w:w="1417" w:type="dxa"/>
          </w:tcPr>
          <w:p w14:paraId="17AD1D7B">
            <w:pPr>
              <w:tabs>
                <w:tab w:val="left" w:pos="2460"/>
              </w:tabs>
              <w:spacing w:line="500" w:lineRule="exact"/>
              <w:rPr>
                <w:rFonts w:hint="eastAsia" w:ascii="宋体" w:hAnsi="宋体" w:eastAsia="宋体" w:cs="宋体"/>
                <w:color w:val="auto"/>
                <w:sz w:val="24"/>
                <w:szCs w:val="24"/>
                <w:highlight w:val="none"/>
              </w:rPr>
            </w:pPr>
          </w:p>
        </w:tc>
        <w:tc>
          <w:tcPr>
            <w:tcW w:w="1560" w:type="dxa"/>
          </w:tcPr>
          <w:p w14:paraId="6417FF54">
            <w:pPr>
              <w:tabs>
                <w:tab w:val="left" w:pos="2460"/>
              </w:tabs>
              <w:spacing w:line="500" w:lineRule="exact"/>
              <w:rPr>
                <w:rFonts w:hint="eastAsia" w:ascii="宋体" w:hAnsi="宋体" w:eastAsia="宋体" w:cs="宋体"/>
                <w:color w:val="auto"/>
                <w:sz w:val="24"/>
                <w:szCs w:val="24"/>
                <w:highlight w:val="none"/>
              </w:rPr>
            </w:pPr>
          </w:p>
        </w:tc>
        <w:tc>
          <w:tcPr>
            <w:tcW w:w="2976" w:type="dxa"/>
          </w:tcPr>
          <w:p w14:paraId="1F04A690">
            <w:pPr>
              <w:tabs>
                <w:tab w:val="left" w:pos="2460"/>
              </w:tabs>
              <w:spacing w:line="500" w:lineRule="exact"/>
              <w:rPr>
                <w:rFonts w:hint="eastAsia" w:ascii="宋体" w:hAnsi="宋体" w:eastAsia="宋体" w:cs="宋体"/>
                <w:color w:val="auto"/>
                <w:sz w:val="24"/>
                <w:szCs w:val="24"/>
                <w:highlight w:val="none"/>
              </w:rPr>
            </w:pPr>
          </w:p>
        </w:tc>
        <w:tc>
          <w:tcPr>
            <w:tcW w:w="1418" w:type="dxa"/>
          </w:tcPr>
          <w:p w14:paraId="01928044">
            <w:pPr>
              <w:tabs>
                <w:tab w:val="left" w:pos="2460"/>
              </w:tabs>
              <w:spacing w:line="500" w:lineRule="exact"/>
              <w:rPr>
                <w:rFonts w:hint="eastAsia" w:ascii="宋体" w:hAnsi="宋体" w:eastAsia="宋体" w:cs="宋体"/>
                <w:color w:val="auto"/>
                <w:sz w:val="24"/>
                <w:szCs w:val="24"/>
                <w:highlight w:val="none"/>
              </w:rPr>
            </w:pPr>
          </w:p>
        </w:tc>
        <w:tc>
          <w:tcPr>
            <w:tcW w:w="1346" w:type="dxa"/>
          </w:tcPr>
          <w:p w14:paraId="39610D75">
            <w:pPr>
              <w:tabs>
                <w:tab w:val="left" w:pos="2460"/>
              </w:tabs>
              <w:spacing w:line="500" w:lineRule="exact"/>
              <w:rPr>
                <w:rFonts w:hint="eastAsia" w:ascii="宋体" w:hAnsi="宋体" w:eastAsia="宋体" w:cs="宋体"/>
                <w:color w:val="auto"/>
                <w:sz w:val="24"/>
                <w:szCs w:val="24"/>
                <w:highlight w:val="none"/>
              </w:rPr>
            </w:pPr>
          </w:p>
        </w:tc>
      </w:tr>
      <w:tr w14:paraId="3805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AE638C">
            <w:pPr>
              <w:tabs>
                <w:tab w:val="left" w:pos="2460"/>
              </w:tabs>
              <w:spacing w:line="500" w:lineRule="exact"/>
              <w:rPr>
                <w:rFonts w:hint="eastAsia" w:ascii="宋体" w:hAnsi="宋体" w:eastAsia="宋体" w:cs="宋体"/>
                <w:color w:val="auto"/>
                <w:sz w:val="24"/>
                <w:szCs w:val="24"/>
                <w:highlight w:val="none"/>
              </w:rPr>
            </w:pPr>
          </w:p>
        </w:tc>
        <w:tc>
          <w:tcPr>
            <w:tcW w:w="1417" w:type="dxa"/>
          </w:tcPr>
          <w:p w14:paraId="6139548D">
            <w:pPr>
              <w:tabs>
                <w:tab w:val="left" w:pos="2460"/>
              </w:tabs>
              <w:spacing w:line="500" w:lineRule="exact"/>
              <w:rPr>
                <w:rFonts w:hint="eastAsia" w:ascii="宋体" w:hAnsi="宋体" w:eastAsia="宋体" w:cs="宋体"/>
                <w:color w:val="auto"/>
                <w:sz w:val="24"/>
                <w:szCs w:val="24"/>
                <w:highlight w:val="none"/>
              </w:rPr>
            </w:pPr>
          </w:p>
        </w:tc>
        <w:tc>
          <w:tcPr>
            <w:tcW w:w="1560" w:type="dxa"/>
          </w:tcPr>
          <w:p w14:paraId="3B06FD24">
            <w:pPr>
              <w:tabs>
                <w:tab w:val="left" w:pos="2460"/>
              </w:tabs>
              <w:spacing w:line="500" w:lineRule="exact"/>
              <w:rPr>
                <w:rFonts w:hint="eastAsia" w:ascii="宋体" w:hAnsi="宋体" w:eastAsia="宋体" w:cs="宋体"/>
                <w:color w:val="auto"/>
                <w:sz w:val="24"/>
                <w:szCs w:val="24"/>
                <w:highlight w:val="none"/>
              </w:rPr>
            </w:pPr>
          </w:p>
        </w:tc>
        <w:tc>
          <w:tcPr>
            <w:tcW w:w="2976" w:type="dxa"/>
          </w:tcPr>
          <w:p w14:paraId="24983816">
            <w:pPr>
              <w:tabs>
                <w:tab w:val="left" w:pos="2460"/>
              </w:tabs>
              <w:spacing w:line="500" w:lineRule="exact"/>
              <w:rPr>
                <w:rFonts w:hint="eastAsia" w:ascii="宋体" w:hAnsi="宋体" w:eastAsia="宋体" w:cs="宋体"/>
                <w:color w:val="auto"/>
                <w:sz w:val="24"/>
                <w:szCs w:val="24"/>
                <w:highlight w:val="none"/>
              </w:rPr>
            </w:pPr>
          </w:p>
        </w:tc>
        <w:tc>
          <w:tcPr>
            <w:tcW w:w="1418" w:type="dxa"/>
          </w:tcPr>
          <w:p w14:paraId="54C6C0E0">
            <w:pPr>
              <w:tabs>
                <w:tab w:val="left" w:pos="2460"/>
              </w:tabs>
              <w:spacing w:line="500" w:lineRule="exact"/>
              <w:rPr>
                <w:rFonts w:hint="eastAsia" w:ascii="宋体" w:hAnsi="宋体" w:eastAsia="宋体" w:cs="宋体"/>
                <w:color w:val="auto"/>
                <w:sz w:val="24"/>
                <w:szCs w:val="24"/>
                <w:highlight w:val="none"/>
              </w:rPr>
            </w:pPr>
          </w:p>
        </w:tc>
        <w:tc>
          <w:tcPr>
            <w:tcW w:w="1346" w:type="dxa"/>
          </w:tcPr>
          <w:p w14:paraId="585E6740">
            <w:pPr>
              <w:tabs>
                <w:tab w:val="left" w:pos="2460"/>
              </w:tabs>
              <w:spacing w:line="500" w:lineRule="exact"/>
              <w:rPr>
                <w:rFonts w:hint="eastAsia" w:ascii="宋体" w:hAnsi="宋体" w:eastAsia="宋体" w:cs="宋体"/>
                <w:color w:val="auto"/>
                <w:sz w:val="24"/>
                <w:szCs w:val="24"/>
                <w:highlight w:val="none"/>
              </w:rPr>
            </w:pPr>
          </w:p>
        </w:tc>
      </w:tr>
      <w:tr w14:paraId="52FC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51CB18">
            <w:pPr>
              <w:tabs>
                <w:tab w:val="left" w:pos="2460"/>
              </w:tabs>
              <w:spacing w:line="500" w:lineRule="exact"/>
              <w:rPr>
                <w:rFonts w:hint="eastAsia" w:ascii="宋体" w:hAnsi="宋体" w:eastAsia="宋体" w:cs="宋体"/>
                <w:color w:val="auto"/>
                <w:sz w:val="24"/>
                <w:szCs w:val="24"/>
                <w:highlight w:val="none"/>
              </w:rPr>
            </w:pPr>
          </w:p>
        </w:tc>
        <w:tc>
          <w:tcPr>
            <w:tcW w:w="1417" w:type="dxa"/>
          </w:tcPr>
          <w:p w14:paraId="5037A685">
            <w:pPr>
              <w:tabs>
                <w:tab w:val="left" w:pos="2460"/>
              </w:tabs>
              <w:spacing w:line="500" w:lineRule="exact"/>
              <w:rPr>
                <w:rFonts w:hint="eastAsia" w:ascii="宋体" w:hAnsi="宋体" w:eastAsia="宋体" w:cs="宋体"/>
                <w:color w:val="auto"/>
                <w:sz w:val="24"/>
                <w:szCs w:val="24"/>
                <w:highlight w:val="none"/>
              </w:rPr>
            </w:pPr>
          </w:p>
        </w:tc>
        <w:tc>
          <w:tcPr>
            <w:tcW w:w="1560" w:type="dxa"/>
          </w:tcPr>
          <w:p w14:paraId="138451FD">
            <w:pPr>
              <w:tabs>
                <w:tab w:val="left" w:pos="2460"/>
              </w:tabs>
              <w:spacing w:line="500" w:lineRule="exact"/>
              <w:rPr>
                <w:rFonts w:hint="eastAsia" w:ascii="宋体" w:hAnsi="宋体" w:eastAsia="宋体" w:cs="宋体"/>
                <w:color w:val="auto"/>
                <w:sz w:val="24"/>
                <w:szCs w:val="24"/>
                <w:highlight w:val="none"/>
              </w:rPr>
            </w:pPr>
          </w:p>
        </w:tc>
        <w:tc>
          <w:tcPr>
            <w:tcW w:w="2976" w:type="dxa"/>
          </w:tcPr>
          <w:p w14:paraId="688A037A">
            <w:pPr>
              <w:tabs>
                <w:tab w:val="left" w:pos="2460"/>
              </w:tabs>
              <w:spacing w:line="500" w:lineRule="exact"/>
              <w:rPr>
                <w:rFonts w:hint="eastAsia" w:ascii="宋体" w:hAnsi="宋体" w:eastAsia="宋体" w:cs="宋体"/>
                <w:color w:val="auto"/>
                <w:sz w:val="24"/>
                <w:szCs w:val="24"/>
                <w:highlight w:val="none"/>
              </w:rPr>
            </w:pPr>
          </w:p>
        </w:tc>
        <w:tc>
          <w:tcPr>
            <w:tcW w:w="1418" w:type="dxa"/>
          </w:tcPr>
          <w:p w14:paraId="653A1EBF">
            <w:pPr>
              <w:tabs>
                <w:tab w:val="left" w:pos="2460"/>
              </w:tabs>
              <w:spacing w:line="500" w:lineRule="exact"/>
              <w:rPr>
                <w:rFonts w:hint="eastAsia" w:ascii="宋体" w:hAnsi="宋体" w:eastAsia="宋体" w:cs="宋体"/>
                <w:color w:val="auto"/>
                <w:sz w:val="24"/>
                <w:szCs w:val="24"/>
                <w:highlight w:val="none"/>
              </w:rPr>
            </w:pPr>
          </w:p>
        </w:tc>
        <w:tc>
          <w:tcPr>
            <w:tcW w:w="1346" w:type="dxa"/>
          </w:tcPr>
          <w:p w14:paraId="7CA7D1BF">
            <w:pPr>
              <w:tabs>
                <w:tab w:val="left" w:pos="2460"/>
              </w:tabs>
              <w:spacing w:line="500" w:lineRule="exact"/>
              <w:rPr>
                <w:rFonts w:hint="eastAsia" w:ascii="宋体" w:hAnsi="宋体" w:eastAsia="宋体" w:cs="宋体"/>
                <w:color w:val="auto"/>
                <w:sz w:val="24"/>
                <w:szCs w:val="24"/>
                <w:highlight w:val="none"/>
              </w:rPr>
            </w:pPr>
          </w:p>
        </w:tc>
      </w:tr>
      <w:tr w14:paraId="5C9F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852FAB">
            <w:pPr>
              <w:tabs>
                <w:tab w:val="left" w:pos="2460"/>
              </w:tabs>
              <w:spacing w:line="500" w:lineRule="exact"/>
              <w:rPr>
                <w:rFonts w:hint="eastAsia" w:ascii="宋体" w:hAnsi="宋体" w:eastAsia="宋体" w:cs="宋体"/>
                <w:color w:val="auto"/>
                <w:sz w:val="24"/>
                <w:szCs w:val="24"/>
                <w:highlight w:val="none"/>
              </w:rPr>
            </w:pPr>
          </w:p>
        </w:tc>
        <w:tc>
          <w:tcPr>
            <w:tcW w:w="1417" w:type="dxa"/>
          </w:tcPr>
          <w:p w14:paraId="04A34D84">
            <w:pPr>
              <w:tabs>
                <w:tab w:val="left" w:pos="2460"/>
              </w:tabs>
              <w:spacing w:line="500" w:lineRule="exact"/>
              <w:rPr>
                <w:rFonts w:hint="eastAsia" w:ascii="宋体" w:hAnsi="宋体" w:eastAsia="宋体" w:cs="宋体"/>
                <w:color w:val="auto"/>
                <w:sz w:val="24"/>
                <w:szCs w:val="24"/>
                <w:highlight w:val="none"/>
              </w:rPr>
            </w:pPr>
          </w:p>
        </w:tc>
        <w:tc>
          <w:tcPr>
            <w:tcW w:w="1560" w:type="dxa"/>
          </w:tcPr>
          <w:p w14:paraId="7D1E2319">
            <w:pPr>
              <w:tabs>
                <w:tab w:val="left" w:pos="2460"/>
              </w:tabs>
              <w:spacing w:line="500" w:lineRule="exact"/>
              <w:rPr>
                <w:rFonts w:hint="eastAsia" w:ascii="宋体" w:hAnsi="宋体" w:eastAsia="宋体" w:cs="宋体"/>
                <w:color w:val="auto"/>
                <w:sz w:val="24"/>
                <w:szCs w:val="24"/>
                <w:highlight w:val="none"/>
              </w:rPr>
            </w:pPr>
          </w:p>
        </w:tc>
        <w:tc>
          <w:tcPr>
            <w:tcW w:w="2976" w:type="dxa"/>
          </w:tcPr>
          <w:p w14:paraId="331B8EEF">
            <w:pPr>
              <w:tabs>
                <w:tab w:val="left" w:pos="2460"/>
              </w:tabs>
              <w:spacing w:line="500" w:lineRule="exact"/>
              <w:rPr>
                <w:rFonts w:hint="eastAsia" w:ascii="宋体" w:hAnsi="宋体" w:eastAsia="宋体" w:cs="宋体"/>
                <w:color w:val="auto"/>
                <w:sz w:val="24"/>
                <w:szCs w:val="24"/>
                <w:highlight w:val="none"/>
              </w:rPr>
            </w:pPr>
          </w:p>
        </w:tc>
        <w:tc>
          <w:tcPr>
            <w:tcW w:w="1418" w:type="dxa"/>
          </w:tcPr>
          <w:p w14:paraId="615996FB">
            <w:pPr>
              <w:tabs>
                <w:tab w:val="left" w:pos="2460"/>
              </w:tabs>
              <w:spacing w:line="500" w:lineRule="exact"/>
              <w:rPr>
                <w:rFonts w:hint="eastAsia" w:ascii="宋体" w:hAnsi="宋体" w:eastAsia="宋体" w:cs="宋体"/>
                <w:color w:val="auto"/>
                <w:sz w:val="24"/>
                <w:szCs w:val="24"/>
                <w:highlight w:val="none"/>
              </w:rPr>
            </w:pPr>
          </w:p>
        </w:tc>
        <w:tc>
          <w:tcPr>
            <w:tcW w:w="1346" w:type="dxa"/>
          </w:tcPr>
          <w:p w14:paraId="3454B580">
            <w:pPr>
              <w:tabs>
                <w:tab w:val="left" w:pos="2460"/>
              </w:tabs>
              <w:spacing w:line="500" w:lineRule="exact"/>
              <w:rPr>
                <w:rFonts w:hint="eastAsia" w:ascii="宋体" w:hAnsi="宋体" w:eastAsia="宋体" w:cs="宋体"/>
                <w:color w:val="auto"/>
                <w:sz w:val="24"/>
                <w:szCs w:val="24"/>
                <w:highlight w:val="none"/>
              </w:rPr>
            </w:pPr>
          </w:p>
        </w:tc>
      </w:tr>
    </w:tbl>
    <w:p w14:paraId="15DD9EE4">
      <w:pPr>
        <w:tabs>
          <w:tab w:val="left" w:pos="2460"/>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（附银行支付回执或银行工资代发清单）</w:t>
      </w:r>
    </w:p>
    <w:p w14:paraId="4432EF17">
      <w:pPr>
        <w:rPr>
          <w:rFonts w:hint="eastAsia" w:ascii="宋体" w:hAnsi="宋体" w:eastAsia="宋体" w:cs="宋体"/>
          <w:color w:val="auto"/>
          <w:kern w:val="0"/>
          <w:sz w:val="40"/>
          <w:szCs w:val="40"/>
          <w:highlight w:val="none"/>
          <w:shd w:val="clear" w:color="auto" w:fill="FFFFFF"/>
          <w:lang w:bidi="ar"/>
        </w:rPr>
      </w:pPr>
      <w:r>
        <w:rPr>
          <w:rFonts w:hint="eastAsia" w:ascii="宋体" w:hAnsi="宋体" w:eastAsia="宋体" w:cs="宋体"/>
          <w:color w:val="auto"/>
          <w:kern w:val="0"/>
          <w:sz w:val="40"/>
          <w:szCs w:val="40"/>
          <w:highlight w:val="none"/>
          <w:shd w:val="clear" w:color="auto" w:fill="FFFFFF"/>
          <w:lang w:bidi="ar"/>
        </w:rPr>
        <w:br w:type="page"/>
      </w:r>
    </w:p>
    <w:bookmarkEnd w:id="165"/>
    <w:bookmarkEnd w:id="166"/>
    <w:bookmarkEnd w:id="167"/>
    <w:bookmarkEnd w:id="168"/>
    <w:p w14:paraId="0B64900B">
      <w:pPr>
        <w:pStyle w:val="472"/>
        <w:pageBreakBefore w:val="0"/>
        <w:wordWrap/>
        <w:topLinePunct w:val="0"/>
        <w:bidi w:val="0"/>
        <w:spacing w:line="360" w:lineRule="auto"/>
        <w:ind w:left="0" w:leftChars="0" w:firstLine="0" w:firstLineChars="0"/>
        <w:textAlignment w:val="auto"/>
        <w:rPr>
          <w:rFonts w:hint="eastAsia" w:ascii="宋体" w:hAnsi="宋体" w:eastAsia="宋体" w:cs="宋体"/>
          <w:color w:val="auto"/>
          <w:szCs w:val="28"/>
          <w:highlight w:val="none"/>
        </w:rPr>
      </w:pPr>
    </w:p>
    <w:p w14:paraId="61B3DF52">
      <w:pPr>
        <w:pStyle w:val="2"/>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179" w:name="_Toc1421"/>
      <w:bookmarkStart w:id="180" w:name="_Toc8367"/>
      <w:bookmarkStart w:id="181" w:name="_Toc20959"/>
      <w:r>
        <w:rPr>
          <w:rFonts w:hint="eastAsia" w:ascii="宋体" w:hAnsi="宋体" w:eastAsia="宋体" w:cs="宋体"/>
          <w:color w:val="auto"/>
          <w:sz w:val="36"/>
          <w:szCs w:val="36"/>
          <w:highlight w:val="none"/>
        </w:rPr>
        <w:t xml:space="preserve">第七篇 </w:t>
      </w:r>
      <w:bookmarkEnd w:id="169"/>
      <w:bookmarkEnd w:id="170"/>
      <w:bookmarkEnd w:id="171"/>
      <w:bookmarkEnd w:id="172"/>
      <w:bookmarkEnd w:id="173"/>
      <w:bookmarkEnd w:id="174"/>
      <w:bookmarkEnd w:id="175"/>
      <w:bookmarkEnd w:id="176"/>
      <w:bookmarkEnd w:id="177"/>
      <w:bookmarkStart w:id="182" w:name="_Toc106034658"/>
      <w:bookmarkStart w:id="183" w:name="_Toc19762"/>
      <w:bookmarkStart w:id="184" w:name="_Toc65660378"/>
      <w:bookmarkStart w:id="185" w:name="_Toc12789072"/>
      <w:bookmarkStart w:id="186" w:name="_Toc6968"/>
      <w:bookmarkStart w:id="187" w:name="_Toc9538"/>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179"/>
      <w:bookmarkEnd w:id="180"/>
      <w:bookmarkEnd w:id="181"/>
      <w:bookmarkEnd w:id="182"/>
      <w:bookmarkEnd w:id="183"/>
      <w:bookmarkEnd w:id="184"/>
      <w:bookmarkEnd w:id="185"/>
      <w:bookmarkEnd w:id="186"/>
      <w:bookmarkEnd w:id="187"/>
    </w:p>
    <w:p w14:paraId="1FF832D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一、经济部分</w:t>
      </w:r>
    </w:p>
    <w:p w14:paraId="1F06623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报价函</w:t>
      </w:r>
    </w:p>
    <w:p w14:paraId="6C284A22">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Cs w:val="28"/>
          <w:highlight w:val="none"/>
          <w:shd w:val="clear" w:color="auto" w:fill="auto"/>
        </w:rPr>
        <w:t>已标价工程量清单</w:t>
      </w:r>
    </w:p>
    <w:p w14:paraId="54F5B578">
      <w:pPr>
        <w:pageBreakBefore w:val="0"/>
        <w:wordWrap/>
        <w:topLinePunct w:val="0"/>
        <w:bidi w:val="0"/>
        <w:adjustRightInd w:val="0"/>
        <w:snapToGrid w:val="0"/>
        <w:spacing w:line="360" w:lineRule="auto"/>
        <w:ind w:firstLine="560" w:firstLineChars="200"/>
        <w:jc w:val="left"/>
        <w:textAlignment w:val="auto"/>
        <w:rPr>
          <w:rFonts w:hint="default"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技术部分</w:t>
      </w:r>
    </w:p>
    <w:p w14:paraId="7EEA3F3C">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(一) </w:t>
      </w:r>
      <w:r>
        <w:rPr>
          <w:rFonts w:hint="eastAsia" w:ascii="宋体" w:hAnsi="宋体" w:eastAsia="宋体" w:cs="宋体"/>
          <w:color w:val="auto"/>
          <w:sz w:val="28"/>
          <w:szCs w:val="28"/>
          <w:highlight w:val="none"/>
          <w:lang w:val="en-US" w:eastAsia="zh-CN"/>
        </w:rPr>
        <w:t>技术</w:t>
      </w:r>
      <w:r>
        <w:rPr>
          <w:rFonts w:hint="eastAsia" w:ascii="宋体" w:hAnsi="宋体" w:eastAsia="宋体" w:cs="宋体"/>
          <w:color w:val="auto"/>
          <w:sz w:val="28"/>
          <w:szCs w:val="28"/>
          <w:highlight w:val="none"/>
        </w:rPr>
        <w:t>条款差异表</w:t>
      </w:r>
    </w:p>
    <w:p w14:paraId="032EF935">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(二) </w:t>
      </w:r>
      <w:r>
        <w:rPr>
          <w:rFonts w:hint="eastAsia" w:ascii="宋体" w:hAnsi="宋体" w:eastAsia="宋体" w:cs="宋体"/>
          <w:color w:val="auto"/>
          <w:sz w:val="28"/>
          <w:szCs w:val="28"/>
          <w:highlight w:val="none"/>
          <w:lang w:eastAsia="zh-CN"/>
        </w:rPr>
        <w:t>技术</w:t>
      </w:r>
      <w:r>
        <w:rPr>
          <w:rFonts w:hint="eastAsia" w:ascii="宋体" w:hAnsi="宋体" w:cs="宋体"/>
          <w:color w:val="auto"/>
          <w:sz w:val="28"/>
          <w:szCs w:val="28"/>
          <w:highlight w:val="none"/>
          <w:lang w:eastAsia="zh-CN"/>
        </w:rPr>
        <w:t>方案</w:t>
      </w:r>
    </w:p>
    <w:p w14:paraId="6AA1B0BF">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14:paraId="5B1DFBD6">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(一)商务条款差异表</w:t>
      </w:r>
    </w:p>
    <w:p w14:paraId="311E649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(二)其他资料（格式自拟）</w:t>
      </w:r>
    </w:p>
    <w:p w14:paraId="7499F3B1">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四、资格条件及其他</w:t>
      </w:r>
    </w:p>
    <w:p w14:paraId="0B919CF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 法人营业执照(副本) 或事业单位法人证书(副本)或个体工商户营业执照或有效的自然人身份证明或社会团体法人登记证书复印件</w:t>
      </w:r>
    </w:p>
    <w:p w14:paraId="2B4B4EA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(二)法定代表人身份证明书(格式)</w:t>
      </w:r>
    </w:p>
    <w:p w14:paraId="4828C3B8">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(三)法定代表人授权委托书(格式)</w:t>
      </w:r>
    </w:p>
    <w:p w14:paraId="2A3A128E">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(四)基本资格条件承诺函(格式)</w:t>
      </w:r>
    </w:p>
    <w:p w14:paraId="6765F7F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shd w:val="clear" w:color="auto" w:fill="auto"/>
        </w:rPr>
        <w:t>（五）特定资格条件证书或证明文件</w:t>
      </w:r>
    </w:p>
    <w:p w14:paraId="1D850603">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五、其他资料</w:t>
      </w:r>
    </w:p>
    <w:p w14:paraId="3F6C7E60">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w:t>
      </w:r>
    </w:p>
    <w:p w14:paraId="26A8AAF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5" w:type="default"/>
          <w:footerReference r:id="rId6" w:type="default"/>
          <w:footerReference r:id="rId7" w:type="even"/>
          <w:pgSz w:w="11907" w:h="16840"/>
          <w:pgMar w:top="1134" w:right="1191" w:bottom="1134" w:left="1304" w:header="851" w:footer="992" w:gutter="0"/>
          <w:pgNumType w:fmt="numberInDash"/>
          <w:cols w:space="720" w:num="1"/>
          <w:docGrid w:linePitch="380" w:charSpace="-5735"/>
        </w:sectPr>
      </w:pPr>
    </w:p>
    <w:p w14:paraId="3CB6E13E">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188" w:name="_Toc106034659"/>
      <w:bookmarkStart w:id="189" w:name="_Toc313008356"/>
      <w:bookmarkStart w:id="190" w:name="_Toc313888360"/>
      <w:bookmarkStart w:id="191" w:name="_Toc65660379"/>
      <w:bookmarkStart w:id="192" w:name="_Toc26343"/>
      <w:bookmarkStart w:id="193" w:name="_Toc342913419"/>
      <w:bookmarkStart w:id="194" w:name="_Toc14244"/>
      <w:bookmarkStart w:id="195" w:name="_Toc283382454"/>
      <w:bookmarkStart w:id="196" w:name="_Toc12789073"/>
      <w:r>
        <w:rPr>
          <w:rFonts w:hint="eastAsia" w:ascii="宋体" w:hAnsi="宋体" w:eastAsia="宋体" w:cs="宋体"/>
          <w:color w:val="auto"/>
          <w:sz w:val="24"/>
          <w:highlight w:val="none"/>
        </w:rPr>
        <w:t>一、经济部分</w:t>
      </w:r>
      <w:bookmarkEnd w:id="188"/>
      <w:bookmarkEnd w:id="189"/>
      <w:bookmarkEnd w:id="190"/>
      <w:bookmarkEnd w:id="191"/>
      <w:bookmarkEnd w:id="192"/>
      <w:bookmarkEnd w:id="193"/>
      <w:bookmarkEnd w:id="194"/>
    </w:p>
    <w:bookmarkEnd w:id="195"/>
    <w:bookmarkEnd w:id="196"/>
    <w:p w14:paraId="179813E1">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报价函</w:t>
      </w:r>
    </w:p>
    <w:p w14:paraId="34D77B98">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采购</w:t>
      </w:r>
      <w:r>
        <w:rPr>
          <w:rFonts w:hint="eastAsia" w:ascii="宋体" w:hAnsi="宋体" w:eastAsia="宋体" w:cs="宋体"/>
          <w:b/>
          <w:color w:val="auto"/>
          <w:szCs w:val="28"/>
          <w:highlight w:val="none"/>
          <w:lang w:eastAsia="zh-CN"/>
        </w:rPr>
        <w:t>报价函</w:t>
      </w:r>
    </w:p>
    <w:p w14:paraId="0E6DF8E6">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5CECF4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w:t>
      </w:r>
    </w:p>
    <w:p w14:paraId="1C51534A">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1.愿意按照采购文件中的一切要求，提供本项目的</w:t>
      </w:r>
      <w:r>
        <w:rPr>
          <w:rFonts w:hint="eastAsia" w:ascii="宋体" w:hAnsi="宋体" w:cs="宋体"/>
          <w:color w:val="auto"/>
          <w:sz w:val="24"/>
          <w:szCs w:val="24"/>
          <w:highlight w:val="none"/>
          <w:shd w:val="clear" w:color="auto" w:fill="FFFFFF"/>
          <w:lang w:val="en-US" w:eastAsia="zh-CN"/>
        </w:rPr>
        <w:t>施工</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（其中含安全文明施工费</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w:t>
      </w:r>
    </w:p>
    <w:p w14:paraId="058FA9A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2、我方现提交的响应文件为：响应文件电子文档</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，纸质</w:t>
      </w:r>
      <w:r>
        <w:rPr>
          <w:rFonts w:hint="eastAsia" w:ascii="宋体" w:hAnsi="宋体" w:eastAsia="宋体" w:cs="宋体"/>
          <w:color w:val="auto"/>
          <w:sz w:val="24"/>
          <w:szCs w:val="24"/>
          <w:highlight w:val="none"/>
        </w:rPr>
        <w:t>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 xml:space="preserve"> </w:t>
      </w:r>
    </w:p>
    <w:p w14:paraId="6130682F">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的有效期为90天。</w:t>
      </w:r>
    </w:p>
    <w:p w14:paraId="4AAAC184">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的一切规定和要求及评审办法。</w:t>
      </w:r>
    </w:p>
    <w:p w14:paraId="1ADCAE6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》之规定给予惩罚。</w:t>
      </w:r>
    </w:p>
    <w:p w14:paraId="67BD428E">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0D80369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14:paraId="6629A16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p>
    <w:p w14:paraId="006F9195">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要求缴纳</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代理服务费。</w:t>
      </w:r>
    </w:p>
    <w:p w14:paraId="5E6D6318">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7C83004">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FE90C1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16135B7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14:paraId="66CB3978">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14:paraId="5EFC5D47">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14:paraId="037A134B">
      <w:pPr>
        <w:pStyle w:val="41"/>
        <w:rPr>
          <w:rFonts w:hint="eastAsia" w:ascii="宋体" w:hAnsi="宋体" w:eastAsia="宋体" w:cs="宋体"/>
          <w:color w:val="auto"/>
          <w:sz w:val="24"/>
          <w:szCs w:val="24"/>
          <w:highlight w:val="none"/>
        </w:rPr>
      </w:pPr>
    </w:p>
    <w:p w14:paraId="5A726A8B">
      <w:pPr>
        <w:rPr>
          <w:rFonts w:hint="eastAsia" w:ascii="宋体" w:hAnsi="宋体" w:eastAsia="宋体" w:cs="宋体"/>
          <w:color w:val="auto"/>
          <w:sz w:val="24"/>
          <w:szCs w:val="24"/>
          <w:highlight w:val="none"/>
        </w:rPr>
      </w:pPr>
    </w:p>
    <w:p w14:paraId="2DB7E1FA">
      <w:pPr>
        <w:pStyle w:val="41"/>
        <w:rPr>
          <w:rFonts w:hint="eastAsia" w:ascii="宋体" w:hAnsi="宋体" w:eastAsia="宋体" w:cs="宋体"/>
          <w:color w:val="auto"/>
          <w:sz w:val="24"/>
          <w:szCs w:val="24"/>
          <w:highlight w:val="none"/>
        </w:rPr>
      </w:pPr>
    </w:p>
    <w:p w14:paraId="2002CA74">
      <w:pPr>
        <w:rPr>
          <w:rFonts w:hint="eastAsia" w:ascii="宋体" w:hAnsi="宋体" w:eastAsia="宋体" w:cs="宋体"/>
          <w:color w:val="auto"/>
          <w:sz w:val="24"/>
          <w:szCs w:val="24"/>
          <w:highlight w:val="none"/>
        </w:rPr>
      </w:pPr>
    </w:p>
    <w:p w14:paraId="0FEBFAF6">
      <w:pPr>
        <w:pStyle w:val="41"/>
        <w:rPr>
          <w:rFonts w:hint="eastAsia" w:ascii="宋体" w:hAnsi="宋体" w:eastAsia="宋体" w:cs="宋体"/>
          <w:color w:val="auto"/>
          <w:sz w:val="24"/>
          <w:szCs w:val="24"/>
          <w:highlight w:val="none"/>
        </w:rPr>
      </w:pPr>
    </w:p>
    <w:p w14:paraId="39F87C52">
      <w:pPr>
        <w:rPr>
          <w:rFonts w:hint="eastAsia" w:ascii="宋体" w:hAnsi="宋体" w:eastAsia="宋体" w:cs="宋体"/>
          <w:color w:val="auto"/>
          <w:sz w:val="24"/>
          <w:szCs w:val="24"/>
          <w:highlight w:val="none"/>
        </w:rPr>
      </w:pPr>
    </w:p>
    <w:p w14:paraId="575AAA2F">
      <w:pPr>
        <w:pStyle w:val="41"/>
        <w:rPr>
          <w:rFonts w:hint="eastAsia" w:ascii="宋体" w:hAnsi="宋体" w:eastAsia="宋体" w:cs="宋体"/>
          <w:color w:val="auto"/>
          <w:sz w:val="24"/>
          <w:szCs w:val="24"/>
          <w:highlight w:val="none"/>
        </w:rPr>
      </w:pPr>
    </w:p>
    <w:p w14:paraId="6B29CADE">
      <w:pPr>
        <w:rPr>
          <w:rFonts w:hint="eastAsia" w:ascii="宋体" w:hAnsi="宋体" w:eastAsia="宋体" w:cs="宋体"/>
          <w:color w:val="auto"/>
          <w:sz w:val="24"/>
          <w:szCs w:val="24"/>
          <w:highlight w:val="none"/>
        </w:rPr>
      </w:pPr>
    </w:p>
    <w:p w14:paraId="7F6C3614">
      <w:pPr>
        <w:pStyle w:val="41"/>
        <w:rPr>
          <w:rFonts w:hint="eastAsia" w:ascii="宋体" w:hAnsi="宋体" w:eastAsia="宋体" w:cs="宋体"/>
          <w:color w:val="auto"/>
          <w:sz w:val="24"/>
          <w:szCs w:val="24"/>
          <w:highlight w:val="none"/>
        </w:rPr>
      </w:pPr>
    </w:p>
    <w:p w14:paraId="3671C28F">
      <w:pPr>
        <w:pStyle w:val="41"/>
        <w:jc w:val="both"/>
        <w:rPr>
          <w:rFonts w:hint="eastAsia" w:ascii="宋体" w:hAnsi="宋体" w:eastAsia="宋体" w:cs="宋体"/>
          <w:color w:val="auto"/>
          <w:sz w:val="24"/>
          <w:szCs w:val="24"/>
          <w:highlight w:val="none"/>
        </w:rPr>
      </w:pPr>
    </w:p>
    <w:p w14:paraId="37031DA0">
      <w:pPr>
        <w:pStyle w:val="57"/>
        <w:widowControl/>
        <w:spacing w:beforeAutospacing="0" w:afterAutospacing="0" w:line="500" w:lineRule="exact"/>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（二）已标价工程量清单</w:t>
      </w:r>
    </w:p>
    <w:p w14:paraId="0BD16FD2">
      <w:pPr>
        <w:pStyle w:val="57"/>
        <w:widowControl/>
        <w:spacing w:beforeAutospacing="0" w:afterAutospacing="0" w:line="500" w:lineRule="exact"/>
        <w:ind w:firstLine="480"/>
        <w:jc w:val="center"/>
        <w:rPr>
          <w:rFonts w:hint="eastAsia" w:ascii="宋体" w:hAnsi="宋体" w:eastAsia="宋体" w:cs="宋体"/>
          <w:color w:val="auto"/>
          <w:szCs w:val="24"/>
          <w:highlight w:val="none"/>
        </w:rPr>
      </w:pPr>
      <w:bookmarkStart w:id="197" w:name="_Toc76462351"/>
      <w:bookmarkEnd w:id="197"/>
      <w:r>
        <w:rPr>
          <w:rFonts w:hint="eastAsia" w:ascii="宋体" w:hAnsi="宋体" w:eastAsia="宋体" w:cs="宋体"/>
          <w:color w:val="auto"/>
          <w:szCs w:val="24"/>
          <w:highlight w:val="none"/>
          <w:shd w:val="clear" w:color="auto" w:fill="FFFFFF"/>
        </w:rPr>
        <w:t>根据工程量清单报价</w:t>
      </w:r>
    </w:p>
    <w:p w14:paraId="386B80AF">
      <w:pPr>
        <w:pStyle w:val="57"/>
        <w:widowControl/>
        <w:spacing w:beforeAutospacing="0" w:afterAutospacing="0" w:line="500" w:lineRule="exact"/>
        <w:ind w:firstLine="480"/>
        <w:jc w:val="cente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szCs w:val="24"/>
          <w:highlight w:val="none"/>
          <w:shd w:val="clear" w:color="auto" w:fill="FFFFFF"/>
          <w:lang w:eastAsia="zh-CN"/>
        </w:rPr>
        <w:t>投标人</w:t>
      </w:r>
      <w:r>
        <w:rPr>
          <w:rFonts w:hint="eastAsia" w:ascii="宋体" w:hAnsi="宋体" w:eastAsia="宋体" w:cs="宋体"/>
          <w:color w:val="auto"/>
          <w:szCs w:val="24"/>
          <w:highlight w:val="none"/>
          <w:shd w:val="clear" w:color="auto" w:fill="FFFFFF"/>
        </w:rPr>
        <w:t>按工程量清单格式报价，也装订在响应文件中，也可单独成册）</w:t>
      </w:r>
    </w:p>
    <w:p w14:paraId="502D9CBC">
      <w:pPr>
        <w:pStyle w:val="57"/>
        <w:widowControl/>
        <w:spacing w:beforeAutospacing="0" w:afterAutospacing="0" w:line="500" w:lineRule="exact"/>
        <w:ind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（根据提供的工程量清单报价，可不提供单价分析表。）</w:t>
      </w:r>
    </w:p>
    <w:p w14:paraId="489149B1">
      <w:pPr>
        <w:spacing w:line="500" w:lineRule="exact"/>
        <w:rPr>
          <w:rFonts w:hint="eastAsia" w:ascii="宋体" w:hAnsi="宋体" w:eastAsia="宋体" w:cs="宋体"/>
          <w:color w:val="auto"/>
          <w:kern w:val="0"/>
          <w:sz w:val="24"/>
          <w:szCs w:val="24"/>
          <w:highlight w:val="none"/>
          <w:shd w:val="clear" w:color="auto" w:fill="FFFFFF"/>
          <w:lang w:bidi="ar"/>
        </w:rPr>
      </w:pPr>
    </w:p>
    <w:p w14:paraId="56B66881">
      <w:pPr>
        <w:spacing w:line="500" w:lineRule="exact"/>
        <w:rPr>
          <w:rFonts w:hint="eastAsia" w:ascii="宋体" w:hAnsi="宋体" w:eastAsia="宋体" w:cs="宋体"/>
          <w:color w:val="auto"/>
          <w:kern w:val="0"/>
          <w:sz w:val="24"/>
          <w:szCs w:val="24"/>
          <w:highlight w:val="none"/>
          <w:shd w:val="clear" w:color="auto" w:fill="FFFFFF"/>
          <w:lang w:bidi="ar"/>
        </w:rPr>
      </w:pPr>
    </w:p>
    <w:p w14:paraId="25677454">
      <w:pPr>
        <w:spacing w:line="500" w:lineRule="exact"/>
        <w:rPr>
          <w:rFonts w:hint="eastAsia" w:ascii="宋体" w:hAnsi="宋体" w:eastAsia="宋体" w:cs="宋体"/>
          <w:color w:val="auto"/>
          <w:kern w:val="0"/>
          <w:sz w:val="24"/>
          <w:szCs w:val="24"/>
          <w:highlight w:val="none"/>
          <w:shd w:val="clear" w:color="auto" w:fill="FFFFFF"/>
          <w:lang w:bidi="ar"/>
        </w:rPr>
      </w:pPr>
    </w:p>
    <w:p w14:paraId="428887C0">
      <w:pPr>
        <w:pStyle w:val="348"/>
        <w:spacing w:line="360" w:lineRule="auto"/>
        <w:ind w:left="1680"/>
        <w:rPr>
          <w:rFonts w:hint="eastAsia" w:ascii="宋体" w:hAnsi="宋体" w:eastAsia="宋体" w:cs="宋体"/>
          <w:color w:val="auto"/>
          <w:sz w:val="24"/>
          <w:szCs w:val="24"/>
        </w:rPr>
      </w:pPr>
    </w:p>
    <w:p w14:paraId="450C4535">
      <w:pPr>
        <w:pStyle w:val="348"/>
        <w:spacing w:line="360" w:lineRule="auto"/>
        <w:ind w:left="168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D35E4B1">
      <w:pPr>
        <w:rPr>
          <w:rFonts w:hint="eastAsia" w:ascii="宋体" w:hAnsi="宋体" w:eastAsia="宋体" w:cs="宋体"/>
          <w:color w:val="auto"/>
        </w:rPr>
      </w:pPr>
    </w:p>
    <w:p w14:paraId="507B2055">
      <w:pPr>
        <w:rPr>
          <w:rFonts w:hint="eastAsia" w:ascii="宋体" w:hAnsi="宋体" w:eastAsia="宋体" w:cs="宋体"/>
          <w:color w:val="auto"/>
        </w:rPr>
      </w:pPr>
    </w:p>
    <w:p w14:paraId="46E8D3DA">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名称（公章）或自然人签署：</w:t>
      </w:r>
    </w:p>
    <w:p w14:paraId="01E42874">
      <w:pPr>
        <w:bidi w:val="0"/>
        <w:spacing w:line="360" w:lineRule="auto"/>
        <w:ind w:right="480" w:firstLine="6480" w:firstLineChars="2700"/>
        <w:jc w:val="left"/>
        <w:rPr>
          <w:rFonts w:hint="eastAsia" w:ascii="宋体" w:hAnsi="宋体" w:eastAsia="宋体" w:cs="宋体"/>
          <w:color w:val="auto"/>
          <w:lang w:eastAsia="zh-CN"/>
        </w:rPr>
        <w:sectPr>
          <w:headerReference r:id="rId8" w:type="default"/>
          <w:footerReference r:id="rId9"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年     月   </w:t>
      </w:r>
    </w:p>
    <w:p w14:paraId="594192EA">
      <w:pPr>
        <w:pageBreakBefore w:val="0"/>
        <w:wordWrap/>
        <w:topLinePunct w:val="0"/>
        <w:bidi w:val="0"/>
        <w:adjustRightInd w:val="0"/>
        <w:snapToGrid w:val="0"/>
        <w:spacing w:line="360" w:lineRule="auto"/>
        <w:ind w:firstLine="0" w:firstLineChars="0"/>
        <w:jc w:val="center"/>
        <w:textAlignment w:val="auto"/>
        <w:rPr>
          <w:rFonts w:hint="default" w:ascii="宋体" w:hAnsi="宋体" w:eastAsia="宋体" w:cs="宋体"/>
          <w:color w:val="auto"/>
          <w:sz w:val="24"/>
          <w:highlight w:val="none"/>
        </w:rPr>
      </w:pPr>
      <w:bookmarkStart w:id="198" w:name="_Toc106034660"/>
      <w:bookmarkStart w:id="199" w:name="_Toc313888361"/>
      <w:bookmarkStart w:id="200" w:name="_Toc22655"/>
      <w:bookmarkStart w:id="201" w:name="_Toc65660380"/>
      <w:bookmarkStart w:id="202" w:name="_Toc14073"/>
      <w:bookmarkStart w:id="203" w:name="_Toc313008357"/>
      <w:bookmarkStart w:id="204" w:name="_Toc342913420"/>
      <w:r>
        <w:rPr>
          <w:rFonts w:hint="eastAsia" w:ascii="宋体" w:hAnsi="宋体" w:eastAsia="宋体" w:cs="宋体"/>
          <w:color w:val="auto"/>
          <w:sz w:val="24"/>
          <w:highlight w:val="none"/>
        </w:rPr>
        <w:t>二、</w:t>
      </w:r>
      <w:bookmarkEnd w:id="198"/>
      <w:bookmarkEnd w:id="199"/>
      <w:bookmarkEnd w:id="200"/>
      <w:bookmarkEnd w:id="201"/>
      <w:bookmarkEnd w:id="202"/>
      <w:bookmarkEnd w:id="203"/>
      <w:bookmarkEnd w:id="204"/>
      <w:r>
        <w:rPr>
          <w:rFonts w:hint="eastAsia" w:ascii="宋体" w:hAnsi="宋体" w:eastAsia="宋体" w:cs="宋体"/>
          <w:color w:val="auto"/>
          <w:sz w:val="24"/>
          <w:highlight w:val="none"/>
          <w:lang w:val="en-US" w:eastAsia="zh-CN"/>
        </w:rPr>
        <w:t>技术部分</w:t>
      </w:r>
    </w:p>
    <w:p w14:paraId="47131A6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14:paraId="6225A13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526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14:paraId="1D12AA2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14:paraId="47C94F50">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14:paraId="7DB38315">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14:paraId="39020A32">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7A31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926F1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1B5EB9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9FEDA6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提醒：请注明技术参数或具体内容以及响应文件中技术参数或具体内容的位置（页码）</w:t>
            </w:r>
          </w:p>
        </w:tc>
        <w:tc>
          <w:tcPr>
            <w:tcW w:w="2212" w:type="dxa"/>
            <w:vAlign w:val="center"/>
          </w:tcPr>
          <w:p w14:paraId="65814CA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360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B87827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28F3206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AF6E7C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AC6326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2F23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789DA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D0BCDF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9AC69A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272A728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436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8BB5F7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62F6A91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06BBA9D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0C0CAD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66DC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771F7F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A0C544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2E9328E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5BD1EE3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C04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4065A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45506C2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802E08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4DE754A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5974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B5090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65A83C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6A12B0C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5F9962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48B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65F23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3979DCC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763CB8C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DB670F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0C5D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E4A6B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222612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3FFC09C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19A8EE9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14:paraId="72C8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922D28">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14:paraId="5BD66911">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14:paraId="1C3D3BD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14:paraId="0F2D085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14:paraId="2AC970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76DA96D3">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19C9E6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14:paraId="3547C17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2A17F5E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94A1511">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3CC17D2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cs="宋体"/>
          <w:color w:val="auto"/>
          <w:sz w:val="24"/>
          <w:highlight w:val="none"/>
          <w:lang w:eastAsia="zh-CN"/>
        </w:rPr>
        <w:t>采购文件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不能通过本项目的符合性审查。如“响应情况”栏具体内容和“采购项目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14:paraId="4B1C91A0">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14:paraId="4180CA2A">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14:paraId="41CCA396">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5B36BD56">
      <w:pPr>
        <w:kinsoku/>
        <w:overflowPunct/>
        <w:topLinePunct w:val="0"/>
        <w:autoSpaceDE/>
        <w:autoSpaceDN/>
        <w:bidi w:val="0"/>
        <w:snapToGrid w:val="0"/>
        <w:spacing w:line="360" w:lineRule="auto"/>
        <w:jc w:val="center"/>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方案</w:t>
      </w:r>
    </w:p>
    <w:p w14:paraId="14975DB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可根据本</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文件“第四篇 </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程序及方法、评审标准、无效响应和采购终止→评审标准→</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部分”中的要求提供。</w:t>
      </w:r>
    </w:p>
    <w:p w14:paraId="5E0C4EC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4CB3FEC">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05" w:name="_Toc106034661"/>
      <w:bookmarkStart w:id="206" w:name="_Toc32158"/>
      <w:bookmarkStart w:id="207" w:name="_Toc32339"/>
      <w:bookmarkStart w:id="208" w:name="_Toc65660381"/>
      <w:bookmarkStart w:id="209" w:name="_Toc313008358"/>
      <w:bookmarkStart w:id="210" w:name="_Toc313888362"/>
      <w:bookmarkStart w:id="211" w:name="_Toc342913421"/>
      <w:r>
        <w:rPr>
          <w:rFonts w:hint="eastAsia" w:ascii="宋体" w:hAnsi="宋体" w:eastAsia="宋体" w:cs="宋体"/>
          <w:color w:val="auto"/>
          <w:sz w:val="24"/>
          <w:highlight w:val="none"/>
        </w:rPr>
        <w:t>三、</w:t>
      </w:r>
      <w:bookmarkEnd w:id="205"/>
      <w:bookmarkEnd w:id="206"/>
      <w:bookmarkEnd w:id="207"/>
      <w:bookmarkEnd w:id="208"/>
      <w:r>
        <w:rPr>
          <w:rFonts w:hint="eastAsia" w:ascii="宋体" w:hAnsi="宋体" w:eastAsia="宋体" w:cs="宋体"/>
          <w:color w:val="auto"/>
          <w:sz w:val="24"/>
          <w:highlight w:val="none"/>
        </w:rPr>
        <w:t>商务文件</w:t>
      </w:r>
    </w:p>
    <w:p w14:paraId="543C7CEA">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14:paraId="38716F5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7800F7B8">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3123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14:paraId="2F51424D">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14:paraId="7F681B9A">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14:paraId="48163B9E">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14:paraId="35E3F77F">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4A94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DB17C5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1BACB6D">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51CEF16">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bookmarkStart w:id="212" w:name="_Toc27788"/>
            <w:r>
              <w:rPr>
                <w:rFonts w:hint="eastAsia" w:ascii="宋体" w:hAnsi="宋体" w:eastAsia="宋体" w:cs="宋体"/>
                <w:color w:val="auto"/>
                <w:sz w:val="21"/>
                <w:szCs w:val="21"/>
                <w:highlight w:val="none"/>
              </w:rPr>
              <w:t>提醒：请注明具体内容以及响应文件中具体内容的位置（页码）</w:t>
            </w:r>
            <w:bookmarkEnd w:id="212"/>
          </w:p>
        </w:tc>
        <w:tc>
          <w:tcPr>
            <w:tcW w:w="2359" w:type="dxa"/>
            <w:vAlign w:val="center"/>
          </w:tcPr>
          <w:p w14:paraId="71870B50">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4840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1C8D1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7A031E83">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11C409E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574C687">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193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C24679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76D63EF">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583F16BB">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48EFB03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78BD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D97242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68115784">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6247706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76041F3C">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0F4C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AB38115">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05E767F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12149E42">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462C45A">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14:paraId="6A08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5882A9">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14:paraId="1EA1482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14:paraId="09C1345E">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14:paraId="2C673006">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14:paraId="3544F967">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14:paraId="26208B7C">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02B3F1BF">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5622294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96350D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DB2500D">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14:paraId="7D052DFB">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不能通过本项目的符合性审查。如“响应情况”栏具体内容和“采购项目商务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14:paraId="138FB1E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p>
    <w:p w14:paraId="5F59DCE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项目管理机构组成表</w:t>
      </w:r>
    </w:p>
    <w:tbl>
      <w:tblPr>
        <w:tblStyle w:val="64"/>
        <w:tblW w:w="0" w:type="auto"/>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3C3274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D14D041">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职务</w:t>
            </w:r>
          </w:p>
        </w:tc>
        <w:tc>
          <w:tcPr>
            <w:tcW w:w="734" w:type="dxa"/>
            <w:vMerge w:val="restart"/>
            <w:vAlign w:val="center"/>
          </w:tcPr>
          <w:p w14:paraId="3BF42013">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776" w:type="dxa"/>
            <w:vMerge w:val="restart"/>
            <w:vAlign w:val="center"/>
          </w:tcPr>
          <w:p w14:paraId="771AC45D">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职称</w:t>
            </w:r>
          </w:p>
        </w:tc>
        <w:tc>
          <w:tcPr>
            <w:tcW w:w="6220" w:type="dxa"/>
            <w:gridSpan w:val="5"/>
            <w:vAlign w:val="center"/>
          </w:tcPr>
          <w:p w14:paraId="58865849">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执业或职业资格证明</w:t>
            </w:r>
          </w:p>
        </w:tc>
        <w:tc>
          <w:tcPr>
            <w:tcW w:w="896" w:type="dxa"/>
            <w:vAlign w:val="center"/>
          </w:tcPr>
          <w:p w14:paraId="27022B3A">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5190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5F221E3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vMerge w:val="continue"/>
          </w:tcPr>
          <w:p w14:paraId="23D01F3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vMerge w:val="continue"/>
          </w:tcPr>
          <w:p w14:paraId="123549A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vAlign w:val="center"/>
          </w:tcPr>
          <w:p w14:paraId="4326461E">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证书名称</w:t>
            </w:r>
          </w:p>
        </w:tc>
        <w:tc>
          <w:tcPr>
            <w:tcW w:w="776" w:type="dxa"/>
            <w:vAlign w:val="center"/>
          </w:tcPr>
          <w:p w14:paraId="051931A8">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级别</w:t>
            </w:r>
          </w:p>
        </w:tc>
        <w:tc>
          <w:tcPr>
            <w:tcW w:w="778" w:type="dxa"/>
            <w:vAlign w:val="center"/>
          </w:tcPr>
          <w:p w14:paraId="6A97CF4E">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证号</w:t>
            </w:r>
          </w:p>
        </w:tc>
        <w:tc>
          <w:tcPr>
            <w:tcW w:w="776" w:type="dxa"/>
            <w:vAlign w:val="center"/>
          </w:tcPr>
          <w:p w14:paraId="0479BBE0">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w:t>
            </w:r>
          </w:p>
        </w:tc>
        <w:tc>
          <w:tcPr>
            <w:tcW w:w="2723" w:type="dxa"/>
            <w:vAlign w:val="center"/>
          </w:tcPr>
          <w:p w14:paraId="2A951282">
            <w:pPr>
              <w:autoSpaceDE w:val="0"/>
              <w:autoSpaceDN w:val="0"/>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养老保险</w:t>
            </w:r>
          </w:p>
        </w:tc>
        <w:tc>
          <w:tcPr>
            <w:tcW w:w="896" w:type="dxa"/>
          </w:tcPr>
          <w:p w14:paraId="15C91642">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510888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1C1AAA9">
            <w:pPr>
              <w:autoSpaceDE w:val="0"/>
              <w:autoSpaceDN w:val="0"/>
              <w:adjustRightInd w:val="0"/>
              <w:snapToGrid w:val="0"/>
              <w:jc w:val="center"/>
              <w:rPr>
                <w:rFonts w:hint="eastAsia" w:ascii="宋体" w:hAnsi="宋体" w:eastAsia="宋体" w:cs="宋体"/>
                <w:color w:val="auto"/>
                <w:kern w:val="0"/>
                <w:sz w:val="21"/>
                <w:szCs w:val="21"/>
                <w:highlight w:val="none"/>
              </w:rPr>
            </w:pPr>
          </w:p>
        </w:tc>
        <w:tc>
          <w:tcPr>
            <w:tcW w:w="734" w:type="dxa"/>
          </w:tcPr>
          <w:p w14:paraId="7B40BB0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DA1E6D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0FE098F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7A9DA3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28E3307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02631F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C10747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40B818FE">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21BF6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3E5060E5">
            <w:pPr>
              <w:autoSpaceDE w:val="0"/>
              <w:autoSpaceDN w:val="0"/>
              <w:adjustRightInd w:val="0"/>
              <w:snapToGrid w:val="0"/>
              <w:jc w:val="center"/>
              <w:rPr>
                <w:rFonts w:hint="eastAsia" w:ascii="宋体" w:hAnsi="宋体" w:eastAsia="宋体" w:cs="宋体"/>
                <w:color w:val="auto"/>
                <w:kern w:val="0"/>
                <w:sz w:val="21"/>
                <w:szCs w:val="21"/>
                <w:highlight w:val="none"/>
              </w:rPr>
            </w:pPr>
          </w:p>
        </w:tc>
        <w:tc>
          <w:tcPr>
            <w:tcW w:w="734" w:type="dxa"/>
          </w:tcPr>
          <w:p w14:paraId="2CCE532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8BEF08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64EE766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83A062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3239BD5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92C70A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12522DE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326BD374">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68A922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4E606C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79C8BCE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A0098D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9EFCAF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49F6F1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36453E1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7744DD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31BDCBF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AE90EDB">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0DC54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31BF5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DC2340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70E02A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7AA11C4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F20809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BDA7D9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78A6A1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688FB78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5A06893E">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660FBE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59CD6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E28555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7A88FB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2B582F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95AFA1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4EF7F26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3A2964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A21485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047D0360">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7C6B0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D8DDBB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B48A5D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728597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714B6FF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B04CAB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E95B1F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9DE122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766EC2F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4CFEDEEF">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384A1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DDFCE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38905B7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974D1F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4CFEA9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81E186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4EEC177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47E375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12E7B43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29241C42">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54B81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C8D5E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AB406C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91E062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45AEC4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10B82E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56A54C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EF5AB3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24DDFAC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38BC0F77">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70D92D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77258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5F10CC7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52E7F3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E4971B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98B482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7534DA0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F58D76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42EC686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46FE279D">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38571C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4029E4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C16893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3FDE62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DCF1F2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4C0ACC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7258F7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B37694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447DAA9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6A2FC1C0">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47C31B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5CF4B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DFD61A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6401C2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CF0B25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7B7972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1FF2E75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366CC9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772F4EE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4172A991">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3B086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27A36F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27D494C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E983E3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4BD039A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D98581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4FA0D86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6A883B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33B7106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2E41D57A">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647D93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8E1767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6159E5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6626E66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381D75E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11BF5B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7F2A3F5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EF36405">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300E9A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0BAFAE2B">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06D9F0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74D60E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68C06B6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091417D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02DF422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2B4F24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4B42106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3194ECE">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28C781B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2B105D03">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4FA34E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8D5C92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0C87AD8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15C3C0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540FF4A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E5A94FB">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6B6A248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4238AE9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5A8972E3">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24E5057A">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27AD7B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5B75E3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4E17282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EF623A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5AB0045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9FD265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5D922F3A">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1FA4716">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0FC47E0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78918F52">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1EE7A4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FF9C8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2DC40E8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10562DE1">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2EC376ED">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287642D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0763C229">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7B22FA9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12832FD2">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564DB317">
            <w:pPr>
              <w:autoSpaceDE w:val="0"/>
              <w:autoSpaceDN w:val="0"/>
              <w:adjustRightInd w:val="0"/>
              <w:snapToGrid w:val="0"/>
              <w:jc w:val="left"/>
              <w:rPr>
                <w:rFonts w:hint="eastAsia" w:ascii="宋体" w:hAnsi="宋体" w:eastAsia="宋体" w:cs="宋体"/>
                <w:color w:val="auto"/>
                <w:kern w:val="0"/>
                <w:sz w:val="21"/>
                <w:szCs w:val="21"/>
                <w:highlight w:val="none"/>
              </w:rPr>
            </w:pPr>
          </w:p>
        </w:tc>
      </w:tr>
      <w:tr w14:paraId="71795A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9F0BB34">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34" w:type="dxa"/>
          </w:tcPr>
          <w:p w14:paraId="1C4371E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54392F37">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1167" w:type="dxa"/>
          </w:tcPr>
          <w:p w14:paraId="1C16065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BED9C98">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8" w:type="dxa"/>
          </w:tcPr>
          <w:p w14:paraId="20A2E2D0">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776" w:type="dxa"/>
          </w:tcPr>
          <w:p w14:paraId="3124A88F">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2723" w:type="dxa"/>
          </w:tcPr>
          <w:p w14:paraId="63F2DEDC">
            <w:pPr>
              <w:autoSpaceDE w:val="0"/>
              <w:autoSpaceDN w:val="0"/>
              <w:adjustRightInd w:val="0"/>
              <w:snapToGrid w:val="0"/>
              <w:jc w:val="left"/>
              <w:rPr>
                <w:rFonts w:hint="eastAsia" w:ascii="宋体" w:hAnsi="宋体" w:eastAsia="宋体" w:cs="宋体"/>
                <w:color w:val="auto"/>
                <w:kern w:val="0"/>
                <w:sz w:val="21"/>
                <w:szCs w:val="21"/>
                <w:highlight w:val="none"/>
              </w:rPr>
            </w:pPr>
          </w:p>
        </w:tc>
        <w:tc>
          <w:tcPr>
            <w:tcW w:w="896" w:type="dxa"/>
          </w:tcPr>
          <w:p w14:paraId="3446AF8B">
            <w:pPr>
              <w:autoSpaceDE w:val="0"/>
              <w:autoSpaceDN w:val="0"/>
              <w:adjustRightInd w:val="0"/>
              <w:snapToGrid w:val="0"/>
              <w:jc w:val="left"/>
              <w:rPr>
                <w:rFonts w:hint="eastAsia" w:ascii="宋体" w:hAnsi="宋体" w:eastAsia="宋体" w:cs="宋体"/>
                <w:color w:val="auto"/>
                <w:kern w:val="0"/>
                <w:sz w:val="21"/>
                <w:szCs w:val="21"/>
                <w:highlight w:val="none"/>
              </w:rPr>
            </w:pPr>
          </w:p>
        </w:tc>
      </w:tr>
    </w:tbl>
    <w:p w14:paraId="3C63C37A">
      <w:pPr>
        <w:spacing w:line="20" w:lineRule="exact"/>
        <w:jc w:val="center"/>
        <w:rPr>
          <w:rFonts w:hint="eastAsia" w:ascii="宋体" w:hAnsi="宋体" w:eastAsia="宋体" w:cs="宋体"/>
          <w:color w:val="auto"/>
          <w:szCs w:val="21"/>
          <w:highlight w:val="none"/>
        </w:rPr>
      </w:pPr>
    </w:p>
    <w:p w14:paraId="520581A7">
      <w:pPr>
        <w:pStyle w:val="57"/>
        <w:widowControl/>
        <w:spacing w:beforeAutospacing="0" w:afterAutospacing="0" w:line="500" w:lineRule="exact"/>
        <w:ind w:firstLine="48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备注：本表填写拟派人员相关信息，后附相关证明材料。</w:t>
      </w:r>
    </w:p>
    <w:p w14:paraId="7E3BC36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105715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29DD68D6">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2E61B0D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498B137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28D7E31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2897C00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73371F5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14:paraId="239C67AD">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13" w:name="_Toc20162"/>
      <w:bookmarkStart w:id="214" w:name="_Toc106034662"/>
      <w:bookmarkStart w:id="215" w:name="_Toc2082"/>
      <w:bookmarkStart w:id="216" w:name="_Toc65660382"/>
      <w:r>
        <w:rPr>
          <w:rFonts w:hint="eastAsia" w:ascii="宋体" w:hAnsi="宋体" w:eastAsia="宋体" w:cs="宋体"/>
          <w:color w:val="auto"/>
          <w:sz w:val="24"/>
          <w:highlight w:val="none"/>
        </w:rPr>
        <w:t>四、</w:t>
      </w:r>
      <w:bookmarkEnd w:id="209"/>
      <w:bookmarkEnd w:id="210"/>
      <w:bookmarkEnd w:id="211"/>
      <w:r>
        <w:rPr>
          <w:rFonts w:hint="eastAsia" w:ascii="宋体" w:hAnsi="宋体" w:eastAsia="宋体" w:cs="宋体"/>
          <w:color w:val="auto"/>
          <w:sz w:val="24"/>
          <w:highlight w:val="none"/>
        </w:rPr>
        <w:t>资格条件及其他</w:t>
      </w:r>
      <w:bookmarkEnd w:id="213"/>
      <w:bookmarkEnd w:id="214"/>
      <w:bookmarkEnd w:id="215"/>
      <w:bookmarkEnd w:id="216"/>
      <w:bookmarkStart w:id="217" w:name="_Toc313888363"/>
      <w:bookmarkStart w:id="218" w:name="_Toc342913422"/>
      <w:bookmarkStart w:id="219" w:name="_Toc313008359"/>
    </w:p>
    <w:p w14:paraId="30002272">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14:paraId="79FF419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14:paraId="03307082">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4AFE28A6">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7562A382">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3848E57B">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14:paraId="0DACF457">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2CEBF61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C6DEA27">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3733CD3">
      <w:pPr>
        <w:tabs>
          <w:tab w:val="left" w:pos="6300"/>
        </w:tabs>
        <w:snapToGrid w:val="0"/>
        <w:spacing w:line="500" w:lineRule="exact"/>
        <w:ind w:firstLine="570"/>
        <w:rPr>
          <w:rFonts w:hint="eastAsia" w:ascii="宋体" w:hAnsi="宋体" w:eastAsia="宋体" w:cs="宋体"/>
          <w:color w:val="auto"/>
          <w:sz w:val="24"/>
          <w:szCs w:val="24"/>
          <w:highlight w:val="none"/>
        </w:rPr>
      </w:pPr>
    </w:p>
    <w:p w14:paraId="5984CC42">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56F2FEA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3339CD2">
      <w:pPr>
        <w:tabs>
          <w:tab w:val="left" w:pos="6300"/>
        </w:tabs>
        <w:snapToGrid w:val="0"/>
        <w:spacing w:line="500" w:lineRule="exact"/>
        <w:ind w:firstLine="570"/>
        <w:rPr>
          <w:rFonts w:hint="eastAsia" w:ascii="宋体" w:hAnsi="宋体" w:eastAsia="宋体" w:cs="宋体"/>
          <w:color w:val="auto"/>
          <w:sz w:val="24"/>
          <w:szCs w:val="24"/>
          <w:highlight w:val="none"/>
        </w:rPr>
      </w:pPr>
    </w:p>
    <w:p w14:paraId="1D6F3B5C">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5B30886">
      <w:pPr>
        <w:tabs>
          <w:tab w:val="left" w:pos="6300"/>
        </w:tabs>
        <w:snapToGrid w:val="0"/>
        <w:spacing w:line="500" w:lineRule="exact"/>
        <w:ind w:firstLine="570"/>
        <w:rPr>
          <w:rFonts w:hint="eastAsia" w:ascii="宋体" w:hAnsi="宋体" w:eastAsia="宋体" w:cs="宋体"/>
          <w:color w:val="auto"/>
          <w:sz w:val="24"/>
          <w:szCs w:val="24"/>
          <w:highlight w:val="none"/>
        </w:rPr>
      </w:pPr>
    </w:p>
    <w:p w14:paraId="57CF157C">
      <w:pPr>
        <w:tabs>
          <w:tab w:val="left" w:pos="6300"/>
        </w:tabs>
        <w:snapToGrid w:val="0"/>
        <w:spacing w:line="500" w:lineRule="exact"/>
        <w:ind w:firstLine="570"/>
        <w:rPr>
          <w:rFonts w:hint="eastAsia" w:ascii="宋体" w:hAnsi="宋体" w:eastAsia="宋体" w:cs="宋体"/>
          <w:color w:val="auto"/>
          <w:sz w:val="24"/>
          <w:szCs w:val="24"/>
          <w:highlight w:val="none"/>
        </w:rPr>
      </w:pPr>
    </w:p>
    <w:p w14:paraId="7EE02CDA">
      <w:pPr>
        <w:tabs>
          <w:tab w:val="left" w:pos="6300"/>
        </w:tabs>
        <w:snapToGrid w:val="0"/>
        <w:spacing w:line="500" w:lineRule="exact"/>
        <w:ind w:firstLine="570"/>
        <w:rPr>
          <w:rFonts w:hint="eastAsia" w:ascii="宋体" w:hAnsi="宋体" w:eastAsia="宋体" w:cs="宋体"/>
          <w:color w:val="auto"/>
          <w:sz w:val="24"/>
          <w:szCs w:val="24"/>
          <w:highlight w:val="none"/>
        </w:rPr>
      </w:pPr>
    </w:p>
    <w:p w14:paraId="6BA499E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14:paraId="4C535525">
      <w:pPr>
        <w:tabs>
          <w:tab w:val="left" w:pos="6300"/>
        </w:tabs>
        <w:snapToGrid w:val="0"/>
        <w:spacing w:line="500" w:lineRule="exact"/>
        <w:ind w:firstLine="570"/>
        <w:rPr>
          <w:rFonts w:hint="eastAsia" w:ascii="宋体" w:hAnsi="宋体" w:eastAsia="宋体" w:cs="宋体"/>
          <w:color w:val="auto"/>
          <w:sz w:val="24"/>
          <w:szCs w:val="24"/>
          <w:highlight w:val="none"/>
        </w:rPr>
      </w:pPr>
    </w:p>
    <w:p w14:paraId="7165BE3B">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AF89ECA">
      <w:pPr>
        <w:tabs>
          <w:tab w:val="left" w:pos="6300"/>
        </w:tabs>
        <w:snapToGrid w:val="0"/>
        <w:spacing w:line="500" w:lineRule="exact"/>
        <w:ind w:firstLine="570"/>
        <w:rPr>
          <w:rFonts w:hint="eastAsia" w:ascii="宋体" w:hAnsi="宋体" w:eastAsia="宋体" w:cs="宋体"/>
          <w:color w:val="auto"/>
          <w:sz w:val="24"/>
          <w:szCs w:val="24"/>
          <w:highlight w:val="none"/>
        </w:rPr>
      </w:pPr>
    </w:p>
    <w:p w14:paraId="2F266B3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的可不填写）</w:t>
      </w:r>
    </w:p>
    <w:p w14:paraId="7EAF10AE">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2444B88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2E597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878C3A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516FB0A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A7ACB5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6589429">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6625518">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4F7FB68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EE0E7F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szCs w:val="28"/>
          <w:highlight w:val="none"/>
          <w:lang w:eastAsia="zh-CN"/>
        </w:rPr>
        <w:t>采购</w:t>
      </w: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07E00EF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701A98A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D47A52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、签约等具体工作，并签署全部有关文件、协议及合同。</w:t>
      </w:r>
    </w:p>
    <w:p w14:paraId="167B32F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049FBFF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039052C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B9BF49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34A43995">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14:paraId="086FAF5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14:paraId="5E97012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14:paraId="482D0AB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4B04D9AD">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B0195F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6B97F914">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12608A9C">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2EBCF24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7012D2E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351F962">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（若法定代表人办理并签字响应文件的可不填写）</w:t>
      </w:r>
    </w:p>
    <w:p w14:paraId="5C26240F">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6E11C6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1.若为法定代表人办理并签字响应文件的，不提供此文件。</w:t>
      </w:r>
    </w:p>
    <w:p w14:paraId="572189F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4ADF118B">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7DCE0476">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14:paraId="1CFAD881">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14:paraId="5A3607C8">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14:paraId="6BAE1667">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14:paraId="4E7712AE">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5BB2E093">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BD80721">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、采购代理机构的检查验证，配合提供相关证明材料，证明符合《中华人民共和国政府采购法》及</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14:paraId="5FCBA73B">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39A4E83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9E112FA">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14:paraId="098A9BE1">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14:paraId="59C5F450">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346EFA5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20" w:name="_Toc76462354"/>
      <w:bookmarkStart w:id="221" w:name="_Toc3833"/>
      <w:bookmarkStart w:id="222" w:name="_Toc106034663"/>
      <w:bookmarkStart w:id="223" w:name="_Toc17010"/>
      <w:bookmarkStart w:id="224" w:name="_Toc2080"/>
      <w:bookmarkStart w:id="225" w:name="_Toc65660383"/>
    </w:p>
    <w:p w14:paraId="04471CD1">
      <w:pPr>
        <w:spacing w:line="500" w:lineRule="exact"/>
        <w:jc w:val="center"/>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服务承诺</w:t>
      </w:r>
    </w:p>
    <w:p w14:paraId="250FA50B">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我公司参与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项目的</w:t>
      </w:r>
      <w:r>
        <w:rPr>
          <w:rFonts w:hint="eastAsia" w:ascii="宋体" w:hAnsi="宋体" w:cs="宋体"/>
          <w:color w:val="auto"/>
          <w:kern w:val="0"/>
          <w:sz w:val="24"/>
          <w:szCs w:val="24"/>
          <w:highlight w:val="none"/>
          <w:shd w:val="clear" w:color="auto" w:fill="FFFFFF"/>
          <w:lang w:eastAsia="zh-CN" w:bidi="ar"/>
        </w:rPr>
        <w:t>投标</w:t>
      </w:r>
      <w:r>
        <w:rPr>
          <w:rFonts w:hint="eastAsia" w:ascii="宋体" w:hAnsi="宋体" w:eastAsia="宋体" w:cs="宋体"/>
          <w:color w:val="auto"/>
          <w:kern w:val="0"/>
          <w:sz w:val="24"/>
          <w:szCs w:val="24"/>
          <w:highlight w:val="none"/>
          <w:shd w:val="clear" w:color="auto" w:fill="FFFFFF"/>
          <w:lang w:bidi="ar"/>
        </w:rPr>
        <w:t>，若</w:t>
      </w:r>
      <w:r>
        <w:rPr>
          <w:rFonts w:hint="eastAsia" w:ascii="宋体" w:hAnsi="宋体" w:eastAsia="宋体" w:cs="宋体"/>
          <w:color w:val="auto"/>
          <w:kern w:val="0"/>
          <w:sz w:val="24"/>
          <w:szCs w:val="24"/>
          <w:highlight w:val="none"/>
          <w:shd w:val="clear" w:color="auto" w:fill="FFFFFF"/>
          <w:lang w:eastAsia="zh-CN" w:bidi="ar"/>
        </w:rPr>
        <w:t>中标</w:t>
      </w:r>
      <w:r>
        <w:rPr>
          <w:rFonts w:hint="eastAsia" w:ascii="宋体" w:hAnsi="宋体" w:eastAsia="宋体" w:cs="宋体"/>
          <w:color w:val="auto"/>
          <w:kern w:val="0"/>
          <w:sz w:val="24"/>
          <w:szCs w:val="24"/>
          <w:highlight w:val="none"/>
          <w:shd w:val="clear" w:color="auto" w:fill="FFFFFF"/>
          <w:lang w:bidi="ar"/>
        </w:rPr>
        <w:t>，将按如下承诺实施：</w:t>
      </w:r>
    </w:p>
    <w:p w14:paraId="5B53A605">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1、我公司承诺本项目全部内容在合同签订之日起        日历天内完成。</w:t>
      </w:r>
    </w:p>
    <w:p w14:paraId="0365C889">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2、我公司承诺本工程质保期为：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5EE1E833">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3、我公司承诺本工程质量达到：</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69B4DFFD">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4、其他优惠承诺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w:t>
      </w:r>
    </w:p>
    <w:p w14:paraId="052297F1">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176A00D2">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22730A91">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24B0E288">
      <w:pPr>
        <w:spacing w:line="500" w:lineRule="exact"/>
        <w:ind w:firstLine="480" w:firstLineChars="200"/>
        <w:rPr>
          <w:rFonts w:hint="eastAsia" w:ascii="宋体" w:hAnsi="宋体" w:eastAsia="宋体" w:cs="宋体"/>
          <w:color w:val="auto"/>
          <w:kern w:val="0"/>
          <w:sz w:val="24"/>
          <w:szCs w:val="24"/>
          <w:highlight w:val="none"/>
          <w:shd w:val="clear" w:color="auto" w:fill="FFFFFF"/>
          <w:lang w:bidi="ar"/>
        </w:rPr>
      </w:pPr>
    </w:p>
    <w:p w14:paraId="7EB7A33F">
      <w:pPr>
        <w:spacing w:line="500" w:lineRule="exact"/>
        <w:ind w:firstLine="6120" w:firstLineChars="255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投标人</w:t>
      </w:r>
      <w:r>
        <w:rPr>
          <w:rFonts w:hint="eastAsia" w:ascii="宋体" w:hAnsi="宋体" w:eastAsia="宋体" w:cs="宋体"/>
          <w:color w:val="auto"/>
          <w:kern w:val="0"/>
          <w:sz w:val="24"/>
          <w:szCs w:val="24"/>
          <w:highlight w:val="none"/>
          <w:shd w:val="clear" w:color="auto" w:fill="FFFFFF"/>
          <w:lang w:bidi="ar"/>
        </w:rPr>
        <w:t>（鲜章）：</w:t>
      </w:r>
    </w:p>
    <w:p w14:paraId="7D66B698">
      <w:pPr>
        <w:spacing w:line="500" w:lineRule="exact"/>
        <w:ind w:firstLine="6240" w:firstLineChars="2600"/>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时间：</w:t>
      </w:r>
    </w:p>
    <w:p w14:paraId="5E7A3882">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1D08EE4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E37CAB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24873D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2D78829">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F4D742A">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9A8E3E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6CDDC2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9D8DE86">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281010C">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60D9F432">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845C98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9018417">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F24822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4A4CB3F">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4D2EB96C">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0FB8B0F5">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20CF05B">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538E52A6">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779588C9">
      <w:pPr>
        <w:pStyle w:val="57"/>
        <w:widowControl/>
        <w:spacing w:beforeAutospacing="0" w:afterAutospacing="0" w:line="500" w:lineRule="exact"/>
        <w:ind w:firstLine="2160" w:firstLineChars="900"/>
        <w:rPr>
          <w:rFonts w:hint="eastAsia" w:ascii="宋体" w:hAnsi="宋体" w:eastAsia="宋体" w:cs="宋体"/>
          <w:color w:val="auto"/>
          <w:highlight w:val="none"/>
        </w:rPr>
      </w:pPr>
      <w:r>
        <w:rPr>
          <w:rFonts w:hint="eastAsia" w:ascii="宋体" w:hAnsi="宋体" w:eastAsia="宋体" w:cs="宋体"/>
          <w:color w:val="auto"/>
          <w:szCs w:val="24"/>
          <w:highlight w:val="none"/>
          <w:shd w:val="clear" w:color="auto" w:fill="FFFFFF"/>
        </w:rPr>
        <w:t>（五）特定资格条件证书或证明文件</w:t>
      </w:r>
    </w:p>
    <w:p w14:paraId="2091773A">
      <w:pPr>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br w:type="page"/>
      </w:r>
    </w:p>
    <w:p w14:paraId="66098F1D">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22EE9268">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20"/>
      <w:bookmarkEnd w:id="221"/>
    </w:p>
    <w:p w14:paraId="4476BCB6">
      <w:pPr>
        <w:pageBreakBefore w:val="0"/>
        <w:wordWrap/>
        <w:topLinePunct w:val="0"/>
        <w:bidi w:val="0"/>
        <w:snapToGrid w:val="0"/>
        <w:spacing w:line="360" w:lineRule="auto"/>
        <w:ind w:firstLine="720" w:firstLineChars="3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14:paraId="47D3C6DD">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BA7E5C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C20FE2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251A73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DABEC45">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192DC949">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99E846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13F1DAB">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2231E10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3908EBA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04E3570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2553D34">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52D49D02">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715FE9D0">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tbl>
      <w:tblPr>
        <w:tblStyle w:val="64"/>
        <w:tblpPr w:leftFromText="180" w:rightFromText="180" w:vertAnchor="text" w:horzAnchor="page" w:tblpX="1587" w:tblpY="-56"/>
        <w:tblOverlap w:val="never"/>
        <w:tblW w:w="9546" w:type="dxa"/>
        <w:tblInd w:w="0" w:type="dxa"/>
        <w:tblLayout w:type="autofit"/>
        <w:tblCellMar>
          <w:top w:w="0" w:type="dxa"/>
          <w:left w:w="108" w:type="dxa"/>
          <w:bottom w:w="0" w:type="dxa"/>
          <w:right w:w="108" w:type="dxa"/>
        </w:tblCellMar>
      </w:tblPr>
      <w:tblGrid>
        <w:gridCol w:w="1327"/>
        <w:gridCol w:w="1699"/>
        <w:gridCol w:w="1514"/>
        <w:gridCol w:w="894"/>
        <w:gridCol w:w="1179"/>
        <w:gridCol w:w="1407"/>
        <w:gridCol w:w="1526"/>
      </w:tblGrid>
      <w:tr w14:paraId="0B0EED0F">
        <w:tblPrEx>
          <w:tblCellMar>
            <w:top w:w="0" w:type="dxa"/>
            <w:left w:w="108" w:type="dxa"/>
            <w:bottom w:w="0" w:type="dxa"/>
            <w:right w:w="108" w:type="dxa"/>
          </w:tblCellMar>
        </w:tblPrEx>
        <w:trPr>
          <w:trHeight w:val="456" w:hRule="atLeast"/>
        </w:trPr>
        <w:tc>
          <w:tcPr>
            <w:tcW w:w="9546" w:type="dxa"/>
            <w:gridSpan w:val="7"/>
            <w:tcBorders>
              <w:top w:val="nil"/>
              <w:left w:val="nil"/>
              <w:bottom w:val="nil"/>
              <w:right w:val="nil"/>
            </w:tcBorders>
            <w:noWrap/>
            <w:vAlign w:val="center"/>
          </w:tcPr>
          <w:p w14:paraId="3BBBDA69">
            <w:pPr>
              <w:widowControl/>
              <w:spacing w:line="500" w:lineRule="exact"/>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投标保证金退还申请表</w:t>
            </w:r>
          </w:p>
        </w:tc>
      </w:tr>
      <w:tr w14:paraId="5172537B">
        <w:tblPrEx>
          <w:tblCellMar>
            <w:top w:w="0" w:type="dxa"/>
            <w:left w:w="108" w:type="dxa"/>
            <w:bottom w:w="0" w:type="dxa"/>
            <w:right w:w="108" w:type="dxa"/>
          </w:tblCellMar>
        </w:tblPrEx>
        <w:trPr>
          <w:trHeight w:val="714" w:hRule="atLeast"/>
        </w:trPr>
        <w:tc>
          <w:tcPr>
            <w:tcW w:w="1327" w:type="dxa"/>
            <w:tcBorders>
              <w:top w:val="single" w:color="auto" w:sz="4" w:space="0"/>
              <w:left w:val="single" w:color="auto" w:sz="4" w:space="0"/>
              <w:bottom w:val="single" w:color="auto" w:sz="4" w:space="0"/>
              <w:right w:val="single" w:color="auto" w:sz="4" w:space="0"/>
            </w:tcBorders>
            <w:noWrap/>
            <w:vAlign w:val="center"/>
          </w:tcPr>
          <w:p w14:paraId="06E743BC">
            <w:pPr>
              <w:widowControl/>
              <w:spacing w:line="50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投标项目名称</w:t>
            </w:r>
          </w:p>
        </w:tc>
        <w:tc>
          <w:tcPr>
            <w:tcW w:w="8219" w:type="dxa"/>
            <w:gridSpan w:val="6"/>
            <w:tcBorders>
              <w:top w:val="single" w:color="auto" w:sz="4" w:space="0"/>
              <w:left w:val="nil"/>
              <w:bottom w:val="single" w:color="auto" w:sz="4" w:space="0"/>
              <w:right w:val="single" w:color="auto" w:sz="4" w:space="0"/>
            </w:tcBorders>
            <w:noWrap/>
            <w:vAlign w:val="center"/>
          </w:tcPr>
          <w:p w14:paraId="34A22F35">
            <w:pPr>
              <w:widowControl/>
              <w:spacing w:line="500" w:lineRule="exact"/>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　</w:t>
            </w:r>
          </w:p>
        </w:tc>
      </w:tr>
      <w:tr w14:paraId="3373784D">
        <w:tblPrEx>
          <w:tblCellMar>
            <w:top w:w="0" w:type="dxa"/>
            <w:left w:w="108" w:type="dxa"/>
            <w:bottom w:w="0" w:type="dxa"/>
            <w:right w:w="108" w:type="dxa"/>
          </w:tblCellMar>
        </w:tblPrEx>
        <w:trPr>
          <w:trHeight w:val="714" w:hRule="atLeast"/>
        </w:trPr>
        <w:tc>
          <w:tcPr>
            <w:tcW w:w="1327" w:type="dxa"/>
            <w:vMerge w:val="restart"/>
            <w:tcBorders>
              <w:top w:val="nil"/>
              <w:left w:val="single" w:color="auto" w:sz="4" w:space="0"/>
              <w:bottom w:val="single" w:color="auto" w:sz="4" w:space="0"/>
              <w:right w:val="single" w:color="auto" w:sz="4" w:space="0"/>
            </w:tcBorders>
            <w:noWrap/>
            <w:textDirection w:val="tbRlV"/>
            <w:vAlign w:val="center"/>
          </w:tcPr>
          <w:p w14:paraId="440A969B">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交款单位信息</w:t>
            </w:r>
          </w:p>
        </w:tc>
        <w:tc>
          <w:tcPr>
            <w:tcW w:w="1699" w:type="dxa"/>
            <w:tcBorders>
              <w:top w:val="nil"/>
              <w:left w:val="nil"/>
              <w:bottom w:val="single" w:color="auto" w:sz="4" w:space="0"/>
              <w:right w:val="single" w:color="auto" w:sz="4" w:space="0"/>
            </w:tcBorders>
            <w:noWrap/>
            <w:vAlign w:val="center"/>
          </w:tcPr>
          <w:p w14:paraId="37A71F97">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名称</w:t>
            </w:r>
          </w:p>
        </w:tc>
        <w:tc>
          <w:tcPr>
            <w:tcW w:w="6520" w:type="dxa"/>
            <w:gridSpan w:val="5"/>
            <w:tcBorders>
              <w:top w:val="single" w:color="auto" w:sz="4" w:space="0"/>
              <w:left w:val="nil"/>
              <w:bottom w:val="single" w:color="auto" w:sz="4" w:space="0"/>
              <w:right w:val="single" w:color="auto" w:sz="4" w:space="0"/>
            </w:tcBorders>
            <w:noWrap/>
            <w:vAlign w:val="center"/>
          </w:tcPr>
          <w:p w14:paraId="4D62D141">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AAC630B">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1E0745CC">
            <w:pPr>
              <w:widowControl/>
              <w:spacing w:line="500" w:lineRule="exact"/>
              <w:jc w:val="left"/>
              <w:rPr>
                <w:rFonts w:hint="eastAsia" w:ascii="宋体" w:hAnsi="宋体" w:eastAsia="宋体" w:cs="宋体"/>
                <w:color w:val="auto"/>
                <w:kern w:val="0"/>
                <w:sz w:val="22"/>
                <w:szCs w:val="22"/>
                <w:highlight w:val="none"/>
              </w:rPr>
            </w:pPr>
          </w:p>
        </w:tc>
        <w:tc>
          <w:tcPr>
            <w:tcW w:w="1699" w:type="dxa"/>
            <w:tcBorders>
              <w:top w:val="nil"/>
              <w:left w:val="nil"/>
              <w:bottom w:val="single" w:color="auto" w:sz="4" w:space="0"/>
              <w:right w:val="single" w:color="auto" w:sz="4" w:space="0"/>
            </w:tcBorders>
            <w:noWrap/>
            <w:vAlign w:val="center"/>
          </w:tcPr>
          <w:p w14:paraId="2F0755AE">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户名</w:t>
            </w:r>
          </w:p>
        </w:tc>
        <w:tc>
          <w:tcPr>
            <w:tcW w:w="6520" w:type="dxa"/>
            <w:gridSpan w:val="5"/>
            <w:tcBorders>
              <w:top w:val="single" w:color="auto" w:sz="4" w:space="0"/>
              <w:left w:val="nil"/>
              <w:bottom w:val="single" w:color="auto" w:sz="4" w:space="0"/>
              <w:right w:val="single" w:color="auto" w:sz="4" w:space="0"/>
            </w:tcBorders>
            <w:noWrap/>
            <w:vAlign w:val="center"/>
          </w:tcPr>
          <w:p w14:paraId="0AEBC51C">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EC39BE3">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4201C5E4">
            <w:pPr>
              <w:widowControl/>
              <w:spacing w:line="500" w:lineRule="exact"/>
              <w:jc w:val="left"/>
              <w:rPr>
                <w:rFonts w:hint="eastAsia" w:ascii="宋体" w:hAnsi="宋体" w:eastAsia="宋体" w:cs="宋体"/>
                <w:color w:val="auto"/>
                <w:kern w:val="0"/>
                <w:sz w:val="22"/>
                <w:szCs w:val="22"/>
                <w:highlight w:val="none"/>
              </w:rPr>
            </w:pPr>
          </w:p>
        </w:tc>
        <w:tc>
          <w:tcPr>
            <w:tcW w:w="1699" w:type="dxa"/>
            <w:tcBorders>
              <w:top w:val="nil"/>
              <w:left w:val="nil"/>
              <w:bottom w:val="single" w:color="auto" w:sz="4" w:space="0"/>
              <w:right w:val="single" w:color="auto" w:sz="4" w:space="0"/>
            </w:tcBorders>
            <w:noWrap/>
            <w:vAlign w:val="center"/>
          </w:tcPr>
          <w:p w14:paraId="767028C0">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账号</w:t>
            </w:r>
          </w:p>
        </w:tc>
        <w:tc>
          <w:tcPr>
            <w:tcW w:w="6520" w:type="dxa"/>
            <w:gridSpan w:val="5"/>
            <w:tcBorders>
              <w:top w:val="single" w:color="auto" w:sz="4" w:space="0"/>
              <w:left w:val="nil"/>
              <w:bottom w:val="single" w:color="auto" w:sz="4" w:space="0"/>
              <w:right w:val="single" w:color="auto" w:sz="4" w:space="0"/>
            </w:tcBorders>
            <w:noWrap/>
            <w:vAlign w:val="center"/>
          </w:tcPr>
          <w:p w14:paraId="75860872">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4E6CE8E">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14:paraId="1F7EB9B4">
            <w:pPr>
              <w:widowControl/>
              <w:spacing w:line="500" w:lineRule="exact"/>
              <w:jc w:val="left"/>
              <w:rPr>
                <w:rFonts w:hint="eastAsia" w:ascii="宋体" w:hAnsi="宋体" w:eastAsia="宋体" w:cs="宋体"/>
                <w:color w:val="auto"/>
                <w:kern w:val="0"/>
                <w:sz w:val="22"/>
                <w:szCs w:val="22"/>
                <w:highlight w:val="none"/>
              </w:rPr>
            </w:pPr>
          </w:p>
        </w:tc>
        <w:tc>
          <w:tcPr>
            <w:tcW w:w="1699" w:type="dxa"/>
            <w:tcBorders>
              <w:top w:val="nil"/>
              <w:left w:val="nil"/>
              <w:bottom w:val="single" w:color="auto" w:sz="4" w:space="0"/>
              <w:right w:val="single" w:color="auto" w:sz="4" w:space="0"/>
            </w:tcBorders>
            <w:noWrap/>
            <w:vAlign w:val="center"/>
          </w:tcPr>
          <w:p w14:paraId="66F1C11B">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开户行</w:t>
            </w:r>
          </w:p>
        </w:tc>
        <w:tc>
          <w:tcPr>
            <w:tcW w:w="6520" w:type="dxa"/>
            <w:gridSpan w:val="5"/>
            <w:tcBorders>
              <w:top w:val="single" w:color="auto" w:sz="4" w:space="0"/>
              <w:left w:val="nil"/>
              <w:bottom w:val="single" w:color="auto" w:sz="4" w:space="0"/>
              <w:right w:val="single" w:color="auto" w:sz="4" w:space="0"/>
            </w:tcBorders>
            <w:noWrap/>
            <w:vAlign w:val="center"/>
          </w:tcPr>
          <w:p w14:paraId="79114A9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1776E069">
        <w:tblPrEx>
          <w:tblCellMar>
            <w:top w:w="0" w:type="dxa"/>
            <w:left w:w="108" w:type="dxa"/>
            <w:bottom w:w="0" w:type="dxa"/>
            <w:right w:w="108" w:type="dxa"/>
          </w:tblCellMar>
        </w:tblPrEx>
        <w:trPr>
          <w:trHeight w:val="714" w:hRule="atLeast"/>
        </w:trPr>
        <w:tc>
          <w:tcPr>
            <w:tcW w:w="1327" w:type="dxa"/>
            <w:tcBorders>
              <w:top w:val="nil"/>
              <w:left w:val="single" w:color="auto" w:sz="4" w:space="0"/>
              <w:bottom w:val="single" w:color="auto" w:sz="4" w:space="0"/>
              <w:right w:val="single" w:color="auto" w:sz="4" w:space="0"/>
            </w:tcBorders>
            <w:noWrap/>
            <w:vAlign w:val="center"/>
          </w:tcPr>
          <w:p w14:paraId="04403E2D">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保证金缴纳信息</w:t>
            </w:r>
          </w:p>
        </w:tc>
        <w:tc>
          <w:tcPr>
            <w:tcW w:w="1699" w:type="dxa"/>
            <w:tcBorders>
              <w:top w:val="nil"/>
              <w:left w:val="nil"/>
              <w:bottom w:val="single" w:color="auto" w:sz="4" w:space="0"/>
              <w:right w:val="single" w:color="auto" w:sz="4" w:space="0"/>
            </w:tcBorders>
            <w:noWrap/>
            <w:vAlign w:val="center"/>
          </w:tcPr>
          <w:p w14:paraId="08ADEED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缴纳金额（元）</w:t>
            </w:r>
          </w:p>
        </w:tc>
        <w:tc>
          <w:tcPr>
            <w:tcW w:w="2408" w:type="dxa"/>
            <w:gridSpan w:val="2"/>
            <w:tcBorders>
              <w:top w:val="single" w:color="auto" w:sz="4" w:space="0"/>
              <w:left w:val="nil"/>
              <w:bottom w:val="single" w:color="auto" w:sz="4" w:space="0"/>
              <w:right w:val="single" w:color="auto" w:sz="4" w:space="0"/>
            </w:tcBorders>
            <w:noWrap/>
            <w:vAlign w:val="center"/>
          </w:tcPr>
          <w:p w14:paraId="05CC749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179" w:type="dxa"/>
            <w:tcBorders>
              <w:top w:val="nil"/>
              <w:left w:val="nil"/>
              <w:bottom w:val="single" w:color="auto" w:sz="4" w:space="0"/>
              <w:right w:val="single" w:color="auto" w:sz="4" w:space="0"/>
            </w:tcBorders>
            <w:noWrap/>
            <w:vAlign w:val="center"/>
          </w:tcPr>
          <w:p w14:paraId="5BD4276D">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缴纳日期</w:t>
            </w:r>
          </w:p>
        </w:tc>
        <w:tc>
          <w:tcPr>
            <w:tcW w:w="2933" w:type="dxa"/>
            <w:gridSpan w:val="2"/>
            <w:tcBorders>
              <w:top w:val="single" w:color="auto" w:sz="4" w:space="0"/>
              <w:left w:val="nil"/>
              <w:bottom w:val="single" w:color="auto" w:sz="4" w:space="0"/>
              <w:right w:val="single" w:color="auto" w:sz="4" w:space="0"/>
            </w:tcBorders>
            <w:noWrap/>
            <w:vAlign w:val="center"/>
          </w:tcPr>
          <w:p w14:paraId="19E819F7">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7CF151D">
        <w:tblPrEx>
          <w:tblCellMar>
            <w:top w:w="0" w:type="dxa"/>
            <w:left w:w="108" w:type="dxa"/>
            <w:bottom w:w="0" w:type="dxa"/>
            <w:right w:w="108" w:type="dxa"/>
          </w:tblCellMar>
        </w:tblPrEx>
        <w:trPr>
          <w:trHeight w:val="714" w:hRule="atLeast"/>
        </w:trPr>
        <w:tc>
          <w:tcPr>
            <w:tcW w:w="1327" w:type="dxa"/>
            <w:tcBorders>
              <w:top w:val="nil"/>
              <w:left w:val="single" w:color="auto" w:sz="4" w:space="0"/>
              <w:bottom w:val="single" w:color="auto" w:sz="4" w:space="0"/>
              <w:right w:val="single" w:color="auto" w:sz="4" w:space="0"/>
            </w:tcBorders>
            <w:vAlign w:val="center"/>
          </w:tcPr>
          <w:p w14:paraId="75F44DB3">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退还理由    （在正确选项后打“√”）</w:t>
            </w:r>
          </w:p>
        </w:tc>
        <w:tc>
          <w:tcPr>
            <w:tcW w:w="1699" w:type="dxa"/>
            <w:tcBorders>
              <w:top w:val="nil"/>
              <w:left w:val="nil"/>
              <w:bottom w:val="single" w:color="auto" w:sz="4" w:space="0"/>
              <w:right w:val="single" w:color="auto" w:sz="4" w:space="0"/>
            </w:tcBorders>
            <w:noWrap/>
            <w:vAlign w:val="center"/>
          </w:tcPr>
          <w:p w14:paraId="2F61DDEE">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未投标</w:t>
            </w:r>
          </w:p>
        </w:tc>
        <w:tc>
          <w:tcPr>
            <w:tcW w:w="1514" w:type="dxa"/>
            <w:tcBorders>
              <w:top w:val="nil"/>
              <w:left w:val="nil"/>
              <w:bottom w:val="single" w:color="auto" w:sz="4" w:space="0"/>
              <w:right w:val="single" w:color="auto" w:sz="4" w:space="0"/>
            </w:tcBorders>
            <w:noWrap/>
            <w:vAlign w:val="center"/>
          </w:tcPr>
          <w:p w14:paraId="27809C5D">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94" w:type="dxa"/>
            <w:tcBorders>
              <w:top w:val="nil"/>
              <w:left w:val="nil"/>
              <w:bottom w:val="single" w:color="auto" w:sz="4" w:space="0"/>
              <w:right w:val="single" w:color="auto" w:sz="4" w:space="0"/>
            </w:tcBorders>
            <w:noWrap/>
            <w:vAlign w:val="center"/>
          </w:tcPr>
          <w:p w14:paraId="0FA6CB72">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未中标</w:t>
            </w:r>
          </w:p>
        </w:tc>
        <w:tc>
          <w:tcPr>
            <w:tcW w:w="1179" w:type="dxa"/>
            <w:tcBorders>
              <w:top w:val="nil"/>
              <w:left w:val="nil"/>
              <w:bottom w:val="single" w:color="auto" w:sz="4" w:space="0"/>
              <w:right w:val="single" w:color="auto" w:sz="4" w:space="0"/>
            </w:tcBorders>
            <w:noWrap/>
            <w:vAlign w:val="center"/>
          </w:tcPr>
          <w:p w14:paraId="6B04E985">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07" w:type="dxa"/>
            <w:tcBorders>
              <w:top w:val="single" w:color="auto" w:sz="4" w:space="0"/>
              <w:left w:val="nil"/>
              <w:bottom w:val="single" w:color="auto" w:sz="4" w:space="0"/>
              <w:right w:val="single" w:color="auto" w:sz="4" w:space="0"/>
            </w:tcBorders>
            <w:noWrap/>
            <w:vAlign w:val="center"/>
          </w:tcPr>
          <w:p w14:paraId="60445789">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已缴纳履约</w:t>
            </w:r>
          </w:p>
          <w:p w14:paraId="40A38E17">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保证金</w:t>
            </w:r>
          </w:p>
        </w:tc>
        <w:tc>
          <w:tcPr>
            <w:tcW w:w="1526" w:type="dxa"/>
            <w:tcBorders>
              <w:top w:val="single" w:color="auto" w:sz="4" w:space="0"/>
              <w:left w:val="nil"/>
              <w:bottom w:val="single" w:color="auto" w:sz="4" w:space="0"/>
              <w:right w:val="single" w:color="auto" w:sz="4" w:space="0"/>
            </w:tcBorders>
            <w:noWrap/>
            <w:vAlign w:val="center"/>
          </w:tcPr>
          <w:p w14:paraId="1D081E4B">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543A7DA9">
        <w:tblPrEx>
          <w:tblCellMar>
            <w:top w:w="0" w:type="dxa"/>
            <w:left w:w="108" w:type="dxa"/>
            <w:bottom w:w="0" w:type="dxa"/>
            <w:right w:w="108" w:type="dxa"/>
          </w:tblCellMar>
        </w:tblPrEx>
        <w:trPr>
          <w:trHeight w:val="971" w:hRule="atLeast"/>
        </w:trPr>
        <w:tc>
          <w:tcPr>
            <w:tcW w:w="1327" w:type="dxa"/>
            <w:tcBorders>
              <w:top w:val="nil"/>
              <w:left w:val="single" w:color="auto" w:sz="4" w:space="0"/>
              <w:bottom w:val="single" w:color="auto" w:sz="4" w:space="0"/>
              <w:right w:val="single" w:color="auto" w:sz="4" w:space="0"/>
            </w:tcBorders>
            <w:noWrap/>
            <w:vAlign w:val="center"/>
          </w:tcPr>
          <w:p w14:paraId="359B8738">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经办人姓名</w:t>
            </w:r>
          </w:p>
        </w:tc>
        <w:tc>
          <w:tcPr>
            <w:tcW w:w="1699" w:type="dxa"/>
            <w:tcBorders>
              <w:top w:val="nil"/>
              <w:left w:val="nil"/>
              <w:bottom w:val="single" w:color="auto" w:sz="4" w:space="0"/>
              <w:right w:val="single" w:color="auto" w:sz="4" w:space="0"/>
            </w:tcBorders>
            <w:noWrap/>
            <w:vAlign w:val="center"/>
          </w:tcPr>
          <w:p w14:paraId="6155076D">
            <w:pPr>
              <w:widowControl/>
              <w:spacing w:line="5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514" w:type="dxa"/>
            <w:tcBorders>
              <w:top w:val="nil"/>
              <w:left w:val="nil"/>
              <w:bottom w:val="single" w:color="auto" w:sz="4" w:space="0"/>
              <w:right w:val="single" w:color="auto" w:sz="4" w:space="0"/>
            </w:tcBorders>
            <w:noWrap/>
            <w:vAlign w:val="center"/>
          </w:tcPr>
          <w:p w14:paraId="3749EA11">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2073" w:type="dxa"/>
            <w:gridSpan w:val="2"/>
            <w:tcBorders>
              <w:top w:val="single" w:color="auto" w:sz="4" w:space="0"/>
              <w:left w:val="nil"/>
              <w:bottom w:val="single" w:color="auto" w:sz="4" w:space="0"/>
              <w:right w:val="single" w:color="auto" w:sz="4" w:space="0"/>
            </w:tcBorders>
            <w:noWrap/>
            <w:vAlign w:val="center"/>
          </w:tcPr>
          <w:p w14:paraId="3D7DEA7F">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07" w:type="dxa"/>
            <w:tcBorders>
              <w:top w:val="nil"/>
              <w:left w:val="nil"/>
              <w:bottom w:val="single" w:color="auto" w:sz="4" w:space="0"/>
              <w:right w:val="single" w:color="auto" w:sz="4" w:space="0"/>
            </w:tcBorders>
            <w:noWrap/>
            <w:vAlign w:val="center"/>
          </w:tcPr>
          <w:p w14:paraId="1CEEEE88">
            <w:pPr>
              <w:widowControl/>
              <w:spacing w:line="5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w:t>
            </w:r>
          </w:p>
        </w:tc>
        <w:tc>
          <w:tcPr>
            <w:tcW w:w="1526" w:type="dxa"/>
            <w:tcBorders>
              <w:top w:val="single" w:color="auto" w:sz="4" w:space="0"/>
              <w:left w:val="nil"/>
              <w:bottom w:val="single" w:color="auto" w:sz="4" w:space="0"/>
              <w:right w:val="single" w:color="auto" w:sz="4" w:space="0"/>
            </w:tcBorders>
            <w:noWrap/>
            <w:vAlign w:val="center"/>
          </w:tcPr>
          <w:p w14:paraId="1E33F2C1">
            <w:pPr>
              <w:widowControl/>
              <w:spacing w:line="5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bl>
    <w:p w14:paraId="010A6EE1">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669A6966">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67D2BC7A">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14:paraId="41A7AC71">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0FAFEE57">
      <w:pPr>
        <w:pageBreakBefore w:val="0"/>
        <w:wordWrap/>
        <w:topLinePunct w:val="0"/>
        <w:bidi w:val="0"/>
        <w:spacing w:line="360" w:lineRule="auto"/>
        <w:textAlignment w:val="auto"/>
        <w:outlineLvl w:val="9"/>
        <w:rPr>
          <w:rFonts w:hint="eastAsia" w:ascii="宋体" w:hAnsi="宋体" w:eastAsia="宋体" w:cs="宋体"/>
          <w:color w:val="auto"/>
          <w:highlight w:val="none"/>
        </w:rPr>
      </w:pPr>
    </w:p>
    <w:p w14:paraId="5F12BDB6">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bookmarkEnd w:id="217"/>
    <w:bookmarkEnd w:id="218"/>
    <w:bookmarkEnd w:id="219"/>
    <w:bookmarkEnd w:id="222"/>
    <w:bookmarkEnd w:id="223"/>
    <w:bookmarkEnd w:id="224"/>
    <w:bookmarkEnd w:id="225"/>
    <w:p w14:paraId="791A5F17">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9F7737BB-FB24-4243-A0C0-52F99717E115}"/>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D941">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4221">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7EFBF">
    <w:pPr>
      <w:pStyle w:val="39"/>
      <w:jc w:val="center"/>
      <w:rPr>
        <w:rFonts w:ascii="宋体" w:hAnsi="宋体"/>
        <w:sz w:val="21"/>
        <w:szCs w:val="21"/>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- 21 -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5CE4">
    <w:pPr>
      <w:pStyle w:val="39"/>
      <w:framePr w:wrap="around" w:vAnchor="text" w:hAnchor="margin" w:xAlign="center" w:y="1"/>
      <w:rPr>
        <w:rStyle w:val="68"/>
      </w:rPr>
    </w:pPr>
    <w:r>
      <w:fldChar w:fldCharType="begin"/>
    </w:r>
    <w:r>
      <w:rPr>
        <w:rStyle w:val="68"/>
      </w:rPr>
      <w:instrText xml:space="preserve">PAGE  </w:instrText>
    </w:r>
    <w:r>
      <w:fldChar w:fldCharType="end"/>
    </w:r>
  </w:p>
  <w:p w14:paraId="516AB0B8">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4446">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90DDF1D">
                          <w:pPr>
                            <w:pStyle w:val="3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14:paraId="690DDF1D">
                    <w:pPr>
                      <w:pStyle w:val="3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B8EE">
    <w:pPr>
      <w:pStyle w:val="40"/>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16F6">
    <w:pPr>
      <w:pStyle w:val="40"/>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w:t>
    </w:r>
    <w:r>
      <w:rPr>
        <w:rFonts w:hint="eastAsia" w:ascii="宋体" w:hAnsi="宋体"/>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9CD03B0D"/>
    <w:multiLevelType w:val="singleLevel"/>
    <w:tmpl w:val="9CD03B0D"/>
    <w:lvl w:ilvl="0" w:tentative="0">
      <w:start w:val="2"/>
      <w:numFmt w:val="decimal"/>
      <w:lvlText w:val="%1."/>
      <w:lvlJc w:val="left"/>
      <w:pPr>
        <w:tabs>
          <w:tab w:val="left" w:pos="312"/>
        </w:tabs>
      </w:pPr>
    </w:lvl>
  </w:abstractNum>
  <w:abstractNum w:abstractNumId="2">
    <w:nsid w:val="CA071A70"/>
    <w:multiLevelType w:val="singleLevel"/>
    <w:tmpl w:val="CA071A70"/>
    <w:lvl w:ilvl="0" w:tentative="0">
      <w:start w:val="1"/>
      <w:numFmt w:val="chineseCounting"/>
      <w:suff w:val="nothing"/>
      <w:lvlText w:val="（%1）"/>
      <w:lvlJc w:val="left"/>
      <w:rPr>
        <w:rFonts w:hint="eastAsia"/>
      </w:rPr>
    </w:lvl>
  </w:abstractNum>
  <w:abstractNum w:abstractNumId="3">
    <w:nsid w:val="CF1AC377"/>
    <w:multiLevelType w:val="singleLevel"/>
    <w:tmpl w:val="CF1AC377"/>
    <w:lvl w:ilvl="0" w:tentative="0">
      <w:start w:val="2"/>
      <w:numFmt w:val="chineseCounting"/>
      <w:suff w:val="space"/>
      <w:lvlText w:val="第%1篇"/>
      <w:lvlJc w:val="left"/>
      <w:rPr>
        <w:rFonts w:hint="eastAsia"/>
      </w:rPr>
    </w:lvl>
  </w:abstractNum>
  <w:abstractNum w:abstractNumId="4">
    <w:nsid w:val="00000009"/>
    <w:multiLevelType w:val="multilevel"/>
    <w:tmpl w:val="00000009"/>
    <w:lvl w:ilvl="0" w:tentative="0">
      <w:start w:val="1"/>
      <w:numFmt w:val="upperLetter"/>
      <w:pStyle w:val="16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20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196"/>
      <w:lvlText w:val=""/>
      <w:lvlJc w:val="left"/>
      <w:pPr>
        <w:tabs>
          <w:tab w:val="left" w:pos="360"/>
        </w:tabs>
        <w:ind w:left="360" w:hanging="360"/>
      </w:pPr>
      <w:rPr>
        <w:rFonts w:hint="default" w:ascii="Wingdings" w:hAnsi="Wingdings"/>
      </w:rPr>
    </w:lvl>
  </w:abstractNum>
  <w:abstractNum w:abstractNumId="7">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10"/>
    <w:multiLevelType w:val="singleLevel"/>
    <w:tmpl w:val="00000010"/>
    <w:lvl w:ilvl="0" w:tentative="0">
      <w:start w:val="1"/>
      <w:numFmt w:val="bullet"/>
      <w:pStyle w:val="237"/>
      <w:lvlText w:val=""/>
      <w:lvlJc w:val="left"/>
      <w:pPr>
        <w:tabs>
          <w:tab w:val="left" w:pos="1620"/>
        </w:tabs>
        <w:ind w:left="1620" w:hanging="360"/>
      </w:pPr>
      <w:rPr>
        <w:rFonts w:hint="default" w:ascii="Wingdings" w:hAnsi="Wingdings"/>
      </w:rPr>
    </w:lvl>
  </w:abstractNum>
  <w:abstractNum w:abstractNumId="10">
    <w:nsid w:val="00000011"/>
    <w:multiLevelType w:val="multilevel"/>
    <w:tmpl w:val="00000011"/>
    <w:lvl w:ilvl="0" w:tentative="0">
      <w:start w:val="1"/>
      <w:numFmt w:val="decimal"/>
      <w:pStyle w:val="21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23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3">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215"/>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7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7"/>
  </w:num>
  <w:num w:numId="3">
    <w:abstractNumId w:val="13"/>
  </w:num>
  <w:num w:numId="4">
    <w:abstractNumId w:val="4"/>
  </w:num>
  <w:num w:numId="5">
    <w:abstractNumId w:val="15"/>
  </w:num>
  <w:num w:numId="6">
    <w:abstractNumId w:val="6"/>
  </w:num>
  <w:num w:numId="7">
    <w:abstractNumId w:val="8"/>
  </w:num>
  <w:num w:numId="8">
    <w:abstractNumId w:val="5"/>
  </w:num>
  <w:num w:numId="9">
    <w:abstractNumId w:val="14"/>
  </w:num>
  <w:num w:numId="10">
    <w:abstractNumId w:val="10"/>
  </w:num>
  <w:num w:numId="11">
    <w:abstractNumId w:val="11"/>
  </w:num>
  <w:num w:numId="12">
    <w:abstractNumId w:val="9"/>
  </w:num>
  <w:num w:numId="13">
    <w:abstractNumId w:val="3"/>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YzJkZWVjODcwNDBjYmM5NDM0ZTBjYzkyZjUyZTA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24B"/>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16AE"/>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0E8D"/>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284A"/>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1473B7"/>
    <w:rsid w:val="013C06BC"/>
    <w:rsid w:val="01435D3B"/>
    <w:rsid w:val="014A102B"/>
    <w:rsid w:val="01602F33"/>
    <w:rsid w:val="01626374"/>
    <w:rsid w:val="016F2D4F"/>
    <w:rsid w:val="01814321"/>
    <w:rsid w:val="018A1356"/>
    <w:rsid w:val="019D115B"/>
    <w:rsid w:val="01B500F6"/>
    <w:rsid w:val="01C42B8B"/>
    <w:rsid w:val="01C744FB"/>
    <w:rsid w:val="01D33DF6"/>
    <w:rsid w:val="01D628BE"/>
    <w:rsid w:val="01E619E7"/>
    <w:rsid w:val="02005B8D"/>
    <w:rsid w:val="02092C94"/>
    <w:rsid w:val="021A09FD"/>
    <w:rsid w:val="021D229B"/>
    <w:rsid w:val="021E2870"/>
    <w:rsid w:val="02775E4F"/>
    <w:rsid w:val="027D3B5B"/>
    <w:rsid w:val="02853836"/>
    <w:rsid w:val="02A67194"/>
    <w:rsid w:val="02AD3B9E"/>
    <w:rsid w:val="02B67E74"/>
    <w:rsid w:val="02C40969"/>
    <w:rsid w:val="02C46BBB"/>
    <w:rsid w:val="02FC45A7"/>
    <w:rsid w:val="03011BBD"/>
    <w:rsid w:val="036767B8"/>
    <w:rsid w:val="037F1AAB"/>
    <w:rsid w:val="03866304"/>
    <w:rsid w:val="038F71C9"/>
    <w:rsid w:val="03977E2B"/>
    <w:rsid w:val="03B72EC1"/>
    <w:rsid w:val="03CB2F44"/>
    <w:rsid w:val="03E20FEC"/>
    <w:rsid w:val="0410030A"/>
    <w:rsid w:val="04166B3C"/>
    <w:rsid w:val="04505E01"/>
    <w:rsid w:val="046E6DDE"/>
    <w:rsid w:val="0480254A"/>
    <w:rsid w:val="048C54B6"/>
    <w:rsid w:val="04AD7C70"/>
    <w:rsid w:val="04B50EB1"/>
    <w:rsid w:val="04B54A0D"/>
    <w:rsid w:val="04B769D7"/>
    <w:rsid w:val="04BD7D66"/>
    <w:rsid w:val="04C51D80"/>
    <w:rsid w:val="04D23811"/>
    <w:rsid w:val="04D46D43"/>
    <w:rsid w:val="04D72BD5"/>
    <w:rsid w:val="04D7486A"/>
    <w:rsid w:val="04E92909"/>
    <w:rsid w:val="04FC263C"/>
    <w:rsid w:val="0532384F"/>
    <w:rsid w:val="053C6CD4"/>
    <w:rsid w:val="055C31C7"/>
    <w:rsid w:val="05636D99"/>
    <w:rsid w:val="05657278"/>
    <w:rsid w:val="056A57F8"/>
    <w:rsid w:val="056E7736"/>
    <w:rsid w:val="058A40EC"/>
    <w:rsid w:val="05946D18"/>
    <w:rsid w:val="05CB200E"/>
    <w:rsid w:val="05D709B3"/>
    <w:rsid w:val="05DD22CE"/>
    <w:rsid w:val="061739B6"/>
    <w:rsid w:val="0629010A"/>
    <w:rsid w:val="06471FDD"/>
    <w:rsid w:val="064C75F3"/>
    <w:rsid w:val="06677F89"/>
    <w:rsid w:val="067B1C86"/>
    <w:rsid w:val="067F4BD4"/>
    <w:rsid w:val="068B011B"/>
    <w:rsid w:val="06AA76C1"/>
    <w:rsid w:val="06AC7A75"/>
    <w:rsid w:val="06B70F10"/>
    <w:rsid w:val="06BE35C9"/>
    <w:rsid w:val="06C64179"/>
    <w:rsid w:val="06D6041C"/>
    <w:rsid w:val="06DB44D3"/>
    <w:rsid w:val="06E415DA"/>
    <w:rsid w:val="06FC2DC7"/>
    <w:rsid w:val="06FF0E81"/>
    <w:rsid w:val="071579E5"/>
    <w:rsid w:val="072B7208"/>
    <w:rsid w:val="072E0AA7"/>
    <w:rsid w:val="07412651"/>
    <w:rsid w:val="075732F0"/>
    <w:rsid w:val="07A0301B"/>
    <w:rsid w:val="07A177E9"/>
    <w:rsid w:val="07A82607"/>
    <w:rsid w:val="07B54A9B"/>
    <w:rsid w:val="07C32E23"/>
    <w:rsid w:val="07C531B9"/>
    <w:rsid w:val="07CB0DF0"/>
    <w:rsid w:val="08161C67"/>
    <w:rsid w:val="08321D15"/>
    <w:rsid w:val="083E2F6B"/>
    <w:rsid w:val="08493DEA"/>
    <w:rsid w:val="084A7B62"/>
    <w:rsid w:val="086E1CD9"/>
    <w:rsid w:val="08766BA9"/>
    <w:rsid w:val="08934195"/>
    <w:rsid w:val="08B46BE8"/>
    <w:rsid w:val="08C52A1E"/>
    <w:rsid w:val="08D87BDA"/>
    <w:rsid w:val="08E73603"/>
    <w:rsid w:val="08EB30F3"/>
    <w:rsid w:val="08FF094D"/>
    <w:rsid w:val="09007C2E"/>
    <w:rsid w:val="0922463B"/>
    <w:rsid w:val="093D1475"/>
    <w:rsid w:val="094F37C0"/>
    <w:rsid w:val="09582DA3"/>
    <w:rsid w:val="095C5D9F"/>
    <w:rsid w:val="095E1ED5"/>
    <w:rsid w:val="096156B5"/>
    <w:rsid w:val="097E707D"/>
    <w:rsid w:val="099C619C"/>
    <w:rsid w:val="099E4EE1"/>
    <w:rsid w:val="09B2782C"/>
    <w:rsid w:val="09C32D30"/>
    <w:rsid w:val="09D2576F"/>
    <w:rsid w:val="09D3345E"/>
    <w:rsid w:val="09E40FC0"/>
    <w:rsid w:val="09EB0ED1"/>
    <w:rsid w:val="09FB45F7"/>
    <w:rsid w:val="09FE29B2"/>
    <w:rsid w:val="0A122902"/>
    <w:rsid w:val="0A14667A"/>
    <w:rsid w:val="0A222B45"/>
    <w:rsid w:val="0A3C7C3D"/>
    <w:rsid w:val="0A4E393A"/>
    <w:rsid w:val="0A5F7231"/>
    <w:rsid w:val="0A7852D1"/>
    <w:rsid w:val="0A9C4D1B"/>
    <w:rsid w:val="0AAC0660"/>
    <w:rsid w:val="0AB80568"/>
    <w:rsid w:val="0AC534D0"/>
    <w:rsid w:val="0ADD6AE9"/>
    <w:rsid w:val="0B0C7351"/>
    <w:rsid w:val="0B0F62E8"/>
    <w:rsid w:val="0B611E67"/>
    <w:rsid w:val="0B696551"/>
    <w:rsid w:val="0B763138"/>
    <w:rsid w:val="0BAB0918"/>
    <w:rsid w:val="0BC13363"/>
    <w:rsid w:val="0BCF2858"/>
    <w:rsid w:val="0BE70C6E"/>
    <w:rsid w:val="0C3B522B"/>
    <w:rsid w:val="0C48085D"/>
    <w:rsid w:val="0C4F5747"/>
    <w:rsid w:val="0C9413AC"/>
    <w:rsid w:val="0CE02843"/>
    <w:rsid w:val="0CE461AF"/>
    <w:rsid w:val="0CE560AB"/>
    <w:rsid w:val="0CED22CE"/>
    <w:rsid w:val="0CF85707"/>
    <w:rsid w:val="0CFA741E"/>
    <w:rsid w:val="0D2210AE"/>
    <w:rsid w:val="0D240982"/>
    <w:rsid w:val="0D350DE1"/>
    <w:rsid w:val="0D4F144C"/>
    <w:rsid w:val="0D5154EF"/>
    <w:rsid w:val="0D5374B9"/>
    <w:rsid w:val="0D5E124A"/>
    <w:rsid w:val="0D6520FE"/>
    <w:rsid w:val="0D662D48"/>
    <w:rsid w:val="0D847672"/>
    <w:rsid w:val="0D90562E"/>
    <w:rsid w:val="0D994044"/>
    <w:rsid w:val="0D9B16E9"/>
    <w:rsid w:val="0DB1286B"/>
    <w:rsid w:val="0DC8794B"/>
    <w:rsid w:val="0DD73C46"/>
    <w:rsid w:val="0DD84DFE"/>
    <w:rsid w:val="0DFA16E3"/>
    <w:rsid w:val="0E016FFC"/>
    <w:rsid w:val="0E091442"/>
    <w:rsid w:val="0E1C3D4F"/>
    <w:rsid w:val="0E1F5A97"/>
    <w:rsid w:val="0E42306B"/>
    <w:rsid w:val="0E4A4418"/>
    <w:rsid w:val="0E4E34C9"/>
    <w:rsid w:val="0E574D87"/>
    <w:rsid w:val="0E6B25E0"/>
    <w:rsid w:val="0E6E1B81"/>
    <w:rsid w:val="0E87233E"/>
    <w:rsid w:val="0E8865B5"/>
    <w:rsid w:val="0E9242DB"/>
    <w:rsid w:val="0E975183"/>
    <w:rsid w:val="0EA603E1"/>
    <w:rsid w:val="0EAC50D3"/>
    <w:rsid w:val="0ECA5559"/>
    <w:rsid w:val="0ED767A3"/>
    <w:rsid w:val="0EDB1514"/>
    <w:rsid w:val="0EE72023"/>
    <w:rsid w:val="0EFD148A"/>
    <w:rsid w:val="0F0C746F"/>
    <w:rsid w:val="0F13478E"/>
    <w:rsid w:val="0F175161"/>
    <w:rsid w:val="0F4A548B"/>
    <w:rsid w:val="0F543075"/>
    <w:rsid w:val="0F5F4FD0"/>
    <w:rsid w:val="0F625791"/>
    <w:rsid w:val="0F9E3017"/>
    <w:rsid w:val="0FAB538A"/>
    <w:rsid w:val="0FCC0A82"/>
    <w:rsid w:val="0FE91A0F"/>
    <w:rsid w:val="0FF22FB9"/>
    <w:rsid w:val="10054A19"/>
    <w:rsid w:val="10125409"/>
    <w:rsid w:val="104862F4"/>
    <w:rsid w:val="10507C32"/>
    <w:rsid w:val="105D06ED"/>
    <w:rsid w:val="10705587"/>
    <w:rsid w:val="107752B0"/>
    <w:rsid w:val="108F25B6"/>
    <w:rsid w:val="10944070"/>
    <w:rsid w:val="10967DE9"/>
    <w:rsid w:val="10C009C2"/>
    <w:rsid w:val="10E45A56"/>
    <w:rsid w:val="112B4319"/>
    <w:rsid w:val="112C42A9"/>
    <w:rsid w:val="113A09BB"/>
    <w:rsid w:val="114F61E9"/>
    <w:rsid w:val="115E4A85"/>
    <w:rsid w:val="11634536"/>
    <w:rsid w:val="11783870"/>
    <w:rsid w:val="11822EAC"/>
    <w:rsid w:val="11847C41"/>
    <w:rsid w:val="1193257A"/>
    <w:rsid w:val="11954536"/>
    <w:rsid w:val="11A1128D"/>
    <w:rsid w:val="11A11CCF"/>
    <w:rsid w:val="11A92009"/>
    <w:rsid w:val="11C72224"/>
    <w:rsid w:val="11CC0366"/>
    <w:rsid w:val="11E44B84"/>
    <w:rsid w:val="11E76422"/>
    <w:rsid w:val="11F70A48"/>
    <w:rsid w:val="11FC011F"/>
    <w:rsid w:val="12135469"/>
    <w:rsid w:val="121D7A9C"/>
    <w:rsid w:val="12376B23"/>
    <w:rsid w:val="124116B4"/>
    <w:rsid w:val="124E70EA"/>
    <w:rsid w:val="12541D09"/>
    <w:rsid w:val="1270692E"/>
    <w:rsid w:val="1291462E"/>
    <w:rsid w:val="12CA3D79"/>
    <w:rsid w:val="12D412AE"/>
    <w:rsid w:val="12D62551"/>
    <w:rsid w:val="12DB2CAB"/>
    <w:rsid w:val="12EF37E0"/>
    <w:rsid w:val="12F232D0"/>
    <w:rsid w:val="13050A16"/>
    <w:rsid w:val="13085987"/>
    <w:rsid w:val="13090559"/>
    <w:rsid w:val="131B6699"/>
    <w:rsid w:val="13201BEB"/>
    <w:rsid w:val="13214E77"/>
    <w:rsid w:val="1337507A"/>
    <w:rsid w:val="134E6759"/>
    <w:rsid w:val="136F4921"/>
    <w:rsid w:val="137203A5"/>
    <w:rsid w:val="13755ED0"/>
    <w:rsid w:val="137A57A0"/>
    <w:rsid w:val="137B32C6"/>
    <w:rsid w:val="13857840"/>
    <w:rsid w:val="139C6746"/>
    <w:rsid w:val="13A27D5E"/>
    <w:rsid w:val="13D103B4"/>
    <w:rsid w:val="13DD7ADC"/>
    <w:rsid w:val="13E12016"/>
    <w:rsid w:val="13E6350F"/>
    <w:rsid w:val="13F920D4"/>
    <w:rsid w:val="142B6A9A"/>
    <w:rsid w:val="143B7FF8"/>
    <w:rsid w:val="143C2A55"/>
    <w:rsid w:val="145853B5"/>
    <w:rsid w:val="146F2E2A"/>
    <w:rsid w:val="14973EB4"/>
    <w:rsid w:val="14980C4A"/>
    <w:rsid w:val="14992B03"/>
    <w:rsid w:val="14DF0BF0"/>
    <w:rsid w:val="14E37374"/>
    <w:rsid w:val="150A4901"/>
    <w:rsid w:val="150D4108"/>
    <w:rsid w:val="15237771"/>
    <w:rsid w:val="152C42AB"/>
    <w:rsid w:val="152F196D"/>
    <w:rsid w:val="153170E7"/>
    <w:rsid w:val="1546345F"/>
    <w:rsid w:val="15597637"/>
    <w:rsid w:val="15804BC3"/>
    <w:rsid w:val="159468C1"/>
    <w:rsid w:val="15973CBB"/>
    <w:rsid w:val="15997A33"/>
    <w:rsid w:val="15A5462A"/>
    <w:rsid w:val="15B90428"/>
    <w:rsid w:val="15B91E83"/>
    <w:rsid w:val="15C51C11"/>
    <w:rsid w:val="15D35A39"/>
    <w:rsid w:val="160D1B66"/>
    <w:rsid w:val="161627E2"/>
    <w:rsid w:val="16224153"/>
    <w:rsid w:val="16265085"/>
    <w:rsid w:val="16322361"/>
    <w:rsid w:val="16364252"/>
    <w:rsid w:val="16454C2C"/>
    <w:rsid w:val="16504596"/>
    <w:rsid w:val="16571DC8"/>
    <w:rsid w:val="16692350"/>
    <w:rsid w:val="168E1562"/>
    <w:rsid w:val="16901DA5"/>
    <w:rsid w:val="16B55BED"/>
    <w:rsid w:val="16CF2DFA"/>
    <w:rsid w:val="16E96798"/>
    <w:rsid w:val="16F05D79"/>
    <w:rsid w:val="171D5486"/>
    <w:rsid w:val="17346832"/>
    <w:rsid w:val="1743234C"/>
    <w:rsid w:val="17524569"/>
    <w:rsid w:val="17614581"/>
    <w:rsid w:val="176F6C9D"/>
    <w:rsid w:val="17794D51"/>
    <w:rsid w:val="17830532"/>
    <w:rsid w:val="17991F6C"/>
    <w:rsid w:val="17C86EC7"/>
    <w:rsid w:val="17F90C5D"/>
    <w:rsid w:val="18023FB5"/>
    <w:rsid w:val="181F6915"/>
    <w:rsid w:val="18205ED3"/>
    <w:rsid w:val="182757CA"/>
    <w:rsid w:val="182868AE"/>
    <w:rsid w:val="18484D29"/>
    <w:rsid w:val="18495740"/>
    <w:rsid w:val="186802BC"/>
    <w:rsid w:val="18695DE3"/>
    <w:rsid w:val="186B3254"/>
    <w:rsid w:val="18736C61"/>
    <w:rsid w:val="187D363C"/>
    <w:rsid w:val="18845CCE"/>
    <w:rsid w:val="188E6B63"/>
    <w:rsid w:val="18A62B93"/>
    <w:rsid w:val="18DF7E53"/>
    <w:rsid w:val="18E37C17"/>
    <w:rsid w:val="18E6772B"/>
    <w:rsid w:val="19030013"/>
    <w:rsid w:val="190425DE"/>
    <w:rsid w:val="193A5C23"/>
    <w:rsid w:val="193B777F"/>
    <w:rsid w:val="19747009"/>
    <w:rsid w:val="1992474B"/>
    <w:rsid w:val="19AA0461"/>
    <w:rsid w:val="19AA7A40"/>
    <w:rsid w:val="19D61256"/>
    <w:rsid w:val="1A071637"/>
    <w:rsid w:val="1A0A62AD"/>
    <w:rsid w:val="1A1B4EBB"/>
    <w:rsid w:val="1A1D0C33"/>
    <w:rsid w:val="1A371B2E"/>
    <w:rsid w:val="1A442663"/>
    <w:rsid w:val="1A6745A4"/>
    <w:rsid w:val="1A691EBC"/>
    <w:rsid w:val="1A872550"/>
    <w:rsid w:val="1ABD3F8C"/>
    <w:rsid w:val="1AE343DA"/>
    <w:rsid w:val="1AF47500"/>
    <w:rsid w:val="1AF776D6"/>
    <w:rsid w:val="1B1A2E51"/>
    <w:rsid w:val="1B1C713C"/>
    <w:rsid w:val="1B1E55A1"/>
    <w:rsid w:val="1B2D1349"/>
    <w:rsid w:val="1B6A60FA"/>
    <w:rsid w:val="1B6A7EDF"/>
    <w:rsid w:val="1B6B6AFD"/>
    <w:rsid w:val="1B731645"/>
    <w:rsid w:val="1B74431A"/>
    <w:rsid w:val="1B7725C5"/>
    <w:rsid w:val="1B882A24"/>
    <w:rsid w:val="1B8A679C"/>
    <w:rsid w:val="1BA4182E"/>
    <w:rsid w:val="1BCF41AF"/>
    <w:rsid w:val="1BDA2358"/>
    <w:rsid w:val="1BE834C2"/>
    <w:rsid w:val="1C0A7896"/>
    <w:rsid w:val="1C0B7651"/>
    <w:rsid w:val="1C116575"/>
    <w:rsid w:val="1C1222ED"/>
    <w:rsid w:val="1C177AC7"/>
    <w:rsid w:val="1C204A0A"/>
    <w:rsid w:val="1C375878"/>
    <w:rsid w:val="1C493F61"/>
    <w:rsid w:val="1C4C3A51"/>
    <w:rsid w:val="1C4F52EF"/>
    <w:rsid w:val="1C746C70"/>
    <w:rsid w:val="1C7859F2"/>
    <w:rsid w:val="1C9849DD"/>
    <w:rsid w:val="1CA532CE"/>
    <w:rsid w:val="1CAB4C1C"/>
    <w:rsid w:val="1CC07ED6"/>
    <w:rsid w:val="1CC12DB8"/>
    <w:rsid w:val="1CC23D13"/>
    <w:rsid w:val="1CD04682"/>
    <w:rsid w:val="1CD94582"/>
    <w:rsid w:val="1D0F5C73"/>
    <w:rsid w:val="1D612DB8"/>
    <w:rsid w:val="1D927B8A"/>
    <w:rsid w:val="1D94408D"/>
    <w:rsid w:val="1DBB14B2"/>
    <w:rsid w:val="1DBE272D"/>
    <w:rsid w:val="1DC13FCB"/>
    <w:rsid w:val="1DD821DB"/>
    <w:rsid w:val="1DE008F5"/>
    <w:rsid w:val="1DE33F41"/>
    <w:rsid w:val="1DF1193F"/>
    <w:rsid w:val="1E032835"/>
    <w:rsid w:val="1E0D007E"/>
    <w:rsid w:val="1E1862E1"/>
    <w:rsid w:val="1E206CA7"/>
    <w:rsid w:val="1E285DF8"/>
    <w:rsid w:val="1E6B74BA"/>
    <w:rsid w:val="1E6C3F37"/>
    <w:rsid w:val="1E9B0CC0"/>
    <w:rsid w:val="1EA5569B"/>
    <w:rsid w:val="1EB63028"/>
    <w:rsid w:val="1EBA4A39"/>
    <w:rsid w:val="1EC65D3D"/>
    <w:rsid w:val="1ECA6EAF"/>
    <w:rsid w:val="1ECC0E79"/>
    <w:rsid w:val="1EDC23DC"/>
    <w:rsid w:val="1F016D75"/>
    <w:rsid w:val="1F065879"/>
    <w:rsid w:val="1F1D7927"/>
    <w:rsid w:val="1F460EDF"/>
    <w:rsid w:val="1F4B7FF0"/>
    <w:rsid w:val="1F777037"/>
    <w:rsid w:val="1F890B18"/>
    <w:rsid w:val="1F9A4AD4"/>
    <w:rsid w:val="1FA250F4"/>
    <w:rsid w:val="1FA94D17"/>
    <w:rsid w:val="1FBF453A"/>
    <w:rsid w:val="1FC27CB1"/>
    <w:rsid w:val="1FD47530"/>
    <w:rsid w:val="1FE67B91"/>
    <w:rsid w:val="1FEC17D3"/>
    <w:rsid w:val="20176124"/>
    <w:rsid w:val="202D2A84"/>
    <w:rsid w:val="203171E6"/>
    <w:rsid w:val="20392737"/>
    <w:rsid w:val="204D1B46"/>
    <w:rsid w:val="20717F2A"/>
    <w:rsid w:val="20726CD8"/>
    <w:rsid w:val="207B2B57"/>
    <w:rsid w:val="20814410"/>
    <w:rsid w:val="20987265"/>
    <w:rsid w:val="20A068D9"/>
    <w:rsid w:val="20AA6F98"/>
    <w:rsid w:val="20B3155B"/>
    <w:rsid w:val="20BB2F53"/>
    <w:rsid w:val="20E97FF5"/>
    <w:rsid w:val="20F21569"/>
    <w:rsid w:val="20F8458A"/>
    <w:rsid w:val="20FB243F"/>
    <w:rsid w:val="21093CBF"/>
    <w:rsid w:val="211B3C32"/>
    <w:rsid w:val="212A5E3C"/>
    <w:rsid w:val="21380CCB"/>
    <w:rsid w:val="215A12CF"/>
    <w:rsid w:val="217750CC"/>
    <w:rsid w:val="218D48F0"/>
    <w:rsid w:val="219B432E"/>
    <w:rsid w:val="21A06EBB"/>
    <w:rsid w:val="21AD6D40"/>
    <w:rsid w:val="21D544E9"/>
    <w:rsid w:val="21E738ED"/>
    <w:rsid w:val="21EE1582"/>
    <w:rsid w:val="21F11323"/>
    <w:rsid w:val="22044F84"/>
    <w:rsid w:val="220D5A31"/>
    <w:rsid w:val="22162B37"/>
    <w:rsid w:val="22237002"/>
    <w:rsid w:val="222A4D23"/>
    <w:rsid w:val="22570824"/>
    <w:rsid w:val="22576C8F"/>
    <w:rsid w:val="226118D9"/>
    <w:rsid w:val="226673FF"/>
    <w:rsid w:val="229677D4"/>
    <w:rsid w:val="22B1460E"/>
    <w:rsid w:val="22B55875"/>
    <w:rsid w:val="22D700DE"/>
    <w:rsid w:val="231B5F2B"/>
    <w:rsid w:val="231E0903"/>
    <w:rsid w:val="23353491"/>
    <w:rsid w:val="233A2855"/>
    <w:rsid w:val="234064DA"/>
    <w:rsid w:val="236773C3"/>
    <w:rsid w:val="236F4226"/>
    <w:rsid w:val="23733FB9"/>
    <w:rsid w:val="23751ADF"/>
    <w:rsid w:val="237A5348"/>
    <w:rsid w:val="237E3B0E"/>
    <w:rsid w:val="239913B5"/>
    <w:rsid w:val="23B24AE2"/>
    <w:rsid w:val="23BA1BE8"/>
    <w:rsid w:val="23DC6614"/>
    <w:rsid w:val="240510B5"/>
    <w:rsid w:val="242332EA"/>
    <w:rsid w:val="245B32B8"/>
    <w:rsid w:val="24772BBC"/>
    <w:rsid w:val="247D56A8"/>
    <w:rsid w:val="248D02DF"/>
    <w:rsid w:val="249D12EE"/>
    <w:rsid w:val="24AB32DF"/>
    <w:rsid w:val="24B91EA0"/>
    <w:rsid w:val="24E24F53"/>
    <w:rsid w:val="251024A8"/>
    <w:rsid w:val="25147A2B"/>
    <w:rsid w:val="25412EC8"/>
    <w:rsid w:val="2556149D"/>
    <w:rsid w:val="255D592E"/>
    <w:rsid w:val="256B319A"/>
    <w:rsid w:val="25811C28"/>
    <w:rsid w:val="25856273"/>
    <w:rsid w:val="25873D30"/>
    <w:rsid w:val="25936A2B"/>
    <w:rsid w:val="25A8619C"/>
    <w:rsid w:val="25BC57A4"/>
    <w:rsid w:val="25CB2A91"/>
    <w:rsid w:val="25CD299F"/>
    <w:rsid w:val="25DB4156"/>
    <w:rsid w:val="25F15DB5"/>
    <w:rsid w:val="25F3318F"/>
    <w:rsid w:val="25F80A39"/>
    <w:rsid w:val="25FF7D86"/>
    <w:rsid w:val="26014996"/>
    <w:rsid w:val="260158AC"/>
    <w:rsid w:val="26064C71"/>
    <w:rsid w:val="261F5D33"/>
    <w:rsid w:val="26211AAB"/>
    <w:rsid w:val="26282E39"/>
    <w:rsid w:val="263C4B36"/>
    <w:rsid w:val="2668592C"/>
    <w:rsid w:val="266A7FA7"/>
    <w:rsid w:val="26B50445"/>
    <w:rsid w:val="26C32160"/>
    <w:rsid w:val="26DD1E76"/>
    <w:rsid w:val="26EE3A1D"/>
    <w:rsid w:val="26FD1009"/>
    <w:rsid w:val="271B299E"/>
    <w:rsid w:val="271E248E"/>
    <w:rsid w:val="27374E33"/>
    <w:rsid w:val="274517C9"/>
    <w:rsid w:val="27483067"/>
    <w:rsid w:val="27567D73"/>
    <w:rsid w:val="276854B7"/>
    <w:rsid w:val="27764078"/>
    <w:rsid w:val="277F2F2D"/>
    <w:rsid w:val="27841894"/>
    <w:rsid w:val="27A07B52"/>
    <w:rsid w:val="27D5587D"/>
    <w:rsid w:val="27DA63B5"/>
    <w:rsid w:val="27F91D49"/>
    <w:rsid w:val="27FC6C3D"/>
    <w:rsid w:val="281178FD"/>
    <w:rsid w:val="2813403A"/>
    <w:rsid w:val="281C077C"/>
    <w:rsid w:val="28304227"/>
    <w:rsid w:val="28546167"/>
    <w:rsid w:val="286332DD"/>
    <w:rsid w:val="286D7229"/>
    <w:rsid w:val="288E003D"/>
    <w:rsid w:val="28AD71C5"/>
    <w:rsid w:val="28E02A6D"/>
    <w:rsid w:val="28E2514F"/>
    <w:rsid w:val="29047631"/>
    <w:rsid w:val="291B7489"/>
    <w:rsid w:val="292875F4"/>
    <w:rsid w:val="292D0CD0"/>
    <w:rsid w:val="29437F8A"/>
    <w:rsid w:val="294C32E2"/>
    <w:rsid w:val="297468DC"/>
    <w:rsid w:val="29AE18A7"/>
    <w:rsid w:val="29B656ED"/>
    <w:rsid w:val="29DC3EF3"/>
    <w:rsid w:val="29DF5F05"/>
    <w:rsid w:val="29E057D9"/>
    <w:rsid w:val="29E90B31"/>
    <w:rsid w:val="29FD282F"/>
    <w:rsid w:val="2A0239A1"/>
    <w:rsid w:val="2A1B3812"/>
    <w:rsid w:val="2A2C67C1"/>
    <w:rsid w:val="2A395DBD"/>
    <w:rsid w:val="2A4B17EC"/>
    <w:rsid w:val="2A614B6C"/>
    <w:rsid w:val="2AAF58B8"/>
    <w:rsid w:val="2AEA4B61"/>
    <w:rsid w:val="2AFE685E"/>
    <w:rsid w:val="2B015402"/>
    <w:rsid w:val="2B152059"/>
    <w:rsid w:val="2B1A4D1A"/>
    <w:rsid w:val="2B1E2A5D"/>
    <w:rsid w:val="2B286BC5"/>
    <w:rsid w:val="2B430715"/>
    <w:rsid w:val="2B4E4339"/>
    <w:rsid w:val="2B6237CA"/>
    <w:rsid w:val="2B6F4CF1"/>
    <w:rsid w:val="2B7D7783"/>
    <w:rsid w:val="2B8856B6"/>
    <w:rsid w:val="2B97636B"/>
    <w:rsid w:val="2B9F1A31"/>
    <w:rsid w:val="2BA415C7"/>
    <w:rsid w:val="2BA70440"/>
    <w:rsid w:val="2BAD4569"/>
    <w:rsid w:val="2BF02877"/>
    <w:rsid w:val="2BF76EE4"/>
    <w:rsid w:val="2C0734F1"/>
    <w:rsid w:val="2C110442"/>
    <w:rsid w:val="2C136339"/>
    <w:rsid w:val="2C2A71DF"/>
    <w:rsid w:val="2C2D2523"/>
    <w:rsid w:val="2C6D5A4A"/>
    <w:rsid w:val="2C736DD8"/>
    <w:rsid w:val="2C7425F5"/>
    <w:rsid w:val="2C770676"/>
    <w:rsid w:val="2CBC077F"/>
    <w:rsid w:val="2CC633AC"/>
    <w:rsid w:val="2CDB69BA"/>
    <w:rsid w:val="2CDF41C5"/>
    <w:rsid w:val="2CE675AA"/>
    <w:rsid w:val="2CEF57C6"/>
    <w:rsid w:val="2D1B4ECE"/>
    <w:rsid w:val="2D1C2FCC"/>
    <w:rsid w:val="2D3227EF"/>
    <w:rsid w:val="2D3D4AC9"/>
    <w:rsid w:val="2D3E2216"/>
    <w:rsid w:val="2D5B4CCA"/>
    <w:rsid w:val="2DA63E50"/>
    <w:rsid w:val="2DB87C53"/>
    <w:rsid w:val="2DBA057E"/>
    <w:rsid w:val="2DE95D10"/>
    <w:rsid w:val="2E227124"/>
    <w:rsid w:val="2E2C43D2"/>
    <w:rsid w:val="2E5642BC"/>
    <w:rsid w:val="2E5B3D09"/>
    <w:rsid w:val="2E7035CF"/>
    <w:rsid w:val="2E9B1CED"/>
    <w:rsid w:val="2EC13E2B"/>
    <w:rsid w:val="2EC56AB0"/>
    <w:rsid w:val="2ECD6620"/>
    <w:rsid w:val="2ED553D9"/>
    <w:rsid w:val="2EE26B1C"/>
    <w:rsid w:val="2EF57F78"/>
    <w:rsid w:val="2EFA733D"/>
    <w:rsid w:val="2F195A15"/>
    <w:rsid w:val="2F3D5D93"/>
    <w:rsid w:val="2F447F14"/>
    <w:rsid w:val="2F57706B"/>
    <w:rsid w:val="2F854E58"/>
    <w:rsid w:val="2F9B3104"/>
    <w:rsid w:val="2FB14F22"/>
    <w:rsid w:val="2FC024B1"/>
    <w:rsid w:val="2FC61CF9"/>
    <w:rsid w:val="2FF22AE1"/>
    <w:rsid w:val="2FF67B04"/>
    <w:rsid w:val="2FF811E4"/>
    <w:rsid w:val="2FFF10AF"/>
    <w:rsid w:val="30000983"/>
    <w:rsid w:val="30032221"/>
    <w:rsid w:val="302A28F2"/>
    <w:rsid w:val="302A7C10"/>
    <w:rsid w:val="302E54F0"/>
    <w:rsid w:val="30393E95"/>
    <w:rsid w:val="304F147C"/>
    <w:rsid w:val="305A2F0B"/>
    <w:rsid w:val="306E12EF"/>
    <w:rsid w:val="30823A8E"/>
    <w:rsid w:val="30A6152A"/>
    <w:rsid w:val="30B579BF"/>
    <w:rsid w:val="30C220DC"/>
    <w:rsid w:val="30C95219"/>
    <w:rsid w:val="30D50061"/>
    <w:rsid w:val="30E57CC3"/>
    <w:rsid w:val="30EC1A78"/>
    <w:rsid w:val="30F304E8"/>
    <w:rsid w:val="30F77FD8"/>
    <w:rsid w:val="310E761B"/>
    <w:rsid w:val="313730A9"/>
    <w:rsid w:val="31532D34"/>
    <w:rsid w:val="3183186B"/>
    <w:rsid w:val="318D4356"/>
    <w:rsid w:val="318F577F"/>
    <w:rsid w:val="31D04895"/>
    <w:rsid w:val="31EB19E3"/>
    <w:rsid w:val="31FD161E"/>
    <w:rsid w:val="32002EBC"/>
    <w:rsid w:val="320B726D"/>
    <w:rsid w:val="323E06DC"/>
    <w:rsid w:val="32402C9D"/>
    <w:rsid w:val="324C332C"/>
    <w:rsid w:val="32683D27"/>
    <w:rsid w:val="32A221C5"/>
    <w:rsid w:val="32B0720F"/>
    <w:rsid w:val="32B24BC0"/>
    <w:rsid w:val="32C82364"/>
    <w:rsid w:val="32E37080"/>
    <w:rsid w:val="32E620B2"/>
    <w:rsid w:val="32F04CDF"/>
    <w:rsid w:val="32F83B93"/>
    <w:rsid w:val="331035D3"/>
    <w:rsid w:val="331D30F9"/>
    <w:rsid w:val="33661445"/>
    <w:rsid w:val="338418CB"/>
    <w:rsid w:val="33865643"/>
    <w:rsid w:val="338B51B6"/>
    <w:rsid w:val="33B977C6"/>
    <w:rsid w:val="33FA2CCC"/>
    <w:rsid w:val="342235BE"/>
    <w:rsid w:val="343A070C"/>
    <w:rsid w:val="34781430"/>
    <w:rsid w:val="34C957E7"/>
    <w:rsid w:val="34DA0BF7"/>
    <w:rsid w:val="34FF423F"/>
    <w:rsid w:val="351078BA"/>
    <w:rsid w:val="35107923"/>
    <w:rsid w:val="35251CAD"/>
    <w:rsid w:val="35693DB1"/>
    <w:rsid w:val="356B1644"/>
    <w:rsid w:val="359B675B"/>
    <w:rsid w:val="35A92963"/>
    <w:rsid w:val="35A95619"/>
    <w:rsid w:val="35BF45ED"/>
    <w:rsid w:val="35D5640E"/>
    <w:rsid w:val="35D7257B"/>
    <w:rsid w:val="35EA70DE"/>
    <w:rsid w:val="35EC149E"/>
    <w:rsid w:val="35F1750A"/>
    <w:rsid w:val="36064819"/>
    <w:rsid w:val="361E4B80"/>
    <w:rsid w:val="361E7DB5"/>
    <w:rsid w:val="36286FF1"/>
    <w:rsid w:val="363E5DC7"/>
    <w:rsid w:val="369306F5"/>
    <w:rsid w:val="36DD4366"/>
    <w:rsid w:val="36EA2EF3"/>
    <w:rsid w:val="36EC5F5B"/>
    <w:rsid w:val="36F6488E"/>
    <w:rsid w:val="371116C7"/>
    <w:rsid w:val="37217B5C"/>
    <w:rsid w:val="37221BD6"/>
    <w:rsid w:val="372E794B"/>
    <w:rsid w:val="372F0468"/>
    <w:rsid w:val="37455840"/>
    <w:rsid w:val="374750E9"/>
    <w:rsid w:val="37530BAE"/>
    <w:rsid w:val="37531CE0"/>
    <w:rsid w:val="37592F70"/>
    <w:rsid w:val="375A7894"/>
    <w:rsid w:val="37757EA8"/>
    <w:rsid w:val="37863E63"/>
    <w:rsid w:val="37926AC3"/>
    <w:rsid w:val="379444BF"/>
    <w:rsid w:val="37983B97"/>
    <w:rsid w:val="38057AB7"/>
    <w:rsid w:val="381476C1"/>
    <w:rsid w:val="383A69FC"/>
    <w:rsid w:val="387719FE"/>
    <w:rsid w:val="387816A6"/>
    <w:rsid w:val="387B208D"/>
    <w:rsid w:val="388B4D8B"/>
    <w:rsid w:val="3899019D"/>
    <w:rsid w:val="389F4256"/>
    <w:rsid w:val="38A50319"/>
    <w:rsid w:val="38C22C79"/>
    <w:rsid w:val="38FB7F54"/>
    <w:rsid w:val="39355B41"/>
    <w:rsid w:val="394925BC"/>
    <w:rsid w:val="394C2E8B"/>
    <w:rsid w:val="39517A15"/>
    <w:rsid w:val="39665CFB"/>
    <w:rsid w:val="397834A0"/>
    <w:rsid w:val="397B6AFE"/>
    <w:rsid w:val="39810D86"/>
    <w:rsid w:val="399F745E"/>
    <w:rsid w:val="39B20F40"/>
    <w:rsid w:val="39B265BA"/>
    <w:rsid w:val="39C03EA5"/>
    <w:rsid w:val="39D23390"/>
    <w:rsid w:val="39DA66B4"/>
    <w:rsid w:val="39DC07CC"/>
    <w:rsid w:val="3A0E6B2E"/>
    <w:rsid w:val="3A192D6D"/>
    <w:rsid w:val="3A3556CD"/>
    <w:rsid w:val="3A40234C"/>
    <w:rsid w:val="3A43603C"/>
    <w:rsid w:val="3A453F55"/>
    <w:rsid w:val="3A742699"/>
    <w:rsid w:val="3A8021DA"/>
    <w:rsid w:val="3A8A1416"/>
    <w:rsid w:val="3AB71C38"/>
    <w:rsid w:val="3ADB44C6"/>
    <w:rsid w:val="3AE31E89"/>
    <w:rsid w:val="3AF13CEA"/>
    <w:rsid w:val="3B020A8C"/>
    <w:rsid w:val="3B076B19"/>
    <w:rsid w:val="3B0D2CD2"/>
    <w:rsid w:val="3B191EE5"/>
    <w:rsid w:val="3B260BD7"/>
    <w:rsid w:val="3B293484"/>
    <w:rsid w:val="3B4C0F20"/>
    <w:rsid w:val="3B61416A"/>
    <w:rsid w:val="3B806E1C"/>
    <w:rsid w:val="3B8C4421"/>
    <w:rsid w:val="3B9C4215"/>
    <w:rsid w:val="3BDB5173"/>
    <w:rsid w:val="3BE74161"/>
    <w:rsid w:val="3C1C6A3C"/>
    <w:rsid w:val="3C1F6635"/>
    <w:rsid w:val="3C2D2B00"/>
    <w:rsid w:val="3C3D6ABB"/>
    <w:rsid w:val="3C3E678E"/>
    <w:rsid w:val="3C3F17B5"/>
    <w:rsid w:val="3C522566"/>
    <w:rsid w:val="3C5A22D0"/>
    <w:rsid w:val="3C9F1BDC"/>
    <w:rsid w:val="3CAF5C0A"/>
    <w:rsid w:val="3CBB635D"/>
    <w:rsid w:val="3CD77F41"/>
    <w:rsid w:val="3CE16539"/>
    <w:rsid w:val="3CEA09F1"/>
    <w:rsid w:val="3D0A2E41"/>
    <w:rsid w:val="3D396C7C"/>
    <w:rsid w:val="3D421363"/>
    <w:rsid w:val="3D583BAC"/>
    <w:rsid w:val="3D6F0EF6"/>
    <w:rsid w:val="3D887B67"/>
    <w:rsid w:val="3DA74B34"/>
    <w:rsid w:val="3DBF3C2B"/>
    <w:rsid w:val="3DED69EA"/>
    <w:rsid w:val="3E00464F"/>
    <w:rsid w:val="3E2136D5"/>
    <w:rsid w:val="3E241DF6"/>
    <w:rsid w:val="3E2D5039"/>
    <w:rsid w:val="3E3C34CE"/>
    <w:rsid w:val="3E4D56DB"/>
    <w:rsid w:val="3E567559"/>
    <w:rsid w:val="3E5755E5"/>
    <w:rsid w:val="3E664B99"/>
    <w:rsid w:val="3E8947D1"/>
    <w:rsid w:val="3E8D1015"/>
    <w:rsid w:val="3EA17B98"/>
    <w:rsid w:val="3ED92ACB"/>
    <w:rsid w:val="3EEC6CA2"/>
    <w:rsid w:val="3EF9316D"/>
    <w:rsid w:val="3F4C14EF"/>
    <w:rsid w:val="3F5860E5"/>
    <w:rsid w:val="3F6C0F7A"/>
    <w:rsid w:val="3FA255B3"/>
    <w:rsid w:val="3FAF7CCF"/>
    <w:rsid w:val="3FB452E6"/>
    <w:rsid w:val="3FCE7FB1"/>
    <w:rsid w:val="3FD662F8"/>
    <w:rsid w:val="3FE21E53"/>
    <w:rsid w:val="3FEE6A4A"/>
    <w:rsid w:val="3FFD062E"/>
    <w:rsid w:val="40316936"/>
    <w:rsid w:val="40595071"/>
    <w:rsid w:val="40A6725D"/>
    <w:rsid w:val="40B3559D"/>
    <w:rsid w:val="40B557B9"/>
    <w:rsid w:val="40C61775"/>
    <w:rsid w:val="40E37AEC"/>
    <w:rsid w:val="40EB11DB"/>
    <w:rsid w:val="414C48A8"/>
    <w:rsid w:val="41617C99"/>
    <w:rsid w:val="419C22BA"/>
    <w:rsid w:val="41BD423D"/>
    <w:rsid w:val="41E87CE3"/>
    <w:rsid w:val="421558FA"/>
    <w:rsid w:val="421D1892"/>
    <w:rsid w:val="422864FB"/>
    <w:rsid w:val="42366486"/>
    <w:rsid w:val="424961B9"/>
    <w:rsid w:val="424E1A22"/>
    <w:rsid w:val="42743B7C"/>
    <w:rsid w:val="42807F8D"/>
    <w:rsid w:val="42887E08"/>
    <w:rsid w:val="42896ABC"/>
    <w:rsid w:val="428A6218"/>
    <w:rsid w:val="42961AA8"/>
    <w:rsid w:val="42985935"/>
    <w:rsid w:val="42A6360C"/>
    <w:rsid w:val="42AB2039"/>
    <w:rsid w:val="42CF2B62"/>
    <w:rsid w:val="42DC0DDB"/>
    <w:rsid w:val="42F26851"/>
    <w:rsid w:val="42FB3958"/>
    <w:rsid w:val="43041195"/>
    <w:rsid w:val="4311195E"/>
    <w:rsid w:val="434279FD"/>
    <w:rsid w:val="435B61A4"/>
    <w:rsid w:val="43696FA9"/>
    <w:rsid w:val="436F39FE"/>
    <w:rsid w:val="437F408F"/>
    <w:rsid w:val="4393770F"/>
    <w:rsid w:val="439E6707"/>
    <w:rsid w:val="43A925D0"/>
    <w:rsid w:val="43BC63D5"/>
    <w:rsid w:val="43C401ED"/>
    <w:rsid w:val="43CF26EE"/>
    <w:rsid w:val="43D7786D"/>
    <w:rsid w:val="43D85A47"/>
    <w:rsid w:val="4436276D"/>
    <w:rsid w:val="443B7D84"/>
    <w:rsid w:val="445B5032"/>
    <w:rsid w:val="44637395"/>
    <w:rsid w:val="4464552C"/>
    <w:rsid w:val="447339C1"/>
    <w:rsid w:val="448A3D0B"/>
    <w:rsid w:val="44915BF6"/>
    <w:rsid w:val="44AB315B"/>
    <w:rsid w:val="44B07C41"/>
    <w:rsid w:val="44C85DCE"/>
    <w:rsid w:val="44DB3BED"/>
    <w:rsid w:val="44EB0261"/>
    <w:rsid w:val="45293834"/>
    <w:rsid w:val="453E18DA"/>
    <w:rsid w:val="4547145B"/>
    <w:rsid w:val="456E7BE4"/>
    <w:rsid w:val="457226A0"/>
    <w:rsid w:val="45765517"/>
    <w:rsid w:val="4577128F"/>
    <w:rsid w:val="458D0AB3"/>
    <w:rsid w:val="4596073E"/>
    <w:rsid w:val="45997725"/>
    <w:rsid w:val="45C023E2"/>
    <w:rsid w:val="45EA3329"/>
    <w:rsid w:val="45EF52CA"/>
    <w:rsid w:val="460C7193"/>
    <w:rsid w:val="460F6867"/>
    <w:rsid w:val="461879B9"/>
    <w:rsid w:val="461F6313"/>
    <w:rsid w:val="462141D2"/>
    <w:rsid w:val="462A00B0"/>
    <w:rsid w:val="46407634"/>
    <w:rsid w:val="465D452E"/>
    <w:rsid w:val="4685178A"/>
    <w:rsid w:val="468679DC"/>
    <w:rsid w:val="469A5235"/>
    <w:rsid w:val="46A47E62"/>
    <w:rsid w:val="46A75BA4"/>
    <w:rsid w:val="46C410F2"/>
    <w:rsid w:val="46CE1383"/>
    <w:rsid w:val="46D83FB0"/>
    <w:rsid w:val="46F30DEA"/>
    <w:rsid w:val="46F96400"/>
    <w:rsid w:val="470D3C59"/>
    <w:rsid w:val="472931FF"/>
    <w:rsid w:val="47356DAD"/>
    <w:rsid w:val="473C2B2E"/>
    <w:rsid w:val="47507FEA"/>
    <w:rsid w:val="475A5F5D"/>
    <w:rsid w:val="479559FD"/>
    <w:rsid w:val="4799478F"/>
    <w:rsid w:val="47D3233B"/>
    <w:rsid w:val="47E250E6"/>
    <w:rsid w:val="47E94736"/>
    <w:rsid w:val="47EC1BB1"/>
    <w:rsid w:val="47F16027"/>
    <w:rsid w:val="48313978"/>
    <w:rsid w:val="48384D06"/>
    <w:rsid w:val="484C5992"/>
    <w:rsid w:val="48591CAE"/>
    <w:rsid w:val="485D651B"/>
    <w:rsid w:val="486378A9"/>
    <w:rsid w:val="48715EF0"/>
    <w:rsid w:val="487F0B87"/>
    <w:rsid w:val="488F68F0"/>
    <w:rsid w:val="48905E42"/>
    <w:rsid w:val="48C73662"/>
    <w:rsid w:val="48CD674E"/>
    <w:rsid w:val="48E44E8E"/>
    <w:rsid w:val="48F50E49"/>
    <w:rsid w:val="48FB6AE9"/>
    <w:rsid w:val="490A331C"/>
    <w:rsid w:val="490C5F22"/>
    <w:rsid w:val="49162985"/>
    <w:rsid w:val="49753E79"/>
    <w:rsid w:val="49971F00"/>
    <w:rsid w:val="49A17BDC"/>
    <w:rsid w:val="49AE3631"/>
    <w:rsid w:val="49BA174B"/>
    <w:rsid w:val="49F17862"/>
    <w:rsid w:val="49F92273"/>
    <w:rsid w:val="49FD6533"/>
    <w:rsid w:val="4A02381D"/>
    <w:rsid w:val="4A0C2326"/>
    <w:rsid w:val="4A0C54F3"/>
    <w:rsid w:val="4A1F5AA5"/>
    <w:rsid w:val="4A547DF1"/>
    <w:rsid w:val="4A585179"/>
    <w:rsid w:val="4A5E657A"/>
    <w:rsid w:val="4A6242BC"/>
    <w:rsid w:val="4A653DAC"/>
    <w:rsid w:val="4A6F2535"/>
    <w:rsid w:val="4A8A0D65"/>
    <w:rsid w:val="4A8F0AFF"/>
    <w:rsid w:val="4AB45D3C"/>
    <w:rsid w:val="4AB5517C"/>
    <w:rsid w:val="4ACD0646"/>
    <w:rsid w:val="4ADA11A0"/>
    <w:rsid w:val="4AF71BAD"/>
    <w:rsid w:val="4B0422CE"/>
    <w:rsid w:val="4B0E2C7E"/>
    <w:rsid w:val="4B335C59"/>
    <w:rsid w:val="4B455CCE"/>
    <w:rsid w:val="4B582D53"/>
    <w:rsid w:val="4B8D5369"/>
    <w:rsid w:val="4B8D7117"/>
    <w:rsid w:val="4B95421D"/>
    <w:rsid w:val="4B9C0D0D"/>
    <w:rsid w:val="4BA10E14"/>
    <w:rsid w:val="4BA13AF5"/>
    <w:rsid w:val="4BB87F0C"/>
    <w:rsid w:val="4BC92119"/>
    <w:rsid w:val="4BD36CDD"/>
    <w:rsid w:val="4C0A69B9"/>
    <w:rsid w:val="4C146947"/>
    <w:rsid w:val="4C51283A"/>
    <w:rsid w:val="4C5D11DF"/>
    <w:rsid w:val="4C6D6562"/>
    <w:rsid w:val="4C70693B"/>
    <w:rsid w:val="4C8C3872"/>
    <w:rsid w:val="4C8E4207"/>
    <w:rsid w:val="4C9A41A0"/>
    <w:rsid w:val="4CC06EC6"/>
    <w:rsid w:val="4CD314A1"/>
    <w:rsid w:val="4CD90E31"/>
    <w:rsid w:val="4CDB7AA2"/>
    <w:rsid w:val="4CF3615A"/>
    <w:rsid w:val="4CF36C91"/>
    <w:rsid w:val="4CF83380"/>
    <w:rsid w:val="4CF85CC5"/>
    <w:rsid w:val="4D0478AD"/>
    <w:rsid w:val="4D0B7928"/>
    <w:rsid w:val="4D210A97"/>
    <w:rsid w:val="4D453A21"/>
    <w:rsid w:val="4D5D520F"/>
    <w:rsid w:val="4D713137"/>
    <w:rsid w:val="4D91224F"/>
    <w:rsid w:val="4D9C7AE5"/>
    <w:rsid w:val="4DA846DC"/>
    <w:rsid w:val="4DA8648A"/>
    <w:rsid w:val="4DBA7040"/>
    <w:rsid w:val="4DBF37D4"/>
    <w:rsid w:val="4DF81020"/>
    <w:rsid w:val="4DFC4A28"/>
    <w:rsid w:val="4E011C55"/>
    <w:rsid w:val="4E037B64"/>
    <w:rsid w:val="4E3F2D9E"/>
    <w:rsid w:val="4E4A7541"/>
    <w:rsid w:val="4E4E2408"/>
    <w:rsid w:val="4E5E2FEC"/>
    <w:rsid w:val="4E61488B"/>
    <w:rsid w:val="4E830CA5"/>
    <w:rsid w:val="4E867D30"/>
    <w:rsid w:val="4E916F1E"/>
    <w:rsid w:val="4E946A0E"/>
    <w:rsid w:val="4E9F3BD0"/>
    <w:rsid w:val="4EA72CE4"/>
    <w:rsid w:val="4EDF127A"/>
    <w:rsid w:val="4EE61C92"/>
    <w:rsid w:val="4EEC05F8"/>
    <w:rsid w:val="4EFF657E"/>
    <w:rsid w:val="4F02606E"/>
    <w:rsid w:val="4F075432"/>
    <w:rsid w:val="4F0C31DB"/>
    <w:rsid w:val="4F0E2841"/>
    <w:rsid w:val="4F132E19"/>
    <w:rsid w:val="4F1F5B32"/>
    <w:rsid w:val="4F3F2E1E"/>
    <w:rsid w:val="4F432F6D"/>
    <w:rsid w:val="4F754A92"/>
    <w:rsid w:val="4F8B5318"/>
    <w:rsid w:val="4F906FB7"/>
    <w:rsid w:val="4F9D5D96"/>
    <w:rsid w:val="4FA94D5D"/>
    <w:rsid w:val="4FED4628"/>
    <w:rsid w:val="4FF86B2E"/>
    <w:rsid w:val="500E27F0"/>
    <w:rsid w:val="50166926"/>
    <w:rsid w:val="503153FA"/>
    <w:rsid w:val="503B2279"/>
    <w:rsid w:val="503D635A"/>
    <w:rsid w:val="5056535A"/>
    <w:rsid w:val="505E1082"/>
    <w:rsid w:val="506863A4"/>
    <w:rsid w:val="50A41749"/>
    <w:rsid w:val="50EC3AC0"/>
    <w:rsid w:val="51000232"/>
    <w:rsid w:val="5107796B"/>
    <w:rsid w:val="511356C3"/>
    <w:rsid w:val="51583D23"/>
    <w:rsid w:val="51786173"/>
    <w:rsid w:val="51927C26"/>
    <w:rsid w:val="519531C9"/>
    <w:rsid w:val="519909BB"/>
    <w:rsid w:val="51A13350"/>
    <w:rsid w:val="51BB25F2"/>
    <w:rsid w:val="51D13AD5"/>
    <w:rsid w:val="51D51818"/>
    <w:rsid w:val="51DB66D7"/>
    <w:rsid w:val="5201260D"/>
    <w:rsid w:val="52097713"/>
    <w:rsid w:val="522B768A"/>
    <w:rsid w:val="525070F0"/>
    <w:rsid w:val="525C76C9"/>
    <w:rsid w:val="525C7843"/>
    <w:rsid w:val="52705BA2"/>
    <w:rsid w:val="528172AA"/>
    <w:rsid w:val="52A012CF"/>
    <w:rsid w:val="52A82A88"/>
    <w:rsid w:val="52B61649"/>
    <w:rsid w:val="52C32F8C"/>
    <w:rsid w:val="52D41ACF"/>
    <w:rsid w:val="52E65D61"/>
    <w:rsid w:val="52F67F66"/>
    <w:rsid w:val="53065A01"/>
    <w:rsid w:val="53071EA5"/>
    <w:rsid w:val="53091883"/>
    <w:rsid w:val="5311687F"/>
    <w:rsid w:val="531E68CD"/>
    <w:rsid w:val="534B4A7D"/>
    <w:rsid w:val="536C7F5A"/>
    <w:rsid w:val="537B69F9"/>
    <w:rsid w:val="537D5154"/>
    <w:rsid w:val="538E7ED0"/>
    <w:rsid w:val="53B611D5"/>
    <w:rsid w:val="53B7689E"/>
    <w:rsid w:val="53E85E00"/>
    <w:rsid w:val="53EE096F"/>
    <w:rsid w:val="53FD01C0"/>
    <w:rsid w:val="5406215C"/>
    <w:rsid w:val="541C372E"/>
    <w:rsid w:val="54212E7B"/>
    <w:rsid w:val="542720D3"/>
    <w:rsid w:val="545C6AF1"/>
    <w:rsid w:val="547678F7"/>
    <w:rsid w:val="548D0188"/>
    <w:rsid w:val="549A28A4"/>
    <w:rsid w:val="54B25E40"/>
    <w:rsid w:val="54D45AF0"/>
    <w:rsid w:val="54ED0C26"/>
    <w:rsid w:val="54EF2BF0"/>
    <w:rsid w:val="550F3292"/>
    <w:rsid w:val="55243733"/>
    <w:rsid w:val="555A6680"/>
    <w:rsid w:val="555B675F"/>
    <w:rsid w:val="55776255"/>
    <w:rsid w:val="558E6B8F"/>
    <w:rsid w:val="55957024"/>
    <w:rsid w:val="55C63565"/>
    <w:rsid w:val="55CF47D0"/>
    <w:rsid w:val="55E02539"/>
    <w:rsid w:val="55E73EC2"/>
    <w:rsid w:val="56014A02"/>
    <w:rsid w:val="56051FA0"/>
    <w:rsid w:val="560F2617"/>
    <w:rsid w:val="563034C0"/>
    <w:rsid w:val="56310FE7"/>
    <w:rsid w:val="563C2336"/>
    <w:rsid w:val="56551179"/>
    <w:rsid w:val="56586573"/>
    <w:rsid w:val="565A0866"/>
    <w:rsid w:val="565D54C8"/>
    <w:rsid w:val="56796ABF"/>
    <w:rsid w:val="56B33A65"/>
    <w:rsid w:val="56BD287A"/>
    <w:rsid w:val="56CC61B5"/>
    <w:rsid w:val="56CD51B3"/>
    <w:rsid w:val="57064221"/>
    <w:rsid w:val="570F1328"/>
    <w:rsid w:val="57370763"/>
    <w:rsid w:val="57597E5D"/>
    <w:rsid w:val="57601B83"/>
    <w:rsid w:val="57746DAC"/>
    <w:rsid w:val="579B705F"/>
    <w:rsid w:val="57B974E6"/>
    <w:rsid w:val="57C40364"/>
    <w:rsid w:val="57FB7AFE"/>
    <w:rsid w:val="584274DB"/>
    <w:rsid w:val="58711B6E"/>
    <w:rsid w:val="58A110D6"/>
    <w:rsid w:val="58AF298D"/>
    <w:rsid w:val="58BC103B"/>
    <w:rsid w:val="58EB2E9D"/>
    <w:rsid w:val="59103135"/>
    <w:rsid w:val="591E3AA4"/>
    <w:rsid w:val="5931576B"/>
    <w:rsid w:val="594F0101"/>
    <w:rsid w:val="59525558"/>
    <w:rsid w:val="595C679A"/>
    <w:rsid w:val="59640AA3"/>
    <w:rsid w:val="59C60849"/>
    <w:rsid w:val="59D9651C"/>
    <w:rsid w:val="59FA6C1B"/>
    <w:rsid w:val="5A4968FF"/>
    <w:rsid w:val="5A663955"/>
    <w:rsid w:val="5A937DF8"/>
    <w:rsid w:val="5A9B74F7"/>
    <w:rsid w:val="5A9E1033"/>
    <w:rsid w:val="5AA004E9"/>
    <w:rsid w:val="5ABD7FD1"/>
    <w:rsid w:val="5ACB7C5C"/>
    <w:rsid w:val="5ACC65AD"/>
    <w:rsid w:val="5B0E7B48"/>
    <w:rsid w:val="5B294A5A"/>
    <w:rsid w:val="5B32486D"/>
    <w:rsid w:val="5B3710B2"/>
    <w:rsid w:val="5B3A093D"/>
    <w:rsid w:val="5B445093"/>
    <w:rsid w:val="5B4A1B02"/>
    <w:rsid w:val="5B5B0FE0"/>
    <w:rsid w:val="5B777C46"/>
    <w:rsid w:val="5B8F47E5"/>
    <w:rsid w:val="5BA65FD3"/>
    <w:rsid w:val="5BB31C4C"/>
    <w:rsid w:val="5BBD4C2B"/>
    <w:rsid w:val="5BC36B85"/>
    <w:rsid w:val="5BD75000"/>
    <w:rsid w:val="5BEA4111"/>
    <w:rsid w:val="5C035546"/>
    <w:rsid w:val="5C275F87"/>
    <w:rsid w:val="5C2F7D76"/>
    <w:rsid w:val="5C311D40"/>
    <w:rsid w:val="5C3F5205"/>
    <w:rsid w:val="5C433822"/>
    <w:rsid w:val="5C5123E2"/>
    <w:rsid w:val="5C5E6C6A"/>
    <w:rsid w:val="5C606182"/>
    <w:rsid w:val="5C734107"/>
    <w:rsid w:val="5C755CF7"/>
    <w:rsid w:val="5C904CB9"/>
    <w:rsid w:val="5CEA3845"/>
    <w:rsid w:val="5CFD1C22"/>
    <w:rsid w:val="5D076C0F"/>
    <w:rsid w:val="5D1B313B"/>
    <w:rsid w:val="5D2B2C34"/>
    <w:rsid w:val="5D3207E3"/>
    <w:rsid w:val="5D3D0438"/>
    <w:rsid w:val="5D465377"/>
    <w:rsid w:val="5D6D6D7F"/>
    <w:rsid w:val="5D795DB7"/>
    <w:rsid w:val="5D861C18"/>
    <w:rsid w:val="5D8E4C63"/>
    <w:rsid w:val="5D9C143B"/>
    <w:rsid w:val="5DAD36A2"/>
    <w:rsid w:val="5DBA29B6"/>
    <w:rsid w:val="5DBB5A68"/>
    <w:rsid w:val="5DC7295C"/>
    <w:rsid w:val="5DD31A49"/>
    <w:rsid w:val="5DDC5CDC"/>
    <w:rsid w:val="5DE84681"/>
    <w:rsid w:val="5DEB5F1F"/>
    <w:rsid w:val="5DEF1EB3"/>
    <w:rsid w:val="5E2356B9"/>
    <w:rsid w:val="5E63268B"/>
    <w:rsid w:val="5E720D0D"/>
    <w:rsid w:val="5E850121"/>
    <w:rsid w:val="5E910B3F"/>
    <w:rsid w:val="5E994529"/>
    <w:rsid w:val="5EA7453C"/>
    <w:rsid w:val="5EAE7E2D"/>
    <w:rsid w:val="5EB10F16"/>
    <w:rsid w:val="5EF41508"/>
    <w:rsid w:val="5EF41B88"/>
    <w:rsid w:val="5F00045A"/>
    <w:rsid w:val="5F284930"/>
    <w:rsid w:val="5F4276D9"/>
    <w:rsid w:val="5F431CA7"/>
    <w:rsid w:val="5F6B7317"/>
    <w:rsid w:val="5F781027"/>
    <w:rsid w:val="5F8139C6"/>
    <w:rsid w:val="5F860D1E"/>
    <w:rsid w:val="5F867121"/>
    <w:rsid w:val="5F9C1BC7"/>
    <w:rsid w:val="5FB01347"/>
    <w:rsid w:val="5FB454AF"/>
    <w:rsid w:val="5FD641DF"/>
    <w:rsid w:val="5FE821FD"/>
    <w:rsid w:val="5FFC2665"/>
    <w:rsid w:val="60307719"/>
    <w:rsid w:val="60350FB3"/>
    <w:rsid w:val="604638E0"/>
    <w:rsid w:val="606677A6"/>
    <w:rsid w:val="60AF1486"/>
    <w:rsid w:val="60B0787D"/>
    <w:rsid w:val="60B60A66"/>
    <w:rsid w:val="60FA5D29"/>
    <w:rsid w:val="6156102A"/>
    <w:rsid w:val="61621C83"/>
    <w:rsid w:val="6162474A"/>
    <w:rsid w:val="617F70AA"/>
    <w:rsid w:val="6182494F"/>
    <w:rsid w:val="618446C0"/>
    <w:rsid w:val="618F68F6"/>
    <w:rsid w:val="61972646"/>
    <w:rsid w:val="61BE5E24"/>
    <w:rsid w:val="61D877D3"/>
    <w:rsid w:val="62031A89"/>
    <w:rsid w:val="62200D64"/>
    <w:rsid w:val="62210161"/>
    <w:rsid w:val="624D53FA"/>
    <w:rsid w:val="62515E01"/>
    <w:rsid w:val="625D2635"/>
    <w:rsid w:val="625D4A66"/>
    <w:rsid w:val="62714880"/>
    <w:rsid w:val="627477B5"/>
    <w:rsid w:val="62AE40EB"/>
    <w:rsid w:val="62B114E5"/>
    <w:rsid w:val="62B82660"/>
    <w:rsid w:val="62C16C5E"/>
    <w:rsid w:val="62E35BC0"/>
    <w:rsid w:val="62F162BF"/>
    <w:rsid w:val="62FB4E56"/>
    <w:rsid w:val="630A6F40"/>
    <w:rsid w:val="630C0E11"/>
    <w:rsid w:val="631B1054"/>
    <w:rsid w:val="631D7C28"/>
    <w:rsid w:val="63206066"/>
    <w:rsid w:val="63367DC8"/>
    <w:rsid w:val="633D62EA"/>
    <w:rsid w:val="63A1155A"/>
    <w:rsid w:val="63A86D8C"/>
    <w:rsid w:val="63B82D47"/>
    <w:rsid w:val="63BF7C32"/>
    <w:rsid w:val="63C63CDE"/>
    <w:rsid w:val="63CD6C76"/>
    <w:rsid w:val="63D96043"/>
    <w:rsid w:val="63E5460A"/>
    <w:rsid w:val="64393E88"/>
    <w:rsid w:val="6460191F"/>
    <w:rsid w:val="648669A1"/>
    <w:rsid w:val="64872E45"/>
    <w:rsid w:val="64875B06"/>
    <w:rsid w:val="64EF09EB"/>
    <w:rsid w:val="64F06BF9"/>
    <w:rsid w:val="64FF16AF"/>
    <w:rsid w:val="65077AE2"/>
    <w:rsid w:val="65356900"/>
    <w:rsid w:val="655F791E"/>
    <w:rsid w:val="65876E75"/>
    <w:rsid w:val="65B40D0A"/>
    <w:rsid w:val="65B57676"/>
    <w:rsid w:val="65B732B6"/>
    <w:rsid w:val="65F61033"/>
    <w:rsid w:val="65F80F0A"/>
    <w:rsid w:val="662E109F"/>
    <w:rsid w:val="66380DF2"/>
    <w:rsid w:val="66434B43"/>
    <w:rsid w:val="664A412A"/>
    <w:rsid w:val="665C5C0C"/>
    <w:rsid w:val="66630D48"/>
    <w:rsid w:val="66664CDC"/>
    <w:rsid w:val="66666A8A"/>
    <w:rsid w:val="666A0BEA"/>
    <w:rsid w:val="667B2536"/>
    <w:rsid w:val="66815672"/>
    <w:rsid w:val="669A5569"/>
    <w:rsid w:val="66A337D0"/>
    <w:rsid w:val="66AE46A6"/>
    <w:rsid w:val="66CD2666"/>
    <w:rsid w:val="66D103A8"/>
    <w:rsid w:val="66E83943"/>
    <w:rsid w:val="670A1B0C"/>
    <w:rsid w:val="67256946"/>
    <w:rsid w:val="67283D40"/>
    <w:rsid w:val="67341783"/>
    <w:rsid w:val="675B277D"/>
    <w:rsid w:val="676737E1"/>
    <w:rsid w:val="676C00D0"/>
    <w:rsid w:val="679F04A6"/>
    <w:rsid w:val="67B22635"/>
    <w:rsid w:val="67C63C85"/>
    <w:rsid w:val="67CA4DF7"/>
    <w:rsid w:val="67D048F3"/>
    <w:rsid w:val="67D55C76"/>
    <w:rsid w:val="681A7B2C"/>
    <w:rsid w:val="6833299C"/>
    <w:rsid w:val="683A3D2B"/>
    <w:rsid w:val="683B5B7C"/>
    <w:rsid w:val="684400AB"/>
    <w:rsid w:val="68563DA6"/>
    <w:rsid w:val="685E2658"/>
    <w:rsid w:val="686D4100"/>
    <w:rsid w:val="687476C1"/>
    <w:rsid w:val="68802085"/>
    <w:rsid w:val="68906041"/>
    <w:rsid w:val="689E075E"/>
    <w:rsid w:val="68CE25EC"/>
    <w:rsid w:val="68DE4FFE"/>
    <w:rsid w:val="694051ED"/>
    <w:rsid w:val="694A322B"/>
    <w:rsid w:val="69546279"/>
    <w:rsid w:val="69731E41"/>
    <w:rsid w:val="69796AD5"/>
    <w:rsid w:val="69A41627"/>
    <w:rsid w:val="69AC2A06"/>
    <w:rsid w:val="69BB70ED"/>
    <w:rsid w:val="69C77840"/>
    <w:rsid w:val="69C9609B"/>
    <w:rsid w:val="69E93980"/>
    <w:rsid w:val="69F50851"/>
    <w:rsid w:val="69FD46B9"/>
    <w:rsid w:val="6A051C2A"/>
    <w:rsid w:val="6A061F45"/>
    <w:rsid w:val="6A494F9C"/>
    <w:rsid w:val="6A507835"/>
    <w:rsid w:val="6A5A6906"/>
    <w:rsid w:val="6A5D3814"/>
    <w:rsid w:val="6A6C412A"/>
    <w:rsid w:val="6A8E56BD"/>
    <w:rsid w:val="6A95793E"/>
    <w:rsid w:val="6ABF49BB"/>
    <w:rsid w:val="6AD2649C"/>
    <w:rsid w:val="6AD47AAC"/>
    <w:rsid w:val="6ADC37BF"/>
    <w:rsid w:val="6AF06C91"/>
    <w:rsid w:val="6B283010"/>
    <w:rsid w:val="6B3B6738"/>
    <w:rsid w:val="6B453112"/>
    <w:rsid w:val="6B6A22F3"/>
    <w:rsid w:val="6B7834E8"/>
    <w:rsid w:val="6B7C465A"/>
    <w:rsid w:val="6B7E5D43"/>
    <w:rsid w:val="6BA77929"/>
    <w:rsid w:val="6BC51FA8"/>
    <w:rsid w:val="6BD47E37"/>
    <w:rsid w:val="6BDA5485"/>
    <w:rsid w:val="6BE446D9"/>
    <w:rsid w:val="6C007039"/>
    <w:rsid w:val="6C1D218E"/>
    <w:rsid w:val="6C4B6506"/>
    <w:rsid w:val="6C4E0DC0"/>
    <w:rsid w:val="6C5A0E3F"/>
    <w:rsid w:val="6C731A76"/>
    <w:rsid w:val="6C79668F"/>
    <w:rsid w:val="6CA4287F"/>
    <w:rsid w:val="6CB1415E"/>
    <w:rsid w:val="6CB71DEE"/>
    <w:rsid w:val="6CC12C6C"/>
    <w:rsid w:val="6CC22A4C"/>
    <w:rsid w:val="6CD504C6"/>
    <w:rsid w:val="6CD96208"/>
    <w:rsid w:val="6CEA21C3"/>
    <w:rsid w:val="6CF013AD"/>
    <w:rsid w:val="6D3F5251"/>
    <w:rsid w:val="6D4549E6"/>
    <w:rsid w:val="6D480C98"/>
    <w:rsid w:val="6D6326C2"/>
    <w:rsid w:val="6D920165"/>
    <w:rsid w:val="6D967C55"/>
    <w:rsid w:val="6DBC7D32"/>
    <w:rsid w:val="6DBE71AC"/>
    <w:rsid w:val="6DD33B03"/>
    <w:rsid w:val="6DDA6BAC"/>
    <w:rsid w:val="6DE704B1"/>
    <w:rsid w:val="6DF350A8"/>
    <w:rsid w:val="6DF44C7C"/>
    <w:rsid w:val="6E3C2992"/>
    <w:rsid w:val="6E3D4D64"/>
    <w:rsid w:val="6E8C2E06"/>
    <w:rsid w:val="6E8E4DD0"/>
    <w:rsid w:val="6E931422"/>
    <w:rsid w:val="6EAE5472"/>
    <w:rsid w:val="6ED46B64"/>
    <w:rsid w:val="6EDC259C"/>
    <w:rsid w:val="6EE60768"/>
    <w:rsid w:val="6F084B83"/>
    <w:rsid w:val="6F2C3ED9"/>
    <w:rsid w:val="6F406688"/>
    <w:rsid w:val="6F433E0D"/>
    <w:rsid w:val="6F62308B"/>
    <w:rsid w:val="6F6C545A"/>
    <w:rsid w:val="6F926156"/>
    <w:rsid w:val="6F9401C4"/>
    <w:rsid w:val="6F96218E"/>
    <w:rsid w:val="6F9E1043"/>
    <w:rsid w:val="6FA92DAA"/>
    <w:rsid w:val="6FB940CF"/>
    <w:rsid w:val="6FBC59BA"/>
    <w:rsid w:val="6FC97E45"/>
    <w:rsid w:val="70332F6E"/>
    <w:rsid w:val="70346664"/>
    <w:rsid w:val="70561212"/>
    <w:rsid w:val="70820965"/>
    <w:rsid w:val="709169C5"/>
    <w:rsid w:val="70AC11A5"/>
    <w:rsid w:val="70AC7C7E"/>
    <w:rsid w:val="70C40CD5"/>
    <w:rsid w:val="70D54F38"/>
    <w:rsid w:val="70D70CB1"/>
    <w:rsid w:val="70E571FE"/>
    <w:rsid w:val="713325D5"/>
    <w:rsid w:val="71520337"/>
    <w:rsid w:val="715E6CDC"/>
    <w:rsid w:val="718D41DB"/>
    <w:rsid w:val="719E17CE"/>
    <w:rsid w:val="71C075FE"/>
    <w:rsid w:val="71C31235"/>
    <w:rsid w:val="71CF4C44"/>
    <w:rsid w:val="71D15310"/>
    <w:rsid w:val="71F60B5D"/>
    <w:rsid w:val="71F94C89"/>
    <w:rsid w:val="72026C0C"/>
    <w:rsid w:val="72037883"/>
    <w:rsid w:val="72127699"/>
    <w:rsid w:val="721C3F61"/>
    <w:rsid w:val="722241AD"/>
    <w:rsid w:val="722C2936"/>
    <w:rsid w:val="724E6D50"/>
    <w:rsid w:val="72582049"/>
    <w:rsid w:val="72785B7B"/>
    <w:rsid w:val="729D3834"/>
    <w:rsid w:val="72B246BC"/>
    <w:rsid w:val="72C13B1B"/>
    <w:rsid w:val="72D65ACA"/>
    <w:rsid w:val="72E96A79"/>
    <w:rsid w:val="73116E09"/>
    <w:rsid w:val="73131D48"/>
    <w:rsid w:val="73142912"/>
    <w:rsid w:val="7334520E"/>
    <w:rsid w:val="7358775B"/>
    <w:rsid w:val="7375030D"/>
    <w:rsid w:val="73852BE6"/>
    <w:rsid w:val="73861C16"/>
    <w:rsid w:val="73886292"/>
    <w:rsid w:val="739A7D73"/>
    <w:rsid w:val="73CC7691"/>
    <w:rsid w:val="73CC79FC"/>
    <w:rsid w:val="73D94D40"/>
    <w:rsid w:val="73DE4104"/>
    <w:rsid w:val="73E7745D"/>
    <w:rsid w:val="73ED4C8A"/>
    <w:rsid w:val="73F6144E"/>
    <w:rsid w:val="740F3F40"/>
    <w:rsid w:val="74336D22"/>
    <w:rsid w:val="74570374"/>
    <w:rsid w:val="74714F78"/>
    <w:rsid w:val="74890514"/>
    <w:rsid w:val="7490551B"/>
    <w:rsid w:val="74943E9C"/>
    <w:rsid w:val="74C23A26"/>
    <w:rsid w:val="74CA0F89"/>
    <w:rsid w:val="74DD1B29"/>
    <w:rsid w:val="74E76FE8"/>
    <w:rsid w:val="74E93A65"/>
    <w:rsid w:val="74F1363F"/>
    <w:rsid w:val="74F77A1A"/>
    <w:rsid w:val="74F8162D"/>
    <w:rsid w:val="74FD4A5E"/>
    <w:rsid w:val="750951B1"/>
    <w:rsid w:val="75123F8E"/>
    <w:rsid w:val="75126752"/>
    <w:rsid w:val="75153B55"/>
    <w:rsid w:val="751C1180"/>
    <w:rsid w:val="75265D63"/>
    <w:rsid w:val="754E0E15"/>
    <w:rsid w:val="75874327"/>
    <w:rsid w:val="758D193E"/>
    <w:rsid w:val="758F546C"/>
    <w:rsid w:val="75BE297E"/>
    <w:rsid w:val="75F55735"/>
    <w:rsid w:val="760B4F58"/>
    <w:rsid w:val="761958C7"/>
    <w:rsid w:val="76275551"/>
    <w:rsid w:val="763B5B18"/>
    <w:rsid w:val="764F753B"/>
    <w:rsid w:val="7673709D"/>
    <w:rsid w:val="767E572A"/>
    <w:rsid w:val="76856AB9"/>
    <w:rsid w:val="76885999"/>
    <w:rsid w:val="769215F3"/>
    <w:rsid w:val="76A2766B"/>
    <w:rsid w:val="76A31467"/>
    <w:rsid w:val="76CA6401"/>
    <w:rsid w:val="76D57A40"/>
    <w:rsid w:val="76E175FF"/>
    <w:rsid w:val="76ED6142"/>
    <w:rsid w:val="76F105F2"/>
    <w:rsid w:val="76FA51E9"/>
    <w:rsid w:val="77057BFA"/>
    <w:rsid w:val="77072CA8"/>
    <w:rsid w:val="771C1FEB"/>
    <w:rsid w:val="771D33A0"/>
    <w:rsid w:val="77563CD7"/>
    <w:rsid w:val="77665A7F"/>
    <w:rsid w:val="77773955"/>
    <w:rsid w:val="77C74EAF"/>
    <w:rsid w:val="77DE46D3"/>
    <w:rsid w:val="77F953AA"/>
    <w:rsid w:val="781112BD"/>
    <w:rsid w:val="781A76D5"/>
    <w:rsid w:val="782A5B6A"/>
    <w:rsid w:val="783559BC"/>
    <w:rsid w:val="786348A8"/>
    <w:rsid w:val="789E5CA1"/>
    <w:rsid w:val="78A06CA9"/>
    <w:rsid w:val="78A376CA"/>
    <w:rsid w:val="78BE62B2"/>
    <w:rsid w:val="78BF199D"/>
    <w:rsid w:val="78E0447A"/>
    <w:rsid w:val="78E959D6"/>
    <w:rsid w:val="78F87A16"/>
    <w:rsid w:val="790F19B7"/>
    <w:rsid w:val="790F6B0E"/>
    <w:rsid w:val="79112886"/>
    <w:rsid w:val="797D43BF"/>
    <w:rsid w:val="798D23B3"/>
    <w:rsid w:val="799D14E6"/>
    <w:rsid w:val="79AD6A52"/>
    <w:rsid w:val="79BC1425"/>
    <w:rsid w:val="79D33147"/>
    <w:rsid w:val="79DB17E3"/>
    <w:rsid w:val="79EB757B"/>
    <w:rsid w:val="7A2F56B9"/>
    <w:rsid w:val="7A552C46"/>
    <w:rsid w:val="7A8B59BA"/>
    <w:rsid w:val="7A9542D7"/>
    <w:rsid w:val="7AA03EC1"/>
    <w:rsid w:val="7AB43E11"/>
    <w:rsid w:val="7AE534E4"/>
    <w:rsid w:val="7AE84D32"/>
    <w:rsid w:val="7AFE6E3A"/>
    <w:rsid w:val="7B164183"/>
    <w:rsid w:val="7B220D7A"/>
    <w:rsid w:val="7B2F5245"/>
    <w:rsid w:val="7B566C76"/>
    <w:rsid w:val="7B5B428C"/>
    <w:rsid w:val="7B607AF4"/>
    <w:rsid w:val="7B8C5E53"/>
    <w:rsid w:val="7B9C1CE2"/>
    <w:rsid w:val="7BB75966"/>
    <w:rsid w:val="7BD227A0"/>
    <w:rsid w:val="7BDA1655"/>
    <w:rsid w:val="7BEC1388"/>
    <w:rsid w:val="7BF42DEB"/>
    <w:rsid w:val="7C2D79D7"/>
    <w:rsid w:val="7C3658C0"/>
    <w:rsid w:val="7C4215A3"/>
    <w:rsid w:val="7C500AA8"/>
    <w:rsid w:val="7C5246B6"/>
    <w:rsid w:val="7C5B523D"/>
    <w:rsid w:val="7C652626"/>
    <w:rsid w:val="7C7F0063"/>
    <w:rsid w:val="7CCA16C9"/>
    <w:rsid w:val="7CCE46CA"/>
    <w:rsid w:val="7CCE5AF7"/>
    <w:rsid w:val="7CDB45ED"/>
    <w:rsid w:val="7CDC4FC8"/>
    <w:rsid w:val="7CE107C1"/>
    <w:rsid w:val="7CE45748"/>
    <w:rsid w:val="7CEF3AC0"/>
    <w:rsid w:val="7D0071F7"/>
    <w:rsid w:val="7D056C60"/>
    <w:rsid w:val="7D24527D"/>
    <w:rsid w:val="7D287965"/>
    <w:rsid w:val="7D2D52C7"/>
    <w:rsid w:val="7D675B23"/>
    <w:rsid w:val="7D8E0949"/>
    <w:rsid w:val="7D937D0D"/>
    <w:rsid w:val="7DA57A41"/>
    <w:rsid w:val="7DBB1012"/>
    <w:rsid w:val="7DC91981"/>
    <w:rsid w:val="7DC9372F"/>
    <w:rsid w:val="7DF52C92"/>
    <w:rsid w:val="7DFE523D"/>
    <w:rsid w:val="7E0E3838"/>
    <w:rsid w:val="7E1370DE"/>
    <w:rsid w:val="7E24363B"/>
    <w:rsid w:val="7E3A462D"/>
    <w:rsid w:val="7E6E42D6"/>
    <w:rsid w:val="7E794E93"/>
    <w:rsid w:val="7E993157"/>
    <w:rsid w:val="7EA47CF8"/>
    <w:rsid w:val="7EAC7BCA"/>
    <w:rsid w:val="7EAF4E63"/>
    <w:rsid w:val="7EB1041A"/>
    <w:rsid w:val="7EB30231"/>
    <w:rsid w:val="7ED607F9"/>
    <w:rsid w:val="7EF14CDF"/>
    <w:rsid w:val="7F1F5B67"/>
    <w:rsid w:val="7F5369AF"/>
    <w:rsid w:val="7F6556D9"/>
    <w:rsid w:val="7F7D0C75"/>
    <w:rsid w:val="7F863192"/>
    <w:rsid w:val="7FBF303C"/>
    <w:rsid w:val="7FC4206D"/>
    <w:rsid w:val="7FDE7399"/>
    <w:rsid w:val="7FFB5C8A"/>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80"/>
    <w:qFormat/>
    <w:uiPriority w:val="0"/>
    <w:pPr>
      <w:keepNext/>
      <w:snapToGrid w:val="0"/>
      <w:spacing w:line="360" w:lineRule="atLeast"/>
      <w:jc w:val="center"/>
      <w:outlineLvl w:val="0"/>
    </w:pPr>
    <w:rPr>
      <w:rFonts w:ascii="宋体" w:hAnsi="宋体" w:eastAsia="宋体"/>
      <w:b/>
      <w:sz w:val="28"/>
    </w:rPr>
  </w:style>
  <w:style w:type="paragraph" w:styleId="3">
    <w:name w:val="heading 2"/>
    <w:basedOn w:val="1"/>
    <w:next w:val="1"/>
    <w:link w:val="81"/>
    <w:qFormat/>
    <w:uiPriority w:val="0"/>
    <w:pPr>
      <w:keepNext/>
      <w:keepLines/>
      <w:outlineLvl w:val="1"/>
    </w:pPr>
    <w:rPr>
      <w:rFonts w:ascii="Arial" w:hAnsi="Arial"/>
    </w:rPr>
  </w:style>
  <w:style w:type="paragraph" w:styleId="4">
    <w:name w:val="heading 3"/>
    <w:basedOn w:val="1"/>
    <w:next w:val="1"/>
    <w:link w:val="93"/>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0"/>
    <w:qFormat/>
    <w:uiPriority w:val="0"/>
    <w:pPr>
      <w:keepNext/>
      <w:keepLines/>
      <w:spacing w:line="372" w:lineRule="auto"/>
      <w:outlineLvl w:val="3"/>
    </w:pPr>
    <w:rPr>
      <w:rFonts w:ascii="Arial" w:hAnsi="Arial" w:eastAsia="黑体"/>
      <w:b/>
    </w:rPr>
  </w:style>
  <w:style w:type="paragraph" w:styleId="6">
    <w:name w:val="heading 5"/>
    <w:basedOn w:val="1"/>
    <w:next w:val="1"/>
    <w:link w:val="261"/>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2"/>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3"/>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4"/>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5"/>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5">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3"/>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3"/>
    <w:qFormat/>
    <w:uiPriority w:val="99"/>
    <w:pPr>
      <w:adjustRightInd w:val="0"/>
      <w:spacing w:line="360" w:lineRule="atLeast"/>
      <w:jc w:val="left"/>
      <w:textAlignment w:val="baseline"/>
    </w:pPr>
    <w:rPr>
      <w:kern w:val="0"/>
      <w:sz w:val="24"/>
    </w:rPr>
  </w:style>
  <w:style w:type="paragraph" w:styleId="20">
    <w:name w:val="Body Text 3"/>
    <w:basedOn w:val="1"/>
    <w:link w:val="276"/>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link w:val="256"/>
    <w:qFormat/>
    <w:uiPriority w:val="0"/>
    <w:rPr>
      <w:rFonts w:ascii="仿宋_GB2312" w:eastAsia="仿宋_GB2312"/>
      <w:sz w:val="32"/>
    </w:rPr>
  </w:style>
  <w:style w:type="paragraph" w:styleId="23">
    <w:name w:val="Body Text Indent"/>
    <w:basedOn w:val="1"/>
    <w:next w:val="24"/>
    <w:link w:val="84"/>
    <w:qFormat/>
    <w:uiPriority w:val="0"/>
    <w:pPr>
      <w:spacing w:line="700" w:lineRule="exact"/>
      <w:ind w:left="960"/>
    </w:pPr>
    <w:rPr>
      <w:sz w:val="44"/>
    </w:rPr>
  </w:style>
  <w:style w:type="paragraph" w:customStyle="1" w:styleId="24">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85"/>
    <w:qFormat/>
    <w:uiPriority w:val="0"/>
    <w:rPr>
      <w:rFonts w:ascii="宋体" w:hAnsi="Courier New"/>
      <w:sz w:val="21"/>
    </w:rPr>
  </w:style>
  <w:style w:type="paragraph" w:styleId="34">
    <w:name w:val="toc 8"/>
    <w:basedOn w:val="1"/>
    <w:next w:val="1"/>
    <w:qFormat/>
    <w:uiPriority w:val="39"/>
    <w:pPr>
      <w:ind w:left="2940" w:leftChars="1400"/>
    </w:pPr>
  </w:style>
  <w:style w:type="paragraph" w:styleId="35">
    <w:name w:val="Date"/>
    <w:basedOn w:val="1"/>
    <w:next w:val="1"/>
    <w:link w:val="86"/>
    <w:qFormat/>
    <w:uiPriority w:val="0"/>
  </w:style>
  <w:style w:type="paragraph" w:styleId="36">
    <w:name w:val="Body Text Indent 2"/>
    <w:basedOn w:val="1"/>
    <w:link w:val="87"/>
    <w:qFormat/>
    <w:uiPriority w:val="0"/>
    <w:pPr>
      <w:snapToGrid w:val="0"/>
      <w:spacing w:line="560" w:lineRule="atLeast"/>
      <w:ind w:firstLine="540"/>
    </w:pPr>
  </w:style>
  <w:style w:type="paragraph" w:styleId="37">
    <w:name w:val="endnote text"/>
    <w:basedOn w:val="1"/>
    <w:link w:val="283"/>
    <w:qFormat/>
    <w:uiPriority w:val="0"/>
    <w:pPr>
      <w:widowControl/>
      <w:snapToGrid w:val="0"/>
      <w:jc w:val="left"/>
    </w:pPr>
    <w:rPr>
      <w:rFonts w:ascii="Arial" w:hAnsi="Arial" w:cs="Arial"/>
      <w:kern w:val="0"/>
      <w:sz w:val="20"/>
      <w:szCs w:val="24"/>
      <w:lang w:eastAsia="en-US"/>
    </w:rPr>
  </w:style>
  <w:style w:type="paragraph" w:styleId="38">
    <w:name w:val="Balloon Text"/>
    <w:basedOn w:val="1"/>
    <w:link w:val="284"/>
    <w:qFormat/>
    <w:uiPriority w:val="0"/>
    <w:rPr>
      <w:sz w:val="18"/>
    </w:rPr>
  </w:style>
  <w:style w:type="paragraph" w:styleId="39">
    <w:name w:val="footer"/>
    <w:basedOn w:val="1"/>
    <w:link w:val="88"/>
    <w:qFormat/>
    <w:uiPriority w:val="0"/>
    <w:pPr>
      <w:tabs>
        <w:tab w:val="center" w:pos="4153"/>
        <w:tab w:val="right" w:pos="8306"/>
      </w:tabs>
      <w:snapToGrid w:val="0"/>
      <w:jc w:val="left"/>
    </w:pPr>
    <w:rPr>
      <w:sz w:val="18"/>
    </w:rPr>
  </w:style>
  <w:style w:type="paragraph" w:styleId="40">
    <w:name w:val="header"/>
    <w:basedOn w:val="1"/>
    <w:link w:val="89"/>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link w:val="289"/>
    <w:qFormat/>
    <w:uiPriority w:val="0"/>
    <w:pPr>
      <w:widowControl/>
      <w:jc w:val="center"/>
    </w:pPr>
    <w:rPr>
      <w:kern w:val="0"/>
      <w:sz w:val="20"/>
      <w:szCs w:val="24"/>
      <w:u w:val="single"/>
      <w:lang w:eastAsia="en-US"/>
    </w:rPr>
  </w:style>
  <w:style w:type="paragraph" w:styleId="45">
    <w:name w:val="List"/>
    <w:basedOn w:val="1"/>
    <w:semiHidden/>
    <w:qFormat/>
    <w:uiPriority w:val="0"/>
    <w:pPr>
      <w:ind w:left="200" w:hanging="200" w:hangingChars="200"/>
    </w:pPr>
  </w:style>
  <w:style w:type="paragraph" w:styleId="46">
    <w:name w:val="footnote text"/>
    <w:basedOn w:val="1"/>
    <w:link w:val="90"/>
    <w:qFormat/>
    <w:uiPriority w:val="0"/>
    <w:pPr>
      <w:spacing w:line="360" w:lineRule="auto"/>
    </w:pPr>
    <w:rPr>
      <w:sz w:val="18"/>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291"/>
    <w:qFormat/>
    <w:uiPriority w:val="0"/>
    <w:pPr>
      <w:spacing w:line="360" w:lineRule="auto"/>
      <w:ind w:firstLine="632"/>
    </w:pPr>
    <w:rPr>
      <w:rFonts w:ascii="黑体" w:eastAsia="黑体"/>
    </w:rPr>
  </w:style>
  <w:style w:type="paragraph" w:styleId="50">
    <w:name w:val="table of figures"/>
    <w:basedOn w:val="1"/>
    <w:next w:val="1"/>
    <w:qFormat/>
    <w:uiPriority w:val="0"/>
    <w:pPr>
      <w:tabs>
        <w:tab w:val="right" w:leader="dot" w:pos="8640"/>
      </w:tabs>
      <w:spacing w:line="360" w:lineRule="auto"/>
      <w:ind w:left="400" w:hanging="400"/>
    </w:pPr>
    <w:rPr>
      <w:sz w:val="24"/>
    </w:rPr>
  </w:style>
  <w:style w:type="paragraph" w:styleId="51">
    <w:name w:val="toc 2"/>
    <w:basedOn w:val="1"/>
    <w:next w:val="1"/>
    <w:qFormat/>
    <w:uiPriority w:val="39"/>
    <w:pPr>
      <w:ind w:left="420" w:leftChars="200"/>
    </w:pPr>
  </w:style>
  <w:style w:type="paragraph" w:styleId="52">
    <w:name w:val="toc 9"/>
    <w:basedOn w:val="1"/>
    <w:next w:val="1"/>
    <w:qFormat/>
    <w:uiPriority w:val="39"/>
    <w:pPr>
      <w:ind w:left="3360" w:leftChars="1600"/>
    </w:pPr>
  </w:style>
  <w:style w:type="paragraph" w:styleId="53">
    <w:name w:val="Body Text 2"/>
    <w:basedOn w:val="1"/>
    <w:link w:val="293"/>
    <w:qFormat/>
    <w:uiPriority w:val="0"/>
    <w:pPr>
      <w:adjustRightInd w:val="0"/>
      <w:snapToGrid w:val="0"/>
      <w:spacing w:line="480" w:lineRule="auto"/>
    </w:pPr>
    <w:rPr>
      <w:sz w:val="24"/>
    </w:rPr>
  </w:style>
  <w:style w:type="paragraph" w:styleId="54">
    <w:name w:val="List 4"/>
    <w:basedOn w:val="1"/>
    <w:qFormat/>
    <w:uiPriority w:val="0"/>
    <w:pPr>
      <w:adjustRightInd w:val="0"/>
      <w:snapToGrid w:val="0"/>
      <w:spacing w:line="360" w:lineRule="auto"/>
      <w:ind w:left="100" w:leftChars="600" w:hanging="200" w:hangingChars="200"/>
    </w:pPr>
    <w:rPr>
      <w:sz w:val="24"/>
    </w:rPr>
  </w:style>
  <w:style w:type="paragraph" w:styleId="55">
    <w:name w:val="List Continue 2"/>
    <w:basedOn w:val="1"/>
    <w:qFormat/>
    <w:uiPriority w:val="0"/>
    <w:pPr>
      <w:adjustRightInd w:val="0"/>
      <w:snapToGrid w:val="0"/>
      <w:spacing w:line="360" w:lineRule="auto"/>
      <w:ind w:left="840" w:leftChars="400"/>
    </w:pPr>
    <w:rPr>
      <w:sz w:val="24"/>
    </w:rPr>
  </w:style>
  <w:style w:type="paragraph" w:styleId="56">
    <w:name w:val="HTML Preformatted"/>
    <w:basedOn w:val="1"/>
    <w:link w:val="29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7">
    <w:name w:val="Normal (Web)"/>
    <w:basedOn w:val="1"/>
    <w:qFormat/>
    <w:uiPriority w:val="0"/>
    <w:pPr>
      <w:widowControl/>
      <w:spacing w:beforeAutospacing="1" w:afterAutospacing="1"/>
      <w:jc w:val="left"/>
    </w:pPr>
    <w:rPr>
      <w:rFonts w:ascii="宋体" w:hAnsi="宋体"/>
      <w:kern w:val="0"/>
      <w:sz w:val="24"/>
    </w:rPr>
  </w:style>
  <w:style w:type="paragraph" w:styleId="58">
    <w:name w:val="List Continue 3"/>
    <w:basedOn w:val="1"/>
    <w:qFormat/>
    <w:uiPriority w:val="0"/>
    <w:pPr>
      <w:adjustRightInd w:val="0"/>
      <w:snapToGrid w:val="0"/>
      <w:spacing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next w:val="1"/>
    <w:link w:val="296"/>
    <w:qFormat/>
    <w:uiPriority w:val="0"/>
    <w:pPr>
      <w:widowControl/>
      <w:spacing w:line="360" w:lineRule="auto"/>
      <w:jc w:val="center"/>
    </w:pPr>
    <w:rPr>
      <w:rFonts w:ascii="Arial" w:hAnsi="Arial"/>
      <w:b/>
      <w:smallCaps/>
      <w:kern w:val="28"/>
      <w:sz w:val="36"/>
      <w:lang w:eastAsia="en-US"/>
    </w:rPr>
  </w:style>
  <w:style w:type="paragraph" w:styleId="61">
    <w:name w:val="annotation subject"/>
    <w:basedOn w:val="19"/>
    <w:next w:val="19"/>
    <w:link w:val="91"/>
    <w:qFormat/>
    <w:uiPriority w:val="0"/>
    <w:pPr>
      <w:adjustRightInd/>
      <w:spacing w:line="240" w:lineRule="auto"/>
      <w:textAlignment w:val="auto"/>
    </w:pPr>
  </w:style>
  <w:style w:type="paragraph" w:styleId="62">
    <w:name w:val="Body Text First Indent"/>
    <w:basedOn w:val="22"/>
    <w:next w:val="63"/>
    <w:qFormat/>
    <w:uiPriority w:val="0"/>
    <w:pPr>
      <w:spacing w:line="360" w:lineRule="auto"/>
      <w:ind w:firstLine="420"/>
    </w:pPr>
    <w:rPr>
      <w:rFonts w:ascii="宋体" w:hAnsi="宋体"/>
      <w:sz w:val="24"/>
    </w:rPr>
  </w:style>
  <w:style w:type="paragraph" w:styleId="63">
    <w:name w:val="Body Text First Indent 2"/>
    <w:basedOn w:val="23"/>
    <w:next w:val="1"/>
    <w:link w:val="92"/>
    <w:qFormat/>
    <w:uiPriority w:val="0"/>
    <w:pPr>
      <w:spacing w:line="240" w:lineRule="auto"/>
      <w:ind w:left="420" w:leftChars="200" w:firstLine="420" w:firstLineChars="200"/>
    </w:pPr>
  </w:style>
  <w:style w:type="character" w:styleId="66">
    <w:name w:val="Strong"/>
    <w:qFormat/>
    <w:uiPriority w:val="0"/>
    <w:rPr>
      <w:b/>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0"/>
    <w:rPr>
      <w:i/>
    </w:rPr>
  </w:style>
  <w:style w:type="character" w:styleId="71">
    <w:name w:val="Hyperlink"/>
    <w:qFormat/>
    <w:uiPriority w:val="99"/>
    <w:rPr>
      <w:color w:val="0000FF"/>
      <w:u w:val="singl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5">
    <w:name w:val="一级条标题"/>
    <w:basedOn w:val="76"/>
    <w:next w:val="77"/>
    <w:qFormat/>
    <w:uiPriority w:val="0"/>
    <w:pPr>
      <w:numPr>
        <w:numId w:val="0"/>
      </w:numPr>
      <w:spacing w:beforeLines="0" w:afterLines="0"/>
      <w:ind w:left="525"/>
      <w:outlineLvl w:val="2"/>
    </w:pPr>
    <w:rPr>
      <w:sz w:val="21"/>
    </w:rPr>
  </w:style>
  <w:style w:type="paragraph" w:customStyle="1" w:styleId="76">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7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样式3"/>
    <w:basedOn w:val="2"/>
    <w:next w:val="2"/>
    <w:qFormat/>
    <w:uiPriority w:val="0"/>
    <w:pPr>
      <w:keepLines/>
      <w:adjustRightInd w:val="0"/>
      <w:spacing w:line="576" w:lineRule="auto"/>
    </w:pPr>
    <w:rPr>
      <w:rFonts w:ascii="Times New Roman" w:eastAsia="黑体"/>
      <w:b w:val="0"/>
      <w:kern w:val="44"/>
      <w:sz w:val="44"/>
    </w:rPr>
  </w:style>
  <w:style w:type="paragraph" w:customStyle="1" w:styleId="79">
    <w:name w:val="无间隔1"/>
    <w:qFormat/>
    <w:uiPriority w:val="0"/>
    <w:pPr>
      <w:jc w:val="both"/>
    </w:pPr>
    <w:rPr>
      <w:rFonts w:ascii="Times New Roman" w:hAnsi="Times New Roman" w:eastAsia="Times New Roman" w:cs="Times New Roman"/>
      <w:lang w:val="en-US" w:eastAsia="zh-CN" w:bidi="ar-SA"/>
    </w:rPr>
  </w:style>
  <w:style w:type="character" w:customStyle="1" w:styleId="80">
    <w:name w:val="标题 1 Char"/>
    <w:link w:val="2"/>
    <w:qFormat/>
    <w:uiPriority w:val="0"/>
    <w:rPr>
      <w:rFonts w:ascii="宋体" w:hAnsi="宋体" w:eastAsia="宋体"/>
      <w:b/>
      <w:sz w:val="28"/>
    </w:rPr>
  </w:style>
  <w:style w:type="character" w:customStyle="1" w:styleId="81">
    <w:name w:val="标题 2 Char"/>
    <w:link w:val="3"/>
    <w:qFormat/>
    <w:uiPriority w:val="0"/>
    <w:rPr>
      <w:rFonts w:ascii="Arial" w:hAnsi="Arial" w:eastAsia="宋体"/>
      <w:kern w:val="2"/>
      <w:sz w:val="28"/>
    </w:rPr>
  </w:style>
  <w:style w:type="character" w:customStyle="1" w:styleId="82">
    <w:name w:val="标题 3 Char"/>
    <w:link w:val="4"/>
    <w:qFormat/>
    <w:uiPriority w:val="0"/>
    <w:rPr>
      <w:rFonts w:eastAsia="宋体"/>
      <w:b/>
      <w:kern w:val="2"/>
      <w:sz w:val="32"/>
      <w:lang w:val="en-US" w:eastAsia="zh-CN"/>
    </w:rPr>
  </w:style>
  <w:style w:type="character" w:customStyle="1" w:styleId="83">
    <w:name w:val="批注文字 Char"/>
    <w:link w:val="19"/>
    <w:qFormat/>
    <w:uiPriority w:val="0"/>
    <w:rPr>
      <w:sz w:val="24"/>
    </w:rPr>
  </w:style>
  <w:style w:type="character" w:customStyle="1" w:styleId="84">
    <w:name w:val="正文文本缩进 Char"/>
    <w:link w:val="23"/>
    <w:qFormat/>
    <w:uiPriority w:val="0"/>
    <w:rPr>
      <w:kern w:val="2"/>
      <w:sz w:val="44"/>
    </w:rPr>
  </w:style>
  <w:style w:type="character" w:customStyle="1" w:styleId="85">
    <w:name w:val="纯文本 Char"/>
    <w:link w:val="33"/>
    <w:qFormat/>
    <w:uiPriority w:val="0"/>
    <w:rPr>
      <w:rFonts w:ascii="宋体" w:hAnsi="Courier New"/>
      <w:kern w:val="2"/>
      <w:sz w:val="21"/>
    </w:rPr>
  </w:style>
  <w:style w:type="character" w:customStyle="1" w:styleId="86">
    <w:name w:val="日期 Char"/>
    <w:link w:val="35"/>
    <w:qFormat/>
    <w:uiPriority w:val="0"/>
    <w:rPr>
      <w:kern w:val="2"/>
      <w:sz w:val="28"/>
    </w:rPr>
  </w:style>
  <w:style w:type="character" w:customStyle="1" w:styleId="87">
    <w:name w:val="正文文本缩进 2 Char"/>
    <w:link w:val="36"/>
    <w:qFormat/>
    <w:uiPriority w:val="0"/>
    <w:rPr>
      <w:kern w:val="2"/>
      <w:sz w:val="28"/>
    </w:rPr>
  </w:style>
  <w:style w:type="character" w:customStyle="1" w:styleId="88">
    <w:name w:val="页脚 Char"/>
    <w:link w:val="39"/>
    <w:qFormat/>
    <w:uiPriority w:val="0"/>
    <w:rPr>
      <w:kern w:val="2"/>
      <w:sz w:val="18"/>
    </w:rPr>
  </w:style>
  <w:style w:type="character" w:customStyle="1" w:styleId="89">
    <w:name w:val="页眉 Char"/>
    <w:link w:val="40"/>
    <w:qFormat/>
    <w:uiPriority w:val="0"/>
    <w:rPr>
      <w:kern w:val="2"/>
      <w:sz w:val="18"/>
    </w:rPr>
  </w:style>
  <w:style w:type="character" w:customStyle="1" w:styleId="90">
    <w:name w:val="脚注文本 Char"/>
    <w:link w:val="46"/>
    <w:qFormat/>
    <w:uiPriority w:val="0"/>
    <w:rPr>
      <w:kern w:val="2"/>
      <w:sz w:val="18"/>
    </w:rPr>
  </w:style>
  <w:style w:type="character" w:customStyle="1" w:styleId="91">
    <w:name w:val="批注主题 Char"/>
    <w:link w:val="61"/>
    <w:qFormat/>
    <w:uiPriority w:val="0"/>
  </w:style>
  <w:style w:type="character" w:customStyle="1" w:styleId="92">
    <w:name w:val="正文首行缩进 2 Char"/>
    <w:link w:val="63"/>
    <w:qFormat/>
    <w:uiPriority w:val="0"/>
  </w:style>
  <w:style w:type="character" w:customStyle="1" w:styleId="93">
    <w:name w:val="标题 3 Char1"/>
    <w:link w:val="4"/>
    <w:qFormat/>
    <w:uiPriority w:val="0"/>
    <w:rPr>
      <w:kern w:val="2"/>
      <w:sz w:val="28"/>
    </w:rPr>
  </w:style>
  <w:style w:type="character" w:customStyle="1" w:styleId="94">
    <w:name w:val="content-white1"/>
    <w:qFormat/>
    <w:uiPriority w:val="0"/>
    <w:rPr>
      <w:rFonts w:ascii="_x000B__x000C_" w:hAnsi="_x000B__x000C_"/>
      <w:color w:val="auto"/>
      <w:sz w:val="18"/>
      <w:u w:val="none"/>
    </w:rPr>
  </w:style>
  <w:style w:type="character" w:customStyle="1" w:styleId="95">
    <w:name w:val="Char Char3"/>
    <w:qFormat/>
    <w:uiPriority w:val="0"/>
    <w:rPr>
      <w:rFonts w:eastAsia="宋体"/>
      <w:kern w:val="2"/>
      <w:sz w:val="18"/>
      <w:lang w:val="en-US" w:eastAsia="zh-CN"/>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Char Char7"/>
    <w:qFormat/>
    <w:uiPriority w:val="0"/>
    <w:rPr>
      <w:rFonts w:ascii="宋体" w:hAnsi="宋体" w:eastAsia="宋体"/>
      <w:kern w:val="2"/>
      <w:sz w:val="28"/>
    </w:rPr>
  </w:style>
  <w:style w:type="character" w:customStyle="1" w:styleId="99">
    <w:name w:val="未命名11"/>
    <w:qFormat/>
    <w:uiPriority w:val="0"/>
    <w:rPr>
      <w:color w:val="77FFFF"/>
      <w:sz w:val="24"/>
    </w:rPr>
  </w:style>
  <w:style w:type="character" w:customStyle="1" w:styleId="100">
    <w:name w:val="小 Char"/>
    <w:qFormat/>
    <w:uiPriority w:val="0"/>
    <w:rPr>
      <w:rFonts w:ascii="宋体" w:hAnsi="Courier New" w:eastAsia="宋体"/>
      <w:kern w:val="2"/>
      <w:sz w:val="21"/>
      <w:lang w:val="en-US" w:eastAsia="zh-CN" w:bidi="ar-SA"/>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v151"/>
    <w:qFormat/>
    <w:uiPriority w:val="0"/>
    <w:rPr>
      <w:sz w:val="18"/>
    </w:rPr>
  </w:style>
  <w:style w:type="character" w:customStyle="1" w:styleId="104">
    <w:name w:val="Char Char2"/>
    <w:qFormat/>
    <w:uiPriority w:val="0"/>
    <w:rPr>
      <w:rFonts w:eastAsia="宋体"/>
      <w:kern w:val="2"/>
      <w:sz w:val="18"/>
      <w:lang w:val="en-US" w:eastAsia="zh-CN"/>
    </w:rPr>
  </w:style>
  <w:style w:type="character" w:customStyle="1" w:styleId="105">
    <w:name w:val="Table Text Char"/>
    <w:link w:val="106"/>
    <w:qFormat/>
    <w:uiPriority w:val="0"/>
    <w:rPr>
      <w:rFonts w:ascii="Arial" w:hAnsi="Arial"/>
      <w:kern w:val="2"/>
      <w:sz w:val="18"/>
      <w:lang w:val="en-US" w:eastAsia="zh-CN" w:bidi="ar-SA"/>
    </w:rPr>
  </w:style>
  <w:style w:type="paragraph" w:customStyle="1" w:styleId="106">
    <w:name w:val="Table Text"/>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Table Heading Char Char"/>
    <w:qFormat/>
    <w:uiPriority w:val="0"/>
    <w:rPr>
      <w:rFonts w:ascii="Arial" w:hAnsi="Arial" w:eastAsia="黑体"/>
      <w:kern w:val="2"/>
      <w:sz w:val="18"/>
      <w:lang w:val="en-US" w:eastAsia="zh-CN"/>
    </w:rPr>
  </w:style>
  <w:style w:type="character" w:customStyle="1" w:styleId="108">
    <w:name w:val="Char Char11"/>
    <w:qFormat/>
    <w:uiPriority w:val="0"/>
    <w:rPr>
      <w:rFonts w:ascii="宋体"/>
      <w:kern w:val="2"/>
      <w:sz w:val="28"/>
    </w:rPr>
  </w:style>
  <w:style w:type="character" w:customStyle="1" w:styleId="109">
    <w:name w:val="样式 宋体"/>
    <w:qFormat/>
    <w:uiPriority w:val="0"/>
    <w:rPr>
      <w:rFonts w:ascii="宋体" w:hAnsi="宋体" w:eastAsia="宋体"/>
      <w:sz w:val="28"/>
    </w:rPr>
  </w:style>
  <w:style w:type="character" w:customStyle="1" w:styleId="110">
    <w:name w:val="正文 + 三号 Char"/>
    <w:qFormat/>
    <w:uiPriority w:val="0"/>
    <w:rPr>
      <w:rFonts w:eastAsia="宋体"/>
      <w:kern w:val="2"/>
      <w:sz w:val="21"/>
      <w:lang w:val="en-US" w:eastAsia="zh-CN"/>
    </w:rPr>
  </w:style>
  <w:style w:type="character" w:customStyle="1" w:styleId="111">
    <w:name w:val="crowed11"/>
    <w:qFormat/>
    <w:uiPriority w:val="0"/>
    <w:rPr>
      <w:rFonts w:hint="default" w:ascii="_x000B__x000C_" w:hAnsi="_x000B__x000C_"/>
      <w:sz w:val="24"/>
    </w:rPr>
  </w:style>
  <w:style w:type="character" w:customStyle="1" w:styleId="112">
    <w:name w:val="font1"/>
    <w:qFormat/>
    <w:uiPriority w:val="0"/>
    <w:rPr>
      <w:color w:val="000000"/>
      <w:sz w:val="18"/>
    </w:rPr>
  </w:style>
  <w:style w:type="character" w:customStyle="1" w:styleId="113">
    <w:name w:val="H2 Char"/>
    <w:qFormat/>
    <w:uiPriority w:val="0"/>
    <w:rPr>
      <w:rFonts w:ascii="Arial" w:hAnsi="Arial" w:eastAsia="宋体"/>
      <w:kern w:val="2"/>
      <w:sz w:val="28"/>
      <w:lang w:val="en-US" w:eastAsia="zh-CN"/>
    </w:rPr>
  </w:style>
  <w:style w:type="character" w:customStyle="1" w:styleId="114">
    <w:name w:val="Char Char4"/>
    <w:qFormat/>
    <w:uiPriority w:val="0"/>
    <w:rPr>
      <w:rFonts w:eastAsia="宋体"/>
      <w:b/>
      <w:kern w:val="2"/>
      <w:sz w:val="21"/>
      <w:lang w:val="en-US" w:eastAsia="zh-CN"/>
    </w:rPr>
  </w:style>
  <w:style w:type="character" w:customStyle="1" w:styleId="115">
    <w:name w:val="title_emph1"/>
    <w:qFormat/>
    <w:uiPriority w:val="0"/>
    <w:rPr>
      <w:rFonts w:hint="default" w:ascii="Arial" w:hAnsi="Arial"/>
      <w:b/>
      <w:sz w:val="20"/>
    </w:rPr>
  </w:style>
  <w:style w:type="character" w:customStyle="1" w:styleId="116">
    <w:name w:val="Char Char6"/>
    <w:qFormat/>
    <w:uiPriority w:val="0"/>
    <w:rPr>
      <w:rFonts w:ascii="仿宋_GB2312" w:eastAsia="仿宋_GB2312"/>
      <w:kern w:val="2"/>
      <w:sz w:val="32"/>
    </w:rPr>
  </w:style>
  <w:style w:type="character" w:customStyle="1" w:styleId="117">
    <w:name w:val="top-det1"/>
    <w:qFormat/>
    <w:uiPriority w:val="0"/>
    <w:rPr>
      <w:b/>
      <w:color w:val="000000"/>
    </w:rPr>
  </w:style>
  <w:style w:type="character" w:customStyle="1" w:styleId="118">
    <w:name w:val="Char Char5"/>
    <w:qFormat/>
    <w:uiPriority w:val="0"/>
    <w:rPr>
      <w:rFonts w:ascii="Arial" w:hAnsi="Arial" w:eastAsia="宋体"/>
      <w:b/>
      <w:smallCaps/>
      <w:kern w:val="28"/>
      <w:sz w:val="36"/>
      <w:lang w:val="en-US" w:eastAsia="en-US"/>
    </w:rPr>
  </w:style>
  <w:style w:type="character" w:customStyle="1" w:styleId="119">
    <w:name w:val="标书正文:  0.74 厘米 Char1"/>
    <w:qFormat/>
    <w:uiPriority w:val="0"/>
    <w:rPr>
      <w:rFonts w:eastAsia="宋体"/>
      <w:kern w:val="2"/>
      <w:sz w:val="24"/>
      <w:lang w:val="en-US" w:eastAsia="zh-CN"/>
    </w:rPr>
  </w:style>
  <w:style w:type="character" w:customStyle="1" w:styleId="120">
    <w:name w:val="Table Text Char1 Char"/>
    <w:qFormat/>
    <w:uiPriority w:val="0"/>
    <w:rPr>
      <w:rFonts w:ascii="Arial" w:hAnsi="Arial"/>
      <w:kern w:val="2"/>
      <w:sz w:val="18"/>
      <w:lang w:val="en-US" w:eastAsia="zh-CN" w:bidi="ar-SA"/>
    </w:rPr>
  </w:style>
  <w:style w:type="character" w:customStyle="1" w:styleId="121">
    <w:name w:val="Char Char"/>
    <w:qFormat/>
    <w:uiPriority w:val="0"/>
    <w:rPr>
      <w:rFonts w:ascii="宋体" w:hAnsi="宋体" w:eastAsia="宋体"/>
      <w:kern w:val="2"/>
      <w:sz w:val="24"/>
      <w:lang w:val="en-US" w:eastAsia="zh-CN" w:bidi="ar-SA"/>
    </w:rPr>
  </w:style>
  <w:style w:type="paragraph" w:customStyle="1" w:styleId="122">
    <w:name w:val="IN Feature"/>
    <w:next w:val="12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3">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Char1 Char Char Char"/>
    <w:basedOn w:val="1"/>
    <w:qFormat/>
    <w:uiPriority w:val="0"/>
    <w:rPr>
      <w:rFonts w:ascii="Tahoma" w:hAnsi="Tahoma"/>
      <w:sz w:val="30"/>
    </w:rPr>
  </w:style>
  <w:style w:type="paragraph" w:customStyle="1" w:styleId="128">
    <w:name w:val="二级列表"/>
    <w:basedOn w:val="129"/>
    <w:next w:val="129"/>
    <w:qFormat/>
    <w:uiPriority w:val="0"/>
    <w:pPr>
      <w:tabs>
        <w:tab w:val="left" w:pos="2120"/>
      </w:tabs>
      <w:ind w:firstLine="0" w:firstLineChars="0"/>
    </w:pPr>
    <w:rPr>
      <w:b/>
    </w:rPr>
  </w:style>
  <w:style w:type="paragraph" w:customStyle="1" w:styleId="129">
    <w:name w:val="段落正文"/>
    <w:basedOn w:val="1"/>
    <w:qFormat/>
    <w:uiPriority w:val="0"/>
    <w:pPr>
      <w:spacing w:beforeLines="50" w:line="360" w:lineRule="auto"/>
      <w:ind w:firstLine="200" w:firstLineChars="200"/>
    </w:pPr>
    <w:rPr>
      <w:spacing w:val="2"/>
      <w:sz w:val="24"/>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内容标题"/>
    <w:basedOn w:val="17"/>
    <w:qFormat/>
    <w:uiPriority w:val="0"/>
    <w:rPr>
      <w:rFonts w:ascii="Tahoma" w:hAnsi="Tahoma"/>
      <w:sz w:val="24"/>
    </w:rPr>
  </w:style>
  <w:style w:type="paragraph" w:customStyle="1" w:styleId="1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4">
    <w:name w:val="表头"/>
    <w:basedOn w:val="135"/>
    <w:qFormat/>
    <w:uiPriority w:val="0"/>
    <w:pPr>
      <w:jc w:val="center"/>
    </w:pPr>
    <w:rPr>
      <w:b/>
      <w:bCs/>
    </w:rPr>
  </w:style>
  <w:style w:type="paragraph" w:customStyle="1" w:styleId="135">
    <w:name w:val="表格正文"/>
    <w:basedOn w:val="1"/>
    <w:qFormat/>
    <w:uiPriority w:val="0"/>
    <w:rPr>
      <w:rFonts w:ascii="Calibri" w:hAnsi="Calibri" w:eastAsia="仿宋" w:cs="宋体"/>
      <w:sz w:val="24"/>
    </w:rPr>
  </w:style>
  <w:style w:type="paragraph" w:customStyle="1" w:styleId="136">
    <w:name w:val="正文1"/>
    <w:basedOn w:val="1"/>
    <w:qFormat/>
    <w:uiPriority w:val="0"/>
    <w:pPr>
      <w:spacing w:line="300" w:lineRule="auto"/>
      <w:ind w:firstLine="200" w:firstLineChars="200"/>
    </w:pPr>
    <w:rPr>
      <w:sz w:val="24"/>
    </w:rPr>
  </w:style>
  <w:style w:type="paragraph" w:customStyle="1" w:styleId="13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8">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39">
    <w:name w:val="正文字缩2字"/>
    <w:basedOn w:val="1"/>
    <w:qFormat/>
    <w:uiPriority w:val="0"/>
    <w:pPr>
      <w:spacing w:line="360" w:lineRule="auto"/>
      <w:ind w:left="200" w:leftChars="200" w:firstLine="200" w:firstLineChars="200"/>
    </w:pPr>
    <w:rPr>
      <w:sz w:val="24"/>
    </w:rPr>
  </w:style>
  <w:style w:type="paragraph" w:customStyle="1" w:styleId="1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Title - Date"/>
    <w:basedOn w:val="60"/>
    <w:next w:val="1"/>
    <w:qFormat/>
    <w:uiPriority w:val="0"/>
    <w:rPr>
      <w:sz w:val="28"/>
    </w:rPr>
  </w:style>
  <w:style w:type="paragraph" w:customStyle="1" w:styleId="143">
    <w:name w:val="xl23"/>
    <w:basedOn w:val="1"/>
    <w:qFormat/>
    <w:uiPriority w:val="0"/>
    <w:pPr>
      <w:widowControl/>
      <w:spacing w:beforeAutospacing="1" w:afterAutospacing="1" w:line="360" w:lineRule="auto"/>
      <w:textAlignment w:val="top"/>
    </w:pPr>
    <w:rPr>
      <w:kern w:val="0"/>
      <w:sz w:val="24"/>
    </w:rPr>
  </w:style>
  <w:style w:type="paragraph" w:customStyle="1" w:styleId="144">
    <w:name w:val="没有缩进（为图形使用）"/>
    <w:basedOn w:val="1"/>
    <w:qFormat/>
    <w:uiPriority w:val="0"/>
    <w:pPr>
      <w:spacing w:line="360" w:lineRule="auto"/>
    </w:pPr>
    <w:rPr>
      <w:sz w:val="24"/>
    </w:rPr>
  </w:style>
  <w:style w:type="paragraph" w:customStyle="1" w:styleId="145">
    <w:name w:val="Char1 Char Char Char1"/>
    <w:basedOn w:val="1"/>
    <w:qFormat/>
    <w:uiPriority w:val="0"/>
    <w:rPr>
      <w:rFonts w:ascii="Tahoma" w:hAnsi="Tahoma"/>
      <w:sz w:val="24"/>
    </w:rPr>
  </w:style>
  <w:style w:type="paragraph" w:customStyle="1" w:styleId="146">
    <w:name w:val="Char1"/>
    <w:basedOn w:val="1"/>
    <w:qFormat/>
    <w:uiPriority w:val="0"/>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样式 正文缩进正文（首行缩进两字）表正文正文非缩进特点标题4段1 + 首行缩进:  2 字符"/>
    <w:basedOn w:val="15"/>
    <w:qFormat/>
    <w:uiPriority w:val="0"/>
    <w:pPr>
      <w:ind w:firstLine="480" w:firstLineChars="200"/>
    </w:pPr>
  </w:style>
  <w:style w:type="paragraph" w:customStyle="1" w:styleId="149">
    <w:name w:val="样式4"/>
    <w:basedOn w:val="5"/>
    <w:qFormat/>
    <w:uiPriority w:val="0"/>
    <w:pPr>
      <w:adjustRightInd w:val="0"/>
      <w:snapToGrid w:val="0"/>
    </w:pPr>
  </w:style>
  <w:style w:type="paragraph" w:customStyle="1" w:styleId="150">
    <w:name w:val="正文文本缩进 21"/>
    <w:basedOn w:val="1"/>
    <w:qFormat/>
    <w:uiPriority w:val="0"/>
    <w:pPr>
      <w:adjustRightInd w:val="0"/>
      <w:ind w:firstLine="420"/>
      <w:textAlignment w:val="baseline"/>
    </w:pPr>
    <w:rPr>
      <w:sz w:val="24"/>
    </w:rPr>
  </w:style>
  <w:style w:type="paragraph" w:customStyle="1" w:styleId="151">
    <w:name w:val="首行缩进 1"/>
    <w:basedOn w:val="1"/>
    <w:qFormat/>
    <w:uiPriority w:val="0"/>
    <w:pPr>
      <w:spacing w:line="360" w:lineRule="auto"/>
      <w:ind w:firstLine="200" w:firstLineChars="200"/>
    </w:pPr>
    <w:rPr>
      <w:sz w:val="24"/>
    </w:rPr>
  </w:style>
  <w:style w:type="paragraph" w:customStyle="1" w:styleId="152">
    <w:name w:val="样式 首行缩进:  0.74 厘米"/>
    <w:basedOn w:val="1"/>
    <w:qFormat/>
    <w:uiPriority w:val="0"/>
    <w:pPr>
      <w:spacing w:line="360" w:lineRule="auto"/>
      <w:ind w:firstLine="420"/>
    </w:pPr>
    <w:rPr>
      <w:sz w:val="24"/>
    </w:rPr>
  </w:style>
  <w:style w:type="paragraph" w:customStyle="1" w:styleId="15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5">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6">
    <w:name w:val="Title - Revision"/>
    <w:basedOn w:val="60"/>
    <w:qFormat/>
    <w:uiPriority w:val="0"/>
  </w:style>
  <w:style w:type="paragraph" w:customStyle="1" w:styleId="157">
    <w:name w:val="文本框样式1"/>
    <w:basedOn w:val="1"/>
    <w:qFormat/>
    <w:uiPriority w:val="0"/>
    <w:pPr>
      <w:adjustRightInd w:val="0"/>
      <w:snapToGrid w:val="0"/>
      <w:spacing w:line="180" w:lineRule="exact"/>
      <w:jc w:val="center"/>
    </w:pPr>
    <w:rPr>
      <w:sz w:val="21"/>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9">
    <w:name w:val="1"/>
    <w:basedOn w:val="1"/>
    <w:next w:val="33"/>
    <w:qFormat/>
    <w:uiPriority w:val="0"/>
    <w:rPr>
      <w:rFonts w:ascii="宋体" w:hAnsi="Courier New"/>
      <w:sz w:val="21"/>
    </w:rPr>
  </w:style>
  <w:style w:type="paragraph" w:customStyle="1" w:styleId="160">
    <w:name w:val="Table Contents"/>
    <w:basedOn w:val="22"/>
    <w:qFormat/>
    <w:uiPriority w:val="0"/>
    <w:pPr>
      <w:suppressAutoHyphens/>
      <w:jc w:val="left"/>
    </w:pPr>
    <w:rPr>
      <w:rFonts w:ascii="Times New Roman" w:eastAsia="Times New Roman"/>
      <w:kern w:val="0"/>
      <w:sz w:val="24"/>
    </w:rPr>
  </w:style>
  <w:style w:type="paragraph" w:customStyle="1" w:styleId="16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2">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3">
    <w:name w:val="Char Char Char Char Char Char Char"/>
    <w:basedOn w:val="17"/>
    <w:qFormat/>
    <w:uiPriority w:val="0"/>
    <w:rPr>
      <w:rFonts w:ascii="宋体" w:hAnsi="Tahoma"/>
    </w:rPr>
  </w:style>
  <w:style w:type="paragraph" w:customStyle="1" w:styleId="164">
    <w:name w:val="默认段落字体 Para Char Char Char Char Char Char Char Char Char1 Char Char Char Char"/>
    <w:basedOn w:val="1"/>
    <w:qFormat/>
    <w:uiPriority w:val="0"/>
    <w:rPr>
      <w:rFonts w:ascii="Tahoma" w:hAnsi="Tahoma"/>
      <w:sz w:val="24"/>
    </w:rPr>
  </w:style>
  <w:style w:type="paragraph" w:customStyle="1" w:styleId="165">
    <w:name w:val="标题无"/>
    <w:basedOn w:val="1"/>
    <w:qFormat/>
    <w:uiPriority w:val="0"/>
    <w:pPr>
      <w:spacing w:line="360" w:lineRule="auto"/>
    </w:pPr>
    <w:rPr>
      <w:sz w:val="24"/>
    </w:rPr>
  </w:style>
  <w:style w:type="paragraph" w:customStyle="1" w:styleId="166">
    <w:name w:val="样式1"/>
    <w:basedOn w:val="5"/>
    <w:qFormat/>
    <w:uiPriority w:val="0"/>
    <w:pPr>
      <w:tabs>
        <w:tab w:val="left" w:pos="720"/>
      </w:tabs>
      <w:spacing w:line="560" w:lineRule="atLeast"/>
      <w:ind w:left="420" w:hanging="420"/>
    </w:pPr>
  </w:style>
  <w:style w:type="paragraph" w:customStyle="1" w:styleId="167">
    <w:name w:val="二级条标题"/>
    <w:basedOn w:val="75"/>
    <w:next w:val="77"/>
    <w:qFormat/>
    <w:uiPriority w:val="0"/>
    <w:pPr>
      <w:ind w:left="840"/>
      <w:outlineLvl w:val="3"/>
    </w:pPr>
  </w:style>
  <w:style w:type="paragraph" w:customStyle="1" w:styleId="168">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9">
    <w:name w:val="关键词"/>
    <w:basedOn w:val="1"/>
    <w:next w:val="1"/>
    <w:qFormat/>
    <w:uiPriority w:val="0"/>
    <w:pPr>
      <w:spacing w:line="360" w:lineRule="auto"/>
    </w:pPr>
    <w:rPr>
      <w:rFonts w:eastAsia="黑体"/>
      <w:sz w:val="20"/>
    </w:rPr>
  </w:style>
  <w:style w:type="paragraph" w:customStyle="1" w:styleId="170">
    <w:name w:val="样式2"/>
    <w:basedOn w:val="5"/>
    <w:qFormat/>
    <w:uiPriority w:val="0"/>
    <w:pPr>
      <w:numPr>
        <w:ilvl w:val="0"/>
        <w:numId w:val="5"/>
      </w:numPr>
      <w:spacing w:line="400" w:lineRule="exact"/>
      <w:jc w:val="center"/>
      <w:outlineLvl w:val="0"/>
    </w:pPr>
    <w:rPr>
      <w:b w:val="0"/>
      <w:sz w:val="44"/>
    </w:rPr>
  </w:style>
  <w:style w:type="paragraph" w:customStyle="1" w:styleId="171">
    <w:name w:val="表头文本"/>
    <w:qFormat/>
    <w:uiPriority w:val="0"/>
    <w:pPr>
      <w:jc w:val="center"/>
    </w:pPr>
    <w:rPr>
      <w:rFonts w:ascii="Arial" w:hAnsi="Arial" w:eastAsia="宋体" w:cs="Times New Roman"/>
      <w:b/>
      <w:sz w:val="21"/>
      <w:lang w:val="en-US" w:eastAsia="zh-CN" w:bidi="ar-SA"/>
    </w:rPr>
  </w:style>
  <w:style w:type="paragraph" w:customStyle="1" w:styleId="172">
    <w:name w:val="_Style 161"/>
    <w:qFormat/>
    <w:uiPriority w:val="0"/>
    <w:rPr>
      <w:rFonts w:ascii="Times New Roman" w:hAnsi="Times New Roman" w:eastAsia="宋体" w:cs="Times New Roman"/>
      <w:kern w:val="2"/>
      <w:sz w:val="21"/>
      <w:lang w:val="en-US" w:eastAsia="zh-CN" w:bidi="ar-SA"/>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4">
    <w:name w:val="样式 标题 1 + 居中 段前: 6 磅 段后: 6 磅 行距: 1.5 倍行距"/>
    <w:basedOn w:val="2"/>
    <w:qFormat/>
    <w:uiPriority w:val="0"/>
    <w:pPr>
      <w:keepLines/>
      <w:adjustRightInd w:val="0"/>
      <w:spacing w:line="360" w:lineRule="auto"/>
    </w:pPr>
    <w:rPr>
      <w:rFonts w:ascii="Times New Roman"/>
      <w:b w:val="0"/>
      <w:kern w:val="44"/>
      <w:sz w:val="32"/>
    </w:rPr>
  </w:style>
  <w:style w:type="paragraph" w:customStyle="1" w:styleId="17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6">
    <w:name w:val="标题5"/>
    <w:basedOn w:val="1"/>
    <w:link w:val="357"/>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0">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1">
    <w:name w:val="样式1xz"/>
    <w:basedOn w:val="1"/>
    <w:qFormat/>
    <w:uiPriority w:val="0"/>
    <w:pPr>
      <w:tabs>
        <w:tab w:val="left" w:pos="1050"/>
        <w:tab w:val="right" w:leader="dot" w:pos="8296"/>
      </w:tabs>
    </w:pPr>
    <w:rPr>
      <w:caps/>
      <w:spacing w:val="20"/>
      <w:sz w:val="24"/>
    </w:rPr>
  </w:style>
  <w:style w:type="paragraph" w:customStyle="1" w:styleId="182">
    <w:name w:val="样式 宋体 五号 行距: 单倍行距"/>
    <w:basedOn w:val="1"/>
    <w:qFormat/>
    <w:uiPriority w:val="0"/>
    <w:pPr>
      <w:adjustRightInd w:val="0"/>
      <w:jc w:val="left"/>
    </w:pPr>
    <w:rPr>
      <w:rFonts w:ascii="宋体" w:hAnsi="宋体"/>
      <w:kern w:val="0"/>
      <w:sz w:val="21"/>
    </w:rPr>
  </w:style>
  <w:style w:type="paragraph" w:customStyle="1" w:styleId="183">
    <w:name w:val="图片文字"/>
    <w:basedOn w:val="1"/>
    <w:qFormat/>
    <w:uiPriority w:val="0"/>
    <w:pPr>
      <w:spacing w:line="240" w:lineRule="atLeast"/>
      <w:jc w:val="center"/>
    </w:pPr>
    <w:rPr>
      <w:sz w:val="21"/>
    </w:rPr>
  </w:style>
  <w:style w:type="paragraph" w:customStyle="1" w:styleId="184">
    <w:name w:val="Char"/>
    <w:basedOn w:val="1"/>
    <w:qFormat/>
    <w:uiPriority w:val="0"/>
    <w:pPr>
      <w:spacing w:line="240" w:lineRule="atLeast"/>
      <w:ind w:left="420" w:firstLine="420"/>
    </w:pPr>
    <w:rPr>
      <w:kern w:val="0"/>
      <w:sz w:val="21"/>
    </w:rPr>
  </w:style>
  <w:style w:type="paragraph" w:customStyle="1" w:styleId="185">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6">
    <w:name w:val="Note"/>
    <w:basedOn w:val="1"/>
    <w:qFormat/>
    <w:uiPriority w:val="0"/>
    <w:pPr>
      <w:pBdr>
        <w:top w:val="single" w:color="auto" w:sz="12" w:space="3"/>
        <w:bottom w:val="single" w:color="auto" w:sz="12" w:space="3"/>
      </w:pBdr>
      <w:spacing w:line="360" w:lineRule="auto"/>
    </w:pPr>
    <w:rPr>
      <w:sz w:val="24"/>
    </w:rPr>
  </w:style>
  <w:style w:type="paragraph" w:customStyle="1" w:styleId="187">
    <w:name w:val="Char21"/>
    <w:basedOn w:val="1"/>
    <w:qFormat/>
    <w:uiPriority w:val="0"/>
    <w:pPr>
      <w:spacing w:line="240" w:lineRule="atLeast"/>
      <w:ind w:left="420" w:firstLine="420"/>
    </w:pPr>
    <w:rPr>
      <w:kern w:val="0"/>
      <w:sz w:val="21"/>
    </w:rPr>
  </w:style>
  <w:style w:type="paragraph" w:customStyle="1" w:styleId="188">
    <w:name w:val="Char Char Char"/>
    <w:basedOn w:val="1"/>
    <w:qFormat/>
    <w:uiPriority w:val="0"/>
    <w:rPr>
      <w:rFonts w:ascii="Tahoma" w:hAnsi="Tahoma"/>
      <w:sz w:val="24"/>
    </w:rPr>
  </w:style>
  <w:style w:type="paragraph" w:customStyle="1" w:styleId="189">
    <w:name w:val="Char Char1"/>
    <w:basedOn w:val="1"/>
    <w:qFormat/>
    <w:uiPriority w:val="0"/>
    <w:pPr>
      <w:widowControl/>
      <w:spacing w:line="240" w:lineRule="exact"/>
      <w:jc w:val="left"/>
    </w:pPr>
    <w:rPr>
      <w:rFonts w:ascii="Verdana" w:hAnsi="Verdana"/>
      <w:kern w:val="0"/>
      <w:sz w:val="20"/>
      <w:lang w:eastAsia="en-US"/>
    </w:rPr>
  </w:style>
  <w:style w:type="paragraph" w:customStyle="1" w:styleId="190">
    <w:name w:val="标书正文:  0.74 厘米"/>
    <w:basedOn w:val="1"/>
    <w:qFormat/>
    <w:uiPriority w:val="0"/>
    <w:pPr>
      <w:snapToGrid w:val="0"/>
      <w:spacing w:line="360" w:lineRule="auto"/>
      <w:ind w:firstLine="420"/>
    </w:pPr>
    <w:rPr>
      <w:sz w:val="24"/>
    </w:rPr>
  </w:style>
  <w:style w:type="paragraph" w:customStyle="1" w:styleId="191">
    <w:name w:val="Char Char 字元 字元 字元 Char Char Char Char"/>
    <w:basedOn w:val="1"/>
    <w:qFormat/>
    <w:uiPriority w:val="0"/>
    <w:pPr>
      <w:adjustRightInd w:val="0"/>
      <w:spacing w:line="360" w:lineRule="auto"/>
    </w:pPr>
    <w:rPr>
      <w:kern w:val="0"/>
      <w:sz w:val="24"/>
    </w:rPr>
  </w:style>
  <w:style w:type="paragraph" w:customStyle="1" w:styleId="19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3">
    <w:name w:val="列表项目"/>
    <w:basedOn w:val="1"/>
    <w:qFormat/>
    <w:uiPriority w:val="0"/>
    <w:pPr>
      <w:tabs>
        <w:tab w:val="left" w:pos="420"/>
      </w:tabs>
      <w:spacing w:line="288" w:lineRule="auto"/>
      <w:ind w:left="840" w:leftChars="200" w:hanging="420" w:hangingChars="200"/>
    </w:pPr>
    <w:rPr>
      <w:sz w:val="21"/>
    </w:rPr>
  </w:style>
  <w:style w:type="paragraph" w:customStyle="1" w:styleId="194">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5">
    <w:name w:val="Char Char14 Char Char"/>
    <w:basedOn w:val="1"/>
    <w:qFormat/>
    <w:uiPriority w:val="0"/>
    <w:rPr>
      <w:sz w:val="21"/>
      <w:szCs w:val="24"/>
    </w:rPr>
  </w:style>
  <w:style w:type="paragraph" w:customStyle="1" w:styleId="196">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标题2"/>
    <w:basedOn w:val="3"/>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199">
    <w:name w:val="首行缩进"/>
    <w:basedOn w:val="1"/>
    <w:qFormat/>
    <w:uiPriority w:val="0"/>
    <w:pPr>
      <w:numPr>
        <w:ilvl w:val="0"/>
        <w:numId w:val="7"/>
      </w:numPr>
      <w:spacing w:line="360" w:lineRule="auto"/>
    </w:pPr>
    <w:rPr>
      <w:rFonts w:eastAsia="仿宋_GB2312"/>
    </w:rPr>
  </w:style>
  <w:style w:type="paragraph" w:customStyle="1" w:styleId="20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1">
    <w:name w:val="正文 + 三号"/>
    <w:basedOn w:val="1"/>
    <w:qFormat/>
    <w:uiPriority w:val="0"/>
    <w:rPr>
      <w:sz w:val="21"/>
    </w:rPr>
  </w:style>
  <w:style w:type="paragraph" w:customStyle="1" w:styleId="202">
    <w:name w:val="Char Char1 Char"/>
    <w:basedOn w:val="1"/>
    <w:qFormat/>
    <w:uiPriority w:val="0"/>
    <w:rPr>
      <w:rFonts w:ascii="Tahoma" w:hAnsi="Tahoma"/>
      <w:sz w:val="24"/>
      <w:szCs w:val="24"/>
    </w:rPr>
  </w:style>
  <w:style w:type="paragraph" w:customStyle="1" w:styleId="203">
    <w:name w:val="style1"/>
    <w:basedOn w:val="1"/>
    <w:qFormat/>
    <w:uiPriority w:val="0"/>
    <w:pPr>
      <w:widowControl/>
      <w:spacing w:beforeAutospacing="1" w:afterAutospacing="1"/>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正文文本 21"/>
    <w:basedOn w:val="1"/>
    <w:qFormat/>
    <w:uiPriority w:val="0"/>
    <w:pPr>
      <w:adjustRightInd w:val="0"/>
      <w:spacing w:line="360" w:lineRule="auto"/>
      <w:ind w:firstLine="480"/>
      <w:textAlignment w:val="baseline"/>
    </w:pPr>
    <w:rPr>
      <w:sz w:val="24"/>
    </w:rPr>
  </w:style>
  <w:style w:type="paragraph" w:customStyle="1" w:styleId="206">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0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0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9">
    <w:name w:val="摘要"/>
    <w:basedOn w:val="1"/>
    <w:next w:val="3"/>
    <w:qFormat/>
    <w:uiPriority w:val="0"/>
    <w:pPr>
      <w:spacing w:line="360" w:lineRule="auto"/>
    </w:pPr>
    <w:rPr>
      <w:rFonts w:eastAsia="黑体"/>
      <w:sz w:val="20"/>
    </w:rPr>
  </w:style>
  <w:style w:type="paragraph" w:customStyle="1" w:styleId="21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1">
    <w:name w:val="正文（首行不缩进）"/>
    <w:basedOn w:val="1"/>
    <w:qFormat/>
    <w:uiPriority w:val="0"/>
    <w:pPr>
      <w:autoSpaceDE w:val="0"/>
      <w:autoSpaceDN w:val="0"/>
      <w:adjustRightInd w:val="0"/>
      <w:spacing w:line="360" w:lineRule="auto"/>
      <w:jc w:val="left"/>
    </w:pPr>
    <w:rPr>
      <w:kern w:val="0"/>
      <w:sz w:val="21"/>
    </w:rPr>
  </w:style>
  <w:style w:type="paragraph" w:customStyle="1" w:styleId="21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6">
    <w:name w:val="Char2 Char Char Char Char Char Char"/>
    <w:basedOn w:val="1"/>
    <w:qFormat/>
    <w:uiPriority w:val="0"/>
    <w:rPr>
      <w:rFonts w:ascii="仿宋_GB2312"/>
      <w:b/>
      <w:sz w:val="30"/>
    </w:rPr>
  </w:style>
  <w:style w:type="paragraph" w:customStyle="1" w:styleId="217">
    <w:name w:val="简单回函地址"/>
    <w:basedOn w:val="1"/>
    <w:qFormat/>
    <w:uiPriority w:val="0"/>
    <w:pPr>
      <w:adjustRightInd w:val="0"/>
      <w:snapToGrid w:val="0"/>
      <w:spacing w:line="360" w:lineRule="auto"/>
    </w:pPr>
    <w:rPr>
      <w:sz w:val="24"/>
    </w:rPr>
  </w:style>
  <w:style w:type="paragraph" w:customStyle="1" w:styleId="21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9">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0">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2">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3">
    <w:name w:val="Style Heading 3h3Heading 3 - oldLevel 3 HeadH3level_3PIM 3se..."/>
    <w:basedOn w:val="4"/>
    <w:qFormat/>
    <w:uiPriority w:val="0"/>
    <w:pPr>
      <w:tabs>
        <w:tab w:val="left" w:pos="709"/>
        <w:tab w:val="left" w:pos="1620"/>
      </w:tabs>
      <w:spacing w:line="413" w:lineRule="auto"/>
      <w:ind w:left="1620" w:hanging="360"/>
    </w:pPr>
  </w:style>
  <w:style w:type="paragraph" w:customStyle="1" w:styleId="224">
    <w:name w:val="文本1"/>
    <w:basedOn w:val="1"/>
    <w:qFormat/>
    <w:uiPriority w:val="0"/>
    <w:pPr>
      <w:adjustRightInd w:val="0"/>
      <w:spacing w:line="312" w:lineRule="atLeast"/>
      <w:jc w:val="center"/>
      <w:textAlignment w:val="baseline"/>
    </w:pPr>
    <w:rPr>
      <w:kern w:val="0"/>
      <w:sz w:val="18"/>
    </w:rPr>
  </w:style>
  <w:style w:type="paragraph" w:customStyle="1" w:styleId="22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7">
    <w:name w:val="标题3——2"/>
    <w:basedOn w:val="4"/>
    <w:next w:val="62"/>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28">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29">
    <w:name w:val="附录3"/>
    <w:basedOn w:val="1"/>
    <w:next w:val="1"/>
    <w:qFormat/>
    <w:uiPriority w:val="0"/>
    <w:pPr>
      <w:tabs>
        <w:tab w:val="left" w:pos="851"/>
      </w:tabs>
      <w:ind w:left="425" w:hanging="425"/>
      <w:outlineLvl w:val="2"/>
    </w:pPr>
    <w:rPr>
      <w:rFonts w:eastAsia="黑体"/>
      <w:b/>
      <w:sz w:val="32"/>
    </w:rPr>
  </w:style>
  <w:style w:type="paragraph" w:customStyle="1" w:styleId="230">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2">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3">
    <w:name w:val="af"/>
    <w:basedOn w:val="1"/>
    <w:qFormat/>
    <w:uiPriority w:val="0"/>
    <w:pPr>
      <w:widowControl/>
      <w:spacing w:line="300" w:lineRule="atLeast"/>
      <w:jc w:val="left"/>
    </w:pPr>
    <w:rPr>
      <w:rFonts w:ascii="宋体" w:hAnsi="宋体"/>
      <w:kern w:val="0"/>
      <w:sz w:val="18"/>
    </w:rPr>
  </w:style>
  <w:style w:type="paragraph" w:customStyle="1" w:styleId="234">
    <w:name w:val="文章正文"/>
    <w:basedOn w:val="1"/>
    <w:qFormat/>
    <w:uiPriority w:val="0"/>
    <w:pPr>
      <w:ind w:firstLine="560" w:firstLineChars="200"/>
    </w:pPr>
    <w:rPr>
      <w:rFonts w:ascii="仿宋_GB2312" w:hAnsi="宋体" w:eastAsia="仿宋_GB2312"/>
      <w:color w:val="000000"/>
    </w:rPr>
  </w:style>
  <w:style w:type="paragraph" w:customStyle="1" w:styleId="235">
    <w:name w:val="图例"/>
    <w:basedOn w:val="1"/>
    <w:qFormat/>
    <w:uiPriority w:val="0"/>
    <w:pPr>
      <w:spacing w:line="360" w:lineRule="auto"/>
      <w:jc w:val="center"/>
    </w:pPr>
    <w:rPr>
      <w:rFonts w:eastAsia="仿宋_GB2312"/>
      <w:b/>
      <w:sz w:val="24"/>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38">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3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0">
    <w:name w:val="正文4"/>
    <w:basedOn w:val="1"/>
    <w:qFormat/>
    <w:uiPriority w:val="0"/>
    <w:pPr>
      <w:tabs>
        <w:tab w:val="left" w:pos="1275"/>
      </w:tabs>
      <w:spacing w:line="360" w:lineRule="auto"/>
      <w:ind w:left="820" w:leftChars="400" w:hanging="705"/>
    </w:pPr>
    <w:rPr>
      <w:sz w:val="24"/>
    </w:rPr>
  </w:style>
  <w:style w:type="paragraph" w:customStyle="1" w:styleId="241">
    <w:name w:val="默认段落字体 Para Char Char Char Char Char Char Char"/>
    <w:basedOn w:val="1"/>
    <w:qFormat/>
    <w:uiPriority w:val="0"/>
    <w:rPr>
      <w:rFonts w:ascii="Tahoma" w:hAnsi="Tahoma"/>
      <w:sz w:val="24"/>
    </w:rPr>
  </w:style>
  <w:style w:type="paragraph" w:customStyle="1" w:styleId="242">
    <w:name w:val="编号正文"/>
    <w:basedOn w:val="212"/>
    <w:qFormat/>
    <w:uiPriority w:val="0"/>
    <w:pPr>
      <w:snapToGrid/>
      <w:spacing w:line="360" w:lineRule="auto"/>
      <w:ind w:left="1407" w:hanging="1047"/>
      <w:jc w:val="left"/>
    </w:pPr>
    <w:rPr>
      <w:rFonts w:eastAsia="仿宋_GB2312"/>
    </w:rPr>
  </w:style>
  <w:style w:type="paragraph" w:customStyle="1" w:styleId="243">
    <w:name w:val="表格内文字"/>
    <w:basedOn w:val="33"/>
    <w:qFormat/>
    <w:uiPriority w:val="0"/>
    <w:pPr>
      <w:adjustRightInd w:val="0"/>
    </w:pPr>
    <w:rPr>
      <w:color w:val="000000"/>
      <w:lang w:val="en-GB"/>
    </w:rPr>
  </w:style>
  <w:style w:type="paragraph" w:customStyle="1" w:styleId="244">
    <w:name w:val="样式 行距: 1.5 倍行距1"/>
    <w:basedOn w:val="1"/>
    <w:qFormat/>
    <w:uiPriority w:val="0"/>
    <w:pPr>
      <w:snapToGrid w:val="0"/>
    </w:pPr>
    <w:rPr>
      <w:sz w:val="21"/>
    </w:rPr>
  </w:style>
  <w:style w:type="paragraph" w:customStyle="1" w:styleId="245">
    <w:name w:val="Char Char Char Char Char Char Char1"/>
    <w:basedOn w:val="1"/>
    <w:qFormat/>
    <w:uiPriority w:val="0"/>
    <w:rPr>
      <w:rFonts w:ascii="Tahoma" w:hAnsi="Tahoma"/>
      <w:sz w:val="24"/>
    </w:rPr>
  </w:style>
  <w:style w:type="paragraph" w:customStyle="1" w:styleId="246">
    <w:name w:val="表格文本"/>
    <w:qFormat/>
    <w:uiPriority w:val="0"/>
    <w:pPr>
      <w:tabs>
        <w:tab w:val="decimal" w:pos="0"/>
      </w:tabs>
    </w:pPr>
    <w:rPr>
      <w:rFonts w:ascii="Arial" w:hAnsi="Arial" w:eastAsia="宋体" w:cs="Times New Roman"/>
      <w:sz w:val="21"/>
      <w:lang w:val="en-US" w:eastAsia="zh-CN" w:bidi="ar-SA"/>
    </w:rPr>
  </w:style>
  <w:style w:type="paragraph" w:customStyle="1" w:styleId="247">
    <w:name w:val="正文表格"/>
    <w:basedOn w:val="1"/>
    <w:qFormat/>
    <w:uiPriority w:val="0"/>
    <w:pPr>
      <w:adjustRightInd w:val="0"/>
    </w:pPr>
    <w:rPr>
      <w:sz w:val="24"/>
    </w:rPr>
  </w:style>
  <w:style w:type="paragraph" w:customStyle="1" w:styleId="24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49">
    <w:name w:val="Char Char Char Char Char Char Char Char Char Char Char Char Char Char Char Char"/>
    <w:basedOn w:val="1"/>
    <w:qFormat/>
    <w:uiPriority w:val="0"/>
    <w:pPr>
      <w:tabs>
        <w:tab w:val="left" w:pos="360"/>
      </w:tabs>
    </w:pPr>
    <w:rPr>
      <w:sz w:val="24"/>
    </w:rPr>
  </w:style>
  <w:style w:type="paragraph" w:customStyle="1" w:styleId="25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1">
    <w:name w:val="标准正文"/>
    <w:basedOn w:val="23"/>
    <w:qFormat/>
    <w:uiPriority w:val="0"/>
    <w:pPr>
      <w:spacing w:line="360" w:lineRule="auto"/>
      <w:ind w:left="0" w:firstLine="482"/>
    </w:pPr>
    <w:rPr>
      <w:rFonts w:ascii="Arial" w:hAnsi="Arial"/>
      <w:sz w:val="24"/>
    </w:rPr>
  </w:style>
  <w:style w:type="character" w:customStyle="1" w:styleId="252">
    <w:name w:val="font81"/>
    <w:basedOn w:val="65"/>
    <w:qFormat/>
    <w:uiPriority w:val="0"/>
    <w:rPr>
      <w:rFonts w:hint="eastAsia" w:ascii="方正仿宋_GBK" w:hAnsi="方正仿宋_GBK" w:eastAsia="方正仿宋_GBK" w:cs="方正仿宋_GBK"/>
      <w:color w:val="000000"/>
      <w:sz w:val="20"/>
      <w:szCs w:val="20"/>
      <w:u w:val="none"/>
    </w:rPr>
  </w:style>
  <w:style w:type="character" w:customStyle="1" w:styleId="253">
    <w:name w:val="font91"/>
    <w:basedOn w:val="65"/>
    <w:qFormat/>
    <w:uiPriority w:val="0"/>
    <w:rPr>
      <w:rFonts w:hint="eastAsia" w:ascii="方正仿宋_GBK" w:hAnsi="方正仿宋_GBK" w:eastAsia="方正仿宋_GBK" w:cs="方正仿宋_GBK"/>
      <w:b/>
      <w:bCs/>
      <w:color w:val="000000"/>
      <w:sz w:val="20"/>
      <w:szCs w:val="20"/>
      <w:u w:val="none"/>
    </w:rPr>
  </w:style>
  <w:style w:type="character" w:customStyle="1" w:styleId="254">
    <w:name w:val="font41"/>
    <w:basedOn w:val="65"/>
    <w:qFormat/>
    <w:uiPriority w:val="0"/>
    <w:rPr>
      <w:rFonts w:hint="eastAsia" w:ascii="宋体" w:hAnsi="宋体" w:eastAsia="宋体" w:cs="宋体"/>
      <w:color w:val="000000"/>
      <w:sz w:val="20"/>
      <w:szCs w:val="20"/>
      <w:u w:val="none"/>
    </w:rPr>
  </w:style>
  <w:style w:type="paragraph" w:customStyle="1" w:styleId="255">
    <w:name w:val="WPSOffice手动目录 1"/>
    <w:qFormat/>
    <w:uiPriority w:val="0"/>
    <w:rPr>
      <w:rFonts w:ascii="Times New Roman" w:hAnsi="Times New Roman" w:eastAsia="宋体" w:cs="Times New Roman"/>
      <w:lang w:val="en-US" w:eastAsia="zh-CN" w:bidi="ar-SA"/>
    </w:rPr>
  </w:style>
  <w:style w:type="character" w:customStyle="1" w:styleId="256">
    <w:name w:val="正文文本 Char3"/>
    <w:link w:val="22"/>
    <w:qFormat/>
    <w:uiPriority w:val="0"/>
    <w:rPr>
      <w:rFonts w:ascii="仿宋_GB2312" w:eastAsia="仿宋_GB2312"/>
      <w:kern w:val="2"/>
      <w:sz w:val="32"/>
    </w:rPr>
  </w:style>
  <w:style w:type="character" w:customStyle="1" w:styleId="257">
    <w:name w:val="标题 1 Char2"/>
    <w:qFormat/>
    <w:uiPriority w:val="0"/>
    <w:rPr>
      <w:rFonts w:ascii="Times New Roman" w:hAnsi="Times New Roman" w:eastAsia="宋体" w:cs="Times New Roman"/>
      <w:b/>
      <w:bCs/>
      <w:kern w:val="44"/>
      <w:sz w:val="44"/>
      <w:szCs w:val="44"/>
    </w:rPr>
  </w:style>
  <w:style w:type="character" w:customStyle="1" w:styleId="258">
    <w:name w:val="标题 2 Char2"/>
    <w:qFormat/>
    <w:uiPriority w:val="0"/>
    <w:rPr>
      <w:rFonts w:ascii="Cambria" w:hAnsi="Cambria" w:eastAsia="宋体" w:cs="Times New Roman"/>
      <w:b/>
      <w:bCs/>
      <w:sz w:val="32"/>
      <w:szCs w:val="32"/>
    </w:rPr>
  </w:style>
  <w:style w:type="character" w:customStyle="1" w:styleId="259">
    <w:name w:val="标题 3 Char2"/>
    <w:qFormat/>
    <w:uiPriority w:val="0"/>
    <w:rPr>
      <w:rFonts w:ascii="Times New Roman" w:hAnsi="Times New Roman" w:eastAsia="宋体" w:cs="Times New Roman"/>
      <w:b/>
      <w:bCs/>
      <w:sz w:val="32"/>
      <w:szCs w:val="32"/>
    </w:rPr>
  </w:style>
  <w:style w:type="character" w:customStyle="1" w:styleId="260">
    <w:name w:val="标题 4 Char2"/>
    <w:link w:val="5"/>
    <w:qFormat/>
    <w:uiPriority w:val="0"/>
    <w:rPr>
      <w:rFonts w:ascii="Arial" w:hAnsi="Arial" w:eastAsia="黑体"/>
      <w:b/>
      <w:kern w:val="2"/>
      <w:sz w:val="28"/>
    </w:rPr>
  </w:style>
  <w:style w:type="character" w:customStyle="1" w:styleId="261">
    <w:name w:val="标题 5 Char2"/>
    <w:link w:val="6"/>
    <w:qFormat/>
    <w:uiPriority w:val="0"/>
    <w:rPr>
      <w:b/>
      <w:kern w:val="2"/>
      <w:sz w:val="28"/>
    </w:rPr>
  </w:style>
  <w:style w:type="character" w:customStyle="1" w:styleId="262">
    <w:name w:val="标题 6 Char2"/>
    <w:link w:val="7"/>
    <w:qFormat/>
    <w:uiPriority w:val="0"/>
    <w:rPr>
      <w:rFonts w:ascii="Arial" w:hAnsi="Arial" w:eastAsia="黑体"/>
      <w:b/>
      <w:kern w:val="2"/>
      <w:sz w:val="24"/>
    </w:rPr>
  </w:style>
  <w:style w:type="character" w:customStyle="1" w:styleId="263">
    <w:name w:val="标题 7 Char2"/>
    <w:link w:val="8"/>
    <w:qFormat/>
    <w:uiPriority w:val="0"/>
    <w:rPr>
      <w:rFonts w:ascii="Arial" w:hAnsi="Arial" w:eastAsia="黑体"/>
      <w:b/>
      <w:kern w:val="2"/>
      <w:sz w:val="24"/>
    </w:rPr>
  </w:style>
  <w:style w:type="character" w:customStyle="1" w:styleId="264">
    <w:name w:val="标题 8 Char2"/>
    <w:link w:val="9"/>
    <w:qFormat/>
    <w:uiPriority w:val="0"/>
    <w:rPr>
      <w:rFonts w:ascii="Arial" w:hAnsi="Arial" w:eastAsia="黑体"/>
      <w:b/>
      <w:kern w:val="2"/>
      <w:sz w:val="24"/>
    </w:rPr>
  </w:style>
  <w:style w:type="character" w:customStyle="1" w:styleId="265">
    <w:name w:val="标题 9 Char2"/>
    <w:link w:val="10"/>
    <w:qFormat/>
    <w:uiPriority w:val="0"/>
    <w:rPr>
      <w:rFonts w:ascii="Arial" w:hAnsi="Arial" w:eastAsia="黑体"/>
      <w:b/>
      <w:kern w:val="2"/>
      <w:sz w:val="24"/>
    </w:rPr>
  </w:style>
  <w:style w:type="character" w:customStyle="1" w:styleId="266">
    <w:name w:val="标题 4 Char"/>
    <w:basedOn w:val="65"/>
    <w:qFormat/>
    <w:uiPriority w:val="0"/>
    <w:rPr>
      <w:rFonts w:asciiTheme="majorHAnsi" w:hAnsiTheme="majorHAnsi" w:eastAsiaTheme="majorEastAsia" w:cstheme="majorBidi"/>
      <w:b/>
      <w:bCs/>
      <w:sz w:val="28"/>
      <w:szCs w:val="28"/>
    </w:rPr>
  </w:style>
  <w:style w:type="character" w:customStyle="1" w:styleId="267">
    <w:name w:val="标题 5 Char"/>
    <w:basedOn w:val="65"/>
    <w:qFormat/>
    <w:uiPriority w:val="0"/>
    <w:rPr>
      <w:rFonts w:ascii="Times New Roman" w:hAnsi="Times New Roman" w:eastAsia="宋体" w:cs="Times New Roman"/>
      <w:b/>
      <w:bCs/>
      <w:sz w:val="28"/>
      <w:szCs w:val="28"/>
    </w:rPr>
  </w:style>
  <w:style w:type="character" w:customStyle="1" w:styleId="268">
    <w:name w:val="标题 6 Char"/>
    <w:basedOn w:val="65"/>
    <w:qFormat/>
    <w:uiPriority w:val="0"/>
    <w:rPr>
      <w:rFonts w:asciiTheme="majorHAnsi" w:hAnsiTheme="majorHAnsi" w:eastAsiaTheme="majorEastAsia" w:cstheme="majorBidi"/>
      <w:b/>
      <w:bCs/>
      <w:sz w:val="24"/>
      <w:szCs w:val="24"/>
    </w:rPr>
  </w:style>
  <w:style w:type="character" w:customStyle="1" w:styleId="269">
    <w:name w:val="标题 7 Char"/>
    <w:basedOn w:val="65"/>
    <w:qFormat/>
    <w:uiPriority w:val="0"/>
    <w:rPr>
      <w:rFonts w:ascii="Times New Roman" w:hAnsi="Times New Roman" w:eastAsia="宋体" w:cs="Times New Roman"/>
      <w:b/>
      <w:bCs/>
      <w:sz w:val="24"/>
      <w:szCs w:val="24"/>
    </w:rPr>
  </w:style>
  <w:style w:type="character" w:customStyle="1" w:styleId="270">
    <w:name w:val="标题 8 Char"/>
    <w:basedOn w:val="65"/>
    <w:qFormat/>
    <w:uiPriority w:val="0"/>
    <w:rPr>
      <w:rFonts w:asciiTheme="majorHAnsi" w:hAnsiTheme="majorHAnsi" w:eastAsiaTheme="majorEastAsia" w:cstheme="majorBidi"/>
      <w:sz w:val="24"/>
      <w:szCs w:val="24"/>
    </w:rPr>
  </w:style>
  <w:style w:type="character" w:customStyle="1" w:styleId="271">
    <w:name w:val="标题 9 Char"/>
    <w:basedOn w:val="65"/>
    <w:qFormat/>
    <w:uiPriority w:val="0"/>
    <w:rPr>
      <w:rFonts w:asciiTheme="majorHAnsi" w:hAnsiTheme="majorHAnsi" w:eastAsiaTheme="majorEastAsia" w:cstheme="majorBidi"/>
      <w:szCs w:val="21"/>
    </w:rPr>
  </w:style>
  <w:style w:type="character" w:customStyle="1" w:styleId="272">
    <w:name w:val="正文文本 Char"/>
    <w:basedOn w:val="65"/>
    <w:qFormat/>
    <w:uiPriority w:val="0"/>
    <w:rPr>
      <w:rFonts w:ascii="Times New Roman" w:hAnsi="Times New Roman" w:eastAsia="宋体" w:cs="Times New Roman"/>
      <w:szCs w:val="24"/>
    </w:rPr>
  </w:style>
  <w:style w:type="character" w:customStyle="1" w:styleId="273">
    <w:name w:val="文档结构图 Char3"/>
    <w:link w:val="17"/>
    <w:qFormat/>
    <w:uiPriority w:val="0"/>
    <w:rPr>
      <w:kern w:val="2"/>
      <w:sz w:val="28"/>
      <w:shd w:val="clear" w:color="auto" w:fill="000080"/>
    </w:rPr>
  </w:style>
  <w:style w:type="character" w:customStyle="1" w:styleId="274">
    <w:name w:val="文档结构图 Char"/>
    <w:basedOn w:val="65"/>
    <w:qFormat/>
    <w:uiPriority w:val="0"/>
    <w:rPr>
      <w:rFonts w:ascii="宋体" w:hAnsi="Times New Roman" w:eastAsia="宋体" w:cs="Times New Roman"/>
      <w:sz w:val="18"/>
      <w:szCs w:val="18"/>
    </w:rPr>
  </w:style>
  <w:style w:type="character" w:customStyle="1" w:styleId="275">
    <w:name w:val="批注文字 Char3"/>
    <w:qFormat/>
    <w:uiPriority w:val="99"/>
    <w:rPr>
      <w:rFonts w:ascii="Times New Roman" w:hAnsi="Times New Roman" w:eastAsia="宋体" w:cs="Times New Roman"/>
      <w:szCs w:val="24"/>
    </w:rPr>
  </w:style>
  <w:style w:type="character" w:customStyle="1" w:styleId="276">
    <w:name w:val="正文文本 3 Char2"/>
    <w:link w:val="20"/>
    <w:qFormat/>
    <w:uiPriority w:val="0"/>
    <w:rPr>
      <w:kern w:val="2"/>
      <w:sz w:val="16"/>
    </w:rPr>
  </w:style>
  <w:style w:type="character" w:customStyle="1" w:styleId="277">
    <w:name w:val="正文文本 3 Char"/>
    <w:basedOn w:val="65"/>
    <w:qFormat/>
    <w:uiPriority w:val="0"/>
    <w:rPr>
      <w:rFonts w:ascii="Times New Roman" w:hAnsi="Times New Roman" w:eastAsia="宋体" w:cs="Times New Roman"/>
      <w:sz w:val="16"/>
      <w:szCs w:val="16"/>
    </w:rPr>
  </w:style>
  <w:style w:type="character" w:customStyle="1" w:styleId="278">
    <w:name w:val="正文文本缩进 Char2"/>
    <w:qFormat/>
    <w:uiPriority w:val="0"/>
    <w:rPr>
      <w:rFonts w:ascii="Times New Roman" w:hAnsi="Times New Roman" w:eastAsia="宋体" w:cs="Times New Roman"/>
      <w:szCs w:val="24"/>
    </w:rPr>
  </w:style>
  <w:style w:type="character" w:customStyle="1" w:styleId="279">
    <w:name w:val="纯文本 Char2"/>
    <w:qFormat/>
    <w:uiPriority w:val="0"/>
    <w:rPr>
      <w:rFonts w:ascii="宋体" w:hAnsi="Courier New" w:eastAsia="宋体" w:cs="Courier New"/>
      <w:szCs w:val="21"/>
    </w:rPr>
  </w:style>
  <w:style w:type="character" w:customStyle="1" w:styleId="280">
    <w:name w:val="日期 Char3"/>
    <w:qFormat/>
    <w:uiPriority w:val="0"/>
    <w:rPr>
      <w:rFonts w:ascii="Times New Roman" w:hAnsi="Times New Roman" w:eastAsia="宋体" w:cs="Times New Roman"/>
      <w:szCs w:val="24"/>
    </w:rPr>
  </w:style>
  <w:style w:type="character" w:customStyle="1" w:styleId="281">
    <w:name w:val="正文文本缩进 2 Char2"/>
    <w:qFormat/>
    <w:uiPriority w:val="0"/>
    <w:rPr>
      <w:rFonts w:ascii="Times New Roman" w:hAnsi="Times New Roman" w:eastAsia="宋体" w:cs="Times New Roman"/>
      <w:kern w:val="0"/>
      <w:sz w:val="28"/>
      <w:szCs w:val="24"/>
    </w:rPr>
  </w:style>
  <w:style w:type="character" w:customStyle="1" w:styleId="282">
    <w:name w:val="尾注文本 Char"/>
    <w:basedOn w:val="65"/>
    <w:link w:val="37"/>
    <w:qFormat/>
    <w:uiPriority w:val="0"/>
    <w:rPr>
      <w:kern w:val="2"/>
      <w:sz w:val="28"/>
    </w:rPr>
  </w:style>
  <w:style w:type="character" w:customStyle="1" w:styleId="283">
    <w:name w:val="尾注文本 Char2"/>
    <w:link w:val="37"/>
    <w:qFormat/>
    <w:uiPriority w:val="0"/>
    <w:rPr>
      <w:rFonts w:ascii="Arial" w:hAnsi="Arial" w:cs="Arial"/>
      <w:szCs w:val="24"/>
      <w:lang w:eastAsia="en-US"/>
    </w:rPr>
  </w:style>
  <w:style w:type="character" w:customStyle="1" w:styleId="284">
    <w:name w:val="批注框文本 Char3"/>
    <w:link w:val="38"/>
    <w:qFormat/>
    <w:uiPriority w:val="0"/>
    <w:rPr>
      <w:kern w:val="2"/>
      <w:sz w:val="18"/>
    </w:rPr>
  </w:style>
  <w:style w:type="character" w:customStyle="1" w:styleId="285">
    <w:name w:val="批注框文本 Char"/>
    <w:basedOn w:val="65"/>
    <w:qFormat/>
    <w:uiPriority w:val="0"/>
    <w:rPr>
      <w:rFonts w:ascii="Times New Roman" w:hAnsi="Times New Roman" w:eastAsia="宋体" w:cs="Times New Roman"/>
      <w:sz w:val="18"/>
      <w:szCs w:val="18"/>
    </w:rPr>
  </w:style>
  <w:style w:type="character" w:customStyle="1" w:styleId="286">
    <w:name w:val="页脚 Char1"/>
    <w:qFormat/>
    <w:uiPriority w:val="0"/>
    <w:rPr>
      <w:rFonts w:ascii="Times New Roman" w:hAnsi="Times New Roman" w:eastAsia="宋体" w:cs="Times New Roman"/>
      <w:sz w:val="18"/>
      <w:szCs w:val="18"/>
    </w:rPr>
  </w:style>
  <w:style w:type="character" w:customStyle="1" w:styleId="287">
    <w:name w:val="页眉 Char1"/>
    <w:qFormat/>
    <w:uiPriority w:val="0"/>
    <w:rPr>
      <w:rFonts w:ascii="Times New Roman" w:hAnsi="Times New Roman" w:eastAsia="宋体" w:cs="Times New Roman"/>
      <w:sz w:val="18"/>
      <w:szCs w:val="18"/>
    </w:rPr>
  </w:style>
  <w:style w:type="character" w:customStyle="1" w:styleId="288">
    <w:name w:val="副标题 Char"/>
    <w:basedOn w:val="65"/>
    <w:link w:val="44"/>
    <w:qFormat/>
    <w:uiPriority w:val="0"/>
    <w:rPr>
      <w:rFonts w:asciiTheme="majorHAnsi" w:hAnsiTheme="majorHAnsi" w:cstheme="majorBidi"/>
      <w:b/>
      <w:bCs/>
      <w:kern w:val="28"/>
      <w:sz w:val="32"/>
      <w:szCs w:val="32"/>
    </w:rPr>
  </w:style>
  <w:style w:type="character" w:customStyle="1" w:styleId="289">
    <w:name w:val="副标题 Char3"/>
    <w:link w:val="44"/>
    <w:qFormat/>
    <w:uiPriority w:val="0"/>
    <w:rPr>
      <w:szCs w:val="24"/>
      <w:u w:val="single"/>
      <w:lang w:eastAsia="en-US"/>
    </w:rPr>
  </w:style>
  <w:style w:type="character" w:customStyle="1" w:styleId="290">
    <w:name w:val="脚注文本 Char2"/>
    <w:qFormat/>
    <w:uiPriority w:val="0"/>
    <w:rPr>
      <w:rFonts w:ascii="Arial" w:hAnsi="Arial" w:eastAsia="宋体" w:cs="Arial"/>
      <w:kern w:val="0"/>
      <w:sz w:val="18"/>
      <w:szCs w:val="18"/>
      <w:lang w:eastAsia="en-US"/>
    </w:rPr>
  </w:style>
  <w:style w:type="character" w:customStyle="1" w:styleId="291">
    <w:name w:val="正文文本缩进 3 Char2"/>
    <w:link w:val="49"/>
    <w:qFormat/>
    <w:uiPriority w:val="0"/>
    <w:rPr>
      <w:rFonts w:ascii="黑体" w:eastAsia="黑体"/>
      <w:kern w:val="2"/>
      <w:sz w:val="28"/>
    </w:rPr>
  </w:style>
  <w:style w:type="character" w:customStyle="1" w:styleId="292">
    <w:name w:val="正文文本缩进 3 Char"/>
    <w:basedOn w:val="65"/>
    <w:qFormat/>
    <w:uiPriority w:val="0"/>
    <w:rPr>
      <w:rFonts w:ascii="Times New Roman" w:hAnsi="Times New Roman" w:eastAsia="宋体" w:cs="Times New Roman"/>
      <w:sz w:val="16"/>
      <w:szCs w:val="16"/>
    </w:rPr>
  </w:style>
  <w:style w:type="character" w:customStyle="1" w:styleId="293">
    <w:name w:val="正文文本 2 Char"/>
    <w:basedOn w:val="65"/>
    <w:link w:val="53"/>
    <w:qFormat/>
    <w:uiPriority w:val="0"/>
    <w:rPr>
      <w:kern w:val="2"/>
      <w:sz w:val="24"/>
    </w:rPr>
  </w:style>
  <w:style w:type="character" w:customStyle="1" w:styleId="294">
    <w:name w:val="HTML 预设格式 Char"/>
    <w:basedOn w:val="65"/>
    <w:link w:val="56"/>
    <w:qFormat/>
    <w:uiPriority w:val="0"/>
    <w:rPr>
      <w:rFonts w:ascii="Courier New" w:hAnsi="Courier New" w:cs="Courier New"/>
      <w:kern w:val="2"/>
    </w:rPr>
  </w:style>
  <w:style w:type="character" w:customStyle="1" w:styleId="295">
    <w:name w:val="HTML 预设格式 Char2"/>
    <w:link w:val="56"/>
    <w:qFormat/>
    <w:uiPriority w:val="0"/>
    <w:rPr>
      <w:rFonts w:ascii="宋体" w:hAnsi="宋体" w:cs="宋体"/>
      <w:color w:val="000000"/>
      <w:sz w:val="24"/>
      <w:szCs w:val="24"/>
    </w:rPr>
  </w:style>
  <w:style w:type="character" w:customStyle="1" w:styleId="296">
    <w:name w:val="标题 Char3"/>
    <w:link w:val="60"/>
    <w:qFormat/>
    <w:uiPriority w:val="0"/>
    <w:rPr>
      <w:rFonts w:ascii="Arial" w:hAnsi="Arial"/>
      <w:b/>
      <w:smallCaps/>
      <w:kern w:val="28"/>
      <w:sz w:val="36"/>
      <w:lang w:eastAsia="en-US"/>
    </w:rPr>
  </w:style>
  <w:style w:type="character" w:customStyle="1" w:styleId="297">
    <w:name w:val="标题 Char"/>
    <w:basedOn w:val="65"/>
    <w:qFormat/>
    <w:uiPriority w:val="0"/>
    <w:rPr>
      <w:rFonts w:eastAsia="宋体" w:asciiTheme="majorHAnsi" w:hAnsiTheme="majorHAnsi" w:cstheme="majorBidi"/>
      <w:b/>
      <w:bCs/>
      <w:sz w:val="32"/>
      <w:szCs w:val="32"/>
    </w:rPr>
  </w:style>
  <w:style w:type="character" w:customStyle="1" w:styleId="298">
    <w:name w:val="批注主题 Char3"/>
    <w:qFormat/>
    <w:uiPriority w:val="0"/>
    <w:rPr>
      <w:rFonts w:ascii="Times New Roman" w:hAnsi="Times New Roman" w:eastAsia="宋体" w:cs="Times New Roman"/>
      <w:b/>
      <w:bCs/>
      <w:szCs w:val="24"/>
    </w:rPr>
  </w:style>
  <w:style w:type="paragraph" w:customStyle="1" w:styleId="299">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0">
    <w:name w:val="_Style 101"/>
    <w:basedOn w:val="1"/>
    <w:qFormat/>
    <w:uiPriority w:val="99"/>
    <w:pPr>
      <w:ind w:firstLine="420" w:firstLineChars="200"/>
    </w:pPr>
    <w:rPr>
      <w:szCs w:val="28"/>
    </w:rPr>
  </w:style>
  <w:style w:type="paragraph" w:customStyle="1" w:styleId="301">
    <w:name w:val="表格标题"/>
    <w:basedOn w:val="302"/>
    <w:qFormat/>
    <w:uiPriority w:val="0"/>
  </w:style>
  <w:style w:type="paragraph" w:customStyle="1" w:styleId="302">
    <w:name w:val="表格内容"/>
    <w:basedOn w:val="1"/>
    <w:qFormat/>
    <w:uiPriority w:val="0"/>
    <w:pPr>
      <w:suppressLineNumbers/>
      <w:suppressAutoHyphens/>
    </w:pPr>
    <w:rPr>
      <w:sz w:val="21"/>
      <w:szCs w:val="24"/>
    </w:rPr>
  </w:style>
  <w:style w:type="paragraph" w:customStyle="1" w:styleId="30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4">
    <w:name w:val="修订1"/>
    <w:qFormat/>
    <w:uiPriority w:val="0"/>
    <w:rPr>
      <w:rFonts w:ascii="Times New Roman" w:hAnsi="Times New Roman" w:eastAsia="宋体" w:cs="Times New Roman"/>
      <w:kern w:val="2"/>
      <w:sz w:val="21"/>
      <w:szCs w:val="24"/>
      <w:lang w:val="en-US" w:eastAsia="zh-CN" w:bidi="ar-SA"/>
    </w:rPr>
  </w:style>
  <w:style w:type="paragraph" w:customStyle="1" w:styleId="305">
    <w:name w:val="标准样式1"/>
    <w:basedOn w:val="1"/>
    <w:qFormat/>
    <w:uiPriority w:val="0"/>
    <w:pPr>
      <w:spacing w:line="600" w:lineRule="exact"/>
      <w:ind w:firstLine="567"/>
    </w:pPr>
    <w:rPr>
      <w:rFonts w:ascii="Calibri" w:hAnsi="Calibri"/>
      <w:szCs w:val="24"/>
    </w:rPr>
  </w:style>
  <w:style w:type="paragraph" w:customStyle="1" w:styleId="306">
    <w:name w:val="列出段落11"/>
    <w:basedOn w:val="1"/>
    <w:qFormat/>
    <w:uiPriority w:val="0"/>
    <w:pPr>
      <w:ind w:firstLine="420" w:firstLineChars="200"/>
    </w:pPr>
    <w:rPr>
      <w:szCs w:val="28"/>
    </w:rPr>
  </w:style>
  <w:style w:type="paragraph" w:customStyle="1" w:styleId="307">
    <w:name w:val="p17"/>
    <w:basedOn w:val="1"/>
    <w:qFormat/>
    <w:uiPriority w:val="0"/>
    <w:pPr>
      <w:widowControl/>
      <w:spacing w:before="120" w:after="120"/>
      <w:jc w:val="left"/>
    </w:pPr>
    <w:rPr>
      <w:rFonts w:ascii="Calibri" w:hAnsi="Calibri" w:cs="宋体"/>
      <w:b/>
      <w:bCs/>
      <w:caps/>
      <w:kern w:val="0"/>
      <w:szCs w:val="28"/>
    </w:rPr>
  </w:style>
  <w:style w:type="paragraph" w:customStyle="1" w:styleId="308">
    <w:name w:val="WW-表格标题"/>
    <w:basedOn w:val="309"/>
    <w:qFormat/>
    <w:uiPriority w:val="0"/>
  </w:style>
  <w:style w:type="paragraph" w:customStyle="1" w:styleId="309">
    <w:name w:val="WW-表格内容"/>
    <w:basedOn w:val="1"/>
    <w:qFormat/>
    <w:uiPriority w:val="0"/>
    <w:pPr>
      <w:suppressLineNumbers/>
      <w:suppressAutoHyphens/>
    </w:pPr>
    <w:rPr>
      <w:sz w:val="21"/>
      <w:szCs w:val="24"/>
    </w:rPr>
  </w:style>
  <w:style w:type="paragraph" w:customStyle="1" w:styleId="310">
    <w:name w:val="引用2"/>
    <w:basedOn w:val="1"/>
    <w:next w:val="1"/>
    <w:link w:val="311"/>
    <w:qFormat/>
    <w:uiPriority w:val="0"/>
    <w:rPr>
      <w:i/>
      <w:iCs/>
      <w:color w:val="000000"/>
      <w:sz w:val="21"/>
      <w:szCs w:val="24"/>
    </w:rPr>
  </w:style>
  <w:style w:type="character" w:customStyle="1" w:styleId="311">
    <w:name w:val="引用 Char"/>
    <w:link w:val="310"/>
    <w:qFormat/>
    <w:uiPriority w:val="0"/>
    <w:rPr>
      <w:i/>
      <w:iCs/>
      <w:color w:val="000000"/>
      <w:kern w:val="2"/>
      <w:sz w:val="21"/>
      <w:szCs w:val="24"/>
    </w:rPr>
  </w:style>
  <w:style w:type="paragraph" w:customStyle="1" w:styleId="312">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3">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6">
    <w:name w:val="p16"/>
    <w:basedOn w:val="1"/>
    <w:qFormat/>
    <w:uiPriority w:val="0"/>
    <w:pPr>
      <w:widowControl/>
    </w:pPr>
    <w:rPr>
      <w:rFonts w:ascii="Calibri" w:hAnsi="Calibri" w:cs="宋体"/>
      <w:kern w:val="0"/>
      <w:sz w:val="21"/>
      <w:szCs w:val="21"/>
    </w:rPr>
  </w:style>
  <w:style w:type="paragraph" w:customStyle="1" w:styleId="317">
    <w:name w:val="列出段落1"/>
    <w:basedOn w:val="1"/>
    <w:qFormat/>
    <w:uiPriority w:val="0"/>
    <w:pPr>
      <w:ind w:firstLine="420" w:firstLineChars="200"/>
    </w:pPr>
    <w:rPr>
      <w:szCs w:val="28"/>
    </w:rPr>
  </w:style>
  <w:style w:type="paragraph" w:customStyle="1" w:styleId="31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19">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0">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1">
    <w:name w:val="引用1"/>
    <w:basedOn w:val="1"/>
    <w:next w:val="1"/>
    <w:link w:val="322"/>
    <w:qFormat/>
    <w:uiPriority w:val="29"/>
    <w:rPr>
      <w:i/>
      <w:iCs/>
      <w:color w:val="000000"/>
      <w:sz w:val="21"/>
    </w:rPr>
  </w:style>
  <w:style w:type="character" w:customStyle="1" w:styleId="322">
    <w:name w:val="引用 Char1"/>
    <w:link w:val="321"/>
    <w:qFormat/>
    <w:uiPriority w:val="29"/>
    <w:rPr>
      <w:i/>
      <w:iCs/>
      <w:color w:val="000000"/>
      <w:kern w:val="2"/>
      <w:sz w:val="21"/>
    </w:rPr>
  </w:style>
  <w:style w:type="paragraph" w:customStyle="1" w:styleId="323">
    <w:name w:val="表格文字"/>
    <w:basedOn w:val="1"/>
    <w:qFormat/>
    <w:uiPriority w:val="0"/>
    <w:pPr>
      <w:adjustRightInd w:val="0"/>
      <w:spacing w:line="420" w:lineRule="atLeast"/>
      <w:jc w:val="left"/>
      <w:textAlignment w:val="baseline"/>
    </w:pPr>
    <w:rPr>
      <w:kern w:val="0"/>
      <w:sz w:val="21"/>
    </w:rPr>
  </w:style>
  <w:style w:type="paragraph" w:customStyle="1" w:styleId="32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5">
    <w:name w:val="_Style 105"/>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6">
    <w:name w:val="正  文"/>
    <w:basedOn w:val="1"/>
    <w:qFormat/>
    <w:uiPriority w:val="0"/>
    <w:pPr>
      <w:spacing w:line="360" w:lineRule="auto"/>
      <w:ind w:firstLine="200" w:firstLineChars="200"/>
    </w:pPr>
    <w:rPr>
      <w:rFonts w:ascii="宋体" w:hAnsi="Calibri"/>
      <w:sz w:val="24"/>
      <w:szCs w:val="24"/>
    </w:rPr>
  </w:style>
  <w:style w:type="paragraph" w:customStyle="1" w:styleId="327">
    <w:name w:val="标题4"/>
    <w:basedOn w:val="3"/>
    <w:next w:val="30"/>
    <w:link w:val="328"/>
    <w:qFormat/>
    <w:uiPriority w:val="0"/>
    <w:pPr>
      <w:spacing w:before="260" w:after="260" w:line="413" w:lineRule="auto"/>
    </w:pPr>
    <w:rPr>
      <w:b/>
      <w:bCs/>
      <w:kern w:val="0"/>
      <w:sz w:val="24"/>
      <w:szCs w:val="32"/>
    </w:rPr>
  </w:style>
  <w:style w:type="character" w:customStyle="1" w:styleId="328">
    <w:name w:val="标题4 Char Char"/>
    <w:link w:val="327"/>
    <w:qFormat/>
    <w:uiPriority w:val="0"/>
    <w:rPr>
      <w:rFonts w:ascii="Arial" w:hAnsi="Arial"/>
      <w:b/>
      <w:bCs/>
      <w:sz w:val="24"/>
      <w:szCs w:val="32"/>
    </w:rPr>
  </w:style>
  <w:style w:type="paragraph" w:customStyle="1" w:styleId="32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1">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4">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6">
    <w:name w:val="1 Char"/>
    <w:basedOn w:val="1"/>
    <w:qFormat/>
    <w:uiPriority w:val="0"/>
    <w:pPr>
      <w:widowControl/>
      <w:spacing w:after="160" w:line="240" w:lineRule="exact"/>
      <w:jc w:val="left"/>
    </w:pPr>
    <w:rPr>
      <w:rFonts w:ascii="Calibri" w:hAnsi="Calibri"/>
      <w:sz w:val="21"/>
    </w:rPr>
  </w:style>
  <w:style w:type="paragraph" w:customStyle="1" w:styleId="33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8">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39">
    <w:name w:val="TOC 标题1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0">
    <w:name w:val="p15"/>
    <w:basedOn w:val="1"/>
    <w:qFormat/>
    <w:uiPriority w:val="0"/>
    <w:pPr>
      <w:widowControl/>
      <w:spacing w:after="120"/>
    </w:pPr>
    <w:rPr>
      <w:kern w:val="0"/>
      <w:sz w:val="21"/>
      <w:szCs w:val="21"/>
    </w:rPr>
  </w:style>
  <w:style w:type="paragraph" w:customStyle="1" w:styleId="34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2">
    <w:name w:val="_Style 124"/>
    <w:basedOn w:val="1"/>
    <w:next w:val="1"/>
    <w:link w:val="343"/>
    <w:qFormat/>
    <w:uiPriority w:val="0"/>
    <w:rPr>
      <w:i/>
      <w:iCs/>
      <w:color w:val="000000"/>
      <w:sz w:val="21"/>
      <w:szCs w:val="22"/>
    </w:rPr>
  </w:style>
  <w:style w:type="character" w:customStyle="1" w:styleId="343">
    <w:name w:val="引用 Char4"/>
    <w:link w:val="342"/>
    <w:qFormat/>
    <w:uiPriority w:val="0"/>
    <w:rPr>
      <w:i/>
      <w:iCs/>
      <w:color w:val="000000"/>
      <w:kern w:val="2"/>
      <w:sz w:val="21"/>
      <w:szCs w:val="22"/>
    </w:rPr>
  </w:style>
  <w:style w:type="paragraph" w:customStyle="1" w:styleId="344">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5">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6">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rPr>
  </w:style>
  <w:style w:type="paragraph" w:customStyle="1" w:styleId="347">
    <w:name w:val="pa-27"/>
    <w:basedOn w:val="1"/>
    <w:qFormat/>
    <w:uiPriority w:val="0"/>
    <w:pPr>
      <w:widowControl/>
      <w:spacing w:line="360" w:lineRule="atLeast"/>
      <w:ind w:firstLine="420"/>
    </w:pPr>
    <w:rPr>
      <w:rFonts w:ascii="宋体" w:hAnsi="宋体" w:cs="宋体"/>
      <w:kern w:val="0"/>
      <w:sz w:val="24"/>
      <w:szCs w:val="24"/>
    </w:rPr>
  </w:style>
  <w:style w:type="paragraph" w:customStyle="1" w:styleId="34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0">
    <w:name w:val="表格"/>
    <w:basedOn w:val="1"/>
    <w:qFormat/>
    <w:uiPriority w:val="0"/>
    <w:pPr>
      <w:jc w:val="center"/>
      <w:textAlignment w:val="center"/>
    </w:pPr>
    <w:rPr>
      <w:rFonts w:ascii="华文细黑" w:hAnsi="华文细黑"/>
      <w:kern w:val="0"/>
      <w:sz w:val="21"/>
    </w:rPr>
  </w:style>
  <w:style w:type="paragraph" w:customStyle="1" w:styleId="351">
    <w:name w:val="明显引用1"/>
    <w:basedOn w:val="1"/>
    <w:next w:val="1"/>
    <w:link w:val="352"/>
    <w:qFormat/>
    <w:uiPriority w:val="30"/>
    <w:pPr>
      <w:pBdr>
        <w:bottom w:val="single" w:color="4F81BD" w:sz="4" w:space="4"/>
      </w:pBdr>
      <w:spacing w:before="200" w:after="280"/>
      <w:ind w:left="936" w:right="936"/>
    </w:pPr>
    <w:rPr>
      <w:b/>
      <w:bCs/>
      <w:i/>
      <w:iCs/>
      <w:color w:val="4F81BD"/>
      <w:sz w:val="21"/>
    </w:rPr>
  </w:style>
  <w:style w:type="character" w:customStyle="1" w:styleId="352">
    <w:name w:val="明显引用 Char1"/>
    <w:link w:val="351"/>
    <w:qFormat/>
    <w:uiPriority w:val="30"/>
    <w:rPr>
      <w:b/>
      <w:bCs/>
      <w:i/>
      <w:iCs/>
      <w:color w:val="4F81BD"/>
      <w:kern w:val="2"/>
      <w:sz w:val="21"/>
    </w:rPr>
  </w:style>
  <w:style w:type="paragraph" w:customStyle="1" w:styleId="353">
    <w:name w:val="样式15"/>
    <w:basedOn w:val="4"/>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4">
    <w:name w:val="TOC 标题2"/>
    <w:basedOn w:val="2"/>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5">
    <w:name w:val="样式 标题 1 + 黑体 三号 非加粗 居中 段前: 6 磅 段后: 6 磅 行距: 固定值 20 磅"/>
    <w:basedOn w:val="2"/>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6">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57">
    <w:name w:val="标题5 Char Char"/>
    <w:link w:val="176"/>
    <w:qFormat/>
    <w:uiPriority w:val="0"/>
    <w:rPr>
      <w:rFonts w:ascii="宋体"/>
      <w:sz w:val="21"/>
    </w:rPr>
  </w:style>
  <w:style w:type="paragraph" w:customStyle="1" w:styleId="35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9">
    <w:name w:val="_Style 64"/>
    <w:basedOn w:val="1"/>
    <w:next w:val="1"/>
    <w:link w:val="360"/>
    <w:qFormat/>
    <w:uiPriority w:val="0"/>
    <w:pPr>
      <w:pBdr>
        <w:bottom w:val="single" w:color="4F81BD" w:sz="4" w:space="4"/>
      </w:pBdr>
      <w:spacing w:before="200" w:after="280"/>
      <w:ind w:left="936" w:right="936"/>
    </w:pPr>
    <w:rPr>
      <w:b/>
      <w:bCs/>
      <w:i/>
      <w:iCs/>
      <w:color w:val="4F81BD"/>
      <w:sz w:val="21"/>
      <w:szCs w:val="22"/>
    </w:rPr>
  </w:style>
  <w:style w:type="character" w:customStyle="1" w:styleId="360">
    <w:name w:val="明显引用 Char4"/>
    <w:link w:val="359"/>
    <w:qFormat/>
    <w:uiPriority w:val="0"/>
    <w:rPr>
      <w:b/>
      <w:bCs/>
      <w:i/>
      <w:iCs/>
      <w:color w:val="4F81BD"/>
      <w:kern w:val="2"/>
      <w:sz w:val="21"/>
      <w:szCs w:val="22"/>
    </w:rPr>
  </w:style>
  <w:style w:type="paragraph" w:customStyle="1" w:styleId="361">
    <w:name w:val="_Style 128"/>
    <w:basedOn w:val="2"/>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2">
    <w:name w:val="Char2"/>
    <w:basedOn w:val="1"/>
    <w:qFormat/>
    <w:uiPriority w:val="0"/>
    <w:rPr>
      <w:rFonts w:ascii="Calibri" w:hAnsi="Calibri"/>
      <w:sz w:val="21"/>
      <w:szCs w:val="24"/>
    </w:rPr>
  </w:style>
  <w:style w:type="paragraph" w:customStyle="1" w:styleId="363">
    <w:name w:val="_Style 87"/>
    <w:basedOn w:val="1"/>
    <w:qFormat/>
    <w:uiPriority w:val="99"/>
    <w:pPr>
      <w:ind w:firstLine="420" w:firstLineChars="200"/>
    </w:pPr>
    <w:rPr>
      <w:rFonts w:ascii="Calibri" w:hAnsi="Calibri"/>
      <w:szCs w:val="28"/>
    </w:rPr>
  </w:style>
  <w:style w:type="paragraph" w:customStyle="1" w:styleId="364">
    <w:name w:val="自定样式1"/>
    <w:basedOn w:val="1"/>
    <w:qFormat/>
    <w:uiPriority w:val="0"/>
    <w:pPr>
      <w:suppressAutoHyphens/>
      <w:jc w:val="center"/>
    </w:pPr>
    <w:rPr>
      <w:rFonts w:ascii="宋体" w:hAnsi="宋体"/>
      <w:color w:val="000000"/>
      <w:sz w:val="18"/>
      <w:szCs w:val="24"/>
    </w:rPr>
  </w:style>
  <w:style w:type="paragraph" w:customStyle="1" w:styleId="365">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6">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7">
    <w:name w:val="列表段落1"/>
    <w:basedOn w:val="1"/>
    <w:qFormat/>
    <w:uiPriority w:val="34"/>
    <w:pPr>
      <w:ind w:firstLine="420" w:firstLineChars="200"/>
    </w:pPr>
    <w:rPr>
      <w:rFonts w:ascii="Calibri" w:hAnsi="Calibri"/>
      <w:sz w:val="21"/>
      <w:szCs w:val="24"/>
    </w:rPr>
  </w:style>
  <w:style w:type="paragraph" w:customStyle="1" w:styleId="36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69">
    <w:name w:val="表体"/>
    <w:basedOn w:val="1"/>
    <w:next w:val="1"/>
    <w:qFormat/>
    <w:uiPriority w:val="0"/>
    <w:pPr>
      <w:spacing w:line="0" w:lineRule="atLeast"/>
    </w:pPr>
    <w:rPr>
      <w:rFonts w:ascii="Calibri" w:hAnsi="Calibri"/>
      <w:b/>
      <w:snapToGrid w:val="0"/>
      <w:sz w:val="21"/>
    </w:rPr>
  </w:style>
  <w:style w:type="paragraph" w:customStyle="1" w:styleId="370">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2">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3">
    <w:name w:val="Char11"/>
    <w:basedOn w:val="1"/>
    <w:qFormat/>
    <w:uiPriority w:val="0"/>
    <w:rPr>
      <w:sz w:val="21"/>
      <w:szCs w:val="24"/>
    </w:rPr>
  </w:style>
  <w:style w:type="paragraph" w:customStyle="1" w:styleId="374">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5">
    <w:name w:val="样式 标题 3 + (中文) 黑体 小四 非加粗 段前: 7.8 磅 段后: 0 磅 行距: 固定值 20 磅"/>
    <w:basedOn w:val="4"/>
    <w:next w:val="1"/>
    <w:qFormat/>
    <w:uiPriority w:val="0"/>
    <w:pPr>
      <w:spacing w:line="400" w:lineRule="exact"/>
      <w:ind w:left="0" w:leftChars="0" w:right="0" w:rightChars="0" w:firstLine="0" w:firstLineChars="0"/>
      <w:jc w:val="both"/>
    </w:pPr>
    <w:rPr>
      <w:rFonts w:eastAsia="黑体" w:cs="宋体"/>
      <w:sz w:val="24"/>
    </w:rPr>
  </w:style>
  <w:style w:type="paragraph" w:customStyle="1" w:styleId="376">
    <w:name w:val="_Style 86"/>
    <w:qFormat/>
    <w:uiPriority w:val="0"/>
    <w:rPr>
      <w:rFonts w:ascii="Times New Roman" w:hAnsi="Times New Roman" w:eastAsia="宋体" w:cs="Times New Roman"/>
      <w:kern w:val="2"/>
      <w:sz w:val="21"/>
      <w:szCs w:val="24"/>
      <w:lang w:val="en-US" w:eastAsia="zh-CN" w:bidi="ar-SA"/>
    </w:rPr>
  </w:style>
  <w:style w:type="paragraph" w:customStyle="1" w:styleId="377">
    <w:name w:val="TOC 标题1"/>
    <w:basedOn w:val="2"/>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7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0">
    <w:name w:val="正文文本 Char2"/>
    <w:qFormat/>
    <w:uiPriority w:val="99"/>
    <w:rPr>
      <w:kern w:val="2"/>
      <w:sz w:val="21"/>
      <w:szCs w:val="24"/>
    </w:rPr>
  </w:style>
  <w:style w:type="character" w:customStyle="1" w:styleId="381">
    <w:name w:val="尾注文本 Char1"/>
    <w:qFormat/>
    <w:uiPriority w:val="0"/>
    <w:rPr>
      <w:rFonts w:ascii="Arial" w:hAnsi="Arial" w:cs="Arial"/>
      <w:szCs w:val="24"/>
      <w:lang w:eastAsia="en-US"/>
    </w:rPr>
  </w:style>
  <w:style w:type="character" w:customStyle="1" w:styleId="382">
    <w:name w:val="Char Char17"/>
    <w:qFormat/>
    <w:uiPriority w:val="0"/>
    <w:rPr>
      <w:kern w:val="2"/>
      <w:sz w:val="26"/>
      <w:szCs w:val="24"/>
    </w:rPr>
  </w:style>
  <w:style w:type="character" w:customStyle="1" w:styleId="383">
    <w:name w:val="副标题 Char1"/>
    <w:qFormat/>
    <w:uiPriority w:val="0"/>
    <w:rPr>
      <w:szCs w:val="24"/>
      <w:u w:val="single"/>
      <w:lang w:eastAsia="en-US"/>
    </w:rPr>
  </w:style>
  <w:style w:type="character" w:customStyle="1" w:styleId="384">
    <w:name w:val="标题 Char1"/>
    <w:qFormat/>
    <w:uiPriority w:val="10"/>
    <w:rPr>
      <w:szCs w:val="24"/>
      <w:u w:val="single"/>
      <w:lang w:eastAsia="en-US"/>
    </w:rPr>
  </w:style>
  <w:style w:type="character" w:customStyle="1" w:styleId="385">
    <w:name w:val="Char Char24"/>
    <w:qFormat/>
    <w:uiPriority w:val="0"/>
    <w:rPr>
      <w:b/>
      <w:bCs/>
      <w:kern w:val="44"/>
      <w:sz w:val="44"/>
      <w:szCs w:val="44"/>
    </w:rPr>
  </w:style>
  <w:style w:type="character" w:customStyle="1" w:styleId="386">
    <w:name w:val="Char Char23"/>
    <w:qFormat/>
    <w:uiPriority w:val="0"/>
    <w:rPr>
      <w:rFonts w:ascii="Cambria" w:hAnsi="Cambria" w:eastAsia="宋体" w:cs="Times New Roman"/>
      <w:b/>
      <w:bCs/>
      <w:kern w:val="2"/>
      <w:sz w:val="32"/>
      <w:szCs w:val="32"/>
    </w:rPr>
  </w:style>
  <w:style w:type="character" w:customStyle="1" w:styleId="387">
    <w:name w:val="ITTHEADER2 Char"/>
    <w:qFormat/>
    <w:uiPriority w:val="0"/>
    <w:rPr>
      <w:rFonts w:ascii="仿宋_GB2312" w:eastAsia="仿宋_GB2312" w:cs="MingLiU"/>
      <w:b/>
      <w:spacing w:val="1"/>
      <w:w w:val="99"/>
      <w:sz w:val="28"/>
      <w:szCs w:val="32"/>
      <w:lang w:val="en-US" w:eastAsia="zh-CN" w:bidi="ar-SA"/>
    </w:rPr>
  </w:style>
  <w:style w:type="character" w:customStyle="1" w:styleId="388">
    <w:name w:val="标题 9 Char1"/>
    <w:qFormat/>
    <w:uiPriority w:val="0"/>
    <w:rPr>
      <w:rFonts w:ascii="Times New Roman" w:hAnsi="Times New Roman" w:eastAsia="仿宋_GB2312" w:cs="Times New Roman"/>
      <w:sz w:val="30"/>
      <w:szCs w:val="20"/>
    </w:rPr>
  </w:style>
  <w:style w:type="character" w:customStyle="1" w:styleId="389">
    <w:name w:val="正文文本 Char1"/>
    <w:qFormat/>
    <w:uiPriority w:val="0"/>
    <w:rPr>
      <w:kern w:val="2"/>
      <w:sz w:val="21"/>
      <w:szCs w:val="22"/>
    </w:rPr>
  </w:style>
  <w:style w:type="character" w:customStyle="1" w:styleId="390">
    <w:name w:val="引用 Char2"/>
    <w:qFormat/>
    <w:uiPriority w:val="99"/>
    <w:rPr>
      <w:i/>
      <w:iCs/>
      <w:color w:val="000000"/>
      <w:kern w:val="2"/>
      <w:sz w:val="21"/>
      <w:szCs w:val="24"/>
    </w:rPr>
  </w:style>
  <w:style w:type="character" w:customStyle="1" w:styleId="391">
    <w:name w:val="批注框文本 Char1"/>
    <w:qFormat/>
    <w:uiPriority w:val="0"/>
    <w:rPr>
      <w:kern w:val="2"/>
      <w:sz w:val="18"/>
      <w:szCs w:val="18"/>
    </w:rPr>
  </w:style>
  <w:style w:type="character" w:customStyle="1" w:styleId="392">
    <w:name w:val="日期 Char1"/>
    <w:qFormat/>
    <w:uiPriority w:val="0"/>
    <w:rPr>
      <w:kern w:val="2"/>
      <w:sz w:val="21"/>
      <w:szCs w:val="22"/>
    </w:rPr>
  </w:style>
  <w:style w:type="character" w:customStyle="1" w:styleId="393">
    <w:name w:val="_Style 171"/>
    <w:qFormat/>
    <w:uiPriority w:val="0"/>
    <w:rPr>
      <w:b/>
      <w:bCs/>
      <w:i/>
      <w:iCs/>
      <w:color w:val="4F81BD"/>
    </w:rPr>
  </w:style>
  <w:style w:type="character" w:customStyle="1" w:styleId="394">
    <w:name w:val="Char Char22"/>
    <w:qFormat/>
    <w:uiPriority w:val="0"/>
    <w:rPr>
      <w:b/>
      <w:bCs/>
      <w:kern w:val="2"/>
      <w:sz w:val="32"/>
      <w:szCs w:val="32"/>
    </w:rPr>
  </w:style>
  <w:style w:type="character" w:customStyle="1" w:styleId="395">
    <w:name w:val="标题 6 Char1"/>
    <w:qFormat/>
    <w:uiPriority w:val="0"/>
    <w:rPr>
      <w:rFonts w:ascii="Times New Roman" w:hAnsi="Arial" w:eastAsia="仿宋_GB2312" w:cs="Times New Roman"/>
      <w:sz w:val="30"/>
      <w:szCs w:val="20"/>
    </w:rPr>
  </w:style>
  <w:style w:type="character" w:customStyle="1" w:styleId="396">
    <w:name w:val="正文文本缩进 Char1"/>
    <w:qFormat/>
    <w:uiPriority w:val="0"/>
    <w:rPr>
      <w:kern w:val="2"/>
      <w:sz w:val="21"/>
      <w:szCs w:val="24"/>
    </w:rPr>
  </w:style>
  <w:style w:type="character" w:customStyle="1" w:styleId="397">
    <w:name w:val="标题 4 Char1"/>
    <w:qFormat/>
    <w:uiPriority w:val="0"/>
    <w:rPr>
      <w:rFonts w:ascii="宋体" w:hAnsi="宋体" w:eastAsia="宋体" w:cs="宋体"/>
      <w:b/>
      <w:bCs/>
      <w:sz w:val="24"/>
      <w:szCs w:val="24"/>
    </w:rPr>
  </w:style>
  <w:style w:type="character" w:customStyle="1" w:styleId="398">
    <w:name w:val="明显强调1"/>
    <w:qFormat/>
    <w:uiPriority w:val="0"/>
    <w:rPr>
      <w:b/>
      <w:bCs/>
      <w:i/>
      <w:iCs/>
      <w:color w:val="4F81BD"/>
    </w:rPr>
  </w:style>
  <w:style w:type="character" w:customStyle="1" w:styleId="399">
    <w:name w:val="_Style 248"/>
    <w:qFormat/>
    <w:uiPriority w:val="0"/>
    <w:rPr>
      <w:b/>
      <w:bCs/>
      <w:smallCaps/>
      <w:spacing w:val="5"/>
    </w:rPr>
  </w:style>
  <w:style w:type="character" w:customStyle="1" w:styleId="400">
    <w:name w:val="明显引用 Char3"/>
    <w:qFormat/>
    <w:uiPriority w:val="30"/>
    <w:rPr>
      <w:rFonts w:ascii="Calibri" w:hAnsi="Calibri" w:eastAsia="宋体" w:cs="Times New Roman"/>
      <w:b/>
      <w:bCs/>
      <w:i/>
      <w:iCs/>
      <w:color w:val="4F81BD"/>
      <w:szCs w:val="24"/>
    </w:rPr>
  </w:style>
  <w:style w:type="character" w:customStyle="1" w:styleId="401">
    <w:name w:val="_Style 254"/>
    <w:qFormat/>
    <w:uiPriority w:val="0"/>
    <w:rPr>
      <w:b/>
      <w:bCs/>
      <w:smallCaps/>
      <w:color w:val="C0504D"/>
      <w:spacing w:val="5"/>
      <w:u w:val="single"/>
    </w:rPr>
  </w:style>
  <w:style w:type="character" w:customStyle="1" w:styleId="402">
    <w:name w:val="引用 Char3"/>
    <w:qFormat/>
    <w:uiPriority w:val="29"/>
    <w:rPr>
      <w:rFonts w:ascii="Calibri" w:hAnsi="Calibri" w:eastAsia="宋体" w:cs="Times New Roman"/>
      <w:i/>
      <w:iCs/>
      <w:color w:val="000000"/>
      <w:szCs w:val="24"/>
    </w:rPr>
  </w:style>
  <w:style w:type="character" w:customStyle="1" w:styleId="403">
    <w:name w:val="Char Char32"/>
    <w:qFormat/>
    <w:uiPriority w:val="0"/>
    <w:rPr>
      <w:rFonts w:ascii="仿宋_GB2312" w:eastAsia="仿宋_GB2312" w:cs="MingLiU"/>
      <w:b/>
      <w:spacing w:val="1"/>
      <w:w w:val="99"/>
      <w:sz w:val="28"/>
      <w:szCs w:val="32"/>
    </w:rPr>
  </w:style>
  <w:style w:type="character" w:customStyle="1" w:styleId="404">
    <w:name w:val="style121"/>
    <w:qFormat/>
    <w:uiPriority w:val="0"/>
    <w:rPr>
      <w:rFonts w:hint="eastAsia" w:ascii="宋体" w:hAnsi="宋体" w:eastAsia="宋体"/>
      <w:sz w:val="18"/>
      <w:szCs w:val="18"/>
    </w:rPr>
  </w:style>
  <w:style w:type="character" w:customStyle="1" w:styleId="405">
    <w:name w:val="ss16"/>
    <w:qFormat/>
    <w:uiPriority w:val="0"/>
    <w:rPr>
      <w:rFonts w:hint="eastAsia" w:ascii="宋体" w:hAnsi="宋体" w:eastAsia="宋体"/>
      <w:color w:val="000000"/>
      <w:sz w:val="9"/>
      <w:szCs w:val="9"/>
    </w:rPr>
  </w:style>
  <w:style w:type="character" w:customStyle="1" w:styleId="406">
    <w:name w:val="textcontents"/>
    <w:qFormat/>
    <w:uiPriority w:val="0"/>
    <w:rPr>
      <w:rFonts w:cs="Times New Roman"/>
    </w:rPr>
  </w:style>
  <w:style w:type="character" w:customStyle="1" w:styleId="407">
    <w:name w:val="14t1"/>
    <w:qFormat/>
    <w:uiPriority w:val="0"/>
    <w:rPr>
      <w:rFonts w:hint="eastAsia" w:ascii="宋体" w:hAnsi="宋体" w:eastAsia="宋体"/>
      <w:sz w:val="11"/>
      <w:szCs w:val="11"/>
    </w:rPr>
  </w:style>
  <w:style w:type="character" w:customStyle="1" w:styleId="408">
    <w:name w:val="不明显参考1"/>
    <w:qFormat/>
    <w:uiPriority w:val="0"/>
    <w:rPr>
      <w:smallCaps/>
      <w:color w:val="C0504D"/>
      <w:u w:val="single"/>
    </w:rPr>
  </w:style>
  <w:style w:type="character" w:customStyle="1" w:styleId="409">
    <w:name w:val="unnamed1"/>
    <w:basedOn w:val="65"/>
    <w:qFormat/>
    <w:uiPriority w:val="0"/>
  </w:style>
  <w:style w:type="character" w:customStyle="1" w:styleId="410">
    <w:name w:val="批注文字 Char2"/>
    <w:qFormat/>
    <w:uiPriority w:val="0"/>
    <w:rPr>
      <w:rFonts w:ascii="Calibri" w:hAnsi="Calibri" w:eastAsia="宋体" w:cs="Times New Roman"/>
      <w:szCs w:val="24"/>
    </w:rPr>
  </w:style>
  <w:style w:type="character" w:customStyle="1" w:styleId="411">
    <w:name w:val="normaltext1"/>
    <w:qFormat/>
    <w:uiPriority w:val="0"/>
    <w:rPr>
      <w:rFonts w:hint="default" w:ascii="ˎ̥" w:hAnsi="ˎ̥"/>
      <w:sz w:val="9"/>
      <w:szCs w:val="9"/>
    </w:rPr>
  </w:style>
  <w:style w:type="character" w:customStyle="1" w:styleId="412">
    <w:name w:val="ca-141"/>
    <w:qFormat/>
    <w:uiPriority w:val="0"/>
    <w:rPr>
      <w:rFonts w:hint="eastAsia" w:ascii="仿宋_GB2312" w:eastAsia="仿宋_GB2312"/>
      <w:sz w:val="21"/>
      <w:szCs w:val="21"/>
    </w:rPr>
  </w:style>
  <w:style w:type="character" w:customStyle="1" w:styleId="413">
    <w:name w:val="main_tdbg_7601"/>
    <w:qFormat/>
    <w:uiPriority w:val="0"/>
    <w:rPr>
      <w:sz w:val="14"/>
      <w:szCs w:val="14"/>
    </w:rPr>
  </w:style>
  <w:style w:type="character" w:customStyle="1" w:styleId="414">
    <w:name w:val="Char Char9"/>
    <w:qFormat/>
    <w:locked/>
    <w:uiPriority w:val="0"/>
    <w:rPr>
      <w:rFonts w:ascii="仿宋_GB2312" w:eastAsia="仿宋_GB2312" w:cs="MingLiU"/>
      <w:b/>
      <w:sz w:val="24"/>
      <w:szCs w:val="28"/>
      <w:lang w:val="en-US" w:eastAsia="zh-CN" w:bidi="ar-SA"/>
    </w:rPr>
  </w:style>
  <w:style w:type="character" w:customStyle="1" w:styleId="415">
    <w:name w:val="title11"/>
    <w:qFormat/>
    <w:uiPriority w:val="0"/>
    <w:rPr>
      <w:b/>
      <w:bCs/>
      <w:color w:val="FFFFFF"/>
      <w:sz w:val="11"/>
      <w:szCs w:val="11"/>
    </w:rPr>
  </w:style>
  <w:style w:type="character" w:customStyle="1" w:styleId="416">
    <w:name w:val="标题 8 Char1"/>
    <w:qFormat/>
    <w:uiPriority w:val="0"/>
    <w:rPr>
      <w:rFonts w:ascii="Times New Roman" w:hAnsi="Arial" w:eastAsia="仿宋_GB2312" w:cs="Times New Roman"/>
      <w:sz w:val="30"/>
      <w:szCs w:val="20"/>
    </w:rPr>
  </w:style>
  <w:style w:type="character" w:customStyle="1" w:styleId="417">
    <w:name w:val="标题 Char2"/>
    <w:qFormat/>
    <w:uiPriority w:val="10"/>
    <w:rPr>
      <w:rFonts w:ascii="Cambria" w:hAnsi="Cambria" w:eastAsia="宋体" w:cs="Times New Roman"/>
      <w:b/>
      <w:bCs/>
      <w:sz w:val="32"/>
      <w:szCs w:val="32"/>
    </w:rPr>
  </w:style>
  <w:style w:type="character" w:customStyle="1" w:styleId="418">
    <w:name w:val="批注主题 Char1"/>
    <w:qFormat/>
    <w:uiPriority w:val="0"/>
    <w:rPr>
      <w:b/>
      <w:bCs/>
      <w:kern w:val="2"/>
      <w:sz w:val="21"/>
      <w:szCs w:val="22"/>
    </w:rPr>
  </w:style>
  <w:style w:type="character" w:customStyle="1" w:styleId="419">
    <w:name w:val="纯文本 Char1"/>
    <w:qFormat/>
    <w:uiPriority w:val="0"/>
    <w:rPr>
      <w:rFonts w:ascii="宋体" w:hAnsi="Courier New" w:cs="Courier New"/>
      <w:kern w:val="2"/>
      <w:sz w:val="21"/>
      <w:szCs w:val="21"/>
    </w:rPr>
  </w:style>
  <w:style w:type="character" w:customStyle="1" w:styleId="420">
    <w:name w:val="标题 2 Char1"/>
    <w:qFormat/>
    <w:uiPriority w:val="0"/>
    <w:rPr>
      <w:rFonts w:ascii="Cambria" w:hAnsi="Cambria" w:eastAsia="宋体" w:cs="Times New Roman"/>
      <w:b/>
      <w:bCs/>
      <w:kern w:val="2"/>
      <w:sz w:val="32"/>
      <w:szCs w:val="32"/>
    </w:rPr>
  </w:style>
  <w:style w:type="character" w:customStyle="1" w:styleId="421">
    <w:name w:val="脚注文本 Char1"/>
    <w:qFormat/>
    <w:uiPriority w:val="0"/>
    <w:rPr>
      <w:rFonts w:ascii="Arial" w:hAnsi="Arial" w:cs="Arial"/>
      <w:sz w:val="18"/>
      <w:szCs w:val="18"/>
      <w:lang w:eastAsia="en-US"/>
    </w:rPr>
  </w:style>
  <w:style w:type="character" w:customStyle="1" w:styleId="422">
    <w:name w:val="s3"/>
    <w:qFormat/>
    <w:uiPriority w:val="0"/>
  </w:style>
  <w:style w:type="character" w:customStyle="1" w:styleId="423">
    <w:name w:val="style21"/>
    <w:qFormat/>
    <w:uiPriority w:val="0"/>
    <w:rPr>
      <w:b/>
      <w:bCs/>
      <w:sz w:val="28"/>
      <w:szCs w:val="28"/>
    </w:rPr>
  </w:style>
  <w:style w:type="character" w:customStyle="1" w:styleId="424">
    <w:name w:val="ht1"/>
    <w:qFormat/>
    <w:uiPriority w:val="0"/>
    <w:rPr>
      <w:rFonts w:ascii="黑体" w:eastAsia="黑体"/>
      <w:b/>
      <w:bCs/>
    </w:rPr>
  </w:style>
  <w:style w:type="character" w:customStyle="1" w:styleId="425">
    <w:name w:val="书籍标题1"/>
    <w:qFormat/>
    <w:uiPriority w:val="0"/>
    <w:rPr>
      <w:b/>
      <w:bCs/>
      <w:smallCaps/>
      <w:spacing w:val="5"/>
    </w:rPr>
  </w:style>
  <w:style w:type="character" w:customStyle="1" w:styleId="426">
    <w:name w:val="标题 7 Char1"/>
    <w:qFormat/>
    <w:uiPriority w:val="0"/>
    <w:rPr>
      <w:rFonts w:ascii="Times New Roman" w:hAnsi="Times New Roman" w:eastAsia="仿宋_GB2312" w:cs="Times New Roman"/>
      <w:sz w:val="30"/>
      <w:szCs w:val="20"/>
    </w:rPr>
  </w:style>
  <w:style w:type="character" w:customStyle="1" w:styleId="427">
    <w:name w:val="明显引用 Char2"/>
    <w:qFormat/>
    <w:uiPriority w:val="99"/>
    <w:rPr>
      <w:b/>
      <w:bCs/>
      <w:i/>
      <w:iCs/>
      <w:color w:val="4F81BD"/>
      <w:kern w:val="2"/>
      <w:sz w:val="21"/>
      <w:szCs w:val="24"/>
    </w:rPr>
  </w:style>
  <w:style w:type="character" w:customStyle="1" w:styleId="428">
    <w:name w:val="不明显强调1"/>
    <w:qFormat/>
    <w:uiPriority w:val="0"/>
    <w:rPr>
      <w:i/>
      <w:iCs/>
      <w:color w:val="808080"/>
    </w:rPr>
  </w:style>
  <w:style w:type="character" w:customStyle="1" w:styleId="429">
    <w:name w:val="普通文字 Char Char2"/>
    <w:qFormat/>
    <w:uiPriority w:val="0"/>
    <w:rPr>
      <w:rFonts w:ascii="宋体" w:hAnsi="Courier New"/>
      <w:kern w:val="2"/>
      <w:sz w:val="28"/>
      <w:szCs w:val="28"/>
    </w:rPr>
  </w:style>
  <w:style w:type="character" w:customStyle="1" w:styleId="430">
    <w:name w:val="l1"/>
    <w:basedOn w:val="65"/>
    <w:qFormat/>
    <w:uiPriority w:val="0"/>
  </w:style>
  <w:style w:type="character" w:customStyle="1" w:styleId="431">
    <w:name w:val="未处理的提及1"/>
    <w:unhideWhenUsed/>
    <w:qFormat/>
    <w:uiPriority w:val="99"/>
    <w:rPr>
      <w:color w:val="808080"/>
      <w:shd w:val="clear" w:color="auto" w:fill="E6E6E6"/>
    </w:rPr>
  </w:style>
  <w:style w:type="character" w:customStyle="1" w:styleId="432">
    <w:name w:val="Char Char35"/>
    <w:qFormat/>
    <w:uiPriority w:val="0"/>
    <w:rPr>
      <w:rFonts w:ascii="仿宋_GB2312" w:eastAsia="仿宋_GB2312" w:cs="MingLiU"/>
      <w:b/>
      <w:sz w:val="24"/>
      <w:szCs w:val="28"/>
    </w:rPr>
  </w:style>
  <w:style w:type="character" w:customStyle="1" w:styleId="433">
    <w:name w:val="style31"/>
    <w:qFormat/>
    <w:uiPriority w:val="0"/>
    <w:rPr>
      <w:sz w:val="10"/>
      <w:szCs w:val="10"/>
    </w:rPr>
  </w:style>
  <w:style w:type="character" w:customStyle="1" w:styleId="434">
    <w:name w:val="0d1471"/>
    <w:qFormat/>
    <w:uiPriority w:val="0"/>
    <w:rPr>
      <w:color w:val="000000"/>
      <w:sz w:val="11"/>
      <w:szCs w:val="11"/>
      <w:u w:val="none"/>
    </w:rPr>
  </w:style>
  <w:style w:type="character" w:customStyle="1" w:styleId="435">
    <w:name w:val="标题 5 Char1"/>
    <w:qFormat/>
    <w:uiPriority w:val="0"/>
    <w:rPr>
      <w:rFonts w:ascii="宋体" w:hAnsi="宋体" w:eastAsia="宋体" w:cs="宋体"/>
      <w:b/>
      <w:bCs/>
      <w:sz w:val="20"/>
      <w:szCs w:val="20"/>
    </w:rPr>
  </w:style>
  <w:style w:type="character" w:customStyle="1" w:styleId="436">
    <w:name w:val="正文文本缩进 3 Char1"/>
    <w:qFormat/>
    <w:uiPriority w:val="0"/>
    <w:rPr>
      <w:rFonts w:ascii="宋体" w:hAnsi="宋体"/>
      <w:kern w:val="2"/>
      <w:sz w:val="28"/>
      <w:szCs w:val="28"/>
    </w:rPr>
  </w:style>
  <w:style w:type="character" w:customStyle="1" w:styleId="437">
    <w:name w:val="Char Char33"/>
    <w:qFormat/>
    <w:uiPriority w:val="0"/>
    <w:rPr>
      <w:rFonts w:ascii="仿宋_GB2312" w:eastAsia="仿宋_GB2312" w:cs="MingLiU"/>
      <w:b/>
      <w:sz w:val="24"/>
      <w:szCs w:val="28"/>
    </w:rPr>
  </w:style>
  <w:style w:type="character" w:customStyle="1" w:styleId="438">
    <w:name w:val="批注文字 Char1"/>
    <w:qFormat/>
    <w:uiPriority w:val="99"/>
    <w:rPr>
      <w:rFonts w:ascii="Times New Roman" w:hAnsi="Times New Roman" w:eastAsia="宋体" w:cs="Times New Roman"/>
      <w:szCs w:val="24"/>
    </w:rPr>
  </w:style>
  <w:style w:type="character" w:customStyle="1" w:styleId="439">
    <w:name w:val="正文文本 3 Char1"/>
    <w:qFormat/>
    <w:uiPriority w:val="0"/>
    <w:rPr>
      <w:kern w:val="2"/>
      <w:sz w:val="16"/>
      <w:szCs w:val="16"/>
    </w:rPr>
  </w:style>
  <w:style w:type="character" w:customStyle="1" w:styleId="440">
    <w:name w:val="明显引用 Char"/>
    <w:qFormat/>
    <w:uiPriority w:val="0"/>
    <w:rPr>
      <w:rFonts w:ascii="Times New Roman" w:hAnsi="Times New Roman" w:eastAsia="宋体" w:cs="Times New Roman"/>
      <w:b/>
      <w:bCs/>
      <w:i/>
      <w:iCs/>
      <w:color w:val="4F81BD"/>
      <w:kern w:val="2"/>
      <w:sz w:val="21"/>
      <w:szCs w:val="24"/>
    </w:rPr>
  </w:style>
  <w:style w:type="character" w:customStyle="1" w:styleId="441">
    <w:name w:val="color_red1"/>
    <w:qFormat/>
    <w:uiPriority w:val="0"/>
    <w:rPr>
      <w:color w:val="FA0004"/>
    </w:rPr>
  </w:style>
  <w:style w:type="character" w:customStyle="1" w:styleId="442">
    <w:name w:val="批注主题 Char2"/>
    <w:qFormat/>
    <w:uiPriority w:val="99"/>
    <w:rPr>
      <w:b/>
      <w:bCs/>
      <w:kern w:val="2"/>
      <w:sz w:val="21"/>
      <w:szCs w:val="24"/>
    </w:rPr>
  </w:style>
  <w:style w:type="character" w:customStyle="1" w:styleId="443">
    <w:name w:val="Char Char34"/>
    <w:qFormat/>
    <w:uiPriority w:val="0"/>
    <w:rPr>
      <w:rFonts w:ascii="仿宋_GB2312" w:eastAsia="仿宋_GB2312" w:cs="MingLiU"/>
      <w:b/>
      <w:spacing w:val="1"/>
      <w:w w:val="99"/>
      <w:sz w:val="28"/>
      <w:szCs w:val="32"/>
    </w:rPr>
  </w:style>
  <w:style w:type="character" w:customStyle="1" w:styleId="444">
    <w:name w:val="docpro"/>
    <w:basedOn w:val="65"/>
    <w:qFormat/>
    <w:uiPriority w:val="0"/>
  </w:style>
  <w:style w:type="character" w:customStyle="1" w:styleId="445">
    <w:name w:val="style161"/>
    <w:qFormat/>
    <w:uiPriority w:val="0"/>
    <w:rPr>
      <w:b/>
      <w:bCs/>
      <w:color w:val="333333"/>
    </w:rPr>
  </w:style>
  <w:style w:type="character" w:customStyle="1" w:styleId="446">
    <w:name w:val="文档结构图 Char2"/>
    <w:qFormat/>
    <w:uiPriority w:val="99"/>
    <w:rPr>
      <w:kern w:val="2"/>
      <w:sz w:val="21"/>
      <w:szCs w:val="24"/>
      <w:shd w:val="clear" w:color="auto" w:fill="000080"/>
    </w:rPr>
  </w:style>
  <w:style w:type="character" w:customStyle="1" w:styleId="447">
    <w:name w:val="日期 Char2"/>
    <w:qFormat/>
    <w:uiPriority w:val="99"/>
    <w:rPr>
      <w:kern w:val="2"/>
      <w:sz w:val="21"/>
      <w:szCs w:val="24"/>
    </w:rPr>
  </w:style>
  <w:style w:type="character" w:customStyle="1" w:styleId="448">
    <w:name w:val="_Style 196"/>
    <w:qFormat/>
    <w:uiPriority w:val="0"/>
    <w:rPr>
      <w:i/>
      <w:iCs/>
      <w:color w:val="808080"/>
    </w:rPr>
  </w:style>
  <w:style w:type="character" w:customStyle="1" w:styleId="449">
    <w:name w:val="Char Char13"/>
    <w:qFormat/>
    <w:uiPriority w:val="0"/>
    <w:rPr>
      <w:kern w:val="2"/>
      <w:sz w:val="18"/>
      <w:szCs w:val="18"/>
    </w:rPr>
  </w:style>
  <w:style w:type="character" w:customStyle="1" w:styleId="450">
    <w:name w:val="正文文本缩进 2 Char1"/>
    <w:qFormat/>
    <w:uiPriority w:val="0"/>
    <w:rPr>
      <w:sz w:val="28"/>
      <w:szCs w:val="24"/>
    </w:rPr>
  </w:style>
  <w:style w:type="character" w:customStyle="1" w:styleId="451">
    <w:name w:val="Char Char21"/>
    <w:qFormat/>
    <w:uiPriority w:val="0"/>
    <w:rPr>
      <w:rFonts w:ascii="宋体" w:hAnsi="宋体" w:cs="宋体"/>
      <w:b/>
      <w:bCs/>
      <w:sz w:val="24"/>
      <w:szCs w:val="24"/>
    </w:rPr>
  </w:style>
  <w:style w:type="character" w:customStyle="1" w:styleId="452">
    <w:name w:val="文档结构图 Char1"/>
    <w:qFormat/>
    <w:uiPriority w:val="0"/>
    <w:rPr>
      <w:rFonts w:ascii="宋体"/>
      <w:kern w:val="2"/>
      <w:sz w:val="18"/>
      <w:szCs w:val="18"/>
    </w:rPr>
  </w:style>
  <w:style w:type="character" w:customStyle="1" w:styleId="453">
    <w:name w:val="_Style 275"/>
    <w:qFormat/>
    <w:uiPriority w:val="0"/>
    <w:rPr>
      <w:smallCaps/>
      <w:color w:val="C0504D"/>
      <w:u w:val="single"/>
    </w:rPr>
  </w:style>
  <w:style w:type="character" w:customStyle="1" w:styleId="454">
    <w:name w:val="Char Char12"/>
    <w:qFormat/>
    <w:uiPriority w:val="0"/>
    <w:rPr>
      <w:rFonts w:eastAsia="黑体"/>
      <w:kern w:val="2"/>
      <w:sz w:val="44"/>
      <w:szCs w:val="44"/>
      <w:lang w:val="en-US" w:eastAsia="zh-CN" w:bidi="ar-SA"/>
    </w:rPr>
  </w:style>
  <w:style w:type="character" w:customStyle="1" w:styleId="455">
    <w:name w:val="明显参考1"/>
    <w:qFormat/>
    <w:uiPriority w:val="0"/>
    <w:rPr>
      <w:b/>
      <w:bCs/>
      <w:smallCaps/>
      <w:color w:val="C0504D"/>
      <w:spacing w:val="5"/>
      <w:u w:val="single"/>
    </w:rPr>
  </w:style>
  <w:style w:type="character" w:customStyle="1" w:styleId="456">
    <w:name w:val="Char Char36"/>
    <w:qFormat/>
    <w:uiPriority w:val="0"/>
    <w:rPr>
      <w:rFonts w:ascii="仿宋_GB2312" w:eastAsia="仿宋_GB2312" w:cs="MingLiU"/>
      <w:b/>
      <w:sz w:val="24"/>
      <w:szCs w:val="28"/>
    </w:rPr>
  </w:style>
  <w:style w:type="character" w:customStyle="1" w:styleId="457">
    <w:name w:val="批注框文本 Char2"/>
    <w:qFormat/>
    <w:uiPriority w:val="99"/>
    <w:rPr>
      <w:kern w:val="2"/>
      <w:sz w:val="18"/>
      <w:szCs w:val="18"/>
    </w:rPr>
  </w:style>
  <w:style w:type="character" w:customStyle="1" w:styleId="458">
    <w:name w:val="subhead1"/>
    <w:qFormat/>
    <w:uiPriority w:val="0"/>
    <w:rPr>
      <w:rFonts w:hint="default" w:ascii="Tahoma" w:hAnsi="Tahoma" w:cs="Tahoma"/>
      <w:color w:val="000000"/>
      <w:sz w:val="18"/>
      <w:szCs w:val="18"/>
      <w:u w:val="none"/>
      <w:shd w:val="clear" w:color="auto" w:fill="FFFFFF"/>
    </w:rPr>
  </w:style>
  <w:style w:type="character" w:customStyle="1" w:styleId="459">
    <w:name w:val="Char Char14"/>
    <w:qFormat/>
    <w:uiPriority w:val="0"/>
    <w:rPr>
      <w:kern w:val="2"/>
      <w:sz w:val="18"/>
      <w:szCs w:val="18"/>
    </w:rPr>
  </w:style>
  <w:style w:type="character" w:customStyle="1" w:styleId="460">
    <w:name w:val="批注文字 Char Char"/>
    <w:qFormat/>
    <w:uiPriority w:val="0"/>
    <w:rPr>
      <w:rFonts w:ascii="宋体" w:hAnsi="Times New Roman" w:eastAsia="宋体" w:cs="Times New Roman"/>
      <w:sz w:val="28"/>
      <w:szCs w:val="20"/>
    </w:rPr>
  </w:style>
  <w:style w:type="character" w:customStyle="1" w:styleId="461">
    <w:name w:val="标题 1 Char1"/>
    <w:qFormat/>
    <w:uiPriority w:val="0"/>
    <w:rPr>
      <w:rFonts w:ascii="Times New Roman" w:hAnsi="Times New Roman" w:eastAsia="宋体" w:cs="Times New Roman"/>
      <w:b/>
      <w:bCs/>
      <w:kern w:val="44"/>
      <w:sz w:val="44"/>
      <w:szCs w:val="44"/>
    </w:rPr>
  </w:style>
  <w:style w:type="character" w:customStyle="1" w:styleId="462">
    <w:name w:val="手改 Char Char"/>
    <w:qFormat/>
    <w:uiPriority w:val="0"/>
    <w:rPr>
      <w:kern w:val="2"/>
      <w:sz w:val="21"/>
      <w:szCs w:val="24"/>
    </w:rPr>
  </w:style>
  <w:style w:type="character" w:customStyle="1" w:styleId="463">
    <w:name w:val="intel3"/>
    <w:basedOn w:val="65"/>
    <w:qFormat/>
    <w:uiPriority w:val="0"/>
  </w:style>
  <w:style w:type="character" w:customStyle="1" w:styleId="464">
    <w:name w:val="副标题 Char2"/>
    <w:qFormat/>
    <w:uiPriority w:val="11"/>
    <w:rPr>
      <w:rFonts w:ascii="Cambria" w:hAnsi="Cambria" w:eastAsia="宋体" w:cs="Times New Roman"/>
      <w:b/>
      <w:bCs/>
      <w:kern w:val="28"/>
      <w:sz w:val="32"/>
      <w:szCs w:val="32"/>
    </w:rPr>
  </w:style>
  <w:style w:type="character" w:customStyle="1" w:styleId="465">
    <w:name w:val="HTML 预设格式 Char1"/>
    <w:qFormat/>
    <w:uiPriority w:val="0"/>
    <w:rPr>
      <w:rFonts w:ascii="宋体" w:hAnsi="宋体" w:cs="宋体"/>
      <w:color w:val="000000"/>
      <w:sz w:val="24"/>
      <w:szCs w:val="24"/>
    </w:rPr>
  </w:style>
  <w:style w:type="character" w:customStyle="1" w:styleId="466">
    <w:name w:val="ITTHEADER1 Char"/>
    <w:qFormat/>
    <w:uiPriority w:val="0"/>
    <w:rPr>
      <w:rFonts w:eastAsia="黑体"/>
      <w:kern w:val="2"/>
      <w:sz w:val="44"/>
      <w:szCs w:val="44"/>
      <w:lang w:val="en-US" w:eastAsia="zh-CN" w:bidi="ar-SA"/>
    </w:rPr>
  </w:style>
  <w:style w:type="character" w:customStyle="1" w:styleId="467">
    <w:name w:val="Section Char"/>
    <w:qFormat/>
    <w:uiPriority w:val="0"/>
    <w:rPr>
      <w:rFonts w:ascii="仿宋_GB2312" w:eastAsia="仿宋_GB2312" w:cs="MingLiU"/>
      <w:b/>
      <w:sz w:val="24"/>
      <w:szCs w:val="28"/>
      <w:lang w:val="en-US" w:eastAsia="zh-CN" w:bidi="ar-SA"/>
    </w:rPr>
  </w:style>
  <w:style w:type="character" w:customStyle="1" w:styleId="468">
    <w:name w:val="普通文字 Char Char1"/>
    <w:qFormat/>
    <w:uiPriority w:val="0"/>
    <w:rPr>
      <w:rFonts w:ascii="宋体" w:hAnsi="Courier New"/>
      <w:kern w:val="2"/>
      <w:sz w:val="28"/>
      <w:szCs w:val="28"/>
    </w:rPr>
  </w:style>
  <w:style w:type="character" w:customStyle="1" w:styleId="469">
    <w:name w:val="font161"/>
    <w:qFormat/>
    <w:uiPriority w:val="0"/>
    <w:rPr>
      <w:b/>
      <w:bCs/>
      <w:sz w:val="32"/>
      <w:szCs w:val="32"/>
    </w:rPr>
  </w:style>
  <w:style w:type="paragraph" w:customStyle="1" w:styleId="470">
    <w:name w:val="列出段落2"/>
    <w:basedOn w:val="1"/>
    <w:qFormat/>
    <w:uiPriority w:val="99"/>
    <w:pPr>
      <w:ind w:firstLine="420" w:firstLineChars="200"/>
    </w:pPr>
    <w:rPr>
      <w:szCs w:val="28"/>
    </w:rPr>
  </w:style>
  <w:style w:type="character" w:customStyle="1" w:styleId="471">
    <w:name w:val="NormalCharacter"/>
    <w:qFormat/>
    <w:uiPriority w:val="0"/>
    <w:rPr>
      <w:szCs w:val="24"/>
    </w:rPr>
  </w:style>
  <w:style w:type="paragraph" w:customStyle="1" w:styleId="472">
    <w:name w:val="电建正文"/>
    <w:basedOn w:val="473"/>
    <w:qFormat/>
    <w:uiPriority w:val="0"/>
    <w:pPr>
      <w:tabs>
        <w:tab w:val="left" w:pos="720"/>
      </w:tabs>
      <w:spacing w:line="360" w:lineRule="auto"/>
      <w:ind w:firstLine="200" w:firstLineChars="200"/>
    </w:pPr>
    <w:rPr>
      <w:rFonts w:ascii="Tahoma" w:hAnsi="Tahoma"/>
      <w:sz w:val="24"/>
    </w:rPr>
  </w:style>
  <w:style w:type="paragraph" w:customStyle="1" w:styleId="473">
    <w:name w:val="List First"/>
    <w:basedOn w:val="45"/>
    <w:next w:val="4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75">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20227</Words>
  <Characters>21280</Characters>
  <Lines>368</Lines>
  <Paragraphs>103</Paragraphs>
  <TotalTime>10</TotalTime>
  <ScaleCrop>false</ScaleCrop>
  <LinksUpToDate>false</LinksUpToDate>
  <CharactersWithSpaces>22477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缪永丽</cp:lastModifiedBy>
  <cp:lastPrinted>2025-01-07T09:49:00Z</cp:lastPrinted>
  <dcterms:modified xsi:type="dcterms:W3CDTF">2025-07-02T08:09:29Z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7881631473D84CE2A4FDD63966428E41_13</vt:lpwstr>
  </property>
  <property fmtid="{D5CDD505-2E9C-101B-9397-08002B2CF9AE}" pid="4" name="KSOTemplateDocerSaveRecord">
    <vt:lpwstr>eyJoZGlkIjoiZjYwNTI3NjdlOWVkMzdhNmZkMDE2Mjc4YTRlOWE4MWIiLCJ1c2VySWQiOiI4NzMzNjUxMTAifQ==</vt:lpwstr>
  </property>
</Properties>
</file>