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outlineLvl w:val="0"/>
        <w:rPr>
          <w:rFonts w:hAnsi="宋体" w:cs="宋体"/>
          <w:color w:val="auto"/>
          <w:sz w:val="28"/>
          <w:szCs w:val="28"/>
          <w:highlight w:val="none"/>
        </w:rPr>
      </w:pPr>
      <w:bookmarkStart w:id="0" w:name="_Toc287602110"/>
    </w:p>
    <w:p>
      <w:pPr>
        <w:spacing w:line="360" w:lineRule="auto"/>
        <w:jc w:val="center"/>
        <w:outlineLvl w:val="0"/>
        <w:rPr>
          <w:rFonts w:hAnsi="宋体" w:cs="宋体"/>
          <w:color w:val="auto"/>
          <w:sz w:val="28"/>
          <w:szCs w:val="28"/>
          <w:highlight w:val="none"/>
        </w:rPr>
      </w:pPr>
    </w:p>
    <w:p>
      <w:pPr>
        <w:spacing w:line="360" w:lineRule="auto"/>
        <w:jc w:val="center"/>
        <w:rPr>
          <w:rFonts w:hint="eastAsia" w:hAnsi="宋体" w:eastAsia="宋体" w:cs="宋体"/>
          <w:color w:val="auto"/>
          <w:sz w:val="160"/>
          <w:szCs w:val="160"/>
          <w:highlight w:val="none"/>
          <w:lang w:eastAsia="zh-CN"/>
        </w:rPr>
      </w:pPr>
      <w:r>
        <w:rPr>
          <w:rFonts w:hint="eastAsia" w:hAnsi="宋体" w:cs="宋体"/>
          <w:color w:val="auto"/>
          <w:sz w:val="160"/>
          <w:szCs w:val="160"/>
          <w:highlight w:val="none"/>
          <w:lang w:eastAsia="zh-CN"/>
        </w:rPr>
        <w:t>竞争性比选文件</w:t>
      </w:r>
    </w:p>
    <w:p>
      <w:pPr>
        <w:spacing w:line="360" w:lineRule="auto"/>
        <w:jc w:val="center"/>
        <w:rPr>
          <w:rFonts w:hAnsi="宋体" w:cs="宋体"/>
          <w:color w:val="auto"/>
          <w:sz w:val="28"/>
          <w:szCs w:val="28"/>
          <w:highlight w:val="none"/>
        </w:rPr>
      </w:pPr>
    </w:p>
    <w:p>
      <w:pPr>
        <w:spacing w:line="360" w:lineRule="auto"/>
        <w:jc w:val="center"/>
        <w:rPr>
          <w:rFonts w:hAnsi="宋体" w:cs="宋体"/>
          <w:color w:val="auto"/>
          <w:sz w:val="28"/>
          <w:szCs w:val="28"/>
          <w:highlight w:val="none"/>
        </w:rPr>
      </w:pPr>
    </w:p>
    <w:p>
      <w:pPr>
        <w:spacing w:line="360" w:lineRule="auto"/>
        <w:jc w:val="center"/>
        <w:rPr>
          <w:rFonts w:hAnsi="宋体" w:cs="宋体"/>
          <w:color w:val="auto"/>
          <w:sz w:val="28"/>
          <w:szCs w:val="28"/>
          <w:highlight w:val="none"/>
        </w:rPr>
      </w:pPr>
    </w:p>
    <w:p>
      <w:pPr>
        <w:spacing w:line="360" w:lineRule="auto"/>
        <w:jc w:val="center"/>
        <w:rPr>
          <w:rFonts w:hAnsi="宋体" w:cs="宋体"/>
          <w:b/>
          <w:color w:val="auto"/>
          <w:sz w:val="40"/>
          <w:szCs w:val="40"/>
          <w:highlight w:val="none"/>
        </w:rPr>
      </w:pPr>
      <w:bookmarkStart w:id="1" w:name="_Toc19113853"/>
      <w:bookmarkStart w:id="2" w:name="_Toc19115519"/>
      <w:r>
        <w:rPr>
          <w:rFonts w:hint="eastAsia" w:hAnsi="宋体" w:cs="宋体"/>
          <w:b/>
          <w:color w:val="auto"/>
          <w:sz w:val="40"/>
          <w:szCs w:val="40"/>
          <w:highlight w:val="none"/>
        </w:rPr>
        <w:t>项目名称：</w:t>
      </w:r>
      <w:bookmarkEnd w:id="1"/>
      <w:bookmarkEnd w:id="2"/>
      <w:r>
        <w:rPr>
          <w:rFonts w:hint="eastAsia" w:hAnsi="宋体" w:cs="宋体"/>
          <w:b/>
          <w:color w:val="auto"/>
          <w:sz w:val="40"/>
          <w:szCs w:val="40"/>
          <w:highlight w:val="none"/>
        </w:rPr>
        <w:t>重庆医科大学附属口腔医院</w:t>
      </w:r>
    </w:p>
    <w:p>
      <w:pPr>
        <w:spacing w:line="360" w:lineRule="auto"/>
        <w:jc w:val="center"/>
        <w:rPr>
          <w:rFonts w:hAnsi="宋体" w:cs="宋体"/>
          <w:b/>
          <w:color w:val="auto"/>
          <w:sz w:val="40"/>
          <w:szCs w:val="40"/>
          <w:highlight w:val="none"/>
        </w:rPr>
      </w:pPr>
      <w:r>
        <w:rPr>
          <w:rFonts w:hint="eastAsia" w:hAnsi="宋体" w:cs="宋体"/>
          <w:b/>
          <w:color w:val="auto"/>
          <w:sz w:val="40"/>
          <w:szCs w:val="40"/>
          <w:highlight w:val="none"/>
          <w:lang w:val="en-US" w:eastAsia="zh-CN"/>
        </w:rPr>
        <w:t>特诊科改造项目定制家具</w:t>
      </w:r>
      <w:r>
        <w:rPr>
          <w:rFonts w:hint="eastAsia" w:hAnsi="宋体" w:cs="宋体"/>
          <w:b/>
          <w:color w:val="auto"/>
          <w:sz w:val="40"/>
          <w:szCs w:val="40"/>
          <w:highlight w:val="none"/>
        </w:rPr>
        <w:t>采购</w:t>
      </w:r>
    </w:p>
    <w:p>
      <w:pPr>
        <w:spacing w:line="360" w:lineRule="auto"/>
        <w:ind w:firstLine="1273" w:firstLineChars="317"/>
        <w:jc w:val="left"/>
        <w:rPr>
          <w:rFonts w:hAnsi="宋体" w:cs="宋体"/>
          <w:b/>
          <w:color w:val="auto"/>
          <w:sz w:val="40"/>
          <w:szCs w:val="40"/>
          <w:highlight w:val="none"/>
        </w:rPr>
      </w:pPr>
      <w:bookmarkStart w:id="3" w:name="_Toc19113854"/>
      <w:bookmarkStart w:id="4" w:name="_Toc19115520"/>
      <w:r>
        <w:rPr>
          <w:rFonts w:hint="eastAsia" w:hAnsi="宋体" w:cs="宋体"/>
          <w:b/>
          <w:color w:val="auto"/>
          <w:sz w:val="40"/>
          <w:szCs w:val="40"/>
          <w:highlight w:val="none"/>
        </w:rPr>
        <w:t>项目号：KQYY202</w:t>
      </w:r>
      <w:r>
        <w:rPr>
          <w:rFonts w:hint="eastAsia" w:hAnsi="宋体" w:cs="宋体"/>
          <w:b/>
          <w:color w:val="auto"/>
          <w:sz w:val="40"/>
          <w:szCs w:val="40"/>
          <w:highlight w:val="none"/>
          <w:lang w:val="en-US" w:eastAsia="zh-CN"/>
        </w:rPr>
        <w:t>5018</w:t>
      </w:r>
      <w:r>
        <w:rPr>
          <w:rFonts w:hint="eastAsia" w:hAnsi="宋体" w:cs="宋体"/>
          <w:b/>
          <w:color w:val="auto"/>
          <w:sz w:val="40"/>
          <w:szCs w:val="40"/>
          <w:highlight w:val="none"/>
        </w:rPr>
        <w:t xml:space="preserve"> </w:t>
      </w:r>
    </w:p>
    <w:p>
      <w:pPr>
        <w:spacing w:line="360" w:lineRule="auto"/>
        <w:ind w:firstLine="1273" w:firstLineChars="317"/>
        <w:jc w:val="left"/>
        <w:rPr>
          <w:rFonts w:hAnsi="宋体" w:cs="宋体"/>
          <w:b/>
          <w:color w:val="auto"/>
          <w:sz w:val="40"/>
          <w:szCs w:val="40"/>
          <w:highlight w:val="none"/>
        </w:rPr>
      </w:pPr>
    </w:p>
    <w:p>
      <w:pPr>
        <w:spacing w:line="360" w:lineRule="auto"/>
        <w:jc w:val="center"/>
        <w:rPr>
          <w:rFonts w:hAnsi="宋体" w:cs="宋体"/>
          <w:b/>
          <w:color w:val="auto"/>
          <w:sz w:val="40"/>
          <w:szCs w:val="40"/>
          <w:highlight w:val="none"/>
        </w:rPr>
      </w:pPr>
      <w:r>
        <w:rPr>
          <w:rFonts w:hint="eastAsia" w:hAnsi="宋体" w:cs="宋体"/>
          <w:b/>
          <w:color w:val="auto"/>
          <w:sz w:val="40"/>
          <w:szCs w:val="40"/>
          <w:highlight w:val="none"/>
        </w:rPr>
        <w:t>采购人：重庆医科大学附属口腔医院</w:t>
      </w:r>
      <w:bookmarkEnd w:id="3"/>
      <w:bookmarkEnd w:id="4"/>
    </w:p>
    <w:p>
      <w:pPr>
        <w:spacing w:line="360" w:lineRule="auto"/>
        <w:jc w:val="center"/>
        <w:rPr>
          <w:rFonts w:hAnsi="宋体" w:cs="宋体"/>
          <w:b/>
          <w:color w:val="auto"/>
          <w:sz w:val="40"/>
          <w:szCs w:val="40"/>
          <w:highlight w:val="none"/>
        </w:rPr>
      </w:pPr>
    </w:p>
    <w:p>
      <w:pPr>
        <w:spacing w:line="360" w:lineRule="auto"/>
        <w:jc w:val="center"/>
        <w:rPr>
          <w:color w:val="auto"/>
          <w:highlight w:val="none"/>
        </w:rPr>
      </w:pPr>
      <w:bookmarkStart w:id="5" w:name="_Toc19115521"/>
      <w:r>
        <w:rPr>
          <w:rFonts w:hint="eastAsia" w:hAnsi="宋体" w:cs="宋体"/>
          <w:b/>
          <w:color w:val="auto"/>
          <w:sz w:val="40"/>
          <w:szCs w:val="40"/>
          <w:highlight w:val="none"/>
        </w:rPr>
        <w:t>二○二</w:t>
      </w:r>
      <w:r>
        <w:rPr>
          <w:rFonts w:hint="eastAsia" w:hAnsi="宋体" w:cs="宋体"/>
          <w:b/>
          <w:color w:val="auto"/>
          <w:sz w:val="40"/>
          <w:szCs w:val="40"/>
          <w:highlight w:val="none"/>
          <w:lang w:eastAsia="zh-CN"/>
        </w:rPr>
        <w:t>五</w:t>
      </w:r>
      <w:r>
        <w:rPr>
          <w:rFonts w:hint="eastAsia" w:hAnsi="宋体" w:cs="宋体"/>
          <w:b/>
          <w:color w:val="auto"/>
          <w:sz w:val="40"/>
          <w:szCs w:val="40"/>
          <w:highlight w:val="none"/>
        </w:rPr>
        <w:t>年</w:t>
      </w:r>
      <w:r>
        <w:rPr>
          <w:rFonts w:hint="eastAsia" w:hAnsi="宋体" w:cs="宋体"/>
          <w:b/>
          <w:color w:val="auto"/>
          <w:sz w:val="40"/>
          <w:szCs w:val="40"/>
          <w:highlight w:val="none"/>
          <w:lang w:val="en-US" w:eastAsia="zh-CN"/>
        </w:rPr>
        <w:t>四</w:t>
      </w:r>
      <w:r>
        <w:rPr>
          <w:rFonts w:hint="eastAsia" w:hAnsi="宋体" w:cs="宋体"/>
          <w:b/>
          <w:color w:val="auto"/>
          <w:sz w:val="40"/>
          <w:szCs w:val="40"/>
          <w:highlight w:val="none"/>
        </w:rPr>
        <w:t>月</w:t>
      </w:r>
      <w:bookmarkEnd w:id="5"/>
      <w:r>
        <w:rPr>
          <w:rFonts w:hint="eastAsia" w:hAnsi="宋体" w:cs="宋体"/>
          <w:color w:val="auto"/>
          <w:sz w:val="24"/>
          <w:szCs w:val="24"/>
          <w:highlight w:val="none"/>
        </w:rPr>
        <w:br w:type="page"/>
      </w:r>
      <w:bookmarkStart w:id="6" w:name="_Toc19113855"/>
      <w:r>
        <w:rPr>
          <w:rFonts w:hint="eastAsia" w:hAnsi="宋体" w:cs="宋体"/>
          <w:b/>
          <w:bCs/>
          <w:color w:val="auto"/>
          <w:sz w:val="36"/>
          <w:szCs w:val="36"/>
          <w:highlight w:val="none"/>
          <w:lang w:val="zh-CN"/>
        </w:rPr>
        <w:t>目    录</w:t>
      </w:r>
      <w:r>
        <w:rPr>
          <w:rFonts w:hint="eastAsia" w:hAnsi="宋体" w:cs="宋体"/>
          <w:color w:val="auto"/>
          <w:sz w:val="28"/>
          <w:szCs w:val="28"/>
          <w:highlight w:val="none"/>
        </w:rPr>
        <w:fldChar w:fldCharType="begin"/>
      </w:r>
      <w:r>
        <w:rPr>
          <w:rFonts w:hint="eastAsia" w:hAnsi="宋体" w:cs="宋体"/>
          <w:color w:val="auto"/>
          <w:sz w:val="28"/>
          <w:szCs w:val="28"/>
          <w:highlight w:val="none"/>
        </w:rPr>
        <w:instrText xml:space="preserve"> TOC \o "1-3" \h \z \u </w:instrText>
      </w:r>
      <w:r>
        <w:rPr>
          <w:rFonts w:hint="eastAsia" w:hAnsi="宋体" w:cs="宋体"/>
          <w:color w:val="auto"/>
          <w:sz w:val="28"/>
          <w:szCs w:val="28"/>
          <w:highlight w:val="none"/>
        </w:rPr>
        <w:fldChar w:fldCharType="separate"/>
      </w:r>
    </w:p>
    <w:p>
      <w:pPr>
        <w:pStyle w:val="11"/>
        <w:tabs>
          <w:tab w:val="right" w:leader="dot" w:pos="9488"/>
        </w:tabs>
        <w:rPr>
          <w:rFonts w:asciiTheme="minorHAnsi" w:hAnsiTheme="minorHAnsi" w:eastAsiaTheme="minorEastAsia" w:cstheme="minorBidi"/>
          <w:b w:val="0"/>
          <w:bCs w:val="0"/>
          <w:caps w:val="0"/>
          <w:color w:val="auto"/>
          <w:kern w:val="2"/>
          <w:sz w:val="21"/>
          <w:szCs w:val="22"/>
          <w:highlight w:val="none"/>
        </w:rPr>
      </w:pPr>
      <w:r>
        <w:rPr>
          <w:color w:val="auto"/>
          <w:highlight w:val="none"/>
        </w:rPr>
        <w:fldChar w:fldCharType="begin"/>
      </w:r>
      <w:r>
        <w:rPr>
          <w:color w:val="auto"/>
          <w:highlight w:val="none"/>
        </w:rPr>
        <w:instrText xml:space="preserve"> HYPERLINK \l "_Toc98942871" </w:instrText>
      </w:r>
      <w:r>
        <w:rPr>
          <w:color w:val="auto"/>
          <w:highlight w:val="none"/>
        </w:rPr>
        <w:fldChar w:fldCharType="separate"/>
      </w:r>
      <w:r>
        <w:rPr>
          <w:rStyle w:val="15"/>
          <w:rFonts w:hint="eastAsia"/>
          <w:color w:val="auto"/>
          <w:highlight w:val="none"/>
        </w:rPr>
        <w:t>第一篇投标邀请书</w:t>
      </w:r>
      <w:r>
        <w:rPr>
          <w:color w:val="auto"/>
          <w:highlight w:val="none"/>
        </w:rPr>
        <w:tab/>
      </w:r>
      <w:r>
        <w:rPr>
          <w:color w:val="auto"/>
          <w:highlight w:val="none"/>
        </w:rPr>
        <w:fldChar w:fldCharType="begin"/>
      </w:r>
      <w:r>
        <w:rPr>
          <w:color w:val="auto"/>
          <w:highlight w:val="none"/>
        </w:rPr>
        <w:instrText xml:space="preserve"> PAGEREF _Toc98942871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"_Toc98942872" </w:instrText>
      </w:r>
      <w:r>
        <w:rPr>
          <w:color w:val="auto"/>
          <w:highlight w:val="none"/>
        </w:rPr>
        <w:fldChar w:fldCharType="separate"/>
      </w:r>
      <w:r>
        <w:rPr>
          <w:rStyle w:val="15"/>
          <w:rFonts w:hint="eastAsia" w:ascii="宋体" w:hAnsi="宋体" w:cs="宋体"/>
          <w:color w:val="auto"/>
          <w:highlight w:val="none"/>
        </w:rPr>
        <w:t>一、</w:t>
      </w:r>
      <w:r>
        <w:rPr>
          <w:rStyle w:val="15"/>
          <w:rFonts w:hint="eastAsia" w:ascii="宋体" w:hAnsi="宋体" w:cs="宋体"/>
          <w:color w:val="auto"/>
          <w:highlight w:val="none"/>
          <w:lang w:eastAsia="zh-CN"/>
        </w:rPr>
        <w:t>采购项目</w:t>
      </w:r>
      <w:r>
        <w:rPr>
          <w:rStyle w:val="15"/>
          <w:rFonts w:hint="eastAsia" w:ascii="宋体" w:hAnsi="宋体" w:cs="宋体"/>
          <w:color w:val="auto"/>
          <w:highlight w:val="none"/>
        </w:rPr>
        <w:t>内容</w:t>
      </w:r>
      <w:r>
        <w:rPr>
          <w:color w:val="auto"/>
          <w:highlight w:val="none"/>
        </w:rPr>
        <w:tab/>
      </w:r>
      <w:r>
        <w:rPr>
          <w:color w:val="auto"/>
          <w:highlight w:val="none"/>
        </w:rPr>
        <w:fldChar w:fldCharType="begin"/>
      </w:r>
      <w:r>
        <w:rPr>
          <w:color w:val="auto"/>
          <w:highlight w:val="none"/>
        </w:rPr>
        <w:instrText xml:space="preserve"> PAGEREF _Toc98942872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"_Toc98942873" </w:instrText>
      </w:r>
      <w:r>
        <w:rPr>
          <w:color w:val="auto"/>
          <w:highlight w:val="none"/>
        </w:rPr>
        <w:fldChar w:fldCharType="separate"/>
      </w:r>
      <w:r>
        <w:rPr>
          <w:rStyle w:val="15"/>
          <w:rFonts w:hint="eastAsia"/>
          <w:color w:val="auto"/>
          <w:highlight w:val="none"/>
        </w:rPr>
        <w:t>二、资金来源</w:t>
      </w:r>
      <w:r>
        <w:rPr>
          <w:color w:val="auto"/>
          <w:highlight w:val="none"/>
        </w:rPr>
        <w:tab/>
      </w:r>
      <w:r>
        <w:rPr>
          <w:color w:val="auto"/>
          <w:highlight w:val="none"/>
        </w:rPr>
        <w:fldChar w:fldCharType="begin"/>
      </w:r>
      <w:r>
        <w:rPr>
          <w:color w:val="auto"/>
          <w:highlight w:val="none"/>
        </w:rPr>
        <w:instrText xml:space="preserve"> PAGEREF _Toc98942873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"_Toc98942874" </w:instrText>
      </w:r>
      <w:r>
        <w:rPr>
          <w:color w:val="auto"/>
          <w:highlight w:val="none"/>
        </w:rPr>
        <w:fldChar w:fldCharType="separate"/>
      </w:r>
      <w:r>
        <w:rPr>
          <w:rStyle w:val="15"/>
          <w:rFonts w:hint="eastAsia"/>
          <w:color w:val="auto"/>
          <w:highlight w:val="none"/>
        </w:rPr>
        <w:t>三、采购方式</w:t>
      </w:r>
      <w:r>
        <w:rPr>
          <w:color w:val="auto"/>
          <w:highlight w:val="none"/>
        </w:rPr>
        <w:tab/>
      </w:r>
      <w:r>
        <w:rPr>
          <w:color w:val="auto"/>
          <w:highlight w:val="none"/>
        </w:rPr>
        <w:fldChar w:fldCharType="begin"/>
      </w:r>
      <w:r>
        <w:rPr>
          <w:color w:val="auto"/>
          <w:highlight w:val="none"/>
        </w:rPr>
        <w:instrText xml:space="preserve"> PAGEREF _Toc98942874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"_Toc98942875" </w:instrText>
      </w:r>
      <w:r>
        <w:rPr>
          <w:color w:val="auto"/>
          <w:highlight w:val="none"/>
        </w:rPr>
        <w:fldChar w:fldCharType="separate"/>
      </w:r>
      <w:r>
        <w:rPr>
          <w:rStyle w:val="15"/>
          <w:rFonts w:hint="eastAsia"/>
          <w:color w:val="auto"/>
          <w:highlight w:val="none"/>
        </w:rPr>
        <w:t>四、投标人资格要求</w:t>
      </w:r>
      <w:r>
        <w:rPr>
          <w:color w:val="auto"/>
          <w:highlight w:val="none"/>
        </w:rPr>
        <w:tab/>
      </w:r>
      <w:r>
        <w:rPr>
          <w:color w:val="auto"/>
          <w:highlight w:val="none"/>
        </w:rPr>
        <w:fldChar w:fldCharType="begin"/>
      </w:r>
      <w:r>
        <w:rPr>
          <w:color w:val="auto"/>
          <w:highlight w:val="none"/>
        </w:rPr>
        <w:instrText xml:space="preserve"> PAGEREF _Toc98942875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"_Toc98942876" </w:instrText>
      </w:r>
      <w:r>
        <w:rPr>
          <w:color w:val="auto"/>
          <w:highlight w:val="none"/>
        </w:rPr>
        <w:fldChar w:fldCharType="separate"/>
      </w:r>
      <w:r>
        <w:rPr>
          <w:rStyle w:val="15"/>
          <w:rFonts w:hint="eastAsia"/>
          <w:color w:val="auto"/>
          <w:highlight w:val="none"/>
        </w:rPr>
        <w:t>五、招标书获取及投标时间要求</w:t>
      </w:r>
      <w:r>
        <w:rPr>
          <w:color w:val="auto"/>
          <w:highlight w:val="none"/>
        </w:rPr>
        <w:tab/>
      </w:r>
      <w:r>
        <w:rPr>
          <w:color w:val="auto"/>
          <w:highlight w:val="none"/>
        </w:rPr>
        <w:fldChar w:fldCharType="begin"/>
      </w:r>
      <w:r>
        <w:rPr>
          <w:color w:val="auto"/>
          <w:highlight w:val="none"/>
        </w:rPr>
        <w:instrText xml:space="preserve"> PAGEREF _Toc98942876 \h </w:instrText>
      </w:r>
      <w:r>
        <w:rPr>
          <w:color w:val="auto"/>
          <w:highlight w:val="none"/>
        </w:rPr>
        <w:fldChar w:fldCharType="separate"/>
      </w:r>
      <w:r>
        <w:rPr>
          <w:color w:val="auto"/>
          <w:highlight w:val="none"/>
        </w:rPr>
        <w:t>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"_Toc98942877" </w:instrText>
      </w:r>
      <w:r>
        <w:rPr>
          <w:color w:val="auto"/>
          <w:highlight w:val="none"/>
        </w:rPr>
        <w:fldChar w:fldCharType="separate"/>
      </w:r>
      <w:r>
        <w:rPr>
          <w:rStyle w:val="15"/>
          <w:rFonts w:hint="eastAsia"/>
          <w:color w:val="auto"/>
          <w:highlight w:val="none"/>
        </w:rPr>
        <w:t>六、其它有关规定</w:t>
      </w:r>
      <w:r>
        <w:rPr>
          <w:color w:val="auto"/>
          <w:highlight w:val="none"/>
        </w:rPr>
        <w:tab/>
      </w:r>
      <w:r>
        <w:rPr>
          <w:color w:val="auto"/>
          <w:highlight w:val="none"/>
        </w:rPr>
        <w:fldChar w:fldCharType="begin"/>
      </w:r>
      <w:r>
        <w:rPr>
          <w:color w:val="auto"/>
          <w:highlight w:val="none"/>
        </w:rPr>
        <w:instrText xml:space="preserve"> PAGEREF _Toc98942877 \h </w:instrText>
      </w:r>
      <w:r>
        <w:rPr>
          <w:color w:val="auto"/>
          <w:highlight w:val="none"/>
        </w:rPr>
        <w:fldChar w:fldCharType="separate"/>
      </w:r>
      <w:r>
        <w:rPr>
          <w:color w:val="auto"/>
          <w:highlight w:val="none"/>
        </w:rPr>
        <w:t>5</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"_Toc98942878" </w:instrText>
      </w:r>
      <w:r>
        <w:rPr>
          <w:color w:val="auto"/>
          <w:highlight w:val="none"/>
        </w:rPr>
        <w:fldChar w:fldCharType="separate"/>
      </w:r>
      <w:r>
        <w:rPr>
          <w:rStyle w:val="15"/>
          <w:rFonts w:hint="eastAsia"/>
          <w:color w:val="auto"/>
          <w:highlight w:val="none"/>
        </w:rPr>
        <w:t>七、联系方式</w:t>
      </w:r>
      <w:r>
        <w:rPr>
          <w:color w:val="auto"/>
          <w:highlight w:val="none"/>
        </w:rPr>
        <w:tab/>
      </w:r>
      <w:r>
        <w:rPr>
          <w:color w:val="auto"/>
          <w:highlight w:val="none"/>
        </w:rPr>
        <w:fldChar w:fldCharType="begin"/>
      </w:r>
      <w:r>
        <w:rPr>
          <w:color w:val="auto"/>
          <w:highlight w:val="none"/>
        </w:rPr>
        <w:instrText xml:space="preserve"> PAGEREF _Toc98942878 \h </w:instrText>
      </w:r>
      <w:r>
        <w:rPr>
          <w:color w:val="auto"/>
          <w:highlight w:val="none"/>
        </w:rPr>
        <w:fldChar w:fldCharType="separate"/>
      </w:r>
      <w:r>
        <w:rPr>
          <w:color w:val="auto"/>
          <w:highlight w:val="none"/>
        </w:rPr>
        <w:t>5</w:t>
      </w:r>
      <w:r>
        <w:rPr>
          <w:color w:val="auto"/>
          <w:highlight w:val="none"/>
        </w:rPr>
        <w:fldChar w:fldCharType="end"/>
      </w:r>
      <w:r>
        <w:rPr>
          <w:color w:val="auto"/>
          <w:highlight w:val="none"/>
        </w:rPr>
        <w:fldChar w:fldCharType="end"/>
      </w:r>
    </w:p>
    <w:p>
      <w:pPr>
        <w:pStyle w:val="11"/>
        <w:tabs>
          <w:tab w:val="right" w:leader="dot" w:pos="9488"/>
        </w:tabs>
        <w:rPr>
          <w:rFonts w:asciiTheme="minorHAnsi" w:hAnsiTheme="minorHAnsi" w:eastAsiaTheme="minorEastAsia" w:cstheme="minorBidi"/>
          <w:b w:val="0"/>
          <w:bCs w:val="0"/>
          <w:caps w:val="0"/>
          <w:color w:val="auto"/>
          <w:kern w:val="2"/>
          <w:sz w:val="21"/>
          <w:szCs w:val="22"/>
          <w:highlight w:val="none"/>
        </w:rPr>
      </w:pPr>
      <w:r>
        <w:rPr>
          <w:color w:val="auto"/>
          <w:highlight w:val="none"/>
        </w:rPr>
        <w:fldChar w:fldCharType="begin"/>
      </w:r>
      <w:r>
        <w:rPr>
          <w:color w:val="auto"/>
          <w:highlight w:val="none"/>
        </w:rPr>
        <w:instrText xml:space="preserve"> HYPERLINK \l "_Toc98942879" </w:instrText>
      </w:r>
      <w:r>
        <w:rPr>
          <w:color w:val="auto"/>
          <w:highlight w:val="none"/>
        </w:rPr>
        <w:fldChar w:fldCharType="separate"/>
      </w:r>
      <w:r>
        <w:rPr>
          <w:rStyle w:val="15"/>
          <w:rFonts w:hint="eastAsia" w:hAnsi="宋体" w:cs="宋体"/>
          <w:color w:val="auto"/>
          <w:highlight w:val="none"/>
        </w:rPr>
        <w:t>第二篇项目技术要求</w:t>
      </w:r>
      <w:r>
        <w:rPr>
          <w:color w:val="auto"/>
          <w:highlight w:val="none"/>
        </w:rPr>
        <w:tab/>
      </w:r>
      <w:r>
        <w:rPr>
          <w:color w:val="auto"/>
          <w:highlight w:val="none"/>
        </w:rPr>
        <w:fldChar w:fldCharType="begin"/>
      </w:r>
      <w:r>
        <w:rPr>
          <w:color w:val="auto"/>
          <w:highlight w:val="none"/>
        </w:rPr>
        <w:instrText xml:space="preserve"> PAGEREF _Toc98942879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"_Toc98942880" </w:instrText>
      </w:r>
      <w:r>
        <w:rPr>
          <w:color w:val="auto"/>
          <w:highlight w:val="none"/>
        </w:rPr>
        <w:fldChar w:fldCharType="separate"/>
      </w:r>
      <w:r>
        <w:rPr>
          <w:rStyle w:val="15"/>
          <w:rFonts w:hint="eastAsia"/>
          <w:color w:val="auto"/>
          <w:highlight w:val="none"/>
        </w:rPr>
        <w:t>一、</w:t>
      </w:r>
      <w:r>
        <w:rPr>
          <w:rStyle w:val="15"/>
          <w:rFonts w:hint="eastAsia"/>
          <w:color w:val="auto"/>
          <w:highlight w:val="none"/>
          <w:lang w:eastAsia="zh-CN"/>
        </w:rPr>
        <w:t>采购项目</w:t>
      </w:r>
      <w:r>
        <w:rPr>
          <w:rStyle w:val="15"/>
          <w:rFonts w:hint="eastAsia"/>
          <w:color w:val="auto"/>
          <w:highlight w:val="none"/>
        </w:rPr>
        <w:t>一览表</w:t>
      </w:r>
      <w:r>
        <w:rPr>
          <w:color w:val="auto"/>
          <w:highlight w:val="none"/>
        </w:rPr>
        <w:tab/>
      </w:r>
      <w:r>
        <w:rPr>
          <w:color w:val="auto"/>
          <w:highlight w:val="none"/>
        </w:rPr>
        <w:fldChar w:fldCharType="begin"/>
      </w:r>
      <w:r>
        <w:rPr>
          <w:color w:val="auto"/>
          <w:highlight w:val="none"/>
        </w:rPr>
        <w:instrText xml:space="preserve"> PAGEREF _Toc98942880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"_Toc98942881" </w:instrText>
      </w:r>
      <w:r>
        <w:rPr>
          <w:color w:val="auto"/>
          <w:highlight w:val="none"/>
        </w:rPr>
        <w:fldChar w:fldCharType="separate"/>
      </w:r>
      <w:r>
        <w:rPr>
          <w:rStyle w:val="15"/>
          <w:rFonts w:hint="eastAsia"/>
          <w:color w:val="auto"/>
          <w:highlight w:val="none"/>
        </w:rPr>
        <w:t>二、</w:t>
      </w:r>
      <w:r>
        <w:rPr>
          <w:rStyle w:val="15"/>
          <w:rFonts w:hint="eastAsia"/>
          <w:color w:val="auto"/>
          <w:highlight w:val="none"/>
          <w:lang w:eastAsia="zh-CN"/>
        </w:rPr>
        <w:t>采购项目</w:t>
      </w:r>
      <w:r>
        <w:rPr>
          <w:rStyle w:val="15"/>
          <w:rFonts w:hint="eastAsia"/>
          <w:color w:val="auto"/>
          <w:highlight w:val="none"/>
        </w:rPr>
        <w:t>技术要求</w:t>
      </w:r>
      <w:r>
        <w:rPr>
          <w:color w:val="auto"/>
          <w:highlight w:val="none"/>
        </w:rPr>
        <w:tab/>
      </w:r>
      <w:r>
        <w:rPr>
          <w:color w:val="auto"/>
          <w:highlight w:val="none"/>
        </w:rPr>
        <w:fldChar w:fldCharType="begin"/>
      </w:r>
      <w:r>
        <w:rPr>
          <w:color w:val="auto"/>
          <w:highlight w:val="none"/>
        </w:rPr>
        <w:instrText xml:space="preserve"> PAGEREF _Toc98942881 \h </w:instrText>
      </w:r>
      <w:r>
        <w:rPr>
          <w:color w:val="auto"/>
          <w:highlight w:val="none"/>
        </w:rPr>
        <w:fldChar w:fldCharType="separate"/>
      </w:r>
      <w:r>
        <w:rPr>
          <w:color w:val="auto"/>
          <w:highlight w:val="none"/>
        </w:rPr>
        <w:t>6</w:t>
      </w:r>
      <w:r>
        <w:rPr>
          <w:color w:val="auto"/>
          <w:highlight w:val="none"/>
        </w:rPr>
        <w:fldChar w:fldCharType="end"/>
      </w:r>
      <w:r>
        <w:rPr>
          <w:color w:val="auto"/>
          <w:highlight w:val="none"/>
        </w:rPr>
        <w:fldChar w:fldCharType="end"/>
      </w:r>
    </w:p>
    <w:p>
      <w:pPr>
        <w:pStyle w:val="11"/>
        <w:tabs>
          <w:tab w:val="right" w:leader="dot" w:pos="9488"/>
        </w:tabs>
        <w:rPr>
          <w:rFonts w:asciiTheme="minorHAnsi" w:hAnsiTheme="minorHAnsi" w:eastAsiaTheme="minorEastAsia" w:cstheme="minorBidi"/>
          <w:b w:val="0"/>
          <w:bCs w:val="0"/>
          <w:caps w:val="0"/>
          <w:color w:val="auto"/>
          <w:kern w:val="2"/>
          <w:sz w:val="21"/>
          <w:szCs w:val="22"/>
          <w:highlight w:val="none"/>
        </w:rPr>
      </w:pPr>
      <w:r>
        <w:rPr>
          <w:color w:val="auto"/>
          <w:highlight w:val="none"/>
        </w:rPr>
        <w:fldChar w:fldCharType="begin"/>
      </w:r>
      <w:r>
        <w:rPr>
          <w:color w:val="auto"/>
          <w:highlight w:val="none"/>
        </w:rPr>
        <w:instrText xml:space="preserve"> HYPERLINK \l "_Toc98942882" </w:instrText>
      </w:r>
      <w:r>
        <w:rPr>
          <w:color w:val="auto"/>
          <w:highlight w:val="none"/>
        </w:rPr>
        <w:fldChar w:fldCharType="separate"/>
      </w:r>
      <w:r>
        <w:rPr>
          <w:rStyle w:val="15"/>
          <w:rFonts w:hint="eastAsia" w:hAnsi="宋体" w:cs="宋体"/>
          <w:color w:val="auto"/>
          <w:highlight w:val="none"/>
        </w:rPr>
        <w:t>第三篇项目商务要求</w:t>
      </w:r>
      <w:r>
        <w:rPr>
          <w:color w:val="auto"/>
          <w:highlight w:val="none"/>
        </w:rPr>
        <w:tab/>
      </w:r>
      <w:r>
        <w:rPr>
          <w:color w:val="auto"/>
          <w:highlight w:val="none"/>
        </w:rPr>
        <w:fldChar w:fldCharType="begin"/>
      </w:r>
      <w:r>
        <w:rPr>
          <w:color w:val="auto"/>
          <w:highlight w:val="none"/>
        </w:rPr>
        <w:instrText xml:space="preserve"> PAGEREF _Toc98942882 \h </w:instrText>
      </w:r>
      <w:r>
        <w:rPr>
          <w:color w:val="auto"/>
          <w:highlight w:val="none"/>
        </w:rPr>
        <w:fldChar w:fldCharType="separate"/>
      </w:r>
      <w:r>
        <w:rPr>
          <w:color w:val="auto"/>
          <w:highlight w:val="none"/>
        </w:rPr>
        <w:t>8</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"_Toc98942883" </w:instrText>
      </w:r>
      <w:r>
        <w:rPr>
          <w:color w:val="auto"/>
          <w:highlight w:val="none"/>
        </w:rPr>
        <w:fldChar w:fldCharType="separate"/>
      </w:r>
      <w:r>
        <w:rPr>
          <w:rStyle w:val="15"/>
          <w:rFonts w:hint="eastAsia"/>
          <w:color w:val="auto"/>
          <w:highlight w:val="none"/>
        </w:rPr>
        <w:t>一、交货期、交货地点及验收方式</w:t>
      </w:r>
      <w:r>
        <w:rPr>
          <w:color w:val="auto"/>
          <w:highlight w:val="none"/>
        </w:rPr>
        <w:tab/>
      </w:r>
      <w:r>
        <w:rPr>
          <w:color w:val="auto"/>
          <w:highlight w:val="none"/>
        </w:rPr>
        <w:fldChar w:fldCharType="begin"/>
      </w:r>
      <w:r>
        <w:rPr>
          <w:color w:val="auto"/>
          <w:highlight w:val="none"/>
        </w:rPr>
        <w:instrText xml:space="preserve"> PAGEREF _Toc98942883 \h </w:instrText>
      </w:r>
      <w:r>
        <w:rPr>
          <w:color w:val="auto"/>
          <w:highlight w:val="none"/>
        </w:rPr>
        <w:fldChar w:fldCharType="separate"/>
      </w:r>
      <w:r>
        <w:rPr>
          <w:color w:val="auto"/>
          <w:highlight w:val="none"/>
        </w:rPr>
        <w:t>8</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"_Toc98942884" </w:instrText>
      </w:r>
      <w:r>
        <w:rPr>
          <w:color w:val="auto"/>
          <w:highlight w:val="none"/>
        </w:rPr>
        <w:fldChar w:fldCharType="separate"/>
      </w:r>
      <w:r>
        <w:rPr>
          <w:rStyle w:val="15"/>
          <w:rFonts w:hint="eastAsia"/>
          <w:color w:val="auto"/>
          <w:highlight w:val="none"/>
        </w:rPr>
        <w:t>二、报价要求</w:t>
      </w:r>
      <w:r>
        <w:rPr>
          <w:color w:val="auto"/>
          <w:highlight w:val="none"/>
        </w:rPr>
        <w:tab/>
      </w:r>
      <w:r>
        <w:rPr>
          <w:color w:val="auto"/>
          <w:highlight w:val="none"/>
        </w:rPr>
        <w:fldChar w:fldCharType="begin"/>
      </w:r>
      <w:r>
        <w:rPr>
          <w:color w:val="auto"/>
          <w:highlight w:val="none"/>
        </w:rPr>
        <w:instrText xml:space="preserve"> PAGEREF _Toc98942884 \h </w:instrText>
      </w:r>
      <w:r>
        <w:rPr>
          <w:color w:val="auto"/>
          <w:highlight w:val="none"/>
        </w:rPr>
        <w:fldChar w:fldCharType="separate"/>
      </w:r>
      <w:r>
        <w:rPr>
          <w:color w:val="auto"/>
          <w:highlight w:val="none"/>
        </w:rPr>
        <w:t>8</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"_Toc98942885" </w:instrText>
      </w:r>
      <w:r>
        <w:rPr>
          <w:color w:val="auto"/>
          <w:highlight w:val="none"/>
        </w:rPr>
        <w:fldChar w:fldCharType="separate"/>
      </w:r>
      <w:r>
        <w:rPr>
          <w:rStyle w:val="15"/>
          <w:rFonts w:hint="eastAsia"/>
          <w:color w:val="auto"/>
          <w:highlight w:val="none"/>
        </w:rPr>
        <w:t>三、质量保证及售后服务</w:t>
      </w:r>
      <w:r>
        <w:rPr>
          <w:color w:val="auto"/>
          <w:highlight w:val="none"/>
        </w:rPr>
        <w:tab/>
      </w:r>
      <w:r>
        <w:rPr>
          <w:color w:val="auto"/>
          <w:highlight w:val="none"/>
        </w:rPr>
        <w:fldChar w:fldCharType="begin"/>
      </w:r>
      <w:r>
        <w:rPr>
          <w:color w:val="auto"/>
          <w:highlight w:val="none"/>
        </w:rPr>
        <w:instrText xml:space="preserve"> PAGEREF _Toc98942885 \h </w:instrText>
      </w:r>
      <w:r>
        <w:rPr>
          <w:color w:val="auto"/>
          <w:highlight w:val="none"/>
        </w:rPr>
        <w:fldChar w:fldCharType="separate"/>
      </w:r>
      <w:r>
        <w:rPr>
          <w:color w:val="auto"/>
          <w:highlight w:val="none"/>
        </w:rPr>
        <w:t>8</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"_Toc98942886" </w:instrText>
      </w:r>
      <w:r>
        <w:rPr>
          <w:color w:val="auto"/>
          <w:highlight w:val="none"/>
        </w:rPr>
        <w:fldChar w:fldCharType="separate"/>
      </w:r>
      <w:r>
        <w:rPr>
          <w:rStyle w:val="15"/>
          <w:rFonts w:hint="eastAsia"/>
          <w:color w:val="auto"/>
          <w:highlight w:val="none"/>
        </w:rPr>
        <w:t>四、付款方式</w:t>
      </w:r>
      <w:r>
        <w:rPr>
          <w:color w:val="auto"/>
          <w:highlight w:val="none"/>
        </w:rPr>
        <w:tab/>
      </w:r>
      <w:r>
        <w:rPr>
          <w:color w:val="auto"/>
          <w:highlight w:val="none"/>
        </w:rPr>
        <w:fldChar w:fldCharType="begin"/>
      </w:r>
      <w:r>
        <w:rPr>
          <w:color w:val="auto"/>
          <w:highlight w:val="none"/>
        </w:rPr>
        <w:instrText xml:space="preserve"> PAGEREF _Toc98942886 \h </w:instrText>
      </w:r>
      <w:r>
        <w:rPr>
          <w:color w:val="auto"/>
          <w:highlight w:val="none"/>
        </w:rPr>
        <w:fldChar w:fldCharType="separate"/>
      </w:r>
      <w:r>
        <w:rPr>
          <w:color w:val="auto"/>
          <w:highlight w:val="none"/>
        </w:rPr>
        <w:t>9</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"_Toc98942887" </w:instrText>
      </w:r>
      <w:r>
        <w:rPr>
          <w:color w:val="auto"/>
          <w:highlight w:val="none"/>
        </w:rPr>
        <w:fldChar w:fldCharType="separate"/>
      </w:r>
      <w:r>
        <w:rPr>
          <w:rStyle w:val="15"/>
          <w:rFonts w:hint="eastAsia"/>
          <w:color w:val="auto"/>
          <w:highlight w:val="none"/>
        </w:rPr>
        <w:t>五、知识产权</w:t>
      </w:r>
      <w:r>
        <w:rPr>
          <w:color w:val="auto"/>
          <w:highlight w:val="none"/>
        </w:rPr>
        <w:tab/>
      </w:r>
      <w:r>
        <w:rPr>
          <w:color w:val="auto"/>
          <w:highlight w:val="none"/>
        </w:rPr>
        <w:fldChar w:fldCharType="begin"/>
      </w:r>
      <w:r>
        <w:rPr>
          <w:color w:val="auto"/>
          <w:highlight w:val="none"/>
        </w:rPr>
        <w:instrText xml:space="preserve"> PAGEREF _Toc98942887 \h </w:instrText>
      </w:r>
      <w:r>
        <w:rPr>
          <w:color w:val="auto"/>
          <w:highlight w:val="none"/>
        </w:rPr>
        <w:fldChar w:fldCharType="separate"/>
      </w:r>
      <w:r>
        <w:rPr>
          <w:color w:val="auto"/>
          <w:highlight w:val="none"/>
        </w:rPr>
        <w:t>9</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"_Toc98942888" </w:instrText>
      </w:r>
      <w:r>
        <w:rPr>
          <w:color w:val="auto"/>
          <w:highlight w:val="none"/>
        </w:rPr>
        <w:fldChar w:fldCharType="separate"/>
      </w:r>
      <w:r>
        <w:rPr>
          <w:rStyle w:val="15"/>
          <w:rFonts w:hint="eastAsia"/>
          <w:color w:val="auto"/>
          <w:highlight w:val="none"/>
        </w:rPr>
        <w:t>六、培训</w:t>
      </w:r>
      <w:r>
        <w:rPr>
          <w:color w:val="auto"/>
          <w:highlight w:val="none"/>
        </w:rPr>
        <w:tab/>
      </w:r>
      <w:r>
        <w:rPr>
          <w:color w:val="auto"/>
          <w:highlight w:val="none"/>
        </w:rPr>
        <w:fldChar w:fldCharType="begin"/>
      </w:r>
      <w:r>
        <w:rPr>
          <w:color w:val="auto"/>
          <w:highlight w:val="none"/>
        </w:rPr>
        <w:instrText xml:space="preserve"> PAGEREF _Toc98942888 \h </w:instrText>
      </w:r>
      <w:r>
        <w:rPr>
          <w:color w:val="auto"/>
          <w:highlight w:val="none"/>
        </w:rPr>
        <w:fldChar w:fldCharType="separate"/>
      </w:r>
      <w:r>
        <w:rPr>
          <w:color w:val="auto"/>
          <w:highlight w:val="none"/>
        </w:rPr>
        <w:t>9</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"_Toc98942889" </w:instrText>
      </w:r>
      <w:r>
        <w:rPr>
          <w:color w:val="auto"/>
          <w:highlight w:val="none"/>
        </w:rPr>
        <w:fldChar w:fldCharType="separate"/>
      </w:r>
      <w:r>
        <w:rPr>
          <w:rStyle w:val="15"/>
          <w:rFonts w:hint="eastAsia"/>
          <w:color w:val="auto"/>
          <w:highlight w:val="none"/>
        </w:rPr>
        <w:t>七、其他商务要求内容</w:t>
      </w:r>
      <w:r>
        <w:rPr>
          <w:color w:val="auto"/>
          <w:highlight w:val="none"/>
        </w:rPr>
        <w:tab/>
      </w:r>
      <w:r>
        <w:rPr>
          <w:color w:val="auto"/>
          <w:highlight w:val="none"/>
        </w:rPr>
        <w:fldChar w:fldCharType="begin"/>
      </w:r>
      <w:r>
        <w:rPr>
          <w:color w:val="auto"/>
          <w:highlight w:val="none"/>
        </w:rPr>
        <w:instrText xml:space="preserve"> PAGEREF _Toc98942889 \h </w:instrText>
      </w:r>
      <w:r>
        <w:rPr>
          <w:color w:val="auto"/>
          <w:highlight w:val="none"/>
        </w:rPr>
        <w:fldChar w:fldCharType="separate"/>
      </w:r>
      <w:r>
        <w:rPr>
          <w:color w:val="auto"/>
          <w:highlight w:val="none"/>
        </w:rPr>
        <w:t>10</w:t>
      </w:r>
      <w:r>
        <w:rPr>
          <w:color w:val="auto"/>
          <w:highlight w:val="none"/>
        </w:rPr>
        <w:fldChar w:fldCharType="end"/>
      </w:r>
      <w:r>
        <w:rPr>
          <w:color w:val="auto"/>
          <w:highlight w:val="none"/>
        </w:rPr>
        <w:fldChar w:fldCharType="end"/>
      </w:r>
    </w:p>
    <w:p>
      <w:pPr>
        <w:pStyle w:val="11"/>
        <w:tabs>
          <w:tab w:val="right" w:leader="dot" w:pos="9488"/>
        </w:tabs>
        <w:rPr>
          <w:rFonts w:asciiTheme="minorHAnsi" w:hAnsiTheme="minorHAnsi" w:eastAsiaTheme="minorEastAsia" w:cstheme="minorBidi"/>
          <w:b w:val="0"/>
          <w:bCs w:val="0"/>
          <w:caps w:val="0"/>
          <w:color w:val="auto"/>
          <w:kern w:val="2"/>
          <w:sz w:val="21"/>
          <w:szCs w:val="22"/>
          <w:highlight w:val="none"/>
        </w:rPr>
      </w:pPr>
      <w:r>
        <w:rPr>
          <w:color w:val="auto"/>
          <w:highlight w:val="none"/>
        </w:rPr>
        <w:fldChar w:fldCharType="begin"/>
      </w:r>
      <w:r>
        <w:rPr>
          <w:color w:val="auto"/>
          <w:highlight w:val="none"/>
        </w:rPr>
        <w:instrText xml:space="preserve"> HYPERLINK \l "_Toc98942890" </w:instrText>
      </w:r>
      <w:r>
        <w:rPr>
          <w:color w:val="auto"/>
          <w:highlight w:val="none"/>
        </w:rPr>
        <w:fldChar w:fldCharType="separate"/>
      </w:r>
      <w:r>
        <w:rPr>
          <w:rStyle w:val="15"/>
          <w:rFonts w:hint="eastAsia" w:hAnsi="宋体" w:cs="宋体"/>
          <w:color w:val="auto"/>
          <w:highlight w:val="none"/>
        </w:rPr>
        <w:t>第四篇资格审查及评分办法</w:t>
      </w:r>
      <w:r>
        <w:rPr>
          <w:color w:val="auto"/>
          <w:highlight w:val="none"/>
        </w:rPr>
        <w:tab/>
      </w:r>
      <w:r>
        <w:rPr>
          <w:color w:val="auto"/>
          <w:highlight w:val="none"/>
        </w:rPr>
        <w:fldChar w:fldCharType="begin"/>
      </w:r>
      <w:r>
        <w:rPr>
          <w:color w:val="auto"/>
          <w:highlight w:val="none"/>
        </w:rPr>
        <w:instrText xml:space="preserve"> PAGEREF _Toc98942890 \h </w:instrText>
      </w:r>
      <w:r>
        <w:rPr>
          <w:color w:val="auto"/>
          <w:highlight w:val="none"/>
        </w:rPr>
        <w:fldChar w:fldCharType="separate"/>
      </w:r>
      <w:r>
        <w:rPr>
          <w:color w:val="auto"/>
          <w:highlight w:val="none"/>
        </w:rPr>
        <w:t>11</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"_Toc98942891" </w:instrText>
      </w:r>
      <w:r>
        <w:rPr>
          <w:color w:val="auto"/>
          <w:highlight w:val="none"/>
        </w:rPr>
        <w:fldChar w:fldCharType="separate"/>
      </w:r>
      <w:r>
        <w:rPr>
          <w:rStyle w:val="15"/>
          <w:rFonts w:hint="eastAsia"/>
          <w:color w:val="auto"/>
          <w:highlight w:val="none"/>
        </w:rPr>
        <w:t>一、资格审查</w:t>
      </w:r>
      <w:r>
        <w:rPr>
          <w:color w:val="auto"/>
          <w:highlight w:val="none"/>
        </w:rPr>
        <w:tab/>
      </w:r>
      <w:r>
        <w:rPr>
          <w:color w:val="auto"/>
          <w:highlight w:val="none"/>
        </w:rPr>
        <w:fldChar w:fldCharType="begin"/>
      </w:r>
      <w:r>
        <w:rPr>
          <w:color w:val="auto"/>
          <w:highlight w:val="none"/>
        </w:rPr>
        <w:instrText xml:space="preserve"> PAGEREF _Toc98942891 \h </w:instrText>
      </w:r>
      <w:r>
        <w:rPr>
          <w:color w:val="auto"/>
          <w:highlight w:val="none"/>
        </w:rPr>
        <w:fldChar w:fldCharType="separate"/>
      </w:r>
      <w:r>
        <w:rPr>
          <w:color w:val="auto"/>
          <w:highlight w:val="none"/>
        </w:rPr>
        <w:t>11</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"_Toc98942892" </w:instrText>
      </w:r>
      <w:r>
        <w:rPr>
          <w:color w:val="auto"/>
          <w:highlight w:val="none"/>
        </w:rPr>
        <w:fldChar w:fldCharType="separate"/>
      </w:r>
      <w:r>
        <w:rPr>
          <w:rStyle w:val="15"/>
          <w:rFonts w:hint="eastAsia"/>
          <w:color w:val="auto"/>
          <w:highlight w:val="none"/>
        </w:rPr>
        <w:t>二、评标方法</w:t>
      </w:r>
      <w:r>
        <w:rPr>
          <w:color w:val="auto"/>
          <w:highlight w:val="none"/>
        </w:rPr>
        <w:tab/>
      </w:r>
      <w:r>
        <w:rPr>
          <w:color w:val="auto"/>
          <w:highlight w:val="none"/>
        </w:rPr>
        <w:fldChar w:fldCharType="begin"/>
      </w:r>
      <w:r>
        <w:rPr>
          <w:color w:val="auto"/>
          <w:highlight w:val="none"/>
        </w:rPr>
        <w:instrText xml:space="preserve"> PAGEREF _Toc98942892 \h </w:instrText>
      </w:r>
      <w:r>
        <w:rPr>
          <w:color w:val="auto"/>
          <w:highlight w:val="none"/>
        </w:rPr>
        <w:fldChar w:fldCharType="separate"/>
      </w:r>
      <w:r>
        <w:rPr>
          <w:color w:val="auto"/>
          <w:highlight w:val="none"/>
        </w:rPr>
        <w:t>11</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"_Toc98942893" </w:instrText>
      </w:r>
      <w:r>
        <w:rPr>
          <w:color w:val="auto"/>
          <w:highlight w:val="none"/>
        </w:rPr>
        <w:fldChar w:fldCharType="separate"/>
      </w:r>
      <w:r>
        <w:rPr>
          <w:rStyle w:val="15"/>
          <w:rFonts w:hint="eastAsia"/>
          <w:color w:val="auto"/>
          <w:highlight w:val="none"/>
        </w:rPr>
        <w:t>三、评分标准</w:t>
      </w:r>
      <w:r>
        <w:rPr>
          <w:color w:val="auto"/>
          <w:highlight w:val="none"/>
        </w:rPr>
        <w:tab/>
      </w:r>
      <w:r>
        <w:rPr>
          <w:color w:val="auto"/>
          <w:highlight w:val="none"/>
        </w:rPr>
        <w:fldChar w:fldCharType="begin"/>
      </w:r>
      <w:r>
        <w:rPr>
          <w:color w:val="auto"/>
          <w:highlight w:val="none"/>
        </w:rPr>
        <w:instrText xml:space="preserve"> PAGEREF _Toc98942893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"_Toc98942894" </w:instrText>
      </w:r>
      <w:r>
        <w:rPr>
          <w:color w:val="auto"/>
          <w:highlight w:val="none"/>
        </w:rPr>
        <w:fldChar w:fldCharType="separate"/>
      </w:r>
      <w:r>
        <w:rPr>
          <w:rStyle w:val="15"/>
          <w:rFonts w:hint="eastAsia"/>
          <w:color w:val="auto"/>
          <w:highlight w:val="none"/>
        </w:rPr>
        <w:t>四、无效投标条款</w:t>
      </w:r>
      <w:r>
        <w:rPr>
          <w:color w:val="auto"/>
          <w:highlight w:val="none"/>
        </w:rPr>
        <w:tab/>
      </w:r>
      <w:r>
        <w:rPr>
          <w:color w:val="auto"/>
          <w:highlight w:val="none"/>
        </w:rPr>
        <w:fldChar w:fldCharType="begin"/>
      </w:r>
      <w:r>
        <w:rPr>
          <w:color w:val="auto"/>
          <w:highlight w:val="none"/>
        </w:rPr>
        <w:instrText xml:space="preserve"> PAGEREF _Toc98942894 \h </w:instrText>
      </w:r>
      <w:r>
        <w:rPr>
          <w:color w:val="auto"/>
          <w:highlight w:val="none"/>
        </w:rPr>
        <w:fldChar w:fldCharType="separate"/>
      </w:r>
      <w:r>
        <w:rPr>
          <w:color w:val="auto"/>
          <w:highlight w:val="none"/>
        </w:rPr>
        <w:t>13</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"_Toc98942895" </w:instrText>
      </w:r>
      <w:r>
        <w:rPr>
          <w:color w:val="auto"/>
          <w:highlight w:val="none"/>
        </w:rPr>
        <w:fldChar w:fldCharType="separate"/>
      </w:r>
      <w:r>
        <w:rPr>
          <w:rStyle w:val="15"/>
          <w:rFonts w:hint="eastAsia"/>
          <w:color w:val="auto"/>
          <w:highlight w:val="none"/>
        </w:rPr>
        <w:t>五、废标条款</w:t>
      </w:r>
      <w:r>
        <w:rPr>
          <w:color w:val="auto"/>
          <w:highlight w:val="none"/>
        </w:rPr>
        <w:tab/>
      </w:r>
      <w:r>
        <w:rPr>
          <w:color w:val="auto"/>
          <w:highlight w:val="none"/>
        </w:rPr>
        <w:fldChar w:fldCharType="begin"/>
      </w:r>
      <w:r>
        <w:rPr>
          <w:color w:val="auto"/>
          <w:highlight w:val="none"/>
        </w:rPr>
        <w:instrText xml:space="preserve"> PAGEREF _Toc98942895 \h </w:instrText>
      </w:r>
      <w:r>
        <w:rPr>
          <w:color w:val="auto"/>
          <w:highlight w:val="none"/>
        </w:rPr>
        <w:fldChar w:fldCharType="separate"/>
      </w:r>
      <w:r>
        <w:rPr>
          <w:color w:val="auto"/>
          <w:highlight w:val="none"/>
        </w:rPr>
        <w:t>13</w:t>
      </w:r>
      <w:r>
        <w:rPr>
          <w:color w:val="auto"/>
          <w:highlight w:val="none"/>
        </w:rPr>
        <w:fldChar w:fldCharType="end"/>
      </w:r>
      <w:r>
        <w:rPr>
          <w:color w:val="auto"/>
          <w:highlight w:val="none"/>
        </w:rPr>
        <w:fldChar w:fldCharType="end"/>
      </w:r>
    </w:p>
    <w:p>
      <w:pPr>
        <w:pStyle w:val="11"/>
        <w:tabs>
          <w:tab w:val="right" w:leader="dot" w:pos="9488"/>
        </w:tabs>
        <w:rPr>
          <w:rFonts w:asciiTheme="minorHAnsi" w:hAnsiTheme="minorHAnsi" w:eastAsiaTheme="minorEastAsia" w:cstheme="minorBidi"/>
          <w:b w:val="0"/>
          <w:bCs w:val="0"/>
          <w:caps w:val="0"/>
          <w:color w:val="auto"/>
          <w:kern w:val="2"/>
          <w:sz w:val="21"/>
          <w:szCs w:val="22"/>
          <w:highlight w:val="none"/>
        </w:rPr>
      </w:pPr>
      <w:r>
        <w:rPr>
          <w:color w:val="auto"/>
          <w:highlight w:val="none"/>
        </w:rPr>
        <w:fldChar w:fldCharType="begin"/>
      </w:r>
      <w:r>
        <w:rPr>
          <w:color w:val="auto"/>
          <w:highlight w:val="none"/>
        </w:rPr>
        <w:instrText xml:space="preserve"> HYPERLINK \l "_Toc98942896" </w:instrText>
      </w:r>
      <w:r>
        <w:rPr>
          <w:color w:val="auto"/>
          <w:highlight w:val="none"/>
        </w:rPr>
        <w:fldChar w:fldCharType="separate"/>
      </w:r>
      <w:r>
        <w:rPr>
          <w:rStyle w:val="15"/>
          <w:rFonts w:hint="eastAsia" w:hAnsi="宋体"/>
          <w:color w:val="auto"/>
          <w:highlight w:val="none"/>
        </w:rPr>
        <w:t>第五篇投标人须知</w:t>
      </w:r>
      <w:r>
        <w:rPr>
          <w:color w:val="auto"/>
          <w:highlight w:val="none"/>
        </w:rPr>
        <w:tab/>
      </w:r>
      <w:r>
        <w:rPr>
          <w:color w:val="auto"/>
          <w:highlight w:val="none"/>
        </w:rPr>
        <w:fldChar w:fldCharType="begin"/>
      </w:r>
      <w:r>
        <w:rPr>
          <w:color w:val="auto"/>
          <w:highlight w:val="none"/>
        </w:rPr>
        <w:instrText xml:space="preserve"> PAGEREF _Toc98942896 \h </w:instrText>
      </w:r>
      <w:r>
        <w:rPr>
          <w:color w:val="auto"/>
          <w:highlight w:val="none"/>
        </w:rPr>
        <w:fldChar w:fldCharType="separate"/>
      </w:r>
      <w:r>
        <w:rPr>
          <w:color w:val="auto"/>
          <w:highlight w:val="none"/>
        </w:rPr>
        <w:t>14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"_Toc98942897" </w:instrText>
      </w:r>
      <w:r>
        <w:rPr>
          <w:color w:val="auto"/>
          <w:highlight w:val="none"/>
        </w:rPr>
        <w:fldChar w:fldCharType="separate"/>
      </w:r>
      <w:r>
        <w:rPr>
          <w:rStyle w:val="15"/>
          <w:rFonts w:hint="eastAsia"/>
          <w:color w:val="auto"/>
          <w:highlight w:val="none"/>
        </w:rPr>
        <w:t>一、投标人</w:t>
      </w:r>
      <w:r>
        <w:rPr>
          <w:color w:val="auto"/>
          <w:highlight w:val="none"/>
        </w:rPr>
        <w:tab/>
      </w:r>
      <w:r>
        <w:rPr>
          <w:color w:val="auto"/>
          <w:highlight w:val="none"/>
        </w:rPr>
        <w:fldChar w:fldCharType="begin"/>
      </w:r>
      <w:r>
        <w:rPr>
          <w:color w:val="auto"/>
          <w:highlight w:val="none"/>
        </w:rPr>
        <w:instrText xml:space="preserve"> PAGEREF _Toc98942897 \h </w:instrText>
      </w:r>
      <w:r>
        <w:rPr>
          <w:color w:val="auto"/>
          <w:highlight w:val="none"/>
        </w:rPr>
        <w:fldChar w:fldCharType="separate"/>
      </w:r>
      <w:r>
        <w:rPr>
          <w:color w:val="auto"/>
          <w:highlight w:val="none"/>
        </w:rPr>
        <w:t>14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"_Toc98942898" </w:instrText>
      </w:r>
      <w:r>
        <w:rPr>
          <w:color w:val="auto"/>
          <w:highlight w:val="none"/>
        </w:rPr>
        <w:fldChar w:fldCharType="separate"/>
      </w:r>
      <w:r>
        <w:rPr>
          <w:rStyle w:val="15"/>
          <w:rFonts w:hint="eastAsia"/>
          <w:color w:val="auto"/>
          <w:highlight w:val="none"/>
        </w:rPr>
        <w:t>二、</w:t>
      </w:r>
      <w:r>
        <w:rPr>
          <w:rStyle w:val="15"/>
          <w:rFonts w:hint="eastAsia"/>
          <w:color w:val="auto"/>
          <w:highlight w:val="none"/>
          <w:lang w:eastAsia="zh-CN"/>
        </w:rPr>
        <w:t>竞争性比选文件</w:t>
      </w:r>
      <w:r>
        <w:rPr>
          <w:color w:val="auto"/>
          <w:highlight w:val="none"/>
        </w:rPr>
        <w:tab/>
      </w:r>
      <w:r>
        <w:rPr>
          <w:color w:val="auto"/>
          <w:highlight w:val="none"/>
        </w:rPr>
        <w:fldChar w:fldCharType="begin"/>
      </w:r>
      <w:r>
        <w:rPr>
          <w:color w:val="auto"/>
          <w:highlight w:val="none"/>
        </w:rPr>
        <w:instrText xml:space="preserve"> PAGEREF _Toc98942898 \h </w:instrText>
      </w:r>
      <w:r>
        <w:rPr>
          <w:color w:val="auto"/>
          <w:highlight w:val="none"/>
        </w:rPr>
        <w:fldChar w:fldCharType="separate"/>
      </w:r>
      <w:r>
        <w:rPr>
          <w:color w:val="auto"/>
          <w:highlight w:val="none"/>
        </w:rPr>
        <w:t>14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"_Toc98942899" </w:instrText>
      </w:r>
      <w:r>
        <w:rPr>
          <w:color w:val="auto"/>
          <w:highlight w:val="none"/>
        </w:rPr>
        <w:fldChar w:fldCharType="separate"/>
      </w:r>
      <w:r>
        <w:rPr>
          <w:rStyle w:val="15"/>
          <w:rFonts w:hint="eastAsia"/>
          <w:color w:val="auto"/>
          <w:highlight w:val="none"/>
        </w:rPr>
        <w:t>三、</w:t>
      </w:r>
      <w:r>
        <w:rPr>
          <w:rStyle w:val="15"/>
          <w:rFonts w:hint="eastAsia"/>
          <w:color w:val="auto"/>
          <w:highlight w:val="none"/>
          <w:lang w:eastAsia="zh-CN"/>
        </w:rPr>
        <w:t>响应文件</w:t>
      </w:r>
      <w:r>
        <w:rPr>
          <w:color w:val="auto"/>
          <w:highlight w:val="none"/>
        </w:rPr>
        <w:tab/>
      </w:r>
      <w:r>
        <w:rPr>
          <w:color w:val="auto"/>
          <w:highlight w:val="none"/>
        </w:rPr>
        <w:fldChar w:fldCharType="begin"/>
      </w:r>
      <w:r>
        <w:rPr>
          <w:color w:val="auto"/>
          <w:highlight w:val="none"/>
        </w:rPr>
        <w:instrText xml:space="preserve"> PAGEREF _Toc98942899 \h </w:instrText>
      </w:r>
      <w:r>
        <w:rPr>
          <w:color w:val="auto"/>
          <w:highlight w:val="none"/>
        </w:rPr>
        <w:fldChar w:fldCharType="separate"/>
      </w:r>
      <w:r>
        <w:rPr>
          <w:color w:val="auto"/>
          <w:highlight w:val="none"/>
        </w:rPr>
        <w:t>14</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"_Toc98942900" </w:instrText>
      </w:r>
      <w:r>
        <w:rPr>
          <w:color w:val="auto"/>
          <w:highlight w:val="none"/>
        </w:rPr>
        <w:fldChar w:fldCharType="separate"/>
      </w:r>
      <w:r>
        <w:rPr>
          <w:rStyle w:val="15"/>
          <w:rFonts w:hint="eastAsia"/>
          <w:color w:val="auto"/>
          <w:highlight w:val="none"/>
        </w:rPr>
        <w:t>四、评标</w:t>
      </w:r>
      <w:r>
        <w:rPr>
          <w:color w:val="auto"/>
          <w:highlight w:val="none"/>
        </w:rPr>
        <w:tab/>
      </w:r>
      <w:r>
        <w:rPr>
          <w:color w:val="auto"/>
          <w:highlight w:val="none"/>
        </w:rPr>
        <w:fldChar w:fldCharType="begin"/>
      </w:r>
      <w:r>
        <w:rPr>
          <w:color w:val="auto"/>
          <w:highlight w:val="none"/>
        </w:rPr>
        <w:instrText xml:space="preserve"> PAGEREF _Toc98942900 \h </w:instrText>
      </w:r>
      <w:r>
        <w:rPr>
          <w:color w:val="auto"/>
          <w:highlight w:val="none"/>
        </w:rPr>
        <w:fldChar w:fldCharType="separate"/>
      </w:r>
      <w:r>
        <w:rPr>
          <w:color w:val="auto"/>
          <w:highlight w:val="none"/>
        </w:rPr>
        <w:t>16</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"_Toc98942901" </w:instrText>
      </w:r>
      <w:r>
        <w:rPr>
          <w:color w:val="auto"/>
          <w:highlight w:val="none"/>
        </w:rPr>
        <w:fldChar w:fldCharType="separate"/>
      </w:r>
      <w:r>
        <w:rPr>
          <w:rStyle w:val="15"/>
          <w:rFonts w:hint="eastAsia"/>
          <w:color w:val="auto"/>
          <w:highlight w:val="none"/>
        </w:rPr>
        <w:t>五、定标</w:t>
      </w:r>
      <w:r>
        <w:rPr>
          <w:color w:val="auto"/>
          <w:highlight w:val="none"/>
        </w:rPr>
        <w:tab/>
      </w:r>
      <w:r>
        <w:rPr>
          <w:color w:val="auto"/>
          <w:highlight w:val="none"/>
        </w:rPr>
        <w:fldChar w:fldCharType="begin"/>
      </w:r>
      <w:r>
        <w:rPr>
          <w:color w:val="auto"/>
          <w:highlight w:val="none"/>
        </w:rPr>
        <w:instrText xml:space="preserve"> PAGEREF _Toc98942901 \h </w:instrText>
      </w:r>
      <w:r>
        <w:rPr>
          <w:color w:val="auto"/>
          <w:highlight w:val="none"/>
        </w:rPr>
        <w:fldChar w:fldCharType="separate"/>
      </w:r>
      <w:r>
        <w:rPr>
          <w:color w:val="auto"/>
          <w:highlight w:val="none"/>
        </w:rPr>
        <w:t>16</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"_Toc98942902" </w:instrText>
      </w:r>
      <w:r>
        <w:rPr>
          <w:color w:val="auto"/>
          <w:highlight w:val="none"/>
        </w:rPr>
        <w:fldChar w:fldCharType="separate"/>
      </w:r>
      <w:r>
        <w:rPr>
          <w:rStyle w:val="15"/>
          <w:rFonts w:hint="eastAsia"/>
          <w:color w:val="auto"/>
          <w:highlight w:val="none"/>
        </w:rPr>
        <w:t>六、询问、质疑和投诉</w:t>
      </w:r>
      <w:r>
        <w:rPr>
          <w:color w:val="auto"/>
          <w:highlight w:val="none"/>
        </w:rPr>
        <w:tab/>
      </w:r>
      <w:r>
        <w:rPr>
          <w:color w:val="auto"/>
          <w:highlight w:val="none"/>
        </w:rPr>
        <w:fldChar w:fldCharType="begin"/>
      </w:r>
      <w:r>
        <w:rPr>
          <w:color w:val="auto"/>
          <w:highlight w:val="none"/>
        </w:rPr>
        <w:instrText xml:space="preserve"> PAGEREF _Toc98942902 \h </w:instrText>
      </w:r>
      <w:r>
        <w:rPr>
          <w:color w:val="auto"/>
          <w:highlight w:val="none"/>
        </w:rPr>
        <w:fldChar w:fldCharType="separate"/>
      </w:r>
      <w:r>
        <w:rPr>
          <w:color w:val="auto"/>
          <w:highlight w:val="none"/>
        </w:rPr>
        <w:t>16</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"_Toc98942903" </w:instrText>
      </w:r>
      <w:r>
        <w:rPr>
          <w:color w:val="auto"/>
          <w:highlight w:val="none"/>
        </w:rPr>
        <w:fldChar w:fldCharType="separate"/>
      </w:r>
      <w:r>
        <w:rPr>
          <w:rStyle w:val="15"/>
          <w:rFonts w:hint="eastAsia"/>
          <w:color w:val="auto"/>
          <w:highlight w:val="none"/>
        </w:rPr>
        <w:t>七、签订合同</w:t>
      </w:r>
      <w:r>
        <w:rPr>
          <w:color w:val="auto"/>
          <w:highlight w:val="none"/>
        </w:rPr>
        <w:tab/>
      </w:r>
      <w:r>
        <w:rPr>
          <w:color w:val="auto"/>
          <w:highlight w:val="none"/>
        </w:rPr>
        <w:fldChar w:fldCharType="begin"/>
      </w:r>
      <w:r>
        <w:rPr>
          <w:color w:val="auto"/>
          <w:highlight w:val="none"/>
        </w:rPr>
        <w:instrText xml:space="preserve"> PAGEREF _Toc98942903 \h </w:instrText>
      </w:r>
      <w:r>
        <w:rPr>
          <w:color w:val="auto"/>
          <w:highlight w:val="none"/>
        </w:rPr>
        <w:fldChar w:fldCharType="separate"/>
      </w:r>
      <w:r>
        <w:rPr>
          <w:color w:val="auto"/>
          <w:highlight w:val="none"/>
        </w:rPr>
        <w:t>16</w:t>
      </w:r>
      <w:r>
        <w:rPr>
          <w:color w:val="auto"/>
          <w:highlight w:val="none"/>
        </w:rPr>
        <w:fldChar w:fldCharType="end"/>
      </w:r>
      <w:r>
        <w:rPr>
          <w:color w:val="auto"/>
          <w:highlight w:val="none"/>
        </w:rPr>
        <w:fldChar w:fldCharType="end"/>
      </w:r>
    </w:p>
    <w:p>
      <w:pPr>
        <w:pStyle w:val="11"/>
        <w:tabs>
          <w:tab w:val="right" w:leader="dot" w:pos="9488"/>
        </w:tabs>
        <w:rPr>
          <w:rFonts w:asciiTheme="minorHAnsi" w:hAnsiTheme="minorHAnsi" w:eastAsiaTheme="minorEastAsia" w:cstheme="minorBidi"/>
          <w:b w:val="0"/>
          <w:bCs w:val="0"/>
          <w:caps w:val="0"/>
          <w:color w:val="auto"/>
          <w:kern w:val="2"/>
          <w:sz w:val="21"/>
          <w:szCs w:val="22"/>
          <w:highlight w:val="none"/>
        </w:rPr>
      </w:pPr>
      <w:r>
        <w:rPr>
          <w:color w:val="auto"/>
          <w:highlight w:val="none"/>
        </w:rPr>
        <w:fldChar w:fldCharType="begin"/>
      </w:r>
      <w:r>
        <w:rPr>
          <w:color w:val="auto"/>
          <w:highlight w:val="none"/>
        </w:rPr>
        <w:instrText xml:space="preserve"> HYPERLINK \l "_Toc98942904" </w:instrText>
      </w:r>
      <w:r>
        <w:rPr>
          <w:color w:val="auto"/>
          <w:highlight w:val="none"/>
        </w:rPr>
        <w:fldChar w:fldCharType="separate"/>
      </w:r>
      <w:r>
        <w:rPr>
          <w:rStyle w:val="15"/>
          <w:rFonts w:hint="eastAsia" w:hAnsi="宋体" w:cs="宋体"/>
          <w:color w:val="auto"/>
          <w:highlight w:val="none"/>
        </w:rPr>
        <w:t>第六篇</w:t>
      </w:r>
      <w:r>
        <w:rPr>
          <w:rStyle w:val="15"/>
          <w:rFonts w:hint="eastAsia" w:hAnsi="宋体" w:cs="宋体"/>
          <w:color w:val="auto"/>
          <w:highlight w:val="none"/>
          <w:lang w:eastAsia="zh-CN"/>
        </w:rPr>
        <w:t>响应文件</w:t>
      </w:r>
      <w:r>
        <w:rPr>
          <w:rStyle w:val="15"/>
          <w:rFonts w:hint="eastAsia" w:hAnsi="宋体" w:cs="宋体"/>
          <w:color w:val="auto"/>
          <w:highlight w:val="none"/>
        </w:rPr>
        <w:t>格式要求</w:t>
      </w:r>
      <w:r>
        <w:rPr>
          <w:color w:val="auto"/>
          <w:highlight w:val="none"/>
        </w:rPr>
        <w:tab/>
      </w:r>
      <w:r>
        <w:rPr>
          <w:color w:val="auto"/>
          <w:highlight w:val="none"/>
        </w:rPr>
        <w:fldChar w:fldCharType="begin"/>
      </w:r>
      <w:r>
        <w:rPr>
          <w:color w:val="auto"/>
          <w:highlight w:val="none"/>
        </w:rPr>
        <w:instrText xml:space="preserve"> PAGEREF _Toc98942904 \h </w:instrText>
      </w:r>
      <w:r>
        <w:rPr>
          <w:color w:val="auto"/>
          <w:highlight w:val="none"/>
        </w:rPr>
        <w:fldChar w:fldCharType="separate"/>
      </w:r>
      <w:r>
        <w:rPr>
          <w:color w:val="auto"/>
          <w:highlight w:val="none"/>
        </w:rPr>
        <w:t>17</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"_Toc98942905" </w:instrText>
      </w:r>
      <w:r>
        <w:rPr>
          <w:color w:val="auto"/>
          <w:highlight w:val="none"/>
        </w:rPr>
        <w:fldChar w:fldCharType="separate"/>
      </w:r>
      <w:r>
        <w:rPr>
          <w:rStyle w:val="15"/>
          <w:rFonts w:hint="eastAsia"/>
          <w:color w:val="auto"/>
          <w:highlight w:val="none"/>
        </w:rPr>
        <w:t>一、经济文件</w:t>
      </w:r>
      <w:r>
        <w:rPr>
          <w:color w:val="auto"/>
          <w:highlight w:val="none"/>
        </w:rPr>
        <w:tab/>
      </w:r>
      <w:r>
        <w:rPr>
          <w:color w:val="auto"/>
          <w:highlight w:val="none"/>
        </w:rPr>
        <w:fldChar w:fldCharType="begin"/>
      </w:r>
      <w:r>
        <w:rPr>
          <w:color w:val="auto"/>
          <w:highlight w:val="none"/>
        </w:rPr>
        <w:instrText xml:space="preserve"> PAGEREF _Toc98942905 \h </w:instrText>
      </w:r>
      <w:r>
        <w:rPr>
          <w:color w:val="auto"/>
          <w:highlight w:val="none"/>
        </w:rPr>
        <w:fldChar w:fldCharType="separate"/>
      </w:r>
      <w:r>
        <w:rPr>
          <w:color w:val="auto"/>
          <w:highlight w:val="none"/>
        </w:rPr>
        <w:t>18</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"_Toc98942906" </w:instrText>
      </w:r>
      <w:r>
        <w:rPr>
          <w:color w:val="auto"/>
          <w:highlight w:val="none"/>
        </w:rPr>
        <w:fldChar w:fldCharType="separate"/>
      </w:r>
      <w:r>
        <w:rPr>
          <w:rStyle w:val="15"/>
          <w:rFonts w:hint="eastAsia"/>
          <w:color w:val="auto"/>
          <w:highlight w:val="none"/>
        </w:rPr>
        <w:t>二、技术文件</w:t>
      </w:r>
      <w:r>
        <w:rPr>
          <w:color w:val="auto"/>
          <w:highlight w:val="none"/>
        </w:rPr>
        <w:tab/>
      </w:r>
      <w:r>
        <w:rPr>
          <w:color w:val="auto"/>
          <w:highlight w:val="none"/>
        </w:rPr>
        <w:fldChar w:fldCharType="begin"/>
      </w:r>
      <w:r>
        <w:rPr>
          <w:color w:val="auto"/>
          <w:highlight w:val="none"/>
        </w:rPr>
        <w:instrText xml:space="preserve"> PAGEREF _Toc98942906 \h </w:instrText>
      </w:r>
      <w:r>
        <w:rPr>
          <w:color w:val="auto"/>
          <w:highlight w:val="none"/>
        </w:rPr>
        <w:fldChar w:fldCharType="separate"/>
      </w:r>
      <w:r>
        <w:rPr>
          <w:color w:val="auto"/>
          <w:highlight w:val="none"/>
        </w:rPr>
        <w:t>20</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"_Toc98942907" </w:instrText>
      </w:r>
      <w:r>
        <w:rPr>
          <w:color w:val="auto"/>
          <w:highlight w:val="none"/>
        </w:rPr>
        <w:fldChar w:fldCharType="separate"/>
      </w:r>
      <w:r>
        <w:rPr>
          <w:rStyle w:val="15"/>
          <w:rFonts w:hint="eastAsia"/>
          <w:color w:val="auto"/>
          <w:highlight w:val="none"/>
        </w:rPr>
        <w:t>三、商务文件</w:t>
      </w:r>
      <w:r>
        <w:rPr>
          <w:color w:val="auto"/>
          <w:highlight w:val="none"/>
        </w:rPr>
        <w:tab/>
      </w:r>
      <w:r>
        <w:rPr>
          <w:color w:val="auto"/>
          <w:highlight w:val="none"/>
        </w:rPr>
        <w:fldChar w:fldCharType="begin"/>
      </w:r>
      <w:r>
        <w:rPr>
          <w:color w:val="auto"/>
          <w:highlight w:val="none"/>
        </w:rPr>
        <w:instrText xml:space="preserve"> PAGEREF _Toc98942907 \h </w:instrText>
      </w:r>
      <w:r>
        <w:rPr>
          <w:color w:val="auto"/>
          <w:highlight w:val="none"/>
        </w:rPr>
        <w:fldChar w:fldCharType="separate"/>
      </w:r>
      <w:r>
        <w:rPr>
          <w:color w:val="auto"/>
          <w:highlight w:val="none"/>
        </w:rPr>
        <w:t>22</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"_Toc98942908" </w:instrText>
      </w:r>
      <w:r>
        <w:rPr>
          <w:color w:val="auto"/>
          <w:highlight w:val="none"/>
        </w:rPr>
        <w:fldChar w:fldCharType="separate"/>
      </w:r>
      <w:r>
        <w:rPr>
          <w:rStyle w:val="15"/>
          <w:rFonts w:hint="eastAsia"/>
          <w:color w:val="auto"/>
          <w:highlight w:val="none"/>
        </w:rPr>
        <w:t>四、其他与项目有关的资料（自附）</w:t>
      </w:r>
      <w:r>
        <w:rPr>
          <w:color w:val="auto"/>
          <w:highlight w:val="none"/>
        </w:rPr>
        <w:tab/>
      </w:r>
      <w:r>
        <w:rPr>
          <w:color w:val="auto"/>
          <w:highlight w:val="none"/>
        </w:rPr>
        <w:fldChar w:fldCharType="begin"/>
      </w:r>
      <w:r>
        <w:rPr>
          <w:color w:val="auto"/>
          <w:highlight w:val="none"/>
        </w:rPr>
        <w:instrText xml:space="preserve"> PAGEREF _Toc98942908 \h </w:instrText>
      </w:r>
      <w:r>
        <w:rPr>
          <w:color w:val="auto"/>
          <w:highlight w:val="none"/>
        </w:rPr>
        <w:fldChar w:fldCharType="separate"/>
      </w:r>
      <w:r>
        <w:rPr>
          <w:color w:val="auto"/>
          <w:highlight w:val="none"/>
        </w:rPr>
        <w:t>25</w:t>
      </w:r>
      <w:r>
        <w:rPr>
          <w:color w:val="auto"/>
          <w:highlight w:val="none"/>
        </w:rPr>
        <w:fldChar w:fldCharType="end"/>
      </w:r>
      <w:r>
        <w:rPr>
          <w:color w:val="auto"/>
          <w:highlight w:val="none"/>
        </w:rPr>
        <w:fldChar w:fldCharType="end"/>
      </w:r>
    </w:p>
    <w:p>
      <w:pPr>
        <w:pStyle w:val="12"/>
        <w:tabs>
          <w:tab w:val="right" w:leader="dot" w:pos="9488"/>
        </w:tabs>
        <w:rPr>
          <w:rFonts w:asciiTheme="minorHAnsi" w:hAnsiTheme="minorHAnsi" w:eastAsiaTheme="minorEastAsia" w:cstheme="minorBidi"/>
          <w:bCs w:val="0"/>
          <w:smallCaps w:val="0"/>
          <w:color w:val="auto"/>
          <w:kern w:val="2"/>
          <w:sz w:val="21"/>
          <w:szCs w:val="22"/>
          <w:highlight w:val="none"/>
        </w:rPr>
      </w:pPr>
      <w:r>
        <w:rPr>
          <w:color w:val="auto"/>
          <w:highlight w:val="none"/>
        </w:rPr>
        <w:fldChar w:fldCharType="begin"/>
      </w:r>
      <w:r>
        <w:rPr>
          <w:color w:val="auto"/>
          <w:highlight w:val="none"/>
        </w:rPr>
        <w:instrText xml:space="preserve"> HYPERLINK \l "_Toc98942909" </w:instrText>
      </w:r>
      <w:r>
        <w:rPr>
          <w:color w:val="auto"/>
          <w:highlight w:val="none"/>
        </w:rPr>
        <w:fldChar w:fldCharType="separate"/>
      </w:r>
      <w:r>
        <w:rPr>
          <w:rStyle w:val="15"/>
          <w:rFonts w:hint="eastAsia"/>
          <w:color w:val="auto"/>
          <w:highlight w:val="none"/>
        </w:rPr>
        <w:t>五、资格文件</w:t>
      </w:r>
      <w:r>
        <w:rPr>
          <w:color w:val="auto"/>
          <w:highlight w:val="none"/>
        </w:rPr>
        <w:tab/>
      </w:r>
      <w:r>
        <w:rPr>
          <w:color w:val="auto"/>
          <w:highlight w:val="none"/>
        </w:rPr>
        <w:fldChar w:fldCharType="begin"/>
      </w:r>
      <w:r>
        <w:rPr>
          <w:color w:val="auto"/>
          <w:highlight w:val="none"/>
        </w:rPr>
        <w:instrText xml:space="preserve"> PAGEREF _Toc98942909 \h </w:instrText>
      </w:r>
      <w:r>
        <w:rPr>
          <w:color w:val="auto"/>
          <w:highlight w:val="none"/>
        </w:rPr>
        <w:fldChar w:fldCharType="separate"/>
      </w:r>
      <w:r>
        <w:rPr>
          <w:color w:val="auto"/>
          <w:highlight w:val="none"/>
        </w:rPr>
        <w:t>26</w:t>
      </w:r>
      <w:r>
        <w:rPr>
          <w:color w:val="auto"/>
          <w:highlight w:val="none"/>
        </w:rPr>
        <w:fldChar w:fldCharType="end"/>
      </w:r>
      <w:r>
        <w:rPr>
          <w:color w:val="auto"/>
          <w:highlight w:val="none"/>
        </w:rPr>
        <w:fldChar w:fldCharType="end"/>
      </w:r>
    </w:p>
    <w:p>
      <w:pPr>
        <w:pStyle w:val="2"/>
        <w:rPr>
          <w:color w:val="auto"/>
          <w:highlight w:val="none"/>
        </w:rPr>
      </w:pPr>
      <w:r>
        <w:rPr>
          <w:rFonts w:hint="eastAsia"/>
          <w:color w:val="auto"/>
          <w:sz w:val="28"/>
          <w:szCs w:val="28"/>
          <w:highlight w:val="none"/>
        </w:rPr>
        <w:fldChar w:fldCharType="end"/>
      </w:r>
      <w:r>
        <w:rPr>
          <w:rFonts w:hint="eastAsia"/>
          <w:color w:val="auto"/>
          <w:sz w:val="28"/>
          <w:szCs w:val="28"/>
          <w:highlight w:val="none"/>
        </w:rPr>
        <w:br w:type="page"/>
      </w:r>
      <w:bookmarkStart w:id="112" w:name="_GoBack"/>
      <w:bookmarkStart w:id="7" w:name="_Toc98942871"/>
      <w:r>
        <w:rPr>
          <w:rFonts w:hint="eastAsia"/>
          <w:color w:val="auto"/>
          <w:highlight w:val="none"/>
        </w:rPr>
        <w:t>第一篇 投标邀请书</w:t>
      </w:r>
      <w:bookmarkEnd w:id="6"/>
      <w:bookmarkEnd w:id="7"/>
    </w:p>
    <w:p>
      <w:pPr>
        <w:spacing w:line="360" w:lineRule="auto"/>
        <w:ind w:firstLine="480" w:firstLineChars="200"/>
        <w:jc w:val="left"/>
        <w:rPr>
          <w:rFonts w:hAnsi="宋体" w:cs="宋体"/>
          <w:color w:val="auto"/>
          <w:sz w:val="28"/>
          <w:szCs w:val="28"/>
          <w:highlight w:val="none"/>
        </w:rPr>
      </w:pPr>
      <w:r>
        <w:rPr>
          <w:rFonts w:hint="eastAsia" w:hAnsi="宋体" w:cs="宋体"/>
          <w:color w:val="auto"/>
          <w:sz w:val="24"/>
          <w:szCs w:val="24"/>
          <w:highlight w:val="none"/>
        </w:rPr>
        <w:t>重庆医科大学附属口腔医院（简称“口腔医院”）对</w:t>
      </w:r>
      <w:r>
        <w:rPr>
          <w:rFonts w:hint="eastAsia" w:hAnsi="宋体" w:cs="宋体"/>
          <w:color w:val="auto"/>
          <w:sz w:val="24"/>
          <w:szCs w:val="24"/>
          <w:highlight w:val="none"/>
          <w:lang w:val="en-US" w:eastAsia="zh-CN"/>
        </w:rPr>
        <w:t>特诊科改造项目定制家具</w:t>
      </w:r>
      <w:r>
        <w:rPr>
          <w:rFonts w:hint="eastAsia" w:hAnsi="宋体" w:cs="宋体"/>
          <w:color w:val="auto"/>
          <w:sz w:val="24"/>
          <w:szCs w:val="24"/>
          <w:highlight w:val="none"/>
        </w:rPr>
        <w:t>进行采购，欢迎有资格、有实力的投标人参加</w:t>
      </w:r>
      <w:r>
        <w:rPr>
          <w:rFonts w:hint="eastAsia" w:hAnsi="宋体" w:cs="宋体"/>
          <w:color w:val="auto"/>
          <w:sz w:val="24"/>
          <w:szCs w:val="24"/>
          <w:highlight w:val="none"/>
          <w:lang w:eastAsia="zh-CN"/>
        </w:rPr>
        <w:t>院内竞争性比选</w:t>
      </w:r>
      <w:r>
        <w:rPr>
          <w:rFonts w:hint="eastAsia" w:hAnsi="宋体" w:cs="宋体"/>
          <w:color w:val="auto"/>
          <w:sz w:val="24"/>
          <w:szCs w:val="24"/>
          <w:highlight w:val="none"/>
        </w:rPr>
        <w:t>。</w:t>
      </w:r>
    </w:p>
    <w:p>
      <w:pPr>
        <w:pStyle w:val="3"/>
        <w:spacing w:line="360" w:lineRule="auto"/>
        <w:rPr>
          <w:rFonts w:ascii="宋体" w:hAnsi="宋体" w:cs="宋体"/>
          <w:color w:val="auto"/>
          <w:kern w:val="0"/>
          <w:szCs w:val="28"/>
          <w:highlight w:val="none"/>
        </w:rPr>
      </w:pPr>
      <w:bookmarkStart w:id="8" w:name="_Toc98942872"/>
      <w:r>
        <w:rPr>
          <w:rFonts w:hint="eastAsia" w:ascii="宋体" w:hAnsi="宋体" w:cs="宋体"/>
          <w:bCs w:val="0"/>
          <w:color w:val="auto"/>
          <w:kern w:val="0"/>
          <w:szCs w:val="28"/>
          <w:highlight w:val="none"/>
        </w:rPr>
        <w:t>一、项目内容</w:t>
      </w:r>
      <w:bookmarkEnd w:id="8"/>
    </w:p>
    <w:tbl>
      <w:tblPr>
        <w:tblStyle w:val="13"/>
        <w:tblpPr w:leftFromText="180" w:rightFromText="180" w:vertAnchor="text" w:tblpXSpec="center" w:tblpY="1"/>
        <w:tblOverlap w:val="never"/>
        <w:tblW w:w="80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13"/>
        <w:gridCol w:w="1890"/>
        <w:gridCol w:w="1485"/>
        <w:gridCol w:w="15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rPr>
        <w:tc>
          <w:tcPr>
            <w:tcW w:w="3113" w:type="dxa"/>
            <w:vAlign w:val="center"/>
          </w:tcPr>
          <w:p>
            <w:pPr>
              <w:spacing w:line="360" w:lineRule="auto"/>
              <w:jc w:val="center"/>
              <w:rPr>
                <w:rFonts w:hAnsi="宋体" w:cs="宋体"/>
                <w:b/>
                <w:bCs/>
                <w:color w:val="auto"/>
                <w:sz w:val="24"/>
                <w:szCs w:val="24"/>
                <w:highlight w:val="none"/>
              </w:rPr>
            </w:pPr>
            <w:r>
              <w:rPr>
                <w:rFonts w:hint="eastAsia" w:hAnsi="宋体" w:cs="宋体"/>
                <w:b/>
                <w:bCs/>
                <w:color w:val="auto"/>
                <w:sz w:val="24"/>
                <w:szCs w:val="24"/>
                <w:highlight w:val="none"/>
              </w:rPr>
              <w:t>项目名称</w:t>
            </w:r>
          </w:p>
        </w:tc>
        <w:tc>
          <w:tcPr>
            <w:tcW w:w="1890" w:type="dxa"/>
          </w:tcPr>
          <w:p>
            <w:pPr>
              <w:jc w:val="center"/>
              <w:rPr>
                <w:rFonts w:hAnsi="宋体" w:cs="宋体"/>
                <w:b/>
                <w:bCs/>
                <w:color w:val="auto"/>
                <w:sz w:val="24"/>
                <w:szCs w:val="24"/>
                <w:highlight w:val="none"/>
              </w:rPr>
            </w:pPr>
            <w:r>
              <w:rPr>
                <w:rFonts w:hint="eastAsia" w:hAnsi="宋体" w:cs="宋体"/>
                <w:b/>
                <w:bCs/>
                <w:color w:val="auto"/>
                <w:sz w:val="24"/>
                <w:szCs w:val="24"/>
                <w:highlight w:val="none"/>
              </w:rPr>
              <w:t>成交供应商数量（名）</w:t>
            </w:r>
          </w:p>
        </w:tc>
        <w:tc>
          <w:tcPr>
            <w:tcW w:w="1485" w:type="dxa"/>
            <w:vAlign w:val="center"/>
          </w:tcPr>
          <w:p>
            <w:pPr>
              <w:jc w:val="center"/>
              <w:rPr>
                <w:rFonts w:hAnsi="宋体" w:cs="宋体"/>
                <w:b/>
                <w:bCs/>
                <w:color w:val="auto"/>
                <w:sz w:val="24"/>
                <w:szCs w:val="24"/>
                <w:highlight w:val="none"/>
              </w:rPr>
            </w:pPr>
            <w:r>
              <w:rPr>
                <w:rFonts w:hint="eastAsia" w:hAnsi="宋体" w:cs="宋体"/>
                <w:b/>
                <w:bCs/>
                <w:color w:val="auto"/>
                <w:sz w:val="24"/>
                <w:szCs w:val="24"/>
                <w:highlight w:val="none"/>
              </w:rPr>
              <w:t>最高限价</w:t>
            </w:r>
          </w:p>
          <w:p>
            <w:pPr>
              <w:jc w:val="center"/>
              <w:rPr>
                <w:rFonts w:hAnsi="宋体" w:cs="宋体"/>
                <w:b/>
                <w:bCs/>
                <w:color w:val="auto"/>
                <w:sz w:val="24"/>
                <w:szCs w:val="24"/>
                <w:highlight w:val="none"/>
              </w:rPr>
            </w:pPr>
            <w:r>
              <w:rPr>
                <w:rFonts w:hint="eastAsia" w:hAnsi="宋体" w:cs="宋体"/>
                <w:b/>
                <w:bCs/>
                <w:color w:val="auto"/>
                <w:sz w:val="24"/>
                <w:szCs w:val="24"/>
                <w:highlight w:val="none"/>
              </w:rPr>
              <w:t>（万元）</w:t>
            </w:r>
          </w:p>
        </w:tc>
        <w:tc>
          <w:tcPr>
            <w:tcW w:w="1558" w:type="dxa"/>
            <w:vAlign w:val="center"/>
          </w:tcPr>
          <w:p>
            <w:pPr>
              <w:spacing w:line="360" w:lineRule="auto"/>
              <w:jc w:val="center"/>
              <w:rPr>
                <w:rFonts w:hAnsi="宋体" w:cs="宋体"/>
                <w:b/>
                <w:bCs/>
                <w:color w:val="auto"/>
                <w:sz w:val="24"/>
                <w:szCs w:val="24"/>
                <w:highlight w:val="none"/>
              </w:rPr>
            </w:pPr>
            <w:r>
              <w:rPr>
                <w:rFonts w:hint="eastAsia" w:hAnsi="宋体" w:cs="宋体"/>
                <w:b/>
                <w:bCs/>
                <w:color w:val="auto"/>
                <w:sz w:val="24"/>
                <w:szCs w:val="24"/>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trPr>
        <w:tc>
          <w:tcPr>
            <w:tcW w:w="3113" w:type="dxa"/>
            <w:vAlign w:val="center"/>
          </w:tcPr>
          <w:p>
            <w:pPr>
              <w:jc w:val="center"/>
              <w:rPr>
                <w:rFonts w:hAnsi="宋体" w:cs="宋体"/>
                <w:color w:val="auto"/>
                <w:sz w:val="24"/>
                <w:szCs w:val="24"/>
                <w:highlight w:val="none"/>
              </w:rPr>
            </w:pPr>
            <w:bookmarkStart w:id="9" w:name="OLE_LINK6"/>
            <w:r>
              <w:rPr>
                <w:rFonts w:hint="eastAsia" w:hAnsi="宋体" w:cs="宋体"/>
                <w:color w:val="auto"/>
                <w:sz w:val="24"/>
                <w:szCs w:val="24"/>
                <w:highlight w:val="none"/>
              </w:rPr>
              <w:t xml:space="preserve">重庆医科大学附属口腔医院   </w:t>
            </w:r>
            <w:r>
              <w:rPr>
                <w:rFonts w:hint="eastAsia" w:hAnsi="宋体" w:cs="宋体"/>
                <w:color w:val="auto"/>
                <w:sz w:val="24"/>
                <w:szCs w:val="24"/>
                <w:highlight w:val="none"/>
                <w:lang w:val="en-US" w:eastAsia="zh-CN"/>
              </w:rPr>
              <w:t>特诊科改造项目定制家具</w:t>
            </w:r>
            <w:r>
              <w:rPr>
                <w:rFonts w:hint="eastAsia" w:hAnsi="宋体" w:cs="宋体"/>
                <w:color w:val="auto"/>
                <w:sz w:val="24"/>
                <w:szCs w:val="24"/>
                <w:highlight w:val="none"/>
              </w:rPr>
              <w:t>采购</w:t>
            </w:r>
            <w:bookmarkEnd w:id="9"/>
          </w:p>
        </w:tc>
        <w:tc>
          <w:tcPr>
            <w:tcW w:w="1890" w:type="dxa"/>
            <w:vAlign w:val="center"/>
          </w:tcPr>
          <w:p>
            <w:pPr>
              <w:jc w:val="center"/>
              <w:rPr>
                <w:rFonts w:hAnsi="宋体" w:cs="宋体"/>
                <w:color w:val="auto"/>
                <w:sz w:val="24"/>
                <w:szCs w:val="24"/>
                <w:highlight w:val="none"/>
              </w:rPr>
            </w:pPr>
            <w:r>
              <w:rPr>
                <w:rFonts w:hint="eastAsia" w:hAnsi="宋体" w:cs="宋体"/>
                <w:color w:val="auto"/>
                <w:sz w:val="24"/>
                <w:szCs w:val="24"/>
                <w:highlight w:val="none"/>
              </w:rPr>
              <w:t>1</w:t>
            </w:r>
          </w:p>
        </w:tc>
        <w:tc>
          <w:tcPr>
            <w:tcW w:w="1485" w:type="dxa"/>
            <w:vAlign w:val="center"/>
          </w:tcPr>
          <w:p>
            <w:pPr>
              <w:jc w:val="center"/>
              <w:rPr>
                <w:rFonts w:hAnsi="宋体" w:cs="宋体"/>
                <w:color w:val="auto"/>
                <w:sz w:val="24"/>
                <w:szCs w:val="24"/>
                <w:highlight w:val="none"/>
              </w:rPr>
            </w:pPr>
            <w:r>
              <w:rPr>
                <w:rFonts w:hint="eastAsia" w:hAnsi="宋体" w:cs="宋体"/>
                <w:color w:val="auto"/>
                <w:sz w:val="24"/>
                <w:szCs w:val="24"/>
                <w:highlight w:val="none"/>
                <w:lang w:val="en-US" w:eastAsia="zh-CN"/>
              </w:rPr>
              <w:t>46</w:t>
            </w:r>
            <w:r>
              <w:rPr>
                <w:rFonts w:hint="eastAsia" w:hAnsi="宋体" w:cs="宋体"/>
                <w:color w:val="auto"/>
                <w:sz w:val="24"/>
                <w:szCs w:val="24"/>
                <w:highlight w:val="none"/>
              </w:rPr>
              <w:t xml:space="preserve"> </w:t>
            </w:r>
          </w:p>
        </w:tc>
        <w:tc>
          <w:tcPr>
            <w:tcW w:w="1558" w:type="dxa"/>
            <w:vAlign w:val="center"/>
          </w:tcPr>
          <w:p>
            <w:pPr>
              <w:jc w:val="center"/>
              <w:rPr>
                <w:rFonts w:hAnsi="宋体" w:cs="宋体"/>
                <w:color w:val="auto"/>
                <w:sz w:val="24"/>
                <w:szCs w:val="24"/>
                <w:highlight w:val="none"/>
              </w:rPr>
            </w:pPr>
          </w:p>
        </w:tc>
      </w:tr>
    </w:tbl>
    <w:p>
      <w:pPr>
        <w:spacing w:line="360" w:lineRule="auto"/>
        <w:ind w:firstLine="560" w:firstLineChars="200"/>
        <w:rPr>
          <w:rFonts w:hAnsi="宋体" w:cs="宋体"/>
          <w:color w:val="auto"/>
          <w:sz w:val="28"/>
          <w:szCs w:val="28"/>
          <w:highlight w:val="none"/>
        </w:rPr>
      </w:pPr>
    </w:p>
    <w:p>
      <w:pPr>
        <w:rPr>
          <w:color w:val="auto"/>
          <w:highlight w:val="none"/>
        </w:rPr>
      </w:pPr>
    </w:p>
    <w:p>
      <w:pPr>
        <w:rPr>
          <w:color w:val="auto"/>
          <w:highlight w:val="none"/>
        </w:rPr>
      </w:pPr>
    </w:p>
    <w:p>
      <w:pPr>
        <w:rPr>
          <w:rStyle w:val="16"/>
          <w:rFonts w:hint="eastAsia"/>
          <w:color w:val="auto"/>
          <w:highlight w:val="none"/>
        </w:rPr>
      </w:pPr>
      <w:bookmarkStart w:id="10" w:name="_Toc98942873"/>
    </w:p>
    <w:p>
      <w:pPr>
        <w:rPr>
          <w:color w:val="auto"/>
          <w:sz w:val="28"/>
          <w:szCs w:val="28"/>
          <w:highlight w:val="none"/>
        </w:rPr>
      </w:pPr>
      <w:r>
        <w:rPr>
          <w:rStyle w:val="16"/>
          <w:rFonts w:hint="eastAsia"/>
          <w:color w:val="auto"/>
          <w:highlight w:val="none"/>
        </w:rPr>
        <w:t>二、资金来源</w:t>
      </w:r>
      <w:bookmarkEnd w:id="10"/>
      <w:r>
        <w:rPr>
          <w:rFonts w:hint="eastAsia"/>
          <w:color w:val="auto"/>
          <w:highlight w:val="none"/>
        </w:rPr>
        <w:t>：</w:t>
      </w:r>
      <w:r>
        <w:rPr>
          <w:rFonts w:hint="eastAsia"/>
          <w:color w:val="auto"/>
          <w:sz w:val="28"/>
          <w:szCs w:val="28"/>
          <w:highlight w:val="none"/>
        </w:rPr>
        <w:t>医院自筹</w:t>
      </w:r>
    </w:p>
    <w:p>
      <w:pPr>
        <w:rPr>
          <w:rFonts w:hint="eastAsia" w:eastAsia="宋体"/>
          <w:color w:val="auto"/>
          <w:sz w:val="28"/>
          <w:szCs w:val="28"/>
          <w:highlight w:val="none"/>
          <w:lang w:val="en-US" w:eastAsia="zh-CN"/>
        </w:rPr>
      </w:pPr>
      <w:bookmarkStart w:id="11" w:name="_Toc98942874"/>
      <w:r>
        <w:rPr>
          <w:rStyle w:val="16"/>
          <w:rFonts w:hint="eastAsia"/>
          <w:color w:val="auto"/>
          <w:szCs w:val="28"/>
          <w:highlight w:val="none"/>
        </w:rPr>
        <w:t>三、采购方式</w:t>
      </w:r>
      <w:bookmarkEnd w:id="11"/>
      <w:r>
        <w:rPr>
          <w:rFonts w:hint="eastAsia"/>
          <w:color w:val="auto"/>
          <w:sz w:val="28"/>
          <w:szCs w:val="28"/>
          <w:highlight w:val="none"/>
        </w:rPr>
        <w:t>：院内</w:t>
      </w:r>
      <w:r>
        <w:rPr>
          <w:rFonts w:hint="eastAsia"/>
          <w:color w:val="auto"/>
          <w:sz w:val="28"/>
          <w:szCs w:val="28"/>
          <w:highlight w:val="none"/>
          <w:lang w:eastAsia="zh-CN"/>
        </w:rPr>
        <w:t>竞争性比选</w:t>
      </w:r>
    </w:p>
    <w:p>
      <w:pPr>
        <w:pStyle w:val="3"/>
        <w:rPr>
          <w:color w:val="auto"/>
          <w:highlight w:val="none"/>
        </w:rPr>
      </w:pPr>
      <w:bookmarkStart w:id="12" w:name="_Toc98942875"/>
      <w:r>
        <w:rPr>
          <w:rFonts w:hint="eastAsia"/>
          <w:color w:val="auto"/>
          <w:highlight w:val="none"/>
        </w:rPr>
        <w:t>四、投标人资格要求</w:t>
      </w:r>
      <w:bookmarkEnd w:id="12"/>
    </w:p>
    <w:p>
      <w:pPr>
        <w:spacing w:line="360" w:lineRule="auto"/>
        <w:ind w:firstLine="480"/>
        <w:jc w:val="left"/>
        <w:rPr>
          <w:rFonts w:hAnsi="宋体" w:cs="宋体"/>
          <w:color w:val="auto"/>
          <w:sz w:val="24"/>
          <w:szCs w:val="24"/>
          <w:highlight w:val="none"/>
        </w:rPr>
      </w:pPr>
      <w:r>
        <w:rPr>
          <w:rFonts w:hint="eastAsia" w:hAnsi="宋体" w:cs="宋体"/>
          <w:color w:val="auto"/>
          <w:sz w:val="24"/>
          <w:szCs w:val="24"/>
          <w:highlight w:val="none"/>
        </w:rPr>
        <w:t>（一）基本资格条件</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1.具有独立承担民事责任的能力；</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2.具有良好的商业信誉和健全的财务会计制度；</w:t>
      </w:r>
    </w:p>
    <w:p>
      <w:pPr>
        <w:spacing w:line="360" w:lineRule="auto"/>
        <w:ind w:firstLine="480"/>
        <w:rPr>
          <w:rFonts w:hAnsi="宋体" w:cs="宋体"/>
          <w:b/>
          <w:color w:val="auto"/>
          <w:sz w:val="24"/>
          <w:szCs w:val="24"/>
          <w:highlight w:val="none"/>
        </w:rPr>
      </w:pPr>
      <w:r>
        <w:rPr>
          <w:rFonts w:hint="eastAsia" w:hAnsi="宋体" w:cs="宋体"/>
          <w:color w:val="auto"/>
          <w:sz w:val="24"/>
          <w:szCs w:val="24"/>
          <w:highlight w:val="none"/>
        </w:rPr>
        <w:t>3.具有履行合同所必需的设备和专业技术能力；</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4.有依法缴纳税收和社会保障资金的良好记录；</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5.参加采购活动前三年内，在经营活动中没有重大违法记录；</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6.法律、行政法规规定的其他条件。</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（二）特定资格要求：</w:t>
      </w:r>
    </w:p>
    <w:p>
      <w:pPr>
        <w:spacing w:line="360" w:lineRule="auto"/>
        <w:ind w:firstLine="480"/>
        <w:rPr>
          <w:rFonts w:hint="default" w:hAnsi="宋体" w:eastAsia="宋体" w:cs="宋体"/>
          <w:color w:val="auto"/>
          <w:sz w:val="24"/>
          <w:szCs w:val="24"/>
          <w:highlight w:val="none"/>
          <w:lang w:val="en-US" w:eastAsia="zh-CN"/>
        </w:rPr>
      </w:pPr>
      <w:r>
        <w:rPr>
          <w:rFonts w:hint="eastAsia" w:hAnsi="宋体" w:cs="宋体"/>
          <w:color w:val="auto"/>
          <w:sz w:val="24"/>
          <w:szCs w:val="24"/>
          <w:highlight w:val="none"/>
          <w:lang w:val="en-US" w:eastAsia="zh-CN"/>
        </w:rPr>
        <w:t xml:space="preserve"> 无  </w:t>
      </w:r>
    </w:p>
    <w:p>
      <w:pPr>
        <w:spacing w:line="360" w:lineRule="auto"/>
        <w:rPr>
          <w:color w:val="auto"/>
          <w:highlight w:val="none"/>
        </w:rPr>
      </w:pPr>
      <w:bookmarkStart w:id="13" w:name="_Toc98942876"/>
      <w:r>
        <w:rPr>
          <w:rFonts w:hint="eastAsia"/>
          <w:color w:val="auto"/>
          <w:highlight w:val="none"/>
        </w:rPr>
        <w:t>五、</w:t>
      </w:r>
      <w:r>
        <w:rPr>
          <w:rFonts w:hint="eastAsia"/>
          <w:color w:val="auto"/>
          <w:highlight w:val="none"/>
          <w:lang w:eastAsia="zh-CN"/>
        </w:rPr>
        <w:t>比选文件</w:t>
      </w:r>
      <w:r>
        <w:rPr>
          <w:rFonts w:hint="eastAsia"/>
          <w:color w:val="auto"/>
          <w:highlight w:val="none"/>
        </w:rPr>
        <w:t>获取及投标时间要求</w:t>
      </w:r>
      <w:bookmarkEnd w:id="13"/>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（一）</w:t>
      </w:r>
      <w:bookmarkStart w:id="14" w:name="OLE_LINK5"/>
      <w:r>
        <w:rPr>
          <w:rFonts w:hint="eastAsia" w:hAnsi="宋体" w:cs="宋体"/>
          <w:color w:val="auto"/>
          <w:sz w:val="24"/>
          <w:szCs w:val="24"/>
          <w:highlight w:val="none"/>
        </w:rPr>
        <w:t>凡愿意参加投标的投标人，请自行在“行采家”或“重庆医科大学附属口腔医院”或“中国采购招标网”下载</w:t>
      </w:r>
      <w:r>
        <w:rPr>
          <w:rFonts w:hint="eastAsia" w:hAnsi="宋体" w:cs="宋体"/>
          <w:color w:val="auto"/>
          <w:sz w:val="24"/>
          <w:szCs w:val="24"/>
          <w:highlight w:val="none"/>
          <w:lang w:eastAsia="zh-CN"/>
        </w:rPr>
        <w:t>竞争性比选文件</w:t>
      </w:r>
      <w:r>
        <w:rPr>
          <w:rFonts w:hint="eastAsia" w:hAnsi="宋体" w:cs="宋体"/>
          <w:color w:val="auto"/>
          <w:sz w:val="24"/>
          <w:szCs w:val="24"/>
          <w:highlight w:val="none"/>
        </w:rPr>
        <w:t>，</w:t>
      </w:r>
      <w:r>
        <w:rPr>
          <w:rFonts w:hint="eastAsia" w:hAnsi="宋体" w:cs="宋体"/>
          <w:color w:val="auto"/>
          <w:sz w:val="24"/>
          <w:szCs w:val="24"/>
          <w:highlight w:val="none"/>
          <w:lang w:eastAsia="zh-CN"/>
        </w:rPr>
        <w:t>竞争性比选文件</w:t>
      </w:r>
      <w:r>
        <w:rPr>
          <w:rFonts w:hint="eastAsia" w:hAnsi="宋体" w:cs="宋体"/>
          <w:color w:val="auto"/>
          <w:sz w:val="24"/>
          <w:szCs w:val="24"/>
          <w:highlight w:val="none"/>
        </w:rPr>
        <w:t>及补遗等开标前公布的所有项目资料，无论投标人下载与否，均视为已知晓所有招标内容。本项目无需报名及购买</w:t>
      </w:r>
      <w:r>
        <w:rPr>
          <w:rFonts w:hint="eastAsia" w:hAnsi="宋体" w:cs="宋体"/>
          <w:color w:val="auto"/>
          <w:sz w:val="24"/>
          <w:szCs w:val="24"/>
          <w:highlight w:val="none"/>
          <w:lang w:eastAsia="zh-CN"/>
        </w:rPr>
        <w:t>竞争性比选文件</w:t>
      </w:r>
      <w:r>
        <w:rPr>
          <w:rFonts w:hint="eastAsia" w:hAnsi="宋体" w:cs="宋体"/>
          <w:color w:val="auto"/>
          <w:sz w:val="24"/>
          <w:szCs w:val="24"/>
          <w:highlight w:val="none"/>
        </w:rPr>
        <w:t>。</w:t>
      </w:r>
      <w:bookmarkEnd w:id="14"/>
      <w:r>
        <w:rPr>
          <w:rFonts w:hint="eastAsia" w:hAnsi="宋体" w:cs="宋体"/>
          <w:color w:val="auto"/>
          <w:sz w:val="24"/>
          <w:szCs w:val="24"/>
          <w:highlight w:val="none"/>
        </w:rPr>
        <w:t>获取文件期限:</w:t>
      </w:r>
      <w:bookmarkStart w:id="15" w:name="OLE_LINK7"/>
      <w:r>
        <w:rPr>
          <w:rFonts w:hint="eastAsia" w:hAnsi="宋体" w:cs="宋体"/>
          <w:color w:val="auto"/>
          <w:sz w:val="24"/>
          <w:szCs w:val="24"/>
          <w:highlight w:val="none"/>
        </w:rPr>
        <w:t>202</w:t>
      </w:r>
      <w:r>
        <w:rPr>
          <w:rFonts w:hint="eastAsia" w:hAnsi="宋体" w:cs="宋体"/>
          <w:color w:val="auto"/>
          <w:sz w:val="24"/>
          <w:szCs w:val="24"/>
          <w:highlight w:val="none"/>
          <w:lang w:val="en-US" w:eastAsia="zh-CN"/>
        </w:rPr>
        <w:t>5</w:t>
      </w:r>
      <w:r>
        <w:rPr>
          <w:rFonts w:hint="eastAsia" w:hAnsi="宋体" w:cs="宋体"/>
          <w:color w:val="auto"/>
          <w:sz w:val="24"/>
          <w:szCs w:val="24"/>
          <w:highlight w:val="none"/>
        </w:rPr>
        <w:t>年</w:t>
      </w:r>
      <w:r>
        <w:rPr>
          <w:rFonts w:hint="eastAsia" w:hAnsi="宋体" w:cs="宋体"/>
          <w:color w:val="auto"/>
          <w:sz w:val="24"/>
          <w:szCs w:val="24"/>
          <w:highlight w:val="none"/>
          <w:lang w:val="en-US" w:eastAsia="zh-CN"/>
        </w:rPr>
        <w:t>4</w:t>
      </w:r>
      <w:r>
        <w:rPr>
          <w:rFonts w:hint="eastAsia" w:hAnsi="宋体" w:cs="宋体"/>
          <w:color w:val="auto"/>
          <w:sz w:val="24"/>
          <w:szCs w:val="24"/>
          <w:highlight w:val="none"/>
        </w:rPr>
        <w:t>月</w:t>
      </w:r>
      <w:r>
        <w:rPr>
          <w:rFonts w:hint="eastAsia" w:hAnsi="宋体" w:cs="宋体"/>
          <w:color w:val="auto"/>
          <w:sz w:val="24"/>
          <w:szCs w:val="24"/>
          <w:highlight w:val="none"/>
          <w:lang w:val="en-US" w:eastAsia="zh-CN"/>
        </w:rPr>
        <w:t>18</w:t>
      </w:r>
      <w:r>
        <w:rPr>
          <w:rFonts w:hint="eastAsia" w:hAnsi="宋体" w:cs="宋体"/>
          <w:color w:val="auto"/>
          <w:sz w:val="24"/>
          <w:szCs w:val="24"/>
          <w:highlight w:val="none"/>
        </w:rPr>
        <w:t>日 9：00至 202</w:t>
      </w:r>
      <w:r>
        <w:rPr>
          <w:rFonts w:hint="eastAsia" w:hAnsi="宋体" w:cs="宋体"/>
          <w:color w:val="auto"/>
          <w:sz w:val="24"/>
          <w:szCs w:val="24"/>
          <w:highlight w:val="none"/>
          <w:lang w:val="en-US" w:eastAsia="zh-CN"/>
        </w:rPr>
        <w:t>5</w:t>
      </w:r>
      <w:r>
        <w:rPr>
          <w:rFonts w:hint="eastAsia" w:hAnsi="宋体" w:cs="宋体"/>
          <w:color w:val="auto"/>
          <w:sz w:val="24"/>
          <w:szCs w:val="24"/>
          <w:highlight w:val="none"/>
        </w:rPr>
        <w:t>年</w:t>
      </w:r>
      <w:r>
        <w:rPr>
          <w:rFonts w:hint="eastAsia" w:hAnsi="宋体" w:cs="宋体"/>
          <w:color w:val="auto"/>
          <w:sz w:val="24"/>
          <w:szCs w:val="24"/>
          <w:highlight w:val="none"/>
          <w:lang w:val="en-US" w:eastAsia="zh-CN"/>
        </w:rPr>
        <w:t>4</w:t>
      </w:r>
      <w:r>
        <w:rPr>
          <w:rFonts w:hint="eastAsia" w:hAnsi="宋体" w:cs="宋体"/>
          <w:color w:val="auto"/>
          <w:sz w:val="24"/>
          <w:szCs w:val="24"/>
          <w:highlight w:val="none"/>
        </w:rPr>
        <w:t>月</w:t>
      </w:r>
      <w:r>
        <w:rPr>
          <w:rFonts w:hint="eastAsia" w:hAnsi="宋体" w:cs="宋体"/>
          <w:color w:val="auto"/>
          <w:sz w:val="24"/>
          <w:szCs w:val="24"/>
          <w:highlight w:val="none"/>
          <w:lang w:val="en-US" w:eastAsia="zh-CN"/>
        </w:rPr>
        <w:t>24</w:t>
      </w:r>
      <w:r>
        <w:rPr>
          <w:rFonts w:hint="eastAsia" w:hAnsi="宋体" w:cs="宋体"/>
          <w:color w:val="auto"/>
          <w:sz w:val="24"/>
          <w:szCs w:val="24"/>
          <w:highlight w:val="none"/>
        </w:rPr>
        <w:t>日</w:t>
      </w:r>
      <w:bookmarkEnd w:id="15"/>
      <w:r>
        <w:rPr>
          <w:rFonts w:hint="eastAsia" w:hAnsi="宋体" w:cs="宋体"/>
          <w:color w:val="auto"/>
          <w:sz w:val="24"/>
          <w:szCs w:val="24"/>
          <w:highlight w:val="none"/>
        </w:rPr>
        <w:t xml:space="preserve"> 17:30。</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（二）投标人应当按照</w:t>
      </w:r>
      <w:r>
        <w:rPr>
          <w:rFonts w:hint="eastAsia" w:hAnsi="宋体" w:cs="宋体"/>
          <w:color w:val="auto"/>
          <w:sz w:val="24"/>
          <w:szCs w:val="24"/>
          <w:highlight w:val="none"/>
          <w:lang w:eastAsia="zh-CN"/>
        </w:rPr>
        <w:t>竞争性比选文件</w:t>
      </w:r>
      <w:r>
        <w:rPr>
          <w:rFonts w:hint="eastAsia" w:hAnsi="宋体" w:cs="宋体"/>
          <w:color w:val="auto"/>
          <w:sz w:val="24"/>
          <w:szCs w:val="24"/>
          <w:highlight w:val="none"/>
        </w:rPr>
        <w:t>的要求编制</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，并对</w:t>
      </w:r>
      <w:r>
        <w:rPr>
          <w:rFonts w:hint="eastAsia" w:hAnsi="宋体" w:cs="宋体"/>
          <w:color w:val="auto"/>
          <w:sz w:val="24"/>
          <w:szCs w:val="24"/>
          <w:highlight w:val="none"/>
          <w:lang w:eastAsia="zh-CN"/>
        </w:rPr>
        <w:t>竞争性比选文件</w:t>
      </w:r>
      <w:r>
        <w:rPr>
          <w:rFonts w:hint="eastAsia" w:hAnsi="宋体" w:cs="宋体"/>
          <w:color w:val="auto"/>
          <w:sz w:val="24"/>
          <w:szCs w:val="24"/>
          <w:highlight w:val="none"/>
        </w:rPr>
        <w:t>提出的要求和条件作出实质性响应，</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须采用软面胶装（不得采用穿孔式、文件夹式活页装订），同时应编制完整的封面、页码、目录。</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（三）投标书正本、副本各一份，均需有法定代表人（或法人代表）签章和单位盖章，</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的正本、副本均应密封送达投标地点。若正本、副本分别进行密封，应在封套上注明“正本”、“副本”字样。副本为正本的完整复印件，与正本不一致时以正本为准。注：标书密封的外封套上必须注明投标项目名称、投标公司名称、联系人姓名及电话。</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（四）所有投标书应于202</w:t>
      </w:r>
      <w:r>
        <w:rPr>
          <w:rFonts w:hint="eastAsia" w:hAnsi="宋体" w:cs="宋体"/>
          <w:color w:val="auto"/>
          <w:sz w:val="24"/>
          <w:szCs w:val="24"/>
          <w:highlight w:val="none"/>
          <w:lang w:val="en-US" w:eastAsia="zh-CN"/>
        </w:rPr>
        <w:t>5</w:t>
      </w:r>
      <w:r>
        <w:rPr>
          <w:rFonts w:hint="eastAsia" w:hAnsi="宋体" w:cs="宋体"/>
          <w:color w:val="auto"/>
          <w:sz w:val="24"/>
          <w:szCs w:val="24"/>
          <w:highlight w:val="none"/>
        </w:rPr>
        <w:t>年</w:t>
      </w:r>
      <w:r>
        <w:rPr>
          <w:rFonts w:hint="eastAsia" w:hAnsi="宋体" w:cs="宋体"/>
          <w:color w:val="auto"/>
          <w:sz w:val="24"/>
          <w:szCs w:val="24"/>
          <w:highlight w:val="none"/>
          <w:lang w:val="en-US" w:eastAsia="zh-CN"/>
        </w:rPr>
        <w:t>4</w:t>
      </w:r>
      <w:r>
        <w:rPr>
          <w:rFonts w:hint="eastAsia" w:hAnsi="宋体" w:cs="宋体"/>
          <w:color w:val="auto"/>
          <w:sz w:val="24"/>
          <w:szCs w:val="24"/>
          <w:highlight w:val="none"/>
        </w:rPr>
        <w:t>月</w:t>
      </w:r>
      <w:r>
        <w:rPr>
          <w:rFonts w:hint="eastAsia" w:hAnsi="宋体" w:cs="宋体"/>
          <w:color w:val="auto"/>
          <w:sz w:val="24"/>
          <w:szCs w:val="24"/>
          <w:highlight w:val="none"/>
          <w:lang w:val="en-US" w:eastAsia="zh-CN"/>
        </w:rPr>
        <w:t>18</w:t>
      </w:r>
      <w:r>
        <w:rPr>
          <w:rFonts w:hint="eastAsia" w:hAnsi="宋体" w:cs="宋体"/>
          <w:color w:val="auto"/>
          <w:sz w:val="24"/>
          <w:szCs w:val="24"/>
          <w:highlight w:val="none"/>
        </w:rPr>
        <w:t>日 9：00至 202</w:t>
      </w:r>
      <w:r>
        <w:rPr>
          <w:rFonts w:hint="eastAsia" w:hAnsi="宋体" w:cs="宋体"/>
          <w:color w:val="auto"/>
          <w:sz w:val="24"/>
          <w:szCs w:val="24"/>
          <w:highlight w:val="none"/>
          <w:lang w:val="en-US" w:eastAsia="zh-CN"/>
        </w:rPr>
        <w:t>5</w:t>
      </w:r>
      <w:r>
        <w:rPr>
          <w:rFonts w:hint="eastAsia" w:hAnsi="宋体" w:cs="宋体"/>
          <w:color w:val="auto"/>
          <w:sz w:val="24"/>
          <w:szCs w:val="24"/>
          <w:highlight w:val="none"/>
        </w:rPr>
        <w:t>年</w:t>
      </w:r>
      <w:r>
        <w:rPr>
          <w:rFonts w:hint="eastAsia" w:hAnsi="宋体" w:cs="宋体"/>
          <w:color w:val="auto"/>
          <w:sz w:val="24"/>
          <w:szCs w:val="24"/>
          <w:highlight w:val="none"/>
          <w:lang w:val="en-US" w:eastAsia="zh-CN"/>
        </w:rPr>
        <w:t>4</w:t>
      </w:r>
      <w:r>
        <w:rPr>
          <w:rFonts w:hint="eastAsia" w:hAnsi="宋体" w:cs="宋体"/>
          <w:color w:val="auto"/>
          <w:sz w:val="24"/>
          <w:szCs w:val="24"/>
          <w:highlight w:val="none"/>
        </w:rPr>
        <w:t>月</w:t>
      </w:r>
      <w:r>
        <w:rPr>
          <w:rFonts w:hint="eastAsia" w:hAnsi="宋体" w:cs="宋体"/>
          <w:color w:val="auto"/>
          <w:sz w:val="24"/>
          <w:szCs w:val="24"/>
          <w:highlight w:val="none"/>
          <w:lang w:val="en-US" w:eastAsia="zh-CN"/>
        </w:rPr>
        <w:t>24</w:t>
      </w:r>
      <w:r>
        <w:rPr>
          <w:rFonts w:hint="eastAsia" w:hAnsi="宋体" w:cs="宋体"/>
          <w:color w:val="auto"/>
          <w:sz w:val="24"/>
          <w:szCs w:val="24"/>
          <w:highlight w:val="none"/>
        </w:rPr>
        <w:t>日17:30(工作时间)递交到重庆医科大学附属口腔医院(重庆渝北区松石北路426号)综合楼</w:t>
      </w:r>
      <w:r>
        <w:rPr>
          <w:rFonts w:hint="eastAsia" w:hAnsi="宋体" w:cs="宋体"/>
          <w:color w:val="auto"/>
          <w:sz w:val="24"/>
          <w:szCs w:val="24"/>
          <w:highlight w:val="none"/>
          <w:lang w:eastAsia="zh-CN"/>
        </w:rPr>
        <w:t>七楼审计科</w:t>
      </w:r>
      <w:r>
        <w:rPr>
          <w:rFonts w:hint="eastAsia" w:hAnsi="宋体" w:cs="宋体"/>
          <w:color w:val="auto"/>
          <w:sz w:val="24"/>
          <w:szCs w:val="24"/>
          <w:highlight w:val="none"/>
        </w:rPr>
        <w:t>（须密封盖章）。邮寄标书的以快递送达口腔医院并签收的日期为准（收件人：</w:t>
      </w:r>
      <w:r>
        <w:rPr>
          <w:rFonts w:hint="eastAsia" w:hAnsi="宋体" w:cs="宋体"/>
          <w:color w:val="auto"/>
          <w:sz w:val="24"/>
          <w:szCs w:val="24"/>
          <w:highlight w:val="none"/>
          <w:lang w:eastAsia="zh-CN"/>
        </w:rPr>
        <w:t>审计科</w:t>
      </w:r>
      <w:r>
        <w:rPr>
          <w:rFonts w:hint="eastAsia" w:hAnsi="宋体" w:cs="宋体"/>
          <w:color w:val="auto"/>
          <w:sz w:val="24"/>
          <w:szCs w:val="24"/>
          <w:highlight w:val="none"/>
        </w:rPr>
        <w:t xml:space="preserve"> </w:t>
      </w:r>
      <w:r>
        <w:rPr>
          <w:rFonts w:hint="eastAsia" w:hAnsi="宋体" w:cs="宋体"/>
          <w:color w:val="auto"/>
          <w:sz w:val="24"/>
          <w:szCs w:val="24"/>
          <w:highlight w:val="none"/>
          <w:lang w:eastAsia="zh-CN"/>
        </w:rPr>
        <w:t>李</w:t>
      </w:r>
      <w:r>
        <w:rPr>
          <w:rFonts w:hint="eastAsia" w:hAnsi="宋体" w:cs="宋体"/>
          <w:color w:val="auto"/>
          <w:sz w:val="24"/>
          <w:szCs w:val="24"/>
          <w:highlight w:val="none"/>
        </w:rPr>
        <w:t xml:space="preserve">老师 </w:t>
      </w:r>
      <w:r>
        <w:rPr>
          <w:rFonts w:hint="eastAsia" w:hAnsi="宋体" w:cs="宋体"/>
          <w:color w:val="auto"/>
          <w:sz w:val="24"/>
          <w:szCs w:val="24"/>
          <w:highlight w:val="none"/>
        </w:rPr>
        <w:t>88602318</w:t>
      </w:r>
      <w:r>
        <w:rPr>
          <w:rFonts w:hint="eastAsia" w:hAnsi="宋体" w:cs="宋体"/>
          <w:color w:val="auto"/>
          <w:sz w:val="24"/>
          <w:szCs w:val="24"/>
          <w:highlight w:val="none"/>
        </w:rPr>
        <w:t>）。逾期送达的</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，将不予受理。</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（五）</w:t>
      </w:r>
      <w:bookmarkStart w:id="16" w:name="OLE_LINK8"/>
      <w:r>
        <w:rPr>
          <w:rFonts w:hint="eastAsia" w:hAnsi="宋体" w:cs="宋体"/>
          <w:color w:val="auto"/>
          <w:sz w:val="24"/>
          <w:szCs w:val="24"/>
          <w:highlight w:val="none"/>
          <w:lang w:eastAsia="zh-CN"/>
        </w:rPr>
        <w:t>比选</w:t>
      </w:r>
      <w:r>
        <w:rPr>
          <w:rFonts w:hint="eastAsia" w:hAnsi="宋体" w:cs="宋体"/>
          <w:color w:val="auto"/>
          <w:sz w:val="24"/>
          <w:szCs w:val="24"/>
          <w:highlight w:val="none"/>
        </w:rPr>
        <w:t>时间：202</w:t>
      </w:r>
      <w:r>
        <w:rPr>
          <w:rFonts w:hint="eastAsia" w:hAnsi="宋体" w:cs="宋体"/>
          <w:color w:val="auto"/>
          <w:sz w:val="24"/>
          <w:szCs w:val="24"/>
          <w:highlight w:val="none"/>
          <w:lang w:val="en-US" w:eastAsia="zh-CN"/>
        </w:rPr>
        <w:t>5</w:t>
      </w:r>
      <w:r>
        <w:rPr>
          <w:rFonts w:hint="eastAsia" w:hAnsi="宋体" w:cs="宋体"/>
          <w:color w:val="auto"/>
          <w:sz w:val="24"/>
          <w:szCs w:val="24"/>
          <w:highlight w:val="none"/>
        </w:rPr>
        <w:t>年</w:t>
      </w:r>
      <w:r>
        <w:rPr>
          <w:rFonts w:hint="eastAsia" w:hAnsi="宋体" w:cs="宋体"/>
          <w:color w:val="auto"/>
          <w:sz w:val="24"/>
          <w:szCs w:val="24"/>
          <w:highlight w:val="none"/>
          <w:lang w:val="en-US" w:eastAsia="zh-CN"/>
        </w:rPr>
        <w:t xml:space="preserve"> </w:t>
      </w:r>
      <w:r>
        <w:rPr>
          <w:rFonts w:hint="eastAsia" w:hAnsi="宋体" w:cs="宋体"/>
          <w:color w:val="auto"/>
          <w:sz w:val="24"/>
          <w:szCs w:val="24"/>
          <w:highlight w:val="none"/>
        </w:rPr>
        <w:t>月 日9:30（</w:t>
      </w:r>
      <w:r>
        <w:rPr>
          <w:rFonts w:hint="eastAsia" w:hAnsi="宋体" w:cs="宋体"/>
          <w:color w:val="auto"/>
          <w:sz w:val="24"/>
          <w:szCs w:val="24"/>
          <w:highlight w:val="none"/>
          <w:lang w:eastAsia="zh-CN"/>
        </w:rPr>
        <w:t>待</w:t>
      </w:r>
      <w:r>
        <w:rPr>
          <w:rFonts w:hint="eastAsia" w:hAnsi="宋体" w:cs="宋体"/>
          <w:color w:val="auto"/>
          <w:sz w:val="24"/>
          <w:szCs w:val="24"/>
          <w:highlight w:val="none"/>
        </w:rPr>
        <w:t>定），具体评审时间及地点由医院确定，</w:t>
      </w:r>
      <w:r>
        <w:rPr>
          <w:rFonts w:hint="eastAsia" w:hAnsi="宋体" w:cs="宋体"/>
          <w:color w:val="auto"/>
          <w:sz w:val="24"/>
          <w:szCs w:val="24"/>
          <w:highlight w:val="none"/>
        </w:rPr>
        <w:t>投标人无须参加</w:t>
      </w:r>
      <w:r>
        <w:rPr>
          <w:rFonts w:hint="eastAsia" w:hAnsi="宋体" w:cs="宋体"/>
          <w:color w:val="auto"/>
          <w:sz w:val="24"/>
          <w:szCs w:val="24"/>
          <w:highlight w:val="none"/>
        </w:rPr>
        <w:t>。</w:t>
      </w:r>
      <w:bookmarkEnd w:id="16"/>
    </w:p>
    <w:p>
      <w:pPr>
        <w:pStyle w:val="3"/>
        <w:rPr>
          <w:color w:val="auto"/>
          <w:highlight w:val="none"/>
        </w:rPr>
      </w:pPr>
      <w:bookmarkStart w:id="17" w:name="_Toc98942877"/>
      <w:bookmarkStart w:id="18" w:name="_Toc60133133"/>
      <w:r>
        <w:rPr>
          <w:rFonts w:hint="eastAsia"/>
          <w:color w:val="auto"/>
          <w:highlight w:val="none"/>
        </w:rPr>
        <w:t>六、其它有关规定</w:t>
      </w:r>
      <w:bookmarkEnd w:id="17"/>
      <w:bookmarkEnd w:id="18"/>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（一）</w:t>
      </w:r>
      <w:r>
        <w:rPr>
          <w:rFonts w:hAnsi="宋体" w:cs="宋体"/>
          <w:color w:val="auto"/>
          <w:sz w:val="24"/>
          <w:szCs w:val="24"/>
          <w:highlight w:val="none"/>
        </w:rPr>
        <w:t>单位负责人为同一人或者存在直接控股、管理关系的不同供应商，不得参加同一合同项下的采购活动。</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（二）</w:t>
      </w:r>
      <w:r>
        <w:rPr>
          <w:rFonts w:hAnsi="宋体" w:cs="宋体"/>
          <w:color w:val="auto"/>
          <w:sz w:val="24"/>
          <w:szCs w:val="24"/>
          <w:highlight w:val="none"/>
        </w:rPr>
        <w:t>为采购项目提供整体设计、规范编制或者项目管理、监理、检测等服务的供应商，不得再参加</w:t>
      </w:r>
      <w:r>
        <w:rPr>
          <w:rFonts w:hint="eastAsia" w:hAnsi="宋体" w:cs="宋体"/>
          <w:color w:val="auto"/>
          <w:sz w:val="24"/>
          <w:szCs w:val="24"/>
          <w:highlight w:val="none"/>
        </w:rPr>
        <w:t>该采购</w:t>
      </w:r>
      <w:r>
        <w:rPr>
          <w:rFonts w:hAnsi="宋体" w:cs="宋体"/>
          <w:color w:val="auto"/>
          <w:sz w:val="24"/>
          <w:szCs w:val="24"/>
          <w:highlight w:val="none"/>
        </w:rPr>
        <w:t>项目的</w:t>
      </w:r>
      <w:r>
        <w:rPr>
          <w:rFonts w:hint="eastAsia" w:hAnsi="宋体" w:cs="宋体"/>
          <w:color w:val="auto"/>
          <w:sz w:val="24"/>
          <w:szCs w:val="24"/>
          <w:highlight w:val="none"/>
        </w:rPr>
        <w:t>其他</w:t>
      </w:r>
      <w:r>
        <w:rPr>
          <w:rFonts w:hAnsi="宋体" w:cs="宋体"/>
          <w:color w:val="auto"/>
          <w:sz w:val="24"/>
          <w:szCs w:val="24"/>
          <w:highlight w:val="none"/>
        </w:rPr>
        <w:t>采购活动。</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（三）本项目若有补遗文件一律在重庆医科大学附属口腔医院官网、中国采购招标网、和行采家上发布，请各供应商注意下载；无论供应商下载与否，均视同供应商已知晓本项目补遗文件的内容。</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（四）超过响应文件递交截止时间递交的响应文件，恕不接收。</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（五）磋商费用：无论投标结果如何，供应商参与本项目投标的所有费用均应由供应商自行承担。</w:t>
      </w:r>
    </w:p>
    <w:p>
      <w:pPr>
        <w:spacing w:line="360" w:lineRule="auto"/>
        <w:ind w:firstLine="480"/>
        <w:rPr>
          <w:rFonts w:hAnsi="宋体" w:cs="宋体"/>
          <w:color w:val="auto"/>
          <w:sz w:val="24"/>
          <w:szCs w:val="24"/>
          <w:highlight w:val="none"/>
        </w:rPr>
      </w:pPr>
      <w:r>
        <w:rPr>
          <w:rFonts w:hint="eastAsia" w:hAnsi="宋体" w:cs="宋体"/>
          <w:color w:val="auto"/>
          <w:sz w:val="24"/>
          <w:szCs w:val="24"/>
          <w:highlight w:val="none"/>
        </w:rPr>
        <w:t>（六）本项目不接受联合体参与投标。</w:t>
      </w:r>
    </w:p>
    <w:p>
      <w:pPr>
        <w:spacing w:line="360" w:lineRule="auto"/>
        <w:ind w:firstLine="480"/>
        <w:rPr>
          <w:rFonts w:hint="eastAsia" w:hAnsi="宋体" w:cs="宋体"/>
          <w:color w:val="auto"/>
          <w:sz w:val="24"/>
          <w:szCs w:val="24"/>
          <w:highlight w:val="none"/>
        </w:rPr>
      </w:pPr>
      <w:r>
        <w:rPr>
          <w:rFonts w:hint="eastAsia" w:hAnsi="宋体" w:cs="宋体"/>
          <w:color w:val="auto"/>
          <w:sz w:val="24"/>
          <w:szCs w:val="24"/>
          <w:highlight w:val="none"/>
        </w:rPr>
        <w:t>（七）</w:t>
      </w:r>
      <w:bookmarkStart w:id="19" w:name="OLE_LINK2"/>
      <w:bookmarkStart w:id="20" w:name="OLE_LINK1"/>
      <w:r>
        <w:rPr>
          <w:rFonts w:hint="eastAsia" w:hAnsi="宋体" w:cs="宋体"/>
          <w:color w:val="auto"/>
          <w:sz w:val="24"/>
          <w:szCs w:val="24"/>
          <w:highlight w:val="none"/>
        </w:rPr>
        <w:t>按照《财政部关于在政府采购活动中查询及使用信用记录有关问题的通知》财库〔2016〕125号，供应商列入失信被执行人、重大税收违法案件当事人名单、政府采购严重违法失信行为记录名单及其他不符合《中华人民共和国政府采购法》第二十二条规定条件的</w:t>
      </w:r>
      <w:bookmarkEnd w:id="19"/>
      <w:bookmarkEnd w:id="20"/>
      <w:r>
        <w:rPr>
          <w:rFonts w:hint="eastAsia" w:hAnsi="宋体" w:cs="宋体"/>
          <w:color w:val="auto"/>
          <w:sz w:val="24"/>
          <w:szCs w:val="24"/>
          <w:highlight w:val="none"/>
        </w:rPr>
        <w:t>供应商，将拒绝其参与政府采购活动。</w:t>
      </w:r>
    </w:p>
    <w:p>
      <w:pPr>
        <w:spacing w:line="360" w:lineRule="auto"/>
        <w:ind w:firstLine="480"/>
        <w:rPr>
          <w:rFonts w:hint="eastAsia" w:hAnsi="宋体" w:cs="宋体"/>
          <w:color w:val="auto"/>
          <w:sz w:val="24"/>
          <w:szCs w:val="24"/>
          <w:highlight w:val="none"/>
          <w:lang w:val="en-US" w:eastAsia="zh-CN"/>
        </w:rPr>
      </w:pPr>
      <w:r>
        <w:rPr>
          <w:rFonts w:hint="eastAsia" w:hAnsi="宋体" w:cs="宋体"/>
          <w:color w:val="auto"/>
          <w:sz w:val="24"/>
          <w:szCs w:val="24"/>
          <w:highlight w:val="none"/>
          <w:lang w:eastAsia="zh-CN"/>
        </w:rPr>
        <w:t>（八）根据</w:t>
      </w:r>
      <w:r>
        <w:rPr>
          <w:rFonts w:hint="eastAsia" w:hAnsi="宋体" w:cs="宋体"/>
          <w:color w:val="auto"/>
          <w:sz w:val="24"/>
          <w:szCs w:val="24"/>
          <w:highlight w:val="none"/>
          <w:lang w:val="en-US" w:eastAsia="zh-CN"/>
        </w:rPr>
        <w:t>《政府采购货物和服务招标投标管理办法》（财政部令第87号）中第三十一条规定，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按照竞争性比选文件规定的方式确定一个投标人获得中标人推荐资格，竞争性比选文件未规定的采取随机抽取方式确定，其他同品牌投标人不作为中标候选人。</w:t>
      </w:r>
    </w:p>
    <w:p>
      <w:pPr>
        <w:spacing w:line="360" w:lineRule="auto"/>
        <w:ind w:firstLine="480"/>
        <w:rPr>
          <w:rFonts w:hint="eastAsia" w:hAnsi="宋体" w:eastAsia="宋体" w:cs="宋体"/>
          <w:color w:val="auto"/>
          <w:sz w:val="24"/>
          <w:szCs w:val="24"/>
          <w:highlight w:val="none"/>
          <w:lang w:eastAsia="zh-CN"/>
        </w:rPr>
      </w:pPr>
      <w:r>
        <w:rPr>
          <w:rFonts w:hint="eastAsia" w:ascii="宋体" w:hAnsi="宋体" w:eastAsia="宋体" w:cs="宋体"/>
          <w:bCs w:val="0"/>
          <w:color w:val="auto"/>
          <w:kern w:val="0"/>
          <w:sz w:val="24"/>
          <w:szCs w:val="24"/>
          <w:highlight w:val="none"/>
          <w:lang w:val="en-US" w:eastAsia="zh-CN" w:bidi="ar-SA"/>
        </w:rPr>
        <w:t>采用最低评标价法的采购项目，提供相同品牌产品的不同投标人参加同一合同项下投标的，以其中通过资格审查、符合性审查且报价最低的参加评标；报价相同的，由采购人或者采购人委托评标委员会按照</w:t>
      </w:r>
      <w:r>
        <w:rPr>
          <w:rFonts w:hint="eastAsia" w:hAnsi="宋体" w:cs="宋体"/>
          <w:bCs w:val="0"/>
          <w:color w:val="auto"/>
          <w:kern w:val="0"/>
          <w:sz w:val="24"/>
          <w:szCs w:val="24"/>
          <w:highlight w:val="none"/>
          <w:lang w:val="en-US" w:eastAsia="zh-CN" w:bidi="ar-SA"/>
        </w:rPr>
        <w:t>竞争性比选文件</w:t>
      </w:r>
      <w:r>
        <w:rPr>
          <w:rFonts w:hint="eastAsia" w:ascii="宋体" w:hAnsi="宋体" w:eastAsia="宋体" w:cs="宋体"/>
          <w:bCs w:val="0"/>
          <w:color w:val="auto"/>
          <w:kern w:val="0"/>
          <w:sz w:val="24"/>
          <w:szCs w:val="24"/>
          <w:highlight w:val="none"/>
          <w:lang w:val="en-US" w:eastAsia="zh-CN" w:bidi="ar-SA"/>
        </w:rPr>
        <w:t>规定的方式确定一个参加评标的投标人，</w:t>
      </w:r>
      <w:r>
        <w:rPr>
          <w:rFonts w:hint="eastAsia" w:hAnsi="宋体" w:cs="宋体"/>
          <w:bCs w:val="0"/>
          <w:color w:val="auto"/>
          <w:kern w:val="0"/>
          <w:sz w:val="24"/>
          <w:szCs w:val="24"/>
          <w:highlight w:val="none"/>
          <w:lang w:val="en-US" w:eastAsia="zh-CN" w:bidi="ar-SA"/>
        </w:rPr>
        <w:t>竞争性比选文件</w:t>
      </w:r>
      <w:r>
        <w:rPr>
          <w:rFonts w:hint="eastAsia" w:ascii="宋体" w:hAnsi="宋体" w:eastAsia="宋体" w:cs="宋体"/>
          <w:bCs w:val="0"/>
          <w:color w:val="auto"/>
          <w:kern w:val="0"/>
          <w:sz w:val="24"/>
          <w:szCs w:val="24"/>
          <w:highlight w:val="none"/>
          <w:lang w:val="en-US" w:eastAsia="zh-CN" w:bidi="ar-SA"/>
        </w:rPr>
        <w:t>未规定的采取随机抽取方式确定，其他投标无效。</w:t>
      </w:r>
    </w:p>
    <w:p>
      <w:pPr>
        <w:pStyle w:val="3"/>
        <w:rPr>
          <w:color w:val="auto"/>
          <w:highlight w:val="none"/>
        </w:rPr>
      </w:pPr>
      <w:bookmarkStart w:id="21" w:name="_Toc98942878"/>
      <w:r>
        <w:rPr>
          <w:rFonts w:hint="eastAsia"/>
          <w:color w:val="auto"/>
          <w:highlight w:val="none"/>
        </w:rPr>
        <w:t>七、联系方式</w:t>
      </w:r>
      <w:bookmarkEnd w:id="21"/>
    </w:p>
    <w:p>
      <w:pPr>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 xml:space="preserve">单位名称：重庆医科大学附属口腔医院 </w:t>
      </w:r>
    </w:p>
    <w:p>
      <w:pPr>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地址：</w:t>
      </w:r>
      <w:bookmarkStart w:id="22" w:name="OLE_LINK9"/>
      <w:r>
        <w:rPr>
          <w:rFonts w:hint="eastAsia" w:hAnsi="宋体" w:cs="宋体"/>
          <w:color w:val="auto"/>
          <w:sz w:val="24"/>
          <w:szCs w:val="24"/>
          <w:highlight w:val="none"/>
        </w:rPr>
        <w:t>重庆市渝北区松石北路426号</w:t>
      </w:r>
      <w:bookmarkEnd w:id="22"/>
      <w:r>
        <w:rPr>
          <w:rFonts w:hint="eastAsia" w:hAnsi="宋体" w:cs="宋体"/>
          <w:color w:val="auto"/>
          <w:sz w:val="24"/>
          <w:szCs w:val="24"/>
          <w:highlight w:val="none"/>
        </w:rPr>
        <w:t xml:space="preserve">  邮编：  401147</w:t>
      </w:r>
    </w:p>
    <w:p>
      <w:pPr>
        <w:spacing w:line="360" w:lineRule="auto"/>
        <w:rPr>
          <w:rFonts w:hAnsi="宋体" w:cs="宋体"/>
          <w:color w:val="auto"/>
          <w:sz w:val="24"/>
          <w:szCs w:val="24"/>
          <w:highlight w:val="none"/>
        </w:rPr>
      </w:pPr>
      <w:r>
        <w:rPr>
          <w:rFonts w:hint="eastAsia" w:hAnsi="宋体" w:cs="宋体"/>
          <w:color w:val="auto"/>
          <w:sz w:val="24"/>
          <w:szCs w:val="24"/>
          <w:highlight w:val="none"/>
        </w:rPr>
        <w:t xml:space="preserve">    电话： 023- 88860001       </w:t>
      </w:r>
      <w:r>
        <w:rPr>
          <w:rFonts w:hint="eastAsia" w:hAnsi="宋体" w:cs="宋体"/>
          <w:color w:val="auto"/>
          <w:sz w:val="24"/>
          <w:szCs w:val="24"/>
          <w:highlight w:val="none"/>
        </w:rPr>
        <w:t>88602318</w:t>
      </w:r>
      <w:r>
        <w:rPr>
          <w:rFonts w:hint="eastAsia" w:hAnsi="宋体" w:cs="宋体"/>
          <w:color w:val="auto"/>
          <w:sz w:val="24"/>
          <w:szCs w:val="24"/>
          <w:highlight w:val="none"/>
        </w:rPr>
        <w:t>（监督）       传真：023-88860222</w:t>
      </w:r>
    </w:p>
    <w:p>
      <w:pPr>
        <w:spacing w:line="360" w:lineRule="auto"/>
        <w:rPr>
          <w:rFonts w:hAnsi="宋体" w:cs="宋体"/>
          <w:color w:val="auto"/>
          <w:sz w:val="24"/>
          <w:szCs w:val="24"/>
          <w:highlight w:val="none"/>
        </w:rPr>
      </w:pPr>
      <w:r>
        <w:rPr>
          <w:rFonts w:hint="eastAsia" w:hAnsi="宋体" w:cs="宋体"/>
          <w:color w:val="auto"/>
          <w:sz w:val="24"/>
          <w:szCs w:val="24"/>
          <w:highlight w:val="none"/>
        </w:rPr>
        <w:t xml:space="preserve">    联系人：陈老师        </w:t>
      </w:r>
      <w:r>
        <w:rPr>
          <w:rFonts w:hint="eastAsia" w:hAnsi="宋体" w:cs="宋体"/>
          <w:color w:val="auto"/>
          <w:sz w:val="24"/>
          <w:szCs w:val="24"/>
          <w:highlight w:val="none"/>
          <w:lang w:eastAsia="zh-CN"/>
        </w:rPr>
        <w:t>李</w:t>
      </w:r>
      <w:r>
        <w:rPr>
          <w:rFonts w:hint="eastAsia" w:hAnsi="宋体" w:cs="宋体"/>
          <w:color w:val="auto"/>
          <w:sz w:val="24"/>
          <w:szCs w:val="24"/>
          <w:highlight w:val="none"/>
        </w:rPr>
        <w:t>老师（监督）</w:t>
      </w:r>
      <w:bookmarkEnd w:id="112"/>
    </w:p>
    <w:p>
      <w:pPr>
        <w:rPr>
          <w:color w:val="auto"/>
          <w:highlight w:val="none"/>
        </w:rPr>
        <w:sectPr>
          <w:headerReference r:id="rId3" w:type="default"/>
          <w:footerReference r:id="rId4" w:type="default"/>
          <w:pgSz w:w="11907" w:h="16840"/>
          <w:pgMar w:top="1440" w:right="1275" w:bottom="993" w:left="1134" w:header="851" w:footer="777" w:gutter="0"/>
          <w:cols w:space="720" w:num="1"/>
          <w:docGrid w:linePitch="312" w:charSpace="0"/>
        </w:sectPr>
      </w:pPr>
    </w:p>
    <w:p>
      <w:pPr>
        <w:rPr>
          <w:color w:val="auto"/>
          <w:highlight w:val="none"/>
        </w:rPr>
      </w:pPr>
    </w:p>
    <w:p>
      <w:pPr>
        <w:pStyle w:val="2"/>
        <w:spacing w:line="360" w:lineRule="auto"/>
        <w:rPr>
          <w:rFonts w:ascii="宋体" w:hAnsi="宋体" w:eastAsia="宋体" w:cs="宋体"/>
          <w:color w:val="auto"/>
          <w:highlight w:val="none"/>
        </w:rPr>
      </w:pPr>
      <w:bookmarkStart w:id="23" w:name="_Toc98942879"/>
      <w:bookmarkStart w:id="24" w:name="_Toc19113857"/>
      <w:r>
        <w:rPr>
          <w:rFonts w:hint="eastAsia" w:ascii="宋体" w:hAnsi="宋体" w:eastAsia="宋体" w:cs="宋体"/>
          <w:color w:val="auto"/>
          <w:highlight w:val="none"/>
        </w:rPr>
        <w:t>第二篇 项目技术要求</w:t>
      </w:r>
      <w:bookmarkEnd w:id="23"/>
      <w:bookmarkEnd w:id="24"/>
    </w:p>
    <w:p>
      <w:pPr>
        <w:pStyle w:val="3"/>
        <w:rPr>
          <w:color w:val="auto"/>
          <w:highlight w:val="none"/>
        </w:rPr>
      </w:pPr>
      <w:bookmarkStart w:id="25" w:name="_Toc98942880"/>
      <w:bookmarkStart w:id="26" w:name="_Toc98942882"/>
      <w:bookmarkStart w:id="27" w:name="_Toc19113858"/>
      <w:bookmarkStart w:id="28" w:name="_Toc267320049"/>
      <w:r>
        <w:rPr>
          <w:rFonts w:hint="eastAsia"/>
          <w:color w:val="auto"/>
          <w:highlight w:val="none"/>
        </w:rPr>
        <w:t>一、</w:t>
      </w:r>
      <w:r>
        <w:rPr>
          <w:rFonts w:hint="eastAsia"/>
          <w:color w:val="auto"/>
          <w:highlight w:val="none"/>
          <w:lang w:eastAsia="zh-CN"/>
        </w:rPr>
        <w:t>采购</w:t>
      </w:r>
      <w:r>
        <w:rPr>
          <w:rFonts w:hint="eastAsia"/>
          <w:color w:val="auto"/>
          <w:highlight w:val="none"/>
        </w:rPr>
        <w:t>项目一览表</w:t>
      </w:r>
      <w:bookmarkEnd w:id="25"/>
    </w:p>
    <w:tbl>
      <w:tblPr>
        <w:tblStyle w:val="13"/>
        <w:tblW w:w="4993"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70"/>
        <w:gridCol w:w="3072"/>
        <w:gridCol w:w="1128"/>
        <w:gridCol w:w="1079"/>
        <w:gridCol w:w="30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序号</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产品名称</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单位</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数量</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办公桌+文件柜</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m²</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92.6</w:t>
            </w:r>
          </w:p>
        </w:tc>
        <w:tc>
          <w:tcPr>
            <w:tcW w:w="15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eastAsia="zh-CN"/>
              </w:rPr>
            </w:pPr>
            <w:r>
              <w:rPr>
                <w:rFonts w:hint="eastAsia" w:hAnsi="宋体" w:cs="宋体"/>
                <w:i w:val="0"/>
                <w:iCs w:val="0"/>
                <w:color w:val="auto"/>
                <w:sz w:val="20"/>
                <w:szCs w:val="20"/>
                <w:highlight w:val="none"/>
                <w:u w:val="none"/>
                <w:lang w:eastAsia="zh-CN"/>
              </w:rPr>
              <w:t>办公桌：</w:t>
            </w:r>
            <w:r>
              <w:rPr>
                <w:rFonts w:hint="eastAsia" w:hAnsi="宋体" w:cs="宋体"/>
                <w:i w:val="0"/>
                <w:iCs w:val="0"/>
                <w:color w:val="auto"/>
                <w:sz w:val="20"/>
                <w:szCs w:val="20"/>
                <w:highlight w:val="none"/>
                <w:u w:val="none"/>
                <w:lang w:val="en-US" w:eastAsia="zh-CN"/>
              </w:rPr>
              <w:t>按长1600mm（</w:t>
            </w:r>
            <w:r>
              <w:rPr>
                <w:rFonts w:ascii="宋体" w:hAnsi="宋体"/>
                <w:color w:val="auto"/>
                <w:sz w:val="18"/>
                <w:szCs w:val="18"/>
                <w:highlight w:val="none"/>
                <w:lang w:bidi="ar"/>
              </w:rPr>
              <w:t>±</w:t>
            </w:r>
            <w:r>
              <w:rPr>
                <w:rFonts w:hint="eastAsia" w:ascii="宋体" w:hAnsi="宋体"/>
                <w:color w:val="auto"/>
                <w:sz w:val="18"/>
                <w:szCs w:val="18"/>
                <w:highlight w:val="none"/>
                <w:lang w:val="en-US" w:eastAsia="zh-CN" w:bidi="ar"/>
              </w:rPr>
              <w:t>50</w:t>
            </w:r>
            <w:r>
              <w:rPr>
                <w:rFonts w:hint="eastAsia" w:hAnsi="宋体" w:cs="宋体"/>
                <w:i w:val="0"/>
                <w:iCs w:val="0"/>
                <w:color w:val="auto"/>
                <w:sz w:val="20"/>
                <w:szCs w:val="20"/>
                <w:highlight w:val="none"/>
                <w:u w:val="none"/>
                <w:lang w:val="en-US" w:eastAsia="zh-CN"/>
              </w:rPr>
              <w:t>）*宽1000（</w:t>
            </w:r>
            <w:r>
              <w:rPr>
                <w:rFonts w:ascii="宋体" w:hAnsi="宋体"/>
                <w:color w:val="auto"/>
                <w:sz w:val="18"/>
                <w:szCs w:val="18"/>
                <w:highlight w:val="none"/>
                <w:lang w:bidi="ar"/>
              </w:rPr>
              <w:t>±</w:t>
            </w:r>
            <w:r>
              <w:rPr>
                <w:rFonts w:hint="eastAsia" w:ascii="宋体" w:hAnsi="宋体"/>
                <w:color w:val="auto"/>
                <w:sz w:val="18"/>
                <w:szCs w:val="18"/>
                <w:highlight w:val="none"/>
                <w:lang w:val="en-US" w:eastAsia="zh-CN" w:bidi="ar"/>
              </w:rPr>
              <w:t>50</w:t>
            </w:r>
            <w:r>
              <w:rPr>
                <w:rFonts w:hint="eastAsia" w:hAnsi="宋体" w:cs="宋体"/>
                <w:i w:val="0"/>
                <w:iCs w:val="0"/>
                <w:color w:val="auto"/>
                <w:sz w:val="20"/>
                <w:szCs w:val="20"/>
                <w:highlight w:val="none"/>
                <w:u w:val="none"/>
                <w:lang w:val="en-US" w:eastAsia="zh-CN"/>
              </w:rPr>
              <w:t>）投影面积预估；文件柜：按实际长度*高2200mm（</w:t>
            </w:r>
            <w:r>
              <w:rPr>
                <w:rFonts w:ascii="宋体" w:hAnsi="宋体"/>
                <w:color w:val="auto"/>
                <w:sz w:val="18"/>
                <w:szCs w:val="18"/>
                <w:highlight w:val="none"/>
                <w:lang w:bidi="ar"/>
              </w:rPr>
              <w:t>±</w:t>
            </w:r>
            <w:r>
              <w:rPr>
                <w:rFonts w:hint="eastAsia" w:ascii="宋体" w:hAnsi="宋体"/>
                <w:color w:val="auto"/>
                <w:sz w:val="18"/>
                <w:szCs w:val="18"/>
                <w:highlight w:val="none"/>
                <w:lang w:val="en-US" w:eastAsia="zh-CN" w:bidi="ar"/>
              </w:rPr>
              <w:t>50</w:t>
            </w:r>
            <w:r>
              <w:rPr>
                <w:rFonts w:hint="eastAsia" w:hAnsi="宋体" w:cs="宋体"/>
                <w:i w:val="0"/>
                <w:iCs w:val="0"/>
                <w:color w:val="auto"/>
                <w:sz w:val="20"/>
                <w:szCs w:val="20"/>
                <w:highlight w:val="none"/>
                <w:u w:val="none"/>
                <w:lang w:val="en-US" w:eastAsia="zh-CN"/>
              </w:rPr>
              <w:t>）预估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操作台（含活动抽屉柜）</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47.5</w:t>
            </w:r>
          </w:p>
        </w:tc>
        <w:tc>
          <w:tcPr>
            <w:tcW w:w="15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kern w:val="0"/>
                <w:sz w:val="20"/>
                <w:szCs w:val="20"/>
                <w:highlight w:val="none"/>
                <w:u w:val="none"/>
                <w:lang w:val="en-US" w:eastAsia="zh-CN" w:bidi="ar"/>
              </w:rPr>
              <w:t>按长度预估。</w:t>
            </w:r>
            <w:r>
              <w:rPr>
                <w:rFonts w:hint="eastAsia" w:ascii="宋体" w:hAnsi="宋体" w:eastAsia="宋体" w:cs="宋体"/>
                <w:i w:val="0"/>
                <w:iCs w:val="0"/>
                <w:color w:val="auto"/>
                <w:kern w:val="0"/>
                <w:sz w:val="20"/>
                <w:szCs w:val="20"/>
                <w:highlight w:val="none"/>
                <w:u w:val="none"/>
                <w:lang w:val="en-US" w:eastAsia="zh-CN" w:bidi="ar"/>
              </w:rPr>
              <w:t>含</w:t>
            </w:r>
            <w:r>
              <w:rPr>
                <w:rFonts w:hint="eastAsia" w:hAnsi="宋体" w:cs="宋体"/>
                <w:i w:val="0"/>
                <w:iCs w:val="0"/>
                <w:color w:val="auto"/>
                <w:kern w:val="0"/>
                <w:sz w:val="20"/>
                <w:szCs w:val="20"/>
                <w:highlight w:val="none"/>
                <w:u w:val="none"/>
                <w:lang w:val="en-US" w:eastAsia="zh-CN" w:bidi="ar"/>
              </w:rPr>
              <w:t>石材台面及</w:t>
            </w:r>
            <w:r>
              <w:rPr>
                <w:rFonts w:hint="eastAsia" w:ascii="宋体" w:hAnsi="宋体" w:eastAsia="宋体" w:cs="宋体"/>
                <w:i w:val="0"/>
                <w:iCs w:val="0"/>
                <w:color w:val="auto"/>
                <w:kern w:val="0"/>
                <w:sz w:val="20"/>
                <w:szCs w:val="20"/>
                <w:highlight w:val="none"/>
                <w:u w:val="none"/>
                <w:lang w:val="en-US" w:eastAsia="zh-CN" w:bidi="ar"/>
              </w:rPr>
              <w:t>活动抽屉柜17个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3</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操作台吊柜</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48.68</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auto"/>
                <w:sz w:val="20"/>
                <w:szCs w:val="20"/>
                <w:highlight w:val="none"/>
                <w:u w:val="none"/>
                <w:lang w:val="en-US" w:eastAsia="zh-CN"/>
              </w:rPr>
            </w:pPr>
            <w:r>
              <w:rPr>
                <w:rFonts w:hint="eastAsia" w:hAnsi="宋体" w:cs="宋体"/>
                <w:i w:val="0"/>
                <w:iCs w:val="0"/>
                <w:color w:val="auto"/>
                <w:sz w:val="20"/>
                <w:szCs w:val="20"/>
                <w:highlight w:val="none"/>
                <w:u w:val="none"/>
                <w:lang w:val="en-US" w:eastAsia="zh-CN"/>
              </w:rPr>
              <w:t>按长度预估。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4</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地柜台</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rPr>
            </w:pPr>
            <w:r>
              <w:rPr>
                <w:rFonts w:hint="eastAsia" w:hAnsi="宋体" w:cs="宋体"/>
                <w:i w:val="0"/>
                <w:iCs w:val="0"/>
                <w:color w:val="auto"/>
                <w:kern w:val="0"/>
                <w:sz w:val="20"/>
                <w:szCs w:val="20"/>
                <w:highlight w:val="none"/>
                <w:u w:val="none"/>
                <w:lang w:val="en-US" w:eastAsia="zh-CN" w:bidi="ar"/>
              </w:rPr>
              <w:t>88.3</w:t>
            </w:r>
          </w:p>
        </w:tc>
        <w:tc>
          <w:tcPr>
            <w:tcW w:w="15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kern w:val="0"/>
                <w:sz w:val="20"/>
                <w:szCs w:val="20"/>
                <w:highlight w:val="none"/>
                <w:u w:val="none"/>
                <w:lang w:val="en-US" w:eastAsia="zh-CN" w:bidi="ar"/>
              </w:rPr>
              <w:t>按长度预估。</w:t>
            </w:r>
            <w:r>
              <w:rPr>
                <w:rFonts w:hint="eastAsia" w:ascii="宋体" w:hAnsi="宋体" w:eastAsia="宋体" w:cs="宋体"/>
                <w:i w:val="0"/>
                <w:iCs w:val="0"/>
                <w:color w:val="auto"/>
                <w:kern w:val="0"/>
                <w:sz w:val="20"/>
                <w:szCs w:val="20"/>
                <w:highlight w:val="none"/>
                <w:u w:val="none"/>
                <w:lang w:val="en-US" w:eastAsia="zh-CN" w:bidi="ar"/>
              </w:rPr>
              <w:t>含</w:t>
            </w:r>
            <w:r>
              <w:rPr>
                <w:rFonts w:hint="eastAsia" w:hAnsi="宋体" w:cs="宋体"/>
                <w:i w:val="0"/>
                <w:iCs w:val="0"/>
                <w:color w:val="auto"/>
                <w:kern w:val="0"/>
                <w:sz w:val="20"/>
                <w:szCs w:val="20"/>
                <w:highlight w:val="none"/>
                <w:u w:val="none"/>
                <w:lang w:val="en-US" w:eastAsia="zh-CN" w:bidi="ar"/>
              </w:rPr>
              <w:t>石材台面，</w:t>
            </w:r>
            <w:r>
              <w:rPr>
                <w:rFonts w:hint="eastAsia" w:ascii="宋体" w:hAnsi="宋体" w:eastAsia="宋体" w:cs="宋体"/>
                <w:i w:val="0"/>
                <w:iCs w:val="0"/>
                <w:color w:val="auto"/>
                <w:kern w:val="0"/>
                <w:sz w:val="20"/>
                <w:szCs w:val="20"/>
                <w:highlight w:val="none"/>
                <w:u w:val="none"/>
                <w:lang w:val="en-US" w:eastAsia="zh-CN" w:bidi="ar"/>
              </w:rPr>
              <w:t>需台面开孔，含活动抽屉柜2个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6</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高柜</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m²</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auto"/>
                <w:sz w:val="20"/>
                <w:szCs w:val="20"/>
                <w:highlight w:val="none"/>
                <w:u w:val="none"/>
                <w:lang w:val="en-US"/>
              </w:rPr>
            </w:pPr>
            <w:r>
              <w:rPr>
                <w:rFonts w:hint="eastAsia" w:hAnsi="宋体" w:cs="宋体"/>
                <w:i w:val="0"/>
                <w:iCs w:val="0"/>
                <w:color w:val="auto"/>
                <w:kern w:val="0"/>
                <w:sz w:val="20"/>
                <w:szCs w:val="20"/>
                <w:highlight w:val="none"/>
                <w:u w:val="none"/>
                <w:lang w:val="en-US" w:eastAsia="zh-CN" w:bidi="ar"/>
              </w:rPr>
              <w:t>32.18</w:t>
            </w:r>
          </w:p>
        </w:tc>
        <w:tc>
          <w:tcPr>
            <w:tcW w:w="157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hAnsi="宋体" w:cs="宋体"/>
                <w:i w:val="0"/>
                <w:iCs w:val="0"/>
                <w:color w:val="auto"/>
                <w:kern w:val="0"/>
                <w:sz w:val="20"/>
                <w:szCs w:val="20"/>
                <w:highlight w:val="none"/>
                <w:u w:val="none"/>
                <w:lang w:val="en-US" w:eastAsia="zh-CN" w:bidi="ar"/>
              </w:rPr>
              <w:t>按实际长度</w:t>
            </w:r>
            <w:r>
              <w:rPr>
                <w:rFonts w:hint="eastAsia" w:ascii="宋体" w:hAnsi="宋体" w:eastAsia="宋体" w:cs="宋体"/>
                <w:i w:val="0"/>
                <w:iCs w:val="0"/>
                <w:color w:val="auto"/>
                <w:kern w:val="0"/>
                <w:sz w:val="20"/>
                <w:szCs w:val="20"/>
                <w:highlight w:val="none"/>
                <w:u w:val="none"/>
                <w:lang w:val="en-US" w:eastAsia="zh-CN" w:bidi="ar"/>
              </w:rPr>
              <w:t>*</w:t>
            </w:r>
            <w:r>
              <w:rPr>
                <w:rFonts w:hint="eastAsia" w:hAnsi="宋体" w:cs="宋体"/>
                <w:i w:val="0"/>
                <w:iCs w:val="0"/>
                <w:color w:val="auto"/>
                <w:kern w:val="0"/>
                <w:sz w:val="20"/>
                <w:szCs w:val="20"/>
                <w:highlight w:val="none"/>
                <w:u w:val="none"/>
                <w:lang w:val="en-US" w:eastAsia="zh-CN" w:bidi="ar"/>
              </w:rPr>
              <w:t>2600mm</w:t>
            </w:r>
            <w:r>
              <w:rPr>
                <w:rFonts w:hint="eastAsia" w:hAnsi="宋体" w:cs="宋体"/>
                <w:i w:val="0"/>
                <w:iCs w:val="0"/>
                <w:color w:val="auto"/>
                <w:sz w:val="20"/>
                <w:szCs w:val="20"/>
                <w:highlight w:val="none"/>
                <w:u w:val="none"/>
                <w:lang w:val="en-US" w:eastAsia="zh-CN"/>
              </w:rPr>
              <w:t>（</w:t>
            </w:r>
            <w:r>
              <w:rPr>
                <w:rFonts w:ascii="宋体" w:hAnsi="宋体"/>
                <w:color w:val="auto"/>
                <w:sz w:val="18"/>
                <w:szCs w:val="18"/>
                <w:highlight w:val="none"/>
                <w:lang w:bidi="ar"/>
              </w:rPr>
              <w:t>±</w:t>
            </w:r>
            <w:r>
              <w:rPr>
                <w:rFonts w:hint="eastAsia" w:ascii="宋体" w:hAnsi="宋体"/>
                <w:color w:val="auto"/>
                <w:sz w:val="18"/>
                <w:szCs w:val="18"/>
                <w:highlight w:val="none"/>
                <w:lang w:val="en-US" w:eastAsia="zh-CN" w:bidi="ar"/>
              </w:rPr>
              <w:t>50</w:t>
            </w:r>
            <w:r>
              <w:rPr>
                <w:rFonts w:hint="eastAsia" w:hAnsi="宋体" w:cs="宋体"/>
                <w:i w:val="0"/>
                <w:iCs w:val="0"/>
                <w:color w:val="auto"/>
                <w:sz w:val="20"/>
                <w:szCs w:val="20"/>
                <w:highlight w:val="none"/>
                <w:u w:val="none"/>
                <w:lang w:val="en-US" w:eastAsia="zh-CN"/>
              </w:rPr>
              <w:t>）预估</w:t>
            </w:r>
            <w:r>
              <w:rPr>
                <w:rFonts w:hint="eastAsia" w:ascii="宋体" w:hAnsi="宋体" w:eastAsia="宋体" w:cs="宋体"/>
                <w:i w:val="0"/>
                <w:iCs w:val="0"/>
                <w:color w:val="auto"/>
                <w:kern w:val="0"/>
                <w:sz w:val="20"/>
                <w:szCs w:val="20"/>
                <w:highlight w:val="none"/>
                <w:u w:val="none"/>
                <w:lang w:val="en-US" w:eastAsia="zh-CN" w:bidi="ar"/>
              </w:rPr>
              <w:t>，</w:t>
            </w:r>
          </w:p>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其中11m内嵌LED灯带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7</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9楼主分诊台</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项</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auto"/>
                <w:sz w:val="20"/>
                <w:szCs w:val="20"/>
                <w:highlight w:val="none"/>
                <w:u w:val="none"/>
                <w:lang w:val="en-US" w:eastAsia="zh-CN"/>
              </w:rPr>
            </w:pPr>
            <w:r>
              <w:rPr>
                <w:rFonts w:hint="eastAsia" w:hAnsi="宋体" w:cs="宋体"/>
                <w:i w:val="0"/>
                <w:iCs w:val="0"/>
                <w:color w:val="auto"/>
                <w:sz w:val="20"/>
                <w:szCs w:val="20"/>
                <w:highlight w:val="none"/>
                <w:u w:val="none"/>
                <w:lang w:val="en-US" w:eastAsia="zh-CN"/>
              </w:rPr>
              <w:t>按图纸及现场自行预估尺寸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8</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分诊台1</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项</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sz w:val="20"/>
                <w:szCs w:val="20"/>
                <w:highlight w:val="none"/>
                <w:u w:val="none"/>
                <w:lang w:val="en-US" w:eastAsia="zh-CN"/>
              </w:rPr>
              <w:t>按图纸及现场自行预估尺寸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9</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分诊台2</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项</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sz w:val="20"/>
                <w:szCs w:val="20"/>
                <w:highlight w:val="none"/>
                <w:u w:val="none"/>
                <w:lang w:val="en-US" w:eastAsia="zh-CN"/>
              </w:rPr>
              <w:t>按图纸及现场自行预估尺寸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10</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茶水台</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2.8</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kern w:val="0"/>
                <w:sz w:val="20"/>
                <w:szCs w:val="20"/>
                <w:highlight w:val="none"/>
                <w:u w:val="none"/>
                <w:lang w:val="en-US" w:eastAsia="zh-CN" w:bidi="ar"/>
              </w:rPr>
              <w:t>按长度预估。</w:t>
            </w:r>
            <w:r>
              <w:rPr>
                <w:rFonts w:hint="eastAsia" w:ascii="宋体" w:hAnsi="宋体" w:eastAsia="宋体" w:cs="宋体"/>
                <w:i w:val="0"/>
                <w:iCs w:val="0"/>
                <w:color w:val="auto"/>
                <w:kern w:val="0"/>
                <w:sz w:val="20"/>
                <w:szCs w:val="20"/>
                <w:highlight w:val="none"/>
                <w:u w:val="none"/>
                <w:lang w:val="en-US" w:eastAsia="zh-CN" w:bidi="ar"/>
              </w:rPr>
              <w:t>不含消毒柜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11</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电视柜</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kern w:val="0"/>
                <w:sz w:val="20"/>
                <w:szCs w:val="20"/>
                <w:highlight w:val="none"/>
                <w:u w:val="none"/>
                <w:lang w:val="en-US" w:eastAsia="zh-CN" w:bidi="ar"/>
              </w:rPr>
              <w:t>按长度预估。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12</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沙发座垫+靠垫（2+1</w:t>
            </w:r>
            <w:r>
              <w:rPr>
                <w:rFonts w:hint="eastAsia" w:hAnsi="宋体" w:cs="宋体"/>
                <w:i w:val="0"/>
                <w:iCs w:val="0"/>
                <w:color w:val="auto"/>
                <w:kern w:val="0"/>
                <w:sz w:val="20"/>
                <w:szCs w:val="20"/>
                <w:highlight w:val="none"/>
                <w:u w:val="none"/>
                <w:lang w:val="en-US" w:eastAsia="zh-CN" w:bidi="ar"/>
              </w:rPr>
              <w:t>，3人位</w:t>
            </w:r>
            <w:r>
              <w:rPr>
                <w:rFonts w:hint="eastAsia" w:ascii="宋体" w:hAnsi="宋体" w:eastAsia="宋体" w:cs="宋体"/>
                <w:i w:val="0"/>
                <w:iCs w:val="0"/>
                <w:color w:val="auto"/>
                <w:kern w:val="0"/>
                <w:sz w:val="20"/>
                <w:szCs w:val="20"/>
                <w:highlight w:val="none"/>
                <w:u w:val="none"/>
                <w:lang w:val="en-US" w:eastAsia="zh-CN" w:bidi="ar"/>
              </w:rPr>
              <w:t>）</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套</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22</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auto"/>
                <w:sz w:val="20"/>
                <w:szCs w:val="20"/>
                <w:highlight w:val="none"/>
                <w:u w:val="none"/>
                <w:lang w:val="en-US" w:eastAsia="zh-CN"/>
              </w:rPr>
            </w:pPr>
            <w:r>
              <w:rPr>
                <w:rFonts w:hint="eastAsia" w:hAnsi="宋体" w:cs="宋体"/>
                <w:i w:val="0"/>
                <w:iCs w:val="0"/>
                <w:color w:val="auto"/>
                <w:sz w:val="20"/>
                <w:szCs w:val="20"/>
                <w:highlight w:val="none"/>
                <w:u w:val="none"/>
                <w:lang w:val="en-US" w:eastAsia="zh-CN"/>
              </w:rPr>
              <w:t>按现场情况预估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13</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活动抽屉柜</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个</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lang w:val="en-US" w:eastAsia="zh-CN"/>
              </w:rPr>
            </w:pPr>
            <w:r>
              <w:rPr>
                <w:rFonts w:hint="eastAsia" w:hAnsi="宋体" w:cs="宋体"/>
                <w:i w:val="0"/>
                <w:iCs w:val="0"/>
                <w:color w:val="auto"/>
                <w:sz w:val="20"/>
                <w:szCs w:val="20"/>
                <w:highlight w:val="none"/>
                <w:u w:val="none"/>
                <w:lang w:val="en-US" w:eastAsia="zh-CN"/>
              </w:rPr>
              <w:t>按现场情况预估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14</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卡座沙发</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项</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sz w:val="20"/>
                <w:szCs w:val="20"/>
                <w:highlight w:val="none"/>
                <w:u w:val="none"/>
                <w:lang w:val="en-US" w:eastAsia="zh-CN"/>
              </w:rPr>
              <w:t>按图纸及现场自行预估尺寸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15</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kern w:val="0"/>
                <w:sz w:val="20"/>
                <w:szCs w:val="20"/>
                <w:highlight w:val="none"/>
                <w:u w:val="none"/>
                <w:lang w:val="en-US" w:eastAsia="zh-CN" w:bidi="ar"/>
              </w:rPr>
              <w:t>圆弧形</w:t>
            </w:r>
            <w:r>
              <w:rPr>
                <w:rFonts w:hint="eastAsia" w:ascii="宋体" w:hAnsi="宋体" w:eastAsia="宋体" w:cs="宋体"/>
                <w:i w:val="0"/>
                <w:iCs w:val="0"/>
                <w:color w:val="auto"/>
                <w:kern w:val="0"/>
                <w:sz w:val="20"/>
                <w:szCs w:val="20"/>
                <w:highlight w:val="none"/>
                <w:u w:val="none"/>
                <w:lang w:val="en-US" w:eastAsia="zh-CN" w:bidi="ar"/>
              </w:rPr>
              <w:t>沙发</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个</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sz w:val="20"/>
                <w:szCs w:val="20"/>
                <w:highlight w:val="none"/>
                <w:u w:val="none"/>
                <w:lang w:val="en-US" w:eastAsia="zh-CN"/>
              </w:rPr>
              <w:t>按图纸及现场自行预估尺寸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16</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单人沙发</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个</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sz w:val="20"/>
                <w:szCs w:val="20"/>
                <w:highlight w:val="none"/>
                <w:u w:val="none"/>
                <w:lang w:val="en-US" w:eastAsia="zh-CN"/>
              </w:rPr>
              <w:t>按图纸及现场自行预估尺寸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17</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包柱沙发</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个</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sz w:val="20"/>
                <w:szCs w:val="20"/>
                <w:highlight w:val="none"/>
                <w:u w:val="none"/>
                <w:lang w:val="en-US" w:eastAsia="zh-CN"/>
              </w:rPr>
              <w:t>按图纸及现场自行预估尺寸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18</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椭圆形沙发</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项</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sz w:val="20"/>
                <w:szCs w:val="20"/>
                <w:highlight w:val="none"/>
                <w:u w:val="none"/>
                <w:lang w:val="en-US" w:eastAsia="zh-CN"/>
              </w:rPr>
              <w:t>按图纸及现场自行预估尺寸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19</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患者交流座椅</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个</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38</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rPr>
            </w:pPr>
            <w:r>
              <w:rPr>
                <w:rFonts w:hint="eastAsia" w:hAnsi="宋体" w:cs="宋体"/>
                <w:i w:val="0"/>
                <w:iCs w:val="0"/>
                <w:color w:val="auto"/>
                <w:sz w:val="20"/>
                <w:szCs w:val="20"/>
                <w:highlight w:val="none"/>
                <w:u w:val="none"/>
                <w:lang w:val="en-US" w:eastAsia="zh-CN"/>
              </w:rPr>
              <w:t>常规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吧台椅</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个</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8</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auto"/>
                <w:sz w:val="20"/>
                <w:szCs w:val="20"/>
                <w:highlight w:val="none"/>
                <w:u w:val="none"/>
                <w:lang w:val="en-US" w:eastAsia="zh-CN"/>
              </w:rPr>
            </w:pPr>
            <w:r>
              <w:rPr>
                <w:rFonts w:hint="eastAsia" w:hAnsi="宋体" w:cs="宋体"/>
                <w:i w:val="0"/>
                <w:iCs w:val="0"/>
                <w:color w:val="auto"/>
                <w:sz w:val="20"/>
                <w:szCs w:val="20"/>
                <w:highlight w:val="none"/>
                <w:u w:val="none"/>
                <w:lang w:val="en-US" w:eastAsia="zh-CN"/>
              </w:rPr>
              <w:t>常规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21</w:t>
            </w:r>
          </w:p>
        </w:tc>
        <w:tc>
          <w:tcPr>
            <w:tcW w:w="158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茶几</w:t>
            </w:r>
          </w:p>
        </w:tc>
        <w:tc>
          <w:tcPr>
            <w:tcW w:w="58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个</w:t>
            </w:r>
          </w:p>
        </w:tc>
        <w:tc>
          <w:tcPr>
            <w:tcW w:w="5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8</w:t>
            </w:r>
          </w:p>
        </w:tc>
        <w:tc>
          <w:tcPr>
            <w:tcW w:w="157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宋体" w:hAnsi="宋体" w:eastAsia="宋体" w:cs="宋体"/>
                <w:i w:val="0"/>
                <w:iCs w:val="0"/>
                <w:color w:val="auto"/>
                <w:sz w:val="20"/>
                <w:szCs w:val="20"/>
                <w:highlight w:val="none"/>
                <w:u w:val="none"/>
                <w:lang w:val="en-US" w:eastAsia="zh-CN"/>
              </w:rPr>
            </w:pPr>
            <w:r>
              <w:rPr>
                <w:rFonts w:hint="eastAsia" w:hAnsi="宋体" w:cs="宋体"/>
                <w:i w:val="0"/>
                <w:iCs w:val="0"/>
                <w:color w:val="auto"/>
                <w:sz w:val="20"/>
                <w:szCs w:val="20"/>
                <w:highlight w:val="none"/>
                <w:u w:val="none"/>
                <w:lang w:val="en-US" w:eastAsia="zh-CN"/>
              </w:rPr>
              <w:t>按图纸及现场自行预估尺寸</w:t>
            </w:r>
          </w:p>
        </w:tc>
      </w:tr>
    </w:tbl>
    <w:p>
      <w:pPr>
        <w:rPr>
          <w:rFonts w:hint="default" w:eastAsia="宋体"/>
          <w:color w:val="auto"/>
          <w:highlight w:val="none"/>
          <w:lang w:val="en-US" w:eastAsia="zh-CN"/>
        </w:rPr>
      </w:pPr>
      <w:r>
        <w:rPr>
          <w:rFonts w:hint="eastAsia" w:hAnsi="宋体" w:cs="宋体"/>
          <w:color w:val="auto"/>
          <w:sz w:val="24"/>
          <w:szCs w:val="24"/>
          <w:highlight w:val="none"/>
        </w:rPr>
        <w:t>注：名单中数量仅供参考，</w:t>
      </w:r>
      <w:r>
        <w:rPr>
          <w:rFonts w:hint="eastAsia" w:hAnsi="宋体" w:cs="宋体"/>
          <w:color w:val="auto"/>
          <w:sz w:val="24"/>
          <w:szCs w:val="24"/>
          <w:highlight w:val="none"/>
          <w:lang w:eastAsia="zh-CN"/>
        </w:rPr>
        <w:t>以深化设计后甲方签字确认方案为准，</w:t>
      </w:r>
      <w:r>
        <w:rPr>
          <w:rFonts w:hint="eastAsia" w:hAnsi="宋体" w:cs="宋体"/>
          <w:color w:val="auto"/>
          <w:sz w:val="24"/>
          <w:szCs w:val="24"/>
          <w:highlight w:val="none"/>
        </w:rPr>
        <w:t>实际验收中据实结算</w:t>
      </w:r>
      <w:r>
        <w:rPr>
          <w:rFonts w:hint="eastAsia" w:hAnsi="宋体" w:cs="宋体"/>
          <w:color w:val="auto"/>
          <w:sz w:val="24"/>
          <w:szCs w:val="24"/>
          <w:highlight w:val="none"/>
          <w:lang w:eastAsia="zh-CN"/>
        </w:rPr>
        <w:t>，详情见附表</w:t>
      </w:r>
      <w:r>
        <w:rPr>
          <w:rFonts w:hint="eastAsia" w:hAnsi="宋体" w:cs="宋体"/>
          <w:color w:val="auto"/>
          <w:sz w:val="24"/>
          <w:szCs w:val="24"/>
          <w:highlight w:val="none"/>
          <w:lang w:val="en-US" w:eastAsia="zh-CN"/>
        </w:rPr>
        <w:t>1</w:t>
      </w:r>
      <w:r>
        <w:rPr>
          <w:rFonts w:hint="eastAsia" w:hAnsi="宋体" w:cs="宋体"/>
          <w:color w:val="auto"/>
          <w:sz w:val="24"/>
          <w:szCs w:val="24"/>
          <w:highlight w:val="none"/>
          <w:lang w:val="en-US" w:eastAsia="zh-CN"/>
        </w:rPr>
        <w:t xml:space="preserve"> </w:t>
      </w:r>
    </w:p>
    <w:p>
      <w:pPr>
        <w:rPr>
          <w:color w:val="auto"/>
          <w:highlight w:val="none"/>
        </w:rPr>
      </w:pPr>
    </w:p>
    <w:p>
      <w:pPr>
        <w:pStyle w:val="3"/>
        <w:rPr>
          <w:color w:val="auto"/>
          <w:highlight w:val="none"/>
        </w:rPr>
      </w:pPr>
      <w:bookmarkStart w:id="29" w:name="_Toc98942881"/>
      <w:r>
        <w:rPr>
          <w:rFonts w:hint="eastAsia"/>
          <w:color w:val="auto"/>
          <w:highlight w:val="none"/>
        </w:rPr>
        <w:t>二、</w:t>
      </w:r>
      <w:r>
        <w:rPr>
          <w:rFonts w:hint="eastAsia"/>
          <w:color w:val="auto"/>
          <w:highlight w:val="none"/>
          <w:lang w:eastAsia="zh-CN"/>
        </w:rPr>
        <w:t>采购</w:t>
      </w:r>
      <w:r>
        <w:rPr>
          <w:rFonts w:hint="eastAsia"/>
          <w:color w:val="auto"/>
          <w:highlight w:val="none"/>
        </w:rPr>
        <w:t>项目技术</w:t>
      </w:r>
      <w:r>
        <w:rPr>
          <w:rFonts w:hint="eastAsia"/>
          <w:color w:val="auto"/>
          <w:highlight w:val="none"/>
          <w:lang w:val="en-US" w:eastAsia="zh-CN"/>
        </w:rPr>
        <w:t>/服务</w:t>
      </w:r>
      <w:r>
        <w:rPr>
          <w:rFonts w:hint="eastAsia"/>
          <w:color w:val="auto"/>
          <w:highlight w:val="none"/>
        </w:rPr>
        <w:t>要求</w:t>
      </w:r>
      <w:bookmarkEnd w:id="29"/>
    </w:p>
    <w:p>
      <w:pPr>
        <w:ind w:firstLine="424" w:firstLineChars="177"/>
        <w:rPr>
          <w:rFonts w:hint="eastAsia" w:ascii="仿宋_GB2312" w:hAnsi="仿宋_GB2312" w:eastAsia="仿宋_GB2312" w:cs="仿宋_GB2312"/>
          <w:color w:val="auto"/>
          <w:sz w:val="24"/>
          <w:szCs w:val="28"/>
          <w:highlight w:val="none"/>
        </w:rPr>
      </w:pPr>
      <w:r>
        <w:rPr>
          <w:rFonts w:hint="eastAsia" w:ascii="仿宋_GB2312" w:hAnsi="仿宋_GB2312" w:eastAsia="仿宋_GB2312" w:cs="仿宋_GB2312"/>
          <w:color w:val="auto"/>
          <w:sz w:val="24"/>
          <w:szCs w:val="28"/>
          <w:highlight w:val="none"/>
        </w:rPr>
        <w:t>1.“</w:t>
      </w:r>
      <w:r>
        <w:rPr>
          <w:color w:val="auto"/>
          <w:sz w:val="21"/>
          <w:szCs w:val="21"/>
          <w:highlight w:val="none"/>
        </w:rPr>
        <w:t>▲</w:t>
      </w:r>
      <w:r>
        <w:rPr>
          <w:rFonts w:hint="eastAsia" w:ascii="仿宋_GB2312" w:hAnsi="仿宋_GB2312" w:eastAsia="仿宋_GB2312" w:cs="仿宋_GB2312"/>
          <w:color w:val="auto"/>
          <w:sz w:val="24"/>
          <w:szCs w:val="28"/>
          <w:highlight w:val="none"/>
        </w:rPr>
        <w:t>”标注的技术需求为重要技术需求，若不满足将按照评标因素中相关规定处理；</w:t>
      </w:r>
    </w:p>
    <w:p>
      <w:pPr>
        <w:ind w:firstLine="424" w:firstLineChars="177"/>
        <w:rPr>
          <w:rFonts w:hint="eastAsia" w:ascii="仿宋_GB2312" w:hAnsi="仿宋_GB2312" w:eastAsia="仿宋_GB2312" w:cs="仿宋_GB2312"/>
          <w:color w:val="auto"/>
          <w:sz w:val="24"/>
          <w:szCs w:val="28"/>
          <w:highlight w:val="none"/>
        </w:rPr>
      </w:pPr>
      <w:r>
        <w:rPr>
          <w:rFonts w:hint="eastAsia" w:ascii="仿宋_GB2312" w:hAnsi="仿宋_GB2312" w:eastAsia="仿宋_GB2312" w:cs="仿宋_GB2312"/>
          <w:color w:val="auto"/>
          <w:sz w:val="24"/>
          <w:szCs w:val="28"/>
          <w:highlight w:val="none"/>
        </w:rPr>
        <w:t>2.“※”标注的技术需求为符合性审查中的实质性要求，</w:t>
      </w:r>
      <w:r>
        <w:rPr>
          <w:rFonts w:hint="eastAsia" w:ascii="仿宋_GB2312" w:hAnsi="仿宋_GB2312" w:eastAsia="仿宋_GB2312" w:cs="仿宋_GB2312"/>
          <w:color w:val="auto"/>
          <w:sz w:val="24"/>
          <w:szCs w:val="28"/>
          <w:highlight w:val="none"/>
          <w:lang w:eastAsia="zh-CN"/>
        </w:rPr>
        <w:t>响应文件</w:t>
      </w:r>
      <w:r>
        <w:rPr>
          <w:rFonts w:hint="eastAsia" w:ascii="仿宋_GB2312" w:hAnsi="仿宋_GB2312" w:eastAsia="仿宋_GB2312" w:cs="仿宋_GB2312"/>
          <w:color w:val="auto"/>
          <w:sz w:val="24"/>
          <w:szCs w:val="28"/>
          <w:highlight w:val="none"/>
        </w:rPr>
        <w:t>若不满足按无效投标处理；</w:t>
      </w:r>
    </w:p>
    <w:p>
      <w:pPr>
        <w:ind w:firstLine="424" w:firstLineChars="177"/>
        <w:rPr>
          <w:rFonts w:hint="eastAsia" w:ascii="仿宋_GB2312" w:hAnsi="仿宋_GB2312" w:eastAsia="仿宋_GB2312" w:cs="仿宋_GB2312"/>
          <w:color w:val="auto"/>
          <w:sz w:val="24"/>
          <w:szCs w:val="28"/>
          <w:highlight w:val="none"/>
        </w:rPr>
      </w:pPr>
      <w:r>
        <w:rPr>
          <w:rFonts w:hint="eastAsia" w:ascii="仿宋_GB2312" w:hAnsi="仿宋_GB2312" w:eastAsia="仿宋_GB2312" w:cs="仿宋_GB2312"/>
          <w:color w:val="auto"/>
          <w:sz w:val="24"/>
          <w:szCs w:val="28"/>
          <w:highlight w:val="none"/>
        </w:rPr>
        <w:t>3.应答要求有规定的须提供相应支撑材料，须按规定提供且注明投标书对应页码；</w:t>
      </w:r>
    </w:p>
    <w:tbl>
      <w:tblPr>
        <w:tblStyle w:val="13"/>
        <w:tblpPr w:leftFromText="180" w:rightFromText="180" w:vertAnchor="text" w:horzAnchor="page" w:tblpX="1140" w:tblpY="357"/>
        <w:tblOverlap w:val="never"/>
        <w:tblW w:w="4991" w:type="pct"/>
        <w:tblInd w:w="0" w:type="dxa"/>
        <w:tblLayout w:type="fixed"/>
        <w:tblCellMar>
          <w:top w:w="0" w:type="dxa"/>
          <w:left w:w="108" w:type="dxa"/>
          <w:bottom w:w="0" w:type="dxa"/>
          <w:right w:w="108" w:type="dxa"/>
        </w:tblCellMar>
      </w:tblPr>
      <w:tblGrid>
        <w:gridCol w:w="613"/>
        <w:gridCol w:w="1138"/>
        <w:gridCol w:w="617"/>
        <w:gridCol w:w="3974"/>
        <w:gridCol w:w="2700"/>
        <w:gridCol w:w="656"/>
      </w:tblGrid>
      <w:tr>
        <w:tblPrEx>
          <w:tblCellMar>
            <w:top w:w="0" w:type="dxa"/>
            <w:left w:w="108" w:type="dxa"/>
            <w:bottom w:w="0" w:type="dxa"/>
            <w:right w:w="108" w:type="dxa"/>
          </w:tblCellMar>
        </w:tblPrEx>
        <w:trPr>
          <w:trHeight w:val="330"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序号</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设备名称</w:t>
            </w:r>
          </w:p>
        </w:tc>
        <w:tc>
          <w:tcPr>
            <w:tcW w:w="3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型号</w:t>
            </w:r>
          </w:p>
        </w:tc>
        <w:tc>
          <w:tcPr>
            <w:tcW w:w="20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规格参数</w:t>
            </w: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default" w:ascii="微软雅黑" w:hAnsi="微软雅黑" w:eastAsia="微软雅黑" w:cs="微软雅黑"/>
                <w:color w:val="auto"/>
                <w:sz w:val="16"/>
                <w:szCs w:val="16"/>
                <w:highlight w:val="none"/>
                <w:lang w:val="en-US" w:eastAsia="zh-CN"/>
              </w:rPr>
            </w:pPr>
            <w:r>
              <w:rPr>
                <w:rFonts w:hint="eastAsia" w:ascii="微软雅黑" w:hAnsi="微软雅黑" w:eastAsia="微软雅黑" w:cs="微软雅黑"/>
                <w:color w:val="auto"/>
                <w:sz w:val="16"/>
                <w:szCs w:val="16"/>
                <w:highlight w:val="none"/>
                <w:lang w:val="en-US" w:eastAsia="zh-CN"/>
              </w:rPr>
              <w:t>参考图示</w:t>
            </w: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Ansi="宋体" w:cs="宋体"/>
                <w:color w:val="auto"/>
                <w:sz w:val="16"/>
                <w:szCs w:val="16"/>
                <w:highlight w:val="none"/>
              </w:rPr>
            </w:pPr>
            <w:r>
              <w:rPr>
                <w:rFonts w:hint="eastAsia" w:hAnsi="宋体" w:cs="宋体"/>
                <w:color w:val="auto"/>
                <w:sz w:val="16"/>
                <w:szCs w:val="16"/>
                <w:highlight w:val="none"/>
              </w:rPr>
              <w:t>备注</w:t>
            </w:r>
          </w:p>
        </w:tc>
      </w:tr>
      <w:tr>
        <w:tblPrEx>
          <w:tblCellMar>
            <w:top w:w="0" w:type="dxa"/>
            <w:left w:w="108" w:type="dxa"/>
            <w:bottom w:w="0" w:type="dxa"/>
            <w:right w:w="108" w:type="dxa"/>
          </w:tblCellMar>
        </w:tblPrEx>
        <w:trPr>
          <w:trHeight w:val="1194"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1</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卡座沙发</w:t>
            </w:r>
          </w:p>
        </w:tc>
        <w:tc>
          <w:tcPr>
            <w:tcW w:w="31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常规</w:t>
            </w: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color w:val="auto"/>
                <w:sz w:val="16"/>
                <w:szCs w:val="16"/>
                <w:highlight w:val="none"/>
                <w:lang w:eastAsia="zh-CN"/>
              </w:rPr>
            </w:pPr>
            <w:r>
              <w:rPr>
                <w:rFonts w:hint="eastAsia" w:ascii="仿宋_GB2312" w:hAnsi="仿宋_GB2312" w:eastAsia="仿宋_GB2312" w:cs="仿宋_GB2312"/>
                <w:color w:val="auto"/>
                <w:sz w:val="16"/>
                <w:szCs w:val="16"/>
                <w:highlight w:val="none"/>
              </w:rPr>
              <w:t>※</w:t>
            </w:r>
            <w:r>
              <w:rPr>
                <w:rStyle w:val="17"/>
                <w:rFonts w:hint="default"/>
                <w:color w:val="auto"/>
                <w:sz w:val="16"/>
                <w:szCs w:val="16"/>
                <w:highlight w:val="none"/>
              </w:rPr>
              <w:t>1.基材：</w:t>
            </w:r>
            <w:r>
              <w:rPr>
                <w:rFonts w:hint="eastAsia" w:ascii="微软雅黑" w:hAnsi="微软雅黑" w:eastAsia="微软雅黑" w:cs="微软雅黑"/>
                <w:color w:val="auto"/>
                <w:sz w:val="16"/>
                <w:szCs w:val="16"/>
                <w:highlight w:val="none"/>
              </w:rPr>
              <w:t>国标E0级实木（厚度17.5mm-18mm)多层板，甲醛释放量≤0.05mg/m³、总挥发性有机化合物（TVOC）≤80ug/m、苯≤10ug/m³、甲苯≤20ug/m³、二甲苯≤20ug/m³。（提供第三方检测机构出具检测报告复印件）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lang w:eastAsia="zh-CN"/>
              </w:rPr>
            </w:pPr>
            <w:r>
              <w:rPr>
                <w:color w:val="auto"/>
                <w:sz w:val="16"/>
                <w:szCs w:val="16"/>
                <w:highlight w:val="none"/>
              </w:rPr>
              <w:t>▲</w:t>
            </w:r>
            <w:r>
              <w:rPr>
                <w:rStyle w:val="17"/>
                <w:rFonts w:hint="default"/>
                <w:color w:val="auto"/>
                <w:sz w:val="16"/>
                <w:szCs w:val="16"/>
                <w:highlight w:val="none"/>
              </w:rPr>
              <w:t>2.面料</w:t>
            </w:r>
            <w:r>
              <w:rPr>
                <w:rFonts w:hint="eastAsia" w:ascii="微软雅黑" w:hAnsi="微软雅黑" w:eastAsia="微软雅黑" w:cs="微软雅黑"/>
                <w:color w:val="auto"/>
                <w:sz w:val="16"/>
                <w:szCs w:val="16"/>
                <w:highlight w:val="none"/>
              </w:rPr>
              <w:t>：采用优质人造革（西皮），耐摩擦色牢度，干擦（500次）、湿擦（250次）、碱性汗液（80次）均达到5级；皮革涂层粘着牢度≥3N/10mm，游离甲醛、挥发性有机物（VOC）未检出。（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rPr>
            </w:pPr>
            <w:r>
              <w:rPr>
                <w:color w:val="auto"/>
                <w:sz w:val="16"/>
                <w:szCs w:val="16"/>
                <w:highlight w:val="none"/>
              </w:rPr>
              <w:t>▲</w:t>
            </w:r>
            <w:r>
              <w:rPr>
                <w:rStyle w:val="17"/>
                <w:rFonts w:hint="default"/>
                <w:color w:val="auto"/>
                <w:sz w:val="16"/>
                <w:szCs w:val="16"/>
                <w:highlight w:val="none"/>
              </w:rPr>
              <w:t>3.填充物</w:t>
            </w:r>
            <w:r>
              <w:rPr>
                <w:rFonts w:hint="eastAsia" w:ascii="微软雅黑" w:hAnsi="微软雅黑" w:eastAsia="微软雅黑" w:cs="微软雅黑"/>
                <w:color w:val="auto"/>
                <w:sz w:val="16"/>
                <w:szCs w:val="16"/>
                <w:highlight w:val="none"/>
              </w:rPr>
              <w:t>：采用优质海绵，回弹率GB/T10802-2023≥</w:t>
            </w:r>
            <w:r>
              <w:rPr>
                <w:rFonts w:hint="eastAsia" w:ascii="微软雅黑" w:hAnsi="微软雅黑" w:eastAsia="微软雅黑" w:cs="微软雅黑"/>
                <w:color w:val="auto"/>
                <w:sz w:val="16"/>
                <w:szCs w:val="16"/>
                <w:highlight w:val="none"/>
                <w:lang w:val="en-US" w:eastAsia="zh-CN"/>
              </w:rPr>
              <w:t>48</w:t>
            </w:r>
            <w:r>
              <w:rPr>
                <w:rFonts w:hint="eastAsia" w:ascii="微软雅黑" w:hAnsi="微软雅黑" w:eastAsia="微软雅黑" w:cs="微软雅黑"/>
                <w:color w:val="auto"/>
                <w:sz w:val="16"/>
                <w:szCs w:val="16"/>
                <w:highlight w:val="none"/>
              </w:rPr>
              <w:t>%，灰分分量GB/T9345.1-2008，方法A ,直接燃烧未检出。（提供第三方检测机构出具检测报告复印件）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rPr>
              <w:t>4.</w:t>
            </w:r>
            <w:r>
              <w:rPr>
                <w:rStyle w:val="17"/>
                <w:rFonts w:hint="default"/>
                <w:color w:val="auto"/>
                <w:sz w:val="16"/>
                <w:szCs w:val="16"/>
                <w:highlight w:val="none"/>
              </w:rPr>
              <w:t>内架</w:t>
            </w:r>
            <w:r>
              <w:rPr>
                <w:rFonts w:hint="eastAsia" w:ascii="微软雅黑" w:hAnsi="微软雅黑" w:eastAsia="微软雅黑" w:cs="微软雅黑"/>
                <w:color w:val="auto"/>
                <w:sz w:val="16"/>
                <w:szCs w:val="16"/>
                <w:highlight w:val="none"/>
              </w:rPr>
              <w:t>：落叶松+桉木结合刨方木架。检测依据GB18580-2017《室内装饰装修材料 人造板及其制品中甲醛释放限量》附录A.2，GB/T1933-2009《木材密度测定方法》，甲醛释放量&lt;0.1mg/L。（提供第三方检测机构出具检测报告复印件）</w:t>
            </w:r>
          </w:p>
          <w:p>
            <w:pPr>
              <w:widowControl/>
              <w:jc w:val="left"/>
              <w:textAlignment w:val="center"/>
              <w:rPr>
                <w:rFonts w:ascii="微软雅黑" w:hAnsi="微软雅黑" w:eastAsia="微软雅黑" w:cs="微软雅黑"/>
                <w:color w:val="auto"/>
                <w:sz w:val="16"/>
                <w:szCs w:val="16"/>
                <w:highlight w:val="none"/>
              </w:rPr>
            </w:pPr>
            <w:r>
              <w:rPr>
                <w:color w:val="auto"/>
                <w:sz w:val="16"/>
                <w:szCs w:val="16"/>
                <w:highlight w:val="none"/>
              </w:rPr>
              <w:t>▲</w:t>
            </w:r>
            <w:r>
              <w:rPr>
                <w:rStyle w:val="17"/>
                <w:rFonts w:hint="default"/>
                <w:color w:val="auto"/>
                <w:sz w:val="16"/>
                <w:szCs w:val="16"/>
                <w:highlight w:val="none"/>
              </w:rPr>
              <w:t>5.立面</w:t>
            </w:r>
            <w:r>
              <w:rPr>
                <w:rFonts w:hint="eastAsia" w:ascii="微软雅黑" w:hAnsi="微软雅黑" w:eastAsia="微软雅黑" w:cs="微软雅黑"/>
                <w:color w:val="auto"/>
                <w:sz w:val="16"/>
                <w:szCs w:val="16"/>
                <w:highlight w:val="none"/>
              </w:rPr>
              <w:t>：采用亚克力人造石，耐磨性≤0.6g，放射性项目符合：GB6566-2010 标准A类要求。耐热性表面五破裂、裂缝或起泡，任何变色采用研磨剂或抛光剂可除去并接近板材原状，不影响板材使用、耐高温表面五破裂、裂缝或起泡，任何变色采用研磨剂或抛光剂可除去并接近板材原状，不影响板材使用、耐化学药品表面无明显损伤，轻度损伤用600目砂纸轻擦即可除去，损伤程度不影响板材使用，并已恢复至原状。（提供第三方检测机构出具检测报告复印件）                                                                                                                                                                              6.</w:t>
            </w:r>
            <w:r>
              <w:rPr>
                <w:rStyle w:val="17"/>
                <w:rFonts w:hint="default"/>
                <w:color w:val="auto"/>
                <w:sz w:val="16"/>
                <w:szCs w:val="16"/>
                <w:highlight w:val="none"/>
              </w:rPr>
              <w:t>茶几金属桌腿</w:t>
            </w:r>
            <w:r>
              <w:rPr>
                <w:rFonts w:hint="eastAsia" w:ascii="微软雅黑" w:hAnsi="微软雅黑" w:eastAsia="微软雅黑" w:cs="微软雅黑"/>
                <w:color w:val="auto"/>
                <w:sz w:val="16"/>
                <w:szCs w:val="16"/>
                <w:highlight w:val="none"/>
              </w:rPr>
              <w:t xml:space="preserve"> ：不锈钢白色烤漆</w:t>
            </w:r>
            <w:r>
              <w:rPr>
                <w:rFonts w:hint="eastAsia" w:ascii="微软雅黑" w:hAnsi="微软雅黑" w:eastAsia="微软雅黑" w:cs="微软雅黑"/>
                <w:color w:val="auto"/>
                <w:sz w:val="16"/>
                <w:szCs w:val="16"/>
                <w:highlight w:val="none"/>
                <w:lang w:eastAsia="zh-CN"/>
              </w:rPr>
              <w:t>，</w:t>
            </w:r>
            <w:r>
              <w:rPr>
                <w:rFonts w:hint="eastAsia" w:ascii="微软雅黑" w:hAnsi="微软雅黑" w:eastAsia="微软雅黑" w:cs="微软雅黑"/>
                <w:color w:val="auto"/>
                <w:sz w:val="16"/>
                <w:szCs w:val="16"/>
                <w:highlight w:val="none"/>
                <w:lang w:val="en-US" w:eastAsia="zh-CN"/>
              </w:rPr>
              <w:t>尺寸参照</w:t>
            </w:r>
            <w:r>
              <w:rPr>
                <w:rFonts w:hint="eastAsia" w:ascii="微软雅黑" w:hAnsi="微软雅黑" w:eastAsia="微软雅黑" w:cs="微软雅黑"/>
                <w:color w:val="auto"/>
                <w:sz w:val="16"/>
                <w:szCs w:val="16"/>
                <w:highlight w:val="none"/>
              </w:rPr>
              <w:t xml:space="preserve">250*250mm碳钢材质托盘，直径60mm 不锈钢圆柱（壁厚1.2mm），130mm不锈钢装饰盖。  </w:t>
            </w:r>
          </w:p>
          <w:p>
            <w:pPr>
              <w:widowControl/>
              <w:jc w:val="left"/>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b/>
                <w:color w:val="auto"/>
                <w:sz w:val="16"/>
                <w:szCs w:val="16"/>
                <w:highlight w:val="none"/>
              </w:rPr>
              <w:t>7.</w:t>
            </w:r>
            <w:r>
              <w:rPr>
                <w:rFonts w:ascii="微软雅黑" w:hAnsi="微软雅黑" w:eastAsia="微软雅黑" w:cs="微软雅黑"/>
                <w:b/>
                <w:color w:val="auto"/>
                <w:sz w:val="16"/>
                <w:szCs w:val="16"/>
                <w:highlight w:val="none"/>
              </w:rPr>
              <w:t>成品要求</w:t>
            </w:r>
            <w:r>
              <w:rPr>
                <w:rFonts w:ascii="微软雅黑" w:hAnsi="微软雅黑" w:eastAsia="微软雅黑" w:cs="微软雅黑"/>
                <w:color w:val="auto"/>
                <w:sz w:val="16"/>
                <w:szCs w:val="16"/>
                <w:highlight w:val="none"/>
              </w:rPr>
              <w:t>：成品无锐利棱角、毛刺以及小五金部件露出的锐利尖角。成品符合</w:t>
            </w:r>
            <w:r>
              <w:rPr>
                <w:rFonts w:hint="eastAsia" w:ascii="微软雅黑" w:hAnsi="微软雅黑" w:eastAsia="微软雅黑" w:cs="微软雅黑"/>
                <w:color w:val="auto"/>
                <w:sz w:val="16"/>
                <w:szCs w:val="16"/>
                <w:highlight w:val="none"/>
              </w:rPr>
              <w:t>GB/T 3324-2017《木家具通用技术条件》</w:t>
            </w:r>
            <w:r>
              <w:rPr>
                <w:rFonts w:ascii="微软雅黑" w:hAnsi="微软雅黑" w:eastAsia="微软雅黑" w:cs="微软雅黑"/>
                <w:color w:val="auto"/>
                <w:sz w:val="16"/>
                <w:szCs w:val="16"/>
                <w:highlight w:val="none"/>
              </w:rPr>
              <w:t>。</w:t>
            </w: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Ansi="宋体" w:cs="宋体"/>
                <w:color w:val="auto"/>
                <w:sz w:val="16"/>
                <w:szCs w:val="16"/>
                <w:highlight w:val="none"/>
              </w:rPr>
            </w:pPr>
            <w:r>
              <w:rPr>
                <w:rFonts w:hint="eastAsia" w:hAnsi="宋体" w:cs="宋体"/>
                <w:color w:val="auto"/>
                <w:sz w:val="16"/>
                <w:szCs w:val="16"/>
                <w:highlight w:val="none"/>
                <w:bdr w:val="single" w:color="000000" w:sz="4" w:space="0"/>
              </w:rPr>
              <w:drawing>
                <wp:anchor distT="0" distB="0" distL="114300" distR="114300" simplePos="0" relativeHeight="251659264" behindDoc="0" locked="0" layoutInCell="1" allowOverlap="1">
                  <wp:simplePos x="0" y="0"/>
                  <wp:positionH relativeFrom="column">
                    <wp:posOffset>-28575</wp:posOffset>
                  </wp:positionH>
                  <wp:positionV relativeFrom="paragraph">
                    <wp:posOffset>678815</wp:posOffset>
                  </wp:positionV>
                  <wp:extent cx="1748790" cy="1218565"/>
                  <wp:effectExtent l="0" t="0" r="3810" b="635"/>
                  <wp:wrapNone/>
                  <wp:docPr id="16" name="图片_2"/>
                  <wp:cNvGraphicFramePr/>
                  <a:graphic xmlns:a="http://schemas.openxmlformats.org/drawingml/2006/main">
                    <a:graphicData uri="http://schemas.openxmlformats.org/drawingml/2006/picture">
                      <pic:pic xmlns:pic="http://schemas.openxmlformats.org/drawingml/2006/picture">
                        <pic:nvPicPr>
                          <pic:cNvPr id="16" name="图片_2"/>
                          <pic:cNvPicPr/>
                        </pic:nvPicPr>
                        <pic:blipFill>
                          <a:blip r:embed="rId6"/>
                          <a:stretch>
                            <a:fillRect/>
                          </a:stretch>
                        </pic:blipFill>
                        <pic:spPr>
                          <a:xfrm>
                            <a:off x="0" y="0"/>
                            <a:ext cx="1748790" cy="1218565"/>
                          </a:xfrm>
                          <a:prstGeom prst="rect">
                            <a:avLst/>
                          </a:prstGeom>
                          <a:noFill/>
                          <a:ln>
                            <a:noFill/>
                          </a:ln>
                        </pic:spPr>
                      </pic:pic>
                    </a:graphicData>
                  </a:graphic>
                </wp:anchor>
              </w:drawing>
            </w: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p>
        </w:tc>
      </w:tr>
      <w:tr>
        <w:tblPrEx>
          <w:tblCellMar>
            <w:top w:w="0" w:type="dxa"/>
            <w:left w:w="108" w:type="dxa"/>
            <w:bottom w:w="0" w:type="dxa"/>
            <w:right w:w="108" w:type="dxa"/>
          </w:tblCellMar>
        </w:tblPrEx>
        <w:trPr>
          <w:trHeight w:val="4200"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2</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rPr>
              <w:t>圆弧型沙发</w:t>
            </w:r>
            <w:r>
              <w:rPr>
                <w:rFonts w:hint="eastAsia" w:ascii="微软雅黑" w:hAnsi="微软雅黑" w:eastAsia="微软雅黑" w:cs="微软雅黑"/>
                <w:color w:val="auto"/>
                <w:sz w:val="16"/>
                <w:szCs w:val="16"/>
                <w:highlight w:val="none"/>
                <w:lang w:eastAsia="zh-CN"/>
              </w:rPr>
              <w:t>、单人沙发、椭圆沙发、包柱沙发</w:t>
            </w:r>
          </w:p>
        </w:tc>
        <w:tc>
          <w:tcPr>
            <w:tcW w:w="3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常规</w:t>
            </w: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color w:val="auto"/>
                <w:sz w:val="16"/>
                <w:szCs w:val="16"/>
                <w:highlight w:val="none"/>
                <w:lang w:eastAsia="zh-CN"/>
              </w:rPr>
            </w:pPr>
            <w:r>
              <w:rPr>
                <w:rFonts w:hint="eastAsia" w:ascii="仿宋_GB2312" w:hAnsi="仿宋_GB2312" w:eastAsia="仿宋_GB2312" w:cs="仿宋_GB2312"/>
                <w:color w:val="auto"/>
                <w:sz w:val="16"/>
                <w:szCs w:val="16"/>
                <w:highlight w:val="none"/>
              </w:rPr>
              <w:t>※</w:t>
            </w:r>
            <w:r>
              <w:rPr>
                <w:rStyle w:val="17"/>
                <w:rFonts w:hint="default"/>
                <w:color w:val="auto"/>
                <w:sz w:val="16"/>
                <w:szCs w:val="16"/>
                <w:highlight w:val="none"/>
              </w:rPr>
              <w:t>1.基材</w:t>
            </w:r>
            <w:r>
              <w:rPr>
                <w:rFonts w:hint="eastAsia" w:ascii="微软雅黑" w:hAnsi="微软雅黑" w:eastAsia="微软雅黑" w:cs="微软雅黑"/>
                <w:color w:val="auto"/>
                <w:sz w:val="16"/>
                <w:szCs w:val="16"/>
                <w:highlight w:val="none"/>
              </w:rPr>
              <w:t>：国标E0级实木（厚度17.5mm-18mm)多层板，甲醛释放量≤0.05mg/m³、总挥发性有机化合物（TVOC）≤80ug/m、苯≤10ug/m³、甲苯≤20ug/m³、二甲苯≤20ug/m³。（提供第三方检测机构出具检测报告复印件））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lang w:eastAsia="zh-CN"/>
              </w:rPr>
            </w:pPr>
            <w:r>
              <w:rPr>
                <w:color w:val="auto"/>
                <w:sz w:val="16"/>
                <w:szCs w:val="16"/>
                <w:highlight w:val="none"/>
              </w:rPr>
              <w:t>▲</w:t>
            </w:r>
            <w:r>
              <w:rPr>
                <w:rStyle w:val="17"/>
                <w:rFonts w:hint="default"/>
                <w:color w:val="auto"/>
                <w:sz w:val="16"/>
                <w:szCs w:val="16"/>
                <w:highlight w:val="none"/>
              </w:rPr>
              <w:t>2.面料</w:t>
            </w:r>
            <w:r>
              <w:rPr>
                <w:rFonts w:hint="eastAsia" w:ascii="微软雅黑" w:hAnsi="微软雅黑" w:eastAsia="微软雅黑" w:cs="微软雅黑"/>
                <w:color w:val="auto"/>
                <w:sz w:val="16"/>
                <w:szCs w:val="16"/>
                <w:highlight w:val="none"/>
              </w:rPr>
              <w:t>：采用优质人造革（西皮），耐摩擦色牢度，干擦（500次）、湿擦（250次）、碱性汗液（80次）均达到5级；皮革涂层粘着牢度≥3N/10mm，游离甲醛、挥发性有机物（VOC）未检出。（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rPr>
            </w:pPr>
            <w:r>
              <w:rPr>
                <w:rStyle w:val="17"/>
                <w:rFonts w:hint="default"/>
                <w:color w:val="auto"/>
                <w:sz w:val="16"/>
                <w:szCs w:val="16"/>
                <w:highlight w:val="none"/>
              </w:rPr>
              <w:t>3.填充物</w:t>
            </w:r>
            <w:r>
              <w:rPr>
                <w:rFonts w:hint="eastAsia" w:ascii="微软雅黑" w:hAnsi="微软雅黑" w:eastAsia="微软雅黑" w:cs="微软雅黑"/>
                <w:color w:val="auto"/>
                <w:sz w:val="16"/>
                <w:szCs w:val="16"/>
                <w:highlight w:val="none"/>
              </w:rPr>
              <w:t>：采用优质海绵，回弹率GB/T10802-2023≥</w:t>
            </w:r>
            <w:r>
              <w:rPr>
                <w:rFonts w:hint="eastAsia" w:ascii="微软雅黑" w:hAnsi="微软雅黑" w:eastAsia="微软雅黑" w:cs="微软雅黑"/>
                <w:color w:val="auto"/>
                <w:sz w:val="16"/>
                <w:szCs w:val="16"/>
                <w:highlight w:val="none"/>
                <w:lang w:val="en-US" w:eastAsia="zh-CN"/>
              </w:rPr>
              <w:t>48</w:t>
            </w:r>
            <w:r>
              <w:rPr>
                <w:rFonts w:hint="eastAsia" w:ascii="微软雅黑" w:hAnsi="微软雅黑" w:eastAsia="微软雅黑" w:cs="微软雅黑"/>
                <w:color w:val="auto"/>
                <w:sz w:val="16"/>
                <w:szCs w:val="16"/>
                <w:highlight w:val="none"/>
              </w:rPr>
              <w:t>%，灰分分量GB/T9345.1-2008，方法A ,直接燃烧未检出。（提供第三方检测机构出具检测报告复印件）</w:t>
            </w:r>
          </w:p>
          <w:p>
            <w:pPr>
              <w:widowControl/>
              <w:jc w:val="left"/>
              <w:textAlignment w:val="center"/>
              <w:rPr>
                <w:rFonts w:ascii="微软雅黑" w:hAnsi="微软雅黑" w:eastAsia="微软雅黑" w:cs="微软雅黑"/>
                <w:color w:val="auto"/>
                <w:sz w:val="16"/>
                <w:szCs w:val="16"/>
                <w:highlight w:val="none"/>
              </w:rPr>
            </w:pPr>
            <w:r>
              <w:rPr>
                <w:rStyle w:val="17"/>
                <w:rFonts w:hint="default"/>
                <w:color w:val="auto"/>
                <w:sz w:val="16"/>
                <w:szCs w:val="16"/>
                <w:highlight w:val="none"/>
              </w:rPr>
              <w:t>4.内架</w:t>
            </w:r>
            <w:r>
              <w:rPr>
                <w:rFonts w:hint="eastAsia" w:ascii="微软雅黑" w:hAnsi="微软雅黑" w:eastAsia="微软雅黑" w:cs="微软雅黑"/>
                <w:color w:val="auto"/>
                <w:sz w:val="16"/>
                <w:szCs w:val="16"/>
                <w:highlight w:val="none"/>
              </w:rPr>
              <w:t xml:space="preserve">：落叶松+桉木结合刨方木架。检测依据GB18580-2017《室内装饰装修材料 人造板及其制品中甲醛释放限量》附录A.2，GB/T1933-2009《木材密度测定方法》，甲醛释放量&lt;0.1mg/L。（提供第三方检测机构出具检测报告复印件）                                                                                                 </w:t>
            </w:r>
          </w:p>
          <w:p>
            <w:pPr>
              <w:widowControl/>
              <w:jc w:val="left"/>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b/>
                <w:color w:val="auto"/>
                <w:sz w:val="16"/>
                <w:szCs w:val="16"/>
                <w:highlight w:val="none"/>
              </w:rPr>
              <w:t>5.</w:t>
            </w:r>
            <w:r>
              <w:rPr>
                <w:rFonts w:ascii="微软雅黑" w:hAnsi="微软雅黑" w:eastAsia="微软雅黑" w:cs="微软雅黑"/>
                <w:b/>
                <w:color w:val="auto"/>
                <w:sz w:val="16"/>
                <w:szCs w:val="16"/>
                <w:highlight w:val="none"/>
              </w:rPr>
              <w:t>成品要求</w:t>
            </w:r>
            <w:r>
              <w:rPr>
                <w:rFonts w:ascii="微软雅黑" w:hAnsi="微软雅黑" w:eastAsia="微软雅黑" w:cs="微软雅黑"/>
                <w:color w:val="auto"/>
                <w:sz w:val="16"/>
                <w:szCs w:val="16"/>
                <w:highlight w:val="none"/>
              </w:rPr>
              <w:t>：成品桌面无锐利棱角、毛刺以及小五金部件露出的锐利尖角。成品符合</w:t>
            </w:r>
            <w:r>
              <w:rPr>
                <w:rFonts w:hint="eastAsia" w:ascii="微软雅黑" w:hAnsi="微软雅黑" w:eastAsia="微软雅黑" w:cs="微软雅黑"/>
                <w:color w:val="auto"/>
                <w:sz w:val="16"/>
                <w:szCs w:val="16"/>
                <w:highlight w:val="none"/>
              </w:rPr>
              <w:t>GB/T 3324-2017《木家具通用技术条件》</w:t>
            </w:r>
            <w:r>
              <w:rPr>
                <w:rFonts w:ascii="微软雅黑" w:hAnsi="微软雅黑" w:eastAsia="微软雅黑" w:cs="微软雅黑"/>
                <w:color w:val="auto"/>
                <w:sz w:val="16"/>
                <w:szCs w:val="16"/>
                <w:highlight w:val="none"/>
              </w:rPr>
              <w:t>。</w:t>
            </w: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Ansi="宋体" w:cs="宋体"/>
                <w:color w:val="auto"/>
                <w:sz w:val="16"/>
                <w:szCs w:val="16"/>
                <w:highlight w:val="none"/>
              </w:rPr>
            </w:pPr>
            <w:r>
              <w:rPr>
                <w:color w:val="auto"/>
                <w:sz w:val="16"/>
                <w:szCs w:val="16"/>
                <w:highlight w:val="none"/>
              </w:rPr>
              <w:drawing>
                <wp:anchor distT="0" distB="0" distL="114300" distR="114300" simplePos="0" relativeHeight="251663360" behindDoc="0" locked="0" layoutInCell="1" allowOverlap="1">
                  <wp:simplePos x="0" y="0"/>
                  <wp:positionH relativeFrom="column">
                    <wp:posOffset>34290</wp:posOffset>
                  </wp:positionH>
                  <wp:positionV relativeFrom="paragraph">
                    <wp:posOffset>2857500</wp:posOffset>
                  </wp:positionV>
                  <wp:extent cx="1283970" cy="964565"/>
                  <wp:effectExtent l="0" t="0" r="11430" b="10795"/>
                  <wp:wrapNone/>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7"/>
                          <a:stretch>
                            <a:fillRect/>
                          </a:stretch>
                        </pic:blipFill>
                        <pic:spPr>
                          <a:xfrm>
                            <a:off x="0" y="0"/>
                            <a:ext cx="1283970" cy="964565"/>
                          </a:xfrm>
                          <a:prstGeom prst="rect">
                            <a:avLst/>
                          </a:prstGeom>
                          <a:noFill/>
                          <a:ln>
                            <a:noFill/>
                          </a:ln>
                        </pic:spPr>
                      </pic:pic>
                    </a:graphicData>
                  </a:graphic>
                </wp:anchor>
              </w:drawing>
            </w:r>
            <w:r>
              <w:rPr>
                <w:rFonts w:hint="eastAsia" w:hAnsi="宋体" w:cs="宋体"/>
                <w:color w:val="auto"/>
                <w:sz w:val="16"/>
                <w:szCs w:val="16"/>
                <w:highlight w:val="none"/>
                <w:bdr w:val="single" w:color="000000" w:sz="4" w:space="0"/>
              </w:rPr>
              <w:drawing>
                <wp:anchor distT="0" distB="0" distL="114300" distR="114300" simplePos="0" relativeHeight="251661312" behindDoc="0" locked="0" layoutInCell="1" allowOverlap="1">
                  <wp:simplePos x="0" y="0"/>
                  <wp:positionH relativeFrom="column">
                    <wp:posOffset>-54610</wp:posOffset>
                  </wp:positionH>
                  <wp:positionV relativeFrom="paragraph">
                    <wp:posOffset>1743075</wp:posOffset>
                  </wp:positionV>
                  <wp:extent cx="1605915" cy="1120140"/>
                  <wp:effectExtent l="0" t="0" r="9525" b="7620"/>
                  <wp:wrapNone/>
                  <wp:docPr id="27" name="图片_29"/>
                  <wp:cNvGraphicFramePr/>
                  <a:graphic xmlns:a="http://schemas.openxmlformats.org/drawingml/2006/main">
                    <a:graphicData uri="http://schemas.openxmlformats.org/drawingml/2006/picture">
                      <pic:pic xmlns:pic="http://schemas.openxmlformats.org/drawingml/2006/picture">
                        <pic:nvPicPr>
                          <pic:cNvPr id="27" name="图片_29"/>
                          <pic:cNvPicPr/>
                        </pic:nvPicPr>
                        <pic:blipFill>
                          <a:blip r:embed="rId8"/>
                          <a:stretch>
                            <a:fillRect/>
                          </a:stretch>
                        </pic:blipFill>
                        <pic:spPr>
                          <a:xfrm>
                            <a:off x="0" y="0"/>
                            <a:ext cx="1605915" cy="1120140"/>
                          </a:xfrm>
                          <a:prstGeom prst="rect">
                            <a:avLst/>
                          </a:prstGeom>
                          <a:noFill/>
                          <a:ln>
                            <a:noFill/>
                          </a:ln>
                        </pic:spPr>
                      </pic:pic>
                    </a:graphicData>
                  </a:graphic>
                </wp:anchor>
              </w:drawing>
            </w:r>
            <w:r>
              <w:rPr>
                <w:rFonts w:hint="eastAsia" w:hAnsi="宋体" w:cs="宋体"/>
                <w:color w:val="auto"/>
                <w:sz w:val="16"/>
                <w:szCs w:val="16"/>
                <w:highlight w:val="none"/>
                <w:bdr w:val="single" w:color="000000" w:sz="4" w:space="0"/>
              </w:rPr>
              <w:drawing>
                <wp:anchor distT="0" distB="0" distL="114300" distR="114300" simplePos="0" relativeHeight="251660288" behindDoc="0" locked="0" layoutInCell="1" allowOverlap="1">
                  <wp:simplePos x="0" y="0"/>
                  <wp:positionH relativeFrom="column">
                    <wp:posOffset>-26035</wp:posOffset>
                  </wp:positionH>
                  <wp:positionV relativeFrom="paragraph">
                    <wp:posOffset>1009650</wp:posOffset>
                  </wp:positionV>
                  <wp:extent cx="1600835" cy="748030"/>
                  <wp:effectExtent l="0" t="0" r="14605" b="13970"/>
                  <wp:wrapNone/>
                  <wp:docPr id="24" name="图片_23"/>
                  <wp:cNvGraphicFramePr/>
                  <a:graphic xmlns:a="http://schemas.openxmlformats.org/drawingml/2006/main">
                    <a:graphicData uri="http://schemas.openxmlformats.org/drawingml/2006/picture">
                      <pic:pic xmlns:pic="http://schemas.openxmlformats.org/drawingml/2006/picture">
                        <pic:nvPicPr>
                          <pic:cNvPr id="24" name="图片_23"/>
                          <pic:cNvPicPr/>
                        </pic:nvPicPr>
                        <pic:blipFill>
                          <a:blip r:embed="rId9"/>
                          <a:stretch>
                            <a:fillRect/>
                          </a:stretch>
                        </pic:blipFill>
                        <pic:spPr>
                          <a:xfrm>
                            <a:off x="0" y="0"/>
                            <a:ext cx="1600835" cy="748030"/>
                          </a:xfrm>
                          <a:prstGeom prst="rect">
                            <a:avLst/>
                          </a:prstGeom>
                          <a:noFill/>
                          <a:ln>
                            <a:noFill/>
                          </a:ln>
                        </pic:spPr>
                      </pic:pic>
                    </a:graphicData>
                  </a:graphic>
                </wp:anchor>
              </w:drawing>
            </w:r>
            <w:r>
              <w:rPr>
                <w:color w:val="auto"/>
                <w:sz w:val="16"/>
                <w:szCs w:val="16"/>
                <w:highlight w:val="none"/>
              </w:rPr>
              <w:drawing>
                <wp:inline distT="0" distB="0" distL="114300" distR="114300">
                  <wp:extent cx="1263015" cy="1024255"/>
                  <wp:effectExtent l="0" t="0" r="1905" b="1206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0"/>
                          <a:stretch>
                            <a:fillRect/>
                          </a:stretch>
                        </pic:blipFill>
                        <pic:spPr>
                          <a:xfrm>
                            <a:off x="0" y="0"/>
                            <a:ext cx="1263015" cy="1024255"/>
                          </a:xfrm>
                          <a:prstGeom prst="rect">
                            <a:avLst/>
                          </a:prstGeom>
                          <a:noFill/>
                          <a:ln>
                            <a:noFill/>
                          </a:ln>
                        </pic:spPr>
                      </pic:pic>
                    </a:graphicData>
                  </a:graphic>
                </wp:inline>
              </w:drawing>
            </w: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p>
        </w:tc>
      </w:tr>
      <w:tr>
        <w:tblPrEx>
          <w:tblCellMar>
            <w:top w:w="0" w:type="dxa"/>
            <w:left w:w="108" w:type="dxa"/>
            <w:bottom w:w="0" w:type="dxa"/>
            <w:right w:w="108" w:type="dxa"/>
          </w:tblCellMar>
        </w:tblPrEx>
        <w:trPr>
          <w:trHeight w:val="5280"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lang w:val="en-US" w:eastAsia="zh-CN"/>
              </w:rPr>
              <w:t>3</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办公椅</w:t>
            </w:r>
          </w:p>
        </w:tc>
        <w:tc>
          <w:tcPr>
            <w:tcW w:w="3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常规</w:t>
            </w: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color w:val="auto"/>
                <w:sz w:val="16"/>
                <w:szCs w:val="16"/>
                <w:highlight w:val="none"/>
                <w:lang w:eastAsia="zh-CN"/>
              </w:rPr>
            </w:pPr>
            <w:r>
              <w:rPr>
                <w:rFonts w:hint="eastAsia" w:ascii="仿宋_GB2312" w:hAnsi="仿宋_GB2312" w:eastAsia="仿宋_GB2312" w:cs="仿宋_GB2312"/>
                <w:color w:val="auto"/>
                <w:sz w:val="16"/>
                <w:szCs w:val="16"/>
                <w:highlight w:val="none"/>
              </w:rPr>
              <w:t>※</w:t>
            </w:r>
            <w:r>
              <w:rPr>
                <w:rStyle w:val="17"/>
                <w:rFonts w:hint="default"/>
                <w:color w:val="auto"/>
                <w:sz w:val="16"/>
                <w:szCs w:val="16"/>
                <w:highlight w:val="none"/>
              </w:rPr>
              <w:t>1.基材</w:t>
            </w:r>
            <w:r>
              <w:rPr>
                <w:rFonts w:hint="eastAsia" w:ascii="微软雅黑" w:hAnsi="微软雅黑" w:eastAsia="微软雅黑" w:cs="微软雅黑"/>
                <w:color w:val="auto"/>
                <w:sz w:val="16"/>
                <w:szCs w:val="16"/>
                <w:highlight w:val="none"/>
              </w:rPr>
              <w:t>：国标E0级实木（厚度17.5mm-18mm)多层板，甲醛释放量≤0.05mg/m³、总挥发性有机化合物（TVOC）≤80ug/m、苯≤10ug/m³、甲苯≤20ug/m³、二甲苯≤20ug/m³。（提供第三方检测机构出具检测报告复印件）</w:t>
            </w:r>
          </w:p>
          <w:p>
            <w:pPr>
              <w:widowControl/>
              <w:jc w:val="left"/>
              <w:textAlignment w:val="center"/>
              <w:rPr>
                <w:rFonts w:ascii="微软雅黑" w:hAnsi="微软雅黑" w:eastAsia="微软雅黑" w:cs="微软雅黑"/>
                <w:color w:val="auto"/>
                <w:sz w:val="16"/>
                <w:szCs w:val="16"/>
                <w:highlight w:val="none"/>
              </w:rPr>
            </w:pPr>
            <w:r>
              <w:rPr>
                <w:color w:val="auto"/>
                <w:sz w:val="16"/>
                <w:szCs w:val="16"/>
                <w:highlight w:val="none"/>
              </w:rPr>
              <w:t>▲</w:t>
            </w:r>
            <w:r>
              <w:rPr>
                <w:rStyle w:val="17"/>
                <w:rFonts w:hint="default"/>
                <w:color w:val="auto"/>
                <w:sz w:val="16"/>
                <w:szCs w:val="16"/>
                <w:highlight w:val="none"/>
              </w:rPr>
              <w:t>2.面料：</w:t>
            </w:r>
            <w:r>
              <w:rPr>
                <w:rFonts w:hint="eastAsia" w:ascii="微软雅黑" w:hAnsi="微软雅黑" w:eastAsia="微软雅黑" w:cs="微软雅黑"/>
                <w:color w:val="auto"/>
                <w:sz w:val="16"/>
                <w:szCs w:val="16"/>
                <w:highlight w:val="none"/>
              </w:rPr>
              <w:t>采用优质人造革（西皮），耐摩擦色牢度，干擦（500次）、湿擦（250次）、碱性汗液（80次）均达到5级；皮革涂层粘着牢度≥3N/10mm，游离甲醛、挥发性有机物（VOC）未检出。（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rPr>
            </w:pPr>
            <w:r>
              <w:rPr>
                <w:rStyle w:val="17"/>
                <w:rFonts w:hint="default"/>
                <w:color w:val="auto"/>
                <w:sz w:val="16"/>
                <w:szCs w:val="16"/>
                <w:highlight w:val="none"/>
              </w:rPr>
              <w:t>3.填充物</w:t>
            </w:r>
            <w:r>
              <w:rPr>
                <w:rFonts w:hint="eastAsia" w:ascii="微软雅黑" w:hAnsi="微软雅黑" w:eastAsia="微软雅黑" w:cs="微软雅黑"/>
                <w:color w:val="auto"/>
                <w:sz w:val="16"/>
                <w:szCs w:val="16"/>
                <w:highlight w:val="none"/>
              </w:rPr>
              <w:t>：采用优质海绵，回弹率GB/T10802-2023≥</w:t>
            </w:r>
            <w:r>
              <w:rPr>
                <w:rFonts w:hint="eastAsia" w:ascii="微软雅黑" w:hAnsi="微软雅黑" w:eastAsia="微软雅黑" w:cs="微软雅黑"/>
                <w:color w:val="auto"/>
                <w:sz w:val="16"/>
                <w:szCs w:val="16"/>
                <w:highlight w:val="none"/>
                <w:lang w:val="en-US" w:eastAsia="zh-CN"/>
              </w:rPr>
              <w:t>48</w:t>
            </w:r>
            <w:r>
              <w:rPr>
                <w:rFonts w:hint="eastAsia" w:ascii="微软雅黑" w:hAnsi="微软雅黑" w:eastAsia="微软雅黑" w:cs="微软雅黑"/>
                <w:color w:val="auto"/>
                <w:sz w:val="16"/>
                <w:szCs w:val="16"/>
                <w:highlight w:val="none"/>
              </w:rPr>
              <w:t>%，灰分分量GB/T9345.1-2008，方法A ,直接燃烧未检出。（提供第三方检测机构出具检测报告复印件）</w:t>
            </w:r>
          </w:p>
          <w:p>
            <w:pPr>
              <w:widowControl/>
              <w:jc w:val="left"/>
              <w:textAlignment w:val="center"/>
              <w:rPr>
                <w:rFonts w:ascii="微软雅黑" w:hAnsi="微软雅黑" w:eastAsia="微软雅黑" w:cs="微软雅黑"/>
                <w:color w:val="auto"/>
                <w:sz w:val="16"/>
                <w:szCs w:val="16"/>
                <w:highlight w:val="none"/>
              </w:rPr>
            </w:pPr>
            <w:r>
              <w:rPr>
                <w:rStyle w:val="17"/>
                <w:rFonts w:hint="default"/>
                <w:color w:val="auto"/>
                <w:sz w:val="16"/>
                <w:szCs w:val="16"/>
                <w:highlight w:val="none"/>
              </w:rPr>
              <w:t>4.内架</w:t>
            </w:r>
            <w:r>
              <w:rPr>
                <w:rFonts w:hint="eastAsia" w:ascii="微软雅黑" w:hAnsi="微软雅黑" w:eastAsia="微软雅黑" w:cs="微软雅黑"/>
                <w:color w:val="auto"/>
                <w:sz w:val="16"/>
                <w:szCs w:val="16"/>
                <w:highlight w:val="none"/>
              </w:rPr>
              <w:t>：白蜡木木架。检测依据GB18580-2017《室内装饰装修材料 人造板及其制品中甲醛释放限量》附录A.2，GB/T1933-2009《木材密度测定方法》，甲醛释放量&lt;0.1mg/L。提供第三方检测机构出具检测报告复印件）                                                                                                                                                                                                                                        5.</w:t>
            </w:r>
            <w:r>
              <w:rPr>
                <w:rStyle w:val="17"/>
                <w:rFonts w:hint="default"/>
                <w:color w:val="auto"/>
                <w:sz w:val="16"/>
                <w:szCs w:val="16"/>
                <w:highlight w:val="none"/>
              </w:rPr>
              <w:t>涂料</w:t>
            </w:r>
            <w:r>
              <w:rPr>
                <w:rFonts w:hint="eastAsia" w:ascii="微软雅黑" w:hAnsi="微软雅黑" w:eastAsia="微软雅黑" w:cs="微软雅黑"/>
                <w:color w:val="auto"/>
                <w:sz w:val="16"/>
                <w:szCs w:val="16"/>
                <w:highlight w:val="none"/>
              </w:rPr>
              <w:t>：木器漆符合GB/T23997-2009《室内装饰装修用溶剂型聚氨酯木器涂料》GB18581-2020《木器涂料中有害物质限量》标准。提供第三方检测机构出具检测报告复印件。</w:t>
            </w:r>
          </w:p>
          <w:p>
            <w:pPr>
              <w:widowControl/>
              <w:jc w:val="left"/>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b/>
                <w:color w:val="auto"/>
                <w:sz w:val="16"/>
                <w:szCs w:val="16"/>
                <w:highlight w:val="none"/>
              </w:rPr>
              <w:t>6.</w:t>
            </w:r>
            <w:r>
              <w:rPr>
                <w:rFonts w:ascii="微软雅黑" w:hAnsi="微软雅黑" w:eastAsia="微软雅黑" w:cs="微软雅黑"/>
                <w:b/>
                <w:color w:val="auto"/>
                <w:sz w:val="16"/>
                <w:szCs w:val="16"/>
                <w:highlight w:val="none"/>
              </w:rPr>
              <w:t>成品要求</w:t>
            </w:r>
            <w:r>
              <w:rPr>
                <w:rFonts w:ascii="微软雅黑" w:hAnsi="微软雅黑" w:eastAsia="微软雅黑" w:cs="微软雅黑"/>
                <w:color w:val="auto"/>
                <w:sz w:val="16"/>
                <w:szCs w:val="16"/>
                <w:highlight w:val="none"/>
              </w:rPr>
              <w:t>：成品无锐利棱角、毛刺以及小五金部件露出的锐利尖角。成品符合</w:t>
            </w:r>
            <w:r>
              <w:rPr>
                <w:rFonts w:hint="eastAsia" w:ascii="微软雅黑" w:hAnsi="微软雅黑" w:eastAsia="微软雅黑" w:cs="微软雅黑"/>
                <w:color w:val="auto"/>
                <w:sz w:val="16"/>
                <w:szCs w:val="16"/>
                <w:highlight w:val="none"/>
              </w:rPr>
              <w:t>GB/T 3324-2017《木家具通用技术条件》</w:t>
            </w:r>
            <w:r>
              <w:rPr>
                <w:rFonts w:ascii="微软雅黑" w:hAnsi="微软雅黑" w:eastAsia="微软雅黑" w:cs="微软雅黑"/>
                <w:color w:val="auto"/>
                <w:sz w:val="16"/>
                <w:szCs w:val="16"/>
                <w:highlight w:val="none"/>
              </w:rPr>
              <w:t>。</w:t>
            </w: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Ansi="宋体" w:cs="宋体"/>
                <w:color w:val="auto"/>
                <w:sz w:val="16"/>
                <w:szCs w:val="16"/>
                <w:highlight w:val="none"/>
              </w:rPr>
            </w:pPr>
            <w:r>
              <w:rPr>
                <w:rFonts w:hint="eastAsia" w:hAnsi="宋体" w:cs="宋体"/>
                <w:color w:val="auto"/>
                <w:sz w:val="16"/>
                <w:szCs w:val="16"/>
                <w:highlight w:val="none"/>
                <w:bdr w:val="single" w:color="000000" w:sz="4" w:space="0"/>
              </w:rPr>
              <w:drawing>
                <wp:anchor distT="0" distB="0" distL="114300" distR="114300" simplePos="0" relativeHeight="251662336" behindDoc="0" locked="0" layoutInCell="1" allowOverlap="1">
                  <wp:simplePos x="0" y="0"/>
                  <wp:positionH relativeFrom="column">
                    <wp:posOffset>24765</wp:posOffset>
                  </wp:positionH>
                  <wp:positionV relativeFrom="paragraph">
                    <wp:posOffset>1320800</wp:posOffset>
                  </wp:positionV>
                  <wp:extent cx="1483360" cy="1129665"/>
                  <wp:effectExtent l="0" t="0" r="10160" b="13335"/>
                  <wp:wrapNone/>
                  <wp:docPr id="30" name="图片_19"/>
                  <wp:cNvGraphicFramePr/>
                  <a:graphic xmlns:a="http://schemas.openxmlformats.org/drawingml/2006/main">
                    <a:graphicData uri="http://schemas.openxmlformats.org/drawingml/2006/picture">
                      <pic:pic xmlns:pic="http://schemas.openxmlformats.org/drawingml/2006/picture">
                        <pic:nvPicPr>
                          <pic:cNvPr id="30" name="图片_19"/>
                          <pic:cNvPicPr/>
                        </pic:nvPicPr>
                        <pic:blipFill>
                          <a:blip r:embed="rId11"/>
                          <a:stretch>
                            <a:fillRect/>
                          </a:stretch>
                        </pic:blipFill>
                        <pic:spPr>
                          <a:xfrm>
                            <a:off x="0" y="0"/>
                            <a:ext cx="1483360" cy="1129665"/>
                          </a:xfrm>
                          <a:prstGeom prst="rect">
                            <a:avLst/>
                          </a:prstGeom>
                          <a:noFill/>
                          <a:ln>
                            <a:noFill/>
                          </a:ln>
                        </pic:spPr>
                      </pic:pic>
                    </a:graphicData>
                  </a:graphic>
                </wp:anchor>
              </w:drawing>
            </w: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p>
        </w:tc>
      </w:tr>
      <w:tr>
        <w:tblPrEx>
          <w:tblCellMar>
            <w:top w:w="0" w:type="dxa"/>
            <w:left w:w="108" w:type="dxa"/>
            <w:bottom w:w="0" w:type="dxa"/>
            <w:right w:w="108" w:type="dxa"/>
          </w:tblCellMar>
        </w:tblPrEx>
        <w:trPr>
          <w:trHeight w:val="90"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lang w:val="en-US" w:eastAsia="zh-CN"/>
              </w:rPr>
              <w:t>4</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沙发垫</w:t>
            </w:r>
          </w:p>
        </w:tc>
        <w:tc>
          <w:tcPr>
            <w:tcW w:w="3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微软雅黑" w:hAnsi="微软雅黑" w:eastAsia="微软雅黑" w:cs="微软雅黑"/>
                <w:color w:val="auto"/>
                <w:sz w:val="16"/>
                <w:szCs w:val="16"/>
                <w:highlight w:val="none"/>
              </w:rPr>
            </w:pP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color w:val="auto"/>
                <w:sz w:val="16"/>
                <w:szCs w:val="16"/>
                <w:highlight w:val="none"/>
                <w:lang w:eastAsia="zh-CN"/>
              </w:rPr>
            </w:pPr>
            <w:r>
              <w:rPr>
                <w:color w:val="auto"/>
                <w:sz w:val="16"/>
                <w:szCs w:val="16"/>
                <w:highlight w:val="none"/>
              </w:rPr>
              <w:t>▲</w:t>
            </w:r>
            <w:r>
              <w:rPr>
                <w:rStyle w:val="17"/>
                <w:rFonts w:hint="default"/>
                <w:color w:val="auto"/>
                <w:sz w:val="16"/>
                <w:szCs w:val="16"/>
                <w:highlight w:val="none"/>
              </w:rPr>
              <w:t>1.面料</w:t>
            </w:r>
            <w:r>
              <w:rPr>
                <w:rFonts w:hint="eastAsia" w:ascii="微软雅黑" w:hAnsi="微软雅黑" w:eastAsia="微软雅黑" w:cs="微软雅黑"/>
                <w:color w:val="auto"/>
                <w:sz w:val="16"/>
                <w:szCs w:val="16"/>
                <w:highlight w:val="none"/>
              </w:rPr>
              <w:t>：采用优质人造革（西皮），耐摩擦色牢度，干擦（500次）、湿擦（250次）、碱性汗液（80次）均达到5级；皮革涂层粘着牢度≥3N/10mm，游离甲醛、挥发性有机物（VOC）未检出。（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rPr>
            </w:pPr>
            <w:r>
              <w:rPr>
                <w:color w:val="auto"/>
                <w:sz w:val="16"/>
                <w:szCs w:val="16"/>
                <w:highlight w:val="none"/>
              </w:rPr>
              <w:t>▲</w:t>
            </w:r>
            <w:r>
              <w:rPr>
                <w:rStyle w:val="17"/>
                <w:rFonts w:hint="default"/>
                <w:color w:val="auto"/>
                <w:sz w:val="16"/>
                <w:szCs w:val="16"/>
                <w:highlight w:val="none"/>
              </w:rPr>
              <w:t>2.填充物</w:t>
            </w:r>
            <w:r>
              <w:rPr>
                <w:rFonts w:hint="eastAsia" w:ascii="微软雅黑" w:hAnsi="微软雅黑" w:eastAsia="微软雅黑" w:cs="微软雅黑"/>
                <w:color w:val="auto"/>
                <w:sz w:val="16"/>
                <w:szCs w:val="16"/>
                <w:highlight w:val="none"/>
              </w:rPr>
              <w:t>：采用优质海绵，回弹率GB/T10802-2023≥</w:t>
            </w:r>
            <w:r>
              <w:rPr>
                <w:rFonts w:hint="eastAsia" w:ascii="微软雅黑" w:hAnsi="微软雅黑" w:eastAsia="微软雅黑" w:cs="微软雅黑"/>
                <w:color w:val="auto"/>
                <w:sz w:val="16"/>
                <w:szCs w:val="16"/>
                <w:highlight w:val="none"/>
                <w:lang w:val="en-US" w:eastAsia="zh-CN"/>
              </w:rPr>
              <w:t>48</w:t>
            </w:r>
            <w:r>
              <w:rPr>
                <w:rFonts w:hint="eastAsia" w:ascii="微软雅黑" w:hAnsi="微软雅黑" w:eastAsia="微软雅黑" w:cs="微软雅黑"/>
                <w:color w:val="auto"/>
                <w:sz w:val="16"/>
                <w:szCs w:val="16"/>
                <w:highlight w:val="none"/>
              </w:rPr>
              <w:t>%，灰分分量GB/T9345.1-2008，方法A ,直接燃烧未检出。（提供第三方检测机构出具检测报告复印件）</w:t>
            </w:r>
          </w:p>
          <w:p>
            <w:pPr>
              <w:widowControl/>
              <w:jc w:val="left"/>
              <w:textAlignment w:val="center"/>
              <w:rPr>
                <w:rFonts w:ascii="微软雅黑" w:hAnsi="微软雅黑" w:eastAsia="微软雅黑" w:cs="微软雅黑"/>
                <w:color w:val="auto"/>
                <w:sz w:val="16"/>
                <w:szCs w:val="16"/>
                <w:highlight w:val="none"/>
              </w:rPr>
            </w:pP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原有沙发框架利旧，新做沙发垫，如遇有破损框架需维修</w:t>
            </w:r>
          </w:p>
        </w:tc>
      </w:tr>
      <w:tr>
        <w:tblPrEx>
          <w:tblCellMar>
            <w:top w:w="0" w:type="dxa"/>
            <w:left w:w="108" w:type="dxa"/>
            <w:bottom w:w="0" w:type="dxa"/>
            <w:right w:w="108" w:type="dxa"/>
          </w:tblCellMar>
        </w:tblPrEx>
        <w:trPr>
          <w:trHeight w:val="314"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lang w:val="en-US" w:eastAsia="zh-CN"/>
              </w:rPr>
              <w:t>5</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分诊台</w:t>
            </w:r>
          </w:p>
        </w:tc>
        <w:tc>
          <w:tcPr>
            <w:tcW w:w="3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微软雅黑" w:hAnsi="微软雅黑" w:eastAsia="微软雅黑" w:cs="微软雅黑"/>
                <w:color w:val="auto"/>
                <w:sz w:val="16"/>
                <w:szCs w:val="16"/>
                <w:highlight w:val="none"/>
              </w:rPr>
            </w:pP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color w:val="auto"/>
                <w:sz w:val="16"/>
                <w:szCs w:val="16"/>
                <w:highlight w:val="none"/>
                <w:lang w:eastAsia="zh-CN"/>
              </w:rPr>
            </w:pPr>
            <w:r>
              <w:rPr>
                <w:rStyle w:val="18"/>
                <w:rFonts w:hint="default"/>
                <w:color w:val="auto"/>
                <w:sz w:val="16"/>
                <w:szCs w:val="16"/>
                <w:highlight w:val="none"/>
              </w:rPr>
              <w:drawing>
                <wp:anchor distT="0" distB="0" distL="114300" distR="114300" simplePos="0" relativeHeight="251664384" behindDoc="0" locked="0" layoutInCell="1" allowOverlap="1">
                  <wp:simplePos x="0" y="0"/>
                  <wp:positionH relativeFrom="column">
                    <wp:posOffset>2453640</wp:posOffset>
                  </wp:positionH>
                  <wp:positionV relativeFrom="paragraph">
                    <wp:posOffset>160655</wp:posOffset>
                  </wp:positionV>
                  <wp:extent cx="1663700" cy="720090"/>
                  <wp:effectExtent l="0" t="0" r="12700" b="11430"/>
                  <wp:wrapNone/>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12"/>
                          <a:stretch>
                            <a:fillRect/>
                          </a:stretch>
                        </pic:blipFill>
                        <pic:spPr>
                          <a:xfrm>
                            <a:off x="0" y="0"/>
                            <a:ext cx="1663700" cy="720090"/>
                          </a:xfrm>
                          <a:prstGeom prst="rect">
                            <a:avLst/>
                          </a:prstGeom>
                          <a:noFill/>
                          <a:ln>
                            <a:noFill/>
                          </a:ln>
                        </pic:spPr>
                      </pic:pic>
                    </a:graphicData>
                  </a:graphic>
                </wp:anchor>
              </w:drawing>
            </w:r>
            <w:r>
              <w:rPr>
                <w:color w:val="auto"/>
                <w:sz w:val="16"/>
                <w:szCs w:val="16"/>
                <w:highlight w:val="none"/>
              </w:rPr>
              <w:t>▲</w:t>
            </w:r>
            <w:r>
              <w:rPr>
                <w:rStyle w:val="18"/>
                <w:rFonts w:hint="default"/>
                <w:color w:val="auto"/>
                <w:sz w:val="16"/>
                <w:szCs w:val="16"/>
                <w:highlight w:val="none"/>
              </w:rPr>
              <w:drawing>
                <wp:anchor distT="0" distB="0" distL="114300" distR="114300" simplePos="0" relativeHeight="251665408" behindDoc="0" locked="0" layoutInCell="1" allowOverlap="1">
                  <wp:simplePos x="0" y="0"/>
                  <wp:positionH relativeFrom="column">
                    <wp:posOffset>2447925</wp:posOffset>
                  </wp:positionH>
                  <wp:positionV relativeFrom="paragraph">
                    <wp:posOffset>4239895</wp:posOffset>
                  </wp:positionV>
                  <wp:extent cx="1763395" cy="777875"/>
                  <wp:effectExtent l="0" t="0" r="4445" b="14605"/>
                  <wp:wrapNone/>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13"/>
                          <a:stretch>
                            <a:fillRect/>
                          </a:stretch>
                        </pic:blipFill>
                        <pic:spPr>
                          <a:xfrm>
                            <a:off x="0" y="0"/>
                            <a:ext cx="1763395" cy="777875"/>
                          </a:xfrm>
                          <a:prstGeom prst="rect">
                            <a:avLst/>
                          </a:prstGeom>
                          <a:noFill/>
                          <a:ln>
                            <a:noFill/>
                          </a:ln>
                        </pic:spPr>
                      </pic:pic>
                    </a:graphicData>
                  </a:graphic>
                </wp:anchor>
              </w:drawing>
            </w:r>
            <w:r>
              <w:rPr>
                <w:rStyle w:val="17"/>
                <w:rFonts w:hint="default"/>
                <w:color w:val="auto"/>
                <w:sz w:val="16"/>
                <w:szCs w:val="16"/>
                <w:highlight w:val="none"/>
              </w:rPr>
              <w:t>1.</w:t>
            </w:r>
            <w:r>
              <w:rPr>
                <w:rStyle w:val="19"/>
                <w:rFonts w:hint="default"/>
                <w:color w:val="auto"/>
                <w:sz w:val="16"/>
                <w:szCs w:val="16"/>
                <w:highlight w:val="none"/>
              </w:rPr>
              <w:t>基材</w:t>
            </w:r>
            <w:r>
              <w:rPr>
                <w:rStyle w:val="18"/>
                <w:rFonts w:hint="default"/>
                <w:color w:val="auto"/>
                <w:sz w:val="16"/>
                <w:szCs w:val="16"/>
                <w:highlight w:val="none"/>
              </w:rPr>
              <w:t>：</w:t>
            </w:r>
            <w:r>
              <w:rPr>
                <w:rFonts w:hint="default" w:ascii="微软雅黑" w:hAnsi="微软雅黑" w:eastAsia="微软雅黑" w:cs="微软雅黑"/>
                <w:color w:val="auto"/>
                <w:sz w:val="16"/>
                <w:szCs w:val="16"/>
                <w:highlight w:val="none"/>
              </w:rPr>
              <w:t>采用优质电解钢板，台架钢板厚度≥2.0mm，其余部分钢板厚度≥1.0mm，铅笔硬度GB/T6739 -2022 3H，耐冲击性（1Kg.50cm)GB/T1732-2020无剥落、裂纹、皱纹；漆膜厚度GB/T 13452.2-2008 1.26mm；耐碱性【饱和Ca(OH)2】GB/T  9274-1988  24小时无异常；耐酸性（3%HC1）24h无异常；耐油性（24h液压油）GB/T  9274-1988无异常；外观性能要求GB/T3325-2017：金属件-喷涂层，涂层无漏喷，锈蚀和脱色、掉色现象；涂层光滑均匀、色泽一致、无流挂、疙瘩、皱皮、飞漆缺陷。耐水性2h GB/T1733-1993,无失光、变色、起泡、起皱、脱落、生锈等现象。表面处理：采用优质环氧树脂静电粉末喷涂，涂膜外观正常，干附着力≤1级。</w:t>
            </w:r>
            <w:r>
              <w:rPr>
                <w:rFonts w:hint="eastAsia" w:ascii="微软雅黑" w:hAnsi="微软雅黑" w:eastAsia="微软雅黑" w:cs="微软雅黑"/>
                <w:color w:val="auto"/>
                <w:sz w:val="16"/>
                <w:szCs w:val="16"/>
                <w:highlight w:val="none"/>
              </w:rPr>
              <w:t>（提供第三方检测机构出具检测报告复印件）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lang w:eastAsia="zh-CN"/>
              </w:rPr>
            </w:pPr>
            <w:r>
              <w:rPr>
                <w:color w:val="auto"/>
                <w:sz w:val="16"/>
                <w:szCs w:val="16"/>
                <w:highlight w:val="none"/>
              </w:rPr>
              <w:t>▲</w:t>
            </w:r>
            <w:r>
              <w:rPr>
                <w:rStyle w:val="19"/>
                <w:rFonts w:hint="default"/>
                <w:color w:val="auto"/>
                <w:sz w:val="16"/>
                <w:szCs w:val="16"/>
                <w:highlight w:val="none"/>
              </w:rPr>
              <w:t>2.台面</w:t>
            </w:r>
            <w:r>
              <w:rPr>
                <w:rStyle w:val="18"/>
                <w:rFonts w:hint="default"/>
                <w:color w:val="auto"/>
                <w:sz w:val="16"/>
                <w:szCs w:val="16"/>
                <w:highlight w:val="none"/>
              </w:rPr>
              <w:t>：</w:t>
            </w:r>
            <w:r>
              <w:rPr>
                <w:rFonts w:hint="default" w:ascii="微软雅黑" w:hAnsi="微软雅黑" w:eastAsia="微软雅黑" w:cs="微软雅黑"/>
                <w:color w:val="auto"/>
                <w:sz w:val="16"/>
                <w:szCs w:val="16"/>
                <w:highlight w:val="none"/>
              </w:rPr>
              <w:t>采用亚克力人造石，外观质量</w:t>
            </w:r>
            <w:r>
              <w:rPr>
                <w:rFonts w:hint="eastAsia" w:ascii="微软雅黑" w:hAnsi="微软雅黑" w:eastAsia="微软雅黑" w:cs="微软雅黑"/>
                <w:color w:val="auto"/>
                <w:sz w:val="16"/>
                <w:szCs w:val="16"/>
                <w:highlight w:val="none"/>
                <w:lang w:eastAsia="zh-CN"/>
              </w:rPr>
              <w:t>满足</w:t>
            </w:r>
            <w:r>
              <w:rPr>
                <w:rFonts w:hint="default" w:ascii="微软雅黑" w:hAnsi="微软雅黑" w:eastAsia="微软雅黑" w:cs="微软雅黑"/>
                <w:color w:val="auto"/>
                <w:sz w:val="16"/>
                <w:szCs w:val="16"/>
                <w:highlight w:val="none"/>
              </w:rPr>
              <w:t xml:space="preserve">JC/T908-2013 </w:t>
            </w:r>
            <w:r>
              <w:rPr>
                <w:rFonts w:hint="eastAsia" w:ascii="微软雅黑" w:hAnsi="微软雅黑" w:eastAsia="微软雅黑" w:cs="微软雅黑"/>
                <w:color w:val="auto"/>
                <w:sz w:val="16"/>
                <w:szCs w:val="16"/>
                <w:highlight w:val="none"/>
                <w:lang w:eastAsia="zh-CN"/>
              </w:rPr>
              <w:t>，</w:t>
            </w:r>
            <w:r>
              <w:rPr>
                <w:rFonts w:hint="default" w:ascii="微软雅黑" w:hAnsi="微软雅黑" w:eastAsia="微软雅黑" w:cs="微软雅黑"/>
                <w:color w:val="auto"/>
                <w:sz w:val="16"/>
                <w:szCs w:val="16"/>
                <w:highlight w:val="none"/>
              </w:rPr>
              <w:t>色泽均匀一致，没有明显色差，板边四面平整，图案清晰、花纹明显、表面光滑平整，无波纹、方料痕、刮痕、裂纹、拼接无缝隙，  放射性项目符合：GB6566-2010 标准A类要求，内照射指数A类:≤0.1，外照射指数A类:≤0.1。</w:t>
            </w:r>
            <w:r>
              <w:rPr>
                <w:rFonts w:hint="eastAsia" w:ascii="微软雅黑" w:hAnsi="微软雅黑" w:eastAsia="微软雅黑" w:cs="微软雅黑"/>
                <w:color w:val="auto"/>
                <w:sz w:val="16"/>
                <w:szCs w:val="16"/>
                <w:highlight w:val="none"/>
              </w:rPr>
              <w:t>（提供第三方检测机构出具检测报告复印件）</w:t>
            </w:r>
          </w:p>
          <w:p>
            <w:pPr>
              <w:widowControl/>
              <w:jc w:val="left"/>
              <w:textAlignment w:val="center"/>
              <w:rPr>
                <w:rFonts w:hint="default" w:ascii="微软雅黑" w:hAnsi="微软雅黑" w:eastAsia="微软雅黑" w:cs="微软雅黑"/>
                <w:color w:val="auto"/>
                <w:sz w:val="16"/>
                <w:szCs w:val="16"/>
                <w:highlight w:val="none"/>
              </w:rPr>
            </w:pPr>
            <w:r>
              <w:rPr>
                <w:rStyle w:val="19"/>
                <w:rFonts w:hint="default"/>
                <w:color w:val="auto"/>
                <w:sz w:val="16"/>
                <w:szCs w:val="16"/>
                <w:highlight w:val="none"/>
              </w:rPr>
              <w:t>3.踢脚线</w:t>
            </w:r>
            <w:r>
              <w:rPr>
                <w:rFonts w:hint="eastAsia" w:ascii="微软雅黑" w:hAnsi="微软雅黑" w:eastAsia="微软雅黑" w:cs="微软雅黑"/>
                <w:color w:val="auto"/>
                <w:sz w:val="16"/>
                <w:szCs w:val="16"/>
                <w:highlight w:val="none"/>
              </w:rPr>
              <w:t>：</w:t>
            </w:r>
            <w:r>
              <w:rPr>
                <w:rFonts w:hint="default" w:ascii="微软雅黑" w:hAnsi="微软雅黑" w:eastAsia="微软雅黑" w:cs="微软雅黑"/>
                <w:color w:val="auto"/>
                <w:sz w:val="16"/>
                <w:szCs w:val="16"/>
                <w:highlight w:val="none"/>
              </w:rPr>
              <w:t xml:space="preserve">采用≥0.8mm优质304不锈钢踢脚线；高度为100mm，内陷深度≥20mm,台前操作时脚部无抵脚感，符合人体工程学原理，具强大的防污功能，方便打扫清理，无锈蚀和脱色、掉色现象，涂层光滑均匀，色泽一致，无流挂、疙瘩、皱皮、飞漆等缺陷。 </w:t>
            </w:r>
          </w:p>
          <w:p>
            <w:pPr>
              <w:widowControl/>
              <w:jc w:val="left"/>
              <w:textAlignment w:val="center"/>
              <w:rPr>
                <w:rStyle w:val="18"/>
                <w:color w:val="auto"/>
                <w:sz w:val="16"/>
                <w:szCs w:val="16"/>
                <w:highlight w:val="none"/>
              </w:rPr>
            </w:pPr>
            <w:r>
              <w:rPr>
                <w:rFonts w:hint="eastAsia" w:ascii="微软雅黑" w:hAnsi="微软雅黑" w:eastAsia="微软雅黑" w:cs="微软雅黑"/>
                <w:b/>
                <w:bCs/>
                <w:color w:val="auto"/>
                <w:sz w:val="16"/>
                <w:szCs w:val="16"/>
                <w:highlight w:val="none"/>
                <w:lang w:val="en-US" w:eastAsia="zh-CN"/>
              </w:rPr>
              <w:t>4</w:t>
            </w:r>
            <w:r>
              <w:rPr>
                <w:rFonts w:hint="default" w:ascii="微软雅黑" w:hAnsi="微软雅黑" w:eastAsia="微软雅黑" w:cs="微软雅黑"/>
                <w:b/>
                <w:bCs/>
                <w:color w:val="auto"/>
                <w:sz w:val="16"/>
                <w:szCs w:val="16"/>
                <w:highlight w:val="none"/>
              </w:rPr>
              <w:t>铰链</w:t>
            </w:r>
            <w:r>
              <w:rPr>
                <w:rFonts w:hint="default" w:ascii="微软雅黑" w:hAnsi="微软雅黑" w:eastAsia="微软雅黑" w:cs="微软雅黑"/>
                <w:color w:val="auto"/>
                <w:sz w:val="16"/>
                <w:szCs w:val="16"/>
                <w:highlight w:val="none"/>
              </w:rPr>
              <w:t>：采用液压阻尼铰链，开合度110度，二段力开启时轻柔，单个门承重力35kg，门关闭末端自动闭合。</w:t>
            </w:r>
            <w:r>
              <w:rPr>
                <w:rFonts w:hint="eastAsia" w:ascii="微软雅黑" w:hAnsi="微软雅黑" w:eastAsia="微软雅黑" w:cs="微软雅黑"/>
                <w:color w:val="auto"/>
                <w:sz w:val="16"/>
                <w:szCs w:val="16"/>
                <w:highlight w:val="none"/>
                <w:lang w:eastAsia="zh-CN"/>
              </w:rPr>
              <w:t>建议品牌：迪森、悍高、固特、</w:t>
            </w:r>
            <w:r>
              <w:rPr>
                <w:rFonts w:hint="eastAsia" w:ascii="微软雅黑" w:hAnsi="微软雅黑" w:eastAsia="微软雅黑" w:cs="微软雅黑"/>
                <w:color w:val="auto"/>
                <w:sz w:val="16"/>
                <w:szCs w:val="16"/>
                <w:highlight w:val="none"/>
                <w:lang w:val="en-US" w:eastAsia="zh-CN"/>
              </w:rPr>
              <w:t>DTC.</w:t>
            </w:r>
          </w:p>
          <w:p>
            <w:pPr>
              <w:widowControl/>
              <w:numPr>
                <w:ilvl w:val="0"/>
                <w:numId w:val="0"/>
              </w:numPr>
              <w:jc w:val="left"/>
              <w:textAlignment w:val="center"/>
              <w:rPr>
                <w:rFonts w:ascii="微软雅黑" w:hAnsi="微软雅黑" w:eastAsia="微软雅黑" w:cs="微软雅黑"/>
                <w:color w:val="auto"/>
                <w:sz w:val="16"/>
                <w:szCs w:val="16"/>
                <w:highlight w:val="none"/>
              </w:rPr>
            </w:pPr>
            <w:r>
              <w:rPr>
                <w:rStyle w:val="17"/>
                <w:rFonts w:hint="default"/>
                <w:color w:val="auto"/>
                <w:sz w:val="16"/>
                <w:szCs w:val="16"/>
                <w:highlight w:val="none"/>
              </w:rPr>
              <w:t>5.导轨：</w:t>
            </w:r>
            <w:r>
              <w:rPr>
                <w:rFonts w:hint="eastAsia" w:ascii="微软雅黑" w:hAnsi="微软雅黑" w:eastAsia="微软雅黑" w:cs="微软雅黑"/>
                <w:color w:val="auto"/>
                <w:sz w:val="16"/>
                <w:szCs w:val="16"/>
                <w:highlight w:val="none"/>
                <w:lang w:eastAsia="zh-CN"/>
              </w:rPr>
              <w:t>采用三节静音导轨，抽拉自如，抽屉内能放置30kg负载重量，静音效果好，使用寿命长。建议品牌：迪森、悍高、固特、</w:t>
            </w:r>
            <w:r>
              <w:rPr>
                <w:rFonts w:hint="eastAsia" w:ascii="微软雅黑" w:hAnsi="微软雅黑" w:eastAsia="微软雅黑" w:cs="微软雅黑"/>
                <w:color w:val="auto"/>
                <w:sz w:val="16"/>
                <w:szCs w:val="16"/>
                <w:highlight w:val="none"/>
                <w:lang w:val="en-US" w:eastAsia="zh-CN"/>
              </w:rPr>
              <w:t>DTC.</w:t>
            </w:r>
            <w:r>
              <w:rPr>
                <w:rFonts w:hint="eastAsia" w:ascii="微软雅黑" w:hAnsi="微软雅黑" w:eastAsia="微软雅黑" w:cs="微软雅黑"/>
                <w:color w:val="auto"/>
                <w:sz w:val="16"/>
                <w:szCs w:val="16"/>
                <w:highlight w:val="none"/>
              </w:rPr>
              <w:t xml:space="preserve">                                                                                                                                                                                                 </w:t>
            </w:r>
          </w:p>
        </w:tc>
        <w:tc>
          <w:tcPr>
            <w:tcW w:w="139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color w:val="auto"/>
                <w:sz w:val="16"/>
                <w:szCs w:val="16"/>
                <w:highlight w:val="none"/>
              </w:rPr>
            </w:pPr>
          </w:p>
          <w:p>
            <w:pPr>
              <w:jc w:val="left"/>
              <w:rPr>
                <w:color w:val="auto"/>
                <w:sz w:val="16"/>
                <w:szCs w:val="16"/>
                <w:highlight w:val="none"/>
              </w:rPr>
            </w:pPr>
          </w:p>
          <w:p>
            <w:pPr>
              <w:jc w:val="left"/>
              <w:rPr>
                <w:color w:val="auto"/>
                <w:sz w:val="16"/>
                <w:szCs w:val="16"/>
                <w:highlight w:val="none"/>
              </w:rPr>
            </w:pPr>
            <w:r>
              <w:rPr>
                <w:color w:val="auto"/>
                <w:sz w:val="16"/>
                <w:szCs w:val="16"/>
                <w:highlight w:val="none"/>
              </w:rPr>
              <w:drawing>
                <wp:inline distT="0" distB="0" distL="114300" distR="114300">
                  <wp:extent cx="1764030" cy="838835"/>
                  <wp:effectExtent l="0" t="0" r="3810" b="14605"/>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14"/>
                          <a:stretch>
                            <a:fillRect/>
                          </a:stretch>
                        </pic:blipFill>
                        <pic:spPr>
                          <a:xfrm>
                            <a:off x="0" y="0"/>
                            <a:ext cx="1764030" cy="838835"/>
                          </a:xfrm>
                          <a:prstGeom prst="rect">
                            <a:avLst/>
                          </a:prstGeom>
                          <a:noFill/>
                          <a:ln>
                            <a:noFill/>
                          </a:ln>
                        </pic:spPr>
                      </pic:pic>
                    </a:graphicData>
                  </a:graphic>
                </wp:inline>
              </w:drawing>
            </w:r>
          </w:p>
          <w:p>
            <w:pPr>
              <w:jc w:val="left"/>
              <w:rPr>
                <w:color w:val="auto"/>
                <w:sz w:val="16"/>
                <w:szCs w:val="16"/>
                <w:highlight w:val="none"/>
              </w:rPr>
            </w:pPr>
          </w:p>
          <w:p>
            <w:pPr>
              <w:jc w:val="left"/>
              <w:rPr>
                <w:rFonts w:hAnsi="宋体" w:cs="宋体"/>
                <w:color w:val="auto"/>
                <w:sz w:val="16"/>
                <w:szCs w:val="16"/>
                <w:highlight w:val="none"/>
              </w:rPr>
            </w:pPr>
          </w:p>
          <w:p>
            <w:pPr>
              <w:jc w:val="left"/>
              <w:rPr>
                <w:rFonts w:hAnsi="宋体" w:cs="宋体"/>
                <w:color w:val="auto"/>
                <w:sz w:val="16"/>
                <w:szCs w:val="16"/>
                <w:highlight w:val="none"/>
              </w:rPr>
            </w:pPr>
          </w:p>
          <w:p>
            <w:pPr>
              <w:jc w:val="left"/>
              <w:rPr>
                <w:rFonts w:hAnsi="宋体" w:cs="宋体"/>
                <w:color w:val="auto"/>
                <w:sz w:val="16"/>
                <w:szCs w:val="16"/>
                <w:highlight w:val="none"/>
              </w:rPr>
            </w:pPr>
          </w:p>
          <w:p>
            <w:pPr>
              <w:jc w:val="left"/>
              <w:rPr>
                <w:rFonts w:hAnsi="宋体" w:cs="宋体"/>
                <w:color w:val="auto"/>
                <w:sz w:val="16"/>
                <w:szCs w:val="16"/>
                <w:highlight w:val="none"/>
              </w:rPr>
            </w:pPr>
          </w:p>
          <w:p>
            <w:pPr>
              <w:jc w:val="left"/>
              <w:rPr>
                <w:rFonts w:hAnsi="宋体" w:cs="宋体"/>
                <w:color w:val="auto"/>
                <w:sz w:val="16"/>
                <w:szCs w:val="16"/>
                <w:highlight w:val="none"/>
              </w:rPr>
            </w:pPr>
          </w:p>
          <w:p>
            <w:pPr>
              <w:jc w:val="left"/>
              <w:rPr>
                <w:rFonts w:hAnsi="宋体" w:cs="宋体"/>
                <w:color w:val="auto"/>
                <w:sz w:val="16"/>
                <w:szCs w:val="16"/>
                <w:highlight w:val="none"/>
              </w:rPr>
            </w:pPr>
          </w:p>
          <w:p>
            <w:pPr>
              <w:jc w:val="left"/>
              <w:rPr>
                <w:rFonts w:hAnsi="宋体" w:cs="宋体"/>
                <w:color w:val="auto"/>
                <w:sz w:val="16"/>
                <w:szCs w:val="16"/>
                <w:highlight w:val="none"/>
              </w:rPr>
            </w:pPr>
          </w:p>
          <w:p>
            <w:pPr>
              <w:ind w:firstLine="480" w:firstLineChars="300"/>
              <w:jc w:val="left"/>
              <w:rPr>
                <w:rFonts w:hint="eastAsia" w:hAnsi="宋体" w:eastAsia="宋体" w:cs="宋体"/>
                <w:color w:val="auto"/>
                <w:sz w:val="16"/>
                <w:szCs w:val="16"/>
                <w:highlight w:val="none"/>
                <w:lang w:val="en-US" w:eastAsia="zh-CN"/>
              </w:rPr>
            </w:pP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left"/>
              <w:textAlignment w:val="center"/>
              <w:rPr>
                <w:rFonts w:hAnsi="宋体" w:cs="宋体"/>
                <w:color w:val="auto"/>
                <w:sz w:val="16"/>
                <w:szCs w:val="16"/>
                <w:highlight w:val="none"/>
              </w:rPr>
            </w:pPr>
          </w:p>
        </w:tc>
      </w:tr>
      <w:tr>
        <w:tblPrEx>
          <w:tblCellMar>
            <w:top w:w="0" w:type="dxa"/>
            <w:left w:w="108" w:type="dxa"/>
            <w:bottom w:w="0" w:type="dxa"/>
            <w:right w:w="108" w:type="dxa"/>
          </w:tblCellMar>
        </w:tblPrEx>
        <w:trPr>
          <w:trHeight w:val="2218"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lang w:val="en-US" w:eastAsia="zh-CN"/>
              </w:rPr>
              <w:t>6</w:t>
            </w:r>
          </w:p>
        </w:tc>
        <w:tc>
          <w:tcPr>
            <w:tcW w:w="5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活动抽屉柜+操作台吊柜</w:t>
            </w:r>
          </w:p>
        </w:tc>
        <w:tc>
          <w:tcPr>
            <w:tcW w:w="31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常规</w:t>
            </w: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b/>
                <w:color w:val="auto"/>
                <w:sz w:val="16"/>
                <w:szCs w:val="16"/>
                <w:highlight w:val="none"/>
              </w:rPr>
            </w:pPr>
            <w:r>
              <w:rPr>
                <w:rFonts w:hint="eastAsia" w:ascii="微软雅黑" w:hAnsi="微软雅黑" w:eastAsia="微软雅黑" w:cs="微软雅黑"/>
                <w:b/>
                <w:color w:val="auto"/>
                <w:sz w:val="16"/>
                <w:szCs w:val="16"/>
                <w:highlight w:val="none"/>
              </w:rPr>
              <w:t>1.柜体要求：</w:t>
            </w:r>
            <w:r>
              <w:rPr>
                <w:rFonts w:hint="eastAsia" w:ascii="微软雅黑" w:hAnsi="微软雅黑" w:eastAsia="微软雅黑" w:cs="微软雅黑"/>
                <w:color w:val="auto"/>
                <w:sz w:val="16"/>
                <w:szCs w:val="16"/>
                <w:highlight w:val="none"/>
              </w:rPr>
              <w:t>规格尺寸及其偏差： 长度偏差 ±1.5mm/m，宽度偏差±1.5mm/n，厚度偏差±1.0 mm，垂直度≤1mm/m，长度宽度≤1mm/m，平整度≤1%；  外观质量 应符合GB/T 347222017标准第5.2条中规定的要求。</w:t>
            </w:r>
          </w:p>
          <w:p>
            <w:pPr>
              <w:widowControl/>
              <w:jc w:val="left"/>
              <w:textAlignment w:val="center"/>
              <w:rPr>
                <w:rFonts w:hint="eastAsia" w:ascii="微软雅黑" w:hAnsi="微软雅黑" w:eastAsia="微软雅黑" w:cs="微软雅黑"/>
                <w:color w:val="auto"/>
                <w:sz w:val="16"/>
                <w:szCs w:val="16"/>
                <w:highlight w:val="none"/>
                <w:lang w:eastAsia="zh-CN"/>
              </w:rPr>
            </w:pPr>
            <w:r>
              <w:rPr>
                <w:rFonts w:hint="eastAsia" w:ascii="仿宋_GB2312" w:hAnsi="仿宋_GB2312" w:eastAsia="仿宋_GB2312" w:cs="仿宋_GB2312"/>
                <w:color w:val="auto"/>
                <w:sz w:val="16"/>
                <w:szCs w:val="16"/>
                <w:highlight w:val="none"/>
              </w:rPr>
              <w:t>※</w:t>
            </w:r>
            <w:r>
              <w:rPr>
                <w:rFonts w:hint="eastAsia" w:ascii="微软雅黑" w:hAnsi="微软雅黑" w:eastAsia="微软雅黑" w:cs="微软雅黑"/>
                <w:b/>
                <w:color w:val="auto"/>
                <w:sz w:val="16"/>
                <w:szCs w:val="16"/>
                <w:highlight w:val="none"/>
              </w:rPr>
              <w:t>2.柜体</w:t>
            </w:r>
            <w:r>
              <w:rPr>
                <w:rStyle w:val="17"/>
                <w:rFonts w:hint="default"/>
                <w:color w:val="auto"/>
                <w:sz w:val="16"/>
                <w:szCs w:val="16"/>
                <w:highlight w:val="none"/>
              </w:rPr>
              <w:t>基材</w:t>
            </w:r>
            <w:r>
              <w:rPr>
                <w:rFonts w:hint="eastAsia" w:ascii="微软雅黑" w:hAnsi="微软雅黑" w:eastAsia="微软雅黑" w:cs="微软雅黑"/>
                <w:color w:val="auto"/>
                <w:sz w:val="16"/>
                <w:szCs w:val="16"/>
                <w:highlight w:val="none"/>
              </w:rPr>
              <w:t>：国标E0级实木（厚度17.5mm-18mm)多层板，甲醛释放量≤0.05mg/m³、总挥发性有机化合物（TVOC）≤80ug/m、苯≤10ug/m³、甲苯≤20ug/m³、二甲苯≤20ug/m³。（提供第三方检测机构出具检测报告复印件）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lang w:eastAsia="zh-CN"/>
              </w:rPr>
            </w:pPr>
            <w:r>
              <w:rPr>
                <w:rFonts w:hint="eastAsia" w:ascii="仿宋_GB2312" w:hAnsi="仿宋_GB2312" w:eastAsia="仿宋_GB2312" w:cs="仿宋_GB2312"/>
                <w:color w:val="auto"/>
                <w:sz w:val="16"/>
                <w:szCs w:val="16"/>
                <w:highlight w:val="none"/>
              </w:rPr>
              <w:t>※</w:t>
            </w:r>
            <w:r>
              <w:rPr>
                <w:rFonts w:hint="eastAsia" w:ascii="微软雅黑" w:hAnsi="微软雅黑" w:eastAsia="微软雅黑" w:cs="微软雅黑"/>
                <w:b/>
                <w:color w:val="auto"/>
                <w:sz w:val="16"/>
                <w:szCs w:val="16"/>
                <w:highlight w:val="none"/>
              </w:rPr>
              <w:t>3.门板基材</w:t>
            </w:r>
            <w:r>
              <w:rPr>
                <w:rFonts w:hint="eastAsia" w:ascii="微软雅黑" w:hAnsi="微软雅黑" w:eastAsia="微软雅黑" w:cs="微软雅黑"/>
                <w:color w:val="auto"/>
                <w:sz w:val="16"/>
                <w:szCs w:val="16"/>
                <w:highlight w:val="none"/>
              </w:rPr>
              <w:t>：国标E0级LSB刨花板（17.5mm-18mm）,GB/T 4897-2015《刨花板》;GB18580-2017《室内装饰装修材料人造板及其制品中甲醛释放限量》 GB/T 39600-2021《人造板及其制品甲醛释放量分级》 根据GB/T 4897-2015《刨花板》、GB18580-2017《室内装饰装修材料人造板及其制品中甲醛释放限量》标准检验，所检项目符合标准要求。甲醛释放量Eo≤0.050 mg/m3。（提供第三方检测机构出具检测报告复印件）</w:t>
            </w:r>
          </w:p>
          <w:p>
            <w:pPr>
              <w:widowControl/>
              <w:jc w:val="left"/>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b/>
                <w:color w:val="auto"/>
                <w:sz w:val="16"/>
                <w:szCs w:val="16"/>
                <w:highlight w:val="none"/>
              </w:rPr>
              <w:t>4.背板基材</w:t>
            </w:r>
            <w:r>
              <w:rPr>
                <w:rFonts w:hint="eastAsia" w:ascii="微软雅黑" w:hAnsi="微软雅黑" w:eastAsia="微软雅黑" w:cs="微软雅黑"/>
                <w:color w:val="auto"/>
                <w:sz w:val="16"/>
                <w:szCs w:val="16"/>
                <w:highlight w:val="none"/>
              </w:rPr>
              <w:t>：背板采用E0（厚9mm）刨花板,GB/T 4897-2015《刨花板》;GB18580-2017《室内装饰装修材料人造板及其制品中甲醛释放限量》，GB/T 39600-2021《人造板及其制品甲醛释放量分级》，甲醛释放量Eo≤0.050mg/m3 。（提供第三方检测机构出具检测报告复印件）                                                                                                                                                                                                         5.</w:t>
            </w:r>
            <w:r>
              <w:rPr>
                <w:rFonts w:hint="eastAsia" w:ascii="微软雅黑" w:hAnsi="微软雅黑" w:eastAsia="微软雅黑" w:cs="微软雅黑"/>
                <w:b/>
                <w:color w:val="auto"/>
                <w:sz w:val="16"/>
                <w:szCs w:val="16"/>
                <w:highlight w:val="none"/>
              </w:rPr>
              <w:t>封边</w:t>
            </w:r>
            <w:r>
              <w:rPr>
                <w:rFonts w:hint="eastAsia" w:ascii="微软雅黑" w:hAnsi="微软雅黑" w:eastAsia="微软雅黑" w:cs="微软雅黑"/>
                <w:color w:val="auto"/>
                <w:sz w:val="16"/>
                <w:szCs w:val="16"/>
                <w:highlight w:val="none"/>
              </w:rPr>
              <w:t>：采用同色PVC封边条，封边条厚度1.2MM（异形封边除外）。                                                                                                                                                                                           6.</w:t>
            </w:r>
            <w:r>
              <w:rPr>
                <w:rFonts w:hint="eastAsia" w:ascii="微软雅黑" w:hAnsi="微软雅黑" w:eastAsia="微软雅黑" w:cs="微软雅黑"/>
                <w:b/>
                <w:color w:val="auto"/>
                <w:sz w:val="16"/>
                <w:szCs w:val="16"/>
                <w:highlight w:val="none"/>
              </w:rPr>
              <w:t>配件</w:t>
            </w:r>
            <w:r>
              <w:rPr>
                <w:rFonts w:hint="eastAsia" w:ascii="微软雅黑" w:hAnsi="微软雅黑" w:eastAsia="微软雅黑" w:cs="微软雅黑"/>
                <w:color w:val="auto"/>
                <w:sz w:val="16"/>
                <w:szCs w:val="16"/>
                <w:highlight w:val="none"/>
              </w:rPr>
              <w:t>：采用优质五金配件，（阻尼门铰，三节缓冲导轨，拉手，三合一连接件）均符合《家具五金通用技术条件》。</w:t>
            </w:r>
            <w:r>
              <w:rPr>
                <w:rFonts w:hAnsi="宋体"/>
                <w:color w:val="auto"/>
                <w:sz w:val="16"/>
                <w:szCs w:val="16"/>
                <w:highlight w:val="none"/>
              </w:rPr>
              <w:t>轮子：尼龙万向轮</w:t>
            </w:r>
            <w:r>
              <w:rPr>
                <w:rStyle w:val="18"/>
                <w:rFonts w:hint="default"/>
                <w:b/>
                <w:color w:val="auto"/>
                <w:sz w:val="16"/>
                <w:szCs w:val="16"/>
                <w:highlight w:val="none"/>
              </w:rPr>
              <w:t>。</w:t>
            </w:r>
            <w:r>
              <w:rPr>
                <w:rStyle w:val="18"/>
                <w:color w:val="auto"/>
                <w:sz w:val="16"/>
                <w:szCs w:val="16"/>
                <w:highlight w:val="none"/>
              </w:rPr>
              <w:t>铰链</w:t>
            </w:r>
            <w:r>
              <w:rPr>
                <w:rStyle w:val="18"/>
                <w:rFonts w:hint="default"/>
                <w:color w:val="auto"/>
                <w:sz w:val="16"/>
                <w:szCs w:val="16"/>
                <w:highlight w:val="none"/>
              </w:rPr>
              <w:t>：</w:t>
            </w:r>
            <w:r>
              <w:rPr>
                <w:rStyle w:val="18"/>
                <w:color w:val="auto"/>
                <w:sz w:val="16"/>
                <w:szCs w:val="16"/>
                <w:highlight w:val="none"/>
              </w:rPr>
              <w:t>采用液压阻尼铰链，开合度110度，二段力开启时轻柔，单个门承重力35kg</w:t>
            </w:r>
            <w:r>
              <w:rPr>
                <w:rStyle w:val="18"/>
                <w:rFonts w:hint="default"/>
                <w:color w:val="auto"/>
                <w:sz w:val="16"/>
                <w:szCs w:val="16"/>
                <w:highlight w:val="none"/>
              </w:rPr>
              <w:t>，门关闭末端自动闭合。</w:t>
            </w:r>
            <w:r>
              <w:rPr>
                <w:rStyle w:val="17"/>
                <w:rFonts w:hint="default"/>
                <w:b w:val="0"/>
                <w:color w:val="auto"/>
                <w:sz w:val="16"/>
                <w:szCs w:val="16"/>
                <w:highlight w:val="none"/>
              </w:rPr>
              <w:t>导轨</w:t>
            </w:r>
            <w:r>
              <w:rPr>
                <w:rStyle w:val="17"/>
                <w:rFonts w:hint="default"/>
                <w:color w:val="auto"/>
                <w:sz w:val="16"/>
                <w:szCs w:val="16"/>
                <w:highlight w:val="none"/>
              </w:rPr>
              <w:t>：</w:t>
            </w:r>
            <w:r>
              <w:rPr>
                <w:rFonts w:hint="eastAsia" w:ascii="微软雅黑" w:hAnsi="微软雅黑" w:eastAsia="微软雅黑" w:cs="微软雅黑"/>
                <w:color w:val="auto"/>
                <w:sz w:val="16"/>
                <w:szCs w:val="16"/>
                <w:highlight w:val="none"/>
              </w:rPr>
              <w:t>采用三节静音导轨，抽拉自如，抽屉内能放置30kg负载重量，静音效果好，使用寿命长。</w:t>
            </w:r>
            <w:r>
              <w:rPr>
                <w:rFonts w:hint="eastAsia" w:ascii="微软雅黑" w:hAnsi="微软雅黑" w:eastAsia="微软雅黑" w:cs="微软雅黑"/>
                <w:color w:val="auto"/>
                <w:sz w:val="16"/>
                <w:szCs w:val="16"/>
                <w:highlight w:val="none"/>
                <w:lang w:eastAsia="zh-CN"/>
              </w:rPr>
              <w:t>建议品牌：迪森、悍高、固特、</w:t>
            </w:r>
            <w:r>
              <w:rPr>
                <w:rFonts w:hint="eastAsia" w:ascii="微软雅黑" w:hAnsi="微软雅黑" w:eastAsia="微软雅黑" w:cs="微软雅黑"/>
                <w:color w:val="auto"/>
                <w:sz w:val="16"/>
                <w:szCs w:val="16"/>
                <w:highlight w:val="none"/>
                <w:lang w:val="en-US" w:eastAsia="zh-CN"/>
              </w:rPr>
              <w:t>DTC.</w:t>
            </w:r>
          </w:p>
          <w:p>
            <w:pPr>
              <w:widowControl/>
              <w:jc w:val="left"/>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 xml:space="preserve">                                                                       </w:t>
            </w:r>
            <w:r>
              <w:rPr>
                <w:rFonts w:hint="eastAsia" w:ascii="微软雅黑" w:hAnsi="微软雅黑" w:eastAsia="微软雅黑" w:cs="微软雅黑"/>
                <w:b/>
                <w:color w:val="auto"/>
                <w:sz w:val="16"/>
                <w:szCs w:val="16"/>
                <w:highlight w:val="none"/>
              </w:rPr>
              <w:t>7.</w:t>
            </w:r>
            <w:r>
              <w:rPr>
                <w:rFonts w:ascii="微软雅黑" w:hAnsi="微软雅黑" w:eastAsia="微软雅黑" w:cs="微软雅黑"/>
                <w:b/>
                <w:color w:val="auto"/>
                <w:sz w:val="16"/>
                <w:szCs w:val="16"/>
                <w:highlight w:val="none"/>
              </w:rPr>
              <w:t>成品要求</w:t>
            </w:r>
            <w:r>
              <w:rPr>
                <w:rFonts w:ascii="微软雅黑" w:hAnsi="微软雅黑" w:eastAsia="微软雅黑" w:cs="微软雅黑"/>
                <w:color w:val="auto"/>
                <w:sz w:val="16"/>
                <w:szCs w:val="16"/>
                <w:highlight w:val="none"/>
              </w:rPr>
              <w:t>：成品无锐利棱角、毛刺以及小五金部件露出的锐利尖角。成品符合</w:t>
            </w:r>
            <w:r>
              <w:rPr>
                <w:rFonts w:hint="eastAsia" w:ascii="微软雅黑" w:hAnsi="微软雅黑" w:eastAsia="微软雅黑" w:cs="微软雅黑"/>
                <w:color w:val="auto"/>
                <w:sz w:val="16"/>
                <w:szCs w:val="16"/>
                <w:highlight w:val="none"/>
              </w:rPr>
              <w:t>GB/T 3324-2017《木家具通用技术条件》</w:t>
            </w:r>
            <w:r>
              <w:rPr>
                <w:rFonts w:ascii="微软雅黑" w:hAnsi="微软雅黑" w:eastAsia="微软雅黑" w:cs="微软雅黑"/>
                <w:color w:val="auto"/>
                <w:sz w:val="16"/>
                <w:szCs w:val="16"/>
                <w:highlight w:val="none"/>
              </w:rPr>
              <w:t>。</w:t>
            </w: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r>
              <w:rPr>
                <w:rFonts w:hint="eastAsia" w:hAnsi="宋体" w:cs="宋体"/>
                <w:color w:val="auto"/>
                <w:sz w:val="22"/>
                <w:szCs w:val="22"/>
                <w:highlight w:val="none"/>
              </w:rPr>
              <w:drawing>
                <wp:anchor distT="0" distB="0" distL="114300" distR="114300" simplePos="0" relativeHeight="251667456" behindDoc="0" locked="0" layoutInCell="1" allowOverlap="1">
                  <wp:simplePos x="0" y="0"/>
                  <wp:positionH relativeFrom="column">
                    <wp:posOffset>-50165</wp:posOffset>
                  </wp:positionH>
                  <wp:positionV relativeFrom="paragraph">
                    <wp:posOffset>193675</wp:posOffset>
                  </wp:positionV>
                  <wp:extent cx="1634490" cy="1226185"/>
                  <wp:effectExtent l="0" t="0" r="11430" b="8255"/>
                  <wp:wrapNone/>
                  <wp:docPr id="3" name="图片 18" descr="9ea6fc1813b385a69f7ac6617b0bed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8" descr="9ea6fc1813b385a69f7ac6617b0bedcb"/>
                          <pic:cNvPicPr>
                            <a:picLocks noChangeAspect="1"/>
                          </pic:cNvPicPr>
                        </pic:nvPicPr>
                        <pic:blipFill>
                          <a:blip r:embed="rId15"/>
                          <a:stretch>
                            <a:fillRect/>
                          </a:stretch>
                        </pic:blipFill>
                        <pic:spPr>
                          <a:xfrm>
                            <a:off x="0" y="0"/>
                            <a:ext cx="1634490" cy="1226185"/>
                          </a:xfrm>
                          <a:prstGeom prst="rect">
                            <a:avLst/>
                          </a:prstGeom>
                        </pic:spPr>
                      </pic:pic>
                    </a:graphicData>
                  </a:graphic>
                </wp:anchor>
              </w:drawing>
            </w:r>
            <w:r>
              <w:rPr>
                <w:rFonts w:hint="eastAsia" w:hAnsi="宋体" w:cs="宋体"/>
                <w:color w:val="auto"/>
                <w:sz w:val="16"/>
                <w:szCs w:val="16"/>
                <w:highlight w:val="none"/>
              </w:rPr>
              <w:drawing>
                <wp:anchor distT="0" distB="0" distL="114300" distR="114300" simplePos="0" relativeHeight="251666432" behindDoc="0" locked="0" layoutInCell="1" allowOverlap="1">
                  <wp:simplePos x="0" y="0"/>
                  <wp:positionH relativeFrom="column">
                    <wp:posOffset>0</wp:posOffset>
                  </wp:positionH>
                  <wp:positionV relativeFrom="paragraph">
                    <wp:posOffset>3745865</wp:posOffset>
                  </wp:positionV>
                  <wp:extent cx="1755775" cy="1316990"/>
                  <wp:effectExtent l="0" t="0" r="12065" b="8890"/>
                  <wp:wrapNone/>
                  <wp:docPr id="58" name="图片 18" descr="9ea6fc1813b385a69f7ac6617b0bed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8" descr="9ea6fc1813b385a69f7ac6617b0bedcb"/>
                          <pic:cNvPicPr>
                            <a:picLocks noChangeAspect="1"/>
                          </pic:cNvPicPr>
                        </pic:nvPicPr>
                        <pic:blipFill>
                          <a:blip r:embed="rId15"/>
                          <a:stretch>
                            <a:fillRect/>
                          </a:stretch>
                        </pic:blipFill>
                        <pic:spPr>
                          <a:xfrm>
                            <a:off x="0" y="0"/>
                            <a:ext cx="1755775" cy="1316990"/>
                          </a:xfrm>
                          <a:prstGeom prst="rect">
                            <a:avLst/>
                          </a:prstGeom>
                        </pic:spPr>
                      </pic:pic>
                    </a:graphicData>
                  </a:graphic>
                </wp:anchor>
              </w:drawing>
            </w: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p>
        </w:tc>
      </w:tr>
      <w:tr>
        <w:tblPrEx>
          <w:tblCellMar>
            <w:top w:w="0" w:type="dxa"/>
            <w:left w:w="108" w:type="dxa"/>
            <w:bottom w:w="0" w:type="dxa"/>
            <w:right w:w="108" w:type="dxa"/>
          </w:tblCellMar>
        </w:tblPrEx>
        <w:trPr>
          <w:trHeight w:val="4966"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lang w:val="en-US" w:eastAsia="zh-CN"/>
              </w:rPr>
              <w:t>7</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办公桌+文件柜，高柜</w:t>
            </w:r>
          </w:p>
        </w:tc>
        <w:tc>
          <w:tcPr>
            <w:tcW w:w="3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微软雅黑" w:hAnsi="微软雅黑" w:eastAsia="微软雅黑" w:cs="微软雅黑"/>
                <w:color w:val="auto"/>
                <w:sz w:val="16"/>
                <w:szCs w:val="16"/>
                <w:highlight w:val="none"/>
              </w:rPr>
            </w:pPr>
            <w:r>
              <w:rPr>
                <w:rFonts w:hint="eastAsia" w:ascii="微软雅黑" w:hAnsi="微软雅黑" w:eastAsia="微软雅黑" w:cs="微软雅黑"/>
                <w:color w:val="auto"/>
                <w:sz w:val="16"/>
                <w:szCs w:val="16"/>
                <w:highlight w:val="none"/>
              </w:rPr>
              <w:t>常规</w:t>
            </w: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hint="eastAsia" w:ascii="微软雅黑" w:hAnsi="微软雅黑" w:eastAsia="微软雅黑" w:cs="微软雅黑"/>
                <w:color w:val="auto"/>
                <w:sz w:val="16"/>
                <w:szCs w:val="16"/>
                <w:highlight w:val="none"/>
              </w:rPr>
            </w:pPr>
            <w:r>
              <w:rPr>
                <w:rFonts w:hint="eastAsia" w:ascii="微软雅黑" w:hAnsi="微软雅黑" w:eastAsia="微软雅黑" w:cs="微软雅黑"/>
                <w:b/>
                <w:color w:val="auto"/>
                <w:sz w:val="16"/>
                <w:szCs w:val="16"/>
                <w:highlight w:val="none"/>
              </w:rPr>
              <w:t>1.柜体要求</w:t>
            </w:r>
            <w:r>
              <w:rPr>
                <w:rFonts w:hint="eastAsia" w:ascii="微软雅黑" w:hAnsi="微软雅黑" w:eastAsia="微软雅黑" w:cs="微软雅黑"/>
                <w:color w:val="auto"/>
                <w:sz w:val="16"/>
                <w:szCs w:val="16"/>
                <w:highlight w:val="none"/>
              </w:rPr>
              <w:t>：规格尺寸及其偏差： 长度偏差 ±1.5mm/m，宽度偏差±1.5mm/n，厚度偏差±1.0 mm，垂直度≤1mm/m，长度宽度≤1mm/m，平整度≤1%；  外观质量 应符合GB/T 347222017标准第5.2条中规定的要求</w:t>
            </w:r>
          </w:p>
          <w:p>
            <w:pPr>
              <w:widowControl/>
              <w:jc w:val="left"/>
              <w:textAlignment w:val="center"/>
              <w:rPr>
                <w:rFonts w:hint="eastAsia" w:ascii="微软雅黑" w:hAnsi="微软雅黑" w:eastAsia="微软雅黑" w:cs="微软雅黑"/>
                <w:color w:val="auto"/>
                <w:sz w:val="16"/>
                <w:szCs w:val="16"/>
                <w:highlight w:val="none"/>
                <w:lang w:eastAsia="zh-CN"/>
              </w:rPr>
            </w:pPr>
            <w:r>
              <w:rPr>
                <w:rFonts w:hint="eastAsia" w:ascii="仿宋_GB2312" w:hAnsi="仿宋_GB2312" w:eastAsia="仿宋_GB2312" w:cs="仿宋_GB2312"/>
                <w:color w:val="auto"/>
                <w:sz w:val="16"/>
                <w:szCs w:val="16"/>
                <w:highlight w:val="none"/>
              </w:rPr>
              <w:t>※</w:t>
            </w:r>
            <w:r>
              <w:rPr>
                <w:rFonts w:hint="eastAsia" w:ascii="微软雅黑" w:hAnsi="微软雅黑" w:eastAsia="微软雅黑" w:cs="微软雅黑"/>
                <w:b/>
                <w:color w:val="auto"/>
                <w:sz w:val="16"/>
                <w:szCs w:val="16"/>
                <w:highlight w:val="none"/>
              </w:rPr>
              <w:t>2</w:t>
            </w:r>
            <w:r>
              <w:rPr>
                <w:rFonts w:hint="eastAsia" w:ascii="微软雅黑" w:hAnsi="微软雅黑" w:eastAsia="微软雅黑" w:cs="微软雅黑"/>
                <w:color w:val="auto"/>
                <w:sz w:val="16"/>
                <w:szCs w:val="16"/>
                <w:highlight w:val="none"/>
              </w:rPr>
              <w:t>.</w:t>
            </w:r>
            <w:r>
              <w:rPr>
                <w:rStyle w:val="17"/>
                <w:rFonts w:hint="default"/>
                <w:color w:val="auto"/>
                <w:sz w:val="16"/>
                <w:szCs w:val="16"/>
                <w:highlight w:val="none"/>
              </w:rPr>
              <w:t>柜体基材</w:t>
            </w:r>
            <w:r>
              <w:rPr>
                <w:rFonts w:hint="eastAsia" w:ascii="微软雅黑" w:hAnsi="微软雅黑" w:eastAsia="微软雅黑" w:cs="微软雅黑"/>
                <w:color w:val="auto"/>
                <w:sz w:val="16"/>
                <w:szCs w:val="16"/>
                <w:highlight w:val="none"/>
              </w:rPr>
              <w:t>：国标E0级实木（厚度17.5mm-18mm)多层板，甲醛释放量≤0.05mg/m³、总挥发性有机化合物（TVOC）≤80ug/m、苯≤10ug/m³、甲苯≤20ug/m³、二甲苯≤20ug/m³。（提供第三方检测机构出具检测报告复印件）</w:t>
            </w:r>
          </w:p>
          <w:p>
            <w:pPr>
              <w:widowControl/>
              <w:jc w:val="left"/>
              <w:textAlignment w:val="center"/>
              <w:rPr>
                <w:rFonts w:hint="eastAsia" w:ascii="微软雅黑" w:hAnsi="微软雅黑" w:eastAsia="微软雅黑" w:cs="微软雅黑"/>
                <w:color w:val="auto"/>
                <w:sz w:val="16"/>
                <w:szCs w:val="16"/>
                <w:highlight w:val="none"/>
                <w:lang w:eastAsia="zh-CN"/>
              </w:rPr>
            </w:pPr>
            <w:r>
              <w:rPr>
                <w:rStyle w:val="17"/>
                <w:rFonts w:hint="default"/>
                <w:color w:val="auto"/>
                <w:sz w:val="16"/>
                <w:szCs w:val="16"/>
                <w:highlight w:val="none"/>
              </w:rPr>
              <w:t>3.门板基材</w:t>
            </w:r>
            <w:r>
              <w:rPr>
                <w:rFonts w:hint="eastAsia" w:ascii="微软雅黑" w:hAnsi="微软雅黑" w:eastAsia="微软雅黑" w:cs="微软雅黑"/>
                <w:color w:val="auto"/>
                <w:sz w:val="16"/>
                <w:szCs w:val="16"/>
                <w:highlight w:val="none"/>
              </w:rPr>
              <w:t>；国标E0级LSB刨花板（17.5mm-18mm）,GB/T 4897-2015《刨花板》;GB18580-2017《室内装饰装修材料人造板及其制品中甲醛释放限量》 GB/T 39600-2021《人造板及其制品甲醛释放量分级》 根据GB/T 4897-2015《刨花板》、GB18580-2017《室内装饰装修材料人造板及其制品中甲醛释放限量》标准检验，所检项目符合标准要求。依据GB/T39600-2021《人造板及其制品甲醛释放量分级》标准甲醛释放量Eo≤0.050 mg/m3。（提供第三方检测机构出具检测报告复印件）</w:t>
            </w:r>
          </w:p>
          <w:p>
            <w:pPr>
              <w:widowControl/>
              <w:jc w:val="left"/>
              <w:textAlignment w:val="center"/>
              <w:rPr>
                <w:rFonts w:ascii="微软雅黑" w:hAnsi="微软雅黑" w:eastAsia="微软雅黑" w:cs="微软雅黑"/>
                <w:color w:val="auto"/>
                <w:sz w:val="16"/>
                <w:szCs w:val="16"/>
                <w:highlight w:val="none"/>
              </w:rPr>
            </w:pPr>
            <w:r>
              <w:rPr>
                <w:rStyle w:val="17"/>
                <w:rFonts w:hint="default"/>
                <w:color w:val="auto"/>
                <w:sz w:val="16"/>
                <w:szCs w:val="16"/>
                <w:highlight w:val="none"/>
              </w:rPr>
              <w:t>4.背板基材</w:t>
            </w:r>
            <w:r>
              <w:rPr>
                <w:rFonts w:hint="eastAsia" w:ascii="微软雅黑" w:hAnsi="微软雅黑" w:eastAsia="微软雅黑" w:cs="微软雅黑"/>
                <w:color w:val="auto"/>
                <w:sz w:val="16"/>
                <w:szCs w:val="16"/>
                <w:highlight w:val="none"/>
              </w:rPr>
              <w:t>；背板采用E0（厚9mm）刨花板,GB/T 4897-2015《刨花板》;GB18580-2017《室内装饰装修材料人造板及其制品中甲醛释放限量》，GB/T 39600-2021《人造板及其制品甲醛释放量分级》，甲醛释放量Eo≤0.050mg/m3。（提供第三方检测机构出具检测报告复印件）                                                                                                                                                                                                          5.</w:t>
            </w:r>
            <w:r>
              <w:rPr>
                <w:rStyle w:val="17"/>
                <w:rFonts w:hint="default"/>
                <w:color w:val="auto"/>
                <w:sz w:val="16"/>
                <w:szCs w:val="16"/>
                <w:highlight w:val="none"/>
              </w:rPr>
              <w:t>封边</w:t>
            </w:r>
            <w:r>
              <w:rPr>
                <w:rFonts w:hint="eastAsia" w:ascii="微软雅黑" w:hAnsi="微软雅黑" w:eastAsia="微软雅黑" w:cs="微软雅黑"/>
                <w:color w:val="auto"/>
                <w:sz w:val="16"/>
                <w:szCs w:val="16"/>
                <w:highlight w:val="none"/>
              </w:rPr>
              <w:t>：采用同色PVC封边条，使用全PUR封边胶，全自动PUR封边机加工成型；封边条厚度1.2MM（异形封边除外）。                                                                                                                                                                                           6.</w:t>
            </w:r>
            <w:r>
              <w:rPr>
                <w:rStyle w:val="17"/>
                <w:rFonts w:hint="default"/>
                <w:color w:val="auto"/>
                <w:sz w:val="16"/>
                <w:szCs w:val="16"/>
                <w:highlight w:val="none"/>
              </w:rPr>
              <w:t>配件</w:t>
            </w:r>
            <w:r>
              <w:rPr>
                <w:rFonts w:hint="eastAsia" w:ascii="微软雅黑" w:hAnsi="微软雅黑" w:eastAsia="微软雅黑" w:cs="微软雅黑"/>
                <w:color w:val="auto"/>
                <w:sz w:val="16"/>
                <w:szCs w:val="16"/>
                <w:highlight w:val="none"/>
              </w:rPr>
              <w:t>：采用优质五金配件，（阻尼门铰，三节缓冲导轨，拉手，三合一连接件）均符合《家具五金通用技术条件》铰链</w:t>
            </w:r>
            <w:r>
              <w:rPr>
                <w:rFonts w:hint="default" w:ascii="微软雅黑" w:hAnsi="微软雅黑" w:eastAsia="微软雅黑" w:cs="微软雅黑"/>
                <w:color w:val="auto"/>
                <w:sz w:val="16"/>
                <w:szCs w:val="16"/>
                <w:highlight w:val="none"/>
              </w:rPr>
              <w:t>：</w:t>
            </w:r>
            <w:r>
              <w:rPr>
                <w:rFonts w:hint="eastAsia" w:ascii="微软雅黑" w:hAnsi="微软雅黑" w:eastAsia="微软雅黑" w:cs="微软雅黑"/>
                <w:color w:val="auto"/>
                <w:sz w:val="16"/>
                <w:szCs w:val="16"/>
                <w:highlight w:val="none"/>
              </w:rPr>
              <w:t>采用液压阻尼铰链，开合度110度，二段力开启时轻柔，单个门承重力35kg</w:t>
            </w:r>
            <w:r>
              <w:rPr>
                <w:rFonts w:hint="default" w:ascii="微软雅黑" w:hAnsi="微软雅黑" w:eastAsia="微软雅黑" w:cs="微软雅黑"/>
                <w:color w:val="auto"/>
                <w:sz w:val="16"/>
                <w:szCs w:val="16"/>
                <w:highlight w:val="none"/>
              </w:rPr>
              <w:t>，门关闭末端自动闭合。导轨：</w:t>
            </w:r>
            <w:r>
              <w:rPr>
                <w:rFonts w:hint="eastAsia" w:ascii="微软雅黑" w:hAnsi="微软雅黑" w:eastAsia="微软雅黑" w:cs="微软雅黑"/>
                <w:color w:val="auto"/>
                <w:sz w:val="16"/>
                <w:szCs w:val="16"/>
                <w:highlight w:val="none"/>
              </w:rPr>
              <w:t>采用三节静音导轨，抽拉自如，抽屉内能放置30kg负载重量，静音效果好，使用寿命长。</w:t>
            </w:r>
            <w:r>
              <w:rPr>
                <w:rFonts w:hint="eastAsia" w:ascii="微软雅黑" w:hAnsi="微软雅黑" w:eastAsia="微软雅黑" w:cs="微软雅黑"/>
                <w:color w:val="auto"/>
                <w:sz w:val="16"/>
                <w:szCs w:val="16"/>
                <w:highlight w:val="none"/>
                <w:lang w:eastAsia="zh-CN"/>
              </w:rPr>
              <w:t>建议品牌：迪森、悍高、固特、</w:t>
            </w:r>
            <w:r>
              <w:rPr>
                <w:rFonts w:hint="eastAsia" w:ascii="微软雅黑" w:hAnsi="微软雅黑" w:eastAsia="微软雅黑" w:cs="微软雅黑"/>
                <w:color w:val="auto"/>
                <w:sz w:val="16"/>
                <w:szCs w:val="16"/>
                <w:highlight w:val="none"/>
                <w:lang w:val="en-US" w:eastAsia="zh-CN"/>
              </w:rPr>
              <w:t>DTC.</w:t>
            </w:r>
          </w:p>
          <w:p>
            <w:pPr>
              <w:widowControl/>
              <w:jc w:val="left"/>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b/>
                <w:bCs/>
                <w:color w:val="auto"/>
                <w:sz w:val="16"/>
                <w:szCs w:val="16"/>
                <w:highlight w:val="none"/>
                <w:lang w:val="en-US" w:eastAsia="zh-CN"/>
              </w:rPr>
              <w:t>7.</w:t>
            </w:r>
            <w:r>
              <w:rPr>
                <w:rFonts w:hint="eastAsia" w:ascii="微软雅黑" w:hAnsi="微软雅黑" w:eastAsia="微软雅黑" w:cs="微软雅黑"/>
                <w:b/>
                <w:bCs/>
                <w:color w:val="auto"/>
                <w:sz w:val="16"/>
                <w:szCs w:val="16"/>
                <w:highlight w:val="none"/>
                <w:lang w:eastAsia="zh-CN"/>
              </w:rPr>
              <w:t>办公桌腿</w:t>
            </w:r>
            <w:r>
              <w:rPr>
                <w:rFonts w:hint="eastAsia" w:ascii="微软雅黑" w:hAnsi="微软雅黑" w:eastAsia="微软雅黑" w:cs="微软雅黑"/>
                <w:color w:val="auto"/>
                <w:sz w:val="16"/>
                <w:szCs w:val="16"/>
                <w:highlight w:val="none"/>
                <w:lang w:eastAsia="zh-CN"/>
              </w:rPr>
              <w:t>：</w:t>
            </w:r>
            <w:r>
              <w:rPr>
                <w:rFonts w:hint="eastAsia" w:ascii="微软雅黑" w:hAnsi="微软雅黑" w:eastAsia="微软雅黑" w:cs="微软雅黑"/>
                <w:color w:val="auto"/>
                <w:sz w:val="16"/>
                <w:szCs w:val="16"/>
                <w:highlight w:val="none"/>
              </w:rPr>
              <w:t xml:space="preserve">直径60mm 不锈钢圆柱（壁厚1.2mm），130mm不锈钢装饰盖。  </w:t>
            </w:r>
          </w:p>
          <w:p>
            <w:pPr>
              <w:widowControl/>
              <w:jc w:val="left"/>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b/>
                <w:color w:val="auto"/>
                <w:sz w:val="16"/>
                <w:szCs w:val="16"/>
                <w:highlight w:val="none"/>
                <w:lang w:val="en-US" w:eastAsia="zh-CN"/>
              </w:rPr>
              <w:t>8</w:t>
            </w:r>
            <w:r>
              <w:rPr>
                <w:rFonts w:hint="eastAsia" w:ascii="微软雅黑" w:hAnsi="微软雅黑" w:eastAsia="微软雅黑" w:cs="微软雅黑"/>
                <w:b/>
                <w:color w:val="auto"/>
                <w:sz w:val="16"/>
                <w:szCs w:val="16"/>
                <w:highlight w:val="none"/>
              </w:rPr>
              <w:t>.</w:t>
            </w:r>
            <w:r>
              <w:rPr>
                <w:rFonts w:ascii="微软雅黑" w:hAnsi="微软雅黑" w:eastAsia="微软雅黑" w:cs="微软雅黑"/>
                <w:b/>
                <w:color w:val="auto"/>
                <w:sz w:val="16"/>
                <w:szCs w:val="16"/>
                <w:highlight w:val="none"/>
              </w:rPr>
              <w:t>成品要求</w:t>
            </w:r>
            <w:r>
              <w:rPr>
                <w:rFonts w:ascii="微软雅黑" w:hAnsi="微软雅黑" w:eastAsia="微软雅黑" w:cs="微软雅黑"/>
                <w:color w:val="auto"/>
                <w:sz w:val="16"/>
                <w:szCs w:val="16"/>
                <w:highlight w:val="none"/>
              </w:rPr>
              <w:t>：成品无锐利棱角、毛刺以及小五金部件露出的锐利尖角。成品符合</w:t>
            </w:r>
            <w:r>
              <w:rPr>
                <w:rFonts w:hint="eastAsia" w:ascii="微软雅黑" w:hAnsi="微软雅黑" w:eastAsia="微软雅黑" w:cs="微软雅黑"/>
                <w:color w:val="auto"/>
                <w:sz w:val="16"/>
                <w:szCs w:val="16"/>
                <w:highlight w:val="none"/>
              </w:rPr>
              <w:t>GB/T 3324-2017《木家具通用技术条件》</w:t>
            </w:r>
            <w:r>
              <w:rPr>
                <w:rFonts w:ascii="微软雅黑" w:hAnsi="微软雅黑" w:eastAsia="微软雅黑" w:cs="微软雅黑"/>
                <w:color w:val="auto"/>
                <w:sz w:val="16"/>
                <w:szCs w:val="16"/>
                <w:highlight w:val="none"/>
              </w:rPr>
              <w:t>。</w:t>
            </w:r>
            <w:r>
              <w:rPr>
                <w:rFonts w:hint="eastAsia" w:ascii="微软雅黑" w:hAnsi="微软雅黑" w:eastAsia="微软雅黑" w:cs="微软雅黑"/>
                <w:color w:val="auto"/>
                <w:sz w:val="16"/>
                <w:szCs w:val="16"/>
                <w:highlight w:val="none"/>
              </w:rPr>
              <w:t xml:space="preserve">                                                                         </w:t>
            </w: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r>
              <w:rPr>
                <w:color w:val="auto"/>
                <w:sz w:val="16"/>
                <w:szCs w:val="16"/>
                <w:highlight w:val="none"/>
              </w:rPr>
              <w:drawing>
                <wp:inline distT="0" distB="0" distL="114300" distR="114300">
                  <wp:extent cx="1763395" cy="3218180"/>
                  <wp:effectExtent l="0" t="0" r="4445" b="12700"/>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16"/>
                          <a:stretch>
                            <a:fillRect/>
                          </a:stretch>
                        </pic:blipFill>
                        <pic:spPr>
                          <a:xfrm>
                            <a:off x="0" y="0"/>
                            <a:ext cx="1763395" cy="3218180"/>
                          </a:xfrm>
                          <a:prstGeom prst="rect">
                            <a:avLst/>
                          </a:prstGeom>
                          <a:noFill/>
                          <a:ln>
                            <a:noFill/>
                          </a:ln>
                        </pic:spPr>
                      </pic:pic>
                    </a:graphicData>
                  </a:graphic>
                </wp:inline>
              </w:drawing>
            </w:r>
            <w:r>
              <w:rPr>
                <w:color w:val="auto"/>
                <w:sz w:val="16"/>
                <w:szCs w:val="16"/>
                <w:highlight w:val="none"/>
              </w:rPr>
              <w:drawing>
                <wp:inline distT="0" distB="0" distL="114300" distR="114300">
                  <wp:extent cx="1764665" cy="3360420"/>
                  <wp:effectExtent l="0" t="0" r="3175" b="7620"/>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17"/>
                          <a:stretch>
                            <a:fillRect/>
                          </a:stretch>
                        </pic:blipFill>
                        <pic:spPr>
                          <a:xfrm>
                            <a:off x="0" y="0"/>
                            <a:ext cx="1764665" cy="3360420"/>
                          </a:xfrm>
                          <a:prstGeom prst="rect">
                            <a:avLst/>
                          </a:prstGeom>
                          <a:noFill/>
                          <a:ln>
                            <a:noFill/>
                          </a:ln>
                        </pic:spPr>
                      </pic:pic>
                    </a:graphicData>
                  </a:graphic>
                </wp:inline>
              </w:drawing>
            </w: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p>
        </w:tc>
      </w:tr>
      <w:tr>
        <w:tblPrEx>
          <w:tblCellMar>
            <w:top w:w="0" w:type="dxa"/>
            <w:left w:w="108" w:type="dxa"/>
            <w:bottom w:w="0" w:type="dxa"/>
            <w:right w:w="108" w:type="dxa"/>
          </w:tblCellMar>
        </w:tblPrEx>
        <w:trPr>
          <w:trHeight w:val="4202"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lang w:val="en-US" w:eastAsia="zh-CN"/>
              </w:rPr>
              <w:t>8</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rPr>
              <w:t>地柜、操作台、电视柜</w:t>
            </w:r>
            <w:r>
              <w:rPr>
                <w:rFonts w:hint="eastAsia" w:ascii="微软雅黑" w:hAnsi="微软雅黑" w:eastAsia="微软雅黑" w:cs="微软雅黑"/>
                <w:color w:val="auto"/>
                <w:sz w:val="16"/>
                <w:szCs w:val="16"/>
                <w:highlight w:val="none"/>
                <w:lang w:eastAsia="zh-CN"/>
              </w:rPr>
              <w:t>、茶水台</w:t>
            </w:r>
          </w:p>
        </w:tc>
        <w:tc>
          <w:tcPr>
            <w:tcW w:w="3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微软雅黑" w:hAnsi="微软雅黑" w:eastAsia="微软雅黑" w:cs="微软雅黑"/>
                <w:color w:val="auto"/>
                <w:sz w:val="16"/>
                <w:szCs w:val="16"/>
                <w:highlight w:val="none"/>
              </w:rPr>
            </w:pP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textAlignment w:val="center"/>
              <w:rPr>
                <w:rFonts w:ascii="微软雅黑" w:hAnsi="微软雅黑" w:eastAsia="微软雅黑" w:cs="微软雅黑"/>
                <w:color w:val="auto"/>
                <w:sz w:val="16"/>
                <w:szCs w:val="16"/>
                <w:highlight w:val="none"/>
              </w:rPr>
            </w:pPr>
            <w:r>
              <w:rPr>
                <w:rFonts w:hint="eastAsia" w:ascii="仿宋_GB2312" w:hAnsi="仿宋_GB2312" w:eastAsia="仿宋_GB2312" w:cs="仿宋_GB2312"/>
                <w:color w:val="auto"/>
                <w:sz w:val="16"/>
                <w:szCs w:val="16"/>
                <w:highlight w:val="none"/>
              </w:rPr>
              <w:t>※</w:t>
            </w:r>
            <w:r>
              <w:rPr>
                <w:rStyle w:val="17"/>
                <w:rFonts w:hint="default"/>
                <w:color w:val="auto"/>
                <w:sz w:val="16"/>
                <w:szCs w:val="16"/>
                <w:highlight w:val="none"/>
              </w:rPr>
              <w:t>1.柜体基材</w:t>
            </w:r>
            <w:r>
              <w:rPr>
                <w:rFonts w:hint="eastAsia" w:ascii="微软雅黑" w:hAnsi="微软雅黑" w:eastAsia="微软雅黑" w:cs="微软雅黑"/>
                <w:color w:val="auto"/>
                <w:sz w:val="16"/>
                <w:szCs w:val="16"/>
                <w:highlight w:val="none"/>
              </w:rPr>
              <w:t>：</w:t>
            </w:r>
            <w:bookmarkStart w:id="30" w:name="OLE_LINK3"/>
            <w:r>
              <w:rPr>
                <w:rFonts w:hint="eastAsia" w:ascii="微软雅黑" w:hAnsi="微软雅黑" w:eastAsia="微软雅黑" w:cs="微软雅黑"/>
                <w:color w:val="auto"/>
                <w:sz w:val="16"/>
                <w:szCs w:val="16"/>
                <w:highlight w:val="none"/>
              </w:rPr>
              <w:t>国标E0级实木（厚度17.5mm-18mm)多层板，甲醛释放量≤0.05mg/m³、总挥发性有机化合物（TVOC）≤80ug/m、苯≤10ug/m³、甲苯≤20ug/m³、二甲苯≤20ug/m³。</w:t>
            </w:r>
            <w:r>
              <w:rPr>
                <w:rFonts w:ascii="微软雅黑" w:hAnsi="微软雅黑" w:eastAsia="微软雅黑" w:cs="微软雅黑"/>
                <w:color w:val="auto"/>
                <w:sz w:val="16"/>
                <w:szCs w:val="16"/>
                <w:highlight w:val="none"/>
              </w:rPr>
              <w:t xml:space="preserve"> </w:t>
            </w:r>
            <w:r>
              <w:rPr>
                <w:rFonts w:hint="eastAsia" w:ascii="微软雅黑" w:hAnsi="微软雅黑" w:eastAsia="微软雅黑" w:cs="微软雅黑"/>
                <w:color w:val="auto"/>
                <w:sz w:val="16"/>
                <w:szCs w:val="16"/>
                <w:highlight w:val="none"/>
              </w:rPr>
              <w:t>（提供第三方检测机构出具检测报告复印件）</w:t>
            </w:r>
            <w:bookmarkEnd w:id="30"/>
          </w:p>
          <w:p>
            <w:pPr>
              <w:widowControl/>
              <w:jc w:val="left"/>
              <w:textAlignment w:val="center"/>
              <w:rPr>
                <w:rFonts w:hint="eastAsia" w:ascii="微软雅黑" w:hAnsi="微软雅黑" w:eastAsia="微软雅黑" w:cs="微软雅黑"/>
                <w:color w:val="auto"/>
                <w:sz w:val="16"/>
                <w:szCs w:val="16"/>
                <w:highlight w:val="none"/>
              </w:rPr>
            </w:pPr>
            <w:r>
              <w:rPr>
                <w:rFonts w:hint="eastAsia" w:ascii="微软雅黑" w:hAnsi="微软雅黑" w:eastAsia="微软雅黑" w:cs="微软雅黑"/>
                <w:b/>
                <w:color w:val="auto"/>
                <w:sz w:val="16"/>
                <w:szCs w:val="16"/>
                <w:highlight w:val="none"/>
              </w:rPr>
              <w:t>2.柜门基材</w:t>
            </w:r>
            <w:r>
              <w:rPr>
                <w:rFonts w:hint="eastAsia" w:ascii="微软雅黑" w:hAnsi="微软雅黑" w:eastAsia="微软雅黑" w:cs="微软雅黑"/>
                <w:color w:val="auto"/>
                <w:sz w:val="16"/>
                <w:szCs w:val="16"/>
                <w:highlight w:val="none"/>
              </w:rPr>
              <w:t>：E0级LSB刨花17.5mm-18mm）,GB/T 4897-2015《刨花板》;GB18580-2017《室内装饰装修材料人造板及其制品中甲醛释放限量》 GB/T 39600-2021甲醛释放量Eo≤0.050 mg/m3。（提供第三方检测机构出具检测报告复印件）                                                                                                                                                                                       3.</w:t>
            </w:r>
            <w:r>
              <w:rPr>
                <w:rStyle w:val="17"/>
                <w:rFonts w:hint="default"/>
                <w:color w:val="auto"/>
                <w:sz w:val="16"/>
                <w:szCs w:val="16"/>
                <w:highlight w:val="none"/>
              </w:rPr>
              <w:t>背板</w:t>
            </w:r>
            <w:r>
              <w:rPr>
                <w:rFonts w:hint="eastAsia" w:ascii="微软雅黑" w:hAnsi="微软雅黑" w:eastAsia="微软雅黑" w:cs="微软雅黑"/>
                <w:color w:val="auto"/>
                <w:sz w:val="16"/>
                <w:szCs w:val="16"/>
                <w:highlight w:val="none"/>
              </w:rPr>
              <w:t>；背板采用E0（厚9mm）刨花板,GB/T 4897-2015《刨花板》;GB18580-2017《室内装饰装修材料人造板及其制品中甲醛释放限量》，GB/T 39600-2021《人造板及其制品甲醛释放量分级》 甲醛释放量Eo≤0.050mg/m3。 （提供第三方检测机构出具检测报告复印件）                                                                                                                                                                                                                  4</w:t>
            </w:r>
            <w:r>
              <w:rPr>
                <w:rStyle w:val="17"/>
                <w:rFonts w:hint="default"/>
                <w:color w:val="auto"/>
                <w:sz w:val="16"/>
                <w:szCs w:val="16"/>
                <w:highlight w:val="none"/>
              </w:rPr>
              <w:t>封边</w:t>
            </w:r>
            <w:r>
              <w:rPr>
                <w:rFonts w:hint="eastAsia" w:ascii="微软雅黑" w:hAnsi="微软雅黑" w:eastAsia="微软雅黑" w:cs="微软雅黑"/>
                <w:color w:val="auto"/>
                <w:sz w:val="16"/>
                <w:szCs w:val="16"/>
                <w:highlight w:val="none"/>
              </w:rPr>
              <w:t>：采用同色PVC封边条，封边条厚度1.2MM（异形封边除外）                                                                                                                                                                                                                                                                                                                                                                                                             5.</w:t>
            </w:r>
            <w:r>
              <w:rPr>
                <w:rFonts w:hint="eastAsia" w:ascii="微软雅黑" w:hAnsi="微软雅黑" w:eastAsia="微软雅黑" w:cs="微软雅黑"/>
                <w:b/>
                <w:bCs/>
                <w:color w:val="auto"/>
                <w:sz w:val="16"/>
                <w:szCs w:val="16"/>
                <w:highlight w:val="none"/>
              </w:rPr>
              <w:t>面材</w:t>
            </w:r>
            <w:r>
              <w:rPr>
                <w:rFonts w:hint="eastAsia" w:ascii="微软雅黑" w:hAnsi="微软雅黑" w:eastAsia="微软雅黑" w:cs="微软雅黑"/>
                <w:color w:val="auto"/>
                <w:sz w:val="16"/>
                <w:szCs w:val="16"/>
                <w:highlight w:val="none"/>
              </w:rPr>
              <w:t>:石英石；厚度</w:t>
            </w:r>
            <w:r>
              <w:rPr>
                <w:rFonts w:hint="eastAsia" w:ascii="宋体" w:hAnsi="宋体" w:eastAsia="宋体" w:cs="宋体"/>
                <w:color w:val="auto"/>
                <w:sz w:val="16"/>
                <w:szCs w:val="16"/>
                <w:highlight w:val="none"/>
              </w:rPr>
              <w:t>≧</w:t>
            </w:r>
            <w:r>
              <w:rPr>
                <w:rFonts w:hint="eastAsia" w:ascii="微软雅黑" w:hAnsi="微软雅黑" w:eastAsia="微软雅黑" w:cs="微软雅黑"/>
                <w:color w:val="auto"/>
                <w:sz w:val="16"/>
                <w:szCs w:val="16"/>
                <w:highlight w:val="none"/>
              </w:rPr>
              <w:t>1</w:t>
            </w:r>
            <w:r>
              <w:rPr>
                <w:rFonts w:hint="eastAsia" w:ascii="微软雅黑" w:hAnsi="微软雅黑" w:eastAsia="微软雅黑" w:cs="微软雅黑"/>
                <w:color w:val="auto"/>
                <w:sz w:val="16"/>
                <w:szCs w:val="16"/>
                <w:highlight w:val="none"/>
                <w:lang w:val="en-US" w:eastAsia="zh-CN"/>
              </w:rPr>
              <w:t>4</w:t>
            </w:r>
            <w:r>
              <w:rPr>
                <w:rFonts w:hint="eastAsia" w:ascii="微软雅黑" w:hAnsi="微软雅黑" w:eastAsia="微软雅黑" w:cs="微软雅黑"/>
                <w:color w:val="auto"/>
                <w:sz w:val="16"/>
                <w:szCs w:val="16"/>
                <w:highlight w:val="none"/>
              </w:rPr>
              <w:t>mm</w:t>
            </w:r>
            <w:r>
              <w:rPr>
                <w:rFonts w:hint="eastAsia" w:ascii="微软雅黑" w:hAnsi="微软雅黑" w:eastAsia="微软雅黑" w:cs="微软雅黑"/>
                <w:color w:val="auto"/>
                <w:sz w:val="16"/>
                <w:szCs w:val="16"/>
                <w:highlight w:val="none"/>
                <w:lang w:val="en-US" w:eastAsia="zh-CN"/>
              </w:rPr>
              <w:t>,</w:t>
            </w:r>
            <w:r>
              <w:rPr>
                <w:rFonts w:hint="eastAsia" w:ascii="微软雅黑" w:hAnsi="微软雅黑" w:eastAsia="微软雅黑" w:cs="微软雅黑"/>
                <w:color w:val="auto"/>
                <w:sz w:val="16"/>
                <w:szCs w:val="16"/>
                <w:highlight w:val="none"/>
              </w:rPr>
              <w:t xml:space="preserve"> 人造石放射性应符合GB6566 A类装饰装修材料的规定。IRa&lt;0.1 I,&lt;0.1分类:A类。（提供第三方检测机构出具检测报告复印件）</w:t>
            </w:r>
          </w:p>
          <w:p>
            <w:pPr>
              <w:widowControl/>
              <w:jc w:val="left"/>
              <w:textAlignment w:val="center"/>
              <w:rPr>
                <w:rFonts w:hint="default" w:ascii="微软雅黑" w:hAnsi="微软雅黑" w:eastAsia="微软雅黑" w:cs="微软雅黑"/>
                <w:color w:val="auto"/>
                <w:sz w:val="16"/>
                <w:szCs w:val="16"/>
                <w:highlight w:val="none"/>
                <w:lang w:val="en-US" w:eastAsia="zh-CN"/>
              </w:rPr>
            </w:pPr>
            <w:r>
              <w:rPr>
                <w:rStyle w:val="17"/>
                <w:rFonts w:hint="default"/>
                <w:color w:val="auto"/>
                <w:sz w:val="16"/>
                <w:szCs w:val="16"/>
                <w:highlight w:val="none"/>
              </w:rPr>
              <w:t>6.配件</w:t>
            </w:r>
            <w:r>
              <w:rPr>
                <w:rFonts w:hint="eastAsia" w:ascii="微软雅黑" w:hAnsi="微软雅黑" w:eastAsia="微软雅黑" w:cs="微软雅黑"/>
                <w:color w:val="auto"/>
                <w:sz w:val="16"/>
                <w:szCs w:val="16"/>
                <w:highlight w:val="none"/>
              </w:rPr>
              <w:t>：采用优质五金配件，（阻尼门铰，三节缓冲导轨，拉手，三合一连接件）均符合《家具五金通用技术条件》。轮子：尼龙万向轮</w:t>
            </w:r>
            <w:r>
              <w:rPr>
                <w:rFonts w:hint="default" w:ascii="微软雅黑" w:hAnsi="微软雅黑" w:eastAsia="微软雅黑" w:cs="微软雅黑"/>
                <w:color w:val="auto"/>
                <w:sz w:val="16"/>
                <w:szCs w:val="16"/>
                <w:highlight w:val="none"/>
              </w:rPr>
              <w:t>。</w:t>
            </w:r>
            <w:r>
              <w:rPr>
                <w:rFonts w:hint="eastAsia" w:ascii="微软雅黑" w:hAnsi="微软雅黑" w:eastAsia="微软雅黑" w:cs="微软雅黑"/>
                <w:color w:val="auto"/>
                <w:sz w:val="16"/>
                <w:szCs w:val="16"/>
                <w:highlight w:val="none"/>
              </w:rPr>
              <w:t>铰链</w:t>
            </w:r>
            <w:r>
              <w:rPr>
                <w:rFonts w:hint="default" w:ascii="微软雅黑" w:hAnsi="微软雅黑" w:eastAsia="微软雅黑" w:cs="微软雅黑"/>
                <w:color w:val="auto"/>
                <w:sz w:val="16"/>
                <w:szCs w:val="16"/>
                <w:highlight w:val="none"/>
              </w:rPr>
              <w:t>：</w:t>
            </w:r>
            <w:r>
              <w:rPr>
                <w:rFonts w:hint="eastAsia" w:ascii="微软雅黑" w:hAnsi="微软雅黑" w:eastAsia="微软雅黑" w:cs="微软雅黑"/>
                <w:color w:val="auto"/>
                <w:sz w:val="16"/>
                <w:szCs w:val="16"/>
                <w:highlight w:val="none"/>
              </w:rPr>
              <w:t>采用液压阻尼铰链，开合度110度，二段力开启时轻柔，单个门承重力35kg</w:t>
            </w:r>
            <w:r>
              <w:rPr>
                <w:rFonts w:hint="default" w:ascii="微软雅黑" w:hAnsi="微软雅黑" w:eastAsia="微软雅黑" w:cs="微软雅黑"/>
                <w:color w:val="auto"/>
                <w:sz w:val="16"/>
                <w:szCs w:val="16"/>
                <w:highlight w:val="none"/>
              </w:rPr>
              <w:t>，门关闭末端自动闭合。导轨：</w:t>
            </w:r>
            <w:r>
              <w:rPr>
                <w:rFonts w:hint="eastAsia" w:ascii="微软雅黑" w:hAnsi="微软雅黑" w:eastAsia="微软雅黑" w:cs="微软雅黑"/>
                <w:color w:val="auto"/>
                <w:sz w:val="16"/>
                <w:szCs w:val="16"/>
                <w:highlight w:val="none"/>
              </w:rPr>
              <w:t>采用三节静音导轨，抽拉自如，抽屉内能放置30kg负载重量，静音效果好，使用寿命长。</w:t>
            </w:r>
            <w:r>
              <w:rPr>
                <w:rFonts w:hint="eastAsia" w:ascii="微软雅黑" w:hAnsi="微软雅黑" w:eastAsia="微软雅黑" w:cs="微软雅黑"/>
                <w:color w:val="auto"/>
                <w:sz w:val="16"/>
                <w:szCs w:val="16"/>
                <w:highlight w:val="none"/>
                <w:lang w:eastAsia="zh-CN"/>
              </w:rPr>
              <w:t>建议品牌：迪森、悍高、固特、</w:t>
            </w:r>
            <w:r>
              <w:rPr>
                <w:rFonts w:hint="eastAsia" w:ascii="微软雅黑" w:hAnsi="微软雅黑" w:eastAsia="微软雅黑" w:cs="微软雅黑"/>
                <w:color w:val="auto"/>
                <w:sz w:val="16"/>
                <w:szCs w:val="16"/>
                <w:highlight w:val="none"/>
                <w:lang w:val="en-US" w:eastAsia="zh-CN"/>
              </w:rPr>
              <w:t>DTC.</w:t>
            </w:r>
          </w:p>
          <w:p>
            <w:pPr>
              <w:widowControl/>
              <w:jc w:val="left"/>
              <w:textAlignment w:val="center"/>
              <w:rPr>
                <w:rFonts w:ascii="微软雅黑" w:hAnsi="微软雅黑" w:eastAsia="微软雅黑" w:cs="微软雅黑"/>
                <w:color w:val="auto"/>
                <w:sz w:val="16"/>
                <w:szCs w:val="16"/>
                <w:highlight w:val="none"/>
              </w:rPr>
            </w:pPr>
            <w:r>
              <w:rPr>
                <w:rFonts w:hint="eastAsia" w:ascii="微软雅黑" w:hAnsi="微软雅黑" w:eastAsia="微软雅黑" w:cs="微软雅黑"/>
                <w:b/>
                <w:color w:val="auto"/>
                <w:sz w:val="16"/>
                <w:szCs w:val="16"/>
                <w:highlight w:val="none"/>
              </w:rPr>
              <w:t>7.</w:t>
            </w:r>
            <w:r>
              <w:rPr>
                <w:rFonts w:ascii="微软雅黑" w:hAnsi="微软雅黑" w:eastAsia="微软雅黑" w:cs="微软雅黑"/>
                <w:b/>
                <w:color w:val="auto"/>
                <w:sz w:val="16"/>
                <w:szCs w:val="16"/>
                <w:highlight w:val="none"/>
              </w:rPr>
              <w:t>成品要求</w:t>
            </w:r>
            <w:r>
              <w:rPr>
                <w:rFonts w:ascii="微软雅黑" w:hAnsi="微软雅黑" w:eastAsia="微软雅黑" w:cs="微软雅黑"/>
                <w:color w:val="auto"/>
                <w:sz w:val="16"/>
                <w:szCs w:val="16"/>
                <w:highlight w:val="none"/>
              </w:rPr>
              <w:t>：成品无锐利棱角、毛刺以及小五金部件露出的锐利尖角。成品符合</w:t>
            </w:r>
            <w:r>
              <w:rPr>
                <w:rFonts w:hint="eastAsia" w:ascii="微软雅黑" w:hAnsi="微软雅黑" w:eastAsia="微软雅黑" w:cs="微软雅黑"/>
                <w:color w:val="auto"/>
                <w:sz w:val="16"/>
                <w:szCs w:val="16"/>
                <w:highlight w:val="none"/>
              </w:rPr>
              <w:t>GB/T 3324-2017《木家具通用技术条件》</w:t>
            </w:r>
            <w:r>
              <w:rPr>
                <w:rFonts w:ascii="微软雅黑" w:hAnsi="微软雅黑" w:eastAsia="微软雅黑" w:cs="微软雅黑"/>
                <w:color w:val="auto"/>
                <w:sz w:val="16"/>
                <w:szCs w:val="16"/>
                <w:highlight w:val="none"/>
              </w:rPr>
              <w:t>。</w:t>
            </w:r>
            <w:r>
              <w:rPr>
                <w:rFonts w:hint="eastAsia" w:ascii="微软雅黑" w:hAnsi="微软雅黑" w:eastAsia="微软雅黑" w:cs="微软雅黑"/>
                <w:color w:val="auto"/>
                <w:sz w:val="16"/>
                <w:szCs w:val="16"/>
                <w:highlight w:val="none"/>
              </w:rPr>
              <w:t xml:space="preserve"> </w:t>
            </w: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r>
              <w:rPr>
                <w:rFonts w:hint="eastAsia" w:hAnsi="宋体" w:cs="宋体"/>
                <w:color w:val="auto"/>
                <w:sz w:val="16"/>
                <w:szCs w:val="16"/>
                <w:highlight w:val="none"/>
              </w:rPr>
              <w:drawing>
                <wp:inline distT="0" distB="0" distL="114300" distR="114300">
                  <wp:extent cx="1762760" cy="1214120"/>
                  <wp:effectExtent l="0" t="0" r="5080" b="5080"/>
                  <wp:docPr id="36" name="图片 17" descr="fc9981914abc48089ad5dd5c80fd0c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7" descr="fc9981914abc48089ad5dd5c80fd0c27"/>
                          <pic:cNvPicPr>
                            <a:picLocks noChangeAspect="1"/>
                          </pic:cNvPicPr>
                        </pic:nvPicPr>
                        <pic:blipFill>
                          <a:blip r:embed="rId18"/>
                          <a:stretch>
                            <a:fillRect/>
                          </a:stretch>
                        </pic:blipFill>
                        <pic:spPr>
                          <a:xfrm>
                            <a:off x="0" y="0"/>
                            <a:ext cx="1762760" cy="1214120"/>
                          </a:xfrm>
                          <a:prstGeom prst="rect">
                            <a:avLst/>
                          </a:prstGeom>
                        </pic:spPr>
                      </pic:pic>
                    </a:graphicData>
                  </a:graphic>
                </wp:inline>
              </w:drawing>
            </w:r>
            <w:r>
              <w:rPr>
                <w:color w:val="auto"/>
                <w:sz w:val="16"/>
                <w:szCs w:val="16"/>
                <w:highlight w:val="none"/>
              </w:rPr>
              <w:drawing>
                <wp:inline distT="0" distB="0" distL="114300" distR="114300">
                  <wp:extent cx="1765300" cy="1361440"/>
                  <wp:effectExtent l="0" t="0" r="2540" b="1016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19"/>
                          <a:stretch>
                            <a:fillRect/>
                          </a:stretch>
                        </pic:blipFill>
                        <pic:spPr>
                          <a:xfrm>
                            <a:off x="0" y="0"/>
                            <a:ext cx="1765300" cy="1361440"/>
                          </a:xfrm>
                          <a:prstGeom prst="rect">
                            <a:avLst/>
                          </a:prstGeom>
                          <a:noFill/>
                          <a:ln>
                            <a:noFill/>
                          </a:ln>
                        </pic:spPr>
                      </pic:pic>
                    </a:graphicData>
                  </a:graphic>
                </wp:inline>
              </w:drawing>
            </w: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Ansi="宋体" w:cs="宋体"/>
                <w:color w:val="auto"/>
                <w:sz w:val="16"/>
                <w:szCs w:val="16"/>
                <w:highlight w:val="none"/>
              </w:rPr>
            </w:pPr>
            <w:r>
              <w:rPr>
                <w:rFonts w:hint="eastAsia" w:hAnsi="宋体" w:cs="宋体"/>
                <w:color w:val="auto"/>
                <w:sz w:val="16"/>
                <w:szCs w:val="16"/>
                <w:highlight w:val="none"/>
              </w:rPr>
              <w:t>地柜</w:t>
            </w:r>
            <w:r>
              <w:rPr>
                <w:rFonts w:hint="eastAsia" w:hAnsi="宋体" w:cs="宋体"/>
                <w:color w:val="auto"/>
                <w:sz w:val="16"/>
                <w:szCs w:val="16"/>
                <w:highlight w:val="none"/>
              </w:rPr>
              <w:t>带水槽部分，原有水槽、水龙头利旧</w:t>
            </w:r>
          </w:p>
        </w:tc>
      </w:tr>
      <w:tr>
        <w:tblPrEx>
          <w:tblCellMar>
            <w:top w:w="0" w:type="dxa"/>
            <w:left w:w="108" w:type="dxa"/>
            <w:bottom w:w="0" w:type="dxa"/>
            <w:right w:w="108" w:type="dxa"/>
          </w:tblCellMar>
        </w:tblPrEx>
        <w:trPr>
          <w:trHeight w:val="2154"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default" w:ascii="微软雅黑" w:hAnsi="微软雅黑" w:eastAsia="微软雅黑" w:cs="微软雅黑"/>
                <w:color w:val="auto"/>
                <w:sz w:val="16"/>
                <w:szCs w:val="16"/>
                <w:highlight w:val="none"/>
                <w:lang w:val="en-US" w:eastAsia="zh-CN"/>
              </w:rPr>
            </w:pPr>
            <w:r>
              <w:rPr>
                <w:rFonts w:hint="eastAsia" w:ascii="微软雅黑" w:hAnsi="微软雅黑" w:eastAsia="微软雅黑" w:cs="微软雅黑"/>
                <w:color w:val="auto"/>
                <w:sz w:val="16"/>
                <w:szCs w:val="16"/>
                <w:highlight w:val="none"/>
                <w:lang w:val="en-US" w:eastAsia="zh-CN"/>
              </w:rPr>
              <w:t>9</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lang w:eastAsia="zh-CN"/>
              </w:rPr>
              <w:t>吧台椅</w:t>
            </w:r>
          </w:p>
        </w:tc>
        <w:tc>
          <w:tcPr>
            <w:tcW w:w="3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lang w:eastAsia="zh-CN"/>
              </w:rPr>
              <w:t>常规</w:t>
            </w: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jc w:val="left"/>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b/>
                <w:bCs/>
                <w:color w:val="auto"/>
                <w:sz w:val="16"/>
                <w:szCs w:val="16"/>
                <w:highlight w:val="none"/>
                <w:lang w:val="en-US" w:eastAsia="zh-CN"/>
              </w:rPr>
              <w:t>1.</w:t>
            </w:r>
            <w:r>
              <w:rPr>
                <w:rFonts w:hint="eastAsia" w:ascii="微软雅黑" w:hAnsi="微软雅黑" w:eastAsia="微软雅黑" w:cs="微软雅黑"/>
                <w:b/>
                <w:bCs/>
                <w:color w:val="auto"/>
                <w:sz w:val="16"/>
                <w:szCs w:val="16"/>
                <w:highlight w:val="none"/>
                <w:lang w:eastAsia="zh-CN"/>
              </w:rPr>
              <w:t>基材</w:t>
            </w:r>
            <w:r>
              <w:rPr>
                <w:rFonts w:hint="eastAsia" w:ascii="微软雅黑" w:hAnsi="微软雅黑" w:eastAsia="微软雅黑" w:cs="微软雅黑"/>
                <w:b/>
                <w:bCs/>
                <w:color w:val="auto"/>
                <w:sz w:val="16"/>
                <w:szCs w:val="16"/>
                <w:highlight w:val="none"/>
              </w:rPr>
              <w:t>：</w:t>
            </w:r>
            <w:r>
              <w:rPr>
                <w:rFonts w:hint="eastAsia" w:ascii="微软雅黑" w:hAnsi="微软雅黑" w:eastAsia="微软雅黑" w:cs="微软雅黑"/>
                <w:color w:val="auto"/>
                <w:sz w:val="16"/>
                <w:szCs w:val="16"/>
                <w:highlight w:val="none"/>
              </w:rPr>
              <w:t>国标E0级实木（厚度17.5mm-18mm)多层板，甲醛释放量≤0.05mg/m³、总挥发性有机化合物（TVOC）≤80ug/m、苯≤10ug/m³、甲苯≤20ug/m³、二甲苯≤20ug/m³。</w:t>
            </w:r>
            <w:r>
              <w:rPr>
                <w:rFonts w:ascii="微软雅黑" w:hAnsi="微软雅黑" w:eastAsia="微软雅黑" w:cs="微软雅黑"/>
                <w:color w:val="auto"/>
                <w:sz w:val="16"/>
                <w:szCs w:val="16"/>
                <w:highlight w:val="none"/>
              </w:rPr>
              <w:t xml:space="preserve"> </w:t>
            </w:r>
            <w:r>
              <w:rPr>
                <w:rFonts w:hint="eastAsia" w:ascii="微软雅黑" w:hAnsi="微软雅黑" w:eastAsia="微软雅黑" w:cs="微软雅黑"/>
                <w:color w:val="auto"/>
                <w:sz w:val="16"/>
                <w:szCs w:val="16"/>
                <w:highlight w:val="none"/>
              </w:rPr>
              <w:t>（提供第三方检测机构出具检测报告复印件）</w:t>
            </w:r>
          </w:p>
          <w:p>
            <w:pPr>
              <w:widowControl/>
              <w:numPr>
                <w:ilvl w:val="0"/>
                <w:numId w:val="0"/>
              </w:numPr>
              <w:jc w:val="left"/>
              <w:textAlignment w:val="center"/>
              <w:rPr>
                <w:rFonts w:hint="eastAsia" w:ascii="微软雅黑" w:hAnsi="微软雅黑" w:eastAsia="微软雅黑" w:cs="微软雅黑"/>
                <w:color w:val="auto"/>
                <w:sz w:val="16"/>
                <w:szCs w:val="16"/>
                <w:highlight w:val="none"/>
                <w:lang w:val="en-US" w:eastAsia="zh-CN"/>
              </w:rPr>
            </w:pPr>
            <w:r>
              <w:rPr>
                <w:rFonts w:hint="eastAsia" w:ascii="微软雅黑" w:hAnsi="微软雅黑" w:eastAsia="微软雅黑" w:cs="微软雅黑"/>
                <w:b/>
                <w:bCs/>
                <w:color w:val="auto"/>
                <w:sz w:val="16"/>
                <w:szCs w:val="16"/>
                <w:highlight w:val="none"/>
                <w:lang w:val="en-US" w:eastAsia="zh-CN"/>
              </w:rPr>
              <w:t>2.椅面</w:t>
            </w:r>
            <w:r>
              <w:rPr>
                <w:rFonts w:hint="eastAsia" w:ascii="微软雅黑" w:hAnsi="微软雅黑" w:eastAsia="微软雅黑" w:cs="微软雅黑"/>
                <w:color w:val="auto"/>
                <w:sz w:val="16"/>
                <w:szCs w:val="16"/>
                <w:highlight w:val="none"/>
                <w:lang w:val="en-US" w:eastAsia="zh-CN"/>
              </w:rPr>
              <w:t>：PU皮（聚氨酯皮革）</w:t>
            </w:r>
          </w:p>
          <w:p>
            <w:pPr>
              <w:widowControl/>
              <w:numPr>
                <w:ilvl w:val="0"/>
                <w:numId w:val="0"/>
              </w:numPr>
              <w:jc w:val="left"/>
              <w:textAlignment w:val="center"/>
              <w:rPr>
                <w:rFonts w:hint="eastAsia" w:ascii="微软雅黑" w:hAnsi="微软雅黑" w:eastAsia="微软雅黑" w:cs="微软雅黑"/>
                <w:color w:val="auto"/>
                <w:sz w:val="16"/>
                <w:szCs w:val="16"/>
                <w:highlight w:val="none"/>
                <w:lang w:val="en-US" w:eastAsia="zh-CN"/>
              </w:rPr>
            </w:pPr>
            <w:r>
              <w:rPr>
                <w:rFonts w:hint="eastAsia" w:ascii="微软雅黑" w:hAnsi="微软雅黑" w:eastAsia="微软雅黑" w:cs="微软雅黑"/>
                <w:b/>
                <w:bCs/>
                <w:color w:val="auto"/>
                <w:sz w:val="16"/>
                <w:szCs w:val="16"/>
                <w:highlight w:val="none"/>
                <w:lang w:val="en-US" w:eastAsia="zh-CN"/>
              </w:rPr>
              <w:t>3.填充物</w:t>
            </w:r>
            <w:r>
              <w:rPr>
                <w:rFonts w:hint="eastAsia" w:ascii="微软雅黑" w:hAnsi="微软雅黑" w:eastAsia="微软雅黑" w:cs="微软雅黑"/>
                <w:color w:val="auto"/>
                <w:sz w:val="16"/>
                <w:szCs w:val="16"/>
                <w:highlight w:val="none"/>
                <w:lang w:val="en-US" w:eastAsia="zh-CN"/>
              </w:rPr>
              <w:t>：</w:t>
            </w:r>
            <w:r>
              <w:rPr>
                <w:rFonts w:hint="eastAsia" w:ascii="微软雅黑" w:hAnsi="微软雅黑" w:eastAsia="微软雅黑" w:cs="微软雅黑"/>
                <w:color w:val="auto"/>
                <w:sz w:val="16"/>
                <w:szCs w:val="16"/>
                <w:highlight w:val="none"/>
                <w:lang w:eastAsia="zh-CN"/>
              </w:rPr>
              <w:t>海绵</w:t>
            </w:r>
          </w:p>
          <w:p>
            <w:pPr>
              <w:widowControl/>
              <w:numPr>
                <w:ilvl w:val="0"/>
                <w:numId w:val="0"/>
              </w:numPr>
              <w:jc w:val="left"/>
              <w:textAlignment w:val="center"/>
              <w:rPr>
                <w:rFonts w:hint="eastAsia" w:ascii="宋体" w:hAnsi="宋体" w:eastAsia="宋体" w:cs="宋体"/>
                <w:i w:val="0"/>
                <w:iCs w:val="0"/>
                <w:color w:val="auto"/>
                <w:kern w:val="0"/>
                <w:sz w:val="16"/>
                <w:szCs w:val="16"/>
                <w:highlight w:val="none"/>
                <w:u w:val="none"/>
                <w:lang w:val="en-US" w:eastAsia="zh-CN" w:bidi="ar"/>
              </w:rPr>
            </w:pPr>
            <w:r>
              <w:rPr>
                <w:rFonts w:hint="eastAsia" w:ascii="宋体" w:hAnsi="宋体" w:eastAsia="宋体" w:cs="宋体"/>
                <w:b/>
                <w:bCs/>
                <w:i w:val="0"/>
                <w:iCs w:val="0"/>
                <w:color w:val="auto"/>
                <w:kern w:val="0"/>
                <w:sz w:val="16"/>
                <w:szCs w:val="16"/>
                <w:highlight w:val="none"/>
                <w:u w:val="none"/>
                <w:lang w:val="en-US" w:eastAsia="zh-CN" w:bidi="ar"/>
              </w:rPr>
              <w:t>4.脚架：</w:t>
            </w:r>
            <w:r>
              <w:rPr>
                <w:rFonts w:hint="eastAsia" w:ascii="宋体" w:hAnsi="宋体" w:eastAsia="宋体" w:cs="宋体"/>
                <w:i w:val="0"/>
                <w:iCs w:val="0"/>
                <w:color w:val="auto"/>
                <w:kern w:val="0"/>
                <w:sz w:val="16"/>
                <w:szCs w:val="16"/>
                <w:highlight w:val="none"/>
                <w:u w:val="none"/>
                <w:lang w:val="en-US" w:eastAsia="zh-CN" w:bidi="ar"/>
              </w:rPr>
              <w:t>碳素钢支架</w:t>
            </w: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hAnsi="宋体" w:eastAsia="宋体" w:cs="宋体"/>
                <w:color w:val="auto"/>
                <w:sz w:val="16"/>
                <w:szCs w:val="16"/>
                <w:highlight w:val="none"/>
                <w:lang w:eastAsia="zh-CN"/>
              </w:rPr>
            </w:pPr>
            <w:r>
              <w:rPr>
                <w:rFonts w:hint="eastAsia" w:hAnsi="宋体" w:eastAsia="宋体" w:cs="宋体"/>
                <w:color w:val="auto"/>
                <w:sz w:val="16"/>
                <w:szCs w:val="16"/>
                <w:highlight w:val="none"/>
                <w:lang w:eastAsia="zh-CN"/>
              </w:rPr>
              <w:drawing>
                <wp:inline distT="0" distB="0" distL="114300" distR="114300">
                  <wp:extent cx="1576705" cy="1603375"/>
                  <wp:effectExtent l="0" t="0" r="8255" b="12065"/>
                  <wp:docPr id="1" name="图片 1" descr="8e71f1e42b209d48bb9a9f9feddbf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e71f1e42b209d48bb9a9f9feddbfac"/>
                          <pic:cNvPicPr>
                            <a:picLocks noChangeAspect="1"/>
                          </pic:cNvPicPr>
                        </pic:nvPicPr>
                        <pic:blipFill>
                          <a:blip r:embed="rId20"/>
                          <a:stretch>
                            <a:fillRect/>
                          </a:stretch>
                        </pic:blipFill>
                        <pic:spPr>
                          <a:xfrm>
                            <a:off x="0" y="0"/>
                            <a:ext cx="1576705" cy="1603375"/>
                          </a:xfrm>
                          <a:prstGeom prst="rect">
                            <a:avLst/>
                          </a:prstGeom>
                        </pic:spPr>
                      </pic:pic>
                    </a:graphicData>
                  </a:graphic>
                </wp:inline>
              </w:drawing>
            </w: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hAnsi="宋体" w:cs="宋体"/>
                <w:color w:val="auto"/>
                <w:sz w:val="16"/>
                <w:szCs w:val="16"/>
                <w:highlight w:val="none"/>
              </w:rPr>
            </w:pPr>
          </w:p>
        </w:tc>
      </w:tr>
      <w:tr>
        <w:tblPrEx>
          <w:tblCellMar>
            <w:top w:w="0" w:type="dxa"/>
            <w:left w:w="108" w:type="dxa"/>
            <w:bottom w:w="0" w:type="dxa"/>
            <w:right w:w="108" w:type="dxa"/>
          </w:tblCellMar>
        </w:tblPrEx>
        <w:trPr>
          <w:trHeight w:val="3591" w:hRule="atLeast"/>
        </w:trPr>
        <w:tc>
          <w:tcPr>
            <w:tcW w:w="3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default" w:ascii="微软雅黑" w:hAnsi="微软雅黑" w:eastAsia="微软雅黑" w:cs="微软雅黑"/>
                <w:color w:val="auto"/>
                <w:sz w:val="16"/>
                <w:szCs w:val="16"/>
                <w:highlight w:val="none"/>
                <w:lang w:val="en-US" w:eastAsia="zh-CN"/>
              </w:rPr>
            </w:pPr>
            <w:r>
              <w:rPr>
                <w:rFonts w:hint="eastAsia" w:ascii="微软雅黑" w:hAnsi="微软雅黑" w:eastAsia="微软雅黑" w:cs="微软雅黑"/>
                <w:color w:val="auto"/>
                <w:sz w:val="16"/>
                <w:szCs w:val="16"/>
                <w:highlight w:val="none"/>
                <w:lang w:val="en-US" w:eastAsia="zh-CN"/>
              </w:rPr>
              <w:t>10</w:t>
            </w:r>
          </w:p>
        </w:tc>
        <w:tc>
          <w:tcPr>
            <w:tcW w:w="5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jc w:val="center"/>
              <w:textAlignment w:val="center"/>
              <w:rPr>
                <w:rFonts w:hint="eastAsia" w:ascii="微软雅黑" w:hAnsi="微软雅黑" w:eastAsia="微软雅黑" w:cs="微软雅黑"/>
                <w:color w:val="auto"/>
                <w:sz w:val="16"/>
                <w:szCs w:val="16"/>
                <w:highlight w:val="none"/>
                <w:lang w:eastAsia="zh-CN"/>
              </w:rPr>
            </w:pPr>
            <w:r>
              <w:rPr>
                <w:rFonts w:hint="eastAsia" w:ascii="微软雅黑" w:hAnsi="微软雅黑" w:eastAsia="微软雅黑" w:cs="微软雅黑"/>
                <w:color w:val="auto"/>
                <w:sz w:val="16"/>
                <w:szCs w:val="16"/>
                <w:highlight w:val="none"/>
                <w:lang w:eastAsia="zh-CN"/>
              </w:rPr>
              <w:t>茶几</w:t>
            </w:r>
          </w:p>
        </w:tc>
        <w:tc>
          <w:tcPr>
            <w:tcW w:w="31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微软雅黑" w:hAnsi="微软雅黑" w:eastAsia="微软雅黑" w:cs="微软雅黑"/>
                <w:color w:val="auto"/>
                <w:sz w:val="16"/>
                <w:szCs w:val="16"/>
                <w:highlight w:val="none"/>
              </w:rPr>
            </w:pPr>
            <w:r>
              <w:rPr>
                <w:rFonts w:hint="eastAsia" w:hAnsi="宋体" w:cs="宋体"/>
                <w:i w:val="0"/>
                <w:iCs w:val="0"/>
                <w:color w:val="auto"/>
                <w:sz w:val="16"/>
                <w:szCs w:val="16"/>
                <w:highlight w:val="none"/>
                <w:u w:val="none"/>
                <w:lang w:eastAsia="zh-CN"/>
              </w:rPr>
              <w:t>桌面</w:t>
            </w:r>
            <w:r>
              <w:rPr>
                <w:rFonts w:hint="eastAsia" w:ascii="微软雅黑" w:hAnsi="微软雅黑" w:eastAsia="微软雅黑" w:cs="微软雅黑"/>
                <w:i w:val="0"/>
                <w:iCs w:val="0"/>
                <w:color w:val="auto"/>
                <w:sz w:val="16"/>
                <w:szCs w:val="16"/>
                <w:highlight w:val="none"/>
                <w:u w:val="none"/>
                <w:lang w:eastAsia="zh-CN"/>
              </w:rPr>
              <w:t>∅</w:t>
            </w:r>
            <w:r>
              <w:rPr>
                <w:rFonts w:hint="eastAsia" w:hAnsi="宋体" w:cs="宋体"/>
                <w:i w:val="0"/>
                <w:iCs w:val="0"/>
                <w:color w:val="auto"/>
                <w:sz w:val="16"/>
                <w:szCs w:val="16"/>
                <w:highlight w:val="none"/>
                <w:u w:val="none"/>
                <w:lang w:val="en-US" w:eastAsia="zh-CN"/>
              </w:rPr>
              <w:t>550mm</w:t>
            </w:r>
          </w:p>
        </w:tc>
        <w:tc>
          <w:tcPr>
            <w:tcW w:w="204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1"/>
              </w:numPr>
              <w:jc w:val="left"/>
              <w:textAlignment w:val="center"/>
              <w:rPr>
                <w:rFonts w:hint="eastAsia" w:ascii="微软雅黑" w:hAnsi="微软雅黑" w:eastAsia="微软雅黑" w:cs="微软雅黑"/>
                <w:color w:val="auto"/>
                <w:sz w:val="16"/>
                <w:szCs w:val="16"/>
                <w:highlight w:val="none"/>
              </w:rPr>
            </w:pPr>
            <w:r>
              <w:rPr>
                <w:rFonts w:hint="eastAsia" w:ascii="微软雅黑" w:hAnsi="微软雅黑" w:eastAsia="微软雅黑" w:cs="微软雅黑"/>
                <w:b/>
                <w:bCs/>
                <w:color w:val="auto"/>
                <w:sz w:val="16"/>
                <w:szCs w:val="16"/>
                <w:highlight w:val="none"/>
              </w:rPr>
              <w:t>基材</w:t>
            </w:r>
            <w:r>
              <w:rPr>
                <w:rFonts w:hint="eastAsia" w:ascii="微软雅黑" w:hAnsi="微软雅黑" w:eastAsia="微软雅黑" w:cs="微软雅黑"/>
                <w:color w:val="auto"/>
                <w:sz w:val="16"/>
                <w:szCs w:val="16"/>
                <w:highlight w:val="none"/>
                <w:lang w:eastAsia="zh-CN"/>
              </w:rPr>
              <w:t>：</w:t>
            </w:r>
            <w:r>
              <w:rPr>
                <w:rFonts w:hint="eastAsia" w:ascii="微软雅黑" w:hAnsi="微软雅黑" w:eastAsia="微软雅黑" w:cs="微软雅黑"/>
                <w:color w:val="auto"/>
                <w:sz w:val="16"/>
                <w:szCs w:val="16"/>
                <w:highlight w:val="none"/>
              </w:rPr>
              <w:t>国标E0级实木（厚度17.5mm-18mm)多层板，甲醛释放量≤0.05mg/m³、总挥发性有机化合物（TVOC）≤80ug/m、苯≤10ug/m³、甲苯≤20ug/m³、二甲苯≤20ug/m³。</w:t>
            </w:r>
            <w:r>
              <w:rPr>
                <w:rFonts w:ascii="微软雅黑" w:hAnsi="微软雅黑" w:eastAsia="微软雅黑" w:cs="微软雅黑"/>
                <w:color w:val="auto"/>
                <w:sz w:val="16"/>
                <w:szCs w:val="16"/>
                <w:highlight w:val="none"/>
              </w:rPr>
              <w:t xml:space="preserve"> </w:t>
            </w:r>
            <w:r>
              <w:rPr>
                <w:rFonts w:hint="eastAsia" w:ascii="微软雅黑" w:hAnsi="微软雅黑" w:eastAsia="微软雅黑" w:cs="微软雅黑"/>
                <w:color w:val="auto"/>
                <w:sz w:val="16"/>
                <w:szCs w:val="16"/>
                <w:highlight w:val="none"/>
              </w:rPr>
              <w:t>（提供第三方检测机构出具检测报告复印件）</w:t>
            </w:r>
          </w:p>
          <w:p>
            <w:pPr>
              <w:widowControl/>
              <w:numPr>
                <w:ilvl w:val="0"/>
                <w:numId w:val="1"/>
              </w:numPr>
              <w:jc w:val="left"/>
              <w:textAlignment w:val="center"/>
              <w:rPr>
                <w:rFonts w:hint="eastAsia" w:ascii="微软雅黑" w:hAnsi="微软雅黑" w:eastAsia="微软雅黑" w:cs="微软雅黑"/>
                <w:b/>
                <w:color w:val="auto"/>
                <w:sz w:val="16"/>
                <w:szCs w:val="16"/>
                <w:highlight w:val="none"/>
              </w:rPr>
            </w:pPr>
            <w:r>
              <w:rPr>
                <w:rFonts w:hint="eastAsia" w:ascii="微软雅黑" w:hAnsi="微软雅黑" w:eastAsia="微软雅黑" w:cs="微软雅黑"/>
                <w:b/>
                <w:bCs/>
                <w:color w:val="auto"/>
                <w:sz w:val="16"/>
                <w:szCs w:val="16"/>
                <w:highlight w:val="none"/>
              </w:rPr>
              <w:t>涂料</w:t>
            </w:r>
            <w:r>
              <w:rPr>
                <w:rFonts w:hint="eastAsia" w:ascii="微软雅黑" w:hAnsi="微软雅黑" w:eastAsia="微软雅黑" w:cs="微软雅黑"/>
                <w:color w:val="auto"/>
                <w:sz w:val="16"/>
                <w:szCs w:val="16"/>
                <w:highlight w:val="none"/>
              </w:rPr>
              <w:t>：PU耐黄变光白面漆：GB18581-2009《室内装饰装修材料  溶剂型木器漆涂料中有害物质限量》（聚氨酯类涂料，面漆 光泽（60°）≥80）苯含量≺0.3%；甲苯、二甲苯、乙苯含量总和≤30%；卤代经含量≤0.1%。</w:t>
            </w:r>
          </w:p>
          <w:p>
            <w:pPr>
              <w:widowControl/>
              <w:numPr>
                <w:ilvl w:val="0"/>
                <w:numId w:val="1"/>
              </w:numPr>
              <w:jc w:val="left"/>
              <w:textAlignment w:val="center"/>
              <w:rPr>
                <w:rFonts w:hint="eastAsia" w:ascii="微软雅黑" w:hAnsi="微软雅黑" w:eastAsia="微软雅黑" w:cs="微软雅黑"/>
                <w:b/>
                <w:color w:val="auto"/>
                <w:sz w:val="16"/>
                <w:szCs w:val="16"/>
                <w:highlight w:val="none"/>
              </w:rPr>
            </w:pPr>
            <w:r>
              <w:rPr>
                <w:rFonts w:hint="eastAsia" w:ascii="微软雅黑" w:hAnsi="微软雅黑" w:eastAsia="微软雅黑" w:cs="微软雅黑"/>
                <w:color w:val="auto"/>
                <w:sz w:val="16"/>
                <w:szCs w:val="16"/>
                <w:highlight w:val="none"/>
              </w:rPr>
              <w:t>桌面(白色）直径为55cm，桌脚（原木色）高为52cm.</w:t>
            </w:r>
          </w:p>
        </w:tc>
        <w:tc>
          <w:tcPr>
            <w:tcW w:w="13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hAnsi="宋体" w:cs="宋体"/>
                <w:color w:val="auto"/>
                <w:sz w:val="16"/>
                <w:szCs w:val="16"/>
                <w:highlight w:val="none"/>
              </w:rPr>
            </w:pPr>
            <w:r>
              <w:rPr>
                <w:color w:val="auto"/>
                <w:sz w:val="16"/>
                <w:szCs w:val="16"/>
                <w:highlight w:val="none"/>
              </w:rPr>
              <w:drawing>
                <wp:inline distT="0" distB="0" distL="114300" distR="114300">
                  <wp:extent cx="1577340" cy="1470660"/>
                  <wp:effectExtent l="0" t="0" r="7620" b="762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1"/>
                          <a:stretch>
                            <a:fillRect/>
                          </a:stretch>
                        </pic:blipFill>
                        <pic:spPr>
                          <a:xfrm>
                            <a:off x="0" y="0"/>
                            <a:ext cx="1577340" cy="1470660"/>
                          </a:xfrm>
                          <a:prstGeom prst="rect">
                            <a:avLst/>
                          </a:prstGeom>
                          <a:noFill/>
                          <a:ln>
                            <a:noFill/>
                          </a:ln>
                        </pic:spPr>
                      </pic:pic>
                    </a:graphicData>
                  </a:graphic>
                </wp:inline>
              </w:drawing>
            </w:r>
          </w:p>
        </w:tc>
        <w:tc>
          <w:tcPr>
            <w:tcW w:w="3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hAnsi="宋体" w:cs="宋体"/>
                <w:color w:val="auto"/>
                <w:sz w:val="16"/>
                <w:szCs w:val="16"/>
                <w:highlight w:val="none"/>
              </w:rPr>
            </w:pPr>
          </w:p>
        </w:tc>
      </w:tr>
    </w:tbl>
    <w:p>
      <w:pPr>
        <w:spacing w:line="400" w:lineRule="exact"/>
        <w:outlineLvl w:val="2"/>
        <w:rPr>
          <w:rFonts w:hAnsi="宋体" w:cs="宋体"/>
          <w:color w:val="auto"/>
          <w:sz w:val="24"/>
          <w:szCs w:val="24"/>
          <w:highlight w:val="none"/>
        </w:rPr>
      </w:pPr>
      <w:bookmarkStart w:id="31" w:name="OLE_LINK4"/>
      <w:r>
        <w:rPr>
          <w:rFonts w:hint="eastAsia" w:hAnsi="宋体" w:cs="宋体"/>
          <w:color w:val="auto"/>
          <w:sz w:val="24"/>
          <w:szCs w:val="24"/>
          <w:highlight w:val="none"/>
        </w:rPr>
        <w:t>注：1.</w:t>
      </w:r>
      <w:r>
        <w:rPr>
          <w:rFonts w:hint="eastAsia" w:hAnsi="宋体" w:cs="宋体"/>
          <w:color w:val="auto"/>
          <w:sz w:val="24"/>
          <w:szCs w:val="24"/>
          <w:highlight w:val="none"/>
        </w:rPr>
        <w:t>相同材料采用同等技术要求，仅需提供一份检测报告复印件。</w:t>
      </w:r>
    </w:p>
    <w:p>
      <w:pPr>
        <w:numPr>
          <w:ilvl w:val="0"/>
          <w:numId w:val="2"/>
        </w:numPr>
        <w:spacing w:line="400" w:lineRule="exact"/>
        <w:ind w:firstLine="480" w:firstLineChars="200"/>
        <w:outlineLvl w:val="2"/>
        <w:rPr>
          <w:rFonts w:hint="eastAsia" w:hAnsi="宋体" w:cs="宋体"/>
          <w:color w:val="auto"/>
          <w:sz w:val="24"/>
          <w:szCs w:val="24"/>
          <w:highlight w:val="none"/>
        </w:rPr>
      </w:pPr>
      <w:r>
        <w:rPr>
          <w:rFonts w:hint="eastAsia" w:hAnsi="宋体" w:cs="宋体"/>
          <w:color w:val="auto"/>
          <w:sz w:val="24"/>
          <w:szCs w:val="24"/>
          <w:highlight w:val="none"/>
        </w:rPr>
        <w:t>清单图片仅供参考，中标人在收到中标通知后，及时与采购人沟通并确定产品样式及颜色，以现场沟通结果为准。</w:t>
      </w:r>
    </w:p>
    <w:p>
      <w:pPr>
        <w:numPr>
          <w:ilvl w:val="0"/>
          <w:numId w:val="2"/>
        </w:numPr>
        <w:spacing w:line="400" w:lineRule="exact"/>
        <w:ind w:firstLine="480" w:firstLineChars="200"/>
        <w:outlineLvl w:val="2"/>
        <w:rPr>
          <w:rFonts w:hAnsi="宋体" w:cs="宋体"/>
          <w:color w:val="auto"/>
          <w:sz w:val="24"/>
          <w:szCs w:val="24"/>
          <w:highlight w:val="none"/>
        </w:rPr>
      </w:pPr>
      <w:r>
        <w:rPr>
          <w:rFonts w:hint="eastAsia" w:hAnsi="宋体" w:cs="宋体"/>
          <w:color w:val="auto"/>
          <w:sz w:val="24"/>
          <w:szCs w:val="24"/>
          <w:highlight w:val="none"/>
        </w:rPr>
        <w:t>投标人根据</w:t>
      </w:r>
      <w:r>
        <w:rPr>
          <w:rFonts w:hint="eastAsia" w:hAnsi="宋体" w:cs="宋体"/>
          <w:color w:val="auto"/>
          <w:sz w:val="24"/>
          <w:szCs w:val="24"/>
          <w:highlight w:val="none"/>
          <w:lang w:eastAsia="zh-CN"/>
        </w:rPr>
        <w:t>采购人</w:t>
      </w:r>
      <w:r>
        <w:rPr>
          <w:rFonts w:hint="eastAsia" w:hAnsi="宋体" w:cs="宋体"/>
          <w:color w:val="auto"/>
          <w:sz w:val="24"/>
          <w:szCs w:val="24"/>
          <w:highlight w:val="none"/>
        </w:rPr>
        <w:t>提供图纸充分考虑家具尺寸，提供尺寸仅供参考。</w:t>
      </w:r>
    </w:p>
    <w:p>
      <w:pPr>
        <w:spacing w:line="400" w:lineRule="exact"/>
        <w:ind w:firstLine="480" w:firstLineChars="200"/>
        <w:outlineLvl w:val="2"/>
        <w:rPr>
          <w:rFonts w:hAnsi="宋体" w:cs="宋体"/>
          <w:color w:val="auto"/>
          <w:sz w:val="24"/>
          <w:szCs w:val="24"/>
          <w:highlight w:val="none"/>
        </w:rPr>
      </w:pPr>
      <w:r>
        <w:rPr>
          <w:rFonts w:hint="eastAsia" w:hAnsi="宋体" w:cs="宋体"/>
          <w:color w:val="auto"/>
          <w:sz w:val="24"/>
          <w:szCs w:val="24"/>
          <w:highlight w:val="none"/>
        </w:rPr>
        <w:t>（二）生产实施</w:t>
      </w:r>
    </w:p>
    <w:p>
      <w:pPr>
        <w:spacing w:line="400" w:lineRule="exact"/>
        <w:ind w:firstLine="480" w:firstLineChars="200"/>
        <w:outlineLvl w:val="2"/>
        <w:rPr>
          <w:rFonts w:hAnsi="宋体" w:cs="宋体"/>
          <w:color w:val="auto"/>
          <w:sz w:val="24"/>
          <w:szCs w:val="24"/>
          <w:highlight w:val="none"/>
        </w:rPr>
      </w:pPr>
      <w:r>
        <w:rPr>
          <w:rFonts w:hint="eastAsia" w:hAnsi="宋体" w:cs="宋体"/>
          <w:color w:val="auto"/>
          <w:sz w:val="24"/>
          <w:szCs w:val="24"/>
          <w:highlight w:val="none"/>
        </w:rPr>
        <w:t>1.本次采购需中标人</w:t>
      </w:r>
      <w:r>
        <w:rPr>
          <w:rFonts w:hint="eastAsia" w:hAnsi="宋体" w:cs="宋体"/>
          <w:color w:val="auto"/>
          <w:sz w:val="24"/>
          <w:szCs w:val="24"/>
          <w:highlight w:val="none"/>
        </w:rPr>
        <w:t>进行</w:t>
      </w:r>
      <w:r>
        <w:rPr>
          <w:rFonts w:hint="eastAsia" w:hAnsi="宋体" w:cs="宋体"/>
          <w:color w:val="auto"/>
          <w:sz w:val="24"/>
          <w:szCs w:val="24"/>
          <w:highlight w:val="none"/>
        </w:rPr>
        <w:t>根据效果图和使用科室需求进行二次设计，合同签订后，中标人应在接到采购人通知的10个工作日内，出具与采购人要求相一致的家具设计方案（包括但不限于深化平面设计图、效果图等）。拒绝出具的和未在规定时间出具的，采购人有权解除签订合同。</w:t>
      </w:r>
    </w:p>
    <w:p>
      <w:pPr>
        <w:spacing w:line="400" w:lineRule="exact"/>
        <w:ind w:firstLine="480" w:firstLineChars="200"/>
        <w:outlineLvl w:val="2"/>
        <w:rPr>
          <w:rFonts w:hint="eastAsia" w:hAnsi="宋体" w:cs="宋体"/>
          <w:color w:val="auto"/>
          <w:sz w:val="24"/>
          <w:szCs w:val="24"/>
          <w:highlight w:val="none"/>
        </w:rPr>
      </w:pPr>
      <w:r>
        <w:rPr>
          <w:rFonts w:hint="eastAsia" w:hAnsi="宋体" w:cs="宋体"/>
          <w:color w:val="auto"/>
          <w:sz w:val="24"/>
          <w:szCs w:val="24"/>
          <w:highlight w:val="none"/>
        </w:rPr>
        <w:t>2.本次定制家具分布在特诊科两个楼层，需配合现场装饰改造项目施工进度同步完成。</w:t>
      </w:r>
    </w:p>
    <w:p>
      <w:pPr>
        <w:spacing w:line="400" w:lineRule="exact"/>
        <w:ind w:firstLine="480" w:firstLineChars="200"/>
        <w:outlineLvl w:val="2"/>
        <w:rPr>
          <w:rFonts w:hAnsi="宋体" w:cs="宋体"/>
          <w:color w:val="auto"/>
          <w:sz w:val="24"/>
          <w:szCs w:val="24"/>
          <w:highlight w:val="none"/>
        </w:rPr>
      </w:pPr>
      <w:r>
        <w:rPr>
          <w:rFonts w:hint="eastAsia" w:hAnsi="宋体" w:cs="宋体"/>
          <w:color w:val="auto"/>
          <w:sz w:val="24"/>
          <w:szCs w:val="24"/>
          <w:highlight w:val="none"/>
        </w:rPr>
        <w:t>3</w:t>
      </w:r>
      <w:r>
        <w:rPr>
          <w:rFonts w:hAnsi="宋体" w:cs="宋体"/>
          <w:color w:val="auto"/>
          <w:sz w:val="24"/>
          <w:szCs w:val="24"/>
          <w:highlight w:val="none"/>
        </w:rPr>
        <w:t>.安全及环境管理</w:t>
      </w:r>
      <w:r>
        <w:rPr>
          <w:rFonts w:hint="eastAsia" w:hAnsi="宋体" w:cs="宋体"/>
          <w:color w:val="auto"/>
          <w:sz w:val="24"/>
          <w:szCs w:val="24"/>
          <w:highlight w:val="none"/>
        </w:rPr>
        <w:t>：本项目的物品保管、施工安全、消防安全、环境卫生等均由中标人自行负责，如因管理不善造成的损失由中标人全部承担。</w:t>
      </w:r>
    </w:p>
    <w:p>
      <w:pPr>
        <w:spacing w:line="400" w:lineRule="exact"/>
        <w:ind w:firstLine="240" w:firstLineChars="100"/>
        <w:outlineLvl w:val="2"/>
        <w:rPr>
          <w:rFonts w:hAnsi="宋体" w:cs="宋体"/>
          <w:color w:val="auto"/>
          <w:sz w:val="24"/>
          <w:szCs w:val="24"/>
          <w:highlight w:val="none"/>
        </w:rPr>
      </w:pPr>
      <w:r>
        <w:rPr>
          <w:rFonts w:hint="eastAsia" w:hAnsi="宋体" w:cs="宋体"/>
          <w:color w:val="auto"/>
          <w:sz w:val="24"/>
          <w:szCs w:val="24"/>
          <w:highlight w:val="none"/>
        </w:rPr>
        <w:t>（三）其他要求</w:t>
      </w:r>
    </w:p>
    <w:p>
      <w:pPr>
        <w:spacing w:line="400" w:lineRule="exact"/>
        <w:ind w:firstLine="480" w:firstLineChars="200"/>
        <w:outlineLvl w:val="2"/>
        <w:rPr>
          <w:rFonts w:hAnsi="宋体" w:cs="宋体"/>
          <w:color w:val="auto"/>
          <w:sz w:val="24"/>
          <w:szCs w:val="24"/>
          <w:highlight w:val="none"/>
        </w:rPr>
      </w:pPr>
      <w:r>
        <w:rPr>
          <w:rFonts w:hint="eastAsia" w:hAnsi="宋体" w:cs="宋体"/>
          <w:color w:val="auto"/>
          <w:sz w:val="24"/>
          <w:szCs w:val="24"/>
          <w:highlight w:val="none"/>
        </w:rPr>
        <w:t>※1.关于家具的具体颜色，在家具批量生产前，中标人必须提供相关的色板供采购人筛选确认，相关费用包含在投标总价中。中标人必须按采购人确认的色板颜色交货。其中颜色的改变不影响最终结算价格。</w:t>
      </w:r>
      <w:r>
        <w:rPr>
          <w:rFonts w:hint="eastAsia" w:hAnsi="宋体" w:cs="宋体"/>
          <w:b/>
          <w:bCs/>
          <w:color w:val="auto"/>
          <w:sz w:val="24"/>
          <w:szCs w:val="24"/>
          <w:highlight w:val="none"/>
        </w:rPr>
        <w:t>（需提供承诺函，格式自定）</w:t>
      </w:r>
    </w:p>
    <w:p>
      <w:pPr>
        <w:pStyle w:val="5"/>
        <w:rPr>
          <w:rFonts w:hint="eastAsia" w:hAnsi="宋体" w:cs="宋体"/>
          <w:color w:val="auto"/>
          <w:sz w:val="24"/>
          <w:szCs w:val="24"/>
          <w:highlight w:val="none"/>
        </w:rPr>
      </w:pPr>
      <w:r>
        <w:rPr>
          <w:rFonts w:hint="eastAsia"/>
          <w:color w:val="auto"/>
          <w:sz w:val="21"/>
          <w:szCs w:val="21"/>
          <w:highlight w:val="none"/>
        </w:rPr>
        <w:t xml:space="preserve">   </w:t>
      </w:r>
      <w:r>
        <w:rPr>
          <w:color w:val="auto"/>
          <w:sz w:val="21"/>
          <w:szCs w:val="21"/>
          <w:highlight w:val="none"/>
        </w:rPr>
        <w:t>▲</w:t>
      </w:r>
      <w:r>
        <w:rPr>
          <w:rFonts w:hint="eastAsia" w:hAnsi="宋体" w:cs="宋体"/>
          <w:color w:val="auto"/>
          <w:sz w:val="24"/>
          <w:szCs w:val="24"/>
          <w:highlight w:val="none"/>
        </w:rPr>
        <w:t>2.在家具制造中采购人有权到中标人或中标品牌生产厂家车间查验家具生产是否符合采购要求，</w:t>
      </w:r>
      <w:r>
        <w:rPr>
          <w:rFonts w:hint="eastAsia" w:hAnsi="宋体"/>
          <w:color w:val="auto"/>
          <w:sz w:val="24"/>
          <w:szCs w:val="24"/>
          <w:highlight w:val="none"/>
        </w:rPr>
        <w:t>进行现场抽验的方式对加工原材料进行取样并送至</w:t>
      </w:r>
      <w:r>
        <w:rPr>
          <w:rFonts w:hint="eastAsia" w:hAnsi="宋体"/>
          <w:color w:val="auto"/>
          <w:sz w:val="24"/>
          <w:highlight w:val="none"/>
        </w:rPr>
        <w:t>具有法定检验检测资质的第三方检验检测机构</w:t>
      </w:r>
      <w:r>
        <w:rPr>
          <w:rFonts w:hint="eastAsia" w:hAnsi="宋体"/>
          <w:color w:val="auto"/>
          <w:sz w:val="24"/>
          <w:szCs w:val="24"/>
          <w:highlight w:val="none"/>
        </w:rPr>
        <w:t>检验，检测费用由中标人承担且包含在投标报价内，</w:t>
      </w:r>
      <w:r>
        <w:rPr>
          <w:rFonts w:hint="eastAsia" w:hAnsi="宋体" w:cs="宋体"/>
          <w:color w:val="auto"/>
          <w:sz w:val="24"/>
          <w:szCs w:val="24"/>
          <w:highlight w:val="none"/>
        </w:rPr>
        <w:t>若不符采购人可解除合同，并做出相应经济处罚</w:t>
      </w:r>
      <w:r>
        <w:rPr>
          <w:rFonts w:hint="eastAsia" w:hAnsi="宋体" w:cs="宋体"/>
          <w:color w:val="auto"/>
          <w:sz w:val="24"/>
          <w:szCs w:val="24"/>
          <w:highlight w:val="none"/>
        </w:rPr>
        <w:t>。</w:t>
      </w:r>
    </w:p>
    <w:p>
      <w:pPr>
        <w:ind w:firstLine="480" w:firstLineChars="200"/>
        <w:rPr>
          <w:rFonts w:hint="default" w:eastAsia="宋体"/>
          <w:color w:val="auto"/>
          <w:highlight w:val="none"/>
          <w:lang w:val="en-US" w:eastAsia="zh-CN"/>
        </w:rPr>
      </w:pPr>
      <w:r>
        <w:rPr>
          <w:rFonts w:hint="eastAsia" w:hAnsi="宋体" w:cs="宋体"/>
          <w:color w:val="auto"/>
          <w:sz w:val="24"/>
          <w:szCs w:val="24"/>
          <w:highlight w:val="none"/>
          <w:lang w:val="en-US" w:eastAsia="zh-CN"/>
        </w:rPr>
        <w:t>3.中标人需提供本单位生产厂家车间地址，如中标人为经销商或代理商需提供为该项目生产的厂家名称及车间地址。</w:t>
      </w:r>
      <w:bookmarkEnd w:id="31"/>
    </w:p>
    <w:p>
      <w:pPr>
        <w:rPr>
          <w:rFonts w:hint="eastAsia" w:ascii="宋体" w:hAnsi="宋体" w:eastAsia="宋体" w:cs="宋体"/>
          <w:color w:val="auto"/>
          <w:highlight w:val="none"/>
        </w:rPr>
      </w:pPr>
    </w:p>
    <w:p>
      <w:pPr>
        <w:rPr>
          <w:rFonts w:hint="eastAsia" w:ascii="宋体" w:hAnsi="宋体" w:eastAsia="宋体" w:cs="宋体"/>
          <w:color w:val="auto"/>
          <w:highlight w:val="none"/>
        </w:rPr>
      </w:pPr>
      <w:r>
        <w:rPr>
          <w:rFonts w:hint="eastAsia" w:ascii="宋体" w:hAnsi="宋体" w:eastAsia="宋体" w:cs="宋体"/>
          <w:color w:val="auto"/>
          <w:highlight w:val="none"/>
        </w:rPr>
        <w:br w:type="page"/>
      </w:r>
    </w:p>
    <w:p>
      <w:pPr>
        <w:pStyle w:val="2"/>
        <w:spacing w:line="360" w:lineRule="auto"/>
        <w:rPr>
          <w:rFonts w:ascii="宋体" w:hAnsi="宋体" w:eastAsia="宋体" w:cs="宋体"/>
          <w:color w:val="auto"/>
          <w:sz w:val="28"/>
          <w:szCs w:val="28"/>
          <w:highlight w:val="none"/>
        </w:rPr>
      </w:pPr>
      <w:r>
        <w:rPr>
          <w:rFonts w:hint="eastAsia" w:ascii="宋体" w:hAnsi="宋体" w:eastAsia="宋体" w:cs="宋体"/>
          <w:color w:val="auto"/>
          <w:highlight w:val="none"/>
        </w:rPr>
        <w:t>第三篇 项目商务要求</w:t>
      </w:r>
      <w:bookmarkEnd w:id="26"/>
      <w:bookmarkEnd w:id="27"/>
      <w:bookmarkStart w:id="32" w:name="_Toc505608529"/>
    </w:p>
    <w:bookmarkEnd w:id="28"/>
    <w:bookmarkEnd w:id="32"/>
    <w:p>
      <w:pPr>
        <w:snapToGrid w:val="0"/>
        <w:spacing w:line="360" w:lineRule="auto"/>
        <w:rPr>
          <w:color w:val="auto"/>
          <w:sz w:val="24"/>
          <w:highlight w:val="none"/>
        </w:rPr>
      </w:pPr>
      <w:r>
        <w:rPr>
          <w:rFonts w:hint="eastAsia"/>
          <w:color w:val="auto"/>
          <w:sz w:val="24"/>
          <w:highlight w:val="none"/>
        </w:rPr>
        <w:t>“</w:t>
      </w:r>
      <w:r>
        <w:rPr>
          <w:rFonts w:hint="eastAsia"/>
          <w:color w:val="auto"/>
          <w:sz w:val="24"/>
          <w:highlight w:val="none"/>
          <w:lang w:eastAsia="zh-CN"/>
        </w:rPr>
        <w:t>※</w:t>
      </w:r>
      <w:r>
        <w:rPr>
          <w:rFonts w:hint="eastAsia"/>
          <w:color w:val="auto"/>
          <w:sz w:val="24"/>
          <w:highlight w:val="none"/>
        </w:rPr>
        <w:t>”标注的商务需求为符合性审查中的实质性要求，</w:t>
      </w:r>
      <w:r>
        <w:rPr>
          <w:rFonts w:hint="eastAsia"/>
          <w:color w:val="auto"/>
          <w:sz w:val="24"/>
          <w:highlight w:val="none"/>
          <w:lang w:eastAsia="zh-CN"/>
        </w:rPr>
        <w:t>响应文件</w:t>
      </w:r>
      <w:r>
        <w:rPr>
          <w:rFonts w:hint="eastAsia"/>
          <w:color w:val="auto"/>
          <w:sz w:val="24"/>
          <w:highlight w:val="none"/>
        </w:rPr>
        <w:t>若不满足按无效投标处理</w:t>
      </w:r>
    </w:p>
    <w:p>
      <w:pPr>
        <w:pStyle w:val="3"/>
        <w:spacing w:line="360" w:lineRule="auto"/>
        <w:rPr>
          <w:color w:val="auto"/>
          <w:highlight w:val="none"/>
        </w:rPr>
      </w:pPr>
      <w:bookmarkStart w:id="33" w:name="_Toc98942883"/>
      <w:r>
        <w:rPr>
          <w:rFonts w:hint="eastAsia"/>
          <w:color w:val="auto"/>
          <w:highlight w:val="none"/>
        </w:rPr>
        <w:t>一、交货期、交货地点及验收方式</w:t>
      </w:r>
      <w:bookmarkEnd w:id="33"/>
    </w:p>
    <w:p>
      <w:pPr>
        <w:snapToGrid w:val="0"/>
        <w:spacing w:line="276" w:lineRule="auto"/>
        <w:ind w:firstLine="480" w:firstLineChars="200"/>
        <w:rPr>
          <w:color w:val="auto"/>
          <w:sz w:val="24"/>
          <w:highlight w:val="none"/>
        </w:rPr>
      </w:pPr>
      <w:r>
        <w:rPr>
          <w:rFonts w:hint="eastAsia"/>
          <w:color w:val="auto"/>
          <w:sz w:val="24"/>
          <w:highlight w:val="none"/>
        </w:rPr>
        <w:t>1.1交货期</w:t>
      </w:r>
    </w:p>
    <w:p>
      <w:pPr>
        <w:snapToGrid w:val="0"/>
        <w:spacing w:line="276" w:lineRule="auto"/>
        <w:ind w:firstLine="480" w:firstLineChars="200"/>
        <w:rPr>
          <w:color w:val="auto"/>
          <w:sz w:val="24"/>
          <w:highlight w:val="none"/>
        </w:rPr>
      </w:pPr>
      <w:bookmarkStart w:id="34" w:name="_Toc98942884"/>
      <w:bookmarkStart w:id="35" w:name="_Toc505608530"/>
      <w:bookmarkStart w:id="36" w:name="_Toc267320050"/>
      <w:r>
        <w:rPr>
          <w:rFonts w:hint="eastAsia"/>
          <w:color w:val="auto"/>
          <w:sz w:val="24"/>
          <w:highlight w:val="none"/>
        </w:rPr>
        <w:t>中标人应在定制家具方案确定后后50个日历日内交货并完成安装调试。由于中标人原因</w:t>
      </w:r>
      <w:r>
        <w:rPr>
          <w:rFonts w:hint="eastAsia" w:hAnsi="宋体"/>
          <w:color w:val="auto"/>
          <w:sz w:val="24"/>
          <w:szCs w:val="24"/>
          <w:highlight w:val="none"/>
        </w:rPr>
        <w:t>每超过1个日历日赔偿采购人合同总额的千分之五延期费。</w:t>
      </w:r>
    </w:p>
    <w:p>
      <w:pPr>
        <w:snapToGrid w:val="0"/>
        <w:spacing w:line="276" w:lineRule="auto"/>
        <w:ind w:firstLine="480" w:firstLineChars="200"/>
        <w:rPr>
          <w:color w:val="auto"/>
          <w:sz w:val="24"/>
          <w:highlight w:val="none"/>
        </w:rPr>
      </w:pPr>
      <w:r>
        <w:rPr>
          <w:rFonts w:hint="eastAsia"/>
          <w:color w:val="auto"/>
          <w:sz w:val="24"/>
          <w:highlight w:val="none"/>
        </w:rPr>
        <w:t>1.2交货地点</w:t>
      </w:r>
    </w:p>
    <w:p>
      <w:pPr>
        <w:snapToGrid w:val="0"/>
        <w:spacing w:line="276" w:lineRule="auto"/>
        <w:ind w:firstLine="480" w:firstLineChars="200"/>
        <w:rPr>
          <w:color w:val="auto"/>
          <w:sz w:val="24"/>
          <w:highlight w:val="none"/>
        </w:rPr>
      </w:pPr>
      <w:r>
        <w:rPr>
          <w:rFonts w:hint="eastAsia"/>
          <w:color w:val="auto"/>
          <w:sz w:val="24"/>
          <w:highlight w:val="none"/>
        </w:rPr>
        <w:t>交货地点：采购人指定地点。</w:t>
      </w:r>
    </w:p>
    <w:p>
      <w:pPr>
        <w:snapToGrid w:val="0"/>
        <w:spacing w:line="276" w:lineRule="auto"/>
        <w:ind w:firstLine="480" w:firstLineChars="200"/>
        <w:rPr>
          <w:color w:val="auto"/>
          <w:sz w:val="24"/>
          <w:highlight w:val="none"/>
        </w:rPr>
      </w:pPr>
      <w:r>
        <w:rPr>
          <w:rFonts w:hint="eastAsia"/>
          <w:color w:val="auto"/>
          <w:sz w:val="24"/>
          <w:highlight w:val="none"/>
        </w:rPr>
        <w:t>1.3验收方式</w:t>
      </w:r>
    </w:p>
    <w:p>
      <w:pPr>
        <w:snapToGrid w:val="0"/>
        <w:spacing w:line="276" w:lineRule="auto"/>
        <w:ind w:firstLine="480" w:firstLineChars="200"/>
        <w:rPr>
          <w:color w:val="auto"/>
          <w:sz w:val="24"/>
          <w:highlight w:val="none"/>
        </w:rPr>
      </w:pPr>
      <w:r>
        <w:rPr>
          <w:rFonts w:hint="eastAsia"/>
          <w:color w:val="auto"/>
          <w:sz w:val="24"/>
          <w:highlight w:val="none"/>
        </w:rPr>
        <w:t>1.3.1.货物到达现场后，中标人应在使用单位人员在场情况下当面开箱，共同清点、检查外观，作出开箱记录，双方签字确认。</w:t>
      </w:r>
    </w:p>
    <w:p>
      <w:pPr>
        <w:snapToGrid w:val="0"/>
        <w:spacing w:line="276" w:lineRule="auto"/>
        <w:ind w:firstLine="480" w:firstLineChars="200"/>
        <w:rPr>
          <w:color w:val="auto"/>
          <w:sz w:val="24"/>
          <w:highlight w:val="none"/>
        </w:rPr>
      </w:pPr>
      <w:r>
        <w:rPr>
          <w:rFonts w:hint="eastAsia"/>
          <w:color w:val="auto"/>
          <w:sz w:val="24"/>
          <w:highlight w:val="none"/>
        </w:rPr>
        <w:t>1.3.2.中标人应保证货物到达采购人所在地完好无损，如有缺漏、损坏，由投标人负责调换、补齐或赔偿。</w:t>
      </w:r>
    </w:p>
    <w:p>
      <w:pPr>
        <w:snapToGrid w:val="0"/>
        <w:spacing w:line="276" w:lineRule="auto"/>
        <w:ind w:firstLine="480" w:firstLineChars="200"/>
        <w:rPr>
          <w:color w:val="auto"/>
          <w:sz w:val="24"/>
          <w:highlight w:val="none"/>
        </w:rPr>
      </w:pPr>
      <w:r>
        <w:rPr>
          <w:rFonts w:hint="eastAsia"/>
          <w:color w:val="auto"/>
          <w:sz w:val="24"/>
          <w:highlight w:val="none"/>
        </w:rPr>
        <w:t>1.3.3.中标人应提供完备的技术资料、装箱单和合格证等，并派遣专业技术人员进行现场安装调试。验收合格条件如下：</w:t>
      </w:r>
    </w:p>
    <w:p>
      <w:pPr>
        <w:snapToGrid w:val="0"/>
        <w:spacing w:line="400" w:lineRule="exact"/>
        <w:ind w:firstLine="480" w:firstLineChars="200"/>
        <w:rPr>
          <w:color w:val="auto"/>
          <w:sz w:val="24"/>
          <w:highlight w:val="none"/>
        </w:rPr>
      </w:pPr>
      <w:r>
        <w:rPr>
          <w:rFonts w:hint="eastAsia"/>
          <w:color w:val="auto"/>
          <w:sz w:val="24"/>
          <w:highlight w:val="none"/>
        </w:rPr>
        <w:t>1.3.3.1设备技术参数与采购合同一致，性能指标达到规定的标准。</w:t>
      </w:r>
    </w:p>
    <w:p>
      <w:pPr>
        <w:snapToGrid w:val="0"/>
        <w:spacing w:line="400" w:lineRule="exact"/>
        <w:ind w:firstLine="480" w:firstLineChars="200"/>
        <w:rPr>
          <w:color w:val="auto"/>
          <w:sz w:val="24"/>
          <w:highlight w:val="none"/>
        </w:rPr>
      </w:pPr>
      <w:r>
        <w:rPr>
          <w:rFonts w:hint="eastAsia"/>
          <w:color w:val="auto"/>
          <w:sz w:val="24"/>
          <w:highlight w:val="none"/>
        </w:rPr>
        <w:t>1.3.3.2货物技术资料、装箱单、合格证等资料齐全。</w:t>
      </w:r>
    </w:p>
    <w:p>
      <w:pPr>
        <w:snapToGrid w:val="0"/>
        <w:spacing w:line="400" w:lineRule="exact"/>
        <w:ind w:firstLine="480" w:firstLineChars="200"/>
        <w:rPr>
          <w:color w:val="auto"/>
          <w:sz w:val="24"/>
          <w:highlight w:val="none"/>
        </w:rPr>
      </w:pPr>
      <w:r>
        <w:rPr>
          <w:rFonts w:hint="eastAsia"/>
          <w:color w:val="auto"/>
          <w:sz w:val="24"/>
          <w:highlight w:val="none"/>
        </w:rPr>
        <w:t>1.3.3.3在系统试运行期间所出现的问题得到解决，并运行正常。</w:t>
      </w:r>
    </w:p>
    <w:p>
      <w:pPr>
        <w:snapToGrid w:val="0"/>
        <w:spacing w:line="400" w:lineRule="exact"/>
        <w:ind w:firstLine="480" w:firstLineChars="200"/>
        <w:rPr>
          <w:color w:val="auto"/>
          <w:sz w:val="24"/>
          <w:highlight w:val="none"/>
        </w:rPr>
      </w:pPr>
      <w:r>
        <w:rPr>
          <w:rFonts w:hint="eastAsia"/>
          <w:color w:val="auto"/>
          <w:sz w:val="24"/>
          <w:highlight w:val="none"/>
        </w:rPr>
        <w:t>1.3.3.4在规定时间内完成交货并验收，并经采购人确认。</w:t>
      </w:r>
    </w:p>
    <w:p>
      <w:pPr>
        <w:snapToGrid w:val="0"/>
        <w:spacing w:line="400" w:lineRule="exact"/>
        <w:ind w:firstLine="480" w:firstLineChars="200"/>
        <w:rPr>
          <w:color w:val="auto"/>
          <w:sz w:val="24"/>
          <w:highlight w:val="none"/>
        </w:rPr>
      </w:pPr>
      <w:r>
        <w:rPr>
          <w:rFonts w:hint="eastAsia"/>
          <w:color w:val="auto"/>
          <w:sz w:val="24"/>
          <w:highlight w:val="none"/>
        </w:rPr>
        <w:t>1.4.产品在安装调试并试运行符合要求后，才作为最终验收。</w:t>
      </w:r>
    </w:p>
    <w:p>
      <w:pPr>
        <w:snapToGrid w:val="0"/>
        <w:spacing w:line="400" w:lineRule="exact"/>
        <w:ind w:firstLine="480" w:firstLineChars="200"/>
        <w:rPr>
          <w:color w:val="auto"/>
          <w:sz w:val="24"/>
          <w:highlight w:val="none"/>
        </w:rPr>
      </w:pPr>
      <w:r>
        <w:rPr>
          <w:rFonts w:hint="eastAsia"/>
          <w:color w:val="auto"/>
          <w:sz w:val="24"/>
          <w:highlight w:val="none"/>
        </w:rPr>
        <w:t>1.5.投标人提供的货物未达到竞争性比选文件规定要求，且对采购人造成损失的，由投标人承担一切责任，并赔偿所造成的损失。</w:t>
      </w:r>
    </w:p>
    <w:p>
      <w:pPr>
        <w:snapToGrid w:val="0"/>
        <w:spacing w:line="400" w:lineRule="exact"/>
        <w:ind w:firstLine="480" w:firstLineChars="200"/>
        <w:rPr>
          <w:color w:val="auto"/>
          <w:sz w:val="24"/>
          <w:highlight w:val="none"/>
        </w:rPr>
      </w:pPr>
      <w:r>
        <w:rPr>
          <w:rFonts w:hint="eastAsia"/>
          <w:color w:val="auto"/>
          <w:sz w:val="24"/>
          <w:highlight w:val="none"/>
        </w:rPr>
        <w:t>1.6.采购人需要制造商对中标人交付的产品（包括质量、技术参数等）进行确认的，制造商应予以配合，并出具书面意见。</w:t>
      </w:r>
    </w:p>
    <w:p>
      <w:pPr>
        <w:snapToGrid w:val="0"/>
        <w:spacing w:line="400" w:lineRule="exact"/>
        <w:ind w:firstLine="482" w:firstLineChars="200"/>
        <w:rPr>
          <w:rFonts w:hAnsi="宋体" w:cs="宋体"/>
          <w:b/>
          <w:color w:val="auto"/>
          <w:sz w:val="24"/>
          <w:highlight w:val="none"/>
        </w:rPr>
      </w:pPr>
      <w:r>
        <w:rPr>
          <w:rFonts w:hint="eastAsia" w:hAnsi="宋体" w:cs="宋体"/>
          <w:b/>
          <w:color w:val="auto"/>
          <w:sz w:val="24"/>
          <w:highlight w:val="none"/>
        </w:rPr>
        <w:t>1.7.项目抽检</w:t>
      </w:r>
    </w:p>
    <w:p>
      <w:pPr>
        <w:snapToGrid w:val="0"/>
        <w:spacing w:line="400" w:lineRule="exact"/>
        <w:ind w:firstLine="482" w:firstLineChars="200"/>
        <w:rPr>
          <w:color w:val="auto"/>
          <w:sz w:val="24"/>
          <w:highlight w:val="none"/>
        </w:rPr>
      </w:pPr>
      <w:r>
        <w:rPr>
          <w:rFonts w:hint="eastAsia" w:hAnsi="宋体" w:cs="宋体"/>
          <w:b/>
          <w:color w:val="auto"/>
          <w:sz w:val="24"/>
          <w:highlight w:val="none"/>
        </w:rPr>
        <w:t>货物安装完成后，由采购人和中标人在30个工作日内共同进行验收。采购人有权对送至现场的家具进行随机抽检，抽选数量不超过3件，送至具有CMA资质的质量监督检验机构（重庆市范围内）按照招标文件、中标人的投标文件和采购合同的相关标准进行破拆性检验检测。</w:t>
      </w:r>
      <w:r>
        <w:rPr>
          <w:rFonts w:hint="eastAsia" w:hAnsi="宋体" w:cs="宋体"/>
          <w:color w:val="auto"/>
          <w:sz w:val="24"/>
          <w:szCs w:val="24"/>
          <w:highlight w:val="none"/>
        </w:rPr>
        <w:t>验检测费用、缺失补齐费用、运输费等均由中标人承担.</w:t>
      </w:r>
      <w:r>
        <w:rPr>
          <w:rFonts w:hint="eastAsia" w:hAnsi="宋体" w:cs="宋体"/>
          <w:b/>
          <w:color w:val="auto"/>
          <w:sz w:val="24"/>
          <w:highlight w:val="none"/>
        </w:rPr>
        <w:t>如检测结果未能达到中标人投标文件承诺的参数指标，则采购人有权终止合同，并要求中标人赔偿所造成的一切损失。</w:t>
      </w:r>
    </w:p>
    <w:p>
      <w:pPr>
        <w:snapToGrid w:val="0"/>
        <w:spacing w:line="400" w:lineRule="exact"/>
        <w:ind w:firstLine="480" w:firstLineChars="200"/>
        <w:rPr>
          <w:rFonts w:hint="eastAsia"/>
          <w:color w:val="auto"/>
          <w:sz w:val="24"/>
          <w:highlight w:val="none"/>
        </w:rPr>
      </w:pPr>
      <w:r>
        <w:rPr>
          <w:rFonts w:hint="eastAsia"/>
          <w:color w:val="auto"/>
          <w:sz w:val="24"/>
          <w:highlight w:val="none"/>
        </w:rPr>
        <w:t>1.8.产品包装材料由中标方自行处置。</w:t>
      </w:r>
    </w:p>
    <w:p>
      <w:pPr>
        <w:pStyle w:val="3"/>
        <w:rPr>
          <w:color w:val="auto"/>
          <w:highlight w:val="none"/>
        </w:rPr>
      </w:pPr>
      <w:r>
        <w:rPr>
          <w:rFonts w:hint="eastAsia"/>
          <w:color w:val="auto"/>
          <w:highlight w:val="none"/>
        </w:rPr>
        <w:t>二、报价要求</w:t>
      </w:r>
      <w:bookmarkEnd w:id="34"/>
      <w:bookmarkEnd w:id="35"/>
    </w:p>
    <w:p>
      <w:pPr>
        <w:snapToGrid w:val="0"/>
        <w:spacing w:line="400" w:lineRule="exact"/>
        <w:ind w:firstLine="480" w:firstLineChars="200"/>
        <w:rPr>
          <w:rFonts w:hint="default" w:ascii="宋体" w:hAnsi="宋体" w:eastAsia="宋体"/>
          <w:color w:val="auto"/>
          <w:sz w:val="24"/>
          <w:szCs w:val="24"/>
          <w:highlight w:val="none"/>
          <w:lang w:val="en-US" w:eastAsia="zh-CN"/>
        </w:rPr>
      </w:pPr>
      <w:bookmarkStart w:id="37" w:name="_Toc505608531"/>
      <w:r>
        <w:rPr>
          <w:rFonts w:hint="eastAsia"/>
          <w:color w:val="auto"/>
          <w:sz w:val="24"/>
          <w:highlight w:val="none"/>
        </w:rPr>
        <w:t>2.1.本次报价须为人民币报价，</w:t>
      </w:r>
      <w:r>
        <w:rPr>
          <w:rFonts w:hint="eastAsia" w:ascii="宋体" w:hAnsi="宋体"/>
          <w:color w:val="auto"/>
          <w:sz w:val="24"/>
          <w:szCs w:val="24"/>
          <w:highlight w:val="none"/>
        </w:rPr>
        <w:t>包括但不限于产品价、运输费（含装卸费）、保险费、利润、检测费、</w:t>
      </w:r>
      <w:r>
        <w:rPr>
          <w:rFonts w:hint="eastAsia" w:ascii="宋体" w:hAnsi="宋体"/>
          <w:color w:val="auto"/>
          <w:sz w:val="24"/>
          <w:highlight w:val="none"/>
        </w:rPr>
        <w:t>缺失补齐费、运输费、</w:t>
      </w:r>
      <w:r>
        <w:rPr>
          <w:rFonts w:hint="eastAsia" w:ascii="宋体" w:hAnsi="宋体"/>
          <w:color w:val="auto"/>
          <w:sz w:val="24"/>
          <w:szCs w:val="24"/>
          <w:highlight w:val="none"/>
        </w:rPr>
        <w:t>售后服务费、质保期内所产生所有费用、安装调试费、税费、培训费等货到采购人指定地点的所有费用</w:t>
      </w:r>
      <w:r>
        <w:rPr>
          <w:rFonts w:hint="eastAsia" w:hAnsi="宋体"/>
          <w:color w:val="auto"/>
          <w:sz w:val="24"/>
          <w:szCs w:val="24"/>
          <w:highlight w:val="none"/>
          <w:lang w:eastAsia="zh-CN"/>
        </w:rPr>
        <w:t>。</w:t>
      </w:r>
      <w:r>
        <w:rPr>
          <w:rFonts w:hint="eastAsia" w:ascii="宋体" w:hAnsi="宋体"/>
          <w:color w:val="auto"/>
          <w:sz w:val="24"/>
          <w:szCs w:val="24"/>
          <w:highlight w:val="none"/>
        </w:rPr>
        <w:t>因投标人自身原因造成漏报、少报皆由其自行承担责任，采购人不再补偿。</w:t>
      </w:r>
    </w:p>
    <w:p>
      <w:pPr>
        <w:snapToGrid w:val="0"/>
        <w:spacing w:line="400" w:lineRule="exact"/>
        <w:ind w:firstLine="480" w:firstLineChars="200"/>
        <w:rPr>
          <w:rFonts w:hint="default" w:ascii="宋体" w:hAnsi="宋体" w:eastAsia="宋体"/>
          <w:color w:val="auto"/>
          <w:sz w:val="24"/>
          <w:szCs w:val="24"/>
          <w:highlight w:val="none"/>
          <w:lang w:val="en-US" w:eastAsia="zh-CN"/>
        </w:rPr>
      </w:pPr>
      <w:r>
        <w:rPr>
          <w:rFonts w:hint="eastAsia"/>
          <w:color w:val="auto"/>
          <w:sz w:val="24"/>
          <w:highlight w:val="none"/>
          <w:lang w:val="en-US" w:eastAsia="zh-CN"/>
        </w:rPr>
        <w:t>2.2本项目需按照采购项目一览表明细报价（包含额外增加抽屉费用），甲方有权在采购项目一览表基础上进行增减，最终以验收为准。</w:t>
      </w:r>
    </w:p>
    <w:p>
      <w:pPr>
        <w:snapToGrid w:val="0"/>
        <w:spacing w:line="360" w:lineRule="auto"/>
        <w:ind w:firstLine="480" w:firstLineChars="200"/>
        <w:rPr>
          <w:rFonts w:hint="eastAsia" w:ascii="宋体" w:hAnsi="宋体" w:eastAsia="宋体" w:cs="Times New Roman"/>
          <w:color w:val="auto"/>
          <w:sz w:val="24"/>
          <w:szCs w:val="24"/>
          <w:highlight w:val="none"/>
          <w:lang w:val="en-US" w:eastAsia="zh-CN"/>
        </w:rPr>
      </w:pPr>
    </w:p>
    <w:p>
      <w:pPr>
        <w:pStyle w:val="3"/>
        <w:rPr>
          <w:color w:val="auto"/>
          <w:highlight w:val="none"/>
        </w:rPr>
      </w:pPr>
      <w:bookmarkStart w:id="38" w:name="_Toc98942885"/>
      <w:r>
        <w:rPr>
          <w:rFonts w:hint="eastAsia"/>
          <w:color w:val="auto"/>
          <w:highlight w:val="none"/>
        </w:rPr>
        <w:t>三、质量保证及售后服务</w:t>
      </w:r>
      <w:bookmarkEnd w:id="36"/>
      <w:bookmarkEnd w:id="37"/>
      <w:bookmarkEnd w:id="38"/>
    </w:p>
    <w:p>
      <w:pPr>
        <w:snapToGrid w:val="0"/>
        <w:spacing w:line="400" w:lineRule="exact"/>
        <w:ind w:firstLine="482" w:firstLineChars="200"/>
        <w:rPr>
          <w:b/>
          <w:color w:val="auto"/>
          <w:sz w:val="24"/>
          <w:highlight w:val="none"/>
        </w:rPr>
      </w:pPr>
      <w:r>
        <w:rPr>
          <w:rFonts w:hint="eastAsia"/>
          <w:b/>
          <w:color w:val="auto"/>
          <w:sz w:val="24"/>
          <w:highlight w:val="none"/>
        </w:rPr>
        <w:t>3.1产品质量保证期</w:t>
      </w:r>
    </w:p>
    <w:p>
      <w:pPr>
        <w:snapToGrid w:val="0"/>
        <w:spacing w:line="360" w:lineRule="auto"/>
        <w:ind w:firstLine="480" w:firstLineChars="200"/>
        <w:rPr>
          <w:rFonts w:hAnsi="宋体" w:cs="宋体"/>
          <w:color w:val="auto"/>
          <w:sz w:val="24"/>
          <w:szCs w:val="24"/>
          <w:highlight w:val="none"/>
        </w:rPr>
      </w:pPr>
      <w:r>
        <w:rPr>
          <w:rFonts w:hint="eastAsia"/>
          <w:color w:val="auto"/>
          <w:sz w:val="24"/>
          <w:highlight w:val="none"/>
        </w:rPr>
        <w:t>※3.1.</w:t>
      </w:r>
      <w:r>
        <w:rPr>
          <w:rFonts w:hint="eastAsia" w:hAnsi="宋体" w:cs="宋体"/>
          <w:color w:val="auto"/>
          <w:sz w:val="24"/>
          <w:szCs w:val="24"/>
          <w:highlight w:val="none"/>
        </w:rPr>
        <w:t>1.投标人应明确承诺：其投标产品质量保证期达到</w:t>
      </w:r>
      <w:r>
        <w:rPr>
          <w:rFonts w:hint="eastAsia" w:hAnsi="宋体" w:cs="宋体"/>
          <w:color w:val="auto"/>
          <w:sz w:val="24"/>
          <w:szCs w:val="24"/>
          <w:highlight w:val="none"/>
          <w:u w:val="single"/>
        </w:rPr>
        <w:t>三</w:t>
      </w:r>
      <w:r>
        <w:rPr>
          <w:rFonts w:hint="eastAsia" w:hAnsi="宋体" w:cs="宋体"/>
          <w:color w:val="auto"/>
          <w:sz w:val="24"/>
          <w:szCs w:val="24"/>
          <w:highlight w:val="none"/>
        </w:rPr>
        <w:t>年。</w:t>
      </w:r>
    </w:p>
    <w:p>
      <w:pPr>
        <w:snapToGrid w:val="0"/>
        <w:spacing w:line="360" w:lineRule="auto"/>
        <w:ind w:firstLine="480" w:firstLineChars="200"/>
        <w:rPr>
          <w:rFonts w:hAnsi="宋体" w:cs="宋体"/>
          <w:color w:val="auto"/>
          <w:sz w:val="24"/>
          <w:szCs w:val="24"/>
          <w:highlight w:val="none"/>
        </w:rPr>
      </w:pPr>
      <w:r>
        <w:rPr>
          <w:rFonts w:hint="eastAsia"/>
          <w:color w:val="auto"/>
          <w:sz w:val="24"/>
          <w:highlight w:val="none"/>
        </w:rPr>
        <w:t>3.1.</w:t>
      </w:r>
      <w:r>
        <w:rPr>
          <w:rFonts w:hint="eastAsia" w:hAnsi="宋体" w:cs="宋体"/>
          <w:color w:val="auto"/>
          <w:sz w:val="24"/>
          <w:szCs w:val="24"/>
          <w:highlight w:val="none"/>
        </w:rPr>
        <w:t>2.投标产品属于国家规定“三包”范围的，其产品质量保证期不得低于“三包”规定。</w:t>
      </w:r>
    </w:p>
    <w:p>
      <w:pPr>
        <w:snapToGrid w:val="0"/>
        <w:spacing w:line="360" w:lineRule="auto"/>
        <w:ind w:firstLine="480" w:firstLineChars="200"/>
        <w:rPr>
          <w:rFonts w:hAnsi="宋体" w:cs="宋体"/>
          <w:color w:val="auto"/>
          <w:sz w:val="24"/>
          <w:szCs w:val="24"/>
          <w:highlight w:val="none"/>
        </w:rPr>
      </w:pPr>
      <w:r>
        <w:rPr>
          <w:rFonts w:hint="eastAsia"/>
          <w:color w:val="auto"/>
          <w:sz w:val="24"/>
          <w:highlight w:val="none"/>
        </w:rPr>
        <w:t>3.1.</w:t>
      </w:r>
      <w:r>
        <w:rPr>
          <w:rFonts w:hint="eastAsia" w:hAnsi="宋体" w:cs="宋体"/>
          <w:color w:val="auto"/>
          <w:sz w:val="24"/>
          <w:szCs w:val="24"/>
          <w:highlight w:val="none"/>
        </w:rPr>
        <w:t>3.投标人的质量保证期承诺优于国家“三包”规定的，按投标人实际承诺执行。</w:t>
      </w:r>
    </w:p>
    <w:p>
      <w:pPr>
        <w:snapToGrid w:val="0"/>
        <w:spacing w:line="360" w:lineRule="auto"/>
        <w:ind w:firstLine="480" w:firstLineChars="200"/>
        <w:rPr>
          <w:rFonts w:hAnsi="宋体" w:cs="宋体"/>
          <w:color w:val="auto"/>
          <w:sz w:val="24"/>
          <w:szCs w:val="24"/>
          <w:highlight w:val="none"/>
        </w:rPr>
      </w:pPr>
      <w:r>
        <w:rPr>
          <w:rFonts w:hint="eastAsia"/>
          <w:color w:val="auto"/>
          <w:sz w:val="24"/>
          <w:highlight w:val="none"/>
        </w:rPr>
        <w:t>3.1.</w:t>
      </w:r>
      <w:r>
        <w:rPr>
          <w:rFonts w:hint="eastAsia" w:hAnsi="宋体" w:cs="宋体"/>
          <w:color w:val="auto"/>
          <w:sz w:val="24"/>
          <w:szCs w:val="24"/>
          <w:highlight w:val="none"/>
        </w:rPr>
        <w:t>4.投标产品由制造商（指产品生产制造商，或其负责销售、售后服务机构，以下同）负责标准售后服务的，应当在响应文件中予以明确说明,并附制造商售后服务承诺。</w:t>
      </w:r>
    </w:p>
    <w:p>
      <w:pPr>
        <w:snapToGrid w:val="0"/>
        <w:spacing w:line="360" w:lineRule="auto"/>
        <w:ind w:firstLine="480" w:firstLineChars="200"/>
        <w:rPr>
          <w:rFonts w:hint="default" w:hAnsi="宋体" w:eastAsia="宋体" w:cs="宋体"/>
          <w:color w:val="auto"/>
          <w:sz w:val="24"/>
          <w:szCs w:val="24"/>
          <w:highlight w:val="none"/>
          <w:lang w:val="en-US" w:eastAsia="zh-CN"/>
        </w:rPr>
      </w:pPr>
      <w:r>
        <w:rPr>
          <w:rFonts w:hint="eastAsia" w:hAnsi="宋体" w:cs="宋体"/>
          <w:color w:val="auto"/>
          <w:sz w:val="24"/>
          <w:szCs w:val="24"/>
          <w:highlight w:val="none"/>
        </w:rPr>
        <w:t>3.1.5.投标人提供的商品必须是原装封装的全新出厂产品，完全符合国家有关技术标准、产品质量标准</w:t>
      </w:r>
    </w:p>
    <w:p>
      <w:pPr>
        <w:snapToGrid w:val="0"/>
        <w:spacing w:line="400" w:lineRule="exact"/>
        <w:ind w:firstLine="482" w:firstLineChars="200"/>
        <w:rPr>
          <w:b/>
          <w:color w:val="auto"/>
          <w:sz w:val="24"/>
          <w:highlight w:val="none"/>
        </w:rPr>
      </w:pPr>
      <w:r>
        <w:rPr>
          <w:rFonts w:hint="eastAsia"/>
          <w:b/>
          <w:color w:val="auto"/>
          <w:sz w:val="24"/>
          <w:highlight w:val="none"/>
        </w:rPr>
        <w:t>3.2.售后服务内容</w:t>
      </w:r>
    </w:p>
    <w:p>
      <w:pPr>
        <w:snapToGrid w:val="0"/>
        <w:spacing w:line="400" w:lineRule="exact"/>
        <w:ind w:firstLine="480" w:firstLineChars="200"/>
        <w:rPr>
          <w:color w:val="auto"/>
          <w:sz w:val="24"/>
          <w:highlight w:val="none"/>
        </w:rPr>
      </w:pPr>
      <w:r>
        <w:rPr>
          <w:rFonts w:hint="eastAsia"/>
          <w:color w:val="auto"/>
          <w:sz w:val="24"/>
          <w:highlight w:val="none"/>
        </w:rPr>
        <w:t>3.2.1.投标人和制造商在质量保证期内应当为采购人提供以下技术支持和服务：</w:t>
      </w:r>
    </w:p>
    <w:p>
      <w:pPr>
        <w:snapToGrid w:val="0"/>
        <w:spacing w:line="400" w:lineRule="exact"/>
        <w:ind w:firstLine="480" w:firstLineChars="200"/>
        <w:rPr>
          <w:color w:val="auto"/>
          <w:sz w:val="24"/>
          <w:highlight w:val="none"/>
        </w:rPr>
      </w:pPr>
      <w:r>
        <w:rPr>
          <w:rFonts w:hint="eastAsia"/>
          <w:color w:val="auto"/>
          <w:sz w:val="24"/>
          <w:highlight w:val="none"/>
        </w:rPr>
        <w:t>3.2.1.1电话咨询</w:t>
      </w:r>
    </w:p>
    <w:p>
      <w:pPr>
        <w:snapToGrid w:val="0"/>
        <w:spacing w:line="400" w:lineRule="exact"/>
        <w:ind w:firstLine="480" w:firstLineChars="200"/>
        <w:rPr>
          <w:color w:val="auto"/>
          <w:sz w:val="24"/>
          <w:highlight w:val="none"/>
        </w:rPr>
      </w:pPr>
      <w:r>
        <w:rPr>
          <w:rFonts w:hint="eastAsia"/>
          <w:color w:val="auto"/>
          <w:sz w:val="24"/>
          <w:highlight w:val="none"/>
        </w:rPr>
        <w:t>中标人和制造商应当为采购人提供技术援助电话，解答采购人在使用中遇到的问题，及时为采购人提出解决问题的建议。</w:t>
      </w:r>
    </w:p>
    <w:p>
      <w:pPr>
        <w:snapToGrid w:val="0"/>
        <w:spacing w:line="400" w:lineRule="exact"/>
        <w:ind w:firstLine="480" w:firstLineChars="200"/>
        <w:rPr>
          <w:color w:val="auto"/>
          <w:sz w:val="24"/>
          <w:highlight w:val="none"/>
        </w:rPr>
      </w:pPr>
      <w:r>
        <w:rPr>
          <w:rFonts w:hint="eastAsia"/>
          <w:color w:val="auto"/>
          <w:sz w:val="24"/>
          <w:highlight w:val="none"/>
        </w:rPr>
        <w:t>3.2.1.2现场响应</w:t>
      </w:r>
    </w:p>
    <w:p>
      <w:pPr>
        <w:snapToGrid w:val="0"/>
        <w:spacing w:line="400" w:lineRule="exact"/>
        <w:ind w:firstLine="480" w:firstLineChars="200"/>
        <w:rPr>
          <w:color w:val="auto"/>
          <w:sz w:val="24"/>
          <w:highlight w:val="none"/>
        </w:rPr>
      </w:pPr>
      <w:r>
        <w:rPr>
          <w:rFonts w:hint="eastAsia"/>
          <w:color w:val="auto"/>
          <w:sz w:val="24"/>
          <w:highlight w:val="none"/>
        </w:rPr>
        <w:t>采购人遇到使用及技术问题，电话咨询不能解决的，售后服务人员应在24小时内到达现场进行处理，确保产品正常工作（</w:t>
      </w:r>
      <w:r>
        <w:rPr>
          <w:rFonts w:hint="eastAsia" w:hAnsi="宋体"/>
          <w:color w:val="auto"/>
          <w:sz w:val="24"/>
          <w:szCs w:val="24"/>
          <w:highlight w:val="none"/>
        </w:rPr>
        <w:t>重大紧急情况3小时内应到位</w:t>
      </w:r>
      <w:r>
        <w:rPr>
          <w:rFonts w:hint="eastAsia"/>
          <w:color w:val="auto"/>
          <w:sz w:val="24"/>
          <w:highlight w:val="none"/>
        </w:rPr>
        <w:t>）。</w:t>
      </w:r>
    </w:p>
    <w:p>
      <w:pPr>
        <w:snapToGrid w:val="0"/>
        <w:spacing w:line="400" w:lineRule="exact"/>
        <w:ind w:firstLine="480" w:firstLineChars="200"/>
        <w:rPr>
          <w:color w:val="auto"/>
          <w:sz w:val="24"/>
          <w:highlight w:val="none"/>
        </w:rPr>
      </w:pPr>
      <w:r>
        <w:rPr>
          <w:rFonts w:hint="eastAsia"/>
          <w:color w:val="auto"/>
          <w:sz w:val="24"/>
          <w:highlight w:val="none"/>
        </w:rPr>
        <w:t>3.2.1.3技术升级</w:t>
      </w:r>
    </w:p>
    <w:p>
      <w:pPr>
        <w:snapToGrid w:val="0"/>
        <w:spacing w:line="400" w:lineRule="exact"/>
        <w:ind w:firstLine="480" w:firstLineChars="200"/>
        <w:rPr>
          <w:color w:val="auto"/>
          <w:sz w:val="24"/>
          <w:highlight w:val="none"/>
        </w:rPr>
      </w:pPr>
      <w:r>
        <w:rPr>
          <w:rFonts w:hint="eastAsia"/>
          <w:color w:val="auto"/>
          <w:sz w:val="24"/>
          <w:highlight w:val="none"/>
        </w:rPr>
        <w:t>在质保期内，如果中标人和制造商的产品技术升级，投标人应及时通知采购人，如采购人有相应要求，中标人和制造商应对采购人购买的产品进行升级服务。</w:t>
      </w:r>
    </w:p>
    <w:p>
      <w:pPr>
        <w:snapToGrid w:val="0"/>
        <w:spacing w:line="400" w:lineRule="exact"/>
        <w:ind w:firstLine="480" w:firstLineChars="200"/>
        <w:rPr>
          <w:color w:val="auto"/>
          <w:sz w:val="24"/>
          <w:highlight w:val="none"/>
        </w:rPr>
      </w:pPr>
      <w:r>
        <w:rPr>
          <w:rFonts w:hint="eastAsia"/>
          <w:color w:val="auto"/>
          <w:sz w:val="24"/>
          <w:highlight w:val="none"/>
        </w:rPr>
        <w:t>3.2.2.质保期外服务要求</w:t>
      </w:r>
    </w:p>
    <w:p>
      <w:pPr>
        <w:snapToGrid w:val="0"/>
        <w:spacing w:line="400" w:lineRule="exact"/>
        <w:ind w:firstLine="480" w:firstLineChars="200"/>
        <w:rPr>
          <w:color w:val="auto"/>
          <w:sz w:val="24"/>
          <w:highlight w:val="none"/>
        </w:rPr>
      </w:pPr>
      <w:r>
        <w:rPr>
          <w:rFonts w:hint="eastAsia"/>
          <w:color w:val="auto"/>
          <w:sz w:val="24"/>
          <w:highlight w:val="none"/>
        </w:rPr>
        <w:t>3.2.2.1质量保证期过后，投标人和制造商应同样提供免费电话咨询服务，并应承诺提供产品上门维护服务。</w:t>
      </w:r>
    </w:p>
    <w:p>
      <w:pPr>
        <w:snapToGrid w:val="0"/>
        <w:spacing w:line="400" w:lineRule="exact"/>
        <w:ind w:firstLine="480" w:firstLineChars="200"/>
        <w:rPr>
          <w:color w:val="auto"/>
          <w:sz w:val="24"/>
          <w:highlight w:val="none"/>
        </w:rPr>
      </w:pPr>
      <w:r>
        <w:rPr>
          <w:rFonts w:hint="eastAsia"/>
          <w:color w:val="auto"/>
          <w:sz w:val="24"/>
          <w:highlight w:val="none"/>
        </w:rPr>
        <w:t>3.2.2.2质量保证期过后，采购人需要继续由原投标人和制造商提供售后服务的，该投标人和制造商应以优惠价格提供售后服务。</w:t>
      </w:r>
    </w:p>
    <w:p>
      <w:pPr>
        <w:snapToGrid w:val="0"/>
        <w:spacing w:line="400" w:lineRule="exact"/>
        <w:ind w:firstLine="480" w:firstLineChars="200"/>
        <w:rPr>
          <w:color w:val="auto"/>
          <w:sz w:val="24"/>
          <w:highlight w:val="none"/>
        </w:rPr>
      </w:pPr>
      <w:r>
        <w:rPr>
          <w:rFonts w:hint="eastAsia"/>
          <w:color w:val="auto"/>
          <w:sz w:val="24"/>
          <w:highlight w:val="none"/>
        </w:rPr>
        <w:t>3.2.2.3</w:t>
      </w:r>
      <w:r>
        <w:rPr>
          <w:color w:val="auto"/>
          <w:sz w:val="24"/>
          <w:highlight w:val="none"/>
        </w:rPr>
        <w:t>质保期后终身免费上门维修，只收取配件费。</w:t>
      </w:r>
    </w:p>
    <w:p>
      <w:pPr>
        <w:snapToGrid w:val="0"/>
        <w:spacing w:line="400" w:lineRule="exact"/>
        <w:ind w:firstLine="482" w:firstLineChars="200"/>
        <w:rPr>
          <w:b/>
          <w:color w:val="auto"/>
          <w:sz w:val="24"/>
          <w:highlight w:val="none"/>
        </w:rPr>
      </w:pPr>
      <w:r>
        <w:rPr>
          <w:rFonts w:hint="eastAsia"/>
          <w:b/>
          <w:color w:val="auto"/>
          <w:sz w:val="24"/>
          <w:highlight w:val="none"/>
        </w:rPr>
        <w:t>3.3.备品备件及易损件</w:t>
      </w:r>
    </w:p>
    <w:p>
      <w:pPr>
        <w:snapToGrid w:val="0"/>
        <w:spacing w:line="400" w:lineRule="exact"/>
        <w:ind w:firstLine="480" w:firstLineChars="200"/>
        <w:rPr>
          <w:color w:val="auto"/>
          <w:sz w:val="24"/>
          <w:highlight w:val="none"/>
        </w:rPr>
      </w:pPr>
      <w:r>
        <w:rPr>
          <w:rFonts w:hint="eastAsia"/>
          <w:color w:val="auto"/>
          <w:sz w:val="24"/>
          <w:highlight w:val="none"/>
        </w:rPr>
        <w:t>中标人和制造商售后服务中，维修使用的备品备件及易损件应为原厂配件，未经采购人同意不得使用非原厂配件。</w:t>
      </w:r>
    </w:p>
    <w:p>
      <w:pPr>
        <w:pStyle w:val="3"/>
        <w:rPr>
          <w:color w:val="auto"/>
          <w:highlight w:val="none"/>
        </w:rPr>
      </w:pPr>
      <w:bookmarkStart w:id="39" w:name="_Toc98942886"/>
      <w:bookmarkStart w:id="40" w:name="_Toc267320051"/>
      <w:bookmarkStart w:id="41" w:name="_Toc505608532"/>
      <w:r>
        <w:rPr>
          <w:rFonts w:hint="eastAsia"/>
          <w:color w:val="auto"/>
          <w:highlight w:val="none"/>
        </w:rPr>
        <w:t>四、付款方式</w:t>
      </w:r>
      <w:bookmarkEnd w:id="39"/>
      <w:bookmarkEnd w:id="40"/>
      <w:bookmarkEnd w:id="41"/>
    </w:p>
    <w:p>
      <w:pPr>
        <w:snapToGrid w:val="0"/>
        <w:spacing w:line="400" w:lineRule="exact"/>
        <w:ind w:firstLine="480" w:firstLineChars="200"/>
        <w:rPr>
          <w:rFonts w:hint="eastAsia" w:hAnsi="宋体" w:cs="宋体"/>
          <w:color w:val="auto"/>
          <w:sz w:val="24"/>
          <w:szCs w:val="24"/>
          <w:highlight w:val="none"/>
          <w:lang w:val="en-US" w:eastAsia="zh-CN"/>
        </w:rPr>
      </w:pPr>
      <w:bookmarkStart w:id="42" w:name="_Toc267320052"/>
      <w:bookmarkStart w:id="43" w:name="_Toc505608533"/>
      <w:r>
        <w:rPr>
          <w:rFonts w:hint="eastAsia" w:hAnsi="宋体" w:cs="宋体"/>
          <w:color w:val="auto"/>
          <w:sz w:val="24"/>
          <w:szCs w:val="24"/>
          <w:highlight w:val="none"/>
          <w:lang w:val="en-US" w:eastAsia="zh-CN"/>
        </w:rPr>
        <w:t xml:space="preserve">1.中标通知发出后，中标人应在5个工作日内以银行转账方式向采购人支付合同总价款5%的履约保证金; </w:t>
      </w:r>
    </w:p>
    <w:p>
      <w:pPr>
        <w:snapToGrid w:val="0"/>
        <w:spacing w:line="400" w:lineRule="exact"/>
        <w:ind w:firstLine="480" w:firstLineChars="200"/>
        <w:rPr>
          <w:rFonts w:hint="eastAsia" w:hAnsi="宋体" w:cs="宋体"/>
          <w:color w:val="auto"/>
          <w:sz w:val="24"/>
          <w:szCs w:val="24"/>
          <w:highlight w:val="none"/>
        </w:rPr>
      </w:pPr>
      <w:r>
        <w:rPr>
          <w:rFonts w:hint="eastAsia" w:hAnsi="宋体" w:cs="宋体"/>
          <w:color w:val="auto"/>
          <w:sz w:val="24"/>
          <w:szCs w:val="24"/>
          <w:highlight w:val="none"/>
          <w:lang w:val="en-US" w:eastAsia="zh-CN"/>
        </w:rPr>
        <w:t>2</w:t>
      </w:r>
      <w:r>
        <w:rPr>
          <w:rFonts w:hint="eastAsia" w:hAnsi="宋体" w:cs="宋体"/>
          <w:color w:val="auto"/>
          <w:sz w:val="24"/>
          <w:szCs w:val="24"/>
          <w:highlight w:val="none"/>
        </w:rPr>
        <w:t>.</w:t>
      </w:r>
      <w:r>
        <w:rPr>
          <w:rFonts w:hint="eastAsia" w:hAnsi="宋体" w:cs="宋体"/>
          <w:color w:val="auto"/>
          <w:sz w:val="24"/>
          <w:szCs w:val="24"/>
          <w:highlight w:val="none"/>
          <w:lang w:eastAsia="zh-CN"/>
        </w:rPr>
        <w:t>第一次支付：</w:t>
      </w:r>
      <w:r>
        <w:rPr>
          <w:rFonts w:hint="eastAsia" w:hAnsi="宋体" w:cs="宋体"/>
          <w:color w:val="auto"/>
          <w:sz w:val="24"/>
          <w:szCs w:val="24"/>
          <w:highlight w:val="none"/>
        </w:rPr>
        <w:t>中标人按采购合同约定，按期交货并完成安装调试实现正常使用且质量验收合格后，收到</w:t>
      </w:r>
      <w:r>
        <w:rPr>
          <w:rFonts w:hint="eastAsia" w:hAnsi="宋体" w:cs="宋体"/>
          <w:color w:val="auto"/>
          <w:sz w:val="24"/>
          <w:szCs w:val="24"/>
          <w:highlight w:val="none"/>
          <w:lang w:eastAsia="zh-CN"/>
        </w:rPr>
        <w:t>中标人</w:t>
      </w:r>
      <w:r>
        <w:rPr>
          <w:rFonts w:hint="eastAsia" w:hAnsi="宋体" w:cs="宋体"/>
          <w:color w:val="auto"/>
          <w:sz w:val="24"/>
          <w:szCs w:val="24"/>
          <w:highlight w:val="none"/>
        </w:rPr>
        <w:t>履约保证金到账且</w:t>
      </w:r>
      <w:r>
        <w:rPr>
          <w:rFonts w:hint="eastAsia" w:hAnsi="宋体" w:cs="宋体"/>
          <w:color w:val="auto"/>
          <w:sz w:val="24"/>
          <w:szCs w:val="24"/>
          <w:highlight w:val="none"/>
          <w:lang w:eastAsia="zh-CN"/>
        </w:rPr>
        <w:t>采购人</w:t>
      </w:r>
      <w:r>
        <w:rPr>
          <w:rFonts w:hint="eastAsia" w:hAnsi="宋体" w:cs="宋体"/>
          <w:color w:val="auto"/>
          <w:sz w:val="24"/>
          <w:szCs w:val="24"/>
          <w:highlight w:val="none"/>
        </w:rPr>
        <w:t>收到</w:t>
      </w:r>
      <w:r>
        <w:rPr>
          <w:rFonts w:hint="eastAsia" w:hAnsi="宋体" w:cs="宋体"/>
          <w:color w:val="auto"/>
          <w:sz w:val="24"/>
          <w:szCs w:val="24"/>
          <w:highlight w:val="none"/>
          <w:lang w:eastAsia="zh-CN"/>
        </w:rPr>
        <w:t>中标人</w:t>
      </w:r>
      <w:r>
        <w:rPr>
          <w:rFonts w:hint="eastAsia" w:hAnsi="宋体" w:cs="宋体"/>
          <w:color w:val="auto"/>
          <w:sz w:val="24"/>
          <w:szCs w:val="24"/>
          <w:highlight w:val="none"/>
        </w:rPr>
        <w:t>开具总价款全额发票后5个工作日内启动付款流程，</w:t>
      </w:r>
      <w:r>
        <w:rPr>
          <w:rFonts w:hint="eastAsia" w:hAnsi="宋体" w:cs="宋体"/>
          <w:color w:val="auto"/>
          <w:sz w:val="24"/>
          <w:szCs w:val="24"/>
          <w:highlight w:val="none"/>
          <w:lang w:eastAsia="zh-CN"/>
        </w:rPr>
        <w:t>采购人</w:t>
      </w:r>
      <w:r>
        <w:rPr>
          <w:rFonts w:hint="eastAsia" w:hAnsi="宋体" w:cs="宋体"/>
          <w:color w:val="auto"/>
          <w:sz w:val="24"/>
          <w:szCs w:val="24"/>
          <w:highlight w:val="none"/>
        </w:rPr>
        <w:t>支付</w:t>
      </w:r>
      <w:r>
        <w:rPr>
          <w:rFonts w:hint="eastAsia" w:hAnsi="宋体" w:cs="宋体"/>
          <w:color w:val="auto"/>
          <w:sz w:val="24"/>
          <w:szCs w:val="24"/>
          <w:highlight w:val="none"/>
          <w:lang w:eastAsia="zh-CN"/>
        </w:rPr>
        <w:t>总价款</w:t>
      </w:r>
      <w:r>
        <w:rPr>
          <w:rFonts w:hint="eastAsia" w:hAnsi="宋体" w:cs="宋体"/>
          <w:color w:val="auto"/>
          <w:sz w:val="24"/>
          <w:szCs w:val="24"/>
          <w:highlight w:val="none"/>
        </w:rPr>
        <w:t>的95%;如</w:t>
      </w:r>
      <w:r>
        <w:rPr>
          <w:rFonts w:hint="eastAsia" w:hAnsi="宋体" w:cs="宋体"/>
          <w:color w:val="auto"/>
          <w:sz w:val="24"/>
          <w:szCs w:val="24"/>
          <w:highlight w:val="none"/>
          <w:lang w:eastAsia="zh-CN"/>
        </w:rPr>
        <w:t>中标人</w:t>
      </w:r>
      <w:r>
        <w:rPr>
          <w:rFonts w:hint="eastAsia" w:hAnsi="宋体" w:cs="宋体"/>
          <w:color w:val="auto"/>
          <w:sz w:val="24"/>
          <w:szCs w:val="24"/>
          <w:highlight w:val="none"/>
        </w:rPr>
        <w:t>未按本合同约定向</w:t>
      </w:r>
      <w:r>
        <w:rPr>
          <w:rFonts w:hint="eastAsia" w:hAnsi="宋体" w:cs="宋体"/>
          <w:color w:val="auto"/>
          <w:sz w:val="24"/>
          <w:szCs w:val="24"/>
          <w:highlight w:val="none"/>
          <w:lang w:eastAsia="zh-CN"/>
        </w:rPr>
        <w:t>采购人</w:t>
      </w:r>
      <w:r>
        <w:rPr>
          <w:rFonts w:hint="eastAsia" w:hAnsi="宋体" w:cs="宋体"/>
          <w:color w:val="auto"/>
          <w:sz w:val="24"/>
          <w:szCs w:val="24"/>
          <w:highlight w:val="none"/>
        </w:rPr>
        <w:t>开具发票，</w:t>
      </w:r>
      <w:r>
        <w:rPr>
          <w:rFonts w:hint="eastAsia" w:hAnsi="宋体" w:cs="宋体"/>
          <w:color w:val="auto"/>
          <w:sz w:val="24"/>
          <w:szCs w:val="24"/>
          <w:highlight w:val="none"/>
          <w:lang w:eastAsia="zh-CN"/>
        </w:rPr>
        <w:t>采购人</w:t>
      </w:r>
      <w:r>
        <w:rPr>
          <w:rFonts w:hint="eastAsia" w:hAnsi="宋体" w:cs="宋体"/>
          <w:color w:val="auto"/>
          <w:sz w:val="24"/>
          <w:szCs w:val="24"/>
          <w:highlight w:val="none"/>
        </w:rPr>
        <w:t xml:space="preserve">有权拒绝付款。 </w:t>
      </w:r>
    </w:p>
    <w:p>
      <w:pPr>
        <w:snapToGrid w:val="0"/>
        <w:spacing w:line="400" w:lineRule="exact"/>
        <w:ind w:firstLine="480" w:firstLineChars="200"/>
        <w:rPr>
          <w:rFonts w:hint="eastAsia" w:hAnsi="宋体" w:cs="宋体"/>
          <w:color w:val="auto"/>
          <w:sz w:val="24"/>
          <w:szCs w:val="24"/>
          <w:highlight w:val="none"/>
          <w:lang w:eastAsia="zh-CN"/>
        </w:rPr>
      </w:pPr>
      <w:r>
        <w:rPr>
          <w:rFonts w:hint="eastAsia" w:hAnsi="宋体" w:cs="宋体"/>
          <w:color w:val="auto"/>
          <w:sz w:val="24"/>
          <w:szCs w:val="24"/>
          <w:highlight w:val="none"/>
          <w:lang w:val="en-US" w:eastAsia="zh-CN"/>
        </w:rPr>
        <w:t>3.</w:t>
      </w:r>
      <w:r>
        <w:rPr>
          <w:rFonts w:hint="eastAsia" w:hAnsi="宋体" w:cs="宋体"/>
          <w:color w:val="auto"/>
          <w:sz w:val="24"/>
          <w:szCs w:val="24"/>
          <w:highlight w:val="none"/>
        </w:rPr>
        <w:t>履约保证金在满足约定验收合格后</w:t>
      </w:r>
      <w:r>
        <w:rPr>
          <w:rFonts w:hint="eastAsia" w:hAnsi="宋体" w:cs="宋体"/>
          <w:color w:val="auto"/>
          <w:sz w:val="24"/>
          <w:szCs w:val="24"/>
          <w:highlight w:val="none"/>
          <w:lang w:val="en-US" w:eastAsia="zh-CN"/>
        </w:rPr>
        <w:t>3</w:t>
      </w:r>
      <w:r>
        <w:rPr>
          <w:rFonts w:hint="eastAsia" w:hAnsi="宋体" w:cs="宋体"/>
          <w:color w:val="auto"/>
          <w:sz w:val="24"/>
          <w:szCs w:val="24"/>
          <w:highlight w:val="none"/>
        </w:rPr>
        <w:t>个</w:t>
      </w:r>
      <w:r>
        <w:rPr>
          <w:rFonts w:hint="eastAsia" w:hAnsi="宋体" w:cs="宋体"/>
          <w:color w:val="auto"/>
          <w:sz w:val="24"/>
          <w:szCs w:val="24"/>
          <w:highlight w:val="none"/>
        </w:rPr>
        <w:t>工作日内按程序办理无息退还手续</w:t>
      </w:r>
      <w:r>
        <w:rPr>
          <w:rFonts w:hint="eastAsia" w:hAnsi="宋体" w:cs="宋体"/>
          <w:color w:val="auto"/>
          <w:sz w:val="24"/>
          <w:szCs w:val="24"/>
          <w:highlight w:val="none"/>
          <w:lang w:eastAsia="zh-CN"/>
        </w:rPr>
        <w:t>；</w:t>
      </w:r>
    </w:p>
    <w:p>
      <w:pPr>
        <w:snapToGrid w:val="0"/>
        <w:spacing w:line="400" w:lineRule="exact"/>
        <w:ind w:firstLine="480" w:firstLineChars="200"/>
        <w:rPr>
          <w:rFonts w:hint="eastAsia" w:hAnsi="宋体" w:cs="宋体"/>
          <w:color w:val="auto"/>
          <w:sz w:val="24"/>
          <w:szCs w:val="24"/>
          <w:highlight w:val="none"/>
        </w:rPr>
      </w:pPr>
      <w:r>
        <w:rPr>
          <w:rFonts w:hint="eastAsia" w:hAnsi="宋体" w:cs="宋体"/>
          <w:color w:val="auto"/>
          <w:sz w:val="24"/>
          <w:szCs w:val="24"/>
          <w:highlight w:val="none"/>
          <w:lang w:val="en-US" w:eastAsia="zh-CN"/>
        </w:rPr>
        <w:t>4</w:t>
      </w:r>
      <w:r>
        <w:rPr>
          <w:rFonts w:hint="eastAsia" w:hAnsi="宋体" w:cs="宋体"/>
          <w:color w:val="auto"/>
          <w:sz w:val="24"/>
          <w:szCs w:val="24"/>
          <w:highlight w:val="none"/>
        </w:rPr>
        <w:t>.第二次支付：从最终验收合格之日起</w:t>
      </w:r>
      <w:r>
        <w:rPr>
          <w:rFonts w:hint="eastAsia" w:hAnsi="宋体" w:cs="宋体"/>
          <w:color w:val="auto"/>
          <w:sz w:val="24"/>
          <w:szCs w:val="24"/>
          <w:highlight w:val="none"/>
          <w:lang w:eastAsia="zh-CN"/>
        </w:rPr>
        <w:t>三</w:t>
      </w:r>
      <w:r>
        <w:rPr>
          <w:rFonts w:hint="eastAsia" w:hAnsi="宋体" w:cs="宋体"/>
          <w:color w:val="auto"/>
          <w:sz w:val="24"/>
          <w:szCs w:val="24"/>
          <w:highlight w:val="none"/>
        </w:rPr>
        <w:t>年后，货物不存在缺陷且正常使用的，</w:t>
      </w:r>
      <w:r>
        <w:rPr>
          <w:rFonts w:hint="eastAsia" w:hAnsi="宋体" w:cs="宋体"/>
          <w:color w:val="auto"/>
          <w:sz w:val="24"/>
          <w:szCs w:val="24"/>
          <w:highlight w:val="none"/>
          <w:lang w:eastAsia="zh-CN"/>
        </w:rPr>
        <w:t>中标人</w:t>
      </w:r>
      <w:r>
        <w:rPr>
          <w:rFonts w:hint="eastAsia" w:hAnsi="宋体" w:cs="宋体"/>
          <w:color w:val="auto"/>
          <w:sz w:val="24"/>
          <w:szCs w:val="24"/>
          <w:highlight w:val="none"/>
        </w:rPr>
        <w:t>向</w:t>
      </w:r>
      <w:r>
        <w:rPr>
          <w:rFonts w:hint="eastAsia" w:hAnsi="宋体" w:cs="宋体"/>
          <w:color w:val="auto"/>
          <w:sz w:val="24"/>
          <w:szCs w:val="24"/>
          <w:highlight w:val="none"/>
          <w:lang w:eastAsia="zh-CN"/>
        </w:rPr>
        <w:t>采购人</w:t>
      </w:r>
      <w:r>
        <w:rPr>
          <w:rFonts w:hint="eastAsia" w:hAnsi="宋体" w:cs="宋体"/>
          <w:color w:val="auto"/>
          <w:sz w:val="24"/>
          <w:szCs w:val="24"/>
          <w:highlight w:val="none"/>
        </w:rPr>
        <w:t>提交书面付款申请，经</w:t>
      </w:r>
      <w:r>
        <w:rPr>
          <w:rFonts w:hint="eastAsia" w:hAnsi="宋体" w:cs="宋体"/>
          <w:color w:val="auto"/>
          <w:sz w:val="24"/>
          <w:szCs w:val="24"/>
          <w:highlight w:val="none"/>
          <w:lang w:eastAsia="zh-CN"/>
        </w:rPr>
        <w:t>采购人</w:t>
      </w:r>
      <w:r>
        <w:rPr>
          <w:rFonts w:hint="eastAsia" w:hAnsi="宋体" w:cs="宋体"/>
          <w:color w:val="auto"/>
          <w:sz w:val="24"/>
          <w:szCs w:val="24"/>
          <w:highlight w:val="none"/>
        </w:rPr>
        <w:t>确认付款金额后，</w:t>
      </w:r>
      <w:r>
        <w:rPr>
          <w:rFonts w:hint="eastAsia" w:hAnsi="宋体" w:cs="宋体"/>
          <w:color w:val="auto"/>
          <w:sz w:val="24"/>
          <w:szCs w:val="24"/>
          <w:highlight w:val="none"/>
          <w:lang w:eastAsia="zh-CN"/>
        </w:rPr>
        <w:t>中标人</w:t>
      </w:r>
      <w:r>
        <w:rPr>
          <w:rFonts w:hint="eastAsia" w:hAnsi="宋体" w:cs="宋体"/>
          <w:color w:val="auto"/>
          <w:sz w:val="24"/>
          <w:szCs w:val="24"/>
          <w:highlight w:val="none"/>
        </w:rPr>
        <w:t>再次提交确认金额的书面付款申请，</w:t>
      </w:r>
      <w:r>
        <w:rPr>
          <w:rFonts w:hint="eastAsia" w:hAnsi="宋体" w:cs="宋体"/>
          <w:color w:val="auto"/>
          <w:sz w:val="24"/>
          <w:szCs w:val="24"/>
          <w:highlight w:val="none"/>
          <w:lang w:eastAsia="zh-CN"/>
        </w:rPr>
        <w:t>采购人</w:t>
      </w:r>
      <w:r>
        <w:rPr>
          <w:rFonts w:hint="eastAsia" w:hAnsi="宋体" w:cs="宋体"/>
          <w:color w:val="auto"/>
          <w:sz w:val="24"/>
          <w:szCs w:val="24"/>
          <w:highlight w:val="none"/>
        </w:rPr>
        <w:t>自收到该申请书后15个工作日内，支付剩余款项(剩余款项金额以</w:t>
      </w:r>
      <w:r>
        <w:rPr>
          <w:rFonts w:hint="eastAsia" w:hAnsi="宋体" w:cs="宋体"/>
          <w:color w:val="auto"/>
          <w:sz w:val="24"/>
          <w:szCs w:val="24"/>
          <w:highlight w:val="none"/>
          <w:lang w:eastAsia="zh-CN"/>
        </w:rPr>
        <w:t>采购人</w:t>
      </w:r>
      <w:r>
        <w:rPr>
          <w:rFonts w:hint="eastAsia" w:hAnsi="宋体" w:cs="宋体"/>
          <w:color w:val="auto"/>
          <w:sz w:val="24"/>
          <w:szCs w:val="24"/>
          <w:highlight w:val="none"/>
        </w:rPr>
        <w:t>确认为准)。</w:t>
      </w:r>
    </w:p>
    <w:p>
      <w:pPr>
        <w:pStyle w:val="3"/>
        <w:rPr>
          <w:color w:val="auto"/>
          <w:highlight w:val="none"/>
        </w:rPr>
      </w:pPr>
      <w:bookmarkStart w:id="44" w:name="_Toc98942887"/>
      <w:r>
        <w:rPr>
          <w:rFonts w:hint="eastAsia"/>
          <w:color w:val="auto"/>
          <w:highlight w:val="none"/>
        </w:rPr>
        <w:t>五、知识产权</w:t>
      </w:r>
      <w:bookmarkEnd w:id="42"/>
      <w:bookmarkEnd w:id="43"/>
      <w:bookmarkEnd w:id="44"/>
    </w:p>
    <w:p>
      <w:pPr>
        <w:ind w:firstLine="424" w:firstLineChars="177"/>
        <w:rPr>
          <w:color w:val="auto"/>
          <w:sz w:val="24"/>
          <w:szCs w:val="24"/>
          <w:highlight w:val="none"/>
        </w:rPr>
      </w:pPr>
      <w:r>
        <w:rPr>
          <w:rFonts w:hint="eastAsia"/>
          <w:color w:val="auto"/>
          <w:sz w:val="24"/>
          <w:szCs w:val="24"/>
          <w:highlight w:val="none"/>
        </w:rPr>
        <w:t>采购人在中华人民共和国境内使用投标人提供的货物及服务时免受第三方提出的侵犯其专利权或其它知识产权的起诉。如果第三方提出侵权指控，中标人应承担由此而引起的一切法律责任和费用。</w:t>
      </w:r>
    </w:p>
    <w:p>
      <w:pPr>
        <w:pStyle w:val="3"/>
        <w:rPr>
          <w:color w:val="auto"/>
          <w:highlight w:val="none"/>
        </w:rPr>
      </w:pPr>
      <w:bookmarkStart w:id="45" w:name="_Toc98942888"/>
      <w:bookmarkStart w:id="46" w:name="_Toc267320053"/>
      <w:bookmarkStart w:id="47" w:name="_Toc505608534"/>
      <w:r>
        <w:rPr>
          <w:rFonts w:hint="eastAsia"/>
          <w:color w:val="auto"/>
          <w:highlight w:val="none"/>
        </w:rPr>
        <w:t>六、培训</w:t>
      </w:r>
      <w:bookmarkEnd w:id="45"/>
      <w:bookmarkEnd w:id="46"/>
      <w:bookmarkEnd w:id="47"/>
    </w:p>
    <w:p>
      <w:pPr>
        <w:ind w:firstLine="424" w:firstLineChars="177"/>
        <w:rPr>
          <w:color w:val="auto"/>
          <w:sz w:val="24"/>
          <w:szCs w:val="24"/>
          <w:highlight w:val="none"/>
        </w:rPr>
      </w:pPr>
      <w:r>
        <w:rPr>
          <w:rFonts w:hint="eastAsia"/>
          <w:color w:val="auto"/>
          <w:sz w:val="24"/>
          <w:szCs w:val="24"/>
          <w:highlight w:val="none"/>
        </w:rPr>
        <w:t>投标人对其提供产品的使用和操作应尽培训义务。投标人应提供对采购人的基本免费培训，使采购人使用人员能够正常操作。</w:t>
      </w:r>
    </w:p>
    <w:p>
      <w:pPr>
        <w:pStyle w:val="3"/>
        <w:rPr>
          <w:color w:val="auto"/>
          <w:highlight w:val="none"/>
        </w:rPr>
      </w:pPr>
      <w:bookmarkStart w:id="48" w:name="_Toc267320054"/>
      <w:bookmarkStart w:id="49" w:name="_Toc505608536"/>
      <w:bookmarkStart w:id="50" w:name="_Toc98942889"/>
      <w:r>
        <w:rPr>
          <w:rFonts w:hint="eastAsia"/>
          <w:color w:val="auto"/>
          <w:highlight w:val="none"/>
        </w:rPr>
        <w:t>七、</w:t>
      </w:r>
      <w:bookmarkEnd w:id="48"/>
      <w:r>
        <w:rPr>
          <w:rFonts w:hint="eastAsia"/>
          <w:color w:val="auto"/>
          <w:highlight w:val="none"/>
        </w:rPr>
        <w:t>其他商务要求内容</w:t>
      </w:r>
      <w:bookmarkEnd w:id="49"/>
      <w:bookmarkEnd w:id="50"/>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7.1.投标人必须在</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中对以上条款和服务承诺明确列出，承诺内容必须达到本篇及</w:t>
      </w:r>
      <w:r>
        <w:rPr>
          <w:rFonts w:hint="eastAsia" w:hAnsi="宋体" w:cs="宋体"/>
          <w:color w:val="auto"/>
          <w:sz w:val="24"/>
          <w:szCs w:val="24"/>
          <w:highlight w:val="none"/>
          <w:lang w:eastAsia="zh-CN"/>
        </w:rPr>
        <w:t>竞争性比选文件</w:t>
      </w:r>
      <w:r>
        <w:rPr>
          <w:rFonts w:hint="eastAsia" w:hAnsi="宋体" w:cs="宋体"/>
          <w:color w:val="auto"/>
          <w:sz w:val="24"/>
          <w:szCs w:val="24"/>
          <w:highlight w:val="none"/>
        </w:rPr>
        <w:t>其他条款的要求。</w:t>
      </w:r>
    </w:p>
    <w:p>
      <w:pPr>
        <w:spacing w:line="360" w:lineRule="auto"/>
        <w:ind w:firstLine="360" w:firstLineChars="150"/>
        <w:rPr>
          <w:rFonts w:hAnsi="宋体" w:cs="方正仿宋_GBK"/>
          <w:color w:val="auto"/>
          <w:sz w:val="24"/>
          <w:szCs w:val="24"/>
          <w:highlight w:val="none"/>
        </w:rPr>
      </w:pPr>
      <w:r>
        <w:rPr>
          <w:rFonts w:hint="eastAsia" w:hAnsi="宋体" w:cs="宋体"/>
          <w:color w:val="auto"/>
          <w:sz w:val="24"/>
          <w:szCs w:val="24"/>
          <w:highlight w:val="none"/>
        </w:rPr>
        <w:t>7.2.其他未尽事宜由供需双方在采购合同中详细约定，</w:t>
      </w:r>
      <w:r>
        <w:rPr>
          <w:rFonts w:hint="eastAsia" w:hAnsi="宋体" w:cs="方正仿宋_GBK"/>
          <w:color w:val="auto"/>
          <w:sz w:val="24"/>
          <w:szCs w:val="24"/>
          <w:highlight w:val="none"/>
        </w:rPr>
        <w:t>投标人在</w:t>
      </w:r>
      <w:r>
        <w:rPr>
          <w:rFonts w:hint="eastAsia" w:hAnsi="宋体" w:cs="方正仿宋_GBK"/>
          <w:color w:val="auto"/>
          <w:sz w:val="24"/>
          <w:szCs w:val="24"/>
          <w:highlight w:val="none"/>
          <w:lang w:eastAsia="zh-CN"/>
        </w:rPr>
        <w:t>响应文件</w:t>
      </w:r>
      <w:r>
        <w:rPr>
          <w:rFonts w:hint="eastAsia" w:hAnsi="宋体" w:cs="方正仿宋_GBK"/>
          <w:color w:val="auto"/>
          <w:sz w:val="24"/>
          <w:szCs w:val="24"/>
          <w:highlight w:val="none"/>
        </w:rPr>
        <w:t>中所承诺的所有经济、技术和商务条款都要纳入成交合同中。</w:t>
      </w:r>
    </w:p>
    <w:p>
      <w:pPr>
        <w:spacing w:line="360" w:lineRule="auto"/>
        <w:ind w:firstLine="360" w:firstLineChars="150"/>
        <w:rPr>
          <w:rFonts w:hAnsi="宋体" w:cs="方正仿宋_GBK"/>
          <w:color w:val="auto"/>
          <w:sz w:val="24"/>
          <w:szCs w:val="24"/>
          <w:highlight w:val="none"/>
        </w:rPr>
      </w:pPr>
      <w:r>
        <w:rPr>
          <w:rFonts w:hint="eastAsia" w:hAnsi="宋体" w:cs="方正仿宋_GBK"/>
          <w:color w:val="auto"/>
          <w:sz w:val="24"/>
          <w:szCs w:val="24"/>
          <w:highlight w:val="none"/>
        </w:rPr>
        <w:t>7.3.如中标人因违反或不履行投标时承诺的商务和技术要求时，采购人保留对技术指标进行验证的权利，发现中标人及原生产厂家提供虚假参数的，采购人有权按照相关法律法规的规定，取消违反招标采购文件约定的中标人中标资格，以及按医院采购制度对其进行处罚。</w:t>
      </w:r>
    </w:p>
    <w:p>
      <w:pPr>
        <w:spacing w:line="360" w:lineRule="auto"/>
        <w:ind w:firstLine="360" w:firstLineChars="150"/>
        <w:rPr>
          <w:rFonts w:hAnsi="宋体" w:cs="方正仿宋_GBK"/>
          <w:color w:val="auto"/>
          <w:sz w:val="24"/>
          <w:szCs w:val="24"/>
          <w:highlight w:val="none"/>
        </w:rPr>
      </w:pPr>
      <w:r>
        <w:rPr>
          <w:rFonts w:hint="eastAsia" w:hAnsi="宋体" w:cs="方正仿宋_GBK"/>
          <w:color w:val="auto"/>
          <w:sz w:val="24"/>
          <w:szCs w:val="24"/>
          <w:highlight w:val="none"/>
        </w:rPr>
        <w:t>7.4.中标人应保证所提供的产品和服务整体功能的实现。如发生以下情况，采购人有权取消其成交资格：1、如中标人放弃成交项目或在签订合时擅自改变成交状态的；2、所提供的产品和服务在功能、参数等方面未满足</w:t>
      </w:r>
      <w:r>
        <w:rPr>
          <w:rFonts w:hint="eastAsia" w:hAnsi="宋体" w:cs="方正仿宋_GBK"/>
          <w:color w:val="auto"/>
          <w:sz w:val="24"/>
          <w:szCs w:val="24"/>
          <w:highlight w:val="none"/>
          <w:lang w:eastAsia="zh-CN"/>
        </w:rPr>
        <w:t>响应文件</w:t>
      </w:r>
      <w:r>
        <w:rPr>
          <w:rFonts w:hint="eastAsia" w:hAnsi="宋体" w:cs="方正仿宋_GBK"/>
          <w:color w:val="auto"/>
          <w:sz w:val="24"/>
          <w:szCs w:val="24"/>
          <w:highlight w:val="none"/>
        </w:rPr>
        <w:t>及相关承诺的；3、证实提交了相关虚假文件的。发生上述情况，采购人除申请取消其成交资格同时，有权退货及终止合同，中标人一切损失自行承担。同时中标人按合同总价百分之</w:t>
      </w:r>
      <w:r>
        <w:rPr>
          <w:rFonts w:hint="eastAsia" w:hAnsi="宋体" w:cs="方正仿宋_GBK"/>
          <w:color w:val="auto"/>
          <w:sz w:val="24"/>
          <w:szCs w:val="24"/>
          <w:highlight w:val="none"/>
          <w:lang w:eastAsia="zh-CN"/>
        </w:rPr>
        <w:t>二</w:t>
      </w:r>
      <w:r>
        <w:rPr>
          <w:rFonts w:hint="eastAsia" w:hAnsi="宋体" w:cs="方正仿宋_GBK"/>
          <w:color w:val="auto"/>
          <w:sz w:val="24"/>
          <w:szCs w:val="24"/>
          <w:highlight w:val="none"/>
        </w:rPr>
        <w:t>十赔付采购人延误损失。</w:t>
      </w:r>
    </w:p>
    <w:p>
      <w:pPr>
        <w:spacing w:line="360" w:lineRule="auto"/>
        <w:ind w:firstLine="360" w:firstLineChars="150"/>
        <w:rPr>
          <w:rFonts w:hAnsi="宋体" w:cs="宋体"/>
          <w:color w:val="auto"/>
          <w:sz w:val="28"/>
          <w:szCs w:val="28"/>
          <w:highlight w:val="none"/>
        </w:rPr>
      </w:pPr>
      <w:r>
        <w:rPr>
          <w:rFonts w:hint="eastAsia" w:hAnsi="宋体" w:cs="方正仿宋_GBK"/>
          <w:color w:val="auto"/>
          <w:sz w:val="24"/>
          <w:szCs w:val="24"/>
          <w:highlight w:val="none"/>
        </w:rPr>
        <w:t>7.5.</w:t>
      </w:r>
      <w:r>
        <w:rPr>
          <w:rFonts w:hint="eastAsia" w:hAnsi="宋体" w:cs="方正仿宋_GBK"/>
          <w:color w:val="auto"/>
          <w:sz w:val="24"/>
          <w:szCs w:val="24"/>
          <w:highlight w:val="none"/>
          <w:lang w:eastAsia="zh-CN"/>
        </w:rPr>
        <w:t>竞争性比选文件</w:t>
      </w:r>
      <w:r>
        <w:rPr>
          <w:rFonts w:hint="eastAsia" w:hAnsi="宋体" w:cs="方正仿宋_GBK"/>
          <w:color w:val="auto"/>
          <w:sz w:val="24"/>
          <w:szCs w:val="24"/>
          <w:highlight w:val="none"/>
        </w:rPr>
        <w:t>、中标人的</w:t>
      </w:r>
      <w:r>
        <w:rPr>
          <w:rFonts w:hint="eastAsia" w:hAnsi="宋体" w:cs="方正仿宋_GBK"/>
          <w:color w:val="auto"/>
          <w:sz w:val="24"/>
          <w:szCs w:val="24"/>
          <w:highlight w:val="none"/>
          <w:lang w:eastAsia="zh-CN"/>
        </w:rPr>
        <w:t>响应</w:t>
      </w:r>
      <w:r>
        <w:rPr>
          <w:rFonts w:hint="eastAsia" w:hAnsi="宋体" w:cs="方正仿宋_GBK"/>
          <w:color w:val="auto"/>
          <w:sz w:val="24"/>
          <w:szCs w:val="24"/>
          <w:highlight w:val="none"/>
        </w:rPr>
        <w:t>文件及有效承诺文件等，均为签订合同的依据，是合同不可分割的一部分。</w:t>
      </w:r>
      <w:r>
        <w:rPr>
          <w:rFonts w:hAnsi="宋体" w:cs="宋体"/>
          <w:color w:val="auto"/>
          <w:sz w:val="28"/>
          <w:szCs w:val="28"/>
          <w:highlight w:val="none"/>
        </w:rPr>
        <w:br w:type="page"/>
      </w:r>
    </w:p>
    <w:p>
      <w:pPr>
        <w:pStyle w:val="2"/>
        <w:spacing w:line="360" w:lineRule="auto"/>
        <w:rPr>
          <w:rFonts w:ascii="宋体" w:hAnsi="宋体" w:eastAsia="宋体" w:cs="宋体"/>
          <w:color w:val="auto"/>
          <w:highlight w:val="none"/>
        </w:rPr>
      </w:pPr>
      <w:bookmarkStart w:id="51" w:name="_Toc19113859"/>
      <w:bookmarkStart w:id="52" w:name="_Toc98942890"/>
      <w:r>
        <w:rPr>
          <w:rFonts w:hint="eastAsia" w:ascii="宋体" w:hAnsi="宋体" w:eastAsia="宋体" w:cs="宋体"/>
          <w:color w:val="auto"/>
          <w:highlight w:val="none"/>
        </w:rPr>
        <w:t>第四篇 资格审查及评分办法</w:t>
      </w:r>
      <w:bookmarkEnd w:id="51"/>
      <w:bookmarkEnd w:id="52"/>
    </w:p>
    <w:p>
      <w:pPr>
        <w:pStyle w:val="3"/>
        <w:rPr>
          <w:color w:val="auto"/>
          <w:highlight w:val="none"/>
        </w:rPr>
      </w:pPr>
      <w:bookmarkStart w:id="53" w:name="_Toc98942891"/>
      <w:r>
        <w:rPr>
          <w:rFonts w:hint="eastAsia"/>
          <w:color w:val="auto"/>
          <w:highlight w:val="none"/>
        </w:rPr>
        <w:t>一、资格审查</w:t>
      </w:r>
      <w:bookmarkEnd w:id="53"/>
    </w:p>
    <w:p>
      <w:pPr>
        <w:spacing w:line="360" w:lineRule="auto"/>
        <w:ind w:firstLine="566" w:firstLineChars="236"/>
        <w:rPr>
          <w:rFonts w:hAnsi="宋体" w:cs="宋体"/>
          <w:color w:val="auto"/>
          <w:sz w:val="24"/>
          <w:szCs w:val="24"/>
          <w:highlight w:val="none"/>
        </w:rPr>
      </w:pPr>
      <w:r>
        <w:rPr>
          <w:rFonts w:hint="eastAsia" w:hAnsi="宋体" w:cs="宋体"/>
          <w:color w:val="auto"/>
          <w:sz w:val="24"/>
          <w:szCs w:val="24"/>
          <w:highlight w:val="none"/>
        </w:rPr>
        <w:t>评标委员会对</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中的资格证明文件进行审查。资格审查资料表如下：</w:t>
      </w:r>
    </w:p>
    <w:tbl>
      <w:tblPr>
        <w:tblStyle w:val="13"/>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5"/>
        <w:gridCol w:w="1125"/>
        <w:gridCol w:w="2760"/>
        <w:gridCol w:w="49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Align w:val="center"/>
          </w:tcPr>
          <w:p>
            <w:pPr>
              <w:spacing w:line="360" w:lineRule="auto"/>
              <w:jc w:val="center"/>
              <w:rPr>
                <w:rFonts w:hAnsi="宋体" w:cs="宋体"/>
                <w:b/>
                <w:color w:val="auto"/>
                <w:sz w:val="21"/>
                <w:szCs w:val="21"/>
                <w:highlight w:val="none"/>
              </w:rPr>
            </w:pPr>
            <w:r>
              <w:rPr>
                <w:rFonts w:hint="eastAsia" w:hAnsi="宋体" w:cs="宋体"/>
                <w:b/>
                <w:color w:val="auto"/>
                <w:sz w:val="21"/>
                <w:szCs w:val="21"/>
                <w:highlight w:val="none"/>
              </w:rPr>
              <w:t>序号</w:t>
            </w:r>
          </w:p>
        </w:tc>
        <w:tc>
          <w:tcPr>
            <w:tcW w:w="3885" w:type="dxa"/>
            <w:gridSpan w:val="2"/>
            <w:vAlign w:val="center"/>
          </w:tcPr>
          <w:p>
            <w:pPr>
              <w:spacing w:line="360" w:lineRule="auto"/>
              <w:jc w:val="center"/>
              <w:rPr>
                <w:rFonts w:hAnsi="宋体" w:cs="宋体"/>
                <w:b/>
                <w:color w:val="auto"/>
                <w:sz w:val="21"/>
                <w:szCs w:val="21"/>
                <w:highlight w:val="none"/>
              </w:rPr>
            </w:pPr>
            <w:r>
              <w:rPr>
                <w:rFonts w:hint="eastAsia" w:hAnsi="宋体" w:cs="宋体"/>
                <w:b/>
                <w:color w:val="auto"/>
                <w:sz w:val="21"/>
                <w:szCs w:val="21"/>
                <w:highlight w:val="none"/>
              </w:rPr>
              <w:t>检查因素</w:t>
            </w:r>
          </w:p>
        </w:tc>
        <w:tc>
          <w:tcPr>
            <w:tcW w:w="4948" w:type="dxa"/>
            <w:vAlign w:val="center"/>
          </w:tcPr>
          <w:p>
            <w:pPr>
              <w:spacing w:line="360" w:lineRule="auto"/>
              <w:jc w:val="center"/>
              <w:rPr>
                <w:rFonts w:hAnsi="宋体" w:cs="宋体"/>
                <w:b/>
                <w:color w:val="auto"/>
                <w:sz w:val="21"/>
                <w:szCs w:val="21"/>
                <w:highlight w:val="none"/>
              </w:rPr>
            </w:pPr>
            <w:r>
              <w:rPr>
                <w:rFonts w:hint="eastAsia" w:hAnsi="宋体" w:cs="宋体"/>
                <w:b/>
                <w:color w:val="auto"/>
                <w:sz w:val="21"/>
                <w:szCs w:val="21"/>
                <w:highlight w:val="none"/>
              </w:rPr>
              <w:t>检查内容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restart"/>
            <w:vAlign w:val="center"/>
          </w:tcPr>
          <w:p>
            <w:pPr>
              <w:spacing w:line="360" w:lineRule="auto"/>
              <w:jc w:val="center"/>
              <w:rPr>
                <w:rFonts w:hAnsi="宋体" w:cs="宋体"/>
                <w:color w:val="auto"/>
                <w:sz w:val="21"/>
                <w:szCs w:val="21"/>
                <w:highlight w:val="none"/>
              </w:rPr>
            </w:pPr>
            <w:r>
              <w:rPr>
                <w:rFonts w:hint="eastAsia" w:hAnsi="宋体" w:cs="宋体"/>
                <w:color w:val="auto"/>
                <w:sz w:val="21"/>
                <w:szCs w:val="21"/>
                <w:highlight w:val="none"/>
              </w:rPr>
              <w:t>1</w:t>
            </w:r>
          </w:p>
        </w:tc>
        <w:tc>
          <w:tcPr>
            <w:tcW w:w="1125" w:type="dxa"/>
            <w:vMerge w:val="restart"/>
            <w:vAlign w:val="center"/>
          </w:tcPr>
          <w:p>
            <w:pPr>
              <w:spacing w:line="360" w:lineRule="auto"/>
              <w:rPr>
                <w:rFonts w:hAnsi="宋体" w:cs="宋体"/>
                <w:color w:val="auto"/>
                <w:sz w:val="21"/>
                <w:szCs w:val="21"/>
                <w:highlight w:val="none"/>
                <w:lang w:val="zh-CN"/>
              </w:rPr>
            </w:pPr>
            <w:r>
              <w:rPr>
                <w:rFonts w:hint="eastAsia" w:hAnsi="宋体" w:cs="宋体"/>
                <w:color w:val="auto"/>
                <w:sz w:val="21"/>
                <w:szCs w:val="21"/>
                <w:highlight w:val="none"/>
                <w:lang w:val="zh-CN"/>
              </w:rPr>
              <w:t>投标人应符合的基本资格条件</w:t>
            </w:r>
          </w:p>
        </w:tc>
        <w:tc>
          <w:tcPr>
            <w:tcW w:w="2760" w:type="dxa"/>
            <w:vAlign w:val="center"/>
          </w:tcPr>
          <w:p>
            <w:pPr>
              <w:rPr>
                <w:rFonts w:hAnsi="宋体" w:cs="宋体"/>
                <w:color w:val="auto"/>
                <w:sz w:val="21"/>
                <w:szCs w:val="21"/>
                <w:highlight w:val="none"/>
              </w:rPr>
            </w:pPr>
            <w:r>
              <w:rPr>
                <w:rFonts w:hint="eastAsia" w:hAnsi="宋体" w:cs="宋体"/>
                <w:color w:val="auto"/>
                <w:sz w:val="21"/>
                <w:szCs w:val="21"/>
                <w:highlight w:val="none"/>
              </w:rPr>
              <w:t>（1）具有独立承担民事责任的能力</w:t>
            </w:r>
          </w:p>
        </w:tc>
        <w:tc>
          <w:tcPr>
            <w:tcW w:w="4948" w:type="dxa"/>
            <w:vAlign w:val="center"/>
          </w:tcPr>
          <w:p>
            <w:pPr>
              <w:rPr>
                <w:rFonts w:hAnsi="宋体" w:cs="宋体"/>
                <w:color w:val="auto"/>
                <w:sz w:val="21"/>
                <w:szCs w:val="21"/>
                <w:highlight w:val="none"/>
              </w:rPr>
            </w:pPr>
            <w:r>
              <w:rPr>
                <w:rFonts w:hint="eastAsia" w:hAnsi="宋体" w:cs="宋体"/>
                <w:color w:val="auto"/>
                <w:sz w:val="21"/>
                <w:szCs w:val="21"/>
                <w:highlight w:val="none"/>
              </w:rPr>
              <w:t>投标人法人营业执照（副本）或事业单位法人证书（副本）或个体工商户营业执照或有效的自然人身份证明、组织机构代码证复印件； 投标人法定代表人身份证明和法定代表人授权代表委托书。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pPr>
              <w:spacing w:line="360" w:lineRule="auto"/>
              <w:jc w:val="center"/>
              <w:rPr>
                <w:rFonts w:hAnsi="宋体" w:cs="宋体"/>
                <w:color w:val="auto"/>
                <w:sz w:val="21"/>
                <w:szCs w:val="21"/>
                <w:highlight w:val="none"/>
              </w:rPr>
            </w:pPr>
          </w:p>
        </w:tc>
        <w:tc>
          <w:tcPr>
            <w:tcW w:w="1125" w:type="dxa"/>
            <w:vMerge w:val="continue"/>
            <w:vAlign w:val="center"/>
          </w:tcPr>
          <w:p>
            <w:pPr>
              <w:spacing w:line="360" w:lineRule="auto"/>
              <w:rPr>
                <w:rFonts w:hAnsi="宋体" w:cs="宋体"/>
                <w:color w:val="auto"/>
                <w:sz w:val="21"/>
                <w:szCs w:val="21"/>
                <w:highlight w:val="none"/>
                <w:lang w:val="zh-CN"/>
              </w:rPr>
            </w:pPr>
          </w:p>
        </w:tc>
        <w:tc>
          <w:tcPr>
            <w:tcW w:w="2760" w:type="dxa"/>
            <w:vAlign w:val="center"/>
          </w:tcPr>
          <w:p>
            <w:pPr>
              <w:rPr>
                <w:rFonts w:hAnsi="宋体" w:cs="宋体"/>
                <w:color w:val="auto"/>
                <w:sz w:val="21"/>
                <w:szCs w:val="21"/>
                <w:highlight w:val="none"/>
              </w:rPr>
            </w:pPr>
            <w:r>
              <w:rPr>
                <w:rFonts w:hint="eastAsia" w:hAnsi="宋体" w:cs="宋体"/>
                <w:color w:val="auto"/>
                <w:sz w:val="21"/>
                <w:szCs w:val="21"/>
                <w:highlight w:val="none"/>
                <w:lang w:val="zh-CN"/>
              </w:rPr>
              <w:t>（2）</w:t>
            </w:r>
            <w:r>
              <w:rPr>
                <w:rFonts w:hint="eastAsia" w:hAnsi="宋体" w:cs="宋体"/>
                <w:color w:val="auto"/>
                <w:sz w:val="21"/>
                <w:szCs w:val="21"/>
                <w:highlight w:val="none"/>
              </w:rPr>
              <w:t>具有良好的商业信誉和健全的财务会计制度</w:t>
            </w:r>
          </w:p>
        </w:tc>
        <w:tc>
          <w:tcPr>
            <w:tcW w:w="4948" w:type="dxa"/>
            <w:vMerge w:val="restart"/>
            <w:vAlign w:val="center"/>
          </w:tcPr>
          <w:p>
            <w:pPr>
              <w:rPr>
                <w:rFonts w:hAnsi="宋体" w:cs="宋体"/>
                <w:color w:val="auto"/>
                <w:sz w:val="21"/>
                <w:szCs w:val="21"/>
                <w:highlight w:val="none"/>
              </w:rPr>
            </w:pPr>
            <w:r>
              <w:rPr>
                <w:rFonts w:hint="eastAsia" w:hAnsi="宋体" w:cs="宋体"/>
                <w:color w:val="auto"/>
                <w:sz w:val="21"/>
                <w:szCs w:val="21"/>
                <w:highlight w:val="none"/>
              </w:rPr>
              <w:t>投标人提供书面声明（见格式文件）；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pPr>
              <w:spacing w:line="360" w:lineRule="auto"/>
              <w:jc w:val="center"/>
              <w:rPr>
                <w:rFonts w:hAnsi="宋体" w:cs="宋体"/>
                <w:color w:val="auto"/>
                <w:sz w:val="21"/>
                <w:szCs w:val="21"/>
                <w:highlight w:val="none"/>
              </w:rPr>
            </w:pPr>
          </w:p>
        </w:tc>
        <w:tc>
          <w:tcPr>
            <w:tcW w:w="1125" w:type="dxa"/>
            <w:vMerge w:val="continue"/>
            <w:vAlign w:val="center"/>
          </w:tcPr>
          <w:p>
            <w:pPr>
              <w:spacing w:line="360" w:lineRule="auto"/>
              <w:rPr>
                <w:rFonts w:hAnsi="宋体" w:cs="宋体"/>
                <w:color w:val="auto"/>
                <w:sz w:val="21"/>
                <w:szCs w:val="21"/>
                <w:highlight w:val="none"/>
                <w:lang w:val="zh-CN"/>
              </w:rPr>
            </w:pPr>
          </w:p>
        </w:tc>
        <w:tc>
          <w:tcPr>
            <w:tcW w:w="2760" w:type="dxa"/>
            <w:vAlign w:val="center"/>
          </w:tcPr>
          <w:p>
            <w:pPr>
              <w:rPr>
                <w:rFonts w:hAnsi="宋体" w:cs="宋体"/>
                <w:color w:val="auto"/>
                <w:sz w:val="21"/>
                <w:szCs w:val="21"/>
                <w:highlight w:val="none"/>
                <w:lang w:val="zh-CN"/>
              </w:rPr>
            </w:pPr>
            <w:r>
              <w:rPr>
                <w:rFonts w:hint="eastAsia" w:hAnsi="宋体" w:cs="宋体"/>
                <w:color w:val="auto"/>
                <w:sz w:val="21"/>
                <w:szCs w:val="21"/>
                <w:highlight w:val="none"/>
                <w:lang w:val="zh-CN"/>
              </w:rPr>
              <w:t>（3）具有履行合同所必需的设备和专业技术能力</w:t>
            </w:r>
          </w:p>
        </w:tc>
        <w:tc>
          <w:tcPr>
            <w:tcW w:w="4948" w:type="dxa"/>
            <w:vMerge w:val="continue"/>
            <w:vAlign w:val="center"/>
          </w:tcPr>
          <w:p>
            <w:pPr>
              <w:rPr>
                <w:rFonts w:hAnsi="宋体" w:cs="宋体"/>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pPr>
              <w:spacing w:line="360" w:lineRule="auto"/>
              <w:jc w:val="center"/>
              <w:rPr>
                <w:rFonts w:hAnsi="宋体" w:cs="宋体"/>
                <w:color w:val="auto"/>
                <w:sz w:val="21"/>
                <w:szCs w:val="21"/>
                <w:highlight w:val="none"/>
              </w:rPr>
            </w:pPr>
          </w:p>
        </w:tc>
        <w:tc>
          <w:tcPr>
            <w:tcW w:w="1125" w:type="dxa"/>
            <w:vMerge w:val="continue"/>
            <w:vAlign w:val="center"/>
          </w:tcPr>
          <w:p>
            <w:pPr>
              <w:spacing w:line="360" w:lineRule="auto"/>
              <w:rPr>
                <w:rFonts w:hAnsi="宋体" w:cs="宋体"/>
                <w:color w:val="auto"/>
                <w:sz w:val="21"/>
                <w:szCs w:val="21"/>
                <w:highlight w:val="none"/>
                <w:lang w:val="zh-CN"/>
              </w:rPr>
            </w:pPr>
          </w:p>
        </w:tc>
        <w:tc>
          <w:tcPr>
            <w:tcW w:w="2760" w:type="dxa"/>
            <w:vAlign w:val="center"/>
          </w:tcPr>
          <w:p>
            <w:pPr>
              <w:spacing w:line="360" w:lineRule="auto"/>
              <w:rPr>
                <w:rFonts w:hAnsi="宋体" w:cs="宋体"/>
                <w:color w:val="auto"/>
                <w:sz w:val="21"/>
                <w:szCs w:val="21"/>
                <w:highlight w:val="none"/>
                <w:lang w:val="zh-CN"/>
              </w:rPr>
            </w:pPr>
            <w:r>
              <w:rPr>
                <w:rFonts w:hint="eastAsia" w:hAnsi="宋体" w:cs="宋体"/>
                <w:color w:val="auto"/>
                <w:sz w:val="21"/>
                <w:szCs w:val="21"/>
                <w:highlight w:val="none"/>
                <w:lang w:val="zh-CN"/>
              </w:rPr>
              <w:t>（4）有依法缴纳税收和社会保障金的良好记录</w:t>
            </w:r>
          </w:p>
        </w:tc>
        <w:tc>
          <w:tcPr>
            <w:tcW w:w="4948" w:type="dxa"/>
            <w:vMerge w:val="continue"/>
            <w:vAlign w:val="center"/>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pPr>
              <w:spacing w:line="360" w:lineRule="auto"/>
              <w:jc w:val="center"/>
              <w:rPr>
                <w:rFonts w:hAnsi="宋体" w:cs="宋体"/>
                <w:color w:val="auto"/>
                <w:sz w:val="21"/>
                <w:szCs w:val="21"/>
                <w:highlight w:val="none"/>
              </w:rPr>
            </w:pPr>
          </w:p>
        </w:tc>
        <w:tc>
          <w:tcPr>
            <w:tcW w:w="1125" w:type="dxa"/>
            <w:vMerge w:val="continue"/>
            <w:vAlign w:val="center"/>
          </w:tcPr>
          <w:p>
            <w:pPr>
              <w:spacing w:line="360" w:lineRule="auto"/>
              <w:rPr>
                <w:rFonts w:hAnsi="宋体" w:cs="宋体"/>
                <w:color w:val="auto"/>
                <w:sz w:val="21"/>
                <w:szCs w:val="21"/>
                <w:highlight w:val="none"/>
                <w:lang w:val="zh-CN"/>
              </w:rPr>
            </w:pPr>
          </w:p>
        </w:tc>
        <w:tc>
          <w:tcPr>
            <w:tcW w:w="2760" w:type="dxa"/>
            <w:vAlign w:val="center"/>
          </w:tcPr>
          <w:p>
            <w:pPr>
              <w:rPr>
                <w:rFonts w:hAnsi="宋体" w:cs="宋体"/>
                <w:color w:val="auto"/>
                <w:sz w:val="21"/>
                <w:szCs w:val="21"/>
                <w:highlight w:val="none"/>
                <w:lang w:val="zh-CN"/>
              </w:rPr>
            </w:pPr>
            <w:r>
              <w:rPr>
                <w:rFonts w:hint="eastAsia" w:hAnsi="宋体" w:cs="宋体"/>
                <w:color w:val="auto"/>
                <w:sz w:val="21"/>
                <w:szCs w:val="21"/>
                <w:highlight w:val="none"/>
              </w:rPr>
              <w:t>（5）参加采购活动前三年内，在经营活动中没有重大违法记录（注</w:t>
            </w:r>
            <w:r>
              <w:rPr>
                <w:rFonts w:hint="eastAsia"/>
                <w:color w:val="auto"/>
                <w:sz w:val="21"/>
                <w:szCs w:val="21"/>
                <w:highlight w:val="none"/>
              </w:rPr>
              <w:fldChar w:fldCharType="begin"/>
            </w:r>
            <w:r>
              <w:rPr>
                <w:rFonts w:hint="eastAsia"/>
                <w:color w:val="auto"/>
                <w:sz w:val="21"/>
                <w:szCs w:val="21"/>
                <w:highlight w:val="none"/>
              </w:rPr>
              <w:instrText xml:space="preserve"> eq \o\ac(○,2)</w:instrText>
            </w:r>
            <w:r>
              <w:rPr>
                <w:rFonts w:hint="eastAsia"/>
                <w:color w:val="auto"/>
                <w:sz w:val="21"/>
                <w:szCs w:val="21"/>
                <w:highlight w:val="none"/>
              </w:rPr>
              <w:fldChar w:fldCharType="end"/>
            </w:r>
            <w:r>
              <w:rPr>
                <w:rFonts w:hint="eastAsia" w:hAnsi="宋体" w:cs="宋体"/>
                <w:color w:val="auto"/>
                <w:sz w:val="21"/>
                <w:szCs w:val="21"/>
                <w:highlight w:val="none"/>
              </w:rPr>
              <w:t>）</w:t>
            </w:r>
          </w:p>
        </w:tc>
        <w:tc>
          <w:tcPr>
            <w:tcW w:w="4948" w:type="dxa"/>
            <w:vMerge w:val="continue"/>
            <w:vAlign w:val="center"/>
          </w:tcPr>
          <w:p>
            <w:pPr>
              <w:rPr>
                <w:rFonts w:hAnsi="宋体" w:cs="宋体"/>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795" w:type="dxa"/>
            <w:vMerge w:val="continue"/>
            <w:vAlign w:val="center"/>
          </w:tcPr>
          <w:p>
            <w:pPr>
              <w:spacing w:line="360" w:lineRule="auto"/>
              <w:jc w:val="center"/>
              <w:rPr>
                <w:rFonts w:hAnsi="宋体" w:cs="宋体"/>
                <w:color w:val="auto"/>
                <w:sz w:val="21"/>
                <w:szCs w:val="21"/>
                <w:highlight w:val="none"/>
              </w:rPr>
            </w:pPr>
          </w:p>
        </w:tc>
        <w:tc>
          <w:tcPr>
            <w:tcW w:w="1125" w:type="dxa"/>
            <w:vMerge w:val="continue"/>
            <w:vAlign w:val="center"/>
          </w:tcPr>
          <w:p>
            <w:pPr>
              <w:spacing w:line="360" w:lineRule="auto"/>
              <w:rPr>
                <w:rFonts w:hAnsi="宋体" w:cs="宋体"/>
                <w:color w:val="auto"/>
                <w:sz w:val="21"/>
                <w:szCs w:val="21"/>
                <w:highlight w:val="none"/>
              </w:rPr>
            </w:pPr>
          </w:p>
        </w:tc>
        <w:tc>
          <w:tcPr>
            <w:tcW w:w="2760" w:type="dxa"/>
            <w:vAlign w:val="center"/>
          </w:tcPr>
          <w:p>
            <w:pPr>
              <w:rPr>
                <w:rFonts w:hAnsi="宋体" w:cs="宋体"/>
                <w:color w:val="auto"/>
                <w:sz w:val="21"/>
                <w:szCs w:val="21"/>
                <w:highlight w:val="none"/>
              </w:rPr>
            </w:pPr>
            <w:r>
              <w:rPr>
                <w:rFonts w:hint="eastAsia" w:hAnsi="宋体" w:cs="宋体"/>
                <w:color w:val="auto"/>
                <w:sz w:val="21"/>
                <w:szCs w:val="21"/>
                <w:highlight w:val="none"/>
              </w:rPr>
              <w:t>（6）法律、行政法规规定的其他条件</w:t>
            </w:r>
          </w:p>
        </w:tc>
        <w:tc>
          <w:tcPr>
            <w:tcW w:w="4948" w:type="dxa"/>
            <w:vAlign w:val="center"/>
          </w:tcPr>
          <w:p>
            <w:pPr>
              <w:rPr>
                <w:rFonts w:hAnsi="宋体" w:cs="宋体"/>
                <w:color w:val="auto"/>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Align w:val="center"/>
          </w:tcPr>
          <w:p>
            <w:pPr>
              <w:spacing w:line="360" w:lineRule="auto"/>
              <w:jc w:val="center"/>
              <w:rPr>
                <w:rFonts w:hAnsi="宋体" w:cs="宋体"/>
                <w:color w:val="auto"/>
                <w:sz w:val="21"/>
                <w:szCs w:val="21"/>
                <w:highlight w:val="none"/>
              </w:rPr>
            </w:pPr>
            <w:r>
              <w:rPr>
                <w:rFonts w:hint="eastAsia" w:hAnsi="宋体" w:cs="宋体"/>
                <w:color w:val="auto"/>
                <w:sz w:val="21"/>
                <w:szCs w:val="21"/>
                <w:highlight w:val="none"/>
              </w:rPr>
              <w:t>2</w:t>
            </w:r>
          </w:p>
        </w:tc>
        <w:tc>
          <w:tcPr>
            <w:tcW w:w="3885" w:type="dxa"/>
            <w:gridSpan w:val="2"/>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rPr>
              <w:t>特定资格条件</w:t>
            </w:r>
          </w:p>
        </w:tc>
        <w:tc>
          <w:tcPr>
            <w:tcW w:w="4948"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rPr>
              <w:t>按特定资格要求</w:t>
            </w:r>
          </w:p>
        </w:tc>
      </w:tr>
    </w:tbl>
    <w:p>
      <w:pPr>
        <w:spacing w:line="360" w:lineRule="auto"/>
        <w:rPr>
          <w:rFonts w:hAnsi="宋体" w:cs="宋体"/>
          <w:color w:val="auto"/>
          <w:sz w:val="24"/>
          <w:szCs w:val="24"/>
          <w:highlight w:val="none"/>
        </w:rPr>
      </w:pPr>
    </w:p>
    <w:p>
      <w:pPr>
        <w:snapToGrid w:val="0"/>
        <w:spacing w:line="400" w:lineRule="exact"/>
        <w:ind w:firstLine="420" w:firstLineChars="200"/>
        <w:rPr>
          <w:rFonts w:hAnsi="宋体" w:cs="宋体"/>
          <w:color w:val="auto"/>
          <w:sz w:val="21"/>
          <w:szCs w:val="21"/>
          <w:highlight w:val="none"/>
        </w:rPr>
      </w:pPr>
      <w:r>
        <w:rPr>
          <w:rFonts w:hint="eastAsia" w:hAnsi="宋体" w:cs="宋体"/>
          <w:color w:val="auto"/>
          <w:sz w:val="21"/>
          <w:szCs w:val="21"/>
          <w:highlight w:val="none"/>
        </w:rPr>
        <w:t>注：</w:t>
      </w:r>
      <w:r>
        <w:rPr>
          <w:rFonts w:hint="eastAsia" w:hAnsi="宋体" w:cs="宋体"/>
          <w:color w:val="auto"/>
          <w:sz w:val="21"/>
          <w:szCs w:val="21"/>
          <w:highlight w:val="none"/>
        </w:rPr>
        <w:fldChar w:fldCharType="begin"/>
      </w:r>
      <w:r>
        <w:rPr>
          <w:rFonts w:hint="eastAsia" w:hAnsi="宋体" w:cs="宋体"/>
          <w:color w:val="auto"/>
          <w:sz w:val="21"/>
          <w:szCs w:val="21"/>
          <w:highlight w:val="none"/>
        </w:rPr>
        <w:instrText xml:space="preserve"> eq \o\ac(○,1)</w:instrText>
      </w:r>
      <w:r>
        <w:rPr>
          <w:rFonts w:hint="eastAsia" w:hAnsi="宋体" w:cs="宋体"/>
          <w:color w:val="auto"/>
          <w:sz w:val="21"/>
          <w:szCs w:val="21"/>
          <w:highlight w:val="none"/>
        </w:rPr>
        <w:fldChar w:fldCharType="end"/>
      </w:r>
      <w:r>
        <w:rPr>
          <w:rFonts w:hint="eastAsia" w:hAnsi="宋体" w:cs="宋体"/>
          <w:color w:val="auto"/>
          <w:sz w:val="21"/>
          <w:szCs w:val="21"/>
          <w:highlight w:val="none"/>
        </w:rPr>
        <w:t>投标人按“多证合一”登记制度办理营业执照的，税务登记证（副本）和社会保险登记证以投标人所提供的营业执照（副本）复印件为准。</w:t>
      </w:r>
    </w:p>
    <w:p>
      <w:pPr>
        <w:snapToGrid w:val="0"/>
        <w:spacing w:line="360" w:lineRule="auto"/>
        <w:ind w:firstLine="420" w:firstLineChars="200"/>
        <w:rPr>
          <w:rFonts w:hAnsi="宋体" w:cs="宋体"/>
          <w:color w:val="auto"/>
          <w:sz w:val="21"/>
          <w:szCs w:val="21"/>
          <w:highlight w:val="none"/>
        </w:rPr>
      </w:pPr>
      <w:r>
        <w:rPr>
          <w:rFonts w:hint="eastAsia" w:hAnsi="宋体" w:cs="宋体"/>
          <w:color w:val="auto"/>
          <w:sz w:val="21"/>
          <w:szCs w:val="21"/>
          <w:highlight w:val="none"/>
        </w:rPr>
        <w:fldChar w:fldCharType="begin"/>
      </w:r>
      <w:r>
        <w:rPr>
          <w:rFonts w:hint="eastAsia" w:hAnsi="宋体" w:cs="宋体"/>
          <w:color w:val="auto"/>
          <w:sz w:val="21"/>
          <w:szCs w:val="21"/>
          <w:highlight w:val="none"/>
        </w:rPr>
        <w:instrText xml:space="preserve"> eq \o\ac(○,2)</w:instrText>
      </w:r>
      <w:r>
        <w:rPr>
          <w:rFonts w:hint="eastAsia" w:hAnsi="宋体" w:cs="宋体"/>
          <w:color w:val="auto"/>
          <w:sz w:val="21"/>
          <w:szCs w:val="21"/>
          <w:highlight w:val="none"/>
        </w:rPr>
        <w:fldChar w:fldCharType="end"/>
      </w:r>
      <w:r>
        <w:rPr>
          <w:rFonts w:hint="eastAsia" w:hAnsi="宋体" w:cs="宋体"/>
          <w:color w:val="auto"/>
          <w:sz w:val="21"/>
          <w:szCs w:val="21"/>
          <w:highlight w:val="none"/>
        </w:rPr>
        <w:t>根据《中华人民共和国政府采购法实施条例》第十九条“参加政府采购活动前三年内，在经营活动中没有重大违法记录”中“重大违法记录”，是指投标人因违法经营受到刑事处罚或者责令停产停业、吊销许可证或者执照、较大数额罚款等行政处罚。行政处罚中“较大数额”的认定标准，由被执行人所在的省、自治区、直辖市人民政府制定，国务院有关部门规定了较大数额标准的，从其规定。</w:t>
      </w:r>
    </w:p>
    <w:p>
      <w:pPr>
        <w:pStyle w:val="3"/>
        <w:rPr>
          <w:color w:val="auto"/>
          <w:highlight w:val="none"/>
        </w:rPr>
      </w:pPr>
      <w:bookmarkStart w:id="54" w:name="_Toc10474389"/>
      <w:bookmarkStart w:id="55" w:name="_Toc98942892"/>
      <w:r>
        <w:rPr>
          <w:rFonts w:hint="eastAsia"/>
          <w:color w:val="auto"/>
          <w:highlight w:val="none"/>
        </w:rPr>
        <w:t>二、评标方法</w:t>
      </w:r>
      <w:bookmarkEnd w:id="54"/>
      <w:bookmarkEnd w:id="55"/>
    </w:p>
    <w:p>
      <w:pPr>
        <w:spacing w:line="360" w:lineRule="auto"/>
        <w:ind w:firstLine="566" w:firstLineChars="236"/>
        <w:rPr>
          <w:rFonts w:hint="eastAsia" w:hAnsi="宋体" w:cs="宋体"/>
          <w:color w:val="auto"/>
          <w:sz w:val="24"/>
          <w:szCs w:val="24"/>
          <w:highlight w:val="none"/>
        </w:rPr>
      </w:pPr>
      <w:r>
        <w:rPr>
          <w:rFonts w:hint="eastAsia" w:hAnsi="宋体" w:cs="宋体"/>
          <w:color w:val="auto"/>
          <w:sz w:val="24"/>
          <w:szCs w:val="24"/>
          <w:highlight w:val="none"/>
        </w:rPr>
        <w:t>本项目采用</w:t>
      </w:r>
      <w:r>
        <w:rPr>
          <w:rFonts w:hint="eastAsia" w:hAnsi="宋体" w:cs="宋体"/>
          <w:color w:val="auto"/>
          <w:sz w:val="24"/>
          <w:szCs w:val="24"/>
          <w:highlight w:val="none"/>
        </w:rPr>
        <w:t>综合评分法</w:t>
      </w:r>
      <w:r>
        <w:rPr>
          <w:rFonts w:hint="eastAsia" w:hAnsi="宋体" w:cs="宋体"/>
          <w:color w:val="auto"/>
          <w:sz w:val="24"/>
          <w:szCs w:val="24"/>
          <w:highlight w:val="none"/>
        </w:rPr>
        <w:t>进行评标。综合评分法，是指</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满足</w:t>
      </w:r>
      <w:r>
        <w:rPr>
          <w:rFonts w:hint="eastAsia" w:hAnsi="宋体" w:cs="宋体"/>
          <w:color w:val="auto"/>
          <w:sz w:val="24"/>
          <w:szCs w:val="24"/>
          <w:highlight w:val="none"/>
          <w:lang w:eastAsia="zh-CN"/>
        </w:rPr>
        <w:t>竞争性比选文件</w:t>
      </w:r>
      <w:r>
        <w:rPr>
          <w:rFonts w:hint="eastAsia" w:hAnsi="宋体" w:cs="宋体"/>
          <w:color w:val="auto"/>
          <w:sz w:val="24"/>
          <w:szCs w:val="24"/>
          <w:highlight w:val="none"/>
        </w:rPr>
        <w:t>全部实质性要求且按照评审因素的量化指标评审得分最高的投标人为中标候选人的评标方法。投标人总得分为价格、技术、商务等评定因素分别按照相应权重值计算分项得分后相加，满分为100分。</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（一）符合性审查</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评标委员会应当对符合资格的投标人的</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进行符合性审查，以确定其是否满足</w:t>
      </w:r>
      <w:r>
        <w:rPr>
          <w:rFonts w:hint="eastAsia" w:hAnsi="宋体" w:cs="宋体"/>
          <w:color w:val="auto"/>
          <w:sz w:val="24"/>
          <w:szCs w:val="24"/>
          <w:highlight w:val="none"/>
          <w:lang w:eastAsia="zh-CN"/>
        </w:rPr>
        <w:t>竞争性比选文件</w:t>
      </w:r>
      <w:r>
        <w:rPr>
          <w:rFonts w:hint="eastAsia" w:hAnsi="宋体" w:cs="宋体"/>
          <w:color w:val="auto"/>
          <w:sz w:val="24"/>
          <w:szCs w:val="24"/>
          <w:highlight w:val="none"/>
        </w:rPr>
        <w:t>的实质性要求。符合性审查资料表如下：</w:t>
      </w:r>
    </w:p>
    <w:tbl>
      <w:tblPr>
        <w:tblStyle w:val="13"/>
        <w:tblW w:w="96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457"/>
        <w:gridCol w:w="1984"/>
        <w:gridCol w:w="5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780" w:type="dxa"/>
            <w:vAlign w:val="center"/>
          </w:tcPr>
          <w:p>
            <w:pPr>
              <w:spacing w:line="360" w:lineRule="auto"/>
              <w:jc w:val="center"/>
              <w:rPr>
                <w:rFonts w:hAnsi="宋体" w:cs="宋体"/>
                <w:b/>
                <w:color w:val="auto"/>
                <w:sz w:val="21"/>
                <w:szCs w:val="21"/>
                <w:highlight w:val="none"/>
              </w:rPr>
            </w:pPr>
            <w:r>
              <w:rPr>
                <w:rFonts w:hint="eastAsia" w:hAnsi="宋体" w:cs="宋体"/>
                <w:b/>
                <w:color w:val="auto"/>
                <w:sz w:val="21"/>
                <w:szCs w:val="21"/>
                <w:highlight w:val="none"/>
              </w:rPr>
              <w:t>序号</w:t>
            </w:r>
          </w:p>
        </w:tc>
        <w:tc>
          <w:tcPr>
            <w:tcW w:w="3441" w:type="dxa"/>
            <w:gridSpan w:val="2"/>
            <w:vAlign w:val="center"/>
          </w:tcPr>
          <w:p>
            <w:pPr>
              <w:spacing w:line="360" w:lineRule="auto"/>
              <w:jc w:val="center"/>
              <w:rPr>
                <w:rFonts w:hAnsi="宋体" w:cs="宋体"/>
                <w:b/>
                <w:color w:val="auto"/>
                <w:sz w:val="21"/>
                <w:szCs w:val="21"/>
                <w:highlight w:val="none"/>
              </w:rPr>
            </w:pPr>
            <w:r>
              <w:rPr>
                <w:rFonts w:hint="eastAsia" w:hAnsi="宋体" w:cs="宋体"/>
                <w:b/>
                <w:color w:val="auto"/>
                <w:sz w:val="21"/>
                <w:szCs w:val="21"/>
                <w:highlight w:val="none"/>
              </w:rPr>
              <w:t>评审因素</w:t>
            </w:r>
          </w:p>
        </w:tc>
        <w:tc>
          <w:tcPr>
            <w:tcW w:w="5409" w:type="dxa"/>
            <w:vAlign w:val="center"/>
          </w:tcPr>
          <w:p>
            <w:pPr>
              <w:spacing w:line="360" w:lineRule="auto"/>
              <w:jc w:val="center"/>
              <w:rPr>
                <w:rFonts w:hAnsi="宋体" w:cs="宋体"/>
                <w:b/>
                <w:color w:val="auto"/>
                <w:sz w:val="21"/>
                <w:szCs w:val="21"/>
                <w:highlight w:val="none"/>
              </w:rPr>
            </w:pPr>
            <w:r>
              <w:rPr>
                <w:rFonts w:hint="eastAsia" w:hAnsi="宋体" w:cs="宋体"/>
                <w:b/>
                <w:color w:val="auto"/>
                <w:sz w:val="21"/>
                <w:szCs w:val="21"/>
                <w:highlight w:val="none"/>
              </w:rPr>
              <w:t>评审标准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780" w:type="dxa"/>
            <w:vMerge w:val="restart"/>
            <w:vAlign w:val="center"/>
          </w:tcPr>
          <w:p>
            <w:pPr>
              <w:spacing w:line="360" w:lineRule="auto"/>
              <w:jc w:val="center"/>
              <w:rPr>
                <w:rFonts w:hAnsi="宋体" w:cs="宋体"/>
                <w:color w:val="auto"/>
                <w:sz w:val="21"/>
                <w:szCs w:val="21"/>
                <w:highlight w:val="none"/>
              </w:rPr>
            </w:pPr>
            <w:r>
              <w:rPr>
                <w:rFonts w:hint="eastAsia" w:hAnsi="宋体" w:cs="宋体"/>
                <w:color w:val="auto"/>
                <w:sz w:val="21"/>
                <w:szCs w:val="21"/>
                <w:highlight w:val="none"/>
              </w:rPr>
              <w:t>1</w:t>
            </w:r>
          </w:p>
        </w:tc>
        <w:tc>
          <w:tcPr>
            <w:tcW w:w="1457" w:type="dxa"/>
            <w:vMerge w:val="restart"/>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rPr>
              <w:t>有效性审查</w:t>
            </w:r>
          </w:p>
        </w:tc>
        <w:tc>
          <w:tcPr>
            <w:tcW w:w="1984"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lang w:eastAsia="zh-CN"/>
              </w:rPr>
              <w:t>响应文件</w:t>
            </w:r>
            <w:r>
              <w:rPr>
                <w:rFonts w:hint="eastAsia" w:hAnsi="宋体" w:cs="宋体"/>
                <w:color w:val="auto"/>
                <w:sz w:val="21"/>
                <w:szCs w:val="21"/>
                <w:highlight w:val="none"/>
              </w:rPr>
              <w:t>签署</w:t>
            </w:r>
          </w:p>
        </w:tc>
        <w:tc>
          <w:tcPr>
            <w:tcW w:w="5409"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lang w:eastAsia="zh-CN"/>
              </w:rPr>
              <w:t>响应文件</w:t>
            </w:r>
            <w:r>
              <w:rPr>
                <w:rFonts w:hint="eastAsia" w:hAnsi="宋体" w:cs="宋体"/>
                <w:color w:val="auto"/>
                <w:sz w:val="21"/>
                <w:szCs w:val="21"/>
                <w:highlight w:val="none"/>
              </w:rPr>
              <w:t>上法定代表人或其授权代表人的签字齐全。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780" w:type="dxa"/>
            <w:vMerge w:val="continue"/>
            <w:vAlign w:val="center"/>
          </w:tcPr>
          <w:p>
            <w:pPr>
              <w:spacing w:line="360" w:lineRule="auto"/>
              <w:jc w:val="center"/>
              <w:rPr>
                <w:rFonts w:hAnsi="宋体" w:cs="宋体"/>
                <w:color w:val="auto"/>
                <w:sz w:val="21"/>
                <w:szCs w:val="21"/>
                <w:highlight w:val="none"/>
              </w:rPr>
            </w:pPr>
          </w:p>
        </w:tc>
        <w:tc>
          <w:tcPr>
            <w:tcW w:w="1457" w:type="dxa"/>
            <w:vMerge w:val="continue"/>
            <w:vAlign w:val="center"/>
          </w:tcPr>
          <w:p>
            <w:pPr>
              <w:spacing w:line="360" w:lineRule="auto"/>
              <w:rPr>
                <w:rFonts w:hAnsi="宋体" w:cs="宋体"/>
                <w:color w:val="auto"/>
                <w:sz w:val="21"/>
                <w:szCs w:val="21"/>
                <w:highlight w:val="none"/>
              </w:rPr>
            </w:pPr>
          </w:p>
        </w:tc>
        <w:tc>
          <w:tcPr>
            <w:tcW w:w="1984" w:type="dxa"/>
            <w:vAlign w:val="center"/>
          </w:tcPr>
          <w:p>
            <w:pPr>
              <w:spacing w:line="360" w:lineRule="auto"/>
              <w:rPr>
                <w:rFonts w:hAnsi="宋体" w:cs="宋体"/>
                <w:color w:val="auto"/>
                <w:sz w:val="21"/>
                <w:szCs w:val="21"/>
                <w:highlight w:val="none"/>
                <w:lang w:val="zh-CN"/>
              </w:rPr>
            </w:pPr>
            <w:r>
              <w:rPr>
                <w:rFonts w:hint="eastAsia" w:hAnsi="宋体" w:cs="宋体"/>
                <w:color w:val="auto"/>
                <w:sz w:val="21"/>
                <w:szCs w:val="21"/>
                <w:highlight w:val="none"/>
                <w:lang w:val="zh-CN"/>
              </w:rPr>
              <w:t>投标方案</w:t>
            </w:r>
          </w:p>
        </w:tc>
        <w:tc>
          <w:tcPr>
            <w:tcW w:w="5409"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lang w:val="zh-CN"/>
              </w:rPr>
              <w:t>只能有一个方案投标。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780" w:type="dxa"/>
            <w:vMerge w:val="continue"/>
            <w:vAlign w:val="center"/>
          </w:tcPr>
          <w:p>
            <w:pPr>
              <w:spacing w:line="360" w:lineRule="auto"/>
              <w:jc w:val="center"/>
              <w:rPr>
                <w:rFonts w:hAnsi="宋体" w:cs="宋体"/>
                <w:color w:val="auto"/>
                <w:sz w:val="21"/>
                <w:szCs w:val="21"/>
                <w:highlight w:val="none"/>
              </w:rPr>
            </w:pPr>
          </w:p>
        </w:tc>
        <w:tc>
          <w:tcPr>
            <w:tcW w:w="1457" w:type="dxa"/>
            <w:vMerge w:val="continue"/>
            <w:vAlign w:val="center"/>
          </w:tcPr>
          <w:p>
            <w:pPr>
              <w:spacing w:line="360" w:lineRule="auto"/>
              <w:rPr>
                <w:rFonts w:hAnsi="宋体" w:cs="宋体"/>
                <w:color w:val="auto"/>
                <w:sz w:val="21"/>
                <w:szCs w:val="21"/>
                <w:highlight w:val="none"/>
              </w:rPr>
            </w:pPr>
          </w:p>
        </w:tc>
        <w:tc>
          <w:tcPr>
            <w:tcW w:w="1984" w:type="dxa"/>
            <w:vAlign w:val="center"/>
          </w:tcPr>
          <w:p>
            <w:pPr>
              <w:spacing w:line="360" w:lineRule="auto"/>
              <w:rPr>
                <w:rFonts w:hAnsi="宋体" w:cs="宋体"/>
                <w:color w:val="auto"/>
                <w:sz w:val="21"/>
                <w:szCs w:val="21"/>
                <w:highlight w:val="none"/>
                <w:lang w:val="zh-CN"/>
              </w:rPr>
            </w:pPr>
            <w:r>
              <w:rPr>
                <w:rFonts w:hint="eastAsia" w:hAnsi="宋体" w:cs="宋体"/>
                <w:color w:val="auto"/>
                <w:sz w:val="21"/>
                <w:szCs w:val="21"/>
                <w:highlight w:val="none"/>
              </w:rPr>
              <w:t>报价唯一</w:t>
            </w:r>
          </w:p>
        </w:tc>
        <w:tc>
          <w:tcPr>
            <w:tcW w:w="5409"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lang w:val="zh-CN"/>
              </w:rPr>
              <w:t>只能在预算金额和最高限价内报价，</w:t>
            </w:r>
            <w:r>
              <w:rPr>
                <w:rFonts w:hint="eastAsia" w:hAnsi="宋体" w:cs="宋体"/>
                <w:color w:val="auto"/>
                <w:sz w:val="21"/>
                <w:szCs w:val="21"/>
                <w:highlight w:val="none"/>
              </w:rPr>
              <w:t>只能有一个有效报价，不得提交选择性报价。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780" w:type="dxa"/>
            <w:vAlign w:val="center"/>
          </w:tcPr>
          <w:p>
            <w:pPr>
              <w:spacing w:line="360" w:lineRule="auto"/>
              <w:jc w:val="center"/>
              <w:rPr>
                <w:rFonts w:hAnsi="宋体" w:cs="宋体"/>
                <w:color w:val="auto"/>
                <w:sz w:val="21"/>
                <w:szCs w:val="21"/>
                <w:highlight w:val="none"/>
              </w:rPr>
            </w:pPr>
            <w:r>
              <w:rPr>
                <w:rFonts w:hint="eastAsia" w:hAnsi="宋体" w:cs="宋体"/>
                <w:color w:val="auto"/>
                <w:sz w:val="21"/>
                <w:szCs w:val="21"/>
                <w:highlight w:val="none"/>
              </w:rPr>
              <w:t>2</w:t>
            </w:r>
          </w:p>
        </w:tc>
        <w:tc>
          <w:tcPr>
            <w:tcW w:w="1457"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rPr>
              <w:t>完整性审查</w:t>
            </w:r>
          </w:p>
        </w:tc>
        <w:tc>
          <w:tcPr>
            <w:tcW w:w="1984"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lang w:val="zh-CN"/>
              </w:rPr>
              <w:t>响应文件份数</w:t>
            </w:r>
          </w:p>
        </w:tc>
        <w:tc>
          <w:tcPr>
            <w:tcW w:w="5409"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lang w:val="zh-CN"/>
              </w:rPr>
              <w:t>响应文件正、副本数量符合竞争性比选文件要求。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780" w:type="dxa"/>
            <w:vAlign w:val="center"/>
          </w:tcPr>
          <w:p>
            <w:pPr>
              <w:spacing w:line="360" w:lineRule="auto"/>
              <w:jc w:val="center"/>
              <w:rPr>
                <w:rFonts w:hAnsi="宋体" w:cs="宋体"/>
                <w:color w:val="auto"/>
                <w:sz w:val="21"/>
                <w:szCs w:val="21"/>
                <w:highlight w:val="none"/>
              </w:rPr>
            </w:pPr>
            <w:r>
              <w:rPr>
                <w:rFonts w:hint="eastAsia" w:hAnsi="宋体" w:cs="宋体"/>
                <w:color w:val="auto"/>
                <w:sz w:val="21"/>
                <w:szCs w:val="21"/>
                <w:highlight w:val="none"/>
              </w:rPr>
              <w:t>3</w:t>
            </w:r>
          </w:p>
        </w:tc>
        <w:tc>
          <w:tcPr>
            <w:tcW w:w="1457"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rPr>
              <w:t>投标有效期</w:t>
            </w:r>
          </w:p>
        </w:tc>
        <w:tc>
          <w:tcPr>
            <w:tcW w:w="1984"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lang w:eastAsia="zh-CN"/>
              </w:rPr>
              <w:t>响应文件</w:t>
            </w:r>
            <w:r>
              <w:rPr>
                <w:rFonts w:hint="eastAsia" w:hAnsi="宋体" w:cs="宋体"/>
                <w:color w:val="auto"/>
                <w:sz w:val="21"/>
                <w:szCs w:val="21"/>
                <w:highlight w:val="none"/>
              </w:rPr>
              <w:t>内容</w:t>
            </w:r>
          </w:p>
        </w:tc>
        <w:tc>
          <w:tcPr>
            <w:tcW w:w="5409" w:type="dxa"/>
            <w:vAlign w:val="center"/>
          </w:tcPr>
          <w:p>
            <w:pPr>
              <w:spacing w:line="360" w:lineRule="auto"/>
              <w:rPr>
                <w:rFonts w:hAnsi="宋体" w:cs="宋体"/>
                <w:color w:val="auto"/>
                <w:sz w:val="21"/>
                <w:szCs w:val="21"/>
                <w:highlight w:val="none"/>
              </w:rPr>
            </w:pPr>
            <w:r>
              <w:rPr>
                <w:rFonts w:hint="eastAsia" w:hAnsi="宋体" w:cs="宋体"/>
                <w:color w:val="auto"/>
                <w:sz w:val="21"/>
                <w:szCs w:val="21"/>
                <w:highlight w:val="none"/>
              </w:rPr>
              <w:t>投标有效期为投标截止日期后九十天内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780" w:type="dxa"/>
            <w:vAlign w:val="center"/>
          </w:tcPr>
          <w:p>
            <w:pPr>
              <w:spacing w:line="360" w:lineRule="auto"/>
              <w:jc w:val="center"/>
              <w:rPr>
                <w:rFonts w:hAnsi="宋体" w:cs="宋体"/>
                <w:color w:val="auto"/>
                <w:sz w:val="21"/>
                <w:szCs w:val="21"/>
                <w:highlight w:val="none"/>
              </w:rPr>
            </w:pPr>
            <w:r>
              <w:rPr>
                <w:rFonts w:hint="eastAsia" w:hAnsi="宋体" w:cs="宋体"/>
                <w:color w:val="auto"/>
                <w:sz w:val="21"/>
                <w:szCs w:val="21"/>
                <w:highlight w:val="none"/>
              </w:rPr>
              <w:t>4</w:t>
            </w:r>
          </w:p>
        </w:tc>
        <w:tc>
          <w:tcPr>
            <w:tcW w:w="1457" w:type="dxa"/>
            <w:vAlign w:val="center"/>
          </w:tcPr>
          <w:p>
            <w:pPr>
              <w:spacing w:line="240" w:lineRule="exact"/>
              <w:rPr>
                <w:rFonts w:hAnsi="宋体" w:cs="宋体"/>
                <w:color w:val="auto"/>
                <w:sz w:val="21"/>
                <w:szCs w:val="21"/>
                <w:highlight w:val="none"/>
              </w:rPr>
            </w:pPr>
            <w:r>
              <w:rPr>
                <w:rFonts w:hint="eastAsia" w:hAnsi="宋体" w:cs="宋体"/>
                <w:color w:val="auto"/>
                <w:sz w:val="21"/>
                <w:szCs w:val="21"/>
                <w:highlight w:val="none"/>
              </w:rPr>
              <w:t>技术部分</w:t>
            </w:r>
          </w:p>
        </w:tc>
        <w:tc>
          <w:tcPr>
            <w:tcW w:w="1984" w:type="dxa"/>
            <w:vAlign w:val="center"/>
          </w:tcPr>
          <w:p>
            <w:pPr>
              <w:spacing w:line="240" w:lineRule="exact"/>
              <w:rPr>
                <w:rFonts w:hAnsi="宋体" w:cs="宋体"/>
                <w:color w:val="auto"/>
                <w:sz w:val="21"/>
                <w:szCs w:val="21"/>
                <w:highlight w:val="none"/>
              </w:rPr>
            </w:pPr>
            <w:r>
              <w:rPr>
                <w:rFonts w:hint="eastAsia" w:hAnsi="宋体" w:cs="宋体"/>
                <w:color w:val="auto"/>
                <w:sz w:val="21"/>
                <w:szCs w:val="21"/>
                <w:highlight w:val="none"/>
                <w:lang w:eastAsia="zh-CN"/>
              </w:rPr>
              <w:t>响应文件</w:t>
            </w:r>
            <w:r>
              <w:rPr>
                <w:rFonts w:hint="eastAsia" w:hAnsi="宋体" w:cs="宋体"/>
                <w:color w:val="auto"/>
                <w:sz w:val="21"/>
                <w:szCs w:val="21"/>
                <w:highlight w:val="none"/>
              </w:rPr>
              <w:t>内容</w:t>
            </w:r>
          </w:p>
        </w:tc>
        <w:tc>
          <w:tcPr>
            <w:tcW w:w="5409" w:type="dxa"/>
            <w:vAlign w:val="center"/>
          </w:tcPr>
          <w:p>
            <w:pPr>
              <w:spacing w:line="240" w:lineRule="exact"/>
              <w:rPr>
                <w:rFonts w:hAnsi="宋体" w:cs="宋体"/>
                <w:color w:val="auto"/>
                <w:sz w:val="21"/>
                <w:szCs w:val="21"/>
                <w:highlight w:val="none"/>
              </w:rPr>
            </w:pPr>
            <w:r>
              <w:rPr>
                <w:rFonts w:hint="eastAsia" w:hAnsi="宋体" w:cs="宋体"/>
                <w:color w:val="auto"/>
                <w:sz w:val="21"/>
                <w:szCs w:val="21"/>
                <w:highlight w:val="none"/>
              </w:rPr>
              <w:t>本</w:t>
            </w:r>
            <w:r>
              <w:rPr>
                <w:rFonts w:hint="eastAsia" w:hAnsi="宋体" w:cs="宋体"/>
                <w:color w:val="auto"/>
                <w:sz w:val="21"/>
                <w:szCs w:val="21"/>
                <w:highlight w:val="none"/>
                <w:lang w:eastAsia="zh-CN"/>
              </w:rPr>
              <w:t>竞争性比选文件</w:t>
            </w:r>
            <w:r>
              <w:rPr>
                <w:rFonts w:hint="eastAsia" w:hAnsi="宋体" w:cs="宋体"/>
                <w:color w:val="auto"/>
                <w:sz w:val="21"/>
                <w:szCs w:val="21"/>
                <w:highlight w:val="none"/>
              </w:rPr>
              <w:t>第二篇中（</w:t>
            </w:r>
            <w:r>
              <w:rPr>
                <w:rFonts w:hint="eastAsia" w:hAnsi="宋体" w:cs="宋体"/>
                <w:color w:val="auto"/>
                <w:sz w:val="21"/>
                <w:szCs w:val="21"/>
                <w:highlight w:val="none"/>
                <w:lang w:eastAsia="zh-CN"/>
              </w:rPr>
              <w:t>※</w:t>
            </w:r>
            <w:r>
              <w:rPr>
                <w:rFonts w:hint="eastAsia" w:hAnsi="宋体" w:cs="宋体"/>
                <w:color w:val="auto"/>
                <w:sz w:val="21"/>
                <w:szCs w:val="21"/>
                <w:highlight w:val="none"/>
              </w:rPr>
              <w:t>）号标注的部分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780" w:type="dxa"/>
            <w:vAlign w:val="center"/>
          </w:tcPr>
          <w:p>
            <w:pPr>
              <w:spacing w:line="360" w:lineRule="auto"/>
              <w:jc w:val="center"/>
              <w:rPr>
                <w:rFonts w:hAnsi="宋体" w:cs="宋体"/>
                <w:color w:val="auto"/>
                <w:sz w:val="21"/>
                <w:szCs w:val="21"/>
                <w:highlight w:val="none"/>
              </w:rPr>
            </w:pPr>
            <w:r>
              <w:rPr>
                <w:rFonts w:hint="eastAsia" w:hAnsi="宋体" w:cs="宋体"/>
                <w:color w:val="auto"/>
                <w:sz w:val="21"/>
                <w:szCs w:val="21"/>
                <w:highlight w:val="none"/>
              </w:rPr>
              <w:t>5</w:t>
            </w:r>
          </w:p>
        </w:tc>
        <w:tc>
          <w:tcPr>
            <w:tcW w:w="1457" w:type="dxa"/>
            <w:vAlign w:val="center"/>
          </w:tcPr>
          <w:p>
            <w:pPr>
              <w:spacing w:line="240" w:lineRule="exact"/>
              <w:rPr>
                <w:rFonts w:hAnsi="宋体" w:cs="宋体"/>
                <w:color w:val="auto"/>
                <w:sz w:val="21"/>
                <w:szCs w:val="21"/>
                <w:highlight w:val="none"/>
              </w:rPr>
            </w:pPr>
            <w:r>
              <w:rPr>
                <w:rFonts w:hint="eastAsia" w:hAnsi="宋体" w:cs="宋体"/>
                <w:color w:val="auto"/>
                <w:sz w:val="21"/>
                <w:szCs w:val="21"/>
                <w:highlight w:val="none"/>
              </w:rPr>
              <w:t>商务部分</w:t>
            </w:r>
          </w:p>
        </w:tc>
        <w:tc>
          <w:tcPr>
            <w:tcW w:w="1984" w:type="dxa"/>
            <w:vAlign w:val="center"/>
          </w:tcPr>
          <w:p>
            <w:pPr>
              <w:spacing w:line="240" w:lineRule="exact"/>
              <w:rPr>
                <w:rFonts w:hAnsi="宋体" w:cs="宋体"/>
                <w:color w:val="auto"/>
                <w:sz w:val="21"/>
                <w:szCs w:val="21"/>
                <w:highlight w:val="none"/>
              </w:rPr>
            </w:pPr>
            <w:r>
              <w:rPr>
                <w:rFonts w:hint="eastAsia" w:hAnsi="宋体" w:cs="宋体"/>
                <w:color w:val="auto"/>
                <w:sz w:val="21"/>
                <w:szCs w:val="21"/>
                <w:highlight w:val="none"/>
                <w:lang w:eastAsia="zh-CN"/>
              </w:rPr>
              <w:t>响应文件</w:t>
            </w:r>
            <w:r>
              <w:rPr>
                <w:rFonts w:hint="eastAsia" w:hAnsi="宋体" w:cs="宋体"/>
                <w:color w:val="auto"/>
                <w:sz w:val="21"/>
                <w:szCs w:val="21"/>
                <w:highlight w:val="none"/>
              </w:rPr>
              <w:t>内容</w:t>
            </w:r>
          </w:p>
        </w:tc>
        <w:tc>
          <w:tcPr>
            <w:tcW w:w="5409" w:type="dxa"/>
            <w:vAlign w:val="center"/>
          </w:tcPr>
          <w:p>
            <w:pPr>
              <w:spacing w:line="240" w:lineRule="exact"/>
              <w:rPr>
                <w:rFonts w:hAnsi="宋体" w:cs="宋体"/>
                <w:color w:val="auto"/>
                <w:sz w:val="21"/>
                <w:szCs w:val="21"/>
                <w:highlight w:val="none"/>
              </w:rPr>
            </w:pPr>
            <w:r>
              <w:rPr>
                <w:rFonts w:hint="eastAsia" w:hAnsi="宋体" w:cs="宋体"/>
                <w:color w:val="auto"/>
                <w:sz w:val="21"/>
                <w:szCs w:val="21"/>
                <w:highlight w:val="none"/>
              </w:rPr>
              <w:t>本</w:t>
            </w:r>
            <w:r>
              <w:rPr>
                <w:rFonts w:hint="eastAsia" w:hAnsi="宋体" w:cs="宋体"/>
                <w:color w:val="auto"/>
                <w:sz w:val="21"/>
                <w:szCs w:val="21"/>
                <w:highlight w:val="none"/>
                <w:lang w:eastAsia="zh-CN"/>
              </w:rPr>
              <w:t>竞争性比选文件</w:t>
            </w:r>
            <w:r>
              <w:rPr>
                <w:rFonts w:hint="eastAsia" w:hAnsi="宋体" w:cs="宋体"/>
                <w:color w:val="auto"/>
                <w:sz w:val="21"/>
                <w:szCs w:val="21"/>
                <w:highlight w:val="none"/>
              </w:rPr>
              <w:t>第三篇中（</w:t>
            </w:r>
            <w:r>
              <w:rPr>
                <w:rFonts w:hint="eastAsia" w:hAnsi="宋体" w:cs="宋体"/>
                <w:color w:val="auto"/>
                <w:sz w:val="21"/>
                <w:szCs w:val="21"/>
                <w:highlight w:val="none"/>
                <w:lang w:eastAsia="zh-CN"/>
              </w:rPr>
              <w:t>※</w:t>
            </w:r>
            <w:r>
              <w:rPr>
                <w:rFonts w:hint="eastAsia" w:hAnsi="宋体" w:cs="宋体"/>
                <w:color w:val="auto"/>
                <w:sz w:val="21"/>
                <w:szCs w:val="21"/>
                <w:highlight w:val="none"/>
              </w:rPr>
              <w:t>）号标注的部分</w:t>
            </w:r>
          </w:p>
        </w:tc>
      </w:tr>
    </w:tbl>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（二）澄清有关问题。对</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中含义不明确、同类问题表述不一致或者有明显文字和计算错误的内容，评标委员会可以书面形式（应当由评标委员会成员签字）要求投标人作出必要澄清、说明或者纠正。投标人的澄清、说明或者补正应当采用书面形式，由其法定代表人授权代表签字，其澄清的内容不得超出</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的范围或者改变</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的实质性内容。</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（三）比较与评价。按</w:t>
      </w:r>
      <w:r>
        <w:rPr>
          <w:rFonts w:hint="eastAsia" w:hAnsi="宋体" w:cs="宋体"/>
          <w:color w:val="auto"/>
          <w:sz w:val="24"/>
          <w:szCs w:val="24"/>
          <w:highlight w:val="none"/>
          <w:lang w:eastAsia="zh-CN"/>
        </w:rPr>
        <w:t>竞争性比选文件</w:t>
      </w:r>
      <w:r>
        <w:rPr>
          <w:rFonts w:hint="eastAsia" w:hAnsi="宋体" w:cs="宋体"/>
          <w:color w:val="auto"/>
          <w:sz w:val="24"/>
          <w:szCs w:val="24"/>
          <w:highlight w:val="none"/>
        </w:rPr>
        <w:t>中规定的评标方法和标准，对资格审查和符合性审查合格的</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进行商务和技术评估。</w:t>
      </w:r>
    </w:p>
    <w:p>
      <w:pPr>
        <w:snapToGrid w:val="0"/>
        <w:spacing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评标委员会各成员独立对每个有效投标人（通过资格审查、符合性审查的投标人）的</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进行评价、打分，然后由评标委员会对各成员打分情况进行核查及复核，个别成员对同一投标人同一评分项的打分偏离较大的，应对投标人的</w:t>
      </w:r>
      <w:r>
        <w:rPr>
          <w:rFonts w:hint="eastAsia" w:hAnsi="宋体" w:cs="宋体"/>
          <w:color w:val="auto"/>
          <w:sz w:val="24"/>
          <w:szCs w:val="24"/>
          <w:highlight w:val="none"/>
          <w:lang w:eastAsia="zh-CN"/>
        </w:rPr>
        <w:t>响应文件</w:t>
      </w:r>
      <w:r>
        <w:rPr>
          <w:rFonts w:hint="eastAsia" w:hAnsi="宋体" w:cs="宋体"/>
          <w:color w:val="auto"/>
          <w:sz w:val="24"/>
          <w:szCs w:val="24"/>
          <w:highlight w:val="none"/>
        </w:rPr>
        <w:t>进行再次核对，确属打分有误的，应及时进行修正。</w:t>
      </w:r>
    </w:p>
    <w:p>
      <w:pPr>
        <w:snapToGrid w:val="0"/>
        <w:spacing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复核后，评标委员会汇总每个投标人每项评分因素的得分。</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（四）推荐中标候选人名单。</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按</w:t>
      </w:r>
      <w:r>
        <w:rPr>
          <w:rFonts w:hint="eastAsia" w:hAnsi="宋体" w:cs="宋体"/>
          <w:color w:val="auto"/>
          <w:sz w:val="24"/>
          <w:szCs w:val="24"/>
          <w:highlight w:val="none"/>
        </w:rPr>
        <w:t>评审后得分由高到低</w:t>
      </w:r>
      <w:r>
        <w:rPr>
          <w:rFonts w:hint="eastAsia" w:hAnsi="宋体" w:cs="宋体"/>
          <w:color w:val="auto"/>
          <w:sz w:val="24"/>
          <w:szCs w:val="24"/>
          <w:highlight w:val="none"/>
        </w:rPr>
        <w:t>的排列顺序推荐综合得分排名前三的投标人为本分包（项目）中标候选人，排名第一的为第一中标候选人；得分相同的，按投标报价由低到高顺序排列；得分且投标报价相同的并列，技术部分得分为0分的投标人，将失去成为中标候选人的资格。</w:t>
      </w:r>
    </w:p>
    <w:p>
      <w:pPr>
        <w:pStyle w:val="3"/>
        <w:ind w:firstLine="560" w:firstLineChars="200"/>
        <w:rPr>
          <w:rFonts w:hint="eastAsia"/>
          <w:color w:val="auto"/>
          <w:highlight w:val="none"/>
        </w:rPr>
      </w:pPr>
      <w:bookmarkStart w:id="56" w:name="_Toc98942893"/>
    </w:p>
    <w:p>
      <w:pPr>
        <w:pStyle w:val="3"/>
        <w:rPr>
          <w:color w:val="auto"/>
          <w:highlight w:val="none"/>
        </w:rPr>
      </w:pPr>
      <w:r>
        <w:rPr>
          <w:rFonts w:hint="eastAsia"/>
          <w:color w:val="auto"/>
          <w:highlight w:val="none"/>
        </w:rPr>
        <w:t>三、评分标准</w:t>
      </w:r>
      <w:bookmarkEnd w:id="56"/>
    </w:p>
    <w:tbl>
      <w:tblPr>
        <w:tblStyle w:val="13"/>
        <w:tblW w:w="101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
        <w:gridCol w:w="1296"/>
        <w:gridCol w:w="977"/>
        <w:gridCol w:w="69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957" w:type="dxa"/>
            <w:vAlign w:val="center"/>
          </w:tcPr>
          <w:p>
            <w:pPr>
              <w:spacing w:line="400" w:lineRule="exact"/>
              <w:jc w:val="center"/>
              <w:rPr>
                <w:rFonts w:hAnsi="宋体" w:cs="宋体"/>
                <w:bCs/>
                <w:color w:val="auto"/>
                <w:sz w:val="24"/>
                <w:szCs w:val="24"/>
                <w:highlight w:val="none"/>
              </w:rPr>
            </w:pPr>
            <w:r>
              <w:rPr>
                <w:rFonts w:hint="eastAsia" w:hAnsi="宋体" w:cs="宋体"/>
                <w:bCs/>
                <w:color w:val="auto"/>
                <w:sz w:val="24"/>
                <w:szCs w:val="24"/>
                <w:highlight w:val="none"/>
              </w:rPr>
              <w:t>序号</w:t>
            </w:r>
          </w:p>
        </w:tc>
        <w:tc>
          <w:tcPr>
            <w:tcW w:w="1296" w:type="dxa"/>
            <w:vAlign w:val="center"/>
          </w:tcPr>
          <w:p>
            <w:pPr>
              <w:spacing w:line="400" w:lineRule="exact"/>
              <w:jc w:val="center"/>
              <w:rPr>
                <w:rFonts w:hAnsi="宋体" w:cs="宋体"/>
                <w:bCs/>
                <w:color w:val="auto"/>
                <w:sz w:val="24"/>
                <w:szCs w:val="24"/>
                <w:highlight w:val="none"/>
              </w:rPr>
            </w:pPr>
            <w:r>
              <w:rPr>
                <w:rFonts w:hint="eastAsia" w:hAnsi="宋体" w:cs="宋体"/>
                <w:bCs/>
                <w:color w:val="auto"/>
                <w:sz w:val="24"/>
                <w:szCs w:val="24"/>
                <w:highlight w:val="none"/>
              </w:rPr>
              <w:t>评分因素及权重</w:t>
            </w:r>
          </w:p>
        </w:tc>
        <w:tc>
          <w:tcPr>
            <w:tcW w:w="977" w:type="dxa"/>
            <w:vAlign w:val="center"/>
          </w:tcPr>
          <w:p>
            <w:pPr>
              <w:spacing w:line="400" w:lineRule="exact"/>
              <w:jc w:val="center"/>
              <w:rPr>
                <w:rFonts w:hAnsi="宋体" w:cs="宋体"/>
                <w:bCs/>
                <w:color w:val="auto"/>
                <w:sz w:val="24"/>
                <w:szCs w:val="24"/>
                <w:highlight w:val="none"/>
              </w:rPr>
            </w:pPr>
            <w:r>
              <w:rPr>
                <w:rFonts w:hint="eastAsia" w:hAnsi="宋体" w:cs="宋体"/>
                <w:bCs/>
                <w:color w:val="auto"/>
                <w:sz w:val="24"/>
                <w:szCs w:val="24"/>
                <w:highlight w:val="none"/>
              </w:rPr>
              <w:t>分值</w:t>
            </w:r>
          </w:p>
        </w:tc>
        <w:tc>
          <w:tcPr>
            <w:tcW w:w="6966" w:type="dxa"/>
            <w:vAlign w:val="center"/>
          </w:tcPr>
          <w:p>
            <w:pPr>
              <w:spacing w:line="400" w:lineRule="exact"/>
              <w:jc w:val="center"/>
              <w:rPr>
                <w:rFonts w:hAnsi="宋体" w:cs="宋体"/>
                <w:bCs/>
                <w:color w:val="auto"/>
                <w:sz w:val="24"/>
                <w:szCs w:val="24"/>
                <w:highlight w:val="none"/>
              </w:rPr>
            </w:pPr>
            <w:r>
              <w:rPr>
                <w:rFonts w:hint="eastAsia" w:hAnsi="宋体" w:cs="宋体"/>
                <w:bCs/>
                <w:color w:val="auto"/>
                <w:sz w:val="24"/>
                <w:szCs w:val="24"/>
                <w:highlight w:val="none"/>
              </w:rPr>
              <w:t>评分标准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3" w:hRule="atLeast"/>
          <w:jc w:val="center"/>
        </w:trPr>
        <w:tc>
          <w:tcPr>
            <w:tcW w:w="957" w:type="dxa"/>
            <w:vAlign w:val="center"/>
          </w:tcPr>
          <w:p>
            <w:pPr>
              <w:spacing w:line="400" w:lineRule="exact"/>
              <w:jc w:val="center"/>
              <w:rPr>
                <w:rFonts w:hAnsi="宋体"/>
                <w:color w:val="auto"/>
                <w:sz w:val="24"/>
                <w:szCs w:val="24"/>
                <w:highlight w:val="none"/>
              </w:rPr>
            </w:pPr>
            <w:r>
              <w:rPr>
                <w:rFonts w:hint="eastAsia" w:hAnsi="宋体"/>
                <w:color w:val="auto"/>
                <w:sz w:val="24"/>
                <w:szCs w:val="24"/>
                <w:highlight w:val="none"/>
              </w:rPr>
              <w:t>1</w:t>
            </w:r>
          </w:p>
        </w:tc>
        <w:tc>
          <w:tcPr>
            <w:tcW w:w="1296" w:type="dxa"/>
            <w:vAlign w:val="center"/>
          </w:tcPr>
          <w:p>
            <w:pPr>
              <w:spacing w:line="400" w:lineRule="exact"/>
              <w:jc w:val="center"/>
              <w:rPr>
                <w:rFonts w:hAnsi="宋体"/>
                <w:color w:val="auto"/>
                <w:sz w:val="24"/>
                <w:szCs w:val="24"/>
                <w:highlight w:val="none"/>
              </w:rPr>
            </w:pPr>
            <w:r>
              <w:rPr>
                <w:rFonts w:hint="eastAsia" w:hAnsi="宋体"/>
                <w:color w:val="auto"/>
                <w:sz w:val="24"/>
                <w:szCs w:val="24"/>
                <w:highlight w:val="none"/>
              </w:rPr>
              <w:t>投标报价</w:t>
            </w:r>
          </w:p>
          <w:p>
            <w:pPr>
              <w:spacing w:line="400" w:lineRule="exact"/>
              <w:jc w:val="center"/>
              <w:rPr>
                <w:rFonts w:hAnsi="宋体"/>
                <w:color w:val="auto"/>
                <w:sz w:val="24"/>
                <w:szCs w:val="24"/>
                <w:highlight w:val="none"/>
              </w:rPr>
            </w:pPr>
            <w:r>
              <w:rPr>
                <w:rFonts w:hint="eastAsia" w:hAnsi="宋体"/>
                <w:color w:val="auto"/>
                <w:sz w:val="24"/>
                <w:szCs w:val="24"/>
                <w:highlight w:val="none"/>
              </w:rPr>
              <w:t>（</w:t>
            </w:r>
            <w:r>
              <w:rPr>
                <w:rFonts w:hint="eastAsia" w:hAnsi="宋体"/>
                <w:color w:val="auto"/>
                <w:sz w:val="24"/>
                <w:szCs w:val="24"/>
                <w:highlight w:val="none"/>
                <w:lang w:val="en-US" w:eastAsia="zh-CN"/>
              </w:rPr>
              <w:t>7</w:t>
            </w:r>
            <w:r>
              <w:rPr>
                <w:rFonts w:hint="eastAsia" w:hAnsi="宋体"/>
                <w:color w:val="auto"/>
                <w:sz w:val="24"/>
                <w:szCs w:val="24"/>
                <w:highlight w:val="none"/>
              </w:rPr>
              <w:t>0%）</w:t>
            </w:r>
          </w:p>
        </w:tc>
        <w:tc>
          <w:tcPr>
            <w:tcW w:w="977" w:type="dxa"/>
            <w:vAlign w:val="center"/>
          </w:tcPr>
          <w:p>
            <w:pPr>
              <w:spacing w:line="400" w:lineRule="exact"/>
              <w:jc w:val="center"/>
              <w:rPr>
                <w:rFonts w:hAnsi="宋体"/>
                <w:color w:val="auto"/>
                <w:sz w:val="24"/>
                <w:szCs w:val="24"/>
                <w:highlight w:val="none"/>
              </w:rPr>
            </w:pPr>
            <w:r>
              <w:rPr>
                <w:rFonts w:hint="eastAsia" w:hAnsi="宋体"/>
                <w:color w:val="auto"/>
                <w:sz w:val="24"/>
                <w:szCs w:val="24"/>
                <w:highlight w:val="none"/>
                <w:lang w:val="en-US" w:eastAsia="zh-CN"/>
              </w:rPr>
              <w:t>7</w:t>
            </w:r>
            <w:r>
              <w:rPr>
                <w:rFonts w:hint="eastAsia" w:hAnsi="宋体"/>
                <w:color w:val="auto"/>
                <w:sz w:val="24"/>
                <w:szCs w:val="24"/>
                <w:highlight w:val="none"/>
              </w:rPr>
              <w:t>0分</w:t>
            </w:r>
          </w:p>
        </w:tc>
        <w:tc>
          <w:tcPr>
            <w:tcW w:w="6966" w:type="dxa"/>
            <w:vAlign w:val="center"/>
          </w:tcPr>
          <w:p>
            <w:pPr>
              <w:rPr>
                <w:rFonts w:hAnsi="宋体"/>
                <w:color w:val="auto"/>
                <w:sz w:val="24"/>
                <w:szCs w:val="24"/>
                <w:highlight w:val="none"/>
              </w:rPr>
            </w:pPr>
            <w:r>
              <w:rPr>
                <w:rFonts w:hint="eastAsia" w:hAnsi="宋体"/>
                <w:color w:val="auto"/>
                <w:sz w:val="24"/>
                <w:szCs w:val="24"/>
                <w:highlight w:val="none"/>
              </w:rPr>
              <w:t>投标总价,有效的投标报价中的最低价为评标基准价，按照下列公式计算每个投标人的投标价格得分；</w:t>
            </w:r>
          </w:p>
          <w:p>
            <w:pPr>
              <w:rPr>
                <w:rFonts w:hAnsi="宋体"/>
                <w:color w:val="auto"/>
                <w:sz w:val="24"/>
                <w:szCs w:val="24"/>
                <w:highlight w:val="none"/>
              </w:rPr>
            </w:pPr>
            <w:r>
              <w:rPr>
                <w:rFonts w:hint="eastAsia" w:hAnsi="宋体"/>
                <w:color w:val="auto"/>
                <w:sz w:val="24"/>
                <w:szCs w:val="24"/>
                <w:highlight w:val="none"/>
              </w:rPr>
              <w:t>投标报价得分＝（评标基准价/投标报价）×</w:t>
            </w:r>
            <w:r>
              <w:rPr>
                <w:rFonts w:hint="eastAsia" w:hAnsi="宋体"/>
                <w:color w:val="auto"/>
                <w:sz w:val="24"/>
                <w:szCs w:val="24"/>
                <w:highlight w:val="none"/>
                <w:lang w:val="en-US" w:eastAsia="zh-CN"/>
              </w:rPr>
              <w:t>7</w:t>
            </w:r>
            <w:r>
              <w:rPr>
                <w:rFonts w:hint="eastAsia" w:hAnsi="宋体"/>
                <w:color w:val="auto"/>
                <w:sz w:val="24"/>
                <w:szCs w:val="24"/>
                <w:highlight w:val="none"/>
              </w:rPr>
              <w:t>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6" w:hRule="atLeast"/>
          <w:jc w:val="center"/>
        </w:trPr>
        <w:tc>
          <w:tcPr>
            <w:tcW w:w="957" w:type="dxa"/>
            <w:vMerge w:val="restart"/>
            <w:vAlign w:val="center"/>
          </w:tcPr>
          <w:p>
            <w:pPr>
              <w:spacing w:line="400" w:lineRule="exact"/>
              <w:jc w:val="center"/>
              <w:rPr>
                <w:rFonts w:hAnsi="宋体"/>
                <w:color w:val="auto"/>
                <w:sz w:val="24"/>
                <w:szCs w:val="24"/>
                <w:highlight w:val="none"/>
              </w:rPr>
            </w:pPr>
            <w:r>
              <w:rPr>
                <w:rFonts w:hint="eastAsia" w:hAnsi="宋体"/>
                <w:color w:val="auto"/>
                <w:sz w:val="24"/>
                <w:szCs w:val="24"/>
                <w:highlight w:val="none"/>
              </w:rPr>
              <w:t>2</w:t>
            </w:r>
          </w:p>
        </w:tc>
        <w:tc>
          <w:tcPr>
            <w:tcW w:w="1296" w:type="dxa"/>
            <w:vMerge w:val="restart"/>
            <w:vAlign w:val="center"/>
          </w:tcPr>
          <w:p>
            <w:pPr>
              <w:spacing w:line="400" w:lineRule="exact"/>
              <w:jc w:val="center"/>
              <w:rPr>
                <w:rFonts w:hAnsi="宋体"/>
                <w:color w:val="auto"/>
                <w:sz w:val="24"/>
                <w:szCs w:val="24"/>
                <w:highlight w:val="none"/>
              </w:rPr>
            </w:pPr>
            <w:r>
              <w:rPr>
                <w:rFonts w:hint="eastAsia" w:hAnsi="宋体"/>
                <w:color w:val="auto"/>
                <w:sz w:val="24"/>
                <w:szCs w:val="24"/>
                <w:highlight w:val="none"/>
              </w:rPr>
              <w:t>技术部分</w:t>
            </w:r>
          </w:p>
          <w:p>
            <w:pPr>
              <w:spacing w:line="400" w:lineRule="exact"/>
              <w:jc w:val="center"/>
              <w:rPr>
                <w:rFonts w:hAnsi="宋体"/>
                <w:color w:val="auto"/>
                <w:sz w:val="24"/>
                <w:szCs w:val="24"/>
                <w:highlight w:val="none"/>
              </w:rPr>
            </w:pPr>
            <w:r>
              <w:rPr>
                <w:rFonts w:hint="eastAsia" w:hAnsi="宋体"/>
                <w:color w:val="auto"/>
                <w:sz w:val="24"/>
                <w:szCs w:val="24"/>
                <w:highlight w:val="none"/>
              </w:rPr>
              <w:t>（</w:t>
            </w:r>
            <w:r>
              <w:rPr>
                <w:rFonts w:hint="eastAsia" w:hAnsi="宋体"/>
                <w:color w:val="auto"/>
                <w:sz w:val="24"/>
                <w:szCs w:val="24"/>
                <w:highlight w:val="none"/>
                <w:lang w:val="en-US" w:eastAsia="zh-CN"/>
              </w:rPr>
              <w:t>20</w:t>
            </w:r>
            <w:r>
              <w:rPr>
                <w:rFonts w:hint="eastAsia" w:hAnsi="宋体"/>
                <w:color w:val="auto"/>
                <w:sz w:val="24"/>
                <w:szCs w:val="24"/>
                <w:highlight w:val="none"/>
              </w:rPr>
              <w:t>%）</w:t>
            </w:r>
          </w:p>
        </w:tc>
        <w:tc>
          <w:tcPr>
            <w:tcW w:w="977" w:type="dxa"/>
            <w:vMerge w:val="restart"/>
            <w:vAlign w:val="center"/>
          </w:tcPr>
          <w:p>
            <w:pPr>
              <w:spacing w:line="400" w:lineRule="exact"/>
              <w:jc w:val="center"/>
              <w:rPr>
                <w:rFonts w:hAnsi="宋体"/>
                <w:color w:val="auto"/>
                <w:sz w:val="24"/>
                <w:szCs w:val="24"/>
                <w:highlight w:val="none"/>
              </w:rPr>
            </w:pPr>
            <w:r>
              <w:rPr>
                <w:rFonts w:hint="eastAsia" w:hAnsi="宋体"/>
                <w:color w:val="auto"/>
                <w:sz w:val="24"/>
                <w:szCs w:val="24"/>
                <w:highlight w:val="none"/>
                <w:lang w:val="en-US" w:eastAsia="zh-CN"/>
              </w:rPr>
              <w:t>15</w:t>
            </w:r>
            <w:r>
              <w:rPr>
                <w:rFonts w:hint="eastAsia" w:hAnsi="宋体"/>
                <w:color w:val="auto"/>
                <w:sz w:val="24"/>
                <w:szCs w:val="24"/>
                <w:highlight w:val="none"/>
              </w:rPr>
              <w:t>分</w:t>
            </w:r>
          </w:p>
        </w:tc>
        <w:tc>
          <w:tcPr>
            <w:tcW w:w="6966" w:type="dxa"/>
            <w:vAlign w:val="center"/>
          </w:tcPr>
          <w:p>
            <w:pPr>
              <w:spacing w:line="240" w:lineRule="atLeast"/>
              <w:ind w:firstLine="28"/>
              <w:jc w:val="left"/>
              <w:rPr>
                <w:rFonts w:hAnsi="宋体"/>
                <w:color w:val="auto"/>
                <w:sz w:val="24"/>
                <w:szCs w:val="24"/>
                <w:highlight w:val="none"/>
              </w:rPr>
            </w:pPr>
            <w:r>
              <w:rPr>
                <w:rFonts w:hint="eastAsia" w:hAnsi="宋体"/>
                <w:color w:val="auto"/>
                <w:sz w:val="24"/>
                <w:szCs w:val="24"/>
                <w:highlight w:val="none"/>
              </w:rPr>
              <w:t>1.起评分：</w:t>
            </w:r>
          </w:p>
          <w:p>
            <w:pPr>
              <w:spacing w:line="240" w:lineRule="atLeast"/>
              <w:ind w:firstLine="28"/>
              <w:jc w:val="left"/>
              <w:rPr>
                <w:rFonts w:hAnsi="宋体"/>
                <w:color w:val="auto"/>
                <w:sz w:val="24"/>
                <w:szCs w:val="24"/>
                <w:highlight w:val="none"/>
              </w:rPr>
            </w:pPr>
            <w:r>
              <w:rPr>
                <w:rFonts w:hint="eastAsia" w:hAnsi="宋体"/>
                <w:color w:val="auto"/>
                <w:sz w:val="24"/>
                <w:szCs w:val="24"/>
                <w:highlight w:val="none"/>
              </w:rPr>
              <w:t>有效投标人的起评分为</w:t>
            </w:r>
            <w:r>
              <w:rPr>
                <w:rFonts w:hint="eastAsia" w:hAnsi="宋体"/>
                <w:color w:val="auto"/>
                <w:sz w:val="24"/>
                <w:szCs w:val="24"/>
                <w:highlight w:val="none"/>
                <w:lang w:val="en-US" w:eastAsia="zh-CN"/>
              </w:rPr>
              <w:t>15</w:t>
            </w:r>
            <w:r>
              <w:rPr>
                <w:rFonts w:hint="eastAsia" w:hAnsi="宋体"/>
                <w:color w:val="auto"/>
                <w:sz w:val="24"/>
                <w:szCs w:val="24"/>
                <w:highlight w:val="none"/>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6" w:hRule="atLeast"/>
          <w:jc w:val="center"/>
        </w:trPr>
        <w:tc>
          <w:tcPr>
            <w:tcW w:w="957" w:type="dxa"/>
            <w:vMerge w:val="continue"/>
            <w:vAlign w:val="center"/>
          </w:tcPr>
          <w:p>
            <w:pPr>
              <w:spacing w:line="400" w:lineRule="exact"/>
              <w:jc w:val="center"/>
              <w:rPr>
                <w:rFonts w:hAnsi="宋体"/>
                <w:color w:val="auto"/>
                <w:sz w:val="24"/>
                <w:szCs w:val="24"/>
                <w:highlight w:val="none"/>
              </w:rPr>
            </w:pPr>
          </w:p>
        </w:tc>
        <w:tc>
          <w:tcPr>
            <w:tcW w:w="1296" w:type="dxa"/>
            <w:vMerge w:val="continue"/>
            <w:vAlign w:val="center"/>
          </w:tcPr>
          <w:p>
            <w:pPr>
              <w:spacing w:line="400" w:lineRule="exact"/>
              <w:jc w:val="center"/>
              <w:rPr>
                <w:rFonts w:hAnsi="宋体"/>
                <w:color w:val="auto"/>
                <w:sz w:val="24"/>
                <w:szCs w:val="24"/>
                <w:highlight w:val="none"/>
              </w:rPr>
            </w:pPr>
          </w:p>
        </w:tc>
        <w:tc>
          <w:tcPr>
            <w:tcW w:w="977" w:type="dxa"/>
            <w:vMerge w:val="continue"/>
            <w:vAlign w:val="center"/>
          </w:tcPr>
          <w:p>
            <w:pPr>
              <w:spacing w:line="400" w:lineRule="exact"/>
              <w:jc w:val="center"/>
              <w:rPr>
                <w:rFonts w:hAnsi="宋体"/>
                <w:color w:val="auto"/>
                <w:sz w:val="24"/>
                <w:szCs w:val="24"/>
                <w:highlight w:val="none"/>
              </w:rPr>
            </w:pPr>
          </w:p>
        </w:tc>
        <w:tc>
          <w:tcPr>
            <w:tcW w:w="6966" w:type="dxa"/>
            <w:vAlign w:val="center"/>
          </w:tcPr>
          <w:p>
            <w:pPr>
              <w:spacing w:line="240" w:lineRule="atLeast"/>
              <w:ind w:firstLine="28"/>
              <w:jc w:val="left"/>
              <w:rPr>
                <w:rFonts w:hAnsi="宋体"/>
                <w:color w:val="auto"/>
                <w:sz w:val="24"/>
                <w:szCs w:val="24"/>
                <w:highlight w:val="none"/>
              </w:rPr>
            </w:pPr>
            <w:r>
              <w:rPr>
                <w:rFonts w:hint="eastAsia" w:hAnsi="宋体"/>
                <w:color w:val="auto"/>
                <w:sz w:val="24"/>
                <w:szCs w:val="24"/>
                <w:highlight w:val="none"/>
              </w:rPr>
              <w:t>2.扣分条款：</w:t>
            </w:r>
          </w:p>
          <w:p>
            <w:pPr>
              <w:spacing w:line="240" w:lineRule="atLeast"/>
              <w:ind w:firstLine="28"/>
              <w:jc w:val="left"/>
              <w:rPr>
                <w:rFonts w:hAnsi="宋体" w:cs="方正仿宋_GBK"/>
                <w:color w:val="auto"/>
                <w:sz w:val="21"/>
                <w:szCs w:val="21"/>
                <w:highlight w:val="none"/>
              </w:rPr>
            </w:pPr>
            <w:r>
              <w:rPr>
                <w:rFonts w:hint="eastAsia" w:hAnsi="宋体" w:cs="方正仿宋_GBK"/>
                <w:color w:val="auto"/>
                <w:sz w:val="21"/>
                <w:szCs w:val="21"/>
                <w:highlight w:val="none"/>
              </w:rPr>
              <w:t>2.1投标文件投标应答有一条不满足比选文件重要技术需求的（本比选文件第二篇中带“▲”号标注的部分），从起评分中扣除</w:t>
            </w:r>
            <w:r>
              <w:rPr>
                <w:rFonts w:hint="eastAsia" w:hAnsi="宋体" w:cs="方正仿宋_GBK"/>
                <w:color w:val="auto"/>
                <w:sz w:val="21"/>
                <w:szCs w:val="21"/>
                <w:highlight w:val="none"/>
                <w:lang w:val="en-US" w:eastAsia="zh-CN"/>
              </w:rPr>
              <w:t>2</w:t>
            </w:r>
            <w:r>
              <w:rPr>
                <w:rFonts w:hint="eastAsia" w:hAnsi="宋体" w:cs="方正仿宋_GBK"/>
                <w:color w:val="auto"/>
                <w:sz w:val="21"/>
                <w:szCs w:val="21"/>
                <w:highlight w:val="none"/>
              </w:rPr>
              <w:t>分，有</w:t>
            </w:r>
            <w:r>
              <w:rPr>
                <w:rFonts w:hint="eastAsia" w:hAnsi="宋体" w:cs="方正仿宋_GBK"/>
                <w:color w:val="auto"/>
                <w:sz w:val="21"/>
                <w:szCs w:val="21"/>
                <w:highlight w:val="none"/>
                <w:lang w:val="en-US" w:eastAsia="zh-CN"/>
              </w:rPr>
              <w:t>4</w:t>
            </w:r>
            <w:r>
              <w:rPr>
                <w:rFonts w:hint="eastAsia" w:hAnsi="宋体" w:cs="方正仿宋_GBK"/>
                <w:color w:val="auto"/>
                <w:sz w:val="21"/>
                <w:szCs w:val="21"/>
                <w:highlight w:val="none"/>
              </w:rPr>
              <w:t>条及以上负偏离（不响应）的，得0分。</w:t>
            </w:r>
          </w:p>
          <w:p>
            <w:pPr>
              <w:spacing w:line="240" w:lineRule="atLeast"/>
              <w:ind w:firstLine="28"/>
              <w:jc w:val="left"/>
              <w:rPr>
                <w:rFonts w:hAnsi="宋体"/>
                <w:color w:val="auto"/>
                <w:sz w:val="24"/>
                <w:szCs w:val="24"/>
                <w:highlight w:val="none"/>
              </w:rPr>
            </w:pPr>
            <w:r>
              <w:rPr>
                <w:rFonts w:hint="eastAsia" w:hAnsi="宋体" w:cs="方正仿宋_GBK"/>
                <w:color w:val="auto"/>
                <w:sz w:val="21"/>
                <w:szCs w:val="21"/>
                <w:highlight w:val="none"/>
              </w:rPr>
              <w:t>2.2投标文件投标应答有一条不满足比选文件一般性技术需求的（本比选文件第二篇中“▲”或“※”号标注的部分除外），从起评分中扣除</w:t>
            </w:r>
            <w:r>
              <w:rPr>
                <w:rFonts w:hint="eastAsia" w:hAnsi="宋体" w:cs="方正仿宋_GBK"/>
                <w:color w:val="auto"/>
                <w:sz w:val="21"/>
                <w:szCs w:val="21"/>
                <w:highlight w:val="none"/>
                <w:lang w:val="en-US" w:eastAsia="zh-CN"/>
              </w:rPr>
              <w:t>1</w:t>
            </w:r>
            <w:r>
              <w:rPr>
                <w:rFonts w:hint="eastAsia" w:hAnsi="宋体" w:cs="方正仿宋_GBK"/>
                <w:color w:val="auto"/>
                <w:sz w:val="21"/>
                <w:szCs w:val="21"/>
                <w:highlight w:val="none"/>
              </w:rPr>
              <w:t>分，扣完为止。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6" w:hRule="atLeast"/>
          <w:jc w:val="center"/>
        </w:trPr>
        <w:tc>
          <w:tcPr>
            <w:tcW w:w="957" w:type="dxa"/>
            <w:vAlign w:val="center"/>
          </w:tcPr>
          <w:p>
            <w:pPr>
              <w:spacing w:line="400" w:lineRule="exact"/>
              <w:jc w:val="center"/>
              <w:rPr>
                <w:rFonts w:hAnsi="宋体"/>
                <w:color w:val="auto"/>
                <w:sz w:val="24"/>
                <w:szCs w:val="24"/>
                <w:highlight w:val="none"/>
              </w:rPr>
            </w:pPr>
          </w:p>
        </w:tc>
        <w:tc>
          <w:tcPr>
            <w:tcW w:w="1296" w:type="dxa"/>
            <w:vMerge w:val="continue"/>
            <w:vAlign w:val="center"/>
          </w:tcPr>
          <w:p>
            <w:pPr>
              <w:spacing w:line="400" w:lineRule="exact"/>
              <w:jc w:val="center"/>
              <w:rPr>
                <w:rFonts w:hAnsi="宋体"/>
                <w:color w:val="auto"/>
                <w:sz w:val="24"/>
                <w:szCs w:val="24"/>
                <w:highlight w:val="none"/>
              </w:rPr>
            </w:pPr>
          </w:p>
        </w:tc>
        <w:tc>
          <w:tcPr>
            <w:tcW w:w="977" w:type="dxa"/>
            <w:vAlign w:val="center"/>
          </w:tcPr>
          <w:p>
            <w:pPr>
              <w:spacing w:line="400" w:lineRule="exact"/>
              <w:jc w:val="center"/>
              <w:rPr>
                <w:rFonts w:hint="default" w:hAnsi="宋体" w:eastAsia="宋体"/>
                <w:color w:val="auto"/>
                <w:sz w:val="24"/>
                <w:szCs w:val="24"/>
                <w:highlight w:val="none"/>
                <w:lang w:val="en-US" w:eastAsia="zh-CN"/>
              </w:rPr>
            </w:pPr>
            <w:r>
              <w:rPr>
                <w:rFonts w:hint="eastAsia" w:hAnsi="宋体"/>
                <w:color w:val="auto"/>
                <w:sz w:val="24"/>
                <w:szCs w:val="24"/>
                <w:highlight w:val="none"/>
                <w:lang w:val="en-US" w:eastAsia="zh-CN"/>
              </w:rPr>
              <w:t>5</w:t>
            </w:r>
          </w:p>
        </w:tc>
        <w:tc>
          <w:tcPr>
            <w:tcW w:w="6966" w:type="dxa"/>
            <w:vAlign w:val="center"/>
          </w:tcPr>
          <w:p>
            <w:pPr>
              <w:ind w:left="-38"/>
              <w:rPr>
                <w:rFonts w:hAnsi="宋体" w:cs="方正仿宋_GBK"/>
                <w:color w:val="auto"/>
                <w:sz w:val="21"/>
                <w:szCs w:val="21"/>
                <w:highlight w:val="none"/>
              </w:rPr>
            </w:pPr>
            <w:r>
              <w:rPr>
                <w:rFonts w:hint="eastAsia" w:hAnsi="宋体" w:cs="方正仿宋_GBK"/>
                <w:color w:val="auto"/>
                <w:sz w:val="21"/>
                <w:szCs w:val="21"/>
                <w:highlight w:val="none"/>
              </w:rPr>
              <w:t>投标人结合本项目理解提供实施方案（内容包含：①项目整体实施方案（整体规划）；②项目质量保证方案（包括安全生产）；③项目时间进度安排方案（包括停电等应急预案）；④安全保障措施方案；⑤安装方案（包括：安装过程中的安全事故）；⑥运输方案（包括：道路运输意外情况、恶劣天气影响等）；⑦备品备件准备方案、⑧人员配置方案；⑨验收方案（包括如验收不合格的应急处理方案）。本项满分为5分，根据投标人响应情况，采取综合量化评审：</w:t>
            </w:r>
          </w:p>
          <w:p>
            <w:pPr>
              <w:ind w:left="-38"/>
              <w:rPr>
                <w:rFonts w:hAnsi="宋体" w:cs="方正仿宋_GBK"/>
                <w:color w:val="auto"/>
                <w:sz w:val="21"/>
                <w:szCs w:val="21"/>
                <w:highlight w:val="none"/>
              </w:rPr>
            </w:pPr>
            <w:r>
              <w:rPr>
                <w:rFonts w:hint="eastAsia" w:hAnsi="宋体" w:cs="方正仿宋_GBK"/>
                <w:color w:val="auto"/>
                <w:sz w:val="21"/>
                <w:szCs w:val="21"/>
                <w:highlight w:val="none"/>
              </w:rPr>
              <w:t>1、方案说明详细、准确、针对性强、符合要求的为优，得5分；</w:t>
            </w:r>
          </w:p>
          <w:p>
            <w:pPr>
              <w:ind w:left="-38"/>
              <w:rPr>
                <w:rFonts w:hAnsi="宋体" w:cs="方正仿宋_GBK"/>
                <w:color w:val="auto"/>
                <w:sz w:val="21"/>
                <w:szCs w:val="21"/>
                <w:highlight w:val="none"/>
              </w:rPr>
            </w:pPr>
            <w:r>
              <w:rPr>
                <w:rFonts w:hint="eastAsia" w:hAnsi="宋体" w:cs="方正仿宋_GBK"/>
                <w:color w:val="auto"/>
                <w:sz w:val="21"/>
                <w:szCs w:val="21"/>
                <w:highlight w:val="none"/>
              </w:rPr>
              <w:t>2、方案说明较为详细、较为准确、具有针对性、较符合要求的为良，得3分；</w:t>
            </w:r>
          </w:p>
          <w:p>
            <w:pPr>
              <w:ind w:left="-38"/>
              <w:rPr>
                <w:rFonts w:hAnsi="宋体" w:cs="方正仿宋_GBK"/>
                <w:color w:val="auto"/>
                <w:sz w:val="21"/>
                <w:szCs w:val="21"/>
                <w:highlight w:val="none"/>
              </w:rPr>
            </w:pPr>
            <w:r>
              <w:rPr>
                <w:rFonts w:hint="eastAsia" w:hAnsi="宋体" w:cs="方正仿宋_GBK"/>
                <w:color w:val="auto"/>
                <w:sz w:val="21"/>
                <w:szCs w:val="21"/>
                <w:highlight w:val="none"/>
              </w:rPr>
              <w:t>3、方案说明详细度、准确度、有一定针对性、和符合要求的程度一般的，得1分；</w:t>
            </w:r>
          </w:p>
          <w:p>
            <w:pPr>
              <w:ind w:left="-38"/>
              <w:rPr>
                <w:rFonts w:hAnsi="宋体" w:cs="方正仿宋_GBK"/>
                <w:color w:val="auto"/>
                <w:sz w:val="21"/>
                <w:szCs w:val="21"/>
                <w:highlight w:val="none"/>
              </w:rPr>
            </w:pPr>
            <w:r>
              <w:rPr>
                <w:rFonts w:hint="eastAsia" w:hAnsi="宋体" w:cs="方正仿宋_GBK"/>
                <w:color w:val="auto"/>
                <w:sz w:val="21"/>
                <w:szCs w:val="21"/>
                <w:highlight w:val="none"/>
              </w:rPr>
              <w:t>4、方案内容和本项项目无关或未提供的得0分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6" w:hRule="atLeast"/>
          <w:jc w:val="center"/>
        </w:trPr>
        <w:tc>
          <w:tcPr>
            <w:tcW w:w="10196" w:type="dxa"/>
            <w:gridSpan w:val="4"/>
            <w:vAlign w:val="center"/>
          </w:tcPr>
          <w:p>
            <w:pPr>
              <w:spacing w:line="400" w:lineRule="exact"/>
              <w:rPr>
                <w:rFonts w:hAnsi="宋体"/>
                <w:color w:val="auto"/>
                <w:sz w:val="24"/>
                <w:szCs w:val="24"/>
                <w:highlight w:val="none"/>
              </w:rPr>
            </w:pPr>
            <w:r>
              <w:rPr>
                <w:rFonts w:hint="eastAsia" w:hAnsi="宋体"/>
                <w:color w:val="auto"/>
                <w:sz w:val="24"/>
                <w:szCs w:val="24"/>
                <w:highlight w:val="none"/>
              </w:rPr>
              <w:t>投标人的应答应满足竞争性比选文件“第三篇 项目商务要求”，有一条不满足的（第三篇中（※）号标注的部分除外），商务部分得分为0分，不再进入商务部分的评审。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15" w:hRule="atLeast"/>
          <w:jc w:val="center"/>
        </w:trPr>
        <w:tc>
          <w:tcPr>
            <w:tcW w:w="957" w:type="dxa"/>
            <w:vMerge w:val="restart"/>
            <w:vAlign w:val="center"/>
          </w:tcPr>
          <w:p>
            <w:pPr>
              <w:rPr>
                <w:rFonts w:hAnsi="宋体"/>
                <w:color w:val="auto"/>
                <w:sz w:val="24"/>
                <w:szCs w:val="24"/>
                <w:highlight w:val="none"/>
              </w:rPr>
            </w:pPr>
            <w:r>
              <w:rPr>
                <w:rFonts w:hint="eastAsia" w:hAnsi="宋体"/>
                <w:color w:val="auto"/>
                <w:sz w:val="24"/>
                <w:szCs w:val="24"/>
                <w:highlight w:val="none"/>
              </w:rPr>
              <w:t>3商务部分（</w:t>
            </w:r>
            <w:r>
              <w:rPr>
                <w:rFonts w:hint="eastAsia" w:hAnsi="宋体"/>
                <w:color w:val="auto"/>
                <w:sz w:val="24"/>
                <w:szCs w:val="24"/>
                <w:highlight w:val="none"/>
                <w:lang w:val="en-US" w:eastAsia="zh-CN"/>
              </w:rPr>
              <w:t>10</w:t>
            </w:r>
            <w:r>
              <w:rPr>
                <w:rFonts w:hint="eastAsia" w:hAnsi="宋体"/>
                <w:color w:val="auto"/>
                <w:sz w:val="24"/>
                <w:szCs w:val="24"/>
                <w:highlight w:val="none"/>
              </w:rPr>
              <w:t>%）</w:t>
            </w:r>
          </w:p>
        </w:tc>
        <w:tc>
          <w:tcPr>
            <w:tcW w:w="1296" w:type="dxa"/>
            <w:vAlign w:val="center"/>
          </w:tcPr>
          <w:p>
            <w:pPr>
              <w:spacing w:line="240" w:lineRule="atLeast"/>
              <w:ind w:firstLine="28"/>
              <w:jc w:val="center"/>
              <w:rPr>
                <w:rFonts w:hAnsi="宋体"/>
                <w:color w:val="auto"/>
                <w:sz w:val="24"/>
                <w:szCs w:val="24"/>
                <w:highlight w:val="none"/>
              </w:rPr>
            </w:pPr>
            <w:r>
              <w:rPr>
                <w:rFonts w:hint="eastAsia" w:hAnsi="宋体"/>
                <w:color w:val="auto"/>
                <w:sz w:val="24"/>
                <w:szCs w:val="24"/>
                <w:highlight w:val="none"/>
              </w:rPr>
              <w:t>质保期</w:t>
            </w:r>
          </w:p>
          <w:p>
            <w:pPr>
              <w:spacing w:line="240" w:lineRule="atLeast"/>
              <w:ind w:firstLine="28"/>
              <w:jc w:val="center"/>
              <w:rPr>
                <w:rFonts w:hAnsi="宋体"/>
                <w:color w:val="auto"/>
                <w:sz w:val="24"/>
                <w:szCs w:val="24"/>
                <w:highlight w:val="none"/>
              </w:rPr>
            </w:pPr>
            <w:r>
              <w:rPr>
                <w:rFonts w:hint="eastAsia" w:hAnsi="宋体"/>
                <w:color w:val="auto"/>
                <w:sz w:val="24"/>
                <w:szCs w:val="24"/>
                <w:highlight w:val="none"/>
              </w:rPr>
              <w:t>（6</w:t>
            </w:r>
            <w:r>
              <w:rPr>
                <w:rFonts w:hAnsi="宋体"/>
                <w:color w:val="auto"/>
                <w:sz w:val="24"/>
                <w:szCs w:val="24"/>
                <w:highlight w:val="none"/>
              </w:rPr>
              <w:t>%</w:t>
            </w:r>
            <w:r>
              <w:rPr>
                <w:rFonts w:hint="eastAsia" w:hAnsi="宋体"/>
                <w:color w:val="auto"/>
                <w:sz w:val="24"/>
                <w:szCs w:val="24"/>
                <w:highlight w:val="none"/>
              </w:rPr>
              <w:t>）</w:t>
            </w:r>
          </w:p>
        </w:tc>
        <w:tc>
          <w:tcPr>
            <w:tcW w:w="977" w:type="dxa"/>
            <w:vAlign w:val="center"/>
          </w:tcPr>
          <w:p>
            <w:pPr>
              <w:spacing w:line="240" w:lineRule="atLeast"/>
              <w:ind w:firstLine="28"/>
              <w:jc w:val="center"/>
              <w:rPr>
                <w:rFonts w:hAnsi="宋体"/>
                <w:color w:val="auto"/>
                <w:sz w:val="24"/>
                <w:szCs w:val="24"/>
                <w:highlight w:val="none"/>
              </w:rPr>
            </w:pPr>
            <w:r>
              <w:rPr>
                <w:rFonts w:hint="eastAsia" w:hAnsi="宋体"/>
                <w:color w:val="auto"/>
                <w:sz w:val="24"/>
                <w:szCs w:val="24"/>
                <w:highlight w:val="none"/>
              </w:rPr>
              <w:t>6</w:t>
            </w:r>
          </w:p>
        </w:tc>
        <w:tc>
          <w:tcPr>
            <w:tcW w:w="6966" w:type="dxa"/>
            <w:vAlign w:val="center"/>
          </w:tcPr>
          <w:p>
            <w:pPr>
              <w:spacing w:line="240" w:lineRule="atLeast"/>
              <w:rPr>
                <w:rFonts w:hAnsi="宋体"/>
                <w:color w:val="auto"/>
                <w:sz w:val="24"/>
                <w:szCs w:val="24"/>
                <w:highlight w:val="none"/>
              </w:rPr>
            </w:pPr>
            <w:r>
              <w:rPr>
                <w:rFonts w:hint="eastAsia" w:hAnsi="宋体"/>
                <w:color w:val="auto"/>
                <w:sz w:val="24"/>
                <w:szCs w:val="24"/>
                <w:highlight w:val="none"/>
              </w:rPr>
              <w:t>质保期满足竞争性比选文件要求的不得分，在要求基础上每增加一年加2分，最多得6分。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14" w:hRule="atLeast"/>
          <w:jc w:val="center"/>
        </w:trPr>
        <w:tc>
          <w:tcPr>
            <w:tcW w:w="957" w:type="dxa"/>
            <w:vMerge w:val="continue"/>
            <w:vAlign w:val="center"/>
          </w:tcPr>
          <w:p>
            <w:pPr>
              <w:jc w:val="center"/>
              <w:rPr>
                <w:rFonts w:hAnsi="宋体"/>
                <w:color w:val="auto"/>
                <w:sz w:val="24"/>
                <w:szCs w:val="24"/>
                <w:highlight w:val="none"/>
              </w:rPr>
            </w:pPr>
          </w:p>
        </w:tc>
        <w:tc>
          <w:tcPr>
            <w:tcW w:w="1296" w:type="dxa"/>
            <w:vAlign w:val="center"/>
          </w:tcPr>
          <w:p>
            <w:pPr>
              <w:spacing w:line="240" w:lineRule="atLeast"/>
              <w:ind w:firstLine="28"/>
              <w:jc w:val="center"/>
              <w:rPr>
                <w:rFonts w:hAnsi="宋体"/>
                <w:color w:val="auto"/>
                <w:sz w:val="24"/>
                <w:szCs w:val="24"/>
                <w:highlight w:val="none"/>
              </w:rPr>
            </w:pPr>
            <w:r>
              <w:rPr>
                <w:rFonts w:hint="eastAsia" w:hAnsi="宋体"/>
                <w:color w:val="auto"/>
                <w:sz w:val="24"/>
                <w:szCs w:val="24"/>
                <w:highlight w:val="none"/>
              </w:rPr>
              <w:t>售后服务</w:t>
            </w:r>
          </w:p>
          <w:p>
            <w:pPr>
              <w:spacing w:line="240" w:lineRule="atLeast"/>
              <w:ind w:firstLine="28"/>
              <w:jc w:val="center"/>
              <w:rPr>
                <w:rFonts w:hAnsi="宋体"/>
                <w:color w:val="auto"/>
                <w:sz w:val="24"/>
                <w:szCs w:val="24"/>
                <w:highlight w:val="none"/>
              </w:rPr>
            </w:pPr>
            <w:r>
              <w:rPr>
                <w:rFonts w:hint="eastAsia" w:hAnsi="宋体"/>
                <w:color w:val="auto"/>
                <w:sz w:val="24"/>
                <w:szCs w:val="24"/>
                <w:highlight w:val="none"/>
              </w:rPr>
              <w:t>（</w:t>
            </w:r>
            <w:r>
              <w:rPr>
                <w:rFonts w:hint="eastAsia" w:hAnsi="宋体"/>
                <w:color w:val="auto"/>
                <w:sz w:val="24"/>
                <w:szCs w:val="24"/>
                <w:highlight w:val="none"/>
                <w:lang w:val="en-US" w:eastAsia="zh-CN"/>
              </w:rPr>
              <w:t>2</w:t>
            </w:r>
            <w:r>
              <w:rPr>
                <w:rFonts w:hAnsi="宋体"/>
                <w:color w:val="auto"/>
                <w:sz w:val="24"/>
                <w:szCs w:val="24"/>
                <w:highlight w:val="none"/>
              </w:rPr>
              <w:t>%</w:t>
            </w:r>
            <w:r>
              <w:rPr>
                <w:rFonts w:hint="eastAsia" w:hAnsi="宋体"/>
                <w:color w:val="auto"/>
                <w:sz w:val="24"/>
                <w:szCs w:val="24"/>
                <w:highlight w:val="none"/>
              </w:rPr>
              <w:t>）</w:t>
            </w:r>
          </w:p>
        </w:tc>
        <w:tc>
          <w:tcPr>
            <w:tcW w:w="977" w:type="dxa"/>
            <w:vAlign w:val="center"/>
          </w:tcPr>
          <w:p>
            <w:pPr>
              <w:spacing w:line="240" w:lineRule="atLeast"/>
              <w:ind w:firstLine="28"/>
              <w:jc w:val="center"/>
              <w:rPr>
                <w:rFonts w:hint="eastAsia" w:hAnsi="宋体" w:eastAsia="宋体"/>
                <w:color w:val="auto"/>
                <w:sz w:val="24"/>
                <w:szCs w:val="24"/>
                <w:highlight w:val="none"/>
                <w:lang w:eastAsia="zh-CN"/>
              </w:rPr>
            </w:pPr>
            <w:r>
              <w:rPr>
                <w:rFonts w:hint="eastAsia" w:hAnsi="宋体"/>
                <w:color w:val="auto"/>
                <w:sz w:val="24"/>
                <w:szCs w:val="24"/>
                <w:highlight w:val="none"/>
                <w:lang w:val="en-US" w:eastAsia="zh-CN"/>
              </w:rPr>
              <w:t>2</w:t>
            </w:r>
          </w:p>
        </w:tc>
        <w:tc>
          <w:tcPr>
            <w:tcW w:w="6966" w:type="dxa"/>
            <w:vAlign w:val="center"/>
          </w:tcPr>
          <w:p>
            <w:pPr>
              <w:pStyle w:val="9"/>
              <w:rPr>
                <w:rFonts w:ascii="宋体" w:hAnsi="宋体" w:cs="宋体"/>
                <w:color w:val="auto"/>
                <w:sz w:val="21"/>
                <w:szCs w:val="21"/>
                <w:highlight w:val="none"/>
              </w:rPr>
            </w:pPr>
            <w:r>
              <w:rPr>
                <w:rFonts w:hint="eastAsia" w:ascii="宋体" w:hAnsi="宋体" w:cs="宋体"/>
                <w:color w:val="auto"/>
                <w:sz w:val="21"/>
                <w:szCs w:val="21"/>
                <w:highlight w:val="none"/>
              </w:rPr>
              <w:t>投标人提供售后服务方案，方案包含但不限于售后服务措施（响应时间、服务内容、回访周期等）、易损件配备方案等内容：</w:t>
            </w:r>
          </w:p>
          <w:p>
            <w:pPr>
              <w:pStyle w:val="9"/>
              <w:rPr>
                <w:rFonts w:ascii="宋体" w:hAnsi="宋体" w:cs="宋体"/>
                <w:color w:val="auto"/>
                <w:sz w:val="21"/>
                <w:szCs w:val="21"/>
                <w:highlight w:val="none"/>
              </w:rPr>
            </w:pPr>
            <w:r>
              <w:rPr>
                <w:rFonts w:hint="eastAsia" w:ascii="宋体" w:hAnsi="宋体" w:cs="宋体"/>
                <w:color w:val="auto"/>
                <w:sz w:val="21"/>
                <w:szCs w:val="21"/>
                <w:highlight w:val="none"/>
              </w:rPr>
              <w:t>对各项内容均进行描述的基础上，措施内容描述完整，细节考虑充分得</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分，方案内容存在1处瑕疵得</w:t>
            </w:r>
            <w:r>
              <w:rPr>
                <w:rFonts w:hint="eastAsia" w:ascii="宋体" w:hAnsi="宋体" w:cs="宋体"/>
                <w:color w:val="auto"/>
                <w:sz w:val="21"/>
                <w:szCs w:val="21"/>
                <w:highlight w:val="none"/>
                <w:lang w:val="en-US" w:eastAsia="zh-CN"/>
              </w:rPr>
              <w:t>1.5</w:t>
            </w:r>
            <w:r>
              <w:rPr>
                <w:rFonts w:hint="eastAsia" w:ascii="宋体" w:hAnsi="宋体" w:cs="宋体"/>
                <w:color w:val="auto"/>
                <w:sz w:val="21"/>
                <w:szCs w:val="21"/>
                <w:highlight w:val="none"/>
              </w:rPr>
              <w:t>分，方案内容存在2处瑕疵得</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分，未提供得0分。</w:t>
            </w:r>
          </w:p>
          <w:p>
            <w:pPr>
              <w:rPr>
                <w:rFonts w:hAnsi="宋体" w:cs="宋体"/>
                <w:color w:val="auto"/>
                <w:sz w:val="21"/>
                <w:szCs w:val="21"/>
                <w:highlight w:val="none"/>
              </w:rPr>
            </w:pPr>
            <w:r>
              <w:rPr>
                <w:rFonts w:hint="eastAsia" w:hAnsi="宋体" w:cs="宋体"/>
                <w:color w:val="auto"/>
                <w:sz w:val="21"/>
                <w:szCs w:val="21"/>
                <w:highlight w:val="none"/>
              </w:rPr>
              <w:t>注：本项内容中所称的“瑕疵”指出现以下任意一种情形：</w:t>
            </w:r>
          </w:p>
          <w:p>
            <w:pPr>
              <w:rPr>
                <w:rFonts w:hAnsi="宋体" w:cs="宋体"/>
                <w:color w:val="auto"/>
                <w:sz w:val="21"/>
                <w:szCs w:val="21"/>
                <w:highlight w:val="none"/>
              </w:rPr>
            </w:pPr>
            <w:r>
              <w:rPr>
                <w:rFonts w:hint="eastAsia" w:hAnsi="宋体" w:cs="宋体"/>
                <w:color w:val="auto"/>
                <w:sz w:val="21"/>
                <w:szCs w:val="21"/>
                <w:highlight w:val="none"/>
              </w:rPr>
              <w:t>1.方案内容缺项、内容表述不完整或缺少关键分析点；</w:t>
            </w:r>
          </w:p>
          <w:p>
            <w:pPr>
              <w:rPr>
                <w:rFonts w:hAnsi="宋体" w:cs="宋体"/>
                <w:color w:val="auto"/>
                <w:sz w:val="21"/>
                <w:szCs w:val="21"/>
                <w:highlight w:val="none"/>
              </w:rPr>
            </w:pPr>
            <w:r>
              <w:rPr>
                <w:rFonts w:hint="eastAsia" w:hAnsi="宋体" w:cs="宋体"/>
                <w:color w:val="auto"/>
                <w:sz w:val="21"/>
                <w:szCs w:val="21"/>
                <w:highlight w:val="none"/>
              </w:rPr>
              <w:t>2.计划及措施不合理，内容表述前后矛盾、无连贯性，内容存在逻辑漏洞、常识错误；3.技术措施保障安排并不适用本项目特性或非专门针对本项目制定、方案中提出的措施举措不利于本项目目标的实现；</w:t>
            </w:r>
          </w:p>
          <w:p>
            <w:pPr>
              <w:spacing w:line="240" w:lineRule="atLeast"/>
              <w:rPr>
                <w:rFonts w:hAnsi="宋体"/>
                <w:color w:val="auto"/>
                <w:sz w:val="24"/>
                <w:szCs w:val="24"/>
                <w:highlight w:val="none"/>
              </w:rPr>
            </w:pPr>
            <w:r>
              <w:rPr>
                <w:rFonts w:hint="eastAsia" w:hAnsi="宋体" w:cs="宋体"/>
                <w:color w:val="auto"/>
                <w:sz w:val="21"/>
                <w:szCs w:val="21"/>
                <w:highlight w:val="none"/>
              </w:rPr>
              <w:t>4.现有技术条件下不可能实现的情形。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5" w:hRule="atLeast"/>
          <w:jc w:val="center"/>
        </w:trPr>
        <w:tc>
          <w:tcPr>
            <w:tcW w:w="957" w:type="dxa"/>
            <w:vMerge w:val="continue"/>
            <w:vAlign w:val="center"/>
          </w:tcPr>
          <w:p>
            <w:pPr>
              <w:jc w:val="center"/>
              <w:rPr>
                <w:rFonts w:hAnsi="宋体"/>
                <w:color w:val="auto"/>
                <w:sz w:val="24"/>
                <w:szCs w:val="24"/>
                <w:highlight w:val="none"/>
              </w:rPr>
            </w:pPr>
          </w:p>
        </w:tc>
        <w:tc>
          <w:tcPr>
            <w:tcW w:w="1296" w:type="dxa"/>
            <w:vAlign w:val="center"/>
          </w:tcPr>
          <w:p>
            <w:pPr>
              <w:spacing w:line="240" w:lineRule="atLeast"/>
              <w:ind w:firstLine="28"/>
              <w:jc w:val="center"/>
              <w:rPr>
                <w:rFonts w:hAnsi="宋体"/>
                <w:color w:val="auto"/>
                <w:sz w:val="24"/>
                <w:szCs w:val="24"/>
                <w:highlight w:val="none"/>
              </w:rPr>
            </w:pPr>
            <w:r>
              <w:rPr>
                <w:rFonts w:hint="eastAsia" w:hAnsi="宋体"/>
                <w:color w:val="auto"/>
                <w:sz w:val="24"/>
                <w:szCs w:val="24"/>
                <w:highlight w:val="none"/>
              </w:rPr>
              <w:t>履约能力（</w:t>
            </w:r>
            <w:r>
              <w:rPr>
                <w:rFonts w:hint="eastAsia" w:hAnsi="宋体"/>
                <w:color w:val="auto"/>
                <w:sz w:val="24"/>
                <w:szCs w:val="24"/>
                <w:highlight w:val="none"/>
                <w:lang w:val="en-US" w:eastAsia="zh-CN"/>
              </w:rPr>
              <w:t>2</w:t>
            </w:r>
            <w:r>
              <w:rPr>
                <w:rFonts w:hint="eastAsia" w:hAnsi="宋体"/>
                <w:color w:val="auto"/>
                <w:sz w:val="24"/>
                <w:szCs w:val="24"/>
                <w:highlight w:val="none"/>
              </w:rPr>
              <w:t>%）</w:t>
            </w:r>
          </w:p>
        </w:tc>
        <w:tc>
          <w:tcPr>
            <w:tcW w:w="977" w:type="dxa"/>
            <w:vAlign w:val="center"/>
          </w:tcPr>
          <w:p>
            <w:pPr>
              <w:spacing w:line="240" w:lineRule="atLeast"/>
              <w:ind w:firstLine="28"/>
              <w:jc w:val="center"/>
              <w:rPr>
                <w:rFonts w:hint="eastAsia" w:hAnsi="宋体" w:eastAsia="宋体"/>
                <w:color w:val="auto"/>
                <w:sz w:val="24"/>
                <w:szCs w:val="24"/>
                <w:highlight w:val="none"/>
                <w:lang w:eastAsia="zh-CN"/>
              </w:rPr>
            </w:pPr>
            <w:r>
              <w:rPr>
                <w:rFonts w:hint="eastAsia" w:hAnsi="宋体"/>
                <w:color w:val="auto"/>
                <w:sz w:val="24"/>
                <w:szCs w:val="24"/>
                <w:highlight w:val="none"/>
                <w:lang w:val="en-US" w:eastAsia="zh-CN"/>
              </w:rPr>
              <w:t>2</w:t>
            </w:r>
          </w:p>
        </w:tc>
        <w:tc>
          <w:tcPr>
            <w:tcW w:w="6966" w:type="dxa"/>
            <w:vAlign w:val="center"/>
          </w:tcPr>
          <w:p>
            <w:pPr>
              <w:ind w:left="-38"/>
              <w:rPr>
                <w:rFonts w:hAnsi="宋体" w:cs="方正仿宋_GBK"/>
                <w:color w:val="auto"/>
                <w:sz w:val="21"/>
                <w:szCs w:val="21"/>
                <w:highlight w:val="none"/>
              </w:rPr>
            </w:pPr>
            <w:r>
              <w:rPr>
                <w:rFonts w:hint="eastAsia" w:hAnsi="宋体" w:cs="方正仿宋_GBK"/>
                <w:color w:val="auto"/>
                <w:sz w:val="21"/>
                <w:szCs w:val="21"/>
                <w:highlight w:val="none"/>
              </w:rPr>
              <w:t>2020年1月1日至今（以合同签订时间为准），投标人完成过家具项目业绩</w:t>
            </w:r>
            <w:r>
              <w:rPr>
                <w:rFonts w:hint="eastAsia" w:hAnsi="宋体" w:cs="方正仿宋_GBK"/>
                <w:color w:val="auto"/>
                <w:sz w:val="21"/>
                <w:szCs w:val="21"/>
                <w:highlight w:val="none"/>
                <w:lang w:val="en-US" w:eastAsia="zh-CN"/>
              </w:rPr>
              <w:t>,</w:t>
            </w:r>
            <w:r>
              <w:rPr>
                <w:rFonts w:hint="eastAsia" w:hAnsi="宋体" w:cs="方正仿宋_GBK"/>
                <w:color w:val="auto"/>
                <w:sz w:val="21"/>
                <w:szCs w:val="21"/>
                <w:highlight w:val="none"/>
              </w:rPr>
              <w:t>每增加一个销售业绩合同加</w:t>
            </w:r>
            <w:r>
              <w:rPr>
                <w:rFonts w:hint="eastAsia" w:hAnsi="宋体" w:cs="方正仿宋_GBK"/>
                <w:color w:val="auto"/>
                <w:sz w:val="21"/>
                <w:szCs w:val="21"/>
                <w:highlight w:val="none"/>
                <w:lang w:val="en-US" w:eastAsia="zh-CN"/>
              </w:rPr>
              <w:t>0.5</w:t>
            </w:r>
            <w:r>
              <w:rPr>
                <w:rFonts w:hint="eastAsia" w:hAnsi="宋体" w:cs="方正仿宋_GBK"/>
                <w:color w:val="auto"/>
                <w:sz w:val="21"/>
                <w:szCs w:val="21"/>
                <w:highlight w:val="none"/>
              </w:rPr>
              <w:t>分，本项累计最多得</w:t>
            </w:r>
            <w:r>
              <w:rPr>
                <w:rFonts w:hint="eastAsia" w:hAnsi="宋体" w:cs="方正仿宋_GBK"/>
                <w:color w:val="auto"/>
                <w:sz w:val="21"/>
                <w:szCs w:val="21"/>
                <w:highlight w:val="none"/>
                <w:lang w:val="en-US" w:eastAsia="zh-CN"/>
              </w:rPr>
              <w:t>2</w:t>
            </w:r>
            <w:r>
              <w:rPr>
                <w:rFonts w:hint="eastAsia" w:hAnsi="宋体" w:cs="方正仿宋_GBK"/>
                <w:color w:val="auto"/>
                <w:sz w:val="21"/>
                <w:szCs w:val="21"/>
                <w:highlight w:val="none"/>
              </w:rPr>
              <w:t>分。</w:t>
            </w:r>
          </w:p>
          <w:p>
            <w:pPr>
              <w:ind w:left="-38"/>
              <w:rPr>
                <w:rFonts w:hAnsi="宋体"/>
                <w:color w:val="auto"/>
                <w:sz w:val="24"/>
                <w:szCs w:val="24"/>
                <w:highlight w:val="none"/>
              </w:rPr>
            </w:pPr>
            <w:r>
              <w:rPr>
                <w:rFonts w:hint="eastAsia" w:hAnsi="宋体" w:cs="方正仿宋_GBK"/>
                <w:color w:val="auto"/>
                <w:sz w:val="21"/>
                <w:szCs w:val="21"/>
                <w:highlight w:val="none"/>
              </w:rPr>
              <w:t>须提供销售合同</w:t>
            </w:r>
            <w:r>
              <w:rPr>
                <w:rFonts w:hint="eastAsia" w:hAnsi="宋体" w:cs="方正仿宋_GBK"/>
                <w:color w:val="auto"/>
                <w:sz w:val="21"/>
                <w:szCs w:val="21"/>
                <w:highlight w:val="none"/>
                <w:lang w:eastAsia="zh-CN"/>
              </w:rPr>
              <w:t>和</w:t>
            </w:r>
            <w:r>
              <w:rPr>
                <w:rFonts w:hint="eastAsia" w:hAnsi="宋体" w:cs="方正仿宋_GBK"/>
                <w:color w:val="auto"/>
                <w:sz w:val="21"/>
                <w:szCs w:val="21"/>
                <w:highlight w:val="none"/>
              </w:rPr>
              <w:t>销售发票(合同复印件或发票须有产品名称、型号内容，如无将按照无效合同处理)</w:t>
            </w:r>
          </w:p>
        </w:tc>
      </w:tr>
    </w:tbl>
    <w:p>
      <w:pPr>
        <w:rPr>
          <w:color w:val="auto"/>
          <w:highlight w:val="none"/>
        </w:rPr>
      </w:pPr>
    </w:p>
    <w:p>
      <w:pPr>
        <w:pStyle w:val="3"/>
        <w:rPr>
          <w:rFonts w:hint="eastAsia" w:ascii="宋体" w:hAnsi="宋体" w:eastAsia="宋体" w:cs="宋体"/>
          <w:color w:val="auto"/>
          <w:highlight w:val="none"/>
        </w:rPr>
      </w:pPr>
      <w:bookmarkStart w:id="57" w:name="_Toc98942894"/>
      <w:bookmarkStart w:id="58" w:name="_Toc21425658"/>
      <w:r>
        <w:rPr>
          <w:rFonts w:hint="eastAsia"/>
          <w:color w:val="auto"/>
          <w:highlight w:val="none"/>
        </w:rPr>
        <w:t>四、</w:t>
      </w:r>
      <w:r>
        <w:rPr>
          <w:rFonts w:hint="eastAsia" w:ascii="宋体" w:hAnsi="宋体" w:eastAsia="宋体" w:cs="宋体"/>
          <w:color w:val="auto"/>
          <w:highlight w:val="none"/>
        </w:rPr>
        <w:t>无效投标条款</w:t>
      </w:r>
      <w:bookmarkEnd w:id="57"/>
      <w:bookmarkEnd w:id="58"/>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投标人或其</w:t>
      </w:r>
      <w:r>
        <w:rPr>
          <w:rFonts w:hint="eastAsia" w:hAnsi="宋体" w:cs="宋体"/>
          <w:color w:val="auto"/>
          <w:sz w:val="24"/>
          <w:szCs w:val="24"/>
          <w:highlight w:val="none"/>
          <w:lang w:eastAsia="zh-CN"/>
        </w:rPr>
        <w:t>响应文件</w:t>
      </w:r>
      <w:r>
        <w:rPr>
          <w:rFonts w:hint="eastAsia" w:ascii="宋体" w:hAnsi="宋体" w:eastAsia="宋体" w:cs="宋体"/>
          <w:color w:val="auto"/>
          <w:sz w:val="24"/>
          <w:szCs w:val="24"/>
          <w:highlight w:val="none"/>
        </w:rPr>
        <w:t>出现下列情况之一者，应为无效投标：</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（一）未按照</w:t>
      </w:r>
      <w:r>
        <w:rPr>
          <w:rFonts w:hint="eastAsia"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的规定提交投标保证金的；</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r>
        <w:rPr>
          <w:rFonts w:hint="eastAsia" w:hAnsi="宋体" w:cs="宋体"/>
          <w:color w:val="auto"/>
          <w:sz w:val="24"/>
          <w:szCs w:val="24"/>
          <w:highlight w:val="none"/>
          <w:lang w:eastAsia="zh-CN"/>
        </w:rPr>
        <w:t>响应文件</w:t>
      </w:r>
      <w:r>
        <w:rPr>
          <w:rFonts w:hint="eastAsia" w:ascii="宋体" w:hAnsi="宋体" w:eastAsia="宋体" w:cs="宋体"/>
          <w:color w:val="auto"/>
          <w:sz w:val="24"/>
          <w:szCs w:val="24"/>
          <w:highlight w:val="none"/>
        </w:rPr>
        <w:t>未按</w:t>
      </w:r>
      <w:r>
        <w:rPr>
          <w:rFonts w:hint="eastAsia"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要求签署、盖章的；</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（三）不具备</w:t>
      </w:r>
      <w:r>
        <w:rPr>
          <w:rFonts w:hint="eastAsia"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中规定的资格要求的；</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（四）报价超过</w:t>
      </w:r>
      <w:r>
        <w:rPr>
          <w:rFonts w:hint="eastAsia"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中规定的预算金额或者最高限价的；</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（五）</w:t>
      </w:r>
      <w:r>
        <w:rPr>
          <w:rFonts w:hint="eastAsia" w:hAnsi="宋体" w:cs="宋体"/>
          <w:color w:val="auto"/>
          <w:sz w:val="24"/>
          <w:szCs w:val="24"/>
          <w:highlight w:val="none"/>
          <w:lang w:eastAsia="zh-CN"/>
        </w:rPr>
        <w:t>响应文件</w:t>
      </w:r>
      <w:r>
        <w:rPr>
          <w:rFonts w:hint="eastAsia" w:ascii="宋体" w:hAnsi="宋体" w:eastAsia="宋体" w:cs="宋体"/>
          <w:color w:val="auto"/>
          <w:sz w:val="24"/>
          <w:szCs w:val="24"/>
          <w:highlight w:val="none"/>
        </w:rPr>
        <w:t>含有采购人不能接受的附加条件的；</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（六）投标人串通投标的；</w:t>
      </w:r>
    </w:p>
    <w:p>
      <w:pPr>
        <w:snapToGrid w:val="0"/>
        <w:spacing w:line="400" w:lineRule="exact"/>
        <w:ind w:firstLine="480" w:firstLineChars="200"/>
        <w:rPr>
          <w:rFonts w:hint="eastAsia" w:hAnsi="宋体" w:cs="宋体"/>
          <w:color w:val="auto"/>
          <w:sz w:val="24"/>
          <w:szCs w:val="24"/>
          <w:highlight w:val="none"/>
          <w:lang w:eastAsia="zh-CN"/>
        </w:rPr>
      </w:pPr>
      <w:r>
        <w:rPr>
          <w:rFonts w:hint="eastAsia" w:hAnsi="宋体" w:cs="宋体"/>
          <w:color w:val="auto"/>
          <w:sz w:val="24"/>
          <w:szCs w:val="24"/>
          <w:highlight w:val="none"/>
          <w:lang w:eastAsia="zh-CN"/>
        </w:rPr>
        <w:t>（七）投标人组成联合体投标的；</w:t>
      </w:r>
    </w:p>
    <w:p>
      <w:pPr>
        <w:snapToGrid w:val="0"/>
        <w:spacing w:line="400" w:lineRule="exact"/>
        <w:ind w:firstLine="480" w:firstLineChars="200"/>
        <w:rPr>
          <w:rFonts w:hint="eastAsia" w:hAnsi="宋体" w:cs="宋体"/>
          <w:color w:val="auto"/>
          <w:sz w:val="24"/>
          <w:szCs w:val="24"/>
          <w:highlight w:val="none"/>
          <w:lang w:eastAsia="zh-CN"/>
        </w:rPr>
      </w:pPr>
      <w:r>
        <w:rPr>
          <w:rFonts w:hint="eastAsia" w:hAnsi="宋体" w:cs="宋体"/>
          <w:color w:val="auto"/>
          <w:sz w:val="24"/>
          <w:szCs w:val="24"/>
          <w:highlight w:val="none"/>
          <w:lang w:eastAsia="zh-CN"/>
        </w:rPr>
        <w:t>（八）法律、法规和竞争性比选文件规定的其他无效情形。</w:t>
      </w:r>
    </w:p>
    <w:p>
      <w:pPr>
        <w:pStyle w:val="3"/>
        <w:rPr>
          <w:rFonts w:hint="eastAsia" w:ascii="宋体" w:hAnsi="宋体" w:eastAsia="宋体" w:cs="宋体"/>
          <w:color w:val="auto"/>
          <w:highlight w:val="none"/>
        </w:rPr>
      </w:pPr>
      <w:bookmarkStart w:id="59" w:name="_Toc21425659"/>
      <w:bookmarkStart w:id="60" w:name="_Toc98942895"/>
      <w:r>
        <w:rPr>
          <w:rFonts w:hint="eastAsia" w:ascii="宋体" w:hAnsi="宋体" w:eastAsia="宋体" w:cs="宋体"/>
          <w:color w:val="auto"/>
          <w:highlight w:val="none"/>
        </w:rPr>
        <w:t>五、废标条款</w:t>
      </w:r>
      <w:bookmarkEnd w:id="59"/>
      <w:bookmarkEnd w:id="60"/>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评标委员会评审时出现以下情况之一的，应予废标：</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（一）符合专业条件的投标人或者对</w:t>
      </w:r>
      <w:r>
        <w:rPr>
          <w:rFonts w:hint="eastAsia"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作实质响应的投标人不足三家的；</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（二）投标人的报价均超过了采购预算，采购人不能支付的；</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（三）出现影响采购公正的违法、违规行为的；</w:t>
      </w:r>
    </w:p>
    <w:p>
      <w:pPr>
        <w:snapToGrid w:val="0"/>
        <w:spacing w:line="4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（四）因重大变故，采购任务取消的。</w:t>
      </w:r>
    </w:p>
    <w:p>
      <w:pPr>
        <w:snapToGrid w:val="0"/>
        <w:spacing w:line="400" w:lineRule="exact"/>
        <w:ind w:firstLine="480" w:firstLineChars="200"/>
        <w:rPr>
          <w:rFonts w:ascii="方正仿宋_GBK" w:hAnsi="宋体" w:eastAsia="方正仿宋_GBK"/>
          <w:color w:val="auto"/>
          <w:sz w:val="24"/>
          <w:szCs w:val="24"/>
          <w:highlight w:val="none"/>
        </w:rPr>
      </w:pPr>
      <w:r>
        <w:rPr>
          <w:rFonts w:hint="eastAsia" w:ascii="宋体" w:hAnsi="宋体" w:eastAsia="宋体" w:cs="宋体"/>
          <w:color w:val="auto"/>
          <w:sz w:val="24"/>
          <w:szCs w:val="24"/>
          <w:highlight w:val="none"/>
        </w:rPr>
        <w:t>废标后，除采购任务取消情形外，应当重新组织采购。</w:t>
      </w:r>
    </w:p>
    <w:p>
      <w:pPr>
        <w:rPr>
          <w:rFonts w:hint="eastAsia" w:ascii="宋体" w:hAnsi="宋体" w:eastAsia="宋体"/>
          <w:b w:val="0"/>
          <w:color w:val="auto"/>
          <w:highlight w:val="none"/>
        </w:rPr>
      </w:pPr>
      <w:bookmarkStart w:id="61" w:name="_Toc21425660"/>
      <w:bookmarkStart w:id="62" w:name="_Toc98942896"/>
      <w:r>
        <w:rPr>
          <w:rFonts w:hint="eastAsia" w:ascii="宋体" w:hAnsi="宋体" w:eastAsia="宋体"/>
          <w:b w:val="0"/>
          <w:color w:val="auto"/>
          <w:highlight w:val="none"/>
        </w:rPr>
        <w:br w:type="page"/>
      </w:r>
    </w:p>
    <w:p>
      <w:pPr>
        <w:pStyle w:val="2"/>
        <w:tabs>
          <w:tab w:val="left" w:pos="3360"/>
        </w:tabs>
        <w:spacing w:line="360" w:lineRule="auto"/>
        <w:rPr>
          <w:rFonts w:ascii="宋体" w:hAnsi="宋体" w:eastAsia="宋体"/>
          <w:b w:val="0"/>
          <w:color w:val="auto"/>
          <w:highlight w:val="none"/>
        </w:rPr>
      </w:pPr>
      <w:r>
        <w:rPr>
          <w:rFonts w:hint="eastAsia" w:ascii="宋体" w:hAnsi="宋体" w:eastAsia="宋体"/>
          <w:b w:val="0"/>
          <w:color w:val="auto"/>
          <w:highlight w:val="none"/>
        </w:rPr>
        <w:t>第五篇  投标人须知</w:t>
      </w:r>
      <w:bookmarkEnd w:id="61"/>
      <w:bookmarkEnd w:id="62"/>
    </w:p>
    <w:p>
      <w:pPr>
        <w:pStyle w:val="3"/>
        <w:rPr>
          <w:rFonts w:hint="eastAsia" w:ascii="宋体" w:hAnsi="宋体" w:eastAsia="宋体" w:cs="宋体"/>
          <w:color w:val="auto"/>
          <w:highlight w:val="none"/>
        </w:rPr>
      </w:pPr>
      <w:bookmarkStart w:id="63" w:name="_Toc98942897"/>
      <w:bookmarkStart w:id="64" w:name="_Toc21425661"/>
      <w:r>
        <w:rPr>
          <w:rFonts w:hint="eastAsia"/>
          <w:color w:val="auto"/>
          <w:highlight w:val="none"/>
        </w:rPr>
        <w:t>一、</w:t>
      </w:r>
      <w:r>
        <w:rPr>
          <w:rFonts w:hint="eastAsia" w:ascii="宋体" w:hAnsi="宋体" w:eastAsia="宋体" w:cs="宋体"/>
          <w:color w:val="auto"/>
          <w:highlight w:val="none"/>
        </w:rPr>
        <w:t>投标人</w:t>
      </w:r>
      <w:bookmarkEnd w:id="63"/>
      <w:bookmarkEnd w:id="64"/>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（一）投标人</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投标人是指响应招标、参加投标竞争的法人、其他组织或者自然人。</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（二）合格投标人条件</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合格投标人应完全符合</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第一篇中规定的投标人资格条件，并对</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作出实质性响应。</w:t>
      </w:r>
    </w:p>
    <w:p>
      <w:pPr>
        <w:snapToGrid w:val="0"/>
        <w:spacing w:line="400" w:lineRule="exact"/>
        <w:ind w:firstLine="480" w:firstLineChars="200"/>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（三）投标人的风险</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投标人没有按照</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要求提供全部资料，或者投标人没有对</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在各方面作出实质性响应，可能导致投标被拒绝或评定为无效投标。</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（四）法律责任</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投标人违反《中华人民共和国政府采购法》、《中华人民共和国政府采购实施条例》等相关规定，将按规定追究投标人法律责任。</w:t>
      </w:r>
    </w:p>
    <w:p>
      <w:pPr>
        <w:pStyle w:val="3"/>
        <w:rPr>
          <w:rFonts w:hint="eastAsia" w:ascii="宋体" w:hAnsi="宋体" w:eastAsia="宋体" w:cs="宋体"/>
          <w:color w:val="auto"/>
          <w:highlight w:val="none"/>
          <w:lang w:eastAsia="zh-CN"/>
        </w:rPr>
      </w:pPr>
      <w:bookmarkStart w:id="65" w:name="_Toc21425662"/>
      <w:bookmarkStart w:id="66" w:name="_Toc98942898"/>
      <w:r>
        <w:rPr>
          <w:rFonts w:hint="eastAsia" w:ascii="宋体" w:hAnsi="宋体" w:eastAsia="宋体" w:cs="宋体"/>
          <w:color w:val="auto"/>
          <w:highlight w:val="none"/>
        </w:rPr>
        <w:t>二、</w:t>
      </w:r>
      <w:bookmarkEnd w:id="65"/>
      <w:bookmarkEnd w:id="66"/>
      <w:r>
        <w:rPr>
          <w:rFonts w:hint="eastAsia" w:ascii="宋体" w:hAnsi="宋体" w:cs="宋体"/>
          <w:color w:val="auto"/>
          <w:highlight w:val="none"/>
          <w:lang w:eastAsia="zh-CN"/>
        </w:rPr>
        <w:t>竞争性比选文件</w:t>
      </w:r>
    </w:p>
    <w:p>
      <w:pPr>
        <w:snapToGrid w:val="0"/>
        <w:spacing w:line="400" w:lineRule="exact"/>
        <w:ind w:firstLine="480" w:firstLineChars="200"/>
        <w:rPr>
          <w:rFonts w:hint="eastAsia" w:ascii="宋体" w:hAnsi="宋体" w:eastAsia="宋体" w:cs="宋体"/>
          <w:color w:val="auto"/>
          <w:sz w:val="24"/>
          <w:highlight w:val="none"/>
        </w:rPr>
      </w:pP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是投标人编制</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的依据，是评标委员会评判依据和标准。</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也是采购人与中标人签订合同的基础。</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（一）</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由投标邀请书；项目技术规格、数量及质量要求；商务条款；投标人须知；评标方法、评标标准、无效投标条款和废标条款；</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格式等部分组成。</w:t>
      </w:r>
    </w:p>
    <w:p>
      <w:pPr>
        <w:snapToGrid w:val="0"/>
        <w:spacing w:line="400" w:lineRule="exact"/>
        <w:ind w:firstLine="480"/>
        <w:rPr>
          <w:rFonts w:hint="eastAsia" w:ascii="宋体" w:hAnsi="宋体" w:eastAsia="宋体" w:cs="宋体"/>
          <w:color w:val="auto"/>
          <w:sz w:val="24"/>
          <w:highlight w:val="none"/>
        </w:rPr>
      </w:pPr>
      <w:r>
        <w:rPr>
          <w:rFonts w:hint="eastAsia" w:ascii="宋体" w:hAnsi="宋体" w:eastAsia="宋体" w:cs="宋体"/>
          <w:color w:val="auto"/>
          <w:sz w:val="24"/>
          <w:szCs w:val="28"/>
          <w:highlight w:val="none"/>
        </w:rPr>
        <w:t>（二）</w:t>
      </w:r>
      <w:r>
        <w:rPr>
          <w:rFonts w:hint="eastAsia" w:ascii="宋体" w:hAnsi="宋体" w:eastAsia="宋体" w:cs="宋体"/>
          <w:color w:val="auto"/>
          <w:sz w:val="24"/>
          <w:highlight w:val="none"/>
        </w:rPr>
        <w:t>采购人对</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所作的一切有效的书面通知、修改及补充，都是</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不可分割的部分。</w:t>
      </w:r>
    </w:p>
    <w:p>
      <w:pPr>
        <w:snapToGrid w:val="0"/>
        <w:spacing w:line="400" w:lineRule="exact"/>
        <w:ind w:firstLine="480"/>
        <w:rPr>
          <w:rFonts w:hint="eastAsia" w:ascii="宋体" w:hAnsi="宋体" w:eastAsia="宋体" w:cs="宋体"/>
          <w:color w:val="auto"/>
          <w:sz w:val="24"/>
          <w:highlight w:val="none"/>
        </w:rPr>
      </w:pPr>
      <w:r>
        <w:rPr>
          <w:rFonts w:hint="eastAsia" w:ascii="宋体" w:hAnsi="宋体" w:eastAsia="宋体" w:cs="宋体"/>
          <w:color w:val="auto"/>
          <w:sz w:val="24"/>
          <w:highlight w:val="none"/>
        </w:rPr>
        <w:t>（三）</w:t>
      </w:r>
      <w:r>
        <w:rPr>
          <w:rFonts w:hint="eastAsia" w:ascii="宋体" w:hAnsi="宋体" w:eastAsia="宋体" w:cs="宋体"/>
          <w:color w:val="auto"/>
          <w:sz w:val="24"/>
          <w:szCs w:val="24"/>
          <w:highlight w:val="none"/>
        </w:rPr>
        <w:t>本项目的</w:t>
      </w:r>
      <w:r>
        <w:rPr>
          <w:rFonts w:hint="eastAsia"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、补遗文件（如果有）一律在重庆医科大学附属口腔医院官网、行采家、中国采购招标网上发布，请各投标人注意下载领取；无论投标人下载或领取与否，均视同投标人已知晓本项目</w:t>
      </w:r>
      <w:r>
        <w:rPr>
          <w:rFonts w:hint="eastAsia" w:hAnsi="宋体" w:cs="宋体"/>
          <w:color w:val="auto"/>
          <w:sz w:val="24"/>
          <w:szCs w:val="24"/>
          <w:highlight w:val="none"/>
          <w:lang w:eastAsia="zh-CN"/>
        </w:rPr>
        <w:t>竞争性比选文件</w:t>
      </w:r>
      <w:r>
        <w:rPr>
          <w:rFonts w:hint="eastAsia" w:ascii="宋体" w:hAnsi="宋体" w:eastAsia="宋体" w:cs="宋体"/>
          <w:color w:val="auto"/>
          <w:sz w:val="24"/>
          <w:szCs w:val="24"/>
          <w:highlight w:val="none"/>
        </w:rPr>
        <w:t>、补遗文件的内容。</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（四）采购人对已发出的</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需要进行澄清或修改的，应以书面形式或公告形式通知所有</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收受人。该澄清或者修改的内容为</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的组成部分。</w:t>
      </w:r>
    </w:p>
    <w:p>
      <w:pPr>
        <w:pStyle w:val="3"/>
        <w:rPr>
          <w:rFonts w:hint="eastAsia" w:ascii="宋体" w:hAnsi="宋体" w:eastAsia="宋体" w:cs="宋体"/>
          <w:color w:val="auto"/>
          <w:highlight w:val="none"/>
          <w:lang w:eastAsia="zh-CN"/>
        </w:rPr>
      </w:pPr>
      <w:bookmarkStart w:id="67" w:name="_Toc98942899"/>
      <w:bookmarkStart w:id="68" w:name="_Toc21425663"/>
      <w:r>
        <w:rPr>
          <w:rFonts w:hint="eastAsia" w:ascii="宋体" w:hAnsi="宋体" w:eastAsia="宋体" w:cs="宋体"/>
          <w:color w:val="auto"/>
          <w:highlight w:val="none"/>
        </w:rPr>
        <w:t>三、</w:t>
      </w:r>
      <w:bookmarkEnd w:id="67"/>
      <w:bookmarkEnd w:id="68"/>
      <w:r>
        <w:rPr>
          <w:rFonts w:hint="eastAsia" w:ascii="宋体" w:hAnsi="宋体" w:cs="宋体"/>
          <w:color w:val="auto"/>
          <w:highlight w:val="none"/>
          <w:lang w:eastAsia="zh-CN"/>
        </w:rPr>
        <w:t>响应文件</w:t>
      </w:r>
    </w:p>
    <w:p>
      <w:pPr>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投标人应当按照</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的要求编制</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，并对</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提出的要求和条件作出实质性响应，</w:t>
      </w:r>
      <w:r>
        <w:rPr>
          <w:rFonts w:hint="eastAsia" w:hAnsi="宋体" w:cs="宋体"/>
          <w:color w:val="auto"/>
          <w:highlight w:val="none"/>
          <w:lang w:eastAsia="zh-CN"/>
        </w:rPr>
        <w:t>响应文件</w:t>
      </w:r>
      <w:r>
        <w:rPr>
          <w:rFonts w:hint="eastAsia" w:ascii="宋体" w:hAnsi="宋体" w:eastAsia="宋体" w:cs="宋体"/>
          <w:color w:val="auto"/>
          <w:highlight w:val="none"/>
        </w:rPr>
        <w:t>原则上采用软面胶装（不得采用穿孔式、文件夹式活页装订），同时应编制完整的封面、页码、目录。</w:t>
      </w:r>
    </w:p>
    <w:p>
      <w:pPr>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（一）</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组成</w:t>
      </w:r>
    </w:p>
    <w:p>
      <w:pPr>
        <w:spacing w:line="400" w:lineRule="exact"/>
        <w:ind w:firstLine="480" w:firstLineChars="200"/>
        <w:rPr>
          <w:rFonts w:hint="eastAsia" w:ascii="宋体" w:hAnsi="宋体" w:eastAsia="宋体" w:cs="宋体"/>
          <w:color w:val="auto"/>
          <w:sz w:val="24"/>
          <w:highlight w:val="none"/>
        </w:rPr>
      </w:pP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由第</w:t>
      </w:r>
      <w:r>
        <w:rPr>
          <w:rFonts w:hint="eastAsia" w:ascii="宋体" w:hAnsi="宋体" w:eastAsia="宋体" w:cs="宋体"/>
          <w:color w:val="auto"/>
          <w:sz w:val="24"/>
          <w:highlight w:val="none"/>
          <w:lang w:eastAsia="zh-CN"/>
        </w:rPr>
        <w:t>六</w:t>
      </w:r>
      <w:r>
        <w:rPr>
          <w:rFonts w:hint="eastAsia" w:ascii="宋体" w:hAnsi="宋体" w:eastAsia="宋体" w:cs="宋体"/>
          <w:color w:val="auto"/>
          <w:sz w:val="24"/>
          <w:highlight w:val="none"/>
        </w:rPr>
        <w:t>篇“</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格式”规定的部分和投标人所作的一切有效补充、修改和承诺等文件组成，投标人应按照第</w:t>
      </w:r>
      <w:r>
        <w:rPr>
          <w:rFonts w:hint="eastAsia" w:ascii="宋体" w:hAnsi="宋体" w:eastAsia="宋体" w:cs="宋体"/>
          <w:color w:val="auto"/>
          <w:sz w:val="24"/>
          <w:highlight w:val="none"/>
          <w:lang w:eastAsia="zh-CN"/>
        </w:rPr>
        <w:t>六</w:t>
      </w:r>
      <w:r>
        <w:rPr>
          <w:rFonts w:hint="eastAsia" w:ascii="宋体" w:hAnsi="宋体" w:eastAsia="宋体" w:cs="宋体"/>
          <w:color w:val="auto"/>
          <w:sz w:val="24"/>
          <w:highlight w:val="none"/>
        </w:rPr>
        <w:t>篇“</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格式”规定的目录顺序组织编写和装订，否则有可能影响评委对</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的评审。</w:t>
      </w:r>
    </w:p>
    <w:p>
      <w:pPr>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（二）投标有效期</w:t>
      </w:r>
    </w:p>
    <w:p>
      <w:pPr>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投标有效期为投标截止日期起九十天内。</w:t>
      </w:r>
    </w:p>
    <w:p>
      <w:pPr>
        <w:snapToGrid w:val="0"/>
        <w:spacing w:line="400" w:lineRule="exact"/>
        <w:ind w:firstLine="470" w:firstLineChars="196"/>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（四）</w:t>
      </w:r>
      <w:r>
        <w:rPr>
          <w:rFonts w:hint="eastAsia" w:hAnsi="宋体" w:cs="宋体"/>
          <w:bCs/>
          <w:color w:val="auto"/>
          <w:sz w:val="24"/>
          <w:highlight w:val="none"/>
          <w:lang w:eastAsia="zh-CN"/>
        </w:rPr>
        <w:t>响应文件</w:t>
      </w:r>
      <w:r>
        <w:rPr>
          <w:rFonts w:hint="eastAsia" w:ascii="宋体" w:hAnsi="宋体" w:eastAsia="宋体" w:cs="宋体"/>
          <w:bCs/>
          <w:color w:val="auto"/>
          <w:sz w:val="24"/>
          <w:highlight w:val="none"/>
        </w:rPr>
        <w:t>的份数和签署</w:t>
      </w:r>
    </w:p>
    <w:p>
      <w:pPr>
        <w:tabs>
          <w:tab w:val="left" w:pos="0"/>
        </w:tabs>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一式二份，其中正本一份，副本一份。每套纸质</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须在封面清楚地标明“正本”、“副本”，副本应为正本的完整复印件，副本与正本不一致时以正本为准。</w:t>
      </w:r>
    </w:p>
    <w:p>
      <w:pPr>
        <w:tabs>
          <w:tab w:val="left" w:pos="0"/>
        </w:tabs>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2.在</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正本中，</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第</w:t>
      </w:r>
      <w:r>
        <w:rPr>
          <w:rFonts w:hint="eastAsia" w:ascii="宋体" w:hAnsi="宋体" w:eastAsia="宋体" w:cs="宋体"/>
          <w:color w:val="auto"/>
          <w:sz w:val="24"/>
          <w:highlight w:val="none"/>
          <w:lang w:eastAsia="zh-CN"/>
        </w:rPr>
        <w:t>六</w:t>
      </w:r>
      <w:r>
        <w:rPr>
          <w:rFonts w:hint="eastAsia" w:ascii="宋体" w:hAnsi="宋体" w:eastAsia="宋体" w:cs="宋体"/>
          <w:color w:val="auto"/>
          <w:sz w:val="24"/>
          <w:highlight w:val="none"/>
        </w:rPr>
        <w:t>篇</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格式中规定签字、盖章的地方必须按其规定签字、盖章。</w:t>
      </w:r>
    </w:p>
    <w:p>
      <w:pPr>
        <w:tabs>
          <w:tab w:val="left" w:pos="0"/>
        </w:tabs>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3.若投标人对</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的错处作必要修改，则应在修改处加盖投标人公章或由</w:t>
      </w:r>
      <w:r>
        <w:rPr>
          <w:rFonts w:hint="eastAsia" w:ascii="宋体" w:hAnsi="宋体" w:eastAsia="宋体" w:cs="宋体"/>
          <w:color w:val="auto"/>
          <w:sz w:val="24"/>
          <w:szCs w:val="28"/>
          <w:highlight w:val="none"/>
        </w:rPr>
        <w:t>法定代表人</w:t>
      </w:r>
      <w:r>
        <w:rPr>
          <w:rFonts w:hint="eastAsia" w:ascii="宋体" w:hAnsi="宋体" w:eastAsia="宋体" w:cs="宋体"/>
          <w:color w:val="auto"/>
          <w:sz w:val="24"/>
          <w:highlight w:val="none"/>
        </w:rPr>
        <w:t>或</w:t>
      </w:r>
      <w:r>
        <w:rPr>
          <w:rFonts w:hint="eastAsia" w:ascii="宋体" w:hAnsi="宋体" w:eastAsia="宋体" w:cs="宋体"/>
          <w:color w:val="auto"/>
          <w:sz w:val="24"/>
          <w:szCs w:val="28"/>
          <w:highlight w:val="none"/>
        </w:rPr>
        <w:t>法定代表人</w:t>
      </w:r>
      <w:r>
        <w:rPr>
          <w:rFonts w:hint="eastAsia" w:ascii="宋体" w:hAnsi="宋体" w:eastAsia="宋体" w:cs="宋体"/>
          <w:color w:val="auto"/>
          <w:sz w:val="24"/>
          <w:highlight w:val="none"/>
        </w:rPr>
        <w:t>授权代表签字确认。</w:t>
      </w:r>
    </w:p>
    <w:p>
      <w:pPr>
        <w:snapToGrid w:val="0"/>
        <w:spacing w:line="400" w:lineRule="exact"/>
        <w:ind w:firstLine="470" w:firstLineChars="196"/>
        <w:jc w:val="left"/>
        <w:rPr>
          <w:rFonts w:hint="eastAsia" w:ascii="宋体" w:hAnsi="宋体" w:eastAsia="宋体" w:cs="宋体"/>
          <w:bCs/>
          <w:color w:val="auto"/>
          <w:sz w:val="24"/>
          <w:highlight w:val="none"/>
        </w:rPr>
      </w:pPr>
      <w:r>
        <w:rPr>
          <w:rFonts w:hint="eastAsia" w:ascii="宋体" w:hAnsi="宋体" w:eastAsia="宋体" w:cs="宋体"/>
          <w:color w:val="auto"/>
          <w:sz w:val="24"/>
          <w:highlight w:val="none"/>
        </w:rPr>
        <w:t>4.电报、电话、传真形式的</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概不接受。</w:t>
      </w:r>
    </w:p>
    <w:p>
      <w:pPr>
        <w:snapToGrid w:val="0"/>
        <w:spacing w:line="400" w:lineRule="exact"/>
        <w:ind w:firstLine="470" w:firstLineChars="196"/>
        <w:jc w:val="left"/>
        <w:rPr>
          <w:rFonts w:hint="eastAsia" w:ascii="宋体" w:hAnsi="宋体" w:eastAsia="宋体" w:cs="宋体"/>
          <w:bCs/>
          <w:color w:val="auto"/>
          <w:sz w:val="24"/>
          <w:highlight w:val="none"/>
        </w:rPr>
      </w:pPr>
      <w:r>
        <w:rPr>
          <w:rFonts w:hint="eastAsia" w:ascii="宋体" w:hAnsi="宋体" w:eastAsia="宋体" w:cs="宋体"/>
          <w:bCs/>
          <w:color w:val="auto"/>
          <w:sz w:val="24"/>
          <w:highlight w:val="none"/>
        </w:rPr>
        <w:t>（五）投标报价</w:t>
      </w:r>
    </w:p>
    <w:p>
      <w:pPr>
        <w:snapToGrid w:val="0"/>
        <w:spacing w:line="400" w:lineRule="exact"/>
        <w:ind w:firstLine="470" w:firstLineChars="196"/>
        <w:jc w:val="left"/>
        <w:rPr>
          <w:rFonts w:hint="eastAsia" w:ascii="宋体" w:hAnsi="宋体" w:eastAsia="宋体" w:cs="宋体"/>
          <w:color w:val="auto"/>
          <w:sz w:val="24"/>
          <w:highlight w:val="none"/>
        </w:rPr>
      </w:pPr>
      <w:r>
        <w:rPr>
          <w:rFonts w:hint="eastAsia" w:ascii="宋体" w:hAnsi="宋体" w:eastAsia="宋体" w:cs="宋体"/>
          <w:bCs/>
          <w:color w:val="auto"/>
          <w:sz w:val="24"/>
          <w:highlight w:val="none"/>
        </w:rPr>
        <w:t>1.投标人应严格按照“</w:t>
      </w:r>
      <w:r>
        <w:rPr>
          <w:rFonts w:hint="eastAsia" w:hAnsi="宋体" w:cs="宋体"/>
          <w:bCs/>
          <w:color w:val="auto"/>
          <w:sz w:val="24"/>
          <w:highlight w:val="none"/>
          <w:lang w:eastAsia="zh-CN"/>
        </w:rPr>
        <w:t>响应文件</w:t>
      </w:r>
      <w:r>
        <w:rPr>
          <w:rFonts w:hint="eastAsia" w:ascii="宋体" w:hAnsi="宋体" w:eastAsia="宋体" w:cs="宋体"/>
          <w:bCs/>
          <w:color w:val="auto"/>
          <w:sz w:val="24"/>
          <w:highlight w:val="none"/>
        </w:rPr>
        <w:t>格式”中“</w:t>
      </w:r>
      <w:r>
        <w:rPr>
          <w:rFonts w:hint="eastAsia" w:hAnsi="宋体" w:cs="宋体"/>
          <w:bCs/>
          <w:color w:val="auto"/>
          <w:sz w:val="24"/>
          <w:highlight w:val="none"/>
          <w:lang w:eastAsia="zh-CN"/>
        </w:rPr>
        <w:t>采购项目</w:t>
      </w:r>
      <w:r>
        <w:rPr>
          <w:rFonts w:hint="eastAsia" w:ascii="宋体" w:hAnsi="宋体" w:eastAsia="宋体" w:cs="宋体"/>
          <w:bCs/>
          <w:color w:val="auto"/>
          <w:sz w:val="24"/>
          <w:highlight w:val="none"/>
        </w:rPr>
        <w:t>一览表”和“分项报价明细表”</w:t>
      </w:r>
      <w:r>
        <w:rPr>
          <w:rFonts w:hint="eastAsia" w:ascii="宋体" w:hAnsi="宋体" w:eastAsia="宋体" w:cs="宋体"/>
          <w:color w:val="auto"/>
          <w:sz w:val="24"/>
          <w:highlight w:val="none"/>
        </w:rPr>
        <w:t>的格式填写报价。</w:t>
      </w:r>
    </w:p>
    <w:p>
      <w:pPr>
        <w:snapToGrid w:val="0"/>
        <w:spacing w:line="400" w:lineRule="exact"/>
        <w:ind w:left="3" w:leftChars="1"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2.投标人的报价为一次性报价，即在投标有效期内投标价格固定不变。</w:t>
      </w:r>
    </w:p>
    <w:p>
      <w:pPr>
        <w:snapToGrid w:val="0"/>
        <w:spacing w:line="400" w:lineRule="exact"/>
        <w:ind w:left="3" w:leftChars="1"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3.本项目只接受一个投标报价，有选择的或有条件的报价将不予接受。</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（六）修正错误</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若</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出现计算或表达上的错误，修正错误的原则如下：</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中</w:t>
      </w:r>
      <w:r>
        <w:rPr>
          <w:rFonts w:hint="eastAsia" w:hAnsi="宋体" w:cs="宋体"/>
          <w:color w:val="auto"/>
          <w:sz w:val="24"/>
          <w:highlight w:val="none"/>
          <w:lang w:eastAsia="zh-CN"/>
        </w:rPr>
        <w:t>采购项目一览表</w:t>
      </w:r>
      <w:r>
        <w:rPr>
          <w:rFonts w:hint="eastAsia" w:ascii="宋体" w:hAnsi="宋体" w:eastAsia="宋体" w:cs="宋体"/>
          <w:color w:val="auto"/>
          <w:sz w:val="24"/>
          <w:highlight w:val="none"/>
        </w:rPr>
        <w:t>（报价表）内容与</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中相应内容不一致的，以</w:t>
      </w:r>
      <w:r>
        <w:rPr>
          <w:rFonts w:hint="eastAsia" w:hAnsi="宋体" w:cs="宋体"/>
          <w:color w:val="auto"/>
          <w:sz w:val="24"/>
          <w:highlight w:val="none"/>
          <w:lang w:eastAsia="zh-CN"/>
        </w:rPr>
        <w:t>采购项目一览表</w:t>
      </w:r>
      <w:r>
        <w:rPr>
          <w:rFonts w:hint="eastAsia" w:ascii="宋体" w:hAnsi="宋体" w:eastAsia="宋体" w:cs="宋体"/>
          <w:color w:val="auto"/>
          <w:sz w:val="24"/>
          <w:highlight w:val="none"/>
        </w:rPr>
        <w:t>（报价表）为准；</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2.大写金额和小写金额不一致的，以大写金额为准；</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3.单价金额小数点或者百分比有明显错位的，以</w:t>
      </w:r>
      <w:r>
        <w:rPr>
          <w:rFonts w:hint="eastAsia" w:hAnsi="宋体" w:cs="宋体"/>
          <w:color w:val="auto"/>
          <w:sz w:val="24"/>
          <w:highlight w:val="none"/>
          <w:lang w:eastAsia="zh-CN"/>
        </w:rPr>
        <w:t>采购项目一览表</w:t>
      </w:r>
      <w:r>
        <w:rPr>
          <w:rFonts w:hint="eastAsia" w:ascii="宋体" w:hAnsi="宋体" w:eastAsia="宋体" w:cs="宋体"/>
          <w:color w:val="auto"/>
          <w:sz w:val="24"/>
          <w:highlight w:val="none"/>
        </w:rPr>
        <w:t>的总价为准，并修改单价；</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4.总价金额与按单价汇总金额不一致的，以两者中较小的为准。</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评标委员会按上述修正错误的原则及方法调整或修正投标人投标报价，若同时出现两种以上不一致的，按照前款规定的顺序修正，投标人同意并签字确认后，调整后的投标报价对投标人具有约束作用。如果投标人不接受修正后的报价，则其投标将作为无效投标处理。</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（七）</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的递交</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的密封与标记</w:t>
      </w:r>
    </w:p>
    <w:p>
      <w:pPr>
        <w:pStyle w:val="7"/>
        <w:spacing w:line="400" w:lineRule="exact"/>
        <w:ind w:firstLine="480" w:firstLineChars="200"/>
        <w:rPr>
          <w:rFonts w:hint="eastAsia" w:ascii="宋体" w:hAnsi="宋体" w:eastAsia="宋体" w:cs="宋体"/>
          <w:color w:val="auto"/>
          <w:sz w:val="24"/>
          <w:highlight w:val="none"/>
        </w:rPr>
      </w:pP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的正本、副本以均应密封送达投标地点，应在封套上注明项目名称、投标人名称。若正本、副本分别进行密封的，还应在封套上注明“正本”、“副本”字样。</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2.如果</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通过邮寄递交，投标人应将</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用内、外两层封套密封。</w:t>
      </w:r>
    </w:p>
    <w:p>
      <w:pPr>
        <w:pStyle w:val="7"/>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3.如果未按上述规定进行密封和标记，采购代理机构对</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误投、丢失或提前拆封不负责任。</w:t>
      </w:r>
    </w:p>
    <w:p>
      <w:pPr>
        <w:pStyle w:val="3"/>
        <w:rPr>
          <w:rFonts w:hint="eastAsia" w:ascii="宋体" w:hAnsi="宋体" w:eastAsia="宋体" w:cs="宋体"/>
          <w:color w:val="auto"/>
          <w:highlight w:val="none"/>
        </w:rPr>
      </w:pPr>
      <w:bookmarkStart w:id="69" w:name="_Toc21425665"/>
      <w:bookmarkStart w:id="70" w:name="_Toc98942900"/>
      <w:r>
        <w:rPr>
          <w:rFonts w:hint="eastAsia" w:ascii="宋体" w:hAnsi="宋体" w:eastAsia="宋体" w:cs="宋体"/>
          <w:color w:val="auto"/>
          <w:highlight w:val="none"/>
        </w:rPr>
        <w:t>四、评标</w:t>
      </w:r>
      <w:bookmarkEnd w:id="69"/>
      <w:bookmarkEnd w:id="70"/>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见第四篇“评标”内容。</w:t>
      </w:r>
    </w:p>
    <w:p>
      <w:pPr>
        <w:pStyle w:val="3"/>
        <w:rPr>
          <w:rFonts w:hint="eastAsia" w:ascii="宋体" w:hAnsi="宋体" w:eastAsia="宋体" w:cs="宋体"/>
          <w:color w:val="auto"/>
          <w:highlight w:val="none"/>
        </w:rPr>
      </w:pPr>
      <w:bookmarkStart w:id="71" w:name="_Toc98942901"/>
      <w:bookmarkStart w:id="72" w:name="_Toc21425666"/>
      <w:r>
        <w:rPr>
          <w:rFonts w:hint="eastAsia" w:ascii="宋体" w:hAnsi="宋体" w:eastAsia="宋体" w:cs="宋体"/>
          <w:color w:val="auto"/>
          <w:highlight w:val="none"/>
        </w:rPr>
        <w:t>五、定标</w:t>
      </w:r>
      <w:bookmarkEnd w:id="71"/>
      <w:bookmarkEnd w:id="72"/>
    </w:p>
    <w:p>
      <w:pPr>
        <w:pStyle w:val="7"/>
        <w:spacing w:line="400" w:lineRule="exact"/>
        <w:ind w:firstLine="480" w:firstLineChars="200"/>
        <w:rPr>
          <w:rFonts w:hint="eastAsia" w:ascii="宋体" w:hAnsi="宋体" w:eastAsia="宋体" w:cs="宋体"/>
          <w:color w:val="auto"/>
          <w:sz w:val="24"/>
          <w:highlight w:val="none"/>
        </w:rPr>
      </w:pPr>
      <w:bookmarkStart w:id="73" w:name="_Toc21425668"/>
      <w:r>
        <w:rPr>
          <w:rFonts w:hint="eastAsia" w:ascii="宋体" w:hAnsi="宋体" w:eastAsia="宋体" w:cs="宋体"/>
          <w:color w:val="auto"/>
          <w:sz w:val="24"/>
          <w:highlight w:val="none"/>
        </w:rPr>
        <w:t>根据投标书提供的资格文件、投标报价书、优惠条件等多方面因素进行全面比较，综合优势领先者中标。比较结束后，招标方仅对中标者发出通知。招标方有权对落标者不做落标说明和解释。</w:t>
      </w:r>
    </w:p>
    <w:p>
      <w:pPr>
        <w:pStyle w:val="3"/>
        <w:rPr>
          <w:rFonts w:hint="eastAsia" w:ascii="宋体" w:hAnsi="宋体" w:eastAsia="宋体" w:cs="宋体"/>
          <w:color w:val="auto"/>
          <w:highlight w:val="none"/>
        </w:rPr>
      </w:pPr>
      <w:bookmarkStart w:id="74" w:name="_Toc98942902"/>
      <w:r>
        <w:rPr>
          <w:rFonts w:hint="eastAsia" w:ascii="宋体" w:hAnsi="宋体" w:eastAsia="宋体" w:cs="宋体"/>
          <w:color w:val="auto"/>
          <w:highlight w:val="none"/>
        </w:rPr>
        <w:t>六、询问、质疑和投诉</w:t>
      </w:r>
      <w:bookmarkEnd w:id="73"/>
      <w:bookmarkEnd w:id="74"/>
    </w:p>
    <w:p>
      <w:pPr>
        <w:spacing w:line="400" w:lineRule="exact"/>
        <w:ind w:right="12" w:firstLine="480"/>
        <w:rPr>
          <w:rFonts w:hint="eastAsia" w:ascii="宋体" w:hAnsi="宋体" w:eastAsia="宋体" w:cs="宋体"/>
          <w:color w:val="auto"/>
          <w:sz w:val="24"/>
          <w:highlight w:val="none"/>
        </w:rPr>
      </w:pPr>
      <w:r>
        <w:rPr>
          <w:rFonts w:hint="eastAsia" w:ascii="宋体" w:hAnsi="宋体" w:eastAsia="宋体" w:cs="宋体"/>
          <w:color w:val="auto"/>
          <w:sz w:val="24"/>
          <w:highlight w:val="none"/>
        </w:rPr>
        <w:t>（一）询问</w:t>
      </w:r>
    </w:p>
    <w:p>
      <w:pPr>
        <w:spacing w:line="400" w:lineRule="exact"/>
        <w:ind w:right="12" w:firstLine="480"/>
        <w:rPr>
          <w:rFonts w:hint="eastAsia" w:ascii="宋体" w:hAnsi="宋体" w:eastAsia="宋体" w:cs="宋体"/>
          <w:color w:val="auto"/>
          <w:sz w:val="24"/>
          <w:highlight w:val="none"/>
        </w:rPr>
      </w:pPr>
      <w:r>
        <w:rPr>
          <w:rFonts w:hint="eastAsia" w:ascii="宋体" w:hAnsi="宋体" w:eastAsia="宋体" w:cs="宋体"/>
          <w:color w:val="auto"/>
          <w:sz w:val="24"/>
          <w:highlight w:val="none"/>
        </w:rPr>
        <w:t>采购人应当在3个工作日内对投标人依法提出的询问作出答复。投标人询问可以是口头或书面形式。</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（二）质疑</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投标人认为采购文件、采购过程和中标结果使自己的权益受到伤害的，可向采购人以书面形式提出质疑。</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提出质疑的应当是参与所质疑项目采购活动的投标人。 </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（三）投诉</w:t>
      </w:r>
    </w:p>
    <w:p>
      <w:pPr>
        <w:snapToGrid w:val="0"/>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1.投标人对采购人的答复不满意，或者采购人未在规定时间内作出答复的，可以在答复期满后15个工作日内按照相关法律法规向财政部门提起投诉。</w:t>
      </w:r>
    </w:p>
    <w:p>
      <w:pPr>
        <w:pStyle w:val="3"/>
        <w:rPr>
          <w:rFonts w:hint="eastAsia" w:ascii="宋体" w:hAnsi="宋体" w:eastAsia="宋体" w:cs="宋体"/>
          <w:color w:val="auto"/>
          <w:highlight w:val="none"/>
        </w:rPr>
      </w:pPr>
      <w:bookmarkStart w:id="75" w:name="_Toc21425671"/>
      <w:bookmarkStart w:id="76" w:name="_Toc98942903"/>
      <w:r>
        <w:rPr>
          <w:rFonts w:hint="eastAsia" w:ascii="宋体" w:hAnsi="宋体" w:eastAsia="宋体" w:cs="宋体"/>
          <w:color w:val="auto"/>
          <w:highlight w:val="none"/>
        </w:rPr>
        <w:t>七、签订合同</w:t>
      </w:r>
      <w:bookmarkEnd w:id="75"/>
      <w:bookmarkEnd w:id="76"/>
    </w:p>
    <w:p>
      <w:pPr>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（一）中标人应当自接到采购人中标电话通知后</w:t>
      </w:r>
      <w:r>
        <w:rPr>
          <w:rFonts w:hint="eastAsia" w:ascii="宋体" w:hAnsi="宋体" w:eastAsia="宋体" w:cs="宋体"/>
          <w:b/>
          <w:bCs/>
          <w:color w:val="auto"/>
          <w:sz w:val="24"/>
          <w:highlight w:val="none"/>
        </w:rPr>
        <w:t>三十日</w:t>
      </w:r>
      <w:r>
        <w:rPr>
          <w:rFonts w:hint="eastAsia" w:ascii="宋体" w:hAnsi="宋体" w:eastAsia="宋体" w:cs="宋体"/>
          <w:color w:val="auto"/>
          <w:sz w:val="24"/>
          <w:highlight w:val="none"/>
        </w:rPr>
        <w:t>内，按照</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和中标人</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的约定，与采购人签订书面合同。所签订的合同不得对</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和中标人</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作实质性修改。</w:t>
      </w:r>
    </w:p>
    <w:p>
      <w:pPr>
        <w:spacing w:line="40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（二）</w:t>
      </w:r>
      <w:r>
        <w:rPr>
          <w:rFonts w:hint="eastAsia" w:hAnsi="宋体" w:cs="宋体"/>
          <w:color w:val="auto"/>
          <w:sz w:val="24"/>
          <w:highlight w:val="none"/>
          <w:lang w:eastAsia="zh-CN"/>
        </w:rPr>
        <w:t>竞争性比选文件</w:t>
      </w:r>
      <w:r>
        <w:rPr>
          <w:rFonts w:hint="eastAsia" w:ascii="宋体" w:hAnsi="宋体" w:eastAsia="宋体" w:cs="宋体"/>
          <w:color w:val="auto"/>
          <w:sz w:val="24"/>
          <w:highlight w:val="none"/>
        </w:rPr>
        <w:t>、中标人的</w:t>
      </w:r>
      <w:r>
        <w:rPr>
          <w:rFonts w:hint="eastAsia" w:hAnsi="宋体" w:cs="宋体"/>
          <w:color w:val="auto"/>
          <w:sz w:val="24"/>
          <w:highlight w:val="none"/>
          <w:lang w:eastAsia="zh-CN"/>
        </w:rPr>
        <w:t>响应文件</w:t>
      </w:r>
      <w:r>
        <w:rPr>
          <w:rFonts w:hint="eastAsia" w:ascii="宋体" w:hAnsi="宋体" w:eastAsia="宋体" w:cs="宋体"/>
          <w:color w:val="auto"/>
          <w:sz w:val="24"/>
          <w:highlight w:val="none"/>
        </w:rPr>
        <w:t>及澄清文件等，均为签订采购合同的依据。</w:t>
      </w:r>
    </w:p>
    <w:p>
      <w:pPr>
        <w:rPr>
          <w:rFonts w:hAnsi="宋体" w:cs="宋体"/>
          <w:color w:val="auto"/>
          <w:sz w:val="32"/>
          <w:szCs w:val="32"/>
          <w:highlight w:val="none"/>
        </w:rPr>
      </w:pPr>
      <w:bookmarkStart w:id="77" w:name="_Toc509321006"/>
      <w:bookmarkStart w:id="78" w:name="_Toc19113860"/>
    </w:p>
    <w:p>
      <w:pPr>
        <w:rPr>
          <w:rFonts w:hAnsi="宋体" w:cs="宋体"/>
          <w:color w:val="auto"/>
          <w:sz w:val="32"/>
          <w:szCs w:val="32"/>
          <w:highlight w:val="none"/>
        </w:rPr>
      </w:pPr>
    </w:p>
    <w:p>
      <w:pPr>
        <w:rPr>
          <w:rFonts w:hAnsi="宋体" w:cs="宋体"/>
          <w:color w:val="auto"/>
          <w:sz w:val="32"/>
          <w:szCs w:val="32"/>
          <w:highlight w:val="none"/>
        </w:rPr>
      </w:pPr>
    </w:p>
    <w:p>
      <w:pPr>
        <w:rPr>
          <w:rFonts w:hAnsi="宋体" w:cs="宋体"/>
          <w:color w:val="auto"/>
          <w:sz w:val="32"/>
          <w:szCs w:val="32"/>
          <w:highlight w:val="none"/>
        </w:rPr>
      </w:pPr>
      <w:r>
        <w:rPr>
          <w:rFonts w:hAnsi="宋体" w:cs="宋体"/>
          <w:color w:val="auto"/>
          <w:sz w:val="32"/>
          <w:szCs w:val="32"/>
          <w:highlight w:val="none"/>
        </w:rPr>
        <w:br w:type="page"/>
      </w:r>
    </w:p>
    <w:p>
      <w:pPr>
        <w:pStyle w:val="2"/>
        <w:spacing w:line="360" w:lineRule="auto"/>
        <w:rPr>
          <w:rFonts w:hint="eastAsia" w:ascii="宋体" w:hAnsi="宋体" w:eastAsia="宋体" w:cs="宋体"/>
          <w:color w:val="auto"/>
          <w:highlight w:val="none"/>
        </w:rPr>
      </w:pPr>
      <w:bookmarkStart w:id="79" w:name="_Toc98942904"/>
      <w:r>
        <w:rPr>
          <w:rFonts w:hint="eastAsia" w:ascii="宋体" w:hAnsi="宋体" w:eastAsia="宋体" w:cs="宋体"/>
          <w:color w:val="auto"/>
          <w:highlight w:val="none"/>
        </w:rPr>
        <w:t xml:space="preserve">第六篇 </w:t>
      </w:r>
      <w:r>
        <w:rPr>
          <w:rFonts w:hint="eastAsia" w:ascii="宋体" w:hAnsi="宋体" w:eastAsia="宋体" w:cs="宋体"/>
          <w:color w:val="auto"/>
          <w:highlight w:val="none"/>
          <w:lang w:eastAsia="zh-CN"/>
        </w:rPr>
        <w:t>响应文件</w:t>
      </w:r>
      <w:r>
        <w:rPr>
          <w:rFonts w:hint="eastAsia" w:ascii="宋体" w:hAnsi="宋体" w:eastAsia="宋体" w:cs="宋体"/>
          <w:color w:val="auto"/>
          <w:highlight w:val="none"/>
        </w:rPr>
        <w:t>格式</w:t>
      </w:r>
      <w:bookmarkEnd w:id="77"/>
      <w:r>
        <w:rPr>
          <w:rFonts w:hint="eastAsia" w:ascii="宋体" w:hAnsi="宋体" w:eastAsia="宋体" w:cs="宋体"/>
          <w:color w:val="auto"/>
          <w:highlight w:val="none"/>
        </w:rPr>
        <w:t>要求</w:t>
      </w:r>
      <w:bookmarkEnd w:id="78"/>
      <w:bookmarkEnd w:id="79"/>
    </w:p>
    <w:p>
      <w:pPr>
        <w:ind w:firstLine="560"/>
        <w:jc w:val="center"/>
        <w:rPr>
          <w:rFonts w:hint="eastAsia"/>
          <w:color w:val="auto"/>
          <w:highlight w:val="none"/>
        </w:rPr>
      </w:pPr>
    </w:p>
    <w:p>
      <w:pPr>
        <w:ind w:firstLine="560"/>
        <w:jc w:val="center"/>
        <w:rPr>
          <w:rFonts w:hint="eastAsia"/>
          <w:color w:val="auto"/>
          <w:highlight w:val="none"/>
        </w:rPr>
      </w:pPr>
      <w:r>
        <w:rPr>
          <w:rFonts w:hint="eastAsia"/>
          <w:color w:val="auto"/>
          <w:highlight w:val="none"/>
        </w:rPr>
        <w:t>封  面</w:t>
      </w:r>
    </w:p>
    <w:p>
      <w:pPr>
        <w:ind w:firstLine="560"/>
        <w:rPr>
          <w:rFonts w:hint="eastAsia"/>
          <w:color w:val="auto"/>
          <w:highlight w:val="none"/>
        </w:rPr>
      </w:pPr>
    </w:p>
    <w:p>
      <w:pPr>
        <w:ind w:firstLine="0" w:firstLineChars="0"/>
        <w:jc w:val="center"/>
        <w:rPr>
          <w:rFonts w:hint="eastAsia"/>
          <w:color w:val="auto"/>
          <w:sz w:val="52"/>
          <w:szCs w:val="52"/>
          <w:highlight w:val="none"/>
        </w:rPr>
      </w:pPr>
      <w:r>
        <w:rPr>
          <w:rFonts w:hint="eastAsia"/>
          <w:color w:val="auto"/>
          <w:sz w:val="52"/>
          <w:szCs w:val="52"/>
          <w:highlight w:val="none"/>
        </w:rPr>
        <w:t>重庆医科大学附属口腔医院</w:t>
      </w:r>
    </w:p>
    <w:p>
      <w:pPr>
        <w:ind w:firstLine="0" w:firstLineChars="0"/>
        <w:jc w:val="left"/>
        <w:rPr>
          <w:rFonts w:hint="eastAsia"/>
          <w:color w:val="auto"/>
          <w:sz w:val="52"/>
          <w:szCs w:val="52"/>
          <w:highlight w:val="none"/>
        </w:rPr>
      </w:pPr>
      <w:r>
        <w:rPr>
          <w:rFonts w:hint="eastAsia"/>
          <w:color w:val="auto"/>
          <w:sz w:val="52"/>
          <w:szCs w:val="52"/>
          <w:highlight w:val="none"/>
        </w:rPr>
        <w:t>项目名称：</w:t>
      </w:r>
    </w:p>
    <w:p>
      <w:pPr>
        <w:ind w:firstLine="0" w:firstLineChars="0"/>
        <w:jc w:val="left"/>
        <w:rPr>
          <w:rFonts w:hint="eastAsia"/>
          <w:color w:val="auto"/>
          <w:sz w:val="52"/>
          <w:szCs w:val="52"/>
          <w:highlight w:val="none"/>
        </w:rPr>
      </w:pPr>
      <w:r>
        <w:rPr>
          <w:rFonts w:hint="eastAsia"/>
          <w:color w:val="auto"/>
          <w:sz w:val="52"/>
          <w:szCs w:val="52"/>
          <w:highlight w:val="none"/>
        </w:rPr>
        <w:t>项目编号：</w:t>
      </w:r>
    </w:p>
    <w:p>
      <w:pPr>
        <w:ind w:firstLine="0" w:firstLineChars="0"/>
        <w:jc w:val="center"/>
        <w:rPr>
          <w:rFonts w:hint="eastAsia"/>
          <w:color w:val="auto"/>
          <w:highlight w:val="none"/>
        </w:rPr>
      </w:pPr>
      <w:r>
        <w:rPr>
          <w:rFonts w:hint="eastAsia"/>
          <w:color w:val="auto"/>
          <w:highlight w:val="none"/>
        </w:rPr>
        <w:t>（正本/副本）</w:t>
      </w:r>
    </w:p>
    <w:p>
      <w:pPr>
        <w:ind w:firstLine="0" w:firstLineChars="0"/>
        <w:rPr>
          <w:rFonts w:hint="eastAsia"/>
          <w:color w:val="auto"/>
          <w:highlight w:val="none"/>
        </w:rPr>
      </w:pPr>
    </w:p>
    <w:p>
      <w:pPr>
        <w:ind w:firstLine="0" w:firstLineChars="0"/>
        <w:rPr>
          <w:rFonts w:hint="eastAsia"/>
          <w:color w:val="auto"/>
          <w:highlight w:val="none"/>
        </w:rPr>
      </w:pPr>
    </w:p>
    <w:p>
      <w:pPr>
        <w:ind w:firstLine="0" w:firstLineChars="0"/>
        <w:jc w:val="center"/>
        <w:rPr>
          <w:rFonts w:hint="eastAsia"/>
          <w:color w:val="auto"/>
          <w:sz w:val="72"/>
          <w:szCs w:val="72"/>
          <w:highlight w:val="none"/>
          <w:lang w:eastAsia="zh-CN"/>
        </w:rPr>
      </w:pPr>
      <w:r>
        <w:rPr>
          <w:rFonts w:hint="eastAsia"/>
          <w:color w:val="auto"/>
          <w:sz w:val="72"/>
          <w:szCs w:val="72"/>
          <w:highlight w:val="none"/>
          <w:lang w:eastAsia="zh-CN"/>
        </w:rPr>
        <w:t>响</w:t>
      </w:r>
    </w:p>
    <w:p>
      <w:pPr>
        <w:ind w:firstLine="0" w:firstLineChars="0"/>
        <w:jc w:val="center"/>
        <w:rPr>
          <w:rFonts w:hint="eastAsia" w:eastAsia="宋体"/>
          <w:color w:val="auto"/>
          <w:sz w:val="72"/>
          <w:szCs w:val="72"/>
          <w:highlight w:val="none"/>
          <w:lang w:eastAsia="zh-CN"/>
        </w:rPr>
      </w:pPr>
      <w:r>
        <w:rPr>
          <w:rFonts w:hint="eastAsia"/>
          <w:color w:val="auto"/>
          <w:sz w:val="72"/>
          <w:szCs w:val="72"/>
          <w:highlight w:val="none"/>
          <w:lang w:eastAsia="zh-CN"/>
        </w:rPr>
        <w:t>应</w:t>
      </w:r>
    </w:p>
    <w:p>
      <w:pPr>
        <w:ind w:firstLine="0" w:firstLineChars="0"/>
        <w:jc w:val="center"/>
        <w:rPr>
          <w:rFonts w:hint="eastAsia"/>
          <w:color w:val="auto"/>
          <w:sz w:val="72"/>
          <w:szCs w:val="72"/>
          <w:highlight w:val="none"/>
        </w:rPr>
      </w:pPr>
      <w:r>
        <w:rPr>
          <w:rFonts w:hint="eastAsia"/>
          <w:color w:val="auto"/>
          <w:sz w:val="72"/>
          <w:szCs w:val="72"/>
          <w:highlight w:val="none"/>
        </w:rPr>
        <w:t>文</w:t>
      </w:r>
    </w:p>
    <w:p>
      <w:pPr>
        <w:ind w:firstLine="0" w:firstLineChars="0"/>
        <w:jc w:val="center"/>
        <w:rPr>
          <w:rFonts w:hint="eastAsia"/>
          <w:color w:val="auto"/>
          <w:sz w:val="72"/>
          <w:szCs w:val="72"/>
          <w:highlight w:val="none"/>
        </w:rPr>
      </w:pPr>
      <w:r>
        <w:rPr>
          <w:rFonts w:hint="eastAsia"/>
          <w:color w:val="auto"/>
          <w:sz w:val="72"/>
          <w:szCs w:val="72"/>
          <w:highlight w:val="none"/>
        </w:rPr>
        <w:t>件</w:t>
      </w:r>
    </w:p>
    <w:p>
      <w:pPr>
        <w:ind w:firstLine="560"/>
        <w:rPr>
          <w:rFonts w:hint="eastAsia"/>
          <w:color w:val="auto"/>
          <w:highlight w:val="none"/>
        </w:rPr>
      </w:pPr>
    </w:p>
    <w:p>
      <w:pPr>
        <w:ind w:firstLine="560"/>
        <w:rPr>
          <w:rFonts w:hint="eastAsia"/>
          <w:color w:val="auto"/>
          <w:highlight w:val="none"/>
        </w:rPr>
      </w:pPr>
    </w:p>
    <w:p>
      <w:pPr>
        <w:spacing w:line="360" w:lineRule="auto"/>
        <w:ind w:firstLine="560"/>
        <w:rPr>
          <w:rFonts w:hint="eastAsia"/>
          <w:color w:val="auto"/>
          <w:highlight w:val="none"/>
        </w:rPr>
      </w:pPr>
      <w:r>
        <w:rPr>
          <w:rFonts w:hint="eastAsia"/>
          <w:color w:val="auto"/>
          <w:highlight w:val="none"/>
        </w:rPr>
        <w:t>投标人</w:t>
      </w:r>
      <w:r>
        <w:rPr>
          <w:rFonts w:hint="eastAsia"/>
          <w:color w:val="auto"/>
          <w:highlight w:val="none"/>
          <w:lang w:eastAsia="zh-CN"/>
        </w:rPr>
        <w:t>（盖章）</w:t>
      </w:r>
      <w:r>
        <w:rPr>
          <w:rFonts w:hint="eastAsia"/>
          <w:color w:val="auto"/>
          <w:highlight w:val="none"/>
        </w:rPr>
        <w:t>：</w:t>
      </w:r>
    </w:p>
    <w:p>
      <w:pPr>
        <w:spacing w:line="360" w:lineRule="auto"/>
        <w:ind w:firstLine="560"/>
        <w:rPr>
          <w:rFonts w:hint="eastAsia"/>
          <w:color w:val="auto"/>
          <w:highlight w:val="none"/>
        </w:rPr>
      </w:pPr>
      <w:r>
        <w:rPr>
          <w:rFonts w:hint="eastAsia"/>
          <w:color w:val="auto"/>
          <w:highlight w:val="none"/>
        </w:rPr>
        <w:t>联系人：</w:t>
      </w:r>
    </w:p>
    <w:p>
      <w:pPr>
        <w:spacing w:line="360" w:lineRule="auto"/>
        <w:ind w:firstLine="560"/>
        <w:rPr>
          <w:rFonts w:hint="eastAsia"/>
          <w:color w:val="auto"/>
          <w:highlight w:val="none"/>
        </w:rPr>
      </w:pPr>
      <w:r>
        <w:rPr>
          <w:rFonts w:hint="eastAsia"/>
          <w:color w:val="auto"/>
          <w:highlight w:val="none"/>
        </w:rPr>
        <w:t>联系电话：</w:t>
      </w:r>
    </w:p>
    <w:p>
      <w:pPr>
        <w:ind w:firstLine="560"/>
        <w:rPr>
          <w:rFonts w:hint="eastAsia"/>
          <w:color w:val="auto"/>
          <w:highlight w:val="none"/>
        </w:rPr>
      </w:pPr>
      <w:r>
        <w:rPr>
          <w:rFonts w:hint="eastAsia"/>
          <w:color w:val="auto"/>
          <w:highlight w:val="none"/>
        </w:rPr>
        <w:t>投标人地址：</w:t>
      </w:r>
    </w:p>
    <w:p>
      <w:pPr>
        <w:rPr>
          <w:rFonts w:hint="eastAsia" w:ascii="宋体" w:hAnsi="宋体" w:eastAsia="宋体" w:cs="宋体"/>
          <w:color w:val="auto"/>
          <w:highlight w:val="none"/>
        </w:rPr>
      </w:pPr>
    </w:p>
    <w:p>
      <w:pPr>
        <w:jc w:val="center"/>
        <w:rPr>
          <w:rFonts w:hint="eastAsia" w:ascii="宋体" w:hAnsi="宋体" w:eastAsia="宋体" w:cs="宋体"/>
          <w:color w:val="auto"/>
          <w:highlight w:val="none"/>
          <w:lang w:eastAsia="zh-CN"/>
        </w:rPr>
      </w:pPr>
      <w:r>
        <w:rPr>
          <w:rFonts w:hint="eastAsia" w:hAnsi="宋体" w:cs="宋体"/>
          <w:color w:val="auto"/>
          <w:highlight w:val="none"/>
          <w:lang w:eastAsia="zh-CN"/>
        </w:rPr>
        <w:t>（注：档案袋封面格式同此格式）</w:t>
      </w:r>
    </w:p>
    <w:p>
      <w:pPr>
        <w:rPr>
          <w:color w:val="auto"/>
          <w:highlight w:val="none"/>
        </w:rPr>
      </w:pPr>
    </w:p>
    <w:p>
      <w:pPr>
        <w:rPr>
          <w:rFonts w:hint="eastAsia" w:hAnsi="宋体" w:cs="宋体"/>
          <w:b/>
          <w:bCs/>
          <w:color w:val="auto"/>
          <w:sz w:val="28"/>
          <w:szCs w:val="28"/>
          <w:highlight w:val="none"/>
        </w:rPr>
      </w:pPr>
      <w:r>
        <w:rPr>
          <w:rFonts w:hint="eastAsia" w:hAnsi="宋体" w:cs="宋体"/>
          <w:b/>
          <w:bCs/>
          <w:color w:val="auto"/>
          <w:sz w:val="28"/>
          <w:szCs w:val="28"/>
          <w:highlight w:val="none"/>
        </w:rPr>
        <w:br w:type="page"/>
      </w:r>
    </w:p>
    <w:p>
      <w:pPr>
        <w:snapToGrid w:val="0"/>
        <w:spacing w:line="360" w:lineRule="auto"/>
        <w:ind w:firstLine="562" w:firstLineChars="200"/>
        <w:rPr>
          <w:rFonts w:hAnsi="宋体" w:cs="宋体"/>
          <w:b/>
          <w:bCs/>
          <w:color w:val="auto"/>
          <w:sz w:val="28"/>
          <w:szCs w:val="28"/>
          <w:highlight w:val="none"/>
        </w:rPr>
      </w:pPr>
      <w:r>
        <w:rPr>
          <w:rFonts w:hint="eastAsia" w:hAnsi="宋体" w:cs="宋体"/>
          <w:b/>
          <w:bCs/>
          <w:color w:val="auto"/>
          <w:sz w:val="28"/>
          <w:szCs w:val="28"/>
          <w:highlight w:val="none"/>
        </w:rPr>
        <w:t>一、经济文件</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（一）</w:t>
      </w:r>
      <w:r>
        <w:rPr>
          <w:rFonts w:hint="eastAsia" w:hAnsi="宋体" w:cs="宋体"/>
          <w:color w:val="auto"/>
          <w:sz w:val="24"/>
          <w:szCs w:val="24"/>
          <w:highlight w:val="none"/>
          <w:lang w:eastAsia="zh-CN"/>
        </w:rPr>
        <w:t>采购项目</w:t>
      </w:r>
      <w:r>
        <w:rPr>
          <w:rFonts w:hint="eastAsia" w:hAnsi="宋体" w:cs="宋体"/>
          <w:color w:val="auto"/>
          <w:sz w:val="24"/>
          <w:szCs w:val="24"/>
          <w:highlight w:val="none"/>
        </w:rPr>
        <w:t>一览表</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（二）分项报价明细表</w:t>
      </w:r>
    </w:p>
    <w:p>
      <w:pPr>
        <w:snapToGrid w:val="0"/>
        <w:spacing w:line="360" w:lineRule="auto"/>
        <w:ind w:firstLine="562" w:firstLineChars="200"/>
        <w:rPr>
          <w:rFonts w:hAnsi="宋体" w:cs="宋体"/>
          <w:b/>
          <w:bCs/>
          <w:color w:val="auto"/>
          <w:sz w:val="28"/>
          <w:szCs w:val="28"/>
          <w:highlight w:val="none"/>
        </w:rPr>
      </w:pPr>
      <w:r>
        <w:rPr>
          <w:rFonts w:hint="eastAsia" w:hAnsi="宋体" w:cs="宋体"/>
          <w:b/>
          <w:bCs/>
          <w:color w:val="auto"/>
          <w:sz w:val="28"/>
          <w:szCs w:val="28"/>
          <w:highlight w:val="none"/>
        </w:rPr>
        <w:t>二、技术文件</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（一）技术条款差异表</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（二）技术条款相关支撑资料（自附）</w:t>
      </w:r>
    </w:p>
    <w:p>
      <w:pPr>
        <w:snapToGrid w:val="0"/>
        <w:spacing w:line="360" w:lineRule="auto"/>
        <w:ind w:firstLine="562" w:firstLineChars="200"/>
        <w:rPr>
          <w:rFonts w:hAnsi="宋体" w:cs="宋体"/>
          <w:b/>
          <w:bCs/>
          <w:color w:val="auto"/>
          <w:sz w:val="28"/>
          <w:szCs w:val="28"/>
          <w:highlight w:val="none"/>
        </w:rPr>
      </w:pPr>
      <w:r>
        <w:rPr>
          <w:rFonts w:hint="eastAsia" w:hAnsi="宋体" w:cs="宋体"/>
          <w:b/>
          <w:bCs/>
          <w:color w:val="auto"/>
          <w:sz w:val="28"/>
          <w:szCs w:val="28"/>
          <w:highlight w:val="none"/>
        </w:rPr>
        <w:t>三、商务文件</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（一）投标函（格式）</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（二）商务条款差异表</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（三）商务条款相关支撑资料（自附）</w:t>
      </w:r>
    </w:p>
    <w:p>
      <w:pPr>
        <w:tabs>
          <w:tab w:val="left" w:pos="1764"/>
        </w:tabs>
        <w:snapToGrid w:val="0"/>
        <w:spacing w:line="360" w:lineRule="auto"/>
        <w:ind w:firstLine="562" w:firstLineChars="200"/>
        <w:rPr>
          <w:rFonts w:hAnsi="宋体" w:cs="宋体"/>
          <w:b/>
          <w:bCs/>
          <w:color w:val="auto"/>
          <w:sz w:val="28"/>
          <w:szCs w:val="28"/>
          <w:highlight w:val="none"/>
        </w:rPr>
      </w:pPr>
      <w:r>
        <w:rPr>
          <w:rFonts w:hint="eastAsia" w:hAnsi="宋体" w:cs="宋体"/>
          <w:b/>
          <w:bCs/>
          <w:color w:val="auto"/>
          <w:sz w:val="28"/>
          <w:szCs w:val="28"/>
          <w:highlight w:val="none"/>
        </w:rPr>
        <w:t>四、其他</w:t>
      </w:r>
    </w:p>
    <w:p>
      <w:pPr>
        <w:tabs>
          <w:tab w:val="left" w:pos="6300"/>
        </w:tabs>
        <w:snapToGrid w:val="0"/>
        <w:spacing w:line="360" w:lineRule="auto"/>
        <w:ind w:firstLine="480" w:firstLineChars="200"/>
        <w:jc w:val="left"/>
        <w:rPr>
          <w:rFonts w:hAnsi="宋体" w:cs="宋体"/>
          <w:color w:val="auto"/>
          <w:sz w:val="24"/>
          <w:szCs w:val="24"/>
          <w:highlight w:val="none"/>
        </w:rPr>
      </w:pPr>
      <w:r>
        <w:rPr>
          <w:rFonts w:hint="eastAsia" w:hAnsi="宋体" w:cs="宋体"/>
          <w:color w:val="auto"/>
          <w:sz w:val="24"/>
          <w:szCs w:val="24"/>
          <w:highlight w:val="none"/>
        </w:rPr>
        <w:t>（一）其他与项目有关的资料（自附）</w:t>
      </w:r>
    </w:p>
    <w:p>
      <w:pPr>
        <w:snapToGrid w:val="0"/>
        <w:spacing w:line="360" w:lineRule="auto"/>
        <w:ind w:firstLine="562" w:firstLineChars="200"/>
        <w:rPr>
          <w:rFonts w:hAnsi="宋体" w:cs="宋体"/>
          <w:b/>
          <w:bCs/>
          <w:color w:val="auto"/>
          <w:sz w:val="28"/>
          <w:szCs w:val="28"/>
          <w:highlight w:val="none"/>
        </w:rPr>
      </w:pPr>
      <w:r>
        <w:rPr>
          <w:rFonts w:hint="eastAsia" w:hAnsi="宋体" w:cs="宋体"/>
          <w:b/>
          <w:bCs/>
          <w:color w:val="auto"/>
          <w:sz w:val="28"/>
          <w:szCs w:val="28"/>
          <w:highlight w:val="none"/>
        </w:rPr>
        <w:t>五、资格文件</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（一）营业执照（副本）或事业单位法人证书（副本）复印件</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（二）法定代表人身份证明书（格式）</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（三）法定代表人授权委托书（格式）</w:t>
      </w:r>
    </w:p>
    <w:p>
      <w:pPr>
        <w:snapToGrid w:val="0"/>
        <w:spacing w:line="360" w:lineRule="auto"/>
        <w:ind w:firstLine="480" w:firstLineChars="200"/>
        <w:rPr>
          <w:rFonts w:hAnsi="宋体" w:cs="宋体"/>
          <w:color w:val="auto"/>
          <w:sz w:val="24"/>
          <w:szCs w:val="24"/>
          <w:highlight w:val="none"/>
        </w:rPr>
      </w:pPr>
      <w:bookmarkStart w:id="80" w:name="_Toc19113861"/>
      <w:bookmarkStart w:id="81" w:name="_Toc429584884"/>
      <w:bookmarkStart w:id="82" w:name="_Toc509321007"/>
      <w:r>
        <w:rPr>
          <w:rFonts w:hint="eastAsia" w:hAnsi="宋体" w:cs="宋体"/>
          <w:color w:val="auto"/>
          <w:sz w:val="24"/>
          <w:szCs w:val="24"/>
          <w:highlight w:val="none"/>
        </w:rPr>
        <w:t>（四）书面声明（格式）</w:t>
      </w:r>
    </w:p>
    <w:p>
      <w:pPr>
        <w:snapToGrid w:val="0"/>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（五）特定资格条件证书或证明文件</w:t>
      </w:r>
    </w:p>
    <w:p>
      <w:pPr>
        <w:snapToGrid w:val="0"/>
        <w:spacing w:line="360" w:lineRule="auto"/>
        <w:ind w:firstLine="480" w:firstLineChars="200"/>
        <w:rPr>
          <w:rFonts w:hAnsi="宋体" w:cs="宋体"/>
          <w:color w:val="auto"/>
          <w:sz w:val="24"/>
          <w:szCs w:val="24"/>
          <w:highlight w:val="none"/>
        </w:rPr>
      </w:pPr>
    </w:p>
    <w:p>
      <w:pPr>
        <w:snapToGrid w:val="0"/>
        <w:spacing w:line="360" w:lineRule="auto"/>
        <w:jc w:val="left"/>
        <w:rPr>
          <w:rFonts w:hAnsi="宋体" w:cs="宋体"/>
          <w:color w:val="auto"/>
          <w:sz w:val="28"/>
          <w:szCs w:val="28"/>
          <w:highlight w:val="none"/>
        </w:rPr>
      </w:pPr>
    </w:p>
    <w:p>
      <w:pPr>
        <w:snapToGrid w:val="0"/>
        <w:spacing w:line="360" w:lineRule="auto"/>
        <w:jc w:val="left"/>
        <w:rPr>
          <w:rFonts w:hAnsi="宋体" w:cs="宋体"/>
          <w:color w:val="auto"/>
          <w:sz w:val="28"/>
          <w:szCs w:val="28"/>
          <w:highlight w:val="none"/>
        </w:rPr>
      </w:pPr>
    </w:p>
    <w:p>
      <w:pPr>
        <w:snapToGrid w:val="0"/>
        <w:spacing w:line="360" w:lineRule="auto"/>
        <w:jc w:val="left"/>
        <w:rPr>
          <w:rFonts w:hAnsi="宋体" w:cs="宋体"/>
          <w:color w:val="auto"/>
          <w:sz w:val="28"/>
          <w:szCs w:val="28"/>
          <w:highlight w:val="none"/>
        </w:rPr>
      </w:pPr>
    </w:p>
    <w:p>
      <w:pPr>
        <w:snapToGrid w:val="0"/>
        <w:spacing w:line="360" w:lineRule="auto"/>
        <w:jc w:val="left"/>
        <w:rPr>
          <w:rFonts w:hAnsi="宋体" w:cs="宋体"/>
          <w:color w:val="auto"/>
          <w:sz w:val="28"/>
          <w:szCs w:val="28"/>
          <w:highlight w:val="none"/>
        </w:rPr>
      </w:pPr>
    </w:p>
    <w:p>
      <w:pPr>
        <w:snapToGrid w:val="0"/>
        <w:spacing w:line="360" w:lineRule="auto"/>
        <w:jc w:val="left"/>
        <w:rPr>
          <w:rFonts w:hAnsi="宋体" w:cs="宋体"/>
          <w:color w:val="auto"/>
          <w:sz w:val="28"/>
          <w:szCs w:val="28"/>
          <w:highlight w:val="none"/>
        </w:rPr>
      </w:pPr>
    </w:p>
    <w:p>
      <w:pPr>
        <w:snapToGrid w:val="0"/>
        <w:spacing w:line="360" w:lineRule="auto"/>
        <w:jc w:val="left"/>
        <w:rPr>
          <w:rFonts w:hAnsi="宋体" w:cs="宋体"/>
          <w:color w:val="auto"/>
          <w:sz w:val="28"/>
          <w:szCs w:val="28"/>
          <w:highlight w:val="none"/>
        </w:rPr>
      </w:pPr>
    </w:p>
    <w:p>
      <w:pPr>
        <w:snapToGrid w:val="0"/>
        <w:spacing w:line="360" w:lineRule="auto"/>
        <w:jc w:val="left"/>
        <w:rPr>
          <w:rFonts w:hAnsi="宋体" w:cs="宋体"/>
          <w:color w:val="auto"/>
          <w:sz w:val="28"/>
          <w:szCs w:val="28"/>
          <w:highlight w:val="none"/>
        </w:rPr>
      </w:pPr>
    </w:p>
    <w:p>
      <w:pPr>
        <w:rPr>
          <w:rFonts w:hint="eastAsia"/>
          <w:color w:val="auto"/>
          <w:szCs w:val="28"/>
          <w:highlight w:val="none"/>
        </w:rPr>
      </w:pPr>
      <w:bookmarkStart w:id="83" w:name="_Toc98942905"/>
      <w:r>
        <w:rPr>
          <w:rFonts w:hint="eastAsia"/>
          <w:color w:val="auto"/>
          <w:szCs w:val="28"/>
          <w:highlight w:val="none"/>
        </w:rPr>
        <w:br w:type="page"/>
      </w:r>
    </w:p>
    <w:p>
      <w:pPr>
        <w:pStyle w:val="3"/>
        <w:rPr>
          <w:color w:val="auto"/>
          <w:szCs w:val="28"/>
          <w:highlight w:val="none"/>
        </w:rPr>
      </w:pPr>
      <w:r>
        <w:rPr>
          <w:rFonts w:hint="eastAsia"/>
          <w:color w:val="auto"/>
          <w:szCs w:val="28"/>
          <w:highlight w:val="none"/>
        </w:rPr>
        <w:t>一、经济文件</w:t>
      </w:r>
      <w:bookmarkEnd w:id="80"/>
      <w:bookmarkEnd w:id="81"/>
      <w:bookmarkEnd w:id="82"/>
      <w:bookmarkEnd w:id="83"/>
    </w:p>
    <w:p>
      <w:pPr>
        <w:snapToGrid w:val="0"/>
        <w:spacing w:line="360" w:lineRule="auto"/>
        <w:jc w:val="center"/>
        <w:rPr>
          <w:rFonts w:hAnsi="宋体" w:cs="宋体"/>
          <w:color w:val="auto"/>
          <w:sz w:val="28"/>
          <w:szCs w:val="28"/>
          <w:highlight w:val="none"/>
        </w:rPr>
      </w:pPr>
      <w:r>
        <w:rPr>
          <w:rFonts w:hint="eastAsia" w:hAnsi="宋体" w:cs="宋体"/>
          <w:color w:val="auto"/>
          <w:sz w:val="28"/>
          <w:szCs w:val="28"/>
          <w:highlight w:val="none"/>
        </w:rPr>
        <w:t>（一）</w:t>
      </w: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一览表</w:t>
      </w:r>
    </w:p>
    <w:p>
      <w:pPr>
        <w:spacing w:line="360" w:lineRule="auto"/>
        <w:ind w:firstLine="280" w:firstLineChars="100"/>
        <w:rPr>
          <w:rFonts w:hAnsi="宋体" w:cs="宋体"/>
          <w:color w:val="auto"/>
          <w:sz w:val="28"/>
          <w:szCs w:val="28"/>
          <w:highlight w:val="none"/>
        </w:rPr>
      </w:pPr>
    </w:p>
    <w:p>
      <w:pPr>
        <w:spacing w:line="500" w:lineRule="exact"/>
        <w:ind w:firstLine="280" w:firstLineChars="100"/>
        <w:rPr>
          <w:rFonts w:ascii="方正仿宋_GBK" w:hAnsi="宋体" w:eastAsia="方正仿宋_GBK"/>
          <w:color w:val="auto"/>
          <w:sz w:val="24"/>
          <w:szCs w:val="28"/>
          <w:highlight w:val="none"/>
        </w:rPr>
      </w:pP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 xml:space="preserve">名称： </w:t>
      </w:r>
    </w:p>
    <w:tbl>
      <w:tblPr>
        <w:tblStyle w:val="13"/>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88"/>
        <w:gridCol w:w="1155"/>
        <w:gridCol w:w="932"/>
        <w:gridCol w:w="4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00" w:hRule="atLeast"/>
          <w:jc w:val="center"/>
        </w:trPr>
        <w:tc>
          <w:tcPr>
            <w:tcW w:w="1788" w:type="dxa"/>
            <w:vAlign w:val="center"/>
          </w:tcPr>
          <w:p>
            <w:pPr>
              <w:spacing w:line="500" w:lineRule="exact"/>
              <w:jc w:val="center"/>
              <w:rPr>
                <w:rFonts w:ascii="方正仿宋_GBK" w:hAnsi="宋体" w:eastAsia="方正仿宋_GBK"/>
                <w:color w:val="auto"/>
                <w:sz w:val="21"/>
                <w:szCs w:val="28"/>
                <w:highlight w:val="none"/>
              </w:rPr>
            </w:pPr>
            <w:r>
              <w:rPr>
                <w:rFonts w:hint="eastAsia" w:ascii="方正仿宋_GBK" w:hAnsi="宋体" w:eastAsia="方正仿宋_GBK"/>
                <w:color w:val="auto"/>
                <w:sz w:val="21"/>
                <w:szCs w:val="28"/>
                <w:highlight w:val="none"/>
              </w:rPr>
              <w:t>投标人名称</w:t>
            </w:r>
          </w:p>
        </w:tc>
        <w:tc>
          <w:tcPr>
            <w:tcW w:w="6847" w:type="dxa"/>
            <w:gridSpan w:val="3"/>
            <w:vAlign w:val="center"/>
          </w:tcPr>
          <w:p>
            <w:pPr>
              <w:spacing w:line="500" w:lineRule="exact"/>
              <w:jc w:val="center"/>
              <w:rPr>
                <w:rFonts w:ascii="方正仿宋_GBK" w:hAnsi="宋体" w:eastAsia="方正仿宋_GBK"/>
                <w:color w:val="auto"/>
                <w:sz w:val="21"/>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9" w:hRule="atLeast"/>
          <w:jc w:val="center"/>
        </w:trPr>
        <w:tc>
          <w:tcPr>
            <w:tcW w:w="2943" w:type="dxa"/>
            <w:gridSpan w:val="2"/>
            <w:vAlign w:val="center"/>
          </w:tcPr>
          <w:p>
            <w:pPr>
              <w:spacing w:line="500" w:lineRule="exact"/>
              <w:jc w:val="center"/>
              <w:rPr>
                <w:rFonts w:ascii="方正仿宋_GBK" w:hAnsi="宋体" w:eastAsia="方正仿宋_GBK"/>
                <w:color w:val="auto"/>
                <w:sz w:val="21"/>
                <w:szCs w:val="28"/>
                <w:highlight w:val="none"/>
              </w:rPr>
            </w:pPr>
            <w:r>
              <w:rPr>
                <w:rFonts w:hint="eastAsia" w:ascii="方正仿宋_GBK" w:hAnsi="宋体" w:eastAsia="方正仿宋_GBK"/>
                <w:color w:val="auto"/>
                <w:sz w:val="21"/>
                <w:szCs w:val="28"/>
                <w:highlight w:val="none"/>
              </w:rPr>
              <w:t>项目名称</w:t>
            </w:r>
          </w:p>
        </w:tc>
        <w:tc>
          <w:tcPr>
            <w:tcW w:w="932" w:type="dxa"/>
            <w:vAlign w:val="center"/>
          </w:tcPr>
          <w:p>
            <w:pPr>
              <w:spacing w:line="500" w:lineRule="exact"/>
              <w:jc w:val="center"/>
              <w:rPr>
                <w:rFonts w:ascii="方正仿宋_GBK" w:hAnsi="宋体" w:eastAsia="方正仿宋_GBK"/>
                <w:color w:val="auto"/>
                <w:sz w:val="21"/>
                <w:szCs w:val="28"/>
                <w:highlight w:val="none"/>
              </w:rPr>
            </w:pPr>
            <w:r>
              <w:rPr>
                <w:rFonts w:hint="eastAsia" w:ascii="方正仿宋_GBK" w:hAnsi="宋体" w:eastAsia="方正仿宋_GBK"/>
                <w:color w:val="auto"/>
                <w:sz w:val="21"/>
                <w:szCs w:val="28"/>
                <w:highlight w:val="none"/>
              </w:rPr>
              <w:t>数量</w:t>
            </w:r>
          </w:p>
        </w:tc>
        <w:tc>
          <w:tcPr>
            <w:tcW w:w="4760" w:type="dxa"/>
            <w:vAlign w:val="center"/>
          </w:tcPr>
          <w:p>
            <w:pPr>
              <w:spacing w:line="500" w:lineRule="exact"/>
              <w:jc w:val="center"/>
              <w:rPr>
                <w:rFonts w:ascii="方正仿宋_GBK" w:hAnsi="宋体" w:eastAsia="方正仿宋_GBK"/>
                <w:color w:val="auto"/>
                <w:sz w:val="21"/>
                <w:szCs w:val="28"/>
                <w:highlight w:val="none"/>
              </w:rPr>
            </w:pPr>
            <w:r>
              <w:rPr>
                <w:rFonts w:hint="eastAsia" w:ascii="方正仿宋_GBK" w:hAnsi="方正仿宋_GBK" w:eastAsia="方正仿宋_GBK"/>
                <w:color w:val="auto"/>
                <w:sz w:val="21"/>
                <w:szCs w:val="28"/>
                <w:highlight w:val="none"/>
              </w:rPr>
              <w:t>投标报价（小写）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7" w:hRule="atLeast"/>
          <w:jc w:val="center"/>
        </w:trPr>
        <w:tc>
          <w:tcPr>
            <w:tcW w:w="2943" w:type="dxa"/>
            <w:gridSpan w:val="2"/>
            <w:tcBorders>
              <w:bottom w:val="single" w:color="auto" w:sz="4" w:space="0"/>
            </w:tcBorders>
            <w:vAlign w:val="center"/>
          </w:tcPr>
          <w:p>
            <w:pPr>
              <w:spacing w:line="500" w:lineRule="exact"/>
              <w:rPr>
                <w:rFonts w:ascii="方正仿宋_GBK" w:hAnsi="宋体" w:eastAsia="方正仿宋_GBK"/>
                <w:color w:val="auto"/>
                <w:sz w:val="21"/>
                <w:szCs w:val="28"/>
                <w:highlight w:val="none"/>
              </w:rPr>
            </w:pPr>
          </w:p>
        </w:tc>
        <w:tc>
          <w:tcPr>
            <w:tcW w:w="932" w:type="dxa"/>
            <w:tcBorders>
              <w:bottom w:val="single" w:color="auto" w:sz="4" w:space="0"/>
            </w:tcBorders>
          </w:tcPr>
          <w:p>
            <w:pPr>
              <w:spacing w:line="500" w:lineRule="exact"/>
              <w:rPr>
                <w:rFonts w:ascii="方正仿宋_GBK" w:hAnsi="宋体" w:eastAsia="方正仿宋_GBK"/>
                <w:color w:val="auto"/>
                <w:sz w:val="21"/>
                <w:szCs w:val="28"/>
                <w:highlight w:val="none"/>
              </w:rPr>
            </w:pPr>
          </w:p>
        </w:tc>
        <w:tc>
          <w:tcPr>
            <w:tcW w:w="4760" w:type="dxa"/>
            <w:tcBorders>
              <w:bottom w:val="single" w:color="auto" w:sz="4" w:space="0"/>
            </w:tcBorders>
          </w:tcPr>
          <w:p>
            <w:pPr>
              <w:spacing w:line="500" w:lineRule="exact"/>
              <w:rPr>
                <w:rFonts w:ascii="方正仿宋_GBK" w:hAnsi="宋体" w:eastAsia="方正仿宋_GBK"/>
                <w:color w:val="auto"/>
                <w:sz w:val="21"/>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7" w:hRule="atLeast"/>
          <w:jc w:val="center"/>
        </w:trPr>
        <w:tc>
          <w:tcPr>
            <w:tcW w:w="8635" w:type="dxa"/>
            <w:gridSpan w:val="4"/>
            <w:tcBorders>
              <w:bottom w:val="single" w:color="auto" w:sz="4" w:space="0"/>
            </w:tcBorders>
            <w:vAlign w:val="center"/>
          </w:tcPr>
          <w:p>
            <w:pPr>
              <w:spacing w:line="560" w:lineRule="exact"/>
              <w:rPr>
                <w:rFonts w:ascii="方正仿宋_GBK" w:hAnsi="宋体" w:eastAsia="方正仿宋_GBK"/>
                <w:color w:val="auto"/>
                <w:sz w:val="21"/>
                <w:szCs w:val="28"/>
                <w:highlight w:val="none"/>
              </w:rPr>
            </w:pPr>
            <w:r>
              <w:rPr>
                <w:rFonts w:hint="eastAsia" w:ascii="方正仿宋_GBK" w:hAnsi="宋体" w:eastAsia="方正仿宋_GBK"/>
                <w:color w:val="auto"/>
                <w:sz w:val="21"/>
                <w:szCs w:val="28"/>
                <w:highlight w:val="none"/>
              </w:rPr>
              <w:t xml:space="preserve">投标报价（大写）：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7" w:hRule="atLeast"/>
          <w:jc w:val="center"/>
        </w:trPr>
        <w:tc>
          <w:tcPr>
            <w:tcW w:w="8635" w:type="dxa"/>
            <w:gridSpan w:val="4"/>
            <w:vAlign w:val="center"/>
          </w:tcPr>
          <w:p>
            <w:pPr>
              <w:rPr>
                <w:color w:val="auto"/>
                <w:highlight w:val="none"/>
              </w:rPr>
            </w:pPr>
            <w:r>
              <w:rPr>
                <w:rFonts w:hint="eastAsia" w:ascii="方正仿宋_GBK" w:hAnsi="宋体" w:eastAsia="方正仿宋_GBK"/>
                <w:color w:val="auto"/>
                <w:sz w:val="21"/>
                <w:szCs w:val="28"/>
                <w:highlight w:val="none"/>
              </w:rPr>
              <w:t>备注：</w:t>
            </w:r>
          </w:p>
        </w:tc>
      </w:tr>
    </w:tbl>
    <w:p>
      <w:pPr>
        <w:pStyle w:val="8"/>
        <w:spacing w:line="500" w:lineRule="exact"/>
        <w:ind w:left="8500"/>
        <w:rPr>
          <w:rFonts w:ascii="方正仿宋_GBK" w:hAnsi="宋体" w:eastAsia="方正仿宋_GBK"/>
          <w:color w:val="auto"/>
          <w:sz w:val="24"/>
          <w:szCs w:val="28"/>
          <w:highlight w:val="none"/>
        </w:rPr>
      </w:pPr>
    </w:p>
    <w:p>
      <w:pPr>
        <w:rPr>
          <w:rFonts w:ascii="方正仿宋_GBK" w:eastAsia="方正仿宋_GBK"/>
          <w:color w:val="auto"/>
          <w:highlight w:val="none"/>
        </w:rPr>
      </w:pPr>
    </w:p>
    <w:p>
      <w:pPr>
        <w:spacing w:line="360" w:lineRule="auto"/>
        <w:ind w:firstLine="560" w:firstLineChars="200"/>
        <w:rPr>
          <w:rFonts w:hAnsi="宋体" w:cs="宋体"/>
          <w:color w:val="auto"/>
          <w:sz w:val="28"/>
          <w:szCs w:val="28"/>
          <w:highlight w:val="none"/>
        </w:rPr>
      </w:pPr>
    </w:p>
    <w:p>
      <w:pPr>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投标人：                        法定代表人或法定代表人授权代表：</w:t>
      </w:r>
    </w:p>
    <w:p>
      <w:pPr>
        <w:spacing w:line="360" w:lineRule="auto"/>
        <w:ind w:firstLine="560" w:firstLineChars="200"/>
        <w:rPr>
          <w:rFonts w:hAnsi="宋体" w:cs="宋体"/>
          <w:color w:val="auto"/>
          <w:sz w:val="28"/>
          <w:szCs w:val="28"/>
          <w:highlight w:val="none"/>
        </w:rPr>
      </w:pPr>
    </w:p>
    <w:p>
      <w:pPr>
        <w:spacing w:line="360" w:lineRule="auto"/>
        <w:ind w:firstLine="560" w:firstLineChars="200"/>
        <w:rPr>
          <w:rFonts w:hAnsi="宋体" w:cs="宋体"/>
          <w:color w:val="auto"/>
          <w:sz w:val="28"/>
          <w:szCs w:val="28"/>
          <w:highlight w:val="none"/>
        </w:rPr>
      </w:pPr>
    </w:p>
    <w:p>
      <w:pPr>
        <w:spacing w:line="360" w:lineRule="auto"/>
        <w:rPr>
          <w:rFonts w:hAnsi="宋体" w:cs="宋体"/>
          <w:color w:val="auto"/>
          <w:sz w:val="28"/>
          <w:szCs w:val="28"/>
          <w:highlight w:val="none"/>
        </w:rPr>
      </w:pPr>
      <w:r>
        <w:rPr>
          <w:rFonts w:hint="eastAsia" w:hAnsi="宋体" w:cs="宋体"/>
          <w:color w:val="auto"/>
          <w:sz w:val="28"/>
          <w:szCs w:val="28"/>
          <w:highlight w:val="none"/>
        </w:rPr>
        <w:t xml:space="preserve">  （投标人公章）                               （签字或盖章）</w:t>
      </w:r>
    </w:p>
    <w:p>
      <w:pPr>
        <w:spacing w:line="360" w:lineRule="auto"/>
        <w:rPr>
          <w:rFonts w:hAnsi="宋体" w:cs="宋体"/>
          <w:color w:val="auto"/>
          <w:sz w:val="28"/>
          <w:szCs w:val="28"/>
          <w:highlight w:val="none"/>
        </w:rPr>
      </w:pPr>
    </w:p>
    <w:p>
      <w:pPr>
        <w:spacing w:line="360" w:lineRule="auto"/>
        <w:ind w:firstLine="5600" w:firstLineChars="2000"/>
        <w:rPr>
          <w:rFonts w:hAnsi="宋体" w:cs="宋体"/>
          <w:color w:val="auto"/>
          <w:sz w:val="28"/>
          <w:szCs w:val="28"/>
          <w:highlight w:val="none"/>
        </w:rPr>
      </w:pPr>
      <w:r>
        <w:rPr>
          <w:rFonts w:hint="eastAsia" w:hAnsi="宋体" w:cs="宋体"/>
          <w:color w:val="auto"/>
          <w:sz w:val="28"/>
          <w:szCs w:val="28"/>
          <w:highlight w:val="none"/>
        </w:rPr>
        <w:t xml:space="preserve">     年     月     日</w:t>
      </w:r>
    </w:p>
    <w:p>
      <w:pPr>
        <w:snapToGrid w:val="0"/>
        <w:spacing w:line="360" w:lineRule="auto"/>
        <w:ind w:firstLine="560" w:firstLineChars="200"/>
        <w:rPr>
          <w:rFonts w:hAnsi="宋体" w:cs="宋体"/>
          <w:color w:val="auto"/>
          <w:sz w:val="28"/>
          <w:szCs w:val="28"/>
          <w:highlight w:val="none"/>
        </w:rPr>
      </w:pPr>
    </w:p>
    <w:p>
      <w:pPr>
        <w:snapToGrid w:val="0"/>
        <w:spacing w:line="360" w:lineRule="auto"/>
        <w:ind w:firstLine="560" w:firstLineChars="200"/>
        <w:rPr>
          <w:rFonts w:hAnsi="宋体" w:cs="宋体"/>
          <w:color w:val="auto"/>
          <w:sz w:val="28"/>
          <w:szCs w:val="28"/>
          <w:highlight w:val="none"/>
        </w:rPr>
      </w:pPr>
    </w:p>
    <w:p>
      <w:pPr>
        <w:snapToGrid w:val="0"/>
        <w:spacing w:line="360" w:lineRule="auto"/>
        <w:ind w:firstLine="560" w:firstLineChars="200"/>
        <w:rPr>
          <w:rFonts w:hAnsi="宋体" w:cs="宋体"/>
          <w:color w:val="auto"/>
          <w:sz w:val="28"/>
          <w:szCs w:val="28"/>
          <w:highlight w:val="none"/>
        </w:rPr>
      </w:pPr>
    </w:p>
    <w:p>
      <w:pPr>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说明：</w:t>
      </w:r>
    </w:p>
    <w:p>
      <w:pPr>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1.</w:t>
      </w: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一览表按格式填列；</w:t>
      </w:r>
    </w:p>
    <w:p>
      <w:pPr>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2.</w:t>
      </w: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 xml:space="preserve">一览表务必填写清楚，准确无误； </w:t>
      </w:r>
    </w:p>
    <w:p>
      <w:pPr>
        <w:snapToGrid w:val="0"/>
        <w:spacing w:line="360" w:lineRule="auto"/>
        <w:ind w:firstLine="560" w:firstLineChars="200"/>
        <w:rPr>
          <w:rFonts w:hAnsi="宋体" w:cs="宋体"/>
          <w:color w:val="auto"/>
          <w:sz w:val="28"/>
          <w:szCs w:val="28"/>
          <w:highlight w:val="none"/>
        </w:rPr>
      </w:pPr>
    </w:p>
    <w:p>
      <w:pPr>
        <w:snapToGrid w:val="0"/>
        <w:spacing w:line="360" w:lineRule="auto"/>
        <w:ind w:firstLine="560" w:firstLineChars="200"/>
        <w:rPr>
          <w:rFonts w:hAnsi="宋体" w:cs="宋体"/>
          <w:color w:val="auto"/>
          <w:sz w:val="28"/>
          <w:szCs w:val="28"/>
          <w:highlight w:val="none"/>
        </w:rPr>
      </w:pPr>
    </w:p>
    <w:p>
      <w:pPr>
        <w:snapToGrid w:val="0"/>
        <w:spacing w:line="500" w:lineRule="exact"/>
        <w:ind w:firstLine="680" w:firstLineChars="200"/>
        <w:rPr>
          <w:rFonts w:ascii="方正仿宋_GBK" w:hAnsi="仿宋" w:eastAsia="方正仿宋_GBK"/>
          <w:color w:val="auto"/>
          <w:sz w:val="24"/>
          <w:szCs w:val="28"/>
          <w:highlight w:val="none"/>
        </w:rPr>
      </w:pPr>
      <w:r>
        <w:rPr>
          <w:rFonts w:hint="eastAsia" w:ascii="方正仿宋_GBK" w:hAnsi="仿宋" w:eastAsia="方正仿宋_GBK"/>
          <w:color w:val="auto"/>
          <w:szCs w:val="36"/>
          <w:highlight w:val="none"/>
        </w:rPr>
        <w:t>（二）分项报价明细表</w:t>
      </w:r>
    </w:p>
    <w:p>
      <w:pPr>
        <w:spacing w:line="500" w:lineRule="exact"/>
        <w:rPr>
          <w:rFonts w:ascii="方正仿宋_GBK" w:hAnsi="仿宋" w:eastAsia="方正仿宋_GBK"/>
          <w:color w:val="auto"/>
          <w:sz w:val="24"/>
          <w:szCs w:val="28"/>
          <w:highlight w:val="none"/>
        </w:rPr>
      </w:pPr>
      <w:r>
        <w:rPr>
          <w:rFonts w:hint="eastAsia" w:ascii="方正仿宋_GBK" w:hAnsi="仿宋" w:eastAsia="方正仿宋_GBK"/>
          <w:color w:val="auto"/>
          <w:sz w:val="24"/>
          <w:szCs w:val="28"/>
          <w:highlight w:val="none"/>
          <w:lang w:eastAsia="zh-CN"/>
        </w:rPr>
        <w:t>采购项目</w:t>
      </w:r>
      <w:r>
        <w:rPr>
          <w:rFonts w:hint="eastAsia" w:ascii="方正仿宋_GBK" w:hAnsi="仿宋" w:eastAsia="方正仿宋_GBK"/>
          <w:color w:val="auto"/>
          <w:sz w:val="24"/>
          <w:szCs w:val="28"/>
          <w:highlight w:val="none"/>
        </w:rPr>
        <w:t>名称：</w:t>
      </w:r>
    </w:p>
    <w:p>
      <w:pPr>
        <w:spacing w:line="500" w:lineRule="exact"/>
        <w:rPr>
          <w:rFonts w:ascii="方正仿宋_GBK" w:hAnsi="仿宋" w:eastAsia="方正仿宋_GBK"/>
          <w:color w:val="auto"/>
          <w:sz w:val="24"/>
          <w:szCs w:val="28"/>
          <w:highlight w:val="none"/>
        </w:rPr>
      </w:pPr>
      <w:r>
        <w:rPr>
          <w:rFonts w:hint="eastAsia" w:ascii="方正仿宋_GBK" w:hAnsi="仿宋" w:eastAsia="方正仿宋_GBK"/>
          <w:color w:val="auto"/>
          <w:sz w:val="24"/>
          <w:szCs w:val="28"/>
          <w:highlight w:val="none"/>
        </w:rPr>
        <w:t xml:space="preserve">                                                         单位：元</w:t>
      </w:r>
    </w:p>
    <w:tbl>
      <w:tblPr>
        <w:tblStyle w:val="13"/>
        <w:tblW w:w="96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4"/>
        <w:gridCol w:w="934"/>
        <w:gridCol w:w="2474"/>
        <w:gridCol w:w="1242"/>
        <w:gridCol w:w="1242"/>
        <w:gridCol w:w="934"/>
        <w:gridCol w:w="934"/>
        <w:gridCol w:w="9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exact"/>
          <w:jc w:val="center"/>
        </w:trPr>
        <w:tc>
          <w:tcPr>
            <w:tcW w:w="934" w:type="dxa"/>
            <w:vAlign w:val="center"/>
          </w:tcPr>
          <w:p>
            <w:pPr>
              <w:rPr>
                <w:color w:val="auto"/>
                <w:highlight w:val="none"/>
              </w:rPr>
            </w:pPr>
            <w:r>
              <w:rPr>
                <w:rFonts w:hint="eastAsia"/>
                <w:color w:val="auto"/>
                <w:highlight w:val="none"/>
              </w:rPr>
              <w:t>序号</w:t>
            </w:r>
          </w:p>
        </w:tc>
        <w:tc>
          <w:tcPr>
            <w:tcW w:w="934" w:type="dxa"/>
            <w:vAlign w:val="center"/>
          </w:tcPr>
          <w:p>
            <w:pPr>
              <w:rPr>
                <w:color w:val="auto"/>
                <w:highlight w:val="none"/>
              </w:rPr>
            </w:pPr>
            <w:r>
              <w:rPr>
                <w:rFonts w:hint="eastAsia"/>
                <w:color w:val="auto"/>
                <w:highlight w:val="none"/>
              </w:rPr>
              <w:t>名称</w:t>
            </w:r>
          </w:p>
        </w:tc>
        <w:tc>
          <w:tcPr>
            <w:tcW w:w="2474" w:type="dxa"/>
            <w:vAlign w:val="center"/>
          </w:tcPr>
          <w:p>
            <w:pPr>
              <w:rPr>
                <w:color w:val="auto"/>
                <w:highlight w:val="none"/>
              </w:rPr>
            </w:pPr>
            <w:r>
              <w:rPr>
                <w:rFonts w:hint="eastAsia"/>
                <w:color w:val="auto"/>
                <w:highlight w:val="none"/>
              </w:rPr>
              <w:t>品牌、规格型号</w:t>
            </w:r>
          </w:p>
        </w:tc>
        <w:tc>
          <w:tcPr>
            <w:tcW w:w="1242" w:type="dxa"/>
            <w:vAlign w:val="center"/>
          </w:tcPr>
          <w:p>
            <w:pPr>
              <w:rPr>
                <w:color w:val="auto"/>
                <w:highlight w:val="none"/>
              </w:rPr>
            </w:pPr>
            <w:r>
              <w:rPr>
                <w:rFonts w:hint="eastAsia"/>
                <w:color w:val="auto"/>
                <w:highlight w:val="none"/>
              </w:rPr>
              <w:t>制造商</w:t>
            </w:r>
          </w:p>
        </w:tc>
        <w:tc>
          <w:tcPr>
            <w:tcW w:w="1242" w:type="dxa"/>
            <w:vAlign w:val="center"/>
          </w:tcPr>
          <w:p>
            <w:pPr>
              <w:rPr>
                <w:color w:val="auto"/>
                <w:highlight w:val="none"/>
              </w:rPr>
            </w:pPr>
            <w:r>
              <w:rPr>
                <w:rFonts w:hint="eastAsia"/>
                <w:color w:val="auto"/>
                <w:highlight w:val="none"/>
              </w:rPr>
              <w:t>原产地</w:t>
            </w:r>
          </w:p>
        </w:tc>
        <w:tc>
          <w:tcPr>
            <w:tcW w:w="934" w:type="dxa"/>
            <w:vAlign w:val="center"/>
          </w:tcPr>
          <w:p>
            <w:pPr>
              <w:rPr>
                <w:color w:val="auto"/>
                <w:highlight w:val="none"/>
              </w:rPr>
            </w:pPr>
            <w:r>
              <w:rPr>
                <w:rFonts w:hint="eastAsia"/>
                <w:color w:val="auto"/>
                <w:highlight w:val="none"/>
              </w:rPr>
              <w:t>数量</w:t>
            </w:r>
          </w:p>
        </w:tc>
        <w:tc>
          <w:tcPr>
            <w:tcW w:w="934" w:type="dxa"/>
            <w:vAlign w:val="center"/>
          </w:tcPr>
          <w:p>
            <w:pPr>
              <w:rPr>
                <w:color w:val="auto"/>
                <w:highlight w:val="none"/>
              </w:rPr>
            </w:pPr>
            <w:r>
              <w:rPr>
                <w:rFonts w:hint="eastAsia"/>
                <w:color w:val="auto"/>
                <w:highlight w:val="none"/>
              </w:rPr>
              <w:t>单价</w:t>
            </w:r>
          </w:p>
        </w:tc>
        <w:tc>
          <w:tcPr>
            <w:tcW w:w="934" w:type="dxa"/>
            <w:vAlign w:val="center"/>
          </w:tcPr>
          <w:p>
            <w:pPr>
              <w:rPr>
                <w:color w:val="auto"/>
                <w:highlight w:val="none"/>
              </w:rPr>
            </w:pPr>
            <w:r>
              <w:rPr>
                <w:rFonts w:hint="eastAsia"/>
                <w:color w:val="auto"/>
                <w:highlight w:val="none"/>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1</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2</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3</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4</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5</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6</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7</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8</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r>
              <w:rPr>
                <w:rFonts w:hint="eastAsia"/>
                <w:color w:val="auto"/>
                <w:highlight w:val="none"/>
              </w:rPr>
              <w:t>/</w:t>
            </w: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9</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r>
              <w:rPr>
                <w:rFonts w:hint="eastAsia"/>
                <w:color w:val="auto"/>
                <w:highlight w:val="none"/>
              </w:rPr>
              <w:t>/</w:t>
            </w: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10</w:t>
            </w:r>
          </w:p>
        </w:tc>
        <w:tc>
          <w:tcPr>
            <w:tcW w:w="934" w:type="dxa"/>
            <w:vAlign w:val="center"/>
          </w:tcPr>
          <w:p>
            <w:pPr>
              <w:rPr>
                <w:color w:val="auto"/>
                <w:highlight w:val="none"/>
              </w:rPr>
            </w:pP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r>
              <w:rPr>
                <w:rFonts w:hint="eastAsia"/>
                <w:color w:val="auto"/>
                <w:highlight w:val="none"/>
              </w:rPr>
              <w:t>/</w:t>
            </w: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11</w:t>
            </w:r>
          </w:p>
        </w:tc>
        <w:tc>
          <w:tcPr>
            <w:tcW w:w="934" w:type="dxa"/>
            <w:vAlign w:val="center"/>
          </w:tcPr>
          <w:p>
            <w:pPr>
              <w:rPr>
                <w:color w:val="auto"/>
                <w:highlight w:val="none"/>
              </w:rPr>
            </w:pPr>
            <w:r>
              <w:rPr>
                <w:rFonts w:hint="eastAsia"/>
                <w:color w:val="auto"/>
                <w:highlight w:val="none"/>
              </w:rPr>
              <w:t>……</w:t>
            </w:r>
          </w:p>
        </w:tc>
        <w:tc>
          <w:tcPr>
            <w:tcW w:w="2474" w:type="dxa"/>
          </w:tcPr>
          <w:p>
            <w:pPr>
              <w:rPr>
                <w:color w:val="auto"/>
                <w:highlight w:val="none"/>
              </w:rPr>
            </w:pPr>
          </w:p>
        </w:tc>
        <w:tc>
          <w:tcPr>
            <w:tcW w:w="1242" w:type="dxa"/>
          </w:tcPr>
          <w:p>
            <w:pPr>
              <w:rPr>
                <w:color w:val="auto"/>
                <w:highlight w:val="none"/>
              </w:rPr>
            </w:pPr>
          </w:p>
        </w:tc>
        <w:tc>
          <w:tcPr>
            <w:tcW w:w="1242" w:type="dxa"/>
          </w:tcPr>
          <w:p>
            <w:pPr>
              <w:rPr>
                <w:color w:val="auto"/>
                <w:highlight w:val="none"/>
              </w:rPr>
            </w:pPr>
          </w:p>
        </w:tc>
        <w:tc>
          <w:tcPr>
            <w:tcW w:w="934" w:type="dxa"/>
            <w:vAlign w:val="center"/>
          </w:tcPr>
          <w:p>
            <w:pPr>
              <w:rPr>
                <w:color w:val="auto"/>
                <w:highlight w:val="none"/>
              </w:rPr>
            </w:pPr>
            <w:r>
              <w:rPr>
                <w:rFonts w:hint="eastAsia"/>
                <w:color w:val="auto"/>
                <w:highlight w:val="none"/>
              </w:rPr>
              <w:t>/</w:t>
            </w:r>
          </w:p>
        </w:tc>
        <w:tc>
          <w:tcPr>
            <w:tcW w:w="934" w:type="dxa"/>
          </w:tcPr>
          <w:p>
            <w:pPr>
              <w:rPr>
                <w:color w:val="auto"/>
                <w:highlight w:val="none"/>
              </w:rPr>
            </w:pPr>
          </w:p>
        </w:tc>
        <w:tc>
          <w:tcPr>
            <w:tcW w:w="934" w:type="dxa"/>
          </w:tcPr>
          <w:p>
            <w:pPr>
              <w:rPr>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34" w:type="dxa"/>
            <w:vAlign w:val="center"/>
          </w:tcPr>
          <w:p>
            <w:pPr>
              <w:rPr>
                <w:color w:val="auto"/>
                <w:highlight w:val="none"/>
              </w:rPr>
            </w:pPr>
            <w:r>
              <w:rPr>
                <w:rFonts w:hint="eastAsia"/>
                <w:color w:val="auto"/>
                <w:highlight w:val="none"/>
              </w:rPr>
              <w:t>12</w:t>
            </w:r>
          </w:p>
        </w:tc>
        <w:tc>
          <w:tcPr>
            <w:tcW w:w="934" w:type="dxa"/>
            <w:vAlign w:val="center"/>
          </w:tcPr>
          <w:p>
            <w:pPr>
              <w:rPr>
                <w:color w:val="auto"/>
                <w:highlight w:val="none"/>
              </w:rPr>
            </w:pPr>
            <w:r>
              <w:rPr>
                <w:rFonts w:hint="eastAsia"/>
                <w:color w:val="auto"/>
                <w:highlight w:val="none"/>
              </w:rPr>
              <w:t>总计</w:t>
            </w:r>
          </w:p>
        </w:tc>
        <w:tc>
          <w:tcPr>
            <w:tcW w:w="7760" w:type="dxa"/>
            <w:gridSpan w:val="6"/>
          </w:tcPr>
          <w:p>
            <w:pPr>
              <w:rPr>
                <w:color w:val="auto"/>
                <w:highlight w:val="none"/>
              </w:rPr>
            </w:pPr>
          </w:p>
        </w:tc>
      </w:tr>
    </w:tbl>
    <w:p>
      <w:pPr>
        <w:spacing w:line="500" w:lineRule="exact"/>
        <w:ind w:firstLine="480" w:firstLineChars="200"/>
        <w:rPr>
          <w:rFonts w:ascii="方正仿宋_GBK" w:hAnsi="仿宋" w:eastAsia="方正仿宋_GBK"/>
          <w:color w:val="auto"/>
          <w:sz w:val="24"/>
          <w:szCs w:val="28"/>
          <w:highlight w:val="none"/>
        </w:rPr>
      </w:pPr>
    </w:p>
    <w:p>
      <w:pPr>
        <w:spacing w:line="500" w:lineRule="exact"/>
        <w:ind w:firstLine="600" w:firstLineChars="250"/>
        <w:rPr>
          <w:rFonts w:ascii="方正仿宋_GBK" w:hAnsi="仿宋" w:eastAsia="方正仿宋_GBK"/>
          <w:color w:val="auto"/>
          <w:sz w:val="24"/>
          <w:szCs w:val="28"/>
          <w:highlight w:val="none"/>
        </w:rPr>
      </w:pPr>
      <w:r>
        <w:rPr>
          <w:rFonts w:hint="eastAsia" w:ascii="方正仿宋_GBK" w:hAnsi="仿宋" w:eastAsia="方正仿宋_GBK"/>
          <w:color w:val="auto"/>
          <w:sz w:val="24"/>
          <w:szCs w:val="28"/>
          <w:highlight w:val="none"/>
        </w:rPr>
        <w:t>投标人：                           法定代表人或法定代表人授权代表：</w:t>
      </w:r>
    </w:p>
    <w:p>
      <w:pPr>
        <w:spacing w:line="500" w:lineRule="exact"/>
        <w:rPr>
          <w:rFonts w:ascii="方正仿宋_GBK" w:hAnsi="仿宋" w:eastAsia="方正仿宋_GBK"/>
          <w:color w:val="auto"/>
          <w:sz w:val="24"/>
          <w:szCs w:val="28"/>
          <w:highlight w:val="none"/>
        </w:rPr>
      </w:pPr>
      <w:r>
        <w:rPr>
          <w:rFonts w:hint="eastAsia" w:ascii="方正仿宋_GBK" w:hAnsi="仿宋" w:eastAsia="方正仿宋_GBK"/>
          <w:color w:val="auto"/>
          <w:sz w:val="24"/>
          <w:szCs w:val="28"/>
          <w:highlight w:val="none"/>
        </w:rPr>
        <w:t xml:space="preserve">  （投标人公章）                               （签字或盖章）</w:t>
      </w:r>
    </w:p>
    <w:p>
      <w:pPr>
        <w:spacing w:line="500" w:lineRule="exact"/>
        <w:rPr>
          <w:rFonts w:ascii="方正仿宋_GBK" w:hAnsi="仿宋" w:eastAsia="方正仿宋_GBK"/>
          <w:color w:val="auto"/>
          <w:sz w:val="24"/>
          <w:szCs w:val="28"/>
          <w:highlight w:val="none"/>
        </w:rPr>
      </w:pPr>
    </w:p>
    <w:p>
      <w:pPr>
        <w:spacing w:line="500" w:lineRule="exact"/>
        <w:rPr>
          <w:rFonts w:ascii="方正仿宋_GBK" w:hAnsi="仿宋" w:eastAsia="方正仿宋_GBK"/>
          <w:color w:val="auto"/>
          <w:sz w:val="24"/>
          <w:szCs w:val="28"/>
          <w:highlight w:val="none"/>
        </w:rPr>
      </w:pPr>
    </w:p>
    <w:p>
      <w:pPr>
        <w:snapToGrid w:val="0"/>
        <w:spacing w:line="500" w:lineRule="exact"/>
        <w:ind w:firstLine="480" w:firstLineChars="200"/>
        <w:rPr>
          <w:rFonts w:ascii="方正仿宋_GBK" w:hAnsi="仿宋" w:eastAsia="方正仿宋_GBK"/>
          <w:color w:val="auto"/>
          <w:sz w:val="24"/>
          <w:szCs w:val="28"/>
          <w:highlight w:val="none"/>
        </w:rPr>
      </w:pPr>
      <w:r>
        <w:rPr>
          <w:rFonts w:hint="eastAsia" w:ascii="方正仿宋_GBK" w:hAnsi="仿宋" w:eastAsia="方正仿宋_GBK"/>
          <w:color w:val="auto"/>
          <w:sz w:val="24"/>
          <w:szCs w:val="28"/>
          <w:highlight w:val="none"/>
        </w:rPr>
        <w:t xml:space="preserve">                                            年     月     日</w:t>
      </w:r>
    </w:p>
    <w:p>
      <w:pPr>
        <w:snapToGrid w:val="0"/>
        <w:spacing w:line="500" w:lineRule="exact"/>
        <w:ind w:firstLine="480" w:firstLineChars="200"/>
        <w:rPr>
          <w:rFonts w:ascii="方正仿宋_GBK" w:hAnsi="仿宋" w:eastAsia="方正仿宋_GBK"/>
          <w:color w:val="auto"/>
          <w:sz w:val="24"/>
          <w:szCs w:val="28"/>
          <w:highlight w:val="none"/>
        </w:rPr>
      </w:pPr>
    </w:p>
    <w:p>
      <w:pPr>
        <w:snapToGrid w:val="0"/>
        <w:spacing w:line="500" w:lineRule="exact"/>
        <w:ind w:firstLine="480" w:firstLineChars="200"/>
        <w:rPr>
          <w:rFonts w:ascii="方正仿宋_GBK" w:hAnsi="仿宋" w:eastAsia="方正仿宋_GBK"/>
          <w:color w:val="auto"/>
          <w:sz w:val="24"/>
          <w:szCs w:val="28"/>
          <w:highlight w:val="none"/>
        </w:rPr>
      </w:pPr>
      <w:r>
        <w:rPr>
          <w:rFonts w:hint="eastAsia" w:ascii="方正仿宋_GBK" w:hAnsi="仿宋" w:eastAsia="方正仿宋_GBK"/>
          <w:color w:val="auto"/>
          <w:sz w:val="24"/>
          <w:szCs w:val="28"/>
          <w:highlight w:val="none"/>
        </w:rPr>
        <w:t>注：</w:t>
      </w:r>
    </w:p>
    <w:p>
      <w:pPr>
        <w:snapToGrid w:val="0"/>
        <w:spacing w:line="500" w:lineRule="exact"/>
        <w:ind w:firstLine="480" w:firstLineChars="200"/>
        <w:rPr>
          <w:rFonts w:ascii="方正仿宋_GBK" w:hAnsi="仿宋" w:eastAsia="方正仿宋_GBK"/>
          <w:color w:val="auto"/>
          <w:sz w:val="24"/>
          <w:szCs w:val="28"/>
          <w:highlight w:val="none"/>
        </w:rPr>
      </w:pPr>
      <w:r>
        <w:rPr>
          <w:rFonts w:hint="eastAsia" w:ascii="方正仿宋_GBK" w:hAnsi="仿宋" w:eastAsia="方正仿宋_GBK"/>
          <w:color w:val="auto"/>
          <w:sz w:val="24"/>
          <w:szCs w:val="28"/>
          <w:highlight w:val="none"/>
        </w:rPr>
        <w:t>1.请投标人完整填写本表；</w:t>
      </w:r>
    </w:p>
    <w:p>
      <w:pPr>
        <w:snapToGrid w:val="0"/>
        <w:spacing w:line="500" w:lineRule="exact"/>
        <w:ind w:firstLine="480" w:firstLineChars="200"/>
        <w:rPr>
          <w:rFonts w:ascii="方正仿宋_GBK" w:hAnsi="仿宋" w:eastAsia="方正仿宋_GBK"/>
          <w:color w:val="auto"/>
          <w:sz w:val="24"/>
          <w:szCs w:val="28"/>
          <w:highlight w:val="none"/>
        </w:rPr>
      </w:pPr>
      <w:r>
        <w:rPr>
          <w:rFonts w:hint="eastAsia" w:ascii="方正仿宋_GBK" w:hAnsi="仿宋" w:eastAsia="方正仿宋_GBK"/>
          <w:color w:val="auto"/>
          <w:sz w:val="24"/>
          <w:szCs w:val="28"/>
          <w:highlight w:val="none"/>
        </w:rPr>
        <w:t>2.该表可扩展，并逐页签字或盖章。</w:t>
      </w:r>
    </w:p>
    <w:p>
      <w:pPr>
        <w:snapToGrid w:val="0"/>
        <w:spacing w:line="360" w:lineRule="auto"/>
        <w:ind w:firstLine="560" w:firstLineChars="200"/>
        <w:rPr>
          <w:rFonts w:hAnsi="宋体" w:cs="宋体"/>
          <w:color w:val="auto"/>
          <w:sz w:val="28"/>
          <w:szCs w:val="28"/>
          <w:highlight w:val="none"/>
        </w:rPr>
      </w:pPr>
    </w:p>
    <w:p>
      <w:pPr>
        <w:snapToGrid w:val="0"/>
        <w:spacing w:line="360" w:lineRule="auto"/>
        <w:ind w:firstLine="560" w:firstLineChars="200"/>
        <w:rPr>
          <w:rFonts w:hAnsi="宋体" w:cs="宋体"/>
          <w:color w:val="auto"/>
          <w:sz w:val="28"/>
          <w:szCs w:val="28"/>
          <w:highlight w:val="none"/>
        </w:rPr>
      </w:pPr>
    </w:p>
    <w:p>
      <w:pPr>
        <w:rPr>
          <w:color w:val="auto"/>
          <w:highlight w:val="none"/>
        </w:rPr>
      </w:pPr>
    </w:p>
    <w:p>
      <w:pPr>
        <w:rPr>
          <w:color w:val="auto"/>
          <w:highlight w:val="none"/>
        </w:rPr>
      </w:pPr>
    </w:p>
    <w:p>
      <w:pPr>
        <w:pStyle w:val="3"/>
        <w:rPr>
          <w:color w:val="auto"/>
          <w:highlight w:val="none"/>
        </w:rPr>
      </w:pPr>
      <w:bookmarkStart w:id="84" w:name="_Toc98942906"/>
      <w:r>
        <w:rPr>
          <w:rFonts w:hint="eastAsia"/>
          <w:color w:val="auto"/>
          <w:highlight w:val="none"/>
        </w:rPr>
        <w:t>二、技术文件</w:t>
      </w:r>
      <w:bookmarkEnd w:id="84"/>
    </w:p>
    <w:p>
      <w:pPr>
        <w:tabs>
          <w:tab w:val="left" w:pos="6300"/>
        </w:tabs>
        <w:snapToGrid w:val="0"/>
        <w:spacing w:line="360" w:lineRule="auto"/>
        <w:ind w:firstLine="570"/>
        <w:jc w:val="left"/>
        <w:rPr>
          <w:rFonts w:hAnsi="宋体" w:cs="宋体"/>
          <w:color w:val="auto"/>
          <w:sz w:val="28"/>
          <w:szCs w:val="28"/>
          <w:highlight w:val="none"/>
        </w:rPr>
      </w:pPr>
      <w:r>
        <w:rPr>
          <w:rFonts w:hint="eastAsia" w:hAnsi="宋体" w:cs="宋体"/>
          <w:color w:val="auto"/>
          <w:sz w:val="28"/>
          <w:szCs w:val="28"/>
          <w:highlight w:val="none"/>
        </w:rPr>
        <w:t xml:space="preserve">                  （一）技术条款差异表</w:t>
      </w:r>
    </w:p>
    <w:p>
      <w:pPr>
        <w:spacing w:line="360" w:lineRule="auto"/>
        <w:jc w:val="left"/>
        <w:rPr>
          <w:rFonts w:hAnsi="宋体" w:cs="宋体"/>
          <w:color w:val="auto"/>
          <w:sz w:val="28"/>
          <w:szCs w:val="28"/>
          <w:highlight w:val="none"/>
        </w:rPr>
      </w:pPr>
      <w:bookmarkStart w:id="85" w:name="_Toc19113862"/>
      <w:r>
        <w:rPr>
          <w:rFonts w:hint="eastAsia" w:hAnsi="宋体" w:cs="宋体"/>
          <w:color w:val="auto"/>
          <w:sz w:val="28"/>
          <w:szCs w:val="28"/>
          <w:highlight w:val="none"/>
        </w:rPr>
        <w:t xml:space="preserve">         </w:t>
      </w: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名称：</w:t>
      </w:r>
      <w:bookmarkEnd w:id="85"/>
    </w:p>
    <w:tbl>
      <w:tblPr>
        <w:tblStyle w:val="13"/>
        <w:tblW w:w="7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9"/>
        <w:gridCol w:w="2428"/>
        <w:gridCol w:w="2520"/>
        <w:gridCol w:w="1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039" w:type="dxa"/>
            <w:vAlign w:val="center"/>
          </w:tcPr>
          <w:p>
            <w:pPr>
              <w:spacing w:line="360" w:lineRule="auto"/>
              <w:jc w:val="center"/>
              <w:rPr>
                <w:rFonts w:hAnsi="宋体" w:cs="宋体"/>
                <w:color w:val="auto"/>
                <w:sz w:val="28"/>
                <w:szCs w:val="28"/>
                <w:highlight w:val="none"/>
              </w:rPr>
            </w:pPr>
            <w:bookmarkStart w:id="86" w:name="_Toc19113863"/>
            <w:r>
              <w:rPr>
                <w:rFonts w:hint="eastAsia" w:hAnsi="宋体" w:cs="宋体"/>
                <w:color w:val="auto"/>
                <w:sz w:val="28"/>
                <w:szCs w:val="28"/>
                <w:highlight w:val="none"/>
              </w:rPr>
              <w:t>序号</w:t>
            </w:r>
            <w:bookmarkEnd w:id="86"/>
          </w:p>
        </w:tc>
        <w:tc>
          <w:tcPr>
            <w:tcW w:w="2428" w:type="dxa"/>
            <w:vAlign w:val="center"/>
          </w:tcPr>
          <w:p>
            <w:pPr>
              <w:spacing w:line="360" w:lineRule="auto"/>
              <w:jc w:val="center"/>
              <w:rPr>
                <w:rFonts w:hAnsi="宋体" w:cs="宋体"/>
                <w:color w:val="auto"/>
                <w:sz w:val="28"/>
                <w:szCs w:val="28"/>
                <w:highlight w:val="none"/>
              </w:rPr>
            </w:pPr>
            <w:bookmarkStart w:id="87" w:name="_Toc19113864"/>
            <w:r>
              <w:rPr>
                <w:rFonts w:hint="eastAsia" w:hAnsi="宋体" w:cs="宋体"/>
                <w:color w:val="auto"/>
                <w:sz w:val="28"/>
                <w:szCs w:val="28"/>
                <w:highlight w:val="none"/>
              </w:rPr>
              <w:t>招标要求</w:t>
            </w:r>
            <w:bookmarkEnd w:id="87"/>
          </w:p>
        </w:tc>
        <w:tc>
          <w:tcPr>
            <w:tcW w:w="2520" w:type="dxa"/>
            <w:vAlign w:val="center"/>
          </w:tcPr>
          <w:p>
            <w:pPr>
              <w:spacing w:line="360" w:lineRule="auto"/>
              <w:jc w:val="center"/>
              <w:rPr>
                <w:rFonts w:hAnsi="宋体" w:cs="宋体"/>
                <w:color w:val="auto"/>
                <w:sz w:val="28"/>
                <w:szCs w:val="28"/>
                <w:highlight w:val="none"/>
              </w:rPr>
            </w:pPr>
            <w:bookmarkStart w:id="88" w:name="_Toc19113865"/>
            <w:r>
              <w:rPr>
                <w:rFonts w:hint="eastAsia" w:hAnsi="宋体" w:cs="宋体"/>
                <w:color w:val="auto"/>
                <w:sz w:val="28"/>
                <w:szCs w:val="28"/>
                <w:highlight w:val="none"/>
              </w:rPr>
              <w:t>投标应答</w:t>
            </w:r>
            <w:bookmarkEnd w:id="88"/>
          </w:p>
        </w:tc>
        <w:tc>
          <w:tcPr>
            <w:tcW w:w="1888" w:type="dxa"/>
            <w:vAlign w:val="center"/>
          </w:tcPr>
          <w:p>
            <w:pPr>
              <w:spacing w:line="360" w:lineRule="auto"/>
              <w:jc w:val="center"/>
              <w:rPr>
                <w:rFonts w:hAnsi="宋体" w:cs="宋体"/>
                <w:color w:val="auto"/>
                <w:sz w:val="28"/>
                <w:szCs w:val="28"/>
                <w:highlight w:val="none"/>
              </w:rPr>
            </w:pPr>
            <w:bookmarkStart w:id="89" w:name="_Toc19113866"/>
            <w:r>
              <w:rPr>
                <w:rFonts w:hint="eastAsia" w:hAnsi="宋体" w:cs="宋体"/>
                <w:color w:val="auto"/>
                <w:sz w:val="28"/>
                <w:szCs w:val="28"/>
                <w:highlight w:val="none"/>
              </w:rPr>
              <w:t>差异说明</w:t>
            </w:r>
            <w:bookmarkEnd w:id="8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r>
              <w:rPr>
                <w:rFonts w:hint="eastAsia" w:ascii="宋体" w:hAnsi="宋体" w:cs="宋体"/>
                <w:color w:val="auto"/>
                <w:sz w:val="21"/>
                <w:szCs w:val="21"/>
                <w:highlight w:val="none"/>
              </w:rPr>
              <w:t>提醒：请注明技术参数或具体内容以及投标文件中技术参数或具体内容的位置（页码）</w:t>
            </w: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bl>
    <w:p>
      <w:pPr>
        <w:spacing w:line="360" w:lineRule="auto"/>
        <w:ind w:firstLine="700" w:firstLineChars="250"/>
        <w:rPr>
          <w:rFonts w:hAnsi="宋体" w:cs="宋体"/>
          <w:color w:val="auto"/>
          <w:sz w:val="28"/>
          <w:szCs w:val="28"/>
          <w:highlight w:val="none"/>
        </w:rPr>
      </w:pPr>
      <w:r>
        <w:rPr>
          <w:rFonts w:hint="eastAsia" w:hAnsi="宋体" w:cs="宋体"/>
          <w:color w:val="auto"/>
          <w:sz w:val="28"/>
          <w:szCs w:val="28"/>
          <w:highlight w:val="none"/>
        </w:rPr>
        <w:t xml:space="preserve">  投标人：                      法定代表人或法定代表人授权代表：</w:t>
      </w:r>
    </w:p>
    <w:p>
      <w:pPr>
        <w:spacing w:line="360" w:lineRule="auto"/>
        <w:rPr>
          <w:rFonts w:hAnsi="宋体" w:cs="宋体"/>
          <w:color w:val="auto"/>
          <w:sz w:val="28"/>
          <w:szCs w:val="28"/>
          <w:highlight w:val="none"/>
        </w:rPr>
      </w:pPr>
    </w:p>
    <w:p>
      <w:pPr>
        <w:spacing w:line="360" w:lineRule="auto"/>
        <w:ind w:firstLine="700" w:firstLineChars="250"/>
        <w:rPr>
          <w:rFonts w:hAnsi="宋体" w:cs="宋体"/>
          <w:color w:val="auto"/>
          <w:sz w:val="28"/>
          <w:szCs w:val="28"/>
          <w:highlight w:val="none"/>
        </w:rPr>
      </w:pPr>
    </w:p>
    <w:p>
      <w:pPr>
        <w:spacing w:line="360" w:lineRule="auto"/>
        <w:rPr>
          <w:rFonts w:hAnsi="宋体" w:cs="宋体"/>
          <w:color w:val="auto"/>
          <w:sz w:val="28"/>
          <w:szCs w:val="28"/>
          <w:highlight w:val="none"/>
        </w:rPr>
      </w:pPr>
      <w:r>
        <w:rPr>
          <w:rFonts w:hint="eastAsia" w:hAnsi="宋体" w:cs="宋体"/>
          <w:color w:val="auto"/>
          <w:sz w:val="28"/>
          <w:szCs w:val="28"/>
          <w:highlight w:val="none"/>
        </w:rPr>
        <w:t xml:space="preserve">     （投标人公章）                               （签字或盖章）</w:t>
      </w:r>
    </w:p>
    <w:p>
      <w:pPr>
        <w:tabs>
          <w:tab w:val="left" w:pos="6300"/>
        </w:tabs>
        <w:snapToGrid w:val="0"/>
        <w:spacing w:line="360" w:lineRule="auto"/>
        <w:ind w:firstLine="570"/>
        <w:jc w:val="center"/>
        <w:rPr>
          <w:rFonts w:hAnsi="宋体" w:cs="宋体"/>
          <w:color w:val="auto"/>
          <w:sz w:val="28"/>
          <w:szCs w:val="28"/>
          <w:highlight w:val="none"/>
        </w:rPr>
      </w:pPr>
      <w:r>
        <w:rPr>
          <w:rFonts w:hint="eastAsia" w:hAnsi="宋体" w:cs="宋体"/>
          <w:color w:val="auto"/>
          <w:sz w:val="28"/>
          <w:szCs w:val="28"/>
          <w:highlight w:val="none"/>
        </w:rPr>
        <w:t xml:space="preserve">                            年     月     日</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注：</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1.本表即为对本项目“</w:t>
      </w:r>
      <w:r>
        <w:rPr>
          <w:rFonts w:hint="eastAsia" w:hAnsi="宋体" w:cs="宋体"/>
          <w:color w:val="auto"/>
          <w:sz w:val="28"/>
          <w:szCs w:val="28"/>
          <w:highlight w:val="none"/>
          <w:lang w:eastAsia="zh-CN"/>
        </w:rPr>
        <w:t>技术</w:t>
      </w:r>
      <w:r>
        <w:rPr>
          <w:rFonts w:hint="eastAsia" w:hAnsi="宋体" w:cs="宋体"/>
          <w:color w:val="auto"/>
          <w:sz w:val="28"/>
          <w:szCs w:val="28"/>
          <w:highlight w:val="none"/>
        </w:rPr>
        <w:t>要求”中所列</w:t>
      </w:r>
      <w:r>
        <w:rPr>
          <w:rFonts w:hint="eastAsia" w:hAnsi="宋体" w:cs="宋体"/>
          <w:color w:val="auto"/>
          <w:sz w:val="28"/>
          <w:szCs w:val="28"/>
          <w:highlight w:val="none"/>
          <w:lang w:eastAsia="zh-CN"/>
        </w:rPr>
        <w:t>技术</w:t>
      </w:r>
      <w:r>
        <w:rPr>
          <w:rFonts w:hint="eastAsia" w:hAnsi="宋体" w:cs="宋体"/>
          <w:color w:val="auto"/>
          <w:sz w:val="28"/>
          <w:szCs w:val="28"/>
          <w:highlight w:val="none"/>
        </w:rPr>
        <w:t>要求进行比较和响应；</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2.该表必须按照</w:t>
      </w:r>
      <w:r>
        <w:rPr>
          <w:rFonts w:hint="eastAsia" w:hAnsi="宋体" w:cs="宋体"/>
          <w:color w:val="auto"/>
          <w:sz w:val="28"/>
          <w:szCs w:val="28"/>
          <w:highlight w:val="none"/>
          <w:lang w:eastAsia="zh-CN"/>
        </w:rPr>
        <w:t>竞争性比选文件</w:t>
      </w:r>
      <w:r>
        <w:rPr>
          <w:rFonts w:hint="eastAsia" w:hAnsi="宋体" w:cs="宋体"/>
          <w:color w:val="auto"/>
          <w:sz w:val="28"/>
          <w:szCs w:val="28"/>
          <w:highlight w:val="none"/>
        </w:rPr>
        <w:t>要求逐条如实填写，根据投标情况在“差异说明”项填写正偏离或负偏离及原因，完全符合的填写“无差异”；</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3.该表可扩展；</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4.可附相关支撑材料。（格式自定）</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5.填写投标产品《配置清单》、《质保期满后更换配件费用》和《耗材清单》，中标后将作为合同附件。若投标产品无下列相关内容，可填无。下列表格可根据实际情况调整。</w:t>
      </w:r>
    </w:p>
    <w:p>
      <w:pPr>
        <w:ind w:right="-153"/>
        <w:rPr>
          <w:color w:val="auto"/>
          <w:highlight w:val="none"/>
        </w:rPr>
      </w:pPr>
      <w:r>
        <w:rPr>
          <w:rFonts w:hint="eastAsia" w:hAnsi="宋体" w:cs="宋体"/>
          <w:color w:val="auto"/>
          <w:sz w:val="24"/>
          <w:szCs w:val="24"/>
          <w:highlight w:val="none"/>
        </w:rPr>
        <w:t>配置清单</w:t>
      </w:r>
    </w:p>
    <w:tbl>
      <w:tblPr>
        <w:tblStyle w:val="13"/>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86"/>
        <w:gridCol w:w="2375"/>
        <w:gridCol w:w="2136"/>
        <w:gridCol w:w="2989"/>
        <w:gridCol w:w="757"/>
        <w:gridCol w:w="7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2" w:hRule="atLeast"/>
        </w:trPr>
        <w:tc>
          <w:tcPr>
            <w:tcW w:w="353" w:type="pct"/>
            <w:noWrap/>
          </w:tcPr>
          <w:p>
            <w:pPr>
              <w:ind w:right="-153"/>
              <w:jc w:val="center"/>
              <w:rPr>
                <w:color w:val="auto"/>
                <w:sz w:val="24"/>
                <w:szCs w:val="24"/>
                <w:highlight w:val="none"/>
              </w:rPr>
            </w:pPr>
            <w:r>
              <w:rPr>
                <w:rFonts w:hint="eastAsia" w:hAnsi="宋体" w:cs="宋体"/>
                <w:color w:val="auto"/>
                <w:sz w:val="24"/>
                <w:szCs w:val="24"/>
                <w:highlight w:val="none"/>
              </w:rPr>
              <w:t>序号</w:t>
            </w:r>
          </w:p>
        </w:tc>
        <w:tc>
          <w:tcPr>
            <w:tcW w:w="1222" w:type="pct"/>
            <w:noWrap/>
          </w:tcPr>
          <w:p>
            <w:pPr>
              <w:ind w:right="-153"/>
              <w:jc w:val="center"/>
              <w:rPr>
                <w:color w:val="auto"/>
                <w:sz w:val="24"/>
                <w:szCs w:val="24"/>
                <w:highlight w:val="none"/>
              </w:rPr>
            </w:pPr>
            <w:r>
              <w:rPr>
                <w:rFonts w:hint="eastAsia" w:hAnsi="宋体" w:cs="宋体"/>
                <w:color w:val="auto"/>
                <w:sz w:val="24"/>
                <w:szCs w:val="24"/>
                <w:highlight w:val="none"/>
              </w:rPr>
              <w:t>产品名称</w:t>
            </w:r>
          </w:p>
        </w:tc>
        <w:tc>
          <w:tcPr>
            <w:tcW w:w="1099" w:type="pct"/>
          </w:tcPr>
          <w:p>
            <w:pPr>
              <w:ind w:right="-153"/>
              <w:jc w:val="center"/>
              <w:rPr>
                <w:rFonts w:hAnsi="宋体" w:cs="宋体"/>
                <w:color w:val="auto"/>
                <w:sz w:val="24"/>
                <w:szCs w:val="24"/>
                <w:highlight w:val="none"/>
              </w:rPr>
            </w:pPr>
            <w:r>
              <w:rPr>
                <w:rFonts w:hint="eastAsia" w:hAnsi="宋体" w:cs="宋体"/>
                <w:color w:val="auto"/>
                <w:sz w:val="24"/>
                <w:szCs w:val="24"/>
                <w:highlight w:val="none"/>
              </w:rPr>
              <w:t>品牌、型号</w:t>
            </w:r>
          </w:p>
        </w:tc>
        <w:tc>
          <w:tcPr>
            <w:tcW w:w="1538" w:type="pct"/>
            <w:noWrap/>
          </w:tcPr>
          <w:p>
            <w:pPr>
              <w:ind w:right="-153"/>
              <w:jc w:val="center"/>
              <w:rPr>
                <w:color w:val="auto"/>
                <w:sz w:val="24"/>
                <w:szCs w:val="24"/>
                <w:highlight w:val="none"/>
              </w:rPr>
            </w:pPr>
            <w:r>
              <w:rPr>
                <w:rFonts w:hint="eastAsia" w:hAnsi="宋体" w:cs="宋体"/>
                <w:color w:val="auto"/>
                <w:sz w:val="24"/>
                <w:szCs w:val="24"/>
                <w:highlight w:val="none"/>
              </w:rPr>
              <w:t>配置明细</w:t>
            </w:r>
          </w:p>
        </w:tc>
        <w:tc>
          <w:tcPr>
            <w:tcW w:w="390" w:type="pct"/>
            <w:noWrap/>
          </w:tcPr>
          <w:p>
            <w:pPr>
              <w:ind w:right="-153"/>
              <w:jc w:val="center"/>
              <w:rPr>
                <w:color w:val="auto"/>
                <w:sz w:val="24"/>
                <w:szCs w:val="24"/>
                <w:highlight w:val="none"/>
              </w:rPr>
            </w:pPr>
            <w:r>
              <w:rPr>
                <w:rFonts w:hint="eastAsia" w:hAnsi="宋体" w:cs="宋体"/>
                <w:color w:val="auto"/>
                <w:sz w:val="24"/>
                <w:szCs w:val="24"/>
                <w:highlight w:val="none"/>
              </w:rPr>
              <w:t>数量</w:t>
            </w:r>
          </w:p>
        </w:tc>
        <w:tc>
          <w:tcPr>
            <w:tcW w:w="395" w:type="pct"/>
          </w:tcPr>
          <w:p>
            <w:pPr>
              <w:ind w:right="-153"/>
              <w:jc w:val="center"/>
              <w:rPr>
                <w:rFonts w:hAnsi="宋体" w:cs="宋体"/>
                <w:color w:val="auto"/>
                <w:sz w:val="24"/>
                <w:szCs w:val="24"/>
                <w:highlight w:val="none"/>
              </w:rPr>
            </w:pPr>
            <w:r>
              <w:rPr>
                <w:rFonts w:hint="eastAsia" w:hAnsi="宋体" w:cs="宋体"/>
                <w:color w:val="auto"/>
                <w:sz w:val="24"/>
                <w:szCs w:val="24"/>
                <w:highlight w:val="none"/>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noWrap/>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vAlign w:val="center"/>
          </w:tcPr>
          <w:p>
            <w:pPr>
              <w:jc w:val="left"/>
              <w:rPr>
                <w:rFonts w:hAnsi="宋体" w:cs="宋体"/>
                <w:color w:val="auto"/>
                <w:sz w:val="24"/>
                <w:szCs w:val="24"/>
                <w:highlight w:val="none"/>
              </w:rPr>
            </w:pPr>
          </w:p>
        </w:tc>
        <w:tc>
          <w:tcPr>
            <w:tcW w:w="1538" w:type="pct"/>
            <w:vAlign w:val="center"/>
          </w:tcPr>
          <w:p>
            <w:pPr>
              <w:jc w:val="left"/>
              <w:rPr>
                <w:rFonts w:hAnsi="宋体" w:cs="宋体"/>
                <w:color w:val="auto"/>
                <w:sz w:val="24"/>
                <w:szCs w:val="24"/>
                <w:highlight w:val="none"/>
              </w:rPr>
            </w:pPr>
          </w:p>
        </w:tc>
        <w:tc>
          <w:tcPr>
            <w:tcW w:w="390" w:type="pct"/>
            <w:vAlign w:val="center"/>
          </w:tcPr>
          <w:p>
            <w:pPr>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tabs>
                <w:tab w:val="center" w:pos="4153"/>
                <w:tab w:val="right" w:pos="8306"/>
              </w:tabs>
              <w:snapToGrid w:val="0"/>
              <w:ind w:right="-153"/>
              <w:jc w:val="center"/>
              <w:rPr>
                <w:rFonts w:hAnsi="宋体" w:cs="宋体"/>
                <w:color w:val="auto"/>
                <w:sz w:val="24"/>
                <w:szCs w:val="24"/>
                <w:highlight w:val="none"/>
              </w:rPr>
            </w:pPr>
          </w:p>
        </w:tc>
        <w:tc>
          <w:tcPr>
            <w:tcW w:w="1222" w:type="pct"/>
            <w:vAlign w:val="center"/>
          </w:tcPr>
          <w:p>
            <w:pPr>
              <w:tabs>
                <w:tab w:val="center" w:pos="4153"/>
                <w:tab w:val="right" w:pos="8306"/>
              </w:tabs>
              <w:snapToGrid w:val="0"/>
              <w:jc w:val="left"/>
              <w:rPr>
                <w:rFonts w:hAnsi="宋体" w:cs="宋体"/>
                <w:color w:val="auto"/>
                <w:sz w:val="24"/>
                <w:szCs w:val="24"/>
                <w:highlight w:val="none"/>
              </w:rPr>
            </w:pPr>
          </w:p>
        </w:tc>
        <w:tc>
          <w:tcPr>
            <w:tcW w:w="1099" w:type="pct"/>
            <w:vAlign w:val="center"/>
          </w:tcPr>
          <w:p>
            <w:pPr>
              <w:tabs>
                <w:tab w:val="center" w:pos="4153"/>
                <w:tab w:val="right" w:pos="8306"/>
              </w:tabs>
              <w:snapToGrid w:val="0"/>
              <w:rPr>
                <w:color w:val="auto"/>
                <w:sz w:val="24"/>
                <w:szCs w:val="24"/>
                <w:highlight w:val="none"/>
              </w:rPr>
            </w:pPr>
          </w:p>
        </w:tc>
        <w:tc>
          <w:tcPr>
            <w:tcW w:w="1538" w:type="pct"/>
            <w:vAlign w:val="center"/>
          </w:tcPr>
          <w:p>
            <w:pPr>
              <w:tabs>
                <w:tab w:val="center" w:pos="4153"/>
                <w:tab w:val="right" w:pos="8306"/>
              </w:tabs>
              <w:snapToGrid w:val="0"/>
              <w:jc w:val="left"/>
              <w:rPr>
                <w:rFonts w:hAnsi="宋体" w:cs="宋体"/>
                <w:color w:val="auto"/>
                <w:sz w:val="24"/>
                <w:szCs w:val="24"/>
                <w:highlight w:val="none"/>
              </w:rPr>
            </w:pPr>
          </w:p>
        </w:tc>
        <w:tc>
          <w:tcPr>
            <w:tcW w:w="390" w:type="pct"/>
            <w:vAlign w:val="center"/>
          </w:tcPr>
          <w:p>
            <w:pPr>
              <w:tabs>
                <w:tab w:val="center" w:pos="4153"/>
                <w:tab w:val="right" w:pos="8306"/>
              </w:tabs>
              <w:snapToGrid w:val="0"/>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vAlign w:val="center"/>
          </w:tcPr>
          <w:p>
            <w:pPr>
              <w:rPr>
                <w:color w:val="auto"/>
                <w:sz w:val="24"/>
                <w:szCs w:val="24"/>
                <w:highlight w:val="none"/>
              </w:rPr>
            </w:pPr>
          </w:p>
        </w:tc>
        <w:tc>
          <w:tcPr>
            <w:tcW w:w="1538" w:type="pct"/>
            <w:vAlign w:val="center"/>
          </w:tcPr>
          <w:p>
            <w:pPr>
              <w:jc w:val="left"/>
              <w:rPr>
                <w:rFonts w:hAnsi="宋体" w:cs="宋体"/>
                <w:color w:val="auto"/>
                <w:sz w:val="24"/>
                <w:szCs w:val="24"/>
                <w:highlight w:val="none"/>
              </w:rPr>
            </w:pPr>
          </w:p>
        </w:tc>
        <w:tc>
          <w:tcPr>
            <w:tcW w:w="390" w:type="pct"/>
            <w:vAlign w:val="center"/>
          </w:tcPr>
          <w:p>
            <w:pPr>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vAlign w:val="center"/>
          </w:tcPr>
          <w:p>
            <w:pPr>
              <w:rPr>
                <w:color w:val="auto"/>
                <w:sz w:val="24"/>
                <w:szCs w:val="24"/>
                <w:highlight w:val="none"/>
              </w:rPr>
            </w:pPr>
          </w:p>
        </w:tc>
        <w:tc>
          <w:tcPr>
            <w:tcW w:w="1538" w:type="pct"/>
            <w:vAlign w:val="center"/>
          </w:tcPr>
          <w:p>
            <w:pPr>
              <w:jc w:val="left"/>
              <w:rPr>
                <w:rFonts w:hAnsi="宋体" w:cs="宋体"/>
                <w:color w:val="auto"/>
                <w:sz w:val="24"/>
                <w:szCs w:val="24"/>
                <w:highlight w:val="none"/>
              </w:rPr>
            </w:pPr>
          </w:p>
        </w:tc>
        <w:tc>
          <w:tcPr>
            <w:tcW w:w="390" w:type="pct"/>
            <w:vAlign w:val="center"/>
          </w:tcPr>
          <w:p>
            <w:pPr>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vAlign w:val="center"/>
          </w:tcPr>
          <w:p>
            <w:pPr>
              <w:rPr>
                <w:color w:val="auto"/>
                <w:sz w:val="24"/>
                <w:szCs w:val="24"/>
                <w:highlight w:val="none"/>
              </w:rPr>
            </w:pPr>
          </w:p>
        </w:tc>
        <w:tc>
          <w:tcPr>
            <w:tcW w:w="1538" w:type="pct"/>
            <w:vAlign w:val="center"/>
          </w:tcPr>
          <w:p>
            <w:pPr>
              <w:tabs>
                <w:tab w:val="center" w:pos="4153"/>
                <w:tab w:val="right" w:pos="8306"/>
              </w:tabs>
              <w:snapToGrid w:val="0"/>
              <w:jc w:val="left"/>
              <w:rPr>
                <w:rFonts w:hAnsi="宋体" w:cs="宋体"/>
                <w:color w:val="auto"/>
                <w:sz w:val="24"/>
                <w:szCs w:val="24"/>
                <w:highlight w:val="none"/>
              </w:rPr>
            </w:pPr>
          </w:p>
        </w:tc>
        <w:tc>
          <w:tcPr>
            <w:tcW w:w="390" w:type="pct"/>
            <w:vAlign w:val="center"/>
          </w:tcPr>
          <w:p>
            <w:pPr>
              <w:tabs>
                <w:tab w:val="center" w:pos="4153"/>
                <w:tab w:val="right" w:pos="8306"/>
              </w:tabs>
              <w:snapToGrid w:val="0"/>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vAlign w:val="center"/>
          </w:tcPr>
          <w:p>
            <w:pPr>
              <w:rPr>
                <w:color w:val="auto"/>
                <w:sz w:val="24"/>
                <w:szCs w:val="24"/>
                <w:highlight w:val="none"/>
              </w:rPr>
            </w:pPr>
          </w:p>
        </w:tc>
        <w:tc>
          <w:tcPr>
            <w:tcW w:w="1538" w:type="pct"/>
            <w:vAlign w:val="center"/>
          </w:tcPr>
          <w:p>
            <w:pPr>
              <w:jc w:val="left"/>
              <w:rPr>
                <w:rFonts w:hAnsi="宋体" w:cs="宋体"/>
                <w:color w:val="auto"/>
                <w:sz w:val="24"/>
                <w:szCs w:val="24"/>
                <w:highlight w:val="none"/>
              </w:rPr>
            </w:pPr>
          </w:p>
        </w:tc>
        <w:tc>
          <w:tcPr>
            <w:tcW w:w="390" w:type="pct"/>
            <w:vAlign w:val="center"/>
          </w:tcPr>
          <w:p>
            <w:pPr>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vAlign w:val="center"/>
          </w:tcPr>
          <w:p>
            <w:pPr>
              <w:rPr>
                <w:color w:val="auto"/>
                <w:sz w:val="24"/>
                <w:szCs w:val="24"/>
                <w:highlight w:val="none"/>
              </w:rPr>
            </w:pPr>
          </w:p>
        </w:tc>
        <w:tc>
          <w:tcPr>
            <w:tcW w:w="1538" w:type="pct"/>
            <w:vAlign w:val="center"/>
          </w:tcPr>
          <w:p>
            <w:pPr>
              <w:jc w:val="left"/>
              <w:rPr>
                <w:rFonts w:hAnsi="宋体" w:cs="宋体"/>
                <w:color w:val="auto"/>
                <w:sz w:val="24"/>
                <w:szCs w:val="24"/>
                <w:highlight w:val="none"/>
              </w:rPr>
            </w:pPr>
          </w:p>
        </w:tc>
        <w:tc>
          <w:tcPr>
            <w:tcW w:w="390" w:type="pct"/>
            <w:vAlign w:val="center"/>
          </w:tcPr>
          <w:p>
            <w:pPr>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vAlign w:val="center"/>
          </w:tcPr>
          <w:p>
            <w:pPr>
              <w:rPr>
                <w:color w:val="auto"/>
                <w:sz w:val="24"/>
                <w:szCs w:val="24"/>
                <w:highlight w:val="none"/>
              </w:rPr>
            </w:pPr>
          </w:p>
        </w:tc>
        <w:tc>
          <w:tcPr>
            <w:tcW w:w="1538" w:type="pct"/>
            <w:vAlign w:val="center"/>
          </w:tcPr>
          <w:p>
            <w:pPr>
              <w:jc w:val="left"/>
              <w:rPr>
                <w:rFonts w:hAnsi="宋体" w:cs="宋体"/>
                <w:color w:val="auto"/>
                <w:sz w:val="24"/>
                <w:szCs w:val="24"/>
                <w:highlight w:val="none"/>
              </w:rPr>
            </w:pPr>
          </w:p>
        </w:tc>
        <w:tc>
          <w:tcPr>
            <w:tcW w:w="390" w:type="pct"/>
            <w:vAlign w:val="center"/>
          </w:tcPr>
          <w:p>
            <w:pPr>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vAlign w:val="center"/>
          </w:tcPr>
          <w:p>
            <w:pPr>
              <w:rPr>
                <w:color w:val="auto"/>
                <w:sz w:val="24"/>
                <w:szCs w:val="24"/>
                <w:highlight w:val="none"/>
              </w:rPr>
            </w:pPr>
          </w:p>
        </w:tc>
        <w:tc>
          <w:tcPr>
            <w:tcW w:w="1538" w:type="pct"/>
            <w:vAlign w:val="center"/>
          </w:tcPr>
          <w:p>
            <w:pPr>
              <w:jc w:val="left"/>
              <w:rPr>
                <w:rFonts w:hAnsi="宋体" w:cs="宋体"/>
                <w:color w:val="auto"/>
                <w:sz w:val="24"/>
                <w:szCs w:val="24"/>
                <w:highlight w:val="none"/>
              </w:rPr>
            </w:pPr>
          </w:p>
        </w:tc>
        <w:tc>
          <w:tcPr>
            <w:tcW w:w="390" w:type="pct"/>
            <w:vAlign w:val="center"/>
          </w:tcPr>
          <w:p>
            <w:pPr>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vAlign w:val="center"/>
          </w:tcPr>
          <w:p>
            <w:pPr>
              <w:rPr>
                <w:color w:val="auto"/>
                <w:sz w:val="24"/>
                <w:szCs w:val="24"/>
                <w:highlight w:val="none"/>
              </w:rPr>
            </w:pPr>
          </w:p>
        </w:tc>
        <w:tc>
          <w:tcPr>
            <w:tcW w:w="1538" w:type="pct"/>
            <w:vAlign w:val="center"/>
          </w:tcPr>
          <w:p>
            <w:pPr>
              <w:jc w:val="left"/>
              <w:rPr>
                <w:rFonts w:hAnsi="宋体" w:cs="宋体"/>
                <w:color w:val="auto"/>
                <w:sz w:val="24"/>
                <w:szCs w:val="24"/>
                <w:highlight w:val="none"/>
              </w:rPr>
            </w:pPr>
          </w:p>
        </w:tc>
        <w:tc>
          <w:tcPr>
            <w:tcW w:w="390" w:type="pct"/>
            <w:vAlign w:val="center"/>
          </w:tcPr>
          <w:p>
            <w:pPr>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353" w:type="pct"/>
          </w:tcPr>
          <w:p>
            <w:pPr>
              <w:ind w:right="-153"/>
              <w:jc w:val="center"/>
              <w:rPr>
                <w:rFonts w:hAnsi="宋体" w:cs="宋体"/>
                <w:color w:val="auto"/>
                <w:sz w:val="24"/>
                <w:szCs w:val="24"/>
                <w:highlight w:val="none"/>
              </w:rPr>
            </w:pPr>
          </w:p>
        </w:tc>
        <w:tc>
          <w:tcPr>
            <w:tcW w:w="1222" w:type="pct"/>
            <w:vAlign w:val="center"/>
          </w:tcPr>
          <w:p>
            <w:pPr>
              <w:jc w:val="left"/>
              <w:rPr>
                <w:rFonts w:hAnsi="宋体" w:cs="宋体"/>
                <w:color w:val="auto"/>
                <w:sz w:val="24"/>
                <w:szCs w:val="24"/>
                <w:highlight w:val="none"/>
              </w:rPr>
            </w:pPr>
          </w:p>
        </w:tc>
        <w:tc>
          <w:tcPr>
            <w:tcW w:w="1099" w:type="pct"/>
          </w:tcPr>
          <w:p>
            <w:pPr>
              <w:rPr>
                <w:rFonts w:hAnsi="宋体" w:cs="宋体"/>
                <w:color w:val="auto"/>
                <w:sz w:val="24"/>
                <w:szCs w:val="24"/>
                <w:highlight w:val="none"/>
              </w:rPr>
            </w:pPr>
          </w:p>
        </w:tc>
        <w:tc>
          <w:tcPr>
            <w:tcW w:w="1538" w:type="pct"/>
            <w:vAlign w:val="center"/>
          </w:tcPr>
          <w:p>
            <w:pPr>
              <w:jc w:val="left"/>
              <w:rPr>
                <w:rFonts w:hAnsi="宋体" w:cs="宋体"/>
                <w:color w:val="auto"/>
                <w:sz w:val="24"/>
                <w:szCs w:val="24"/>
                <w:highlight w:val="none"/>
              </w:rPr>
            </w:pPr>
          </w:p>
        </w:tc>
        <w:tc>
          <w:tcPr>
            <w:tcW w:w="390" w:type="pct"/>
            <w:vAlign w:val="center"/>
          </w:tcPr>
          <w:p>
            <w:pPr>
              <w:jc w:val="left"/>
              <w:rPr>
                <w:rFonts w:hAnsi="宋体" w:cs="宋体"/>
                <w:color w:val="auto"/>
                <w:sz w:val="24"/>
                <w:szCs w:val="24"/>
                <w:highlight w:val="none"/>
              </w:rPr>
            </w:pPr>
          </w:p>
        </w:tc>
        <w:tc>
          <w:tcPr>
            <w:tcW w:w="395" w:type="pct"/>
          </w:tcPr>
          <w:p>
            <w:pPr>
              <w:widowControl/>
              <w:jc w:val="center"/>
              <w:rPr>
                <w:rFonts w:hAnsi="宋体" w:cs="宋体"/>
                <w:color w:val="auto"/>
                <w:sz w:val="24"/>
                <w:szCs w:val="24"/>
                <w:highlight w:val="none"/>
              </w:rPr>
            </w:pPr>
          </w:p>
        </w:tc>
      </w:tr>
    </w:tbl>
    <w:p>
      <w:pPr>
        <w:ind w:right="-153"/>
        <w:rPr>
          <w:rFonts w:cs="宋体"/>
          <w:color w:val="auto"/>
          <w:highlight w:val="none"/>
        </w:rPr>
      </w:pPr>
    </w:p>
    <w:p>
      <w:pPr>
        <w:ind w:right="-153"/>
        <w:rPr>
          <w:rFonts w:cs="宋体"/>
          <w:color w:val="auto"/>
          <w:highlight w:val="none"/>
        </w:rPr>
      </w:pPr>
    </w:p>
    <w:p>
      <w:pPr>
        <w:ind w:right="-153"/>
        <w:rPr>
          <w:color w:val="auto"/>
          <w:highlight w:val="none"/>
        </w:rPr>
      </w:pPr>
      <w:r>
        <w:rPr>
          <w:rFonts w:hint="eastAsia" w:cs="宋体"/>
          <w:color w:val="auto"/>
          <w:sz w:val="24"/>
          <w:szCs w:val="24"/>
          <w:highlight w:val="none"/>
        </w:rPr>
        <w:t>质保期满后更换配件费用</w:t>
      </w:r>
    </w:p>
    <w:p>
      <w:pPr>
        <w:ind w:right="-153"/>
        <w:rPr>
          <w:color w:val="auto"/>
          <w:sz w:val="24"/>
          <w:szCs w:val="24"/>
          <w:highlight w:val="none"/>
        </w:rPr>
      </w:pPr>
      <w:r>
        <w:rPr>
          <w:rFonts w:hint="eastAsia" w:hAnsi="宋体" w:cs="宋体"/>
          <w:color w:val="auto"/>
          <w:sz w:val="24"/>
          <w:szCs w:val="24"/>
          <w:highlight w:val="none"/>
        </w:rPr>
        <w:t>（备注：下列易损件质保期内免费更换，质保期满后乙方不能超过此报价供应给甲方，下列易损件是否采购由甲方自行确定。质保期内甲方需新购下列易损件，乙方的供应价格不能超过下列价格。</w:t>
      </w:r>
      <w:r>
        <w:rPr>
          <w:rFonts w:hint="eastAsia" w:cs="宋体"/>
          <w:color w:val="auto"/>
          <w:sz w:val="24"/>
          <w:szCs w:val="24"/>
          <w:highlight w:val="none"/>
        </w:rPr>
        <w:t>）</w:t>
      </w:r>
    </w:p>
    <w:tbl>
      <w:tblPr>
        <w:tblStyle w:val="13"/>
        <w:tblW w:w="4998" w:type="pct"/>
        <w:tblInd w:w="0" w:type="dxa"/>
        <w:tblLayout w:type="fixed"/>
        <w:tblCellMar>
          <w:top w:w="0" w:type="dxa"/>
          <w:left w:w="0" w:type="dxa"/>
          <w:bottom w:w="0" w:type="dxa"/>
          <w:right w:w="0" w:type="dxa"/>
        </w:tblCellMar>
      </w:tblPr>
      <w:tblGrid>
        <w:gridCol w:w="1354"/>
        <w:gridCol w:w="2851"/>
        <w:gridCol w:w="882"/>
        <w:gridCol w:w="1585"/>
        <w:gridCol w:w="1743"/>
        <w:gridCol w:w="1109"/>
      </w:tblGrid>
      <w:tr>
        <w:tblPrEx>
          <w:tblCellMar>
            <w:top w:w="0" w:type="dxa"/>
            <w:left w:w="0" w:type="dxa"/>
            <w:bottom w:w="0" w:type="dxa"/>
            <w:right w:w="0" w:type="dxa"/>
          </w:tblCellMar>
        </w:tblPrEx>
        <w:trPr>
          <w:trHeight w:val="675" w:hRule="atLeast"/>
        </w:trPr>
        <w:tc>
          <w:tcPr>
            <w:tcW w:w="71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color w:val="auto"/>
                <w:sz w:val="24"/>
                <w:szCs w:val="24"/>
                <w:highlight w:val="none"/>
              </w:rPr>
            </w:pPr>
            <w:r>
              <w:rPr>
                <w:rFonts w:hint="eastAsia" w:hAnsi="宋体" w:cs="宋体"/>
                <w:color w:val="auto"/>
                <w:sz w:val="24"/>
                <w:szCs w:val="24"/>
                <w:highlight w:val="none"/>
              </w:rPr>
              <w:t>序号</w:t>
            </w:r>
          </w:p>
        </w:tc>
        <w:tc>
          <w:tcPr>
            <w:tcW w:w="149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color w:val="auto"/>
                <w:sz w:val="24"/>
                <w:szCs w:val="24"/>
                <w:highlight w:val="none"/>
              </w:rPr>
            </w:pPr>
            <w:r>
              <w:rPr>
                <w:rFonts w:hint="eastAsia" w:hAnsi="宋体" w:cs="宋体"/>
                <w:color w:val="auto"/>
                <w:sz w:val="24"/>
                <w:szCs w:val="24"/>
                <w:highlight w:val="none"/>
              </w:rPr>
              <w:t>名称</w:t>
            </w:r>
          </w:p>
        </w:tc>
        <w:tc>
          <w:tcPr>
            <w:tcW w:w="46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color w:val="auto"/>
                <w:sz w:val="24"/>
                <w:szCs w:val="24"/>
                <w:highlight w:val="none"/>
              </w:rPr>
            </w:pPr>
            <w:r>
              <w:rPr>
                <w:rFonts w:hint="eastAsia" w:hAnsi="宋体" w:cs="宋体"/>
                <w:color w:val="auto"/>
                <w:sz w:val="24"/>
                <w:szCs w:val="24"/>
                <w:highlight w:val="none"/>
              </w:rPr>
              <w:t>单位</w:t>
            </w:r>
          </w:p>
        </w:tc>
        <w:tc>
          <w:tcPr>
            <w:tcW w:w="83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rFonts w:hAnsi="宋体" w:cs="宋体"/>
                <w:color w:val="auto"/>
                <w:sz w:val="24"/>
                <w:szCs w:val="24"/>
                <w:highlight w:val="none"/>
              </w:rPr>
            </w:pPr>
            <w:r>
              <w:rPr>
                <w:rFonts w:hint="eastAsia" w:hAnsi="宋体" w:cs="宋体"/>
                <w:color w:val="auto"/>
                <w:sz w:val="24"/>
                <w:szCs w:val="24"/>
                <w:highlight w:val="none"/>
              </w:rPr>
              <w:t>单价（元）</w:t>
            </w:r>
          </w:p>
          <w:p>
            <w:pPr>
              <w:ind w:right="-153"/>
              <w:jc w:val="center"/>
              <w:rPr>
                <w:color w:val="auto"/>
                <w:sz w:val="24"/>
                <w:szCs w:val="24"/>
                <w:highlight w:val="none"/>
              </w:rPr>
            </w:pPr>
            <w:r>
              <w:rPr>
                <w:rFonts w:hint="eastAsia" w:hAnsi="宋体" w:cs="宋体"/>
                <w:color w:val="auto"/>
                <w:sz w:val="24"/>
                <w:szCs w:val="24"/>
                <w:highlight w:val="none"/>
              </w:rPr>
              <w:t>(含税)</w:t>
            </w:r>
          </w:p>
        </w:tc>
        <w:tc>
          <w:tcPr>
            <w:tcW w:w="915" w:type="pct"/>
            <w:tcBorders>
              <w:top w:val="single" w:color="000000" w:sz="4" w:space="0"/>
              <w:left w:val="single" w:color="000000" w:sz="4" w:space="0"/>
              <w:bottom w:val="single" w:color="000000" w:sz="4" w:space="0"/>
              <w:right w:val="single" w:color="000000" w:sz="4" w:space="0"/>
            </w:tcBorders>
          </w:tcPr>
          <w:p>
            <w:pPr>
              <w:ind w:right="-153"/>
              <w:jc w:val="center"/>
              <w:rPr>
                <w:rFonts w:hAnsi="宋体" w:cs="宋体"/>
                <w:color w:val="auto"/>
                <w:sz w:val="24"/>
                <w:szCs w:val="24"/>
                <w:highlight w:val="none"/>
              </w:rPr>
            </w:pPr>
            <w:r>
              <w:rPr>
                <w:rFonts w:hint="eastAsia" w:hAnsi="宋体" w:cs="宋体"/>
                <w:color w:val="auto"/>
                <w:sz w:val="24"/>
                <w:szCs w:val="24"/>
                <w:highlight w:val="none"/>
              </w:rPr>
              <w:t>型号</w:t>
            </w:r>
          </w:p>
        </w:tc>
        <w:tc>
          <w:tcPr>
            <w:tcW w:w="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color w:val="auto"/>
                <w:sz w:val="24"/>
                <w:szCs w:val="24"/>
                <w:highlight w:val="none"/>
              </w:rPr>
            </w:pPr>
            <w:r>
              <w:rPr>
                <w:rFonts w:hint="eastAsia" w:hAnsi="宋体" w:cs="宋体"/>
                <w:color w:val="auto"/>
                <w:sz w:val="24"/>
                <w:szCs w:val="24"/>
                <w:highlight w:val="none"/>
              </w:rPr>
              <w:t>备注</w:t>
            </w:r>
          </w:p>
        </w:tc>
      </w:tr>
      <w:tr>
        <w:tblPrEx>
          <w:tblCellMar>
            <w:top w:w="0" w:type="dxa"/>
            <w:left w:w="0" w:type="dxa"/>
            <w:bottom w:w="0" w:type="dxa"/>
            <w:right w:w="0" w:type="dxa"/>
          </w:tblCellMar>
        </w:tblPrEx>
        <w:trPr>
          <w:trHeight w:val="646" w:hRule="atLeast"/>
        </w:trPr>
        <w:tc>
          <w:tcPr>
            <w:tcW w:w="71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149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46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83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915" w:type="pct"/>
            <w:tcBorders>
              <w:top w:val="single" w:color="000000" w:sz="4" w:space="0"/>
              <w:left w:val="single" w:color="000000" w:sz="4" w:space="0"/>
              <w:bottom w:val="single" w:color="000000" w:sz="4" w:space="0"/>
              <w:right w:val="single" w:color="000000" w:sz="4" w:space="0"/>
            </w:tcBorders>
            <w:vAlign w:val="center"/>
          </w:tcPr>
          <w:p>
            <w:pPr>
              <w:widowControl/>
              <w:jc w:val="center"/>
              <w:rPr>
                <w:rFonts w:hAnsi="宋体" w:cs="宋体"/>
                <w:color w:val="auto"/>
                <w:sz w:val="22"/>
                <w:szCs w:val="22"/>
                <w:highlight w:val="none"/>
              </w:rPr>
            </w:pPr>
          </w:p>
        </w:tc>
        <w:tc>
          <w:tcPr>
            <w:tcW w:w="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r>
      <w:tr>
        <w:tblPrEx>
          <w:tblCellMar>
            <w:top w:w="0" w:type="dxa"/>
            <w:left w:w="0" w:type="dxa"/>
            <w:bottom w:w="0" w:type="dxa"/>
            <w:right w:w="0" w:type="dxa"/>
          </w:tblCellMar>
        </w:tblPrEx>
        <w:trPr>
          <w:trHeight w:val="541" w:hRule="atLeast"/>
        </w:trPr>
        <w:tc>
          <w:tcPr>
            <w:tcW w:w="71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149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46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83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915" w:type="pct"/>
            <w:tcBorders>
              <w:top w:val="single" w:color="000000" w:sz="4" w:space="0"/>
              <w:left w:val="single" w:color="000000" w:sz="4" w:space="0"/>
              <w:bottom w:val="single" w:color="000000" w:sz="4" w:space="0"/>
              <w:right w:val="single" w:color="000000" w:sz="4" w:space="0"/>
            </w:tcBorders>
          </w:tcPr>
          <w:p>
            <w:pPr>
              <w:widowControl/>
              <w:jc w:val="center"/>
              <w:rPr>
                <w:rFonts w:hAnsi="宋体" w:cs="宋体"/>
                <w:color w:val="auto"/>
                <w:sz w:val="22"/>
                <w:szCs w:val="22"/>
                <w:highlight w:val="none"/>
              </w:rPr>
            </w:pPr>
          </w:p>
        </w:tc>
        <w:tc>
          <w:tcPr>
            <w:tcW w:w="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r>
      <w:tr>
        <w:tblPrEx>
          <w:tblCellMar>
            <w:top w:w="0" w:type="dxa"/>
            <w:left w:w="0" w:type="dxa"/>
            <w:bottom w:w="0" w:type="dxa"/>
            <w:right w:w="0" w:type="dxa"/>
          </w:tblCellMar>
        </w:tblPrEx>
        <w:trPr>
          <w:trHeight w:val="564" w:hRule="atLeast"/>
        </w:trPr>
        <w:tc>
          <w:tcPr>
            <w:tcW w:w="71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149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46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83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915" w:type="pct"/>
            <w:tcBorders>
              <w:top w:val="single" w:color="000000" w:sz="4" w:space="0"/>
              <w:left w:val="single" w:color="000000" w:sz="4" w:space="0"/>
              <w:bottom w:val="single" w:color="000000" w:sz="4" w:space="0"/>
              <w:right w:val="single" w:color="000000" w:sz="4" w:space="0"/>
            </w:tcBorders>
          </w:tcPr>
          <w:p>
            <w:pPr>
              <w:widowControl/>
              <w:jc w:val="center"/>
              <w:rPr>
                <w:rFonts w:hAnsi="宋体" w:cs="宋体"/>
                <w:color w:val="auto"/>
                <w:sz w:val="22"/>
                <w:szCs w:val="22"/>
                <w:highlight w:val="none"/>
              </w:rPr>
            </w:pPr>
          </w:p>
        </w:tc>
        <w:tc>
          <w:tcPr>
            <w:tcW w:w="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r>
      <w:tr>
        <w:tblPrEx>
          <w:tblCellMar>
            <w:top w:w="0" w:type="dxa"/>
            <w:left w:w="0" w:type="dxa"/>
            <w:bottom w:w="0" w:type="dxa"/>
            <w:right w:w="0" w:type="dxa"/>
          </w:tblCellMar>
        </w:tblPrEx>
        <w:trPr>
          <w:trHeight w:val="573" w:hRule="atLeast"/>
        </w:trPr>
        <w:tc>
          <w:tcPr>
            <w:tcW w:w="71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149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46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83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915" w:type="pct"/>
            <w:tcBorders>
              <w:top w:val="single" w:color="000000" w:sz="4" w:space="0"/>
              <w:left w:val="single" w:color="000000" w:sz="4" w:space="0"/>
              <w:bottom w:val="single" w:color="000000" w:sz="4" w:space="0"/>
              <w:right w:val="single" w:color="000000" w:sz="4" w:space="0"/>
            </w:tcBorders>
          </w:tcPr>
          <w:p>
            <w:pPr>
              <w:widowControl/>
              <w:jc w:val="center"/>
              <w:rPr>
                <w:rFonts w:hAnsi="宋体" w:cs="宋体"/>
                <w:color w:val="auto"/>
                <w:sz w:val="22"/>
                <w:szCs w:val="22"/>
                <w:highlight w:val="none"/>
              </w:rPr>
            </w:pPr>
          </w:p>
        </w:tc>
        <w:tc>
          <w:tcPr>
            <w:tcW w:w="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r>
      <w:tr>
        <w:tblPrEx>
          <w:tblCellMar>
            <w:top w:w="0" w:type="dxa"/>
            <w:left w:w="0" w:type="dxa"/>
            <w:bottom w:w="0" w:type="dxa"/>
            <w:right w:w="0" w:type="dxa"/>
          </w:tblCellMar>
        </w:tblPrEx>
        <w:trPr>
          <w:trHeight w:val="573" w:hRule="atLeast"/>
        </w:trPr>
        <w:tc>
          <w:tcPr>
            <w:tcW w:w="71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149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46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83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915" w:type="pct"/>
            <w:tcBorders>
              <w:top w:val="single" w:color="000000" w:sz="4" w:space="0"/>
              <w:left w:val="single" w:color="000000" w:sz="4" w:space="0"/>
              <w:bottom w:val="single" w:color="000000" w:sz="4" w:space="0"/>
              <w:right w:val="single" w:color="000000" w:sz="4" w:space="0"/>
            </w:tcBorders>
          </w:tcPr>
          <w:p>
            <w:pPr>
              <w:widowControl/>
              <w:jc w:val="center"/>
              <w:rPr>
                <w:rFonts w:hAnsi="宋体" w:cs="宋体"/>
                <w:color w:val="auto"/>
                <w:sz w:val="22"/>
                <w:szCs w:val="22"/>
                <w:highlight w:val="none"/>
              </w:rPr>
            </w:pPr>
          </w:p>
        </w:tc>
        <w:tc>
          <w:tcPr>
            <w:tcW w:w="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r>
      <w:tr>
        <w:tblPrEx>
          <w:tblCellMar>
            <w:top w:w="0" w:type="dxa"/>
            <w:left w:w="0" w:type="dxa"/>
            <w:bottom w:w="0" w:type="dxa"/>
            <w:right w:w="0" w:type="dxa"/>
          </w:tblCellMar>
        </w:tblPrEx>
        <w:trPr>
          <w:trHeight w:val="573" w:hRule="atLeast"/>
        </w:trPr>
        <w:tc>
          <w:tcPr>
            <w:tcW w:w="711"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149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46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83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915" w:type="pct"/>
            <w:tcBorders>
              <w:top w:val="single" w:color="000000" w:sz="4" w:space="0"/>
              <w:left w:val="single" w:color="000000" w:sz="4" w:space="0"/>
              <w:bottom w:val="single" w:color="000000" w:sz="4" w:space="0"/>
              <w:right w:val="single" w:color="000000" w:sz="4" w:space="0"/>
            </w:tcBorders>
          </w:tcPr>
          <w:p>
            <w:pPr>
              <w:widowControl/>
              <w:jc w:val="center"/>
              <w:rPr>
                <w:rFonts w:hAnsi="宋体" w:cs="宋体"/>
                <w:color w:val="auto"/>
                <w:sz w:val="22"/>
                <w:szCs w:val="22"/>
                <w:highlight w:val="none"/>
              </w:rPr>
            </w:pPr>
          </w:p>
        </w:tc>
        <w:tc>
          <w:tcPr>
            <w:tcW w:w="58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r>
    </w:tbl>
    <w:p>
      <w:pPr>
        <w:ind w:right="-153"/>
        <w:rPr>
          <w:color w:val="auto"/>
          <w:highlight w:val="none"/>
        </w:rPr>
      </w:pPr>
      <w:r>
        <w:rPr>
          <w:rFonts w:hint="eastAsia" w:cs="宋体"/>
          <w:color w:val="auto"/>
          <w:sz w:val="24"/>
          <w:szCs w:val="24"/>
          <w:highlight w:val="none"/>
        </w:rPr>
        <w:t>耗材清单</w:t>
      </w:r>
    </w:p>
    <w:p>
      <w:pPr>
        <w:ind w:right="-153"/>
        <w:rPr>
          <w:color w:val="auto"/>
          <w:sz w:val="24"/>
          <w:szCs w:val="24"/>
          <w:highlight w:val="none"/>
        </w:rPr>
      </w:pPr>
      <w:r>
        <w:rPr>
          <w:rFonts w:hint="eastAsia" w:hAnsi="宋体" w:cs="宋体"/>
          <w:color w:val="auto"/>
          <w:sz w:val="24"/>
          <w:szCs w:val="24"/>
          <w:highlight w:val="none"/>
        </w:rPr>
        <w:t>（备注：下列耗材乙方报价有效期3年。</w:t>
      </w:r>
      <w:r>
        <w:rPr>
          <w:rFonts w:hint="eastAsia" w:cs="宋体"/>
          <w:color w:val="auto"/>
          <w:sz w:val="24"/>
          <w:szCs w:val="24"/>
          <w:highlight w:val="none"/>
        </w:rPr>
        <w:t>）</w:t>
      </w:r>
    </w:p>
    <w:tbl>
      <w:tblPr>
        <w:tblStyle w:val="13"/>
        <w:tblW w:w="4992" w:type="pct"/>
        <w:tblInd w:w="0" w:type="dxa"/>
        <w:tblLayout w:type="fixed"/>
        <w:tblCellMar>
          <w:top w:w="0" w:type="dxa"/>
          <w:left w:w="0" w:type="dxa"/>
          <w:bottom w:w="0" w:type="dxa"/>
          <w:right w:w="0" w:type="dxa"/>
        </w:tblCellMar>
      </w:tblPr>
      <w:tblGrid>
        <w:gridCol w:w="1090"/>
        <w:gridCol w:w="1585"/>
        <w:gridCol w:w="1229"/>
        <w:gridCol w:w="1878"/>
        <w:gridCol w:w="1878"/>
        <w:gridCol w:w="1853"/>
      </w:tblGrid>
      <w:tr>
        <w:tblPrEx>
          <w:tblCellMar>
            <w:top w:w="0" w:type="dxa"/>
            <w:left w:w="0" w:type="dxa"/>
            <w:bottom w:w="0" w:type="dxa"/>
            <w:right w:w="0" w:type="dxa"/>
          </w:tblCellMar>
        </w:tblPrEx>
        <w:trPr>
          <w:trHeight w:val="675" w:hRule="atLeast"/>
        </w:trPr>
        <w:tc>
          <w:tcPr>
            <w:tcW w:w="57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color w:val="auto"/>
                <w:sz w:val="24"/>
                <w:szCs w:val="24"/>
                <w:highlight w:val="none"/>
              </w:rPr>
            </w:pPr>
            <w:r>
              <w:rPr>
                <w:rFonts w:hint="eastAsia" w:hAnsi="宋体" w:cs="宋体"/>
                <w:color w:val="auto"/>
                <w:sz w:val="24"/>
                <w:szCs w:val="24"/>
                <w:highlight w:val="none"/>
              </w:rPr>
              <w:t>序号</w:t>
            </w:r>
          </w:p>
        </w:tc>
        <w:tc>
          <w:tcPr>
            <w:tcW w:w="83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color w:val="auto"/>
                <w:sz w:val="24"/>
                <w:szCs w:val="24"/>
                <w:highlight w:val="none"/>
              </w:rPr>
            </w:pPr>
            <w:r>
              <w:rPr>
                <w:rFonts w:hint="eastAsia" w:hAnsi="宋体" w:cs="宋体"/>
                <w:color w:val="auto"/>
                <w:sz w:val="24"/>
                <w:szCs w:val="24"/>
                <w:highlight w:val="none"/>
              </w:rPr>
              <w:t>名  称</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color w:val="auto"/>
                <w:sz w:val="24"/>
                <w:szCs w:val="24"/>
                <w:highlight w:val="none"/>
              </w:rPr>
            </w:pPr>
            <w:r>
              <w:rPr>
                <w:rFonts w:hint="eastAsia" w:hAnsi="宋体" w:cs="宋体"/>
                <w:color w:val="auto"/>
                <w:sz w:val="24"/>
                <w:szCs w:val="24"/>
                <w:highlight w:val="none"/>
              </w:rPr>
              <w:t>规格</w:t>
            </w:r>
          </w:p>
        </w:tc>
        <w:tc>
          <w:tcPr>
            <w:tcW w:w="98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ind w:right="-153"/>
              <w:jc w:val="center"/>
              <w:rPr>
                <w:rFonts w:hAnsi="宋体" w:cs="宋体"/>
                <w:color w:val="auto"/>
                <w:sz w:val="24"/>
                <w:szCs w:val="24"/>
                <w:highlight w:val="none"/>
              </w:rPr>
            </w:pPr>
            <w:r>
              <w:rPr>
                <w:rFonts w:hint="eastAsia" w:hAnsi="宋体" w:cs="宋体"/>
                <w:color w:val="auto"/>
                <w:sz w:val="24"/>
                <w:szCs w:val="24"/>
                <w:highlight w:val="none"/>
              </w:rPr>
              <w:t>型号</w:t>
            </w:r>
          </w:p>
        </w:tc>
        <w:tc>
          <w:tcPr>
            <w:tcW w:w="98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rFonts w:hAnsi="宋体" w:cs="宋体"/>
                <w:color w:val="auto"/>
                <w:sz w:val="24"/>
                <w:szCs w:val="24"/>
                <w:highlight w:val="none"/>
              </w:rPr>
            </w:pPr>
            <w:r>
              <w:rPr>
                <w:rFonts w:hint="eastAsia" w:hAnsi="宋体" w:cs="宋体"/>
                <w:color w:val="auto"/>
                <w:sz w:val="24"/>
                <w:szCs w:val="24"/>
                <w:highlight w:val="none"/>
              </w:rPr>
              <w:t>单价（元）</w:t>
            </w:r>
          </w:p>
          <w:p>
            <w:pPr>
              <w:ind w:right="-153"/>
              <w:jc w:val="center"/>
              <w:rPr>
                <w:color w:val="auto"/>
                <w:sz w:val="24"/>
                <w:szCs w:val="24"/>
                <w:highlight w:val="none"/>
              </w:rPr>
            </w:pPr>
            <w:r>
              <w:rPr>
                <w:rFonts w:hint="eastAsia" w:hAnsi="宋体" w:cs="宋体"/>
                <w:color w:val="auto"/>
                <w:sz w:val="24"/>
                <w:szCs w:val="24"/>
                <w:highlight w:val="none"/>
              </w:rPr>
              <w:t>(含税)</w:t>
            </w:r>
          </w:p>
        </w:tc>
        <w:tc>
          <w:tcPr>
            <w:tcW w:w="974"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ind w:right="-153"/>
              <w:jc w:val="center"/>
              <w:rPr>
                <w:color w:val="auto"/>
                <w:sz w:val="24"/>
                <w:szCs w:val="24"/>
                <w:highlight w:val="none"/>
              </w:rPr>
            </w:pPr>
            <w:r>
              <w:rPr>
                <w:rFonts w:hint="eastAsia" w:hAnsi="宋体" w:cs="宋体"/>
                <w:color w:val="auto"/>
                <w:sz w:val="24"/>
                <w:szCs w:val="24"/>
                <w:highlight w:val="none"/>
              </w:rPr>
              <w:t>药交所编码</w:t>
            </w:r>
          </w:p>
        </w:tc>
      </w:tr>
      <w:tr>
        <w:tblPrEx>
          <w:tblCellMar>
            <w:top w:w="0" w:type="dxa"/>
            <w:left w:w="0" w:type="dxa"/>
            <w:bottom w:w="0" w:type="dxa"/>
            <w:right w:w="0" w:type="dxa"/>
          </w:tblCellMar>
        </w:tblPrEx>
        <w:trPr>
          <w:trHeight w:val="646" w:hRule="atLeast"/>
        </w:trPr>
        <w:tc>
          <w:tcPr>
            <w:tcW w:w="57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83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987"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jc w:val="center"/>
              <w:rPr>
                <w:rFonts w:hAnsi="宋体" w:cs="宋体"/>
                <w:color w:val="auto"/>
                <w:sz w:val="22"/>
                <w:szCs w:val="22"/>
                <w:highlight w:val="none"/>
              </w:rPr>
            </w:pPr>
          </w:p>
        </w:tc>
        <w:tc>
          <w:tcPr>
            <w:tcW w:w="98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c>
          <w:tcPr>
            <w:tcW w:w="974"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widowControl/>
              <w:jc w:val="center"/>
              <w:rPr>
                <w:rFonts w:hAnsi="宋体" w:cs="宋体"/>
                <w:color w:val="auto"/>
                <w:sz w:val="22"/>
                <w:szCs w:val="22"/>
                <w:highlight w:val="none"/>
              </w:rPr>
            </w:pPr>
          </w:p>
        </w:tc>
      </w:tr>
    </w:tbl>
    <w:p>
      <w:pPr>
        <w:ind w:right="-153"/>
        <w:rPr>
          <w:rFonts w:cs="宋体"/>
          <w:color w:val="auto"/>
          <w:sz w:val="24"/>
          <w:szCs w:val="24"/>
          <w:highlight w:val="none"/>
        </w:rPr>
      </w:pPr>
    </w:p>
    <w:p>
      <w:pPr>
        <w:tabs>
          <w:tab w:val="left" w:pos="6300"/>
        </w:tabs>
        <w:snapToGrid w:val="0"/>
        <w:spacing w:line="360" w:lineRule="auto"/>
        <w:ind w:firstLine="570"/>
        <w:rPr>
          <w:rFonts w:hAnsi="宋体" w:cs="宋体"/>
          <w:color w:val="auto"/>
          <w:sz w:val="28"/>
          <w:szCs w:val="28"/>
          <w:highlight w:val="none"/>
        </w:rPr>
      </w:pPr>
      <w:r>
        <w:rPr>
          <w:color w:val="auto"/>
          <w:sz w:val="24"/>
          <w:szCs w:val="24"/>
          <w:highlight w:val="none"/>
        </w:rPr>
        <w:br w:type="page"/>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（二）技术条款相关支撑资料（自附）</w:t>
      </w:r>
    </w:p>
    <w:p>
      <w:pPr>
        <w:rPr>
          <w:color w:val="auto"/>
          <w:highlight w:val="none"/>
        </w:rPr>
      </w:pPr>
      <w:bookmarkStart w:id="90" w:name="_Toc509321009"/>
      <w:bookmarkStart w:id="91" w:name="_Toc493178791"/>
      <w:bookmarkStart w:id="92" w:name="_Toc492721039"/>
      <w:bookmarkStart w:id="93" w:name="_Toc19113867"/>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rPr>
          <w:color w:val="auto"/>
          <w:highlight w:val="none"/>
        </w:rPr>
      </w:pPr>
    </w:p>
    <w:p>
      <w:pPr>
        <w:pStyle w:val="3"/>
        <w:rPr>
          <w:color w:val="auto"/>
          <w:highlight w:val="none"/>
        </w:rPr>
      </w:pPr>
      <w:bookmarkStart w:id="94" w:name="_Toc98942907"/>
      <w:r>
        <w:rPr>
          <w:rFonts w:hint="eastAsia"/>
          <w:color w:val="auto"/>
          <w:highlight w:val="none"/>
        </w:rPr>
        <w:t>三、商务文件</w:t>
      </w:r>
      <w:bookmarkEnd w:id="90"/>
      <w:bookmarkEnd w:id="91"/>
      <w:bookmarkEnd w:id="92"/>
      <w:bookmarkEnd w:id="93"/>
      <w:bookmarkEnd w:id="94"/>
    </w:p>
    <w:p>
      <w:pPr>
        <w:snapToGrid w:val="0"/>
        <w:spacing w:line="360" w:lineRule="auto"/>
        <w:jc w:val="center"/>
        <w:rPr>
          <w:rFonts w:hAnsi="宋体" w:cs="宋体"/>
          <w:color w:val="auto"/>
          <w:sz w:val="28"/>
          <w:szCs w:val="28"/>
          <w:highlight w:val="none"/>
        </w:rPr>
      </w:pPr>
      <w:r>
        <w:rPr>
          <w:rFonts w:hint="eastAsia" w:hAnsi="宋体" w:cs="宋体"/>
          <w:color w:val="auto"/>
          <w:sz w:val="28"/>
          <w:szCs w:val="28"/>
          <w:highlight w:val="none"/>
        </w:rPr>
        <w:t>（一）投标函（格式）</w:t>
      </w:r>
    </w:p>
    <w:p>
      <w:pPr>
        <w:spacing w:line="360" w:lineRule="auto"/>
        <w:rPr>
          <w:rFonts w:hAnsi="宋体" w:cs="宋体"/>
          <w:color w:val="auto"/>
          <w:sz w:val="28"/>
          <w:szCs w:val="28"/>
          <w:highlight w:val="none"/>
          <w:u w:val="single"/>
        </w:rPr>
      </w:pP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名称：</w:t>
      </w:r>
    </w:p>
    <w:p>
      <w:pPr>
        <w:tabs>
          <w:tab w:val="left" w:pos="6300"/>
        </w:tabs>
        <w:snapToGrid w:val="0"/>
        <w:spacing w:line="360" w:lineRule="auto"/>
        <w:rPr>
          <w:rFonts w:hAnsi="宋体" w:cs="宋体"/>
          <w:color w:val="auto"/>
          <w:sz w:val="28"/>
          <w:szCs w:val="28"/>
          <w:highlight w:val="none"/>
        </w:rPr>
      </w:pPr>
      <w:r>
        <w:rPr>
          <w:rFonts w:hint="eastAsia" w:hAnsi="宋体" w:cs="宋体"/>
          <w:color w:val="auto"/>
          <w:sz w:val="28"/>
          <w:szCs w:val="28"/>
          <w:highlight w:val="none"/>
        </w:rPr>
        <w:t>致：（</w:t>
      </w:r>
      <w:r>
        <w:rPr>
          <w:rFonts w:hint="eastAsia" w:hAnsi="宋体" w:cs="宋体"/>
          <w:color w:val="auto"/>
          <w:sz w:val="28"/>
          <w:szCs w:val="28"/>
          <w:highlight w:val="none"/>
          <w:u w:val="single"/>
        </w:rPr>
        <w:t>采购人名称</w:t>
      </w:r>
      <w:r>
        <w:rPr>
          <w:rFonts w:hint="eastAsia" w:hAnsi="宋体" w:cs="宋体"/>
          <w:color w:val="auto"/>
          <w:sz w:val="28"/>
          <w:szCs w:val="28"/>
          <w:highlight w:val="none"/>
        </w:rPr>
        <w:t>）：</w:t>
      </w:r>
    </w:p>
    <w:p>
      <w:pPr>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w:t>
      </w:r>
      <w:r>
        <w:rPr>
          <w:rFonts w:hint="eastAsia" w:hAnsi="宋体" w:cs="宋体"/>
          <w:color w:val="auto"/>
          <w:sz w:val="28"/>
          <w:szCs w:val="28"/>
          <w:highlight w:val="none"/>
          <w:u w:val="single"/>
        </w:rPr>
        <w:t>投标人名称</w:t>
      </w:r>
      <w:r>
        <w:rPr>
          <w:rFonts w:hint="eastAsia" w:hAnsi="宋体" w:cs="宋体"/>
          <w:color w:val="auto"/>
          <w:sz w:val="28"/>
          <w:szCs w:val="28"/>
          <w:highlight w:val="none"/>
        </w:rPr>
        <w:t>）系中华人民共和国合法企业，注册地址：</w:t>
      </w:r>
      <w:r>
        <w:rPr>
          <w:rFonts w:hint="eastAsia" w:hAnsi="宋体" w:cs="宋体"/>
          <w:color w:val="auto"/>
          <w:sz w:val="28"/>
          <w:szCs w:val="28"/>
          <w:highlight w:val="none"/>
          <w:u w:val="single"/>
          <w:lang w:val="en-US" w:eastAsia="zh-CN"/>
        </w:rPr>
        <w:t xml:space="preserve">        </w:t>
      </w:r>
      <w:r>
        <w:rPr>
          <w:rFonts w:hint="eastAsia" w:hAnsi="宋体" w:cs="宋体"/>
          <w:color w:val="auto"/>
          <w:sz w:val="28"/>
          <w:szCs w:val="28"/>
          <w:highlight w:val="none"/>
          <w:lang w:val="en-US" w:eastAsia="zh-CN"/>
        </w:rPr>
        <w:t xml:space="preserve"> </w:t>
      </w:r>
      <w:r>
        <w:rPr>
          <w:rFonts w:hint="eastAsia" w:hAnsi="宋体" w:cs="宋体"/>
          <w:color w:val="auto"/>
          <w:sz w:val="28"/>
          <w:szCs w:val="28"/>
          <w:highlight w:val="none"/>
        </w:rPr>
        <w:t>。我方就参加本次投标有关事项郑重声明如下：</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一、我方完全理解并接受该项目</w:t>
      </w:r>
      <w:r>
        <w:rPr>
          <w:rFonts w:hint="eastAsia" w:hAnsi="宋体" w:cs="宋体"/>
          <w:color w:val="auto"/>
          <w:sz w:val="28"/>
          <w:szCs w:val="28"/>
          <w:highlight w:val="none"/>
          <w:lang w:eastAsia="zh-CN"/>
        </w:rPr>
        <w:t>竞争性比选文件</w:t>
      </w:r>
      <w:r>
        <w:rPr>
          <w:rFonts w:hint="eastAsia" w:hAnsi="宋体" w:cs="宋体"/>
          <w:color w:val="auto"/>
          <w:sz w:val="28"/>
          <w:szCs w:val="28"/>
          <w:highlight w:val="none"/>
        </w:rPr>
        <w:t>所有要求。</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二、我方提交的所有</w:t>
      </w:r>
      <w:r>
        <w:rPr>
          <w:rFonts w:hint="eastAsia" w:hAnsi="宋体" w:cs="宋体"/>
          <w:color w:val="auto"/>
          <w:sz w:val="28"/>
          <w:szCs w:val="28"/>
          <w:highlight w:val="none"/>
          <w:lang w:eastAsia="zh-CN"/>
        </w:rPr>
        <w:t>响应文件</w:t>
      </w:r>
      <w:r>
        <w:rPr>
          <w:rFonts w:hint="eastAsia" w:hAnsi="宋体" w:cs="宋体"/>
          <w:color w:val="auto"/>
          <w:sz w:val="28"/>
          <w:szCs w:val="28"/>
          <w:highlight w:val="none"/>
        </w:rPr>
        <w:t>、资料都是准确和真实的，如有虚假或隐瞒，我方愿意承担一切法律责任。</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三、我方承诺按照</w:t>
      </w:r>
      <w:r>
        <w:rPr>
          <w:rFonts w:hint="eastAsia" w:hAnsi="宋体" w:cs="宋体"/>
          <w:color w:val="auto"/>
          <w:sz w:val="28"/>
          <w:szCs w:val="28"/>
          <w:highlight w:val="none"/>
          <w:lang w:eastAsia="zh-CN"/>
        </w:rPr>
        <w:t>竞争性比选文件</w:t>
      </w:r>
      <w:r>
        <w:rPr>
          <w:rFonts w:hint="eastAsia" w:hAnsi="宋体" w:cs="宋体"/>
          <w:color w:val="auto"/>
          <w:sz w:val="28"/>
          <w:szCs w:val="28"/>
          <w:highlight w:val="none"/>
        </w:rPr>
        <w:t>要求，提供</w:t>
      </w: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的货物和服务。</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四、我方按</w:t>
      </w:r>
      <w:r>
        <w:rPr>
          <w:rFonts w:hint="eastAsia" w:hAnsi="宋体" w:cs="宋体"/>
          <w:color w:val="auto"/>
          <w:sz w:val="28"/>
          <w:szCs w:val="28"/>
          <w:highlight w:val="none"/>
          <w:lang w:eastAsia="zh-CN"/>
        </w:rPr>
        <w:t>竞争性比选文件</w:t>
      </w:r>
      <w:r>
        <w:rPr>
          <w:rFonts w:hint="eastAsia" w:hAnsi="宋体" w:cs="宋体"/>
          <w:color w:val="auto"/>
          <w:sz w:val="28"/>
          <w:szCs w:val="28"/>
          <w:highlight w:val="none"/>
        </w:rPr>
        <w:t>要求提交的</w:t>
      </w:r>
      <w:r>
        <w:rPr>
          <w:rFonts w:hint="eastAsia" w:hAnsi="宋体" w:cs="宋体"/>
          <w:color w:val="auto"/>
          <w:sz w:val="28"/>
          <w:szCs w:val="28"/>
          <w:highlight w:val="none"/>
          <w:lang w:eastAsia="zh-CN"/>
        </w:rPr>
        <w:t>响应文件</w:t>
      </w:r>
      <w:r>
        <w:rPr>
          <w:rFonts w:hint="eastAsia" w:hAnsi="宋体" w:cs="宋体"/>
          <w:color w:val="auto"/>
          <w:sz w:val="28"/>
          <w:szCs w:val="28"/>
          <w:highlight w:val="none"/>
        </w:rPr>
        <w:t>为：</w:t>
      </w:r>
      <w:r>
        <w:rPr>
          <w:rFonts w:hint="eastAsia" w:hAnsi="宋体" w:cs="宋体"/>
          <w:color w:val="auto"/>
          <w:sz w:val="28"/>
          <w:szCs w:val="28"/>
          <w:highlight w:val="none"/>
          <w:lang w:eastAsia="zh-CN"/>
        </w:rPr>
        <w:t>响应文件</w:t>
      </w:r>
      <w:r>
        <w:rPr>
          <w:rFonts w:hint="eastAsia" w:hAnsi="宋体" w:cs="宋体"/>
          <w:color w:val="auto"/>
          <w:sz w:val="28"/>
          <w:szCs w:val="28"/>
          <w:highlight w:val="none"/>
        </w:rPr>
        <w:t>正本1份，副本1份。</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五、我方承诺：本次投标的投标有效期为90天。</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六、我方投标报价为闭口价。即在投标有效期和合同有效期内，该报价固定不变。</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七、如果我方中标，我方将履行</w:t>
      </w:r>
      <w:r>
        <w:rPr>
          <w:rFonts w:hint="eastAsia" w:hAnsi="宋体" w:cs="宋体"/>
          <w:color w:val="auto"/>
          <w:sz w:val="28"/>
          <w:szCs w:val="28"/>
          <w:highlight w:val="none"/>
          <w:lang w:eastAsia="zh-CN"/>
        </w:rPr>
        <w:t>竞争性比选文件</w:t>
      </w:r>
      <w:r>
        <w:rPr>
          <w:rFonts w:hint="eastAsia" w:hAnsi="宋体" w:cs="宋体"/>
          <w:color w:val="auto"/>
          <w:sz w:val="28"/>
          <w:szCs w:val="28"/>
          <w:highlight w:val="none"/>
        </w:rPr>
        <w:t>中规定的各项要求以及我方</w:t>
      </w:r>
      <w:r>
        <w:rPr>
          <w:rFonts w:hint="eastAsia" w:hAnsi="宋体" w:cs="宋体"/>
          <w:color w:val="auto"/>
          <w:sz w:val="28"/>
          <w:szCs w:val="28"/>
          <w:highlight w:val="none"/>
          <w:lang w:eastAsia="zh-CN"/>
        </w:rPr>
        <w:t>响应文件</w:t>
      </w:r>
      <w:r>
        <w:rPr>
          <w:rFonts w:hint="eastAsia" w:hAnsi="宋体" w:cs="宋体"/>
          <w:color w:val="auto"/>
          <w:sz w:val="28"/>
          <w:szCs w:val="28"/>
          <w:highlight w:val="none"/>
        </w:rPr>
        <w:t>的各项承诺，按《政府采购法》、《</w:t>
      </w:r>
      <w:r>
        <w:rPr>
          <w:rFonts w:hint="eastAsia" w:hAnsi="宋体" w:cs="宋体"/>
          <w:color w:val="auto"/>
          <w:sz w:val="28"/>
          <w:szCs w:val="28"/>
          <w:highlight w:val="none"/>
          <w:lang w:eastAsia="zh-CN"/>
        </w:rPr>
        <w:t>民法典</w:t>
      </w:r>
      <w:r>
        <w:rPr>
          <w:rFonts w:hint="eastAsia" w:hAnsi="宋体" w:cs="宋体"/>
          <w:color w:val="auto"/>
          <w:sz w:val="28"/>
          <w:szCs w:val="28"/>
          <w:highlight w:val="none"/>
        </w:rPr>
        <w:t>》及合同约定条款承担我方责任。</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八、我方理解，最低报价不是中标的唯一条件。</w:t>
      </w:r>
    </w:p>
    <w:p>
      <w:pPr>
        <w:tabs>
          <w:tab w:val="left" w:pos="6300"/>
        </w:tabs>
        <w:snapToGrid w:val="0"/>
        <w:spacing w:line="360" w:lineRule="auto"/>
        <w:ind w:firstLine="7210" w:firstLineChars="2575"/>
        <w:rPr>
          <w:rFonts w:hAnsi="宋体" w:cs="宋体"/>
          <w:color w:val="auto"/>
          <w:sz w:val="28"/>
          <w:szCs w:val="28"/>
          <w:highlight w:val="none"/>
        </w:rPr>
      </w:pPr>
    </w:p>
    <w:p>
      <w:pPr>
        <w:tabs>
          <w:tab w:val="left" w:pos="6300"/>
        </w:tabs>
        <w:snapToGrid w:val="0"/>
        <w:spacing w:line="360" w:lineRule="auto"/>
        <w:ind w:firstLine="7210" w:firstLineChars="2575"/>
        <w:rPr>
          <w:rFonts w:hAnsi="宋体" w:cs="宋体"/>
          <w:color w:val="auto"/>
          <w:sz w:val="28"/>
          <w:szCs w:val="28"/>
          <w:highlight w:val="none"/>
        </w:rPr>
      </w:pPr>
      <w:r>
        <w:rPr>
          <w:rFonts w:hint="eastAsia" w:hAnsi="宋体" w:cs="宋体"/>
          <w:color w:val="auto"/>
          <w:sz w:val="28"/>
          <w:szCs w:val="28"/>
          <w:highlight w:val="none"/>
        </w:rPr>
        <w:t>（投标人公章）</w:t>
      </w:r>
    </w:p>
    <w:p>
      <w:pPr>
        <w:tabs>
          <w:tab w:val="left" w:pos="6300"/>
        </w:tabs>
        <w:snapToGrid w:val="0"/>
        <w:spacing w:line="360" w:lineRule="auto"/>
        <w:ind w:firstLine="6720" w:firstLineChars="2400"/>
        <w:jc w:val="center"/>
        <w:rPr>
          <w:rFonts w:hAnsi="宋体" w:cs="宋体"/>
          <w:color w:val="auto"/>
          <w:sz w:val="28"/>
          <w:szCs w:val="28"/>
          <w:highlight w:val="none"/>
        </w:rPr>
      </w:pPr>
      <w:r>
        <w:rPr>
          <w:rFonts w:hint="eastAsia" w:hAnsi="宋体" w:cs="宋体"/>
          <w:color w:val="auto"/>
          <w:sz w:val="28"/>
          <w:szCs w:val="28"/>
          <w:highlight w:val="none"/>
        </w:rPr>
        <w:t>年    月   日</w:t>
      </w:r>
      <w:r>
        <w:rPr>
          <w:rFonts w:hint="eastAsia" w:hAnsi="宋体" w:cs="宋体"/>
          <w:color w:val="auto"/>
          <w:sz w:val="28"/>
          <w:szCs w:val="28"/>
          <w:highlight w:val="none"/>
        </w:rPr>
        <w:br w:type="page"/>
      </w:r>
      <w:bookmarkStart w:id="95" w:name="_Toc19113868"/>
      <w:r>
        <w:rPr>
          <w:rFonts w:hint="eastAsia" w:hAnsi="宋体" w:cs="宋体"/>
          <w:color w:val="auto"/>
          <w:sz w:val="28"/>
          <w:szCs w:val="28"/>
          <w:highlight w:val="none"/>
        </w:rPr>
        <w:t>（二）商务条款差异表</w:t>
      </w:r>
      <w:bookmarkEnd w:id="95"/>
    </w:p>
    <w:p>
      <w:pPr>
        <w:spacing w:line="360" w:lineRule="auto"/>
        <w:jc w:val="left"/>
        <w:rPr>
          <w:rFonts w:hAnsi="宋体" w:cs="宋体"/>
          <w:color w:val="auto"/>
          <w:sz w:val="28"/>
          <w:szCs w:val="28"/>
          <w:highlight w:val="none"/>
        </w:rPr>
      </w:pPr>
      <w:bookmarkStart w:id="96" w:name="_Toc19113869"/>
      <w:r>
        <w:rPr>
          <w:rFonts w:hint="eastAsia" w:hAnsi="宋体" w:cs="宋体"/>
          <w:color w:val="auto"/>
          <w:sz w:val="28"/>
          <w:szCs w:val="28"/>
          <w:highlight w:val="none"/>
        </w:rPr>
        <w:t xml:space="preserve">         </w:t>
      </w: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名称：</w:t>
      </w:r>
      <w:bookmarkEnd w:id="96"/>
    </w:p>
    <w:tbl>
      <w:tblPr>
        <w:tblStyle w:val="13"/>
        <w:tblW w:w="78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9"/>
        <w:gridCol w:w="2428"/>
        <w:gridCol w:w="2520"/>
        <w:gridCol w:w="1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039" w:type="dxa"/>
            <w:vAlign w:val="center"/>
          </w:tcPr>
          <w:p>
            <w:pPr>
              <w:spacing w:line="360" w:lineRule="auto"/>
              <w:jc w:val="center"/>
              <w:rPr>
                <w:rFonts w:hAnsi="宋体" w:cs="宋体"/>
                <w:color w:val="auto"/>
                <w:sz w:val="28"/>
                <w:szCs w:val="28"/>
                <w:highlight w:val="none"/>
              </w:rPr>
            </w:pPr>
            <w:bookmarkStart w:id="97" w:name="_Toc19113870"/>
            <w:r>
              <w:rPr>
                <w:rFonts w:hint="eastAsia" w:hAnsi="宋体" w:cs="宋体"/>
                <w:color w:val="auto"/>
                <w:sz w:val="28"/>
                <w:szCs w:val="28"/>
                <w:highlight w:val="none"/>
              </w:rPr>
              <w:t>序号</w:t>
            </w:r>
            <w:bookmarkEnd w:id="97"/>
          </w:p>
        </w:tc>
        <w:tc>
          <w:tcPr>
            <w:tcW w:w="2428" w:type="dxa"/>
            <w:vAlign w:val="center"/>
          </w:tcPr>
          <w:p>
            <w:pPr>
              <w:spacing w:line="360" w:lineRule="auto"/>
              <w:jc w:val="center"/>
              <w:rPr>
                <w:rFonts w:hAnsi="宋体" w:cs="宋体"/>
                <w:color w:val="auto"/>
                <w:sz w:val="28"/>
                <w:szCs w:val="28"/>
                <w:highlight w:val="none"/>
              </w:rPr>
            </w:pPr>
            <w:bookmarkStart w:id="98" w:name="_Toc19113871"/>
            <w:r>
              <w:rPr>
                <w:rFonts w:hint="eastAsia" w:hAnsi="宋体" w:cs="宋体"/>
                <w:color w:val="auto"/>
                <w:sz w:val="28"/>
                <w:szCs w:val="28"/>
                <w:highlight w:val="none"/>
              </w:rPr>
              <w:t>招标商务要求</w:t>
            </w:r>
            <w:bookmarkEnd w:id="98"/>
          </w:p>
        </w:tc>
        <w:tc>
          <w:tcPr>
            <w:tcW w:w="2520" w:type="dxa"/>
            <w:vAlign w:val="center"/>
          </w:tcPr>
          <w:p>
            <w:pPr>
              <w:spacing w:line="360" w:lineRule="auto"/>
              <w:jc w:val="center"/>
              <w:rPr>
                <w:rFonts w:hAnsi="宋体" w:cs="宋体"/>
                <w:color w:val="auto"/>
                <w:sz w:val="28"/>
                <w:szCs w:val="28"/>
                <w:highlight w:val="none"/>
              </w:rPr>
            </w:pPr>
            <w:bookmarkStart w:id="99" w:name="_Toc19113872"/>
            <w:r>
              <w:rPr>
                <w:rFonts w:hint="eastAsia" w:hAnsi="宋体" w:cs="宋体"/>
                <w:color w:val="auto"/>
                <w:sz w:val="28"/>
                <w:szCs w:val="28"/>
                <w:highlight w:val="none"/>
              </w:rPr>
              <w:t>投标商务应答</w:t>
            </w:r>
            <w:bookmarkEnd w:id="99"/>
          </w:p>
        </w:tc>
        <w:tc>
          <w:tcPr>
            <w:tcW w:w="1888" w:type="dxa"/>
            <w:vAlign w:val="center"/>
          </w:tcPr>
          <w:p>
            <w:pPr>
              <w:spacing w:line="360" w:lineRule="auto"/>
              <w:jc w:val="center"/>
              <w:rPr>
                <w:rFonts w:hAnsi="宋体" w:cs="宋体"/>
                <w:color w:val="auto"/>
                <w:sz w:val="28"/>
                <w:szCs w:val="28"/>
                <w:highlight w:val="none"/>
              </w:rPr>
            </w:pPr>
            <w:bookmarkStart w:id="100" w:name="_Toc19113873"/>
            <w:r>
              <w:rPr>
                <w:rFonts w:hint="eastAsia" w:hAnsi="宋体" w:cs="宋体"/>
                <w:color w:val="auto"/>
                <w:sz w:val="28"/>
                <w:szCs w:val="28"/>
                <w:highlight w:val="none"/>
              </w:rPr>
              <w:t>差异说明</w:t>
            </w:r>
            <w:bookmarkEnd w:id="10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spacing w:line="360" w:lineRule="auto"/>
              <w:rPr>
                <w:rFonts w:hAnsi="宋体" w:cs="宋体"/>
                <w:color w:val="auto"/>
                <w:sz w:val="28"/>
                <w:szCs w:val="28"/>
                <w:highlight w:val="none"/>
              </w:rPr>
            </w:pPr>
          </w:p>
        </w:tc>
        <w:tc>
          <w:tcPr>
            <w:tcW w:w="2428" w:type="dxa"/>
            <w:vAlign w:val="center"/>
          </w:tcPr>
          <w:p>
            <w:pPr>
              <w:spacing w:line="360" w:lineRule="auto"/>
              <w:rPr>
                <w:rFonts w:hAnsi="宋体" w:cs="宋体"/>
                <w:color w:val="auto"/>
                <w:sz w:val="28"/>
                <w:szCs w:val="28"/>
                <w:highlight w:val="none"/>
              </w:rPr>
            </w:pPr>
          </w:p>
        </w:tc>
        <w:tc>
          <w:tcPr>
            <w:tcW w:w="2520" w:type="dxa"/>
            <w:vAlign w:val="center"/>
          </w:tcPr>
          <w:p>
            <w:pPr>
              <w:spacing w:line="360" w:lineRule="auto"/>
              <w:rPr>
                <w:rFonts w:hAnsi="宋体" w:cs="宋体"/>
                <w:color w:val="auto"/>
                <w:sz w:val="28"/>
                <w:szCs w:val="28"/>
                <w:highlight w:val="none"/>
              </w:rPr>
            </w:pPr>
            <w:r>
              <w:rPr>
                <w:rFonts w:hint="eastAsia" w:ascii="宋体" w:hAnsi="宋体" w:cs="宋体"/>
                <w:color w:val="auto"/>
                <w:sz w:val="21"/>
                <w:szCs w:val="21"/>
                <w:highlight w:val="none"/>
              </w:rPr>
              <w:t>提醒：请注明</w:t>
            </w:r>
            <w:r>
              <w:rPr>
                <w:rFonts w:hint="eastAsia" w:ascii="宋体" w:hAnsi="宋体" w:cs="宋体"/>
                <w:color w:val="auto"/>
                <w:sz w:val="21"/>
                <w:szCs w:val="21"/>
                <w:highlight w:val="none"/>
                <w:lang w:eastAsia="zh-CN"/>
              </w:rPr>
              <w:t>对商务要求应答的</w:t>
            </w:r>
            <w:r>
              <w:rPr>
                <w:rFonts w:hint="eastAsia" w:ascii="宋体" w:hAnsi="宋体" w:cs="宋体"/>
                <w:color w:val="auto"/>
                <w:sz w:val="21"/>
                <w:szCs w:val="21"/>
                <w:highlight w:val="none"/>
              </w:rPr>
              <w:t>具体内容以及投标文件中</w:t>
            </w:r>
            <w:r>
              <w:rPr>
                <w:rFonts w:hint="eastAsia" w:ascii="宋体" w:hAnsi="宋体" w:cs="宋体"/>
                <w:color w:val="auto"/>
                <w:sz w:val="21"/>
                <w:szCs w:val="21"/>
                <w:highlight w:val="none"/>
                <w:lang w:eastAsia="zh-CN"/>
              </w:rPr>
              <w:t>对商务要求应答的</w:t>
            </w:r>
            <w:r>
              <w:rPr>
                <w:rFonts w:hint="eastAsia" w:ascii="宋体" w:hAnsi="宋体" w:cs="宋体"/>
                <w:color w:val="auto"/>
                <w:sz w:val="21"/>
                <w:szCs w:val="21"/>
                <w:highlight w:val="none"/>
              </w:rPr>
              <w:t>具体内容的位置（页码）</w:t>
            </w:r>
          </w:p>
        </w:tc>
        <w:tc>
          <w:tcPr>
            <w:tcW w:w="1888" w:type="dxa"/>
            <w:vAlign w:val="center"/>
          </w:tcPr>
          <w:p>
            <w:pPr>
              <w:spacing w:line="360" w:lineRule="auto"/>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39"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428"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2520" w:type="dxa"/>
            <w:vAlign w:val="center"/>
          </w:tcPr>
          <w:p>
            <w:pPr>
              <w:tabs>
                <w:tab w:val="left" w:pos="6300"/>
              </w:tabs>
              <w:snapToGrid w:val="0"/>
              <w:spacing w:line="360" w:lineRule="auto"/>
              <w:jc w:val="center"/>
              <w:outlineLvl w:val="0"/>
              <w:rPr>
                <w:rFonts w:hAnsi="宋体" w:cs="宋体"/>
                <w:color w:val="auto"/>
                <w:sz w:val="28"/>
                <w:szCs w:val="28"/>
                <w:highlight w:val="none"/>
              </w:rPr>
            </w:pPr>
          </w:p>
        </w:tc>
        <w:tc>
          <w:tcPr>
            <w:tcW w:w="1888" w:type="dxa"/>
            <w:vAlign w:val="center"/>
          </w:tcPr>
          <w:p>
            <w:pPr>
              <w:tabs>
                <w:tab w:val="left" w:pos="6300"/>
              </w:tabs>
              <w:snapToGrid w:val="0"/>
              <w:spacing w:line="360" w:lineRule="auto"/>
              <w:jc w:val="center"/>
              <w:outlineLvl w:val="0"/>
              <w:rPr>
                <w:rFonts w:hAnsi="宋体" w:cs="宋体"/>
                <w:color w:val="auto"/>
                <w:sz w:val="28"/>
                <w:szCs w:val="28"/>
                <w:highlight w:val="none"/>
              </w:rPr>
            </w:pPr>
          </w:p>
        </w:tc>
      </w:tr>
    </w:tbl>
    <w:p>
      <w:pPr>
        <w:spacing w:line="360" w:lineRule="auto"/>
        <w:ind w:firstLine="700" w:firstLineChars="250"/>
        <w:rPr>
          <w:rFonts w:hAnsi="宋体" w:cs="宋体"/>
          <w:color w:val="auto"/>
          <w:sz w:val="28"/>
          <w:szCs w:val="28"/>
          <w:highlight w:val="none"/>
        </w:rPr>
      </w:pPr>
      <w:r>
        <w:rPr>
          <w:rFonts w:hint="eastAsia" w:hAnsi="宋体" w:cs="宋体"/>
          <w:color w:val="auto"/>
          <w:sz w:val="28"/>
          <w:szCs w:val="28"/>
          <w:highlight w:val="none"/>
        </w:rPr>
        <w:t xml:space="preserve">    投标人：                    法定代表人或法定代表人授权代表：</w:t>
      </w: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r>
        <w:rPr>
          <w:rFonts w:hint="eastAsia" w:hAnsi="宋体" w:cs="宋体"/>
          <w:color w:val="auto"/>
          <w:sz w:val="28"/>
          <w:szCs w:val="28"/>
          <w:highlight w:val="none"/>
        </w:rPr>
        <w:t xml:space="preserve">        （投标人公章）                               （签字或盖章）</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 xml:space="preserve">                                              年     月     日</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注：</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1.本表即为对本项目“商务要求”中所列商务条款进行比较和响应；</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2.该表必须按照</w:t>
      </w:r>
      <w:r>
        <w:rPr>
          <w:rFonts w:hint="eastAsia" w:hAnsi="宋体" w:cs="宋体"/>
          <w:color w:val="auto"/>
          <w:sz w:val="28"/>
          <w:szCs w:val="28"/>
          <w:highlight w:val="none"/>
          <w:lang w:eastAsia="zh-CN"/>
        </w:rPr>
        <w:t>竞争性比选文件</w:t>
      </w:r>
      <w:r>
        <w:rPr>
          <w:rFonts w:hint="eastAsia" w:hAnsi="宋体" w:cs="宋体"/>
          <w:color w:val="auto"/>
          <w:sz w:val="28"/>
          <w:szCs w:val="28"/>
          <w:highlight w:val="none"/>
        </w:rPr>
        <w:t>要求逐条如实填写，根据投标情况在“差异说明”项填写正偏离或负偏离及原因，完全符合的填写“无差异”。</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3.该表可扩展。</w:t>
      </w:r>
    </w:p>
    <w:p>
      <w:pPr>
        <w:jc w:val="center"/>
        <w:rPr>
          <w:color w:val="auto"/>
          <w:highlight w:val="none"/>
        </w:rPr>
      </w:pPr>
      <w:r>
        <w:rPr>
          <w:rFonts w:hint="eastAsia"/>
          <w:color w:val="auto"/>
          <w:highlight w:val="none"/>
        </w:rPr>
        <w:br w:type="page"/>
      </w:r>
      <w:bookmarkStart w:id="101" w:name="_Toc19113874"/>
      <w:r>
        <w:rPr>
          <w:rFonts w:hint="eastAsia"/>
          <w:color w:val="auto"/>
          <w:highlight w:val="none"/>
        </w:rPr>
        <w:t>（三）商务条款相关支撑资料</w:t>
      </w:r>
      <w:bookmarkEnd w:id="101"/>
      <w:r>
        <w:rPr>
          <w:rFonts w:hint="eastAsia"/>
          <w:color w:val="auto"/>
          <w:highlight w:val="none"/>
        </w:rPr>
        <w:t>（自附）</w:t>
      </w:r>
    </w:p>
    <w:p>
      <w:pPr>
        <w:tabs>
          <w:tab w:val="left" w:pos="6300"/>
        </w:tabs>
        <w:snapToGrid w:val="0"/>
        <w:spacing w:line="360" w:lineRule="auto"/>
        <w:outlineLvl w:val="0"/>
        <w:rPr>
          <w:rFonts w:hAnsi="宋体" w:cs="宋体"/>
          <w:color w:val="auto"/>
          <w:sz w:val="28"/>
          <w:szCs w:val="28"/>
          <w:highlight w:val="none"/>
        </w:rPr>
      </w:pPr>
      <w:bookmarkStart w:id="102" w:name="_Toc509321010"/>
      <w:bookmarkStart w:id="103" w:name="_Toc492721041"/>
      <w:bookmarkStart w:id="104" w:name="_Toc493178792"/>
      <w:bookmarkStart w:id="105" w:name="_Toc19113879"/>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tabs>
          <w:tab w:val="left" w:pos="6300"/>
        </w:tabs>
        <w:snapToGrid w:val="0"/>
        <w:spacing w:line="360" w:lineRule="auto"/>
        <w:outlineLvl w:val="0"/>
        <w:rPr>
          <w:rFonts w:hAnsi="宋体" w:cs="宋体"/>
          <w:color w:val="auto"/>
          <w:sz w:val="28"/>
          <w:szCs w:val="28"/>
          <w:highlight w:val="none"/>
        </w:rPr>
      </w:pPr>
    </w:p>
    <w:p>
      <w:pPr>
        <w:pStyle w:val="3"/>
        <w:rPr>
          <w:color w:val="auto"/>
          <w:highlight w:val="none"/>
        </w:rPr>
      </w:pPr>
      <w:bookmarkStart w:id="106" w:name="_Toc98942908"/>
      <w:r>
        <w:rPr>
          <w:rFonts w:hint="eastAsia"/>
          <w:color w:val="auto"/>
          <w:highlight w:val="none"/>
        </w:rPr>
        <w:t>四、</w:t>
      </w:r>
      <w:bookmarkEnd w:id="102"/>
      <w:bookmarkEnd w:id="103"/>
      <w:bookmarkEnd w:id="104"/>
      <w:r>
        <w:rPr>
          <w:rFonts w:hint="eastAsia"/>
          <w:color w:val="auto"/>
          <w:highlight w:val="none"/>
        </w:rPr>
        <w:t>其他与项目有关的资料（自附）</w:t>
      </w:r>
      <w:bookmarkEnd w:id="105"/>
      <w:bookmarkEnd w:id="106"/>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spacing w:line="360" w:lineRule="auto"/>
        <w:rPr>
          <w:rFonts w:hAnsi="宋体" w:cs="宋体"/>
          <w:color w:val="auto"/>
          <w:sz w:val="28"/>
          <w:szCs w:val="28"/>
          <w:highlight w:val="none"/>
        </w:rPr>
      </w:pPr>
    </w:p>
    <w:p>
      <w:pPr>
        <w:pStyle w:val="3"/>
        <w:rPr>
          <w:color w:val="auto"/>
          <w:highlight w:val="none"/>
        </w:rPr>
      </w:pPr>
      <w:bookmarkStart w:id="107" w:name="_Toc492721038"/>
      <w:bookmarkStart w:id="108" w:name="_Toc509321011"/>
      <w:bookmarkStart w:id="109" w:name="_Toc19113880"/>
      <w:bookmarkStart w:id="110" w:name="_Toc493178793"/>
      <w:bookmarkStart w:id="111" w:name="_Toc98942909"/>
      <w:r>
        <w:rPr>
          <w:rFonts w:hint="eastAsia"/>
          <w:color w:val="auto"/>
          <w:highlight w:val="none"/>
        </w:rPr>
        <w:t>五、资格文件</w:t>
      </w:r>
      <w:bookmarkEnd w:id="107"/>
      <w:bookmarkEnd w:id="108"/>
      <w:bookmarkEnd w:id="109"/>
      <w:bookmarkEnd w:id="110"/>
      <w:bookmarkEnd w:id="111"/>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（一）营业执照（副本）或事业单位法人证书（副本）复印件</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widowControl/>
        <w:spacing w:line="360" w:lineRule="auto"/>
        <w:ind w:firstLine="560" w:firstLineChars="200"/>
        <w:jc w:val="left"/>
        <w:rPr>
          <w:rFonts w:hAnsi="宋体" w:cs="宋体"/>
          <w:color w:val="auto"/>
          <w:sz w:val="28"/>
          <w:szCs w:val="28"/>
          <w:highlight w:val="none"/>
        </w:rPr>
      </w:pPr>
      <w:r>
        <w:rPr>
          <w:rFonts w:hint="eastAsia" w:hAnsi="宋体" w:cs="宋体"/>
          <w:color w:val="auto"/>
          <w:sz w:val="28"/>
          <w:szCs w:val="28"/>
          <w:highlight w:val="none"/>
        </w:rPr>
        <w:t>（二）法定代表人身份证明书（格式）</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名称：</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致：（采购人名称）：</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（法定代表人姓名）在（投标人名称）任（职务名称）职务，是（投标人名称）的法定代表人。</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特此证明。</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 xml:space="preserve">                                             （投标人公章）</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 xml:space="preserve">                                             年   月   日</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（附：法定代表人身份证正反面复印件）</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br w:type="column"/>
      </w:r>
      <w:r>
        <w:rPr>
          <w:rFonts w:hint="eastAsia" w:hAnsi="宋体" w:cs="宋体"/>
          <w:color w:val="auto"/>
          <w:sz w:val="28"/>
          <w:szCs w:val="28"/>
          <w:highlight w:val="none"/>
        </w:rPr>
        <w:t>（三）法定代表人授权委托书（格式）</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 xml:space="preserve">    </w:t>
      </w: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名称：</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致：（采购人名称）：</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（投标人法定代表人名称）是（投标人名称）的法定代表人，特授权（被授权人</w:t>
      </w:r>
      <w:r>
        <w:rPr>
          <w:rFonts w:hint="eastAsia" w:hAnsi="宋体" w:cs="宋体"/>
          <w:color w:val="auto"/>
          <w:sz w:val="28"/>
          <w:szCs w:val="28"/>
          <w:highlight w:val="none"/>
          <w:u w:val="single"/>
        </w:rPr>
        <w:t>姓名</w:t>
      </w:r>
      <w:r>
        <w:rPr>
          <w:rFonts w:hint="eastAsia" w:hAnsi="宋体" w:cs="宋体"/>
          <w:color w:val="auto"/>
          <w:sz w:val="28"/>
          <w:szCs w:val="28"/>
          <w:highlight w:val="none"/>
        </w:rPr>
        <w:t>及</w:t>
      </w:r>
      <w:r>
        <w:rPr>
          <w:rFonts w:hint="eastAsia" w:hAnsi="宋体" w:cs="宋体"/>
          <w:color w:val="auto"/>
          <w:sz w:val="28"/>
          <w:szCs w:val="28"/>
          <w:highlight w:val="none"/>
          <w:u w:val="single"/>
        </w:rPr>
        <w:t>身份证号码</w:t>
      </w:r>
      <w:r>
        <w:rPr>
          <w:rFonts w:hint="eastAsia" w:hAnsi="宋体" w:cs="宋体"/>
          <w:color w:val="auto"/>
          <w:sz w:val="28"/>
          <w:szCs w:val="28"/>
          <w:highlight w:val="none"/>
        </w:rPr>
        <w:t>）代表我单位全权办理上述项目的投标、谈判、签约等具体工作，并签署全部有关文件、协议及合同。</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我单位对被授权人的签字负全部责任。</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在撤消授权的书面通知以前，本授权书一直有效。被授权人在授权书有效期内签署的所有文件不因授权的撤消而失效。</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被授权人：                                 投标人法定代表人：</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（签字或盖章）                                （签字或盖章）</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t>（附：被授权人身份证正反面复印件）</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right="480" w:firstLine="570"/>
        <w:jc w:val="right"/>
        <w:rPr>
          <w:rFonts w:hAnsi="宋体" w:cs="宋体"/>
          <w:color w:val="auto"/>
          <w:sz w:val="28"/>
          <w:szCs w:val="28"/>
          <w:highlight w:val="none"/>
        </w:rPr>
      </w:pPr>
      <w:r>
        <w:rPr>
          <w:rFonts w:hint="eastAsia" w:hAnsi="宋体" w:cs="宋体"/>
          <w:color w:val="auto"/>
          <w:sz w:val="28"/>
          <w:szCs w:val="28"/>
          <w:highlight w:val="none"/>
        </w:rPr>
        <w:t>（投标人公章）</w:t>
      </w:r>
    </w:p>
    <w:p>
      <w:pPr>
        <w:tabs>
          <w:tab w:val="left" w:pos="6300"/>
        </w:tabs>
        <w:snapToGrid w:val="0"/>
        <w:spacing w:line="360" w:lineRule="auto"/>
        <w:ind w:right="480" w:firstLine="570"/>
        <w:jc w:val="right"/>
        <w:rPr>
          <w:rFonts w:hAnsi="宋体" w:cs="宋体"/>
          <w:color w:val="auto"/>
          <w:sz w:val="28"/>
          <w:szCs w:val="28"/>
          <w:highlight w:val="none"/>
        </w:rPr>
      </w:pPr>
      <w:r>
        <w:rPr>
          <w:rFonts w:hint="eastAsia" w:hAnsi="宋体" w:cs="宋体"/>
          <w:color w:val="auto"/>
          <w:sz w:val="28"/>
          <w:szCs w:val="28"/>
          <w:highlight w:val="none"/>
        </w:rPr>
        <w:t>年   月   日</w:t>
      </w:r>
    </w:p>
    <w:p>
      <w:pPr>
        <w:tabs>
          <w:tab w:val="left" w:pos="6300"/>
        </w:tabs>
        <w:snapToGrid w:val="0"/>
        <w:spacing w:line="360" w:lineRule="auto"/>
        <w:ind w:right="480" w:firstLine="570"/>
        <w:jc w:val="right"/>
        <w:rPr>
          <w:rFonts w:hAnsi="宋体" w:cs="宋体"/>
          <w:color w:val="auto"/>
          <w:sz w:val="28"/>
          <w:szCs w:val="28"/>
          <w:highlight w:val="none"/>
        </w:rPr>
      </w:pPr>
    </w:p>
    <w:p>
      <w:pPr>
        <w:tabs>
          <w:tab w:val="left" w:pos="6300"/>
        </w:tabs>
        <w:snapToGrid w:val="0"/>
        <w:spacing w:line="360" w:lineRule="auto"/>
        <w:ind w:right="480" w:firstLine="570"/>
        <w:jc w:val="left"/>
        <w:rPr>
          <w:rFonts w:hAnsi="宋体" w:cs="宋体"/>
          <w:color w:val="auto"/>
          <w:sz w:val="28"/>
          <w:szCs w:val="28"/>
          <w:highlight w:val="none"/>
        </w:rPr>
      </w:pPr>
      <w:r>
        <w:rPr>
          <w:rFonts w:hint="eastAsia" w:hAnsi="宋体" w:cs="宋体"/>
          <w:color w:val="auto"/>
          <w:sz w:val="28"/>
          <w:szCs w:val="28"/>
          <w:highlight w:val="none"/>
        </w:rPr>
        <w:t>注：</w:t>
      </w:r>
    </w:p>
    <w:p>
      <w:pPr>
        <w:tabs>
          <w:tab w:val="left" w:pos="6300"/>
        </w:tabs>
        <w:snapToGrid w:val="0"/>
        <w:spacing w:line="360" w:lineRule="auto"/>
        <w:ind w:right="480" w:firstLine="570"/>
        <w:jc w:val="left"/>
        <w:rPr>
          <w:rFonts w:hAnsi="宋体" w:cs="宋体"/>
          <w:color w:val="auto"/>
          <w:sz w:val="28"/>
          <w:szCs w:val="28"/>
          <w:highlight w:val="none"/>
        </w:rPr>
      </w:pPr>
      <w:r>
        <w:rPr>
          <w:rFonts w:hint="eastAsia" w:hAnsi="宋体" w:cs="宋体"/>
          <w:color w:val="auto"/>
          <w:sz w:val="28"/>
          <w:szCs w:val="28"/>
          <w:highlight w:val="none"/>
        </w:rPr>
        <w:t>1.若为法定代表人办理并签署</w:t>
      </w:r>
      <w:r>
        <w:rPr>
          <w:rFonts w:hint="eastAsia" w:hAnsi="宋体" w:cs="宋体"/>
          <w:color w:val="auto"/>
          <w:sz w:val="28"/>
          <w:szCs w:val="28"/>
          <w:highlight w:val="none"/>
          <w:lang w:eastAsia="zh-CN"/>
        </w:rPr>
        <w:t>响应文件</w:t>
      </w:r>
      <w:r>
        <w:rPr>
          <w:rFonts w:hint="eastAsia" w:hAnsi="宋体" w:cs="宋体"/>
          <w:color w:val="auto"/>
          <w:sz w:val="28"/>
          <w:szCs w:val="28"/>
          <w:highlight w:val="none"/>
        </w:rPr>
        <w:t>的，不提供此文件。</w:t>
      </w:r>
    </w:p>
    <w:p>
      <w:pPr>
        <w:tabs>
          <w:tab w:val="left" w:pos="6300"/>
        </w:tabs>
        <w:snapToGrid w:val="0"/>
        <w:spacing w:line="360" w:lineRule="auto"/>
        <w:ind w:right="480" w:firstLine="570"/>
        <w:jc w:val="left"/>
        <w:rPr>
          <w:rFonts w:hAnsi="宋体" w:cs="宋体"/>
          <w:color w:val="auto"/>
          <w:sz w:val="28"/>
          <w:szCs w:val="28"/>
          <w:highlight w:val="none"/>
        </w:rPr>
      </w:pPr>
      <w:r>
        <w:rPr>
          <w:rFonts w:hint="eastAsia" w:hAnsi="宋体" w:cs="宋体"/>
          <w:color w:val="auto"/>
          <w:sz w:val="28"/>
          <w:szCs w:val="28"/>
          <w:highlight w:val="none"/>
        </w:rPr>
        <w:t>2.若为联合体投标的，法定代表人授权委托书由联合体主办方（主体）出具。</w:t>
      </w:r>
    </w:p>
    <w:p>
      <w:pPr>
        <w:tabs>
          <w:tab w:val="left" w:pos="6300"/>
        </w:tabs>
        <w:snapToGrid w:val="0"/>
        <w:spacing w:line="360" w:lineRule="auto"/>
        <w:ind w:firstLine="570"/>
        <w:rPr>
          <w:rFonts w:hAnsi="宋体" w:cs="宋体"/>
          <w:color w:val="auto"/>
          <w:sz w:val="28"/>
          <w:szCs w:val="28"/>
          <w:highlight w:val="none"/>
        </w:rPr>
      </w:pPr>
      <w:r>
        <w:rPr>
          <w:rFonts w:hint="eastAsia" w:hAnsi="宋体" w:cs="宋体"/>
          <w:color w:val="auto"/>
          <w:sz w:val="28"/>
          <w:szCs w:val="28"/>
          <w:highlight w:val="none"/>
        </w:rPr>
        <w:br w:type="column"/>
      </w:r>
      <w:bookmarkEnd w:id="0"/>
      <w:r>
        <w:rPr>
          <w:rFonts w:hint="eastAsia" w:hAnsi="宋体" w:cs="宋体"/>
          <w:color w:val="auto"/>
          <w:sz w:val="28"/>
          <w:szCs w:val="28"/>
          <w:highlight w:val="none"/>
        </w:rPr>
        <w:t>（四）书面声明</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lang w:eastAsia="zh-CN"/>
        </w:rPr>
        <w:t>采购项目</w:t>
      </w:r>
      <w:r>
        <w:rPr>
          <w:rFonts w:hint="eastAsia" w:hAnsi="宋体" w:cs="宋体"/>
          <w:color w:val="auto"/>
          <w:sz w:val="28"/>
          <w:szCs w:val="28"/>
          <w:highlight w:val="none"/>
        </w:rPr>
        <w:t>名称：</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致：（采购人名称）：</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投标人名称）郑重声明，我公司具有良好的商业信誉和健全的财务会计制度，具有履行合同所必需的设备和专业技术能力，有依法缴纳税收和社会保障金的良好记录，参加本项目采购活动前三年内无重大违法活动记录，在合同签订前后随时愿意提供相关证明材料；我公司还同时声明未列入在信用中国网站（www.creditchina.gov.cn）“失信被执行人”、“重大税收违法案件当事人名单”中，也未列入中国政府采购网（www.ccgp.gov.cn）“政府采购严重违法失信行为记录名单”中，并随时接受采购人、采购代理机构的检查验证，符合《政府采购法》规定的投标人资格条件。我方对以上声明负全部法律责任。</w:t>
      </w:r>
    </w:p>
    <w:p>
      <w:pPr>
        <w:tabs>
          <w:tab w:val="left" w:pos="6300"/>
        </w:tabs>
        <w:snapToGrid w:val="0"/>
        <w:spacing w:line="360" w:lineRule="auto"/>
        <w:ind w:firstLine="560" w:firstLineChars="200"/>
        <w:rPr>
          <w:rFonts w:hAnsi="宋体" w:cs="宋体"/>
          <w:color w:val="auto"/>
          <w:sz w:val="28"/>
          <w:szCs w:val="28"/>
          <w:highlight w:val="none"/>
        </w:rPr>
      </w:pPr>
      <w:r>
        <w:rPr>
          <w:rFonts w:hint="eastAsia" w:hAnsi="宋体" w:cs="宋体"/>
          <w:color w:val="auto"/>
          <w:sz w:val="28"/>
          <w:szCs w:val="28"/>
          <w:highlight w:val="none"/>
        </w:rPr>
        <w:t>特此声明。</w:t>
      </w: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firstLine="570"/>
        <w:rPr>
          <w:rFonts w:hAnsi="宋体" w:cs="宋体"/>
          <w:color w:val="auto"/>
          <w:sz w:val="28"/>
          <w:szCs w:val="28"/>
          <w:highlight w:val="none"/>
        </w:rPr>
      </w:pPr>
    </w:p>
    <w:p>
      <w:pPr>
        <w:tabs>
          <w:tab w:val="left" w:pos="6300"/>
        </w:tabs>
        <w:snapToGrid w:val="0"/>
        <w:spacing w:line="360" w:lineRule="auto"/>
        <w:ind w:right="424" w:firstLine="570"/>
        <w:jc w:val="right"/>
        <w:rPr>
          <w:rFonts w:hAnsi="宋体" w:cs="宋体"/>
          <w:color w:val="auto"/>
          <w:sz w:val="28"/>
          <w:szCs w:val="28"/>
          <w:highlight w:val="none"/>
        </w:rPr>
      </w:pPr>
      <w:r>
        <w:rPr>
          <w:rFonts w:hint="eastAsia" w:hAnsi="宋体" w:cs="宋体"/>
          <w:color w:val="auto"/>
          <w:sz w:val="28"/>
          <w:szCs w:val="28"/>
          <w:highlight w:val="none"/>
        </w:rPr>
        <w:t>（投标人公章）</w:t>
      </w:r>
    </w:p>
    <w:p>
      <w:pPr>
        <w:tabs>
          <w:tab w:val="left" w:pos="6300"/>
        </w:tabs>
        <w:snapToGrid w:val="0"/>
        <w:spacing w:line="360" w:lineRule="auto"/>
        <w:ind w:right="480" w:firstLine="570"/>
        <w:jc w:val="right"/>
        <w:rPr>
          <w:rFonts w:hAnsi="宋体" w:cs="宋体"/>
          <w:color w:val="auto"/>
          <w:sz w:val="28"/>
          <w:szCs w:val="28"/>
          <w:highlight w:val="none"/>
        </w:rPr>
      </w:pPr>
      <w:r>
        <w:rPr>
          <w:rFonts w:hint="eastAsia" w:hAnsi="宋体" w:cs="宋体"/>
          <w:color w:val="auto"/>
          <w:sz w:val="28"/>
          <w:szCs w:val="28"/>
          <w:highlight w:val="none"/>
        </w:rPr>
        <w:t>年   月   日</w:t>
      </w:r>
    </w:p>
    <w:p>
      <w:pPr>
        <w:snapToGrid w:val="0"/>
        <w:spacing w:line="360" w:lineRule="auto"/>
        <w:ind w:firstLine="560" w:firstLineChars="200"/>
        <w:rPr>
          <w:rFonts w:hAnsi="宋体" w:cs="宋体"/>
          <w:color w:val="auto"/>
          <w:sz w:val="28"/>
          <w:szCs w:val="28"/>
          <w:highlight w:val="none"/>
        </w:rPr>
      </w:pPr>
    </w:p>
    <w:p>
      <w:pPr>
        <w:tabs>
          <w:tab w:val="left" w:pos="6300"/>
        </w:tabs>
        <w:snapToGrid w:val="0"/>
        <w:spacing w:line="500" w:lineRule="exact"/>
        <w:ind w:firstLine="570"/>
        <w:rPr>
          <w:rFonts w:hAnsi="宋体" w:cs="宋体"/>
          <w:color w:val="auto"/>
          <w:sz w:val="28"/>
          <w:szCs w:val="28"/>
          <w:highlight w:val="none"/>
        </w:rPr>
      </w:pPr>
      <w:r>
        <w:rPr>
          <w:rFonts w:hint="eastAsia" w:hAnsi="宋体" w:cs="宋体"/>
          <w:color w:val="auto"/>
          <w:sz w:val="28"/>
          <w:szCs w:val="28"/>
          <w:highlight w:val="none"/>
        </w:rPr>
        <w:br w:type="page"/>
      </w:r>
      <w:r>
        <w:rPr>
          <w:rFonts w:hint="eastAsia" w:ascii="方正仿宋_GBK" w:hAnsi="仿宋" w:eastAsia="方正仿宋_GBK"/>
          <w:color w:val="auto"/>
          <w:highlight w:val="none"/>
        </w:rPr>
        <w:t>（五）</w:t>
      </w:r>
      <w:r>
        <w:rPr>
          <w:rFonts w:hint="eastAsia" w:hAnsi="宋体" w:cs="宋体"/>
          <w:color w:val="auto"/>
          <w:sz w:val="28"/>
          <w:szCs w:val="28"/>
          <w:highlight w:val="none"/>
        </w:rPr>
        <w:t>特定资格条件证书或证明文件</w:t>
      </w:r>
    </w:p>
    <w:p>
      <w:pPr>
        <w:tabs>
          <w:tab w:val="left" w:pos="6300"/>
        </w:tabs>
        <w:snapToGrid w:val="0"/>
        <w:spacing w:line="360" w:lineRule="auto"/>
        <w:ind w:firstLine="570"/>
        <w:jc w:val="left"/>
        <w:rPr>
          <w:rFonts w:hAnsi="宋体" w:cs="宋体"/>
          <w:color w:val="auto"/>
          <w:sz w:val="28"/>
          <w:szCs w:val="28"/>
          <w:highlight w:val="none"/>
        </w:rPr>
      </w:pPr>
    </w:p>
    <w:p>
      <w:pPr>
        <w:tabs>
          <w:tab w:val="left" w:pos="6300"/>
        </w:tabs>
        <w:snapToGrid w:val="0"/>
        <w:spacing w:line="360" w:lineRule="auto"/>
        <w:ind w:firstLine="570"/>
        <w:jc w:val="left"/>
        <w:rPr>
          <w:rFonts w:hAnsi="宋体" w:cs="宋体"/>
          <w:color w:val="auto"/>
          <w:sz w:val="28"/>
          <w:szCs w:val="28"/>
          <w:highlight w:val="none"/>
        </w:rPr>
      </w:pPr>
    </w:p>
    <w:p>
      <w:pPr>
        <w:tabs>
          <w:tab w:val="left" w:pos="6300"/>
        </w:tabs>
        <w:snapToGrid w:val="0"/>
        <w:spacing w:line="360" w:lineRule="auto"/>
        <w:ind w:firstLine="570"/>
        <w:jc w:val="left"/>
        <w:rPr>
          <w:rFonts w:hAnsi="宋体" w:cs="宋体"/>
          <w:color w:val="auto"/>
          <w:sz w:val="28"/>
          <w:szCs w:val="28"/>
          <w:highlight w:val="none"/>
        </w:rPr>
      </w:pPr>
    </w:p>
    <w:p>
      <w:pPr>
        <w:tabs>
          <w:tab w:val="left" w:pos="6300"/>
        </w:tabs>
        <w:snapToGrid w:val="0"/>
        <w:spacing w:line="360" w:lineRule="auto"/>
        <w:ind w:firstLine="570"/>
        <w:jc w:val="left"/>
        <w:rPr>
          <w:rFonts w:hAnsi="宋体" w:cs="宋体"/>
          <w:color w:val="auto"/>
          <w:sz w:val="28"/>
          <w:szCs w:val="28"/>
          <w:highlight w:val="none"/>
        </w:rPr>
      </w:pPr>
    </w:p>
    <w:p>
      <w:pPr>
        <w:tabs>
          <w:tab w:val="left" w:pos="6300"/>
        </w:tabs>
        <w:snapToGrid w:val="0"/>
        <w:spacing w:line="360" w:lineRule="auto"/>
        <w:ind w:firstLine="570"/>
        <w:jc w:val="left"/>
        <w:rPr>
          <w:rFonts w:hAnsi="宋体" w:cs="宋体"/>
          <w:color w:val="auto"/>
          <w:sz w:val="28"/>
          <w:szCs w:val="28"/>
          <w:highlight w:val="none"/>
        </w:rPr>
      </w:pPr>
    </w:p>
    <w:p>
      <w:pPr>
        <w:tabs>
          <w:tab w:val="left" w:pos="6300"/>
        </w:tabs>
        <w:snapToGrid w:val="0"/>
        <w:spacing w:line="360" w:lineRule="auto"/>
        <w:ind w:firstLine="570"/>
        <w:jc w:val="left"/>
        <w:rPr>
          <w:rFonts w:hAnsi="宋体" w:cs="宋体"/>
          <w:color w:val="auto"/>
          <w:sz w:val="28"/>
          <w:szCs w:val="28"/>
          <w:highlight w:val="none"/>
        </w:rPr>
      </w:pPr>
    </w:p>
    <w:p>
      <w:pPr>
        <w:tabs>
          <w:tab w:val="left" w:pos="6300"/>
        </w:tabs>
        <w:snapToGrid w:val="0"/>
        <w:spacing w:line="360" w:lineRule="auto"/>
        <w:jc w:val="center"/>
        <w:rPr>
          <w:rFonts w:hAnsi="宋体" w:cs="宋体"/>
          <w:color w:val="auto"/>
          <w:sz w:val="28"/>
          <w:szCs w:val="28"/>
          <w:highlight w:val="none"/>
        </w:rPr>
      </w:pPr>
      <w:r>
        <w:rPr>
          <w:rFonts w:hint="eastAsia" w:hAnsi="宋体" w:cs="宋体"/>
          <w:color w:val="auto"/>
          <w:sz w:val="28"/>
          <w:szCs w:val="28"/>
          <w:highlight w:val="none"/>
        </w:rPr>
        <w:t>（结束）</w:t>
      </w:r>
    </w:p>
    <w:p>
      <w:pPr>
        <w:tabs>
          <w:tab w:val="left" w:pos="6300"/>
        </w:tabs>
        <w:snapToGrid w:val="0"/>
        <w:spacing w:line="360" w:lineRule="auto"/>
        <w:ind w:firstLine="570"/>
        <w:rPr>
          <w:rFonts w:hAnsi="宋体" w:cs="宋体"/>
          <w:color w:val="auto"/>
          <w:sz w:val="28"/>
          <w:szCs w:val="28"/>
          <w:highlight w:val="none"/>
        </w:rPr>
      </w:pPr>
    </w:p>
    <w:p>
      <w:pPr>
        <w:rPr>
          <w:color w:val="auto"/>
          <w:highlight w:val="none"/>
        </w:rPr>
      </w:pPr>
    </w:p>
    <w:sectPr>
      <w:pgSz w:w="11907" w:h="16840"/>
      <w:pgMar w:top="1440" w:right="1275" w:bottom="993" w:left="1134" w:header="851" w:footer="777"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方正仿宋_GBK">
    <w:panose1 w:val="03000509000000000000"/>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w:rPr>
        <w:b/>
        <w:sz w:val="24"/>
        <w:szCs w:val="24"/>
      </w:rPr>
      <w:fldChar w:fldCharType="begin"/>
    </w:r>
    <w:r>
      <w:rPr>
        <w:b/>
      </w:rPr>
      <w:instrText xml:space="preserve">PAGE</w:instrText>
    </w:r>
    <w:r>
      <w:rPr>
        <w:b/>
        <w:sz w:val="24"/>
        <w:szCs w:val="24"/>
      </w:rPr>
      <w:fldChar w:fldCharType="separate"/>
    </w:r>
    <w:r>
      <w:rPr>
        <w:b/>
      </w:rPr>
      <w:t>5</w:t>
    </w:r>
    <w:r>
      <w:rPr>
        <w:b/>
        <w:sz w:val="24"/>
        <w:szCs w:val="24"/>
      </w:rPr>
      <w:fldChar w:fldCharType="end"/>
    </w:r>
    <w:r>
      <w:rPr>
        <w:lang w:val="zh-CN"/>
      </w:rPr>
      <w:t xml:space="preserve"> / </w:t>
    </w:r>
    <w:r>
      <w:rPr>
        <w:b/>
        <w:sz w:val="24"/>
        <w:szCs w:val="24"/>
      </w:rPr>
      <w:fldChar w:fldCharType="begin"/>
    </w:r>
    <w:r>
      <w:rPr>
        <w:b/>
      </w:rPr>
      <w:instrText xml:space="preserve">NUMPAGES</w:instrText>
    </w:r>
    <w:r>
      <w:rPr>
        <w:b/>
        <w:sz w:val="24"/>
        <w:szCs w:val="24"/>
      </w:rPr>
      <w:fldChar w:fldCharType="separate"/>
    </w:r>
    <w:r>
      <w:rPr>
        <w:b/>
      </w:rPr>
      <w:t>31</w:t>
    </w:r>
    <w:r>
      <w:rPr>
        <w:b/>
        <w:sz w:val="24"/>
        <w:szCs w:val="24"/>
      </w:rPr>
      <w:fldChar w:fldCharType="end"/>
    </w:r>
  </w:p>
  <w:p>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left"/>
    </w:pPr>
    <w:r>
      <w:rPr>
        <w:rFonts w:hint="eastAsia"/>
      </w:rPr>
      <w:t xml:space="preserve">重庆医科大学附属口腔医院                                                                   </w:t>
    </w:r>
    <w:r>
      <w:rPr>
        <w:rFonts w:hint="eastAsia"/>
        <w:lang w:eastAsia="zh-CN"/>
      </w:rPr>
      <w:t>竞争性比选</w:t>
    </w:r>
    <w:r>
      <w:rPr>
        <w:rFonts w:hint="eastAsia"/>
      </w:rPr>
      <w:t>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8976F3E"/>
    <w:multiLevelType w:val="singleLevel"/>
    <w:tmpl w:val="B8976F3E"/>
    <w:lvl w:ilvl="0" w:tentative="0">
      <w:start w:val="1"/>
      <w:numFmt w:val="decimal"/>
      <w:lvlText w:val="%1."/>
      <w:lvlJc w:val="left"/>
      <w:pPr>
        <w:tabs>
          <w:tab w:val="left" w:pos="312"/>
        </w:tabs>
      </w:pPr>
    </w:lvl>
  </w:abstractNum>
  <w:abstractNum w:abstractNumId="1">
    <w:nsid w:val="576D91CD"/>
    <w:multiLevelType w:val="singleLevel"/>
    <w:tmpl w:val="576D91CD"/>
    <w:lvl w:ilvl="0" w:tentative="0">
      <w:start w:val="2"/>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VlN2QzODVkNzUwMWY0MjBlNzVjZDNkNzZhMjI0NzgifQ=="/>
    <w:docVar w:name="KSO_WPS_MARK_KEY" w:val="5a2c711b-de76-4637-924e-0d8621a22b8e"/>
  </w:docVars>
  <w:rsids>
    <w:rsidRoot w:val="00000000"/>
    <w:rsid w:val="01863BB5"/>
    <w:rsid w:val="08B13181"/>
    <w:rsid w:val="140E5EE8"/>
    <w:rsid w:val="18FB77EA"/>
    <w:rsid w:val="1F9217FC"/>
    <w:rsid w:val="231D7EF5"/>
    <w:rsid w:val="268776E1"/>
    <w:rsid w:val="278C6EA4"/>
    <w:rsid w:val="2B02028A"/>
    <w:rsid w:val="2CB50250"/>
    <w:rsid w:val="39DE5FC1"/>
    <w:rsid w:val="3B3E4ECF"/>
    <w:rsid w:val="41297168"/>
    <w:rsid w:val="42560538"/>
    <w:rsid w:val="45E33D3F"/>
    <w:rsid w:val="4DA92202"/>
    <w:rsid w:val="4FC11690"/>
    <w:rsid w:val="50DA7B55"/>
    <w:rsid w:val="53A41978"/>
    <w:rsid w:val="5B7550D9"/>
    <w:rsid w:val="5BEB61DC"/>
    <w:rsid w:val="5FD155AA"/>
    <w:rsid w:val="62425F74"/>
    <w:rsid w:val="6D3E38DD"/>
    <w:rsid w:val="75B24EF7"/>
    <w:rsid w:val="7D2F66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Times New Roman" w:eastAsia="宋体" w:cs="Times New Roman"/>
      <w:sz w:val="34"/>
      <w:lang w:val="en-US" w:eastAsia="zh-CN" w:bidi="ar-SA"/>
    </w:rPr>
  </w:style>
  <w:style w:type="paragraph" w:styleId="2">
    <w:name w:val="heading 1"/>
    <w:basedOn w:val="1"/>
    <w:next w:val="1"/>
    <w:qFormat/>
    <w:uiPriority w:val="0"/>
    <w:pPr>
      <w:keepNext/>
      <w:keepLines/>
      <w:jc w:val="center"/>
      <w:outlineLvl w:val="0"/>
    </w:pPr>
    <w:rPr>
      <w:rFonts w:ascii="Times New Roman" w:eastAsia="仿宋"/>
      <w:b/>
      <w:bCs/>
      <w:kern w:val="44"/>
      <w:sz w:val="44"/>
      <w:szCs w:val="44"/>
    </w:rPr>
  </w:style>
  <w:style w:type="paragraph" w:styleId="3">
    <w:name w:val="heading 2"/>
    <w:basedOn w:val="1"/>
    <w:next w:val="1"/>
    <w:link w:val="16"/>
    <w:qFormat/>
    <w:uiPriority w:val="0"/>
    <w:pPr>
      <w:keepNext/>
      <w:keepLines/>
      <w:jc w:val="left"/>
      <w:outlineLvl w:val="1"/>
    </w:pPr>
    <w:rPr>
      <w:rFonts w:ascii="Arial" w:hAnsi="Arial"/>
      <w:bCs/>
      <w:kern w:val="2"/>
      <w:sz w:val="28"/>
      <w:szCs w:val="32"/>
    </w:rPr>
  </w:style>
  <w:style w:type="character" w:default="1" w:styleId="14">
    <w:name w:val="Default Paragraph Font"/>
    <w:semiHidden/>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w:basedOn w:val="1"/>
    <w:next w:val="1"/>
    <w:qFormat/>
    <w:uiPriority w:val="0"/>
    <w:pPr>
      <w:spacing w:after="120"/>
    </w:pPr>
  </w:style>
  <w:style w:type="paragraph" w:styleId="6">
    <w:name w:val="Body Text Indent"/>
    <w:basedOn w:val="1"/>
    <w:qFormat/>
    <w:uiPriority w:val="0"/>
    <w:pPr>
      <w:spacing w:line="700" w:lineRule="exact"/>
      <w:ind w:left="960"/>
    </w:pPr>
    <w:rPr>
      <w:sz w:val="44"/>
    </w:rPr>
  </w:style>
  <w:style w:type="paragraph" w:styleId="7">
    <w:name w:val="Plain Text"/>
    <w:basedOn w:val="1"/>
    <w:qFormat/>
    <w:uiPriority w:val="99"/>
    <w:rPr>
      <w:rFonts w:hAnsi="Courier New"/>
      <w:kern w:val="2"/>
      <w:sz w:val="21"/>
      <w:szCs w:val="21"/>
    </w:rPr>
  </w:style>
  <w:style w:type="paragraph" w:styleId="8">
    <w:name w:val="Date"/>
    <w:basedOn w:val="1"/>
    <w:next w:val="1"/>
    <w:qFormat/>
    <w:uiPriority w:val="0"/>
    <w:pPr>
      <w:ind w:left="100" w:leftChars="2500"/>
    </w:pPr>
  </w:style>
  <w:style w:type="paragraph" w:styleId="9">
    <w:name w:val="footer"/>
    <w:basedOn w:val="1"/>
    <w:qFormat/>
    <w:uiPriority w:val="99"/>
    <w:pPr>
      <w:tabs>
        <w:tab w:val="center" w:pos="4153"/>
        <w:tab w:val="right" w:pos="8306"/>
      </w:tabs>
      <w:snapToGrid w:val="0"/>
      <w:jc w:val="left"/>
    </w:pPr>
    <w:rPr>
      <w:rFonts w:ascii="Times New Roman"/>
      <w:kern w:val="2"/>
      <w:sz w:val="18"/>
      <w:szCs w:val="18"/>
    </w:rPr>
  </w:style>
  <w:style w:type="paragraph" w:styleId="10">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39"/>
    <w:pPr>
      <w:spacing w:before="120" w:after="120"/>
      <w:jc w:val="left"/>
    </w:pPr>
    <w:rPr>
      <w:b/>
      <w:bCs/>
      <w:caps/>
    </w:rPr>
  </w:style>
  <w:style w:type="paragraph" w:styleId="12">
    <w:name w:val="toc 2"/>
    <w:basedOn w:val="1"/>
    <w:next w:val="1"/>
    <w:qFormat/>
    <w:uiPriority w:val="39"/>
    <w:pPr>
      <w:spacing w:line="312" w:lineRule="auto"/>
      <w:ind w:left="420"/>
      <w:jc w:val="right"/>
    </w:pPr>
    <w:rPr>
      <w:rFonts w:ascii="仿宋_GB2312" w:eastAsia="仿宋_GB2312"/>
      <w:bCs/>
      <w:smallCaps/>
      <w:sz w:val="24"/>
    </w:rPr>
  </w:style>
  <w:style w:type="character" w:styleId="15">
    <w:name w:val="Hyperlink"/>
    <w:qFormat/>
    <w:uiPriority w:val="99"/>
    <w:rPr>
      <w:color w:val="0000FF"/>
      <w:u w:val="single"/>
    </w:rPr>
  </w:style>
  <w:style w:type="character" w:customStyle="1" w:styleId="16">
    <w:name w:val="标题 2 Char"/>
    <w:link w:val="3"/>
    <w:qFormat/>
    <w:uiPriority w:val="0"/>
    <w:rPr>
      <w:rFonts w:ascii="Arial" w:hAnsi="Arial"/>
      <w:bCs/>
      <w:kern w:val="2"/>
      <w:sz w:val="28"/>
      <w:szCs w:val="32"/>
    </w:rPr>
  </w:style>
  <w:style w:type="character" w:customStyle="1" w:styleId="17">
    <w:name w:val="font31"/>
    <w:basedOn w:val="14"/>
    <w:qFormat/>
    <w:uiPriority w:val="0"/>
    <w:rPr>
      <w:rFonts w:hint="eastAsia" w:ascii="微软雅黑" w:hAnsi="微软雅黑" w:eastAsia="微软雅黑" w:cs="微软雅黑"/>
      <w:b/>
      <w:bCs/>
      <w:color w:val="000000"/>
      <w:sz w:val="20"/>
      <w:szCs w:val="20"/>
      <w:u w:val="none"/>
    </w:rPr>
  </w:style>
  <w:style w:type="character" w:customStyle="1" w:styleId="18">
    <w:name w:val="font51"/>
    <w:basedOn w:val="14"/>
    <w:qFormat/>
    <w:uiPriority w:val="0"/>
    <w:rPr>
      <w:rFonts w:hint="eastAsia" w:ascii="宋体" w:hAnsi="宋体" w:eastAsia="宋体" w:cs="宋体"/>
      <w:color w:val="000000"/>
      <w:sz w:val="20"/>
      <w:szCs w:val="20"/>
      <w:u w:val="none"/>
    </w:rPr>
  </w:style>
  <w:style w:type="character" w:customStyle="1" w:styleId="19">
    <w:name w:val="font41"/>
    <w:basedOn w:val="14"/>
    <w:qFormat/>
    <w:uiPriority w:val="0"/>
    <w:rPr>
      <w:rFonts w:hint="eastAsia" w:ascii="宋体" w:hAnsi="宋体" w:eastAsia="宋体" w:cs="宋体"/>
      <w:b/>
      <w:bCs/>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jpe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41</Pages>
  <Words>18091</Words>
  <Characters>20130</Characters>
  <Lines>0</Lines>
  <Paragraphs>0</Paragraphs>
  <TotalTime>8</TotalTime>
  <ScaleCrop>false</ScaleCrop>
  <LinksUpToDate>false</LinksUpToDate>
  <CharactersWithSpaces>23692</CharactersWithSpaces>
  <Application>WPS Office_11.1.0.15319_F1E327BC-269C-435d-A152-05C5408002CA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2024-04-24T02:20:00Z</dcterms:created>
  <dc:creator>Administrator.MM-202203241122</dc:creator>
  <cp:lastModifiedBy>小陈Clam</cp:lastModifiedBy>
  <dcterms:modified xsi:type="dcterms:W3CDTF">2025-04-18T00:40:47Z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2052-11.1.0.15319</vt:lpwstr>
  </property>
  <property fmtid="{D5CDD505-2E9C-101B-9397-08002B2CF9AE}" pid="3" name="ICV">
    <vt:lpwstr>71713E1259F541B4A7AF9F6775D2D7C0_13</vt:lpwstr>
  </property>
</Properties>
</file>