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both"/>
        <w:outlineLvl w:val="0"/>
        <w:rPr>
          <w:rFonts w:hint="eastAsia" w:ascii="微软雅黑" w:hAnsi="微软雅黑" w:eastAsia="微软雅黑" w:cs="微软雅黑"/>
          <w:b/>
          <w:bCs/>
          <w:spacing w:val="80"/>
          <w:sz w:val="96"/>
          <w:szCs w:val="96"/>
          <w:lang w:eastAsia="zh-CN"/>
        </w:rPr>
      </w:pPr>
      <w:bookmarkStart w:id="0" w:name="_Toc108545948"/>
      <w:bookmarkStart w:id="1" w:name="_Toc19609"/>
      <w:bookmarkStart w:id="2" w:name="_Toc17591"/>
      <w:bookmarkStart w:id="3" w:name="_Toc7408"/>
      <w:bookmarkStart w:id="4" w:name="_Toc16779"/>
    </w:p>
    <w:p>
      <w:pPr>
        <w:spacing w:line="336" w:lineRule="auto"/>
        <w:jc w:val="center"/>
        <w:rPr>
          <w:rFonts w:hint="eastAsia" w:ascii="微软雅黑" w:hAnsi="微软雅黑" w:eastAsia="微软雅黑" w:cs="微软雅黑"/>
          <w:b/>
          <w:bCs/>
          <w:spacing w:val="80"/>
          <w:sz w:val="96"/>
          <w:szCs w:val="96"/>
        </w:rPr>
      </w:pPr>
      <w:bookmarkStart w:id="5" w:name="_Toc3706"/>
      <w:bookmarkStart w:id="6" w:name="_Toc15370"/>
      <w:bookmarkStart w:id="7" w:name="_Toc3011"/>
      <w:r>
        <w:rPr>
          <w:rFonts w:hint="eastAsia" w:ascii="微软雅黑" w:hAnsi="微软雅黑" w:eastAsia="微软雅黑" w:cs="微软雅黑"/>
          <w:b/>
          <w:bCs/>
          <w:spacing w:val="80"/>
          <w:sz w:val="96"/>
          <w:szCs w:val="96"/>
        </w:rPr>
        <w:t>竞争性比选</w:t>
      </w:r>
      <w:bookmarkEnd w:id="0"/>
      <w:bookmarkStart w:id="8" w:name="_Toc108545949"/>
      <w:r>
        <w:rPr>
          <w:rFonts w:hint="eastAsia" w:ascii="微软雅黑" w:hAnsi="微软雅黑" w:eastAsia="微软雅黑" w:cs="微软雅黑"/>
          <w:b/>
          <w:bCs/>
          <w:spacing w:val="80"/>
          <w:sz w:val="96"/>
          <w:szCs w:val="96"/>
        </w:rPr>
        <w:t>文件</w:t>
      </w:r>
      <w:bookmarkEnd w:id="1"/>
      <w:bookmarkEnd w:id="2"/>
      <w:bookmarkEnd w:id="3"/>
      <w:bookmarkEnd w:id="4"/>
      <w:bookmarkEnd w:id="5"/>
      <w:bookmarkEnd w:id="6"/>
      <w:bookmarkEnd w:id="7"/>
      <w:bookmarkEnd w:id="8"/>
    </w:p>
    <w:p>
      <w:pPr>
        <w:spacing w:line="360" w:lineRule="auto"/>
        <w:jc w:val="center"/>
        <w:outlineLvl w:val="0"/>
        <w:rPr>
          <w:rFonts w:hint="eastAsia" w:ascii="微软雅黑" w:hAnsi="微软雅黑" w:eastAsia="微软雅黑" w:cs="微软雅黑"/>
          <w:color w:val="000000"/>
          <w:sz w:val="36"/>
          <w:szCs w:val="30"/>
        </w:rPr>
      </w:pPr>
      <w:r>
        <w:rPr>
          <w:rFonts w:hint="eastAsia" w:ascii="微软雅黑" w:hAnsi="微软雅黑" w:eastAsia="微软雅黑" w:cs="微软雅黑"/>
          <w:b/>
          <w:bCs/>
          <w:color w:val="000000"/>
          <w:spacing w:val="80"/>
          <w:sz w:val="44"/>
          <w:szCs w:val="44"/>
        </w:rPr>
        <w:t>（综合评分法）</w:t>
      </w:r>
    </w:p>
    <w:p>
      <w:pPr>
        <w:spacing w:line="336" w:lineRule="auto"/>
        <w:jc w:val="center"/>
        <w:rPr>
          <w:rFonts w:hint="eastAsia" w:ascii="微软雅黑" w:hAnsi="微软雅黑" w:eastAsia="微软雅黑" w:cs="微软雅黑"/>
          <w:b/>
          <w:bCs/>
          <w:spacing w:val="80"/>
          <w:sz w:val="96"/>
          <w:szCs w:val="96"/>
        </w:rPr>
      </w:pPr>
    </w:p>
    <w:p>
      <w:pPr>
        <w:spacing w:line="336" w:lineRule="auto"/>
        <w:ind w:firstLine="320" w:firstLineChars="100"/>
        <w:jc w:val="both"/>
        <w:rPr>
          <w:rFonts w:hint="eastAsia" w:ascii="微软雅黑" w:hAnsi="微软雅黑" w:eastAsia="微软雅黑" w:cs="微软雅黑"/>
          <w:b/>
          <w:sz w:val="32"/>
          <w:szCs w:val="32"/>
        </w:rPr>
      </w:pPr>
    </w:p>
    <w:p>
      <w:pPr>
        <w:spacing w:line="336" w:lineRule="auto"/>
        <w:ind w:firstLine="320" w:firstLineChars="100"/>
        <w:jc w:val="both"/>
        <w:rPr>
          <w:rFonts w:hint="eastAsia" w:ascii="微软雅黑" w:hAnsi="微软雅黑" w:eastAsia="微软雅黑" w:cs="微软雅黑"/>
          <w:b/>
          <w:sz w:val="32"/>
          <w:szCs w:val="32"/>
        </w:rPr>
      </w:pPr>
    </w:p>
    <w:p>
      <w:pPr>
        <w:spacing w:line="336" w:lineRule="auto"/>
        <w:ind w:firstLine="320" w:firstLineChars="100"/>
        <w:jc w:val="both"/>
        <w:rPr>
          <w:rFonts w:hint="eastAsia" w:ascii="微软雅黑" w:hAnsi="微软雅黑" w:eastAsia="微软雅黑" w:cs="微软雅黑"/>
          <w:b/>
          <w:sz w:val="32"/>
          <w:szCs w:val="32"/>
        </w:rPr>
      </w:pPr>
    </w:p>
    <w:p>
      <w:pPr>
        <w:spacing w:line="336" w:lineRule="auto"/>
        <w:ind w:firstLine="320" w:firstLineChars="100"/>
        <w:jc w:val="both"/>
        <w:rPr>
          <w:rFonts w:hint="eastAsia" w:ascii="微软雅黑" w:hAnsi="微软雅黑" w:eastAsia="微软雅黑" w:cs="微软雅黑"/>
          <w:b/>
          <w:bCs/>
          <w:sz w:val="32"/>
          <w:szCs w:val="32"/>
        </w:rPr>
      </w:pPr>
      <w:r>
        <w:rPr>
          <w:rFonts w:hint="eastAsia" w:ascii="微软雅黑" w:hAnsi="微软雅黑" w:eastAsia="微软雅黑" w:cs="微软雅黑"/>
          <w:b/>
          <w:sz w:val="32"/>
          <w:szCs w:val="32"/>
        </w:rPr>
        <w:t>项目名称：</w:t>
      </w:r>
      <w:r>
        <w:rPr>
          <w:rFonts w:hint="eastAsia" w:ascii="微软雅黑" w:hAnsi="微软雅黑" w:eastAsia="微软雅黑" w:cs="微软雅黑"/>
          <w:b/>
          <w:bCs/>
          <w:kern w:val="0"/>
          <w:sz w:val="32"/>
          <w:szCs w:val="32"/>
          <w:highlight w:val="none"/>
          <w:lang w:eastAsia="zh-CN"/>
        </w:rPr>
        <w:t>北碚区朝阳街道社区卫生服务中心大楼楼顶修缮项目</w:t>
      </w:r>
    </w:p>
    <w:p>
      <w:pPr>
        <w:spacing w:line="360" w:lineRule="auto"/>
        <w:ind w:firstLine="320" w:firstLineChars="100"/>
        <w:outlineLvl w:val="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采   购   人：</w:t>
      </w:r>
      <w:r>
        <w:rPr>
          <w:rFonts w:hint="eastAsia" w:ascii="微软雅黑" w:hAnsi="微软雅黑" w:eastAsia="微软雅黑" w:cs="微软雅黑"/>
          <w:b/>
          <w:bCs/>
          <w:kern w:val="0"/>
          <w:sz w:val="32"/>
          <w:szCs w:val="32"/>
          <w:highlight w:val="none"/>
          <w:lang w:eastAsia="zh-CN"/>
        </w:rPr>
        <w:t>北碚区朝阳街道社区卫生服务中心</w:t>
      </w:r>
    </w:p>
    <w:p>
      <w:pPr>
        <w:spacing w:line="360" w:lineRule="auto"/>
        <w:ind w:firstLine="320" w:firstLineChars="100"/>
        <w:outlineLvl w:val="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采购代理机构：</w:t>
      </w:r>
      <w:r>
        <w:rPr>
          <w:rFonts w:hint="eastAsia" w:ascii="微软雅黑" w:hAnsi="微软雅黑" w:eastAsia="微软雅黑" w:cs="微软雅黑"/>
          <w:b/>
          <w:color w:val="000000" w:themeColor="text1"/>
          <w:kern w:val="0"/>
          <w:sz w:val="32"/>
          <w:szCs w:val="32"/>
          <w:lang w:eastAsia="zh-CN"/>
          <w14:textFill>
            <w14:solidFill>
              <w14:schemeClr w14:val="tx1"/>
            </w14:solidFill>
          </w14:textFill>
        </w:rPr>
        <w:t>重庆修为工程咨询</w:t>
      </w:r>
      <w:r>
        <w:rPr>
          <w:rFonts w:hint="eastAsia" w:ascii="微软雅黑" w:hAnsi="微软雅黑" w:eastAsia="微软雅黑" w:cs="微软雅黑"/>
          <w:b/>
          <w:color w:val="000000" w:themeColor="text1"/>
          <w:kern w:val="0"/>
          <w:sz w:val="32"/>
          <w:szCs w:val="32"/>
          <w14:textFill>
            <w14:solidFill>
              <w14:schemeClr w14:val="tx1"/>
            </w14:solidFill>
          </w14:textFill>
        </w:rPr>
        <w:t>有限公司</w:t>
      </w:r>
    </w:p>
    <w:p>
      <w:pPr>
        <w:spacing w:line="720" w:lineRule="exact"/>
        <w:ind w:firstLine="2561" w:firstLineChars="800"/>
        <w:jc w:val="both"/>
        <w:outlineLvl w:val="0"/>
        <w:rPr>
          <w:rFonts w:hint="eastAsia" w:ascii="微软雅黑" w:hAnsi="微软雅黑" w:eastAsia="微软雅黑" w:cs="微软雅黑"/>
          <w:sz w:val="48"/>
          <w:szCs w:val="32"/>
        </w:rPr>
        <w:sectPr>
          <w:headerReference r:id="rId4" w:type="first"/>
          <w:footerReference r:id="rId7" w:type="first"/>
          <w:headerReference r:id="rId3" w:type="default"/>
          <w:footerReference r:id="rId5" w:type="default"/>
          <w:footerReference r:id="rId6" w:type="even"/>
          <w:pgSz w:w="11907" w:h="16840"/>
          <w:pgMar w:top="1134" w:right="1304" w:bottom="1134" w:left="1304" w:header="851" w:footer="992" w:gutter="0"/>
          <w:pgNumType w:fmt="numberInDash" w:start="1"/>
          <w:cols w:space="720" w:num="1"/>
          <w:titlePg/>
          <w:docGrid w:linePitch="381" w:charSpace="-5735"/>
        </w:sectPr>
      </w:pPr>
      <w:r>
        <w:rPr>
          <w:rFonts w:hint="eastAsia" w:ascii="微软雅黑" w:hAnsi="微软雅黑" w:eastAsia="微软雅黑" w:cs="微软雅黑"/>
          <w:b/>
          <w:bCs/>
          <w:sz w:val="32"/>
          <w:szCs w:val="32"/>
        </w:rPr>
        <w:t xml:space="preserve">二〇二五 年 </w:t>
      </w:r>
      <w:r>
        <w:rPr>
          <w:rFonts w:hint="eastAsia" w:ascii="微软雅黑" w:hAnsi="微软雅黑" w:eastAsia="微软雅黑" w:cs="微软雅黑"/>
          <w:b/>
          <w:bCs/>
          <w:sz w:val="32"/>
          <w:szCs w:val="32"/>
          <w:lang w:eastAsia="zh-CN"/>
        </w:rPr>
        <w:t>十一</w:t>
      </w:r>
      <w:r>
        <w:rPr>
          <w:rFonts w:hint="eastAsia" w:ascii="微软雅黑" w:hAnsi="微软雅黑" w:eastAsia="微软雅黑" w:cs="微软雅黑"/>
          <w:b/>
          <w:bCs/>
          <w:sz w:val="32"/>
          <w:szCs w:val="32"/>
        </w:rPr>
        <w:t xml:space="preserve"> 月</w:t>
      </w:r>
    </w:p>
    <w:p>
      <w:pPr>
        <w:spacing w:line="500" w:lineRule="exact"/>
        <w:ind w:firstLine="3362" w:firstLineChars="1400"/>
        <w:outlineLvl w:val="0"/>
        <w:rPr>
          <w:rFonts w:hint="eastAsia" w:ascii="微软雅黑" w:hAnsi="微软雅黑" w:eastAsia="微软雅黑" w:cs="微软雅黑"/>
          <w:b/>
          <w:bCs/>
          <w:color w:val="000000"/>
          <w:spacing w:val="40"/>
        </w:rPr>
      </w:pPr>
      <w:r>
        <w:rPr>
          <w:rFonts w:hint="eastAsia" w:ascii="微软雅黑" w:hAnsi="微软雅黑" w:eastAsia="微软雅黑" w:cs="微软雅黑"/>
          <w:b/>
          <w:bCs/>
          <w:color w:val="000000"/>
        </w:rPr>
        <w:t>竞争性比选文件发售登记表</w:t>
      </w:r>
    </w:p>
    <w:tbl>
      <w:tblPr>
        <w:tblStyle w:val="3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60"/>
        <w:gridCol w:w="2206"/>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988" w:type="dxa"/>
            <w:noWrap/>
            <w:vAlign w:val="center"/>
          </w:tcPr>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供应商名称</w:t>
            </w:r>
          </w:p>
        </w:tc>
        <w:tc>
          <w:tcPr>
            <w:tcW w:w="6251" w:type="dxa"/>
            <w:gridSpan w:val="3"/>
            <w:noWrap/>
            <w:vAlign w:val="center"/>
          </w:tcPr>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988" w:type="dxa"/>
            <w:noWrap/>
            <w:vAlign w:val="center"/>
          </w:tcPr>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项目名称</w:t>
            </w:r>
          </w:p>
        </w:tc>
        <w:tc>
          <w:tcPr>
            <w:tcW w:w="6251" w:type="dxa"/>
            <w:gridSpan w:val="3"/>
            <w:noWrap/>
            <w:vAlign w:val="center"/>
          </w:tcPr>
          <w:p>
            <w:pPr>
              <w:jc w:val="center"/>
              <w:rPr>
                <w:rFonts w:hint="eastAsia" w:ascii="微软雅黑" w:hAnsi="微软雅黑" w:eastAsia="微软雅黑" w:cs="微软雅黑"/>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988" w:type="dxa"/>
            <w:noWrap/>
            <w:vAlign w:val="center"/>
          </w:tcPr>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联系人</w:t>
            </w:r>
          </w:p>
        </w:tc>
        <w:tc>
          <w:tcPr>
            <w:tcW w:w="1560" w:type="dxa"/>
            <w:noWrap/>
            <w:vAlign w:val="center"/>
          </w:tcPr>
          <w:p>
            <w:pPr>
              <w:jc w:val="center"/>
              <w:rPr>
                <w:rFonts w:hint="eastAsia" w:ascii="微软雅黑" w:hAnsi="微软雅黑" w:eastAsia="微软雅黑" w:cs="微软雅黑"/>
                <w:color w:val="000000"/>
              </w:rPr>
            </w:pPr>
          </w:p>
        </w:tc>
        <w:tc>
          <w:tcPr>
            <w:tcW w:w="2206" w:type="dxa"/>
            <w:noWrap/>
            <w:vAlign w:val="center"/>
          </w:tcPr>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手机</w:t>
            </w:r>
          </w:p>
        </w:tc>
        <w:tc>
          <w:tcPr>
            <w:tcW w:w="2485" w:type="dxa"/>
            <w:noWrap/>
            <w:vAlign w:val="center"/>
          </w:tcPr>
          <w:p>
            <w:pPr>
              <w:jc w:val="center"/>
              <w:rPr>
                <w:rFonts w:hint="eastAsia" w:ascii="微软雅黑" w:hAnsi="微软雅黑" w:eastAsia="微软雅黑" w:cs="微软雅黑"/>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2988" w:type="dxa"/>
            <w:noWrap/>
            <w:vAlign w:val="center"/>
          </w:tcPr>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办公电话</w:t>
            </w:r>
          </w:p>
        </w:tc>
        <w:tc>
          <w:tcPr>
            <w:tcW w:w="1560" w:type="dxa"/>
            <w:noWrap/>
            <w:vAlign w:val="center"/>
          </w:tcPr>
          <w:p>
            <w:pPr>
              <w:jc w:val="center"/>
              <w:rPr>
                <w:rFonts w:hint="eastAsia" w:ascii="微软雅黑" w:hAnsi="微软雅黑" w:eastAsia="微软雅黑" w:cs="微软雅黑"/>
                <w:color w:val="000000"/>
              </w:rPr>
            </w:pPr>
          </w:p>
        </w:tc>
        <w:tc>
          <w:tcPr>
            <w:tcW w:w="2206" w:type="dxa"/>
            <w:noWrap/>
            <w:vAlign w:val="center"/>
          </w:tcPr>
          <w:p>
            <w:pPr>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发票收取邮箱</w:t>
            </w:r>
          </w:p>
          <w:p>
            <w:pPr>
              <w:rPr>
                <w:rFonts w:hint="eastAsia" w:ascii="微软雅黑" w:hAnsi="微软雅黑" w:eastAsia="微软雅黑" w:cs="微软雅黑"/>
                <w:color w:val="000000"/>
              </w:rPr>
            </w:pPr>
            <w:r>
              <w:rPr>
                <w:rFonts w:hint="eastAsia" w:ascii="微软雅黑" w:hAnsi="微软雅黑" w:eastAsia="微软雅黑" w:cs="微软雅黑"/>
                <w:color w:val="000000"/>
              </w:rPr>
              <w:t>（请准确填写）</w:t>
            </w:r>
          </w:p>
        </w:tc>
        <w:tc>
          <w:tcPr>
            <w:tcW w:w="2485" w:type="dxa"/>
            <w:noWrap/>
            <w:vAlign w:val="center"/>
          </w:tcPr>
          <w:p>
            <w:pPr>
              <w:jc w:val="center"/>
              <w:rPr>
                <w:rFonts w:hint="eastAsia" w:ascii="微软雅黑" w:hAnsi="微软雅黑" w:eastAsia="微软雅黑" w:cs="微软雅黑"/>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988" w:type="dxa"/>
            <w:noWrap/>
            <w:vAlign w:val="center"/>
          </w:tcPr>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报名时间</w:t>
            </w:r>
          </w:p>
        </w:tc>
        <w:tc>
          <w:tcPr>
            <w:tcW w:w="6251" w:type="dxa"/>
            <w:gridSpan w:val="3"/>
            <w:noWrap/>
            <w:vAlign w:val="center"/>
          </w:tcPr>
          <w:p>
            <w:pPr>
              <w:jc w:val="center"/>
              <w:rPr>
                <w:rFonts w:hint="eastAsia" w:ascii="微软雅黑" w:hAnsi="微软雅黑" w:eastAsia="微软雅黑" w:cs="微软雅黑"/>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988" w:type="dxa"/>
            <w:noWrap/>
            <w:vAlign w:val="center"/>
          </w:tcPr>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《成交通知书》收件地址</w:t>
            </w:r>
          </w:p>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（请准确填写）</w:t>
            </w:r>
          </w:p>
        </w:tc>
        <w:tc>
          <w:tcPr>
            <w:tcW w:w="6251" w:type="dxa"/>
            <w:gridSpan w:val="3"/>
            <w:noWrap/>
            <w:vAlign w:val="center"/>
          </w:tcPr>
          <w:p>
            <w:pPr>
              <w:jc w:val="center"/>
              <w:rPr>
                <w:rFonts w:hint="eastAsia" w:ascii="微软雅黑" w:hAnsi="微软雅黑" w:eastAsia="微软雅黑" w:cs="微软雅黑"/>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2988" w:type="dxa"/>
            <w:noWrap/>
            <w:vAlign w:val="center"/>
          </w:tcPr>
          <w:p>
            <w:pPr>
              <w:jc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rPr>
              <w:t>代理服务费</w:t>
            </w:r>
          </w:p>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t>开票信息</w:t>
            </w:r>
          </w:p>
        </w:tc>
        <w:tc>
          <w:tcPr>
            <w:tcW w:w="1560" w:type="dxa"/>
            <w:noWrap/>
            <w:vAlign w:val="center"/>
          </w:tcPr>
          <w:p>
            <w:pPr>
              <w:jc w:val="center"/>
              <w:rPr>
                <w:rFonts w:hint="eastAsia" w:ascii="微软雅黑" w:hAnsi="微软雅黑" w:eastAsia="微软雅黑" w:cs="微软雅黑"/>
                <w:color w:val="000000"/>
              </w:rPr>
            </w:pPr>
            <w:r>
              <w:rPr>
                <w:rFonts w:hint="eastAsia" w:ascii="微软雅黑" w:hAnsi="微软雅黑" w:eastAsia="微软雅黑" w:cs="微软雅黑"/>
                <w:color w:val="000000"/>
              </w:rPr>
              <w:sym w:font="Wingdings 2" w:char="00A3"/>
            </w:r>
            <w:r>
              <w:rPr>
                <w:rFonts w:hint="eastAsia" w:ascii="微软雅黑" w:hAnsi="微软雅黑" w:eastAsia="微软雅黑" w:cs="微软雅黑"/>
                <w:color w:val="000000"/>
              </w:rPr>
              <w:t xml:space="preserve">普票  </w:t>
            </w:r>
            <w:r>
              <w:rPr>
                <w:rFonts w:hint="eastAsia" w:ascii="微软雅黑" w:hAnsi="微软雅黑" w:eastAsia="微软雅黑" w:cs="微软雅黑"/>
                <w:color w:val="000000"/>
              </w:rPr>
              <w:sym w:font="Wingdings 2" w:char="00A3"/>
            </w:r>
            <w:r>
              <w:rPr>
                <w:rFonts w:hint="eastAsia" w:ascii="微软雅黑" w:hAnsi="微软雅黑" w:eastAsia="微软雅黑" w:cs="微软雅黑"/>
                <w:color w:val="000000"/>
              </w:rPr>
              <w:t>专票</w:t>
            </w:r>
          </w:p>
        </w:tc>
        <w:tc>
          <w:tcPr>
            <w:tcW w:w="4691" w:type="dxa"/>
            <w:gridSpan w:val="2"/>
            <w:noWrap/>
            <w:vAlign w:val="center"/>
          </w:tcPr>
          <w:p>
            <w:pPr>
              <w:jc w:val="center"/>
              <w:rPr>
                <w:rFonts w:hint="eastAsia" w:ascii="微软雅黑" w:hAnsi="微软雅黑" w:eastAsia="微软雅黑" w:cs="微软雅黑"/>
                <w:color w:val="000000"/>
              </w:rPr>
            </w:pPr>
          </w:p>
        </w:tc>
      </w:tr>
    </w:tbl>
    <w:p>
      <w:pPr>
        <w:rPr>
          <w:rFonts w:hint="eastAsia" w:ascii="微软雅黑" w:hAnsi="微软雅黑" w:eastAsia="微软雅黑" w:cs="微软雅黑"/>
          <w:b/>
          <w:color w:val="000000"/>
        </w:rPr>
      </w:pPr>
      <w:r>
        <w:rPr>
          <w:rFonts w:hint="eastAsia" w:ascii="微软雅黑" w:hAnsi="微软雅黑" w:eastAsia="微软雅黑" w:cs="微软雅黑"/>
          <w:b/>
          <w:color w:val="000000"/>
        </w:rPr>
        <w:t>说明：</w:t>
      </w:r>
    </w:p>
    <w:p>
      <w:pPr>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xml:space="preserve">1..报名及比选文件发售期：2025年 </w:t>
      </w:r>
      <w:r>
        <w:rPr>
          <w:rFonts w:hint="eastAsia" w:ascii="微软雅黑" w:hAnsi="微软雅黑" w:eastAsia="微软雅黑" w:cs="微软雅黑"/>
          <w:color w:val="000000" w:themeColor="text1"/>
          <w:lang w:val="en-US" w:eastAsia="zh-CN"/>
          <w14:textFill>
            <w14:solidFill>
              <w14:schemeClr w14:val="tx1"/>
            </w14:solidFill>
          </w14:textFill>
        </w:rPr>
        <w:t>11</w:t>
      </w:r>
      <w:r>
        <w:rPr>
          <w:rFonts w:hint="eastAsia" w:ascii="微软雅黑" w:hAnsi="微软雅黑" w:eastAsia="微软雅黑" w:cs="微软雅黑"/>
          <w:color w:val="000000" w:themeColor="text1"/>
          <w14:textFill>
            <w14:solidFill>
              <w14:schemeClr w14:val="tx1"/>
            </w14:solidFill>
          </w14:textFill>
        </w:rPr>
        <w:t xml:space="preserve"> 月</w:t>
      </w:r>
      <w:r>
        <w:rPr>
          <w:rFonts w:hint="eastAsia" w:ascii="微软雅黑" w:hAnsi="微软雅黑" w:eastAsia="微软雅黑" w:cs="微软雅黑"/>
          <w:color w:val="000000" w:themeColor="text1"/>
          <w:lang w:val="en-US" w:eastAsia="zh-CN"/>
          <w14:textFill>
            <w14:solidFill>
              <w14:schemeClr w14:val="tx1"/>
            </w14:solidFill>
          </w14:textFill>
        </w:rPr>
        <w:t xml:space="preserve"> 17 </w:t>
      </w:r>
      <w:r>
        <w:rPr>
          <w:rFonts w:hint="eastAsia" w:ascii="微软雅黑" w:hAnsi="微软雅黑" w:eastAsia="微软雅黑" w:cs="微软雅黑"/>
          <w:color w:val="000000" w:themeColor="text1"/>
          <w14:textFill>
            <w14:solidFill>
              <w14:schemeClr w14:val="tx1"/>
            </w14:solidFill>
          </w14:textFill>
        </w:rPr>
        <w:t xml:space="preserve">日9:00-2025年 </w:t>
      </w:r>
      <w:r>
        <w:rPr>
          <w:rFonts w:hint="eastAsia" w:ascii="微软雅黑" w:hAnsi="微软雅黑" w:eastAsia="微软雅黑" w:cs="微软雅黑"/>
          <w:color w:val="000000" w:themeColor="text1"/>
          <w:lang w:val="en-US" w:eastAsia="zh-CN"/>
          <w14:textFill>
            <w14:solidFill>
              <w14:schemeClr w14:val="tx1"/>
            </w14:solidFill>
          </w14:textFill>
        </w:rPr>
        <w:t>11</w:t>
      </w:r>
      <w:r>
        <w:rPr>
          <w:rFonts w:hint="eastAsia" w:ascii="微软雅黑" w:hAnsi="微软雅黑" w:eastAsia="微软雅黑" w:cs="微软雅黑"/>
          <w:color w:val="000000" w:themeColor="text1"/>
          <w14:textFill>
            <w14:solidFill>
              <w14:schemeClr w14:val="tx1"/>
            </w14:solidFill>
          </w14:textFill>
        </w:rPr>
        <w:t>月</w:t>
      </w:r>
      <w:r>
        <w:rPr>
          <w:rFonts w:hint="eastAsia" w:ascii="微软雅黑" w:hAnsi="微软雅黑" w:eastAsia="微软雅黑" w:cs="微软雅黑"/>
          <w:color w:val="000000" w:themeColor="text1"/>
          <w:lang w:val="en-US" w:eastAsia="zh-CN"/>
          <w14:textFill>
            <w14:solidFill>
              <w14:schemeClr w14:val="tx1"/>
            </w14:solidFill>
          </w14:textFill>
        </w:rPr>
        <w:t>19</w:t>
      </w:r>
      <w:r>
        <w:rPr>
          <w:rFonts w:hint="eastAsia" w:ascii="微软雅黑" w:hAnsi="微软雅黑" w:eastAsia="微软雅黑" w:cs="微软雅黑"/>
          <w:color w:val="000000" w:themeColor="text1"/>
          <w14:textFill>
            <w14:solidFill>
              <w14:schemeClr w14:val="tx1"/>
            </w14:solidFill>
          </w14:textFill>
        </w:rPr>
        <w:t xml:space="preserve"> </w:t>
      </w:r>
      <w:r>
        <w:rPr>
          <w:rFonts w:hint="eastAsia" w:ascii="微软雅黑" w:hAnsi="微软雅黑" w:eastAsia="微软雅黑" w:cs="微软雅黑"/>
          <w:color w:val="000000" w:themeColor="text1"/>
          <w:lang w:val="en-US" w:eastAsia="zh-CN"/>
          <w14:textFill>
            <w14:solidFill>
              <w14:schemeClr w14:val="tx1"/>
            </w14:solidFill>
          </w14:textFill>
        </w:rPr>
        <w:t xml:space="preserve"> </w:t>
      </w:r>
      <w:r>
        <w:rPr>
          <w:rFonts w:hint="eastAsia" w:ascii="微软雅黑" w:hAnsi="微软雅黑" w:eastAsia="微软雅黑" w:cs="微软雅黑"/>
          <w:color w:val="000000" w:themeColor="text1"/>
          <w14:textFill>
            <w14:solidFill>
              <w14:schemeClr w14:val="tx1"/>
            </w14:solidFill>
          </w14:textFill>
        </w:rPr>
        <w:t xml:space="preserve">日17:00 </w:t>
      </w:r>
    </w:p>
    <w:p>
      <w:pPr>
        <w:ind w:firstLine="480" w:firstLineChars="200"/>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2.报名方式：在报名及比选文件发售期内，供应商将（加盖供应商公章）：比选文件购买费汇款凭证或截图、《竞争性比选文件发售登记表》</w:t>
      </w: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14:textFill>
            <w14:solidFill>
              <w14:schemeClr w14:val="tx1"/>
            </w14:solidFill>
          </w14:textFill>
        </w:rPr>
        <w:t>营业执照 、法定代表人身份证明复印件、法定代表人授权委托书扫描件发送至</w:t>
      </w:r>
      <w:r>
        <w:rPr>
          <w:rFonts w:hint="eastAsia" w:ascii="微软雅黑" w:hAnsi="微软雅黑" w:eastAsia="微软雅黑" w:cs="微软雅黑"/>
          <w:color w:val="000000"/>
          <w:szCs w:val="24"/>
        </w:rPr>
        <w:t>707031950@qq.com</w:t>
      </w:r>
      <w:r>
        <w:rPr>
          <w:rFonts w:hint="eastAsia" w:ascii="微软雅黑" w:hAnsi="微软雅黑" w:eastAsia="微软雅黑" w:cs="微软雅黑"/>
          <w:color w:val="000000" w:themeColor="text1"/>
          <w14:textFill>
            <w14:solidFill>
              <w14:schemeClr w14:val="tx1"/>
            </w14:solidFill>
          </w14:textFill>
        </w:rPr>
        <w:t xml:space="preserve">  。</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3.各供应商须在报名同时并缴纳了比选文件购买费（比选文件购买费人民币500元，售后不退）后才具备比选资格，其响应文件才被接收。</w:t>
      </w:r>
    </w:p>
    <w:p>
      <w:pPr>
        <w:ind w:firstLine="480" w:firstLineChars="200"/>
        <w:rPr>
          <w:rFonts w:hint="eastAsia" w:ascii="微软雅黑" w:hAnsi="微软雅黑" w:eastAsia="微软雅黑" w:cs="微软雅黑"/>
          <w:color w:val="000000"/>
        </w:rPr>
        <w:sectPr>
          <w:footerReference r:id="rId8" w:type="default"/>
          <w:pgSz w:w="11907" w:h="16840"/>
          <w:pgMar w:top="1134" w:right="1191" w:bottom="1134" w:left="1191" w:header="851" w:footer="992" w:gutter="0"/>
          <w:pgNumType w:fmt="numberInDash" w:start="1"/>
          <w:cols w:space="720" w:num="1"/>
          <w:docGrid w:linePitch="380" w:charSpace="-5735"/>
        </w:sectPr>
      </w:pPr>
      <w:r>
        <w:rPr>
          <w:rFonts w:hint="eastAsia" w:ascii="微软雅黑" w:hAnsi="微软雅黑" w:eastAsia="微软雅黑" w:cs="微软雅黑"/>
          <w:b/>
          <w:bCs/>
          <w:color w:val="000000"/>
        </w:rPr>
        <w:t>注：代理服务费只向成交供应商收取，为加快后续进度，提前收集开票信息。</w:t>
      </w:r>
    </w:p>
    <w:p>
      <w:pPr>
        <w:tabs>
          <w:tab w:val="left" w:pos="1185"/>
          <w:tab w:val="center" w:pos="4156"/>
          <w:tab w:val="left" w:pos="7095"/>
        </w:tabs>
        <w:snapToGrid w:val="0"/>
        <w:spacing w:line="336" w:lineRule="auto"/>
        <w:ind w:firstLine="4002" w:firstLineChars="1000"/>
        <w:jc w:val="both"/>
        <w:rPr>
          <w:rFonts w:hint="eastAsia" w:ascii="微软雅黑" w:hAnsi="微软雅黑" w:eastAsia="微软雅黑" w:cs="微软雅黑"/>
          <w:b/>
          <w:bCs/>
          <w:sz w:val="40"/>
          <w:szCs w:val="40"/>
        </w:rPr>
      </w:pPr>
      <w:r>
        <w:rPr>
          <w:rFonts w:hint="eastAsia" w:ascii="微软雅黑" w:hAnsi="微软雅黑" w:eastAsia="微软雅黑" w:cs="微软雅黑"/>
          <w:b/>
          <w:bCs/>
          <w:sz w:val="40"/>
          <w:szCs w:val="40"/>
        </w:rPr>
        <w:t>目  录</w:t>
      </w:r>
    </w:p>
    <w:p>
      <w:pPr>
        <w:pStyle w:val="24"/>
        <w:tabs>
          <w:tab w:val="right" w:leader="dot" w:pos="9737"/>
        </w:tabs>
        <w:spacing w:before="0" w:line="360" w:lineRule="auto"/>
        <w:rPr>
          <w:rFonts w:hint="eastAsia" w:ascii="微软雅黑" w:hAnsi="微软雅黑" w:eastAsia="微软雅黑" w:cs="微软雅黑"/>
          <w:b w:val="0"/>
          <w:bCs w:val="0"/>
          <w:caps w:val="0"/>
          <w:kern w:val="2"/>
        </w:rPr>
      </w:pPr>
      <w:r>
        <w:rPr>
          <w:rFonts w:hint="eastAsia" w:ascii="微软雅黑" w:hAnsi="微软雅黑" w:eastAsia="微软雅黑" w:cs="微软雅黑"/>
          <w:b w:val="0"/>
          <w:bCs w:val="0"/>
          <w:caps w:val="0"/>
        </w:rPr>
        <w:fldChar w:fldCharType="begin"/>
      </w:r>
      <w:r>
        <w:rPr>
          <w:rFonts w:hint="eastAsia" w:ascii="微软雅黑" w:hAnsi="微软雅黑" w:eastAsia="微软雅黑" w:cs="微软雅黑"/>
          <w:b w:val="0"/>
          <w:bCs w:val="0"/>
          <w:caps w:val="0"/>
        </w:rPr>
        <w:instrText xml:space="preserve"> TOC \o "1-3" \h \z \u </w:instrText>
      </w:r>
      <w:r>
        <w:rPr>
          <w:rFonts w:hint="eastAsia" w:ascii="微软雅黑" w:hAnsi="微软雅黑" w:eastAsia="微软雅黑" w:cs="微软雅黑"/>
          <w:b w:val="0"/>
          <w:bCs w:val="0"/>
          <w:caps w:val="0"/>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"_Toc206509806"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第一篇  比选邀请书</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_Toc206509806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- 1 -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"_Toc206509807"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一、比选内容</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_Toc206509807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"_Toc206509808"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二、资金来源</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_Toc206509808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"_Toc206509809"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三、资格</w:t>
      </w:r>
      <w:r>
        <w:rPr>
          <w:rStyle w:val="40"/>
          <w:rFonts w:hint="eastAsia" w:ascii="微软雅黑" w:hAnsi="微软雅黑" w:eastAsia="微软雅黑" w:cs="微软雅黑"/>
          <w:b w:val="0"/>
          <w:bCs w:val="0"/>
          <w:sz w:val="24"/>
          <w:szCs w:val="24"/>
          <w:lang w:eastAsia="zh-CN"/>
        </w:rPr>
        <w:t>条件</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_Toc206509809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"_Toc206509810"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四、比选有关说明</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_Toc206509810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"_Toc206509811"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五、比选保证金</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_Toc206509811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- 3 -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"_Toc206509812"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六、比选有关规定</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_Toc206509812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- 3 -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"_Toc206509812"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lang w:eastAsia="zh-CN"/>
        </w:rPr>
        <w:t>七</w:t>
      </w:r>
      <w:r>
        <w:rPr>
          <w:rStyle w:val="40"/>
          <w:rFonts w:hint="eastAsia" w:ascii="微软雅黑" w:hAnsi="微软雅黑" w:eastAsia="微软雅黑" w:cs="微软雅黑"/>
          <w:b w:val="0"/>
          <w:bCs w:val="0"/>
          <w:sz w:val="24"/>
          <w:szCs w:val="24"/>
        </w:rPr>
        <w:t>、</w:t>
      </w:r>
      <w:r>
        <w:rPr>
          <w:rStyle w:val="40"/>
          <w:rFonts w:hint="eastAsia" w:ascii="微软雅黑" w:hAnsi="微软雅黑" w:eastAsia="微软雅黑" w:cs="微软雅黑"/>
          <w:b w:val="0"/>
          <w:bCs w:val="0"/>
          <w:sz w:val="24"/>
          <w:szCs w:val="24"/>
          <w:lang w:eastAsia="zh-CN"/>
        </w:rPr>
        <w:t>现场踏勘</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_Toc206509812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- 3 -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"_Toc206509813"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八</w:t>
      </w:r>
      <w:r>
        <w:rPr>
          <w:rStyle w:val="40"/>
          <w:rFonts w:hint="eastAsia" w:ascii="微软雅黑" w:hAnsi="微软雅黑" w:eastAsia="微软雅黑" w:cs="微软雅黑"/>
          <w:b w:val="0"/>
          <w:bCs w:val="0"/>
          <w:sz w:val="24"/>
          <w:szCs w:val="24"/>
        </w:rPr>
        <w:t>、联系方式</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_Toc206509813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- 3 -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4"/>
        <w:tabs>
          <w:tab w:val="right" w:leader="dot" w:pos="9737"/>
        </w:tabs>
        <w:spacing w:before="0" w:line="360" w:lineRule="auto"/>
        <w:rPr>
          <w:rFonts w:hint="eastAsia" w:ascii="微软雅黑" w:hAnsi="微软雅黑" w:eastAsia="微软雅黑" w:cs="微软雅黑"/>
          <w:b w:val="0"/>
          <w:bCs w:val="0"/>
          <w:caps w:val="0"/>
          <w:kern w:val="2"/>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"_Toc206509814"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第二篇  项目技术（质量）需求</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_Toc206509814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- 4 -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16"/>
        <w:tabs>
          <w:tab w:val="right" w:leader="dot" w:pos="9737"/>
        </w:tabs>
        <w:spacing w:line="360" w:lineRule="auto"/>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"_Toc206509815"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一、项目一览表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_Toc206509815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- 4 -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16"/>
        <w:tabs>
          <w:tab w:val="right" w:leader="dot" w:pos="9737"/>
        </w:tabs>
        <w:spacing w:line="360" w:lineRule="auto"/>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"_Toc206509816"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二、</w:t>
      </w:r>
      <w:r>
        <w:rPr>
          <w:rStyle w:val="40"/>
          <w:rFonts w:hint="eastAsia" w:ascii="微软雅黑" w:hAnsi="微软雅黑" w:eastAsia="微软雅黑" w:cs="微软雅黑"/>
          <w:sz w:val="24"/>
          <w:szCs w:val="24"/>
          <w:lang w:eastAsia="zh-CN"/>
        </w:rPr>
        <w:t>工程概况</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_Toc206509816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- 4 -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16"/>
        <w:tabs>
          <w:tab w:val="right" w:leader="dot" w:pos="9737"/>
        </w:tabs>
        <w:spacing w:line="360" w:lineRule="auto"/>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"_Toc206509817"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三、</w:t>
      </w:r>
      <w:r>
        <w:rPr>
          <w:rStyle w:val="40"/>
          <w:rFonts w:hint="eastAsia" w:ascii="微软雅黑" w:hAnsi="微软雅黑" w:eastAsia="微软雅黑" w:cs="微软雅黑"/>
          <w:sz w:val="24"/>
          <w:szCs w:val="24"/>
          <w:lang w:eastAsia="zh-CN"/>
        </w:rPr>
        <w:t>工程范围</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_Toc206509817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16"/>
        <w:tabs>
          <w:tab w:val="right" w:leader="dot" w:pos="9737"/>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"_Toc206509818"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四、</w:t>
      </w:r>
      <w:r>
        <w:rPr>
          <w:rStyle w:val="40"/>
          <w:rFonts w:hint="eastAsia" w:ascii="微软雅黑" w:hAnsi="微软雅黑" w:eastAsia="微软雅黑" w:cs="微软雅黑"/>
          <w:sz w:val="24"/>
          <w:szCs w:val="24"/>
          <w:lang w:eastAsia="zh-CN"/>
        </w:rPr>
        <w:t>技术规范及</w:t>
      </w:r>
      <w:r>
        <w:rPr>
          <w:rStyle w:val="40"/>
          <w:rFonts w:hint="eastAsia" w:ascii="微软雅黑" w:hAnsi="微软雅黑" w:eastAsia="微软雅黑" w:cs="微软雅黑"/>
          <w:sz w:val="24"/>
          <w:szCs w:val="24"/>
        </w:rPr>
        <w:t>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_Toc206509818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16"/>
        <w:tabs>
          <w:tab w:val="right" w:leader="dot" w:pos="9737"/>
        </w:tabs>
        <w:spacing w:line="360" w:lineRule="auto"/>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"_Toc206509818"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lang w:eastAsia="zh-CN"/>
        </w:rPr>
        <w:t>五</w:t>
      </w:r>
      <w:r>
        <w:rPr>
          <w:rStyle w:val="40"/>
          <w:rFonts w:hint="eastAsia" w:ascii="微软雅黑" w:hAnsi="微软雅黑" w:eastAsia="微软雅黑" w:cs="微软雅黑"/>
          <w:sz w:val="24"/>
          <w:szCs w:val="24"/>
        </w:rPr>
        <w:t>、</w:t>
      </w:r>
      <w:r>
        <w:rPr>
          <w:rStyle w:val="40"/>
          <w:rFonts w:hint="eastAsia" w:ascii="微软雅黑" w:hAnsi="微软雅黑" w:eastAsia="微软雅黑" w:cs="微软雅黑"/>
          <w:sz w:val="24"/>
          <w:szCs w:val="24"/>
          <w:lang w:eastAsia="zh-CN"/>
        </w:rPr>
        <w:t>项目管理班子人员配备要求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_Toc206509818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- 5 -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24"/>
        <w:tabs>
          <w:tab w:val="right" w:leader="dot" w:pos="9737"/>
        </w:tabs>
        <w:spacing w:before="0" w:line="360" w:lineRule="auto"/>
        <w:rPr>
          <w:rFonts w:hint="eastAsia" w:ascii="微软雅黑" w:hAnsi="微软雅黑" w:eastAsia="微软雅黑" w:cs="微软雅黑"/>
          <w:b w:val="0"/>
          <w:bCs w:val="0"/>
          <w:caps w:val="0"/>
          <w:kern w:val="2"/>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"_Toc206509821"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第三篇 项目商务需求</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_Toc206509821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w:t>
      </w:r>
      <w:r>
        <w:rPr>
          <w:rFonts w:hint="eastAsia" w:ascii="微软雅黑" w:hAnsi="微软雅黑" w:eastAsia="微软雅黑" w:cs="微软雅黑"/>
          <w:b w:val="0"/>
          <w:bCs w:val="0"/>
          <w:lang w:val="en-US" w:eastAsia="zh-CN"/>
        </w:rPr>
        <w:t>6</w:t>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16"/>
        <w:tabs>
          <w:tab w:val="right" w:leader="dot" w:pos="9737"/>
        </w:tabs>
        <w:spacing w:line="360" w:lineRule="auto"/>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"_Toc206509822"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※一、</w:t>
      </w:r>
      <w:r>
        <w:rPr>
          <w:rFonts w:hint="eastAsia" w:ascii="微软雅黑" w:hAnsi="微软雅黑" w:eastAsia="微软雅黑" w:cs="微软雅黑"/>
          <w:sz w:val="24"/>
          <w:szCs w:val="24"/>
        </w:rPr>
        <w:t>建设工期、地点及验收方式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_Toc206509822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16"/>
        <w:tabs>
          <w:tab w:val="right" w:leader="dot" w:pos="9737"/>
        </w:tabs>
        <w:spacing w:line="360" w:lineRule="auto"/>
        <w:ind w:left="0" w:leftChars="0"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"_Toc206509823"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二、报价要求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_Toc206509823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16"/>
        <w:tabs>
          <w:tab w:val="right" w:leader="dot" w:pos="9737"/>
        </w:tabs>
        <w:spacing w:line="360" w:lineRule="auto"/>
        <w:ind w:left="0" w:leftChars="0"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"_Toc206509824"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三、</w:t>
      </w:r>
      <w:r>
        <w:rPr>
          <w:rFonts w:hint="eastAsia" w:ascii="微软雅黑" w:hAnsi="微软雅黑" w:eastAsia="微软雅黑" w:cs="微软雅黑"/>
          <w:sz w:val="24"/>
          <w:szCs w:val="24"/>
        </w:rPr>
        <w:t>质量保证及售后服务</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_Toc206509824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- 7 -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16"/>
        <w:tabs>
          <w:tab w:val="right" w:leader="dot" w:pos="9737"/>
        </w:tabs>
        <w:spacing w:line="360" w:lineRule="auto"/>
        <w:ind w:left="0"/>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"_Toc206509828"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四、</w:t>
      </w:r>
      <w:r>
        <w:rPr>
          <w:rFonts w:hint="eastAsia" w:ascii="微软雅黑" w:hAnsi="微软雅黑" w:eastAsia="微软雅黑" w:cs="微软雅黑"/>
          <w:sz w:val="24"/>
          <w:szCs w:val="24"/>
        </w:rPr>
        <w:t>付款方式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_Toc206509828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- 7 -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24"/>
        <w:tabs>
          <w:tab w:val="right" w:leader="dot" w:pos="9737"/>
        </w:tabs>
        <w:spacing w:before="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HYPERLINK \l "_Toc206509828" </w:instrText>
      </w:r>
      <w:r>
        <w:rPr>
          <w:rFonts w:hint="eastAsia" w:ascii="微软雅黑" w:hAnsi="微软雅黑" w:eastAsia="微软雅黑" w:cs="微软雅黑"/>
          <w:b w:val="0"/>
          <w:bCs w:val="0"/>
        </w:rPr>
        <w:fldChar w:fldCharType="separate"/>
      </w:r>
      <w:r>
        <w:rPr>
          <w:rStyle w:val="40"/>
          <w:rFonts w:hint="eastAsia" w:ascii="微软雅黑" w:hAnsi="微软雅黑" w:eastAsia="微软雅黑" w:cs="微软雅黑"/>
          <w:b w:val="0"/>
          <w:bCs w:val="0"/>
          <w:sz w:val="24"/>
          <w:szCs w:val="24"/>
          <w:lang w:eastAsia="zh-CN"/>
        </w:rPr>
        <w:t>五</w:t>
      </w:r>
      <w:r>
        <w:rPr>
          <w:rStyle w:val="40"/>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lang w:eastAsia="zh-CN"/>
        </w:rPr>
        <w:t>知识产权</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_Toc206509828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lang w:val="en-US" w:eastAsia="zh-CN"/>
        </w:rPr>
        <w:t>8</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4"/>
        <w:tabs>
          <w:tab w:val="right" w:leader="dot" w:pos="9737"/>
        </w:tabs>
        <w:spacing w:before="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HYPERLINK \l "_Toc206509828"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lang w:eastAsia="zh-CN"/>
        </w:rPr>
        <w:t>六</w:t>
      </w:r>
      <w:r>
        <w:rPr>
          <w:rStyle w:val="40"/>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lang w:eastAsia="zh-CN"/>
        </w:rPr>
        <w:t>其他</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_Toc206509828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lang w:val="en-US" w:eastAsia="zh-CN"/>
        </w:rPr>
        <w:t>8</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4"/>
        <w:tabs>
          <w:tab w:val="right" w:leader="dot" w:pos="9737"/>
        </w:tabs>
        <w:spacing w:before="0" w:line="360" w:lineRule="auto"/>
        <w:rPr>
          <w:rFonts w:hint="eastAsia" w:ascii="微软雅黑" w:hAnsi="微软雅黑" w:eastAsia="微软雅黑" w:cs="微软雅黑"/>
          <w:b w:val="0"/>
          <w:bCs w:val="0"/>
          <w:caps w:val="0"/>
          <w:kern w:val="2"/>
        </w:rPr>
      </w:pP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HYPERLINK \l "_Toc206509829" </w:instrText>
      </w:r>
      <w:r>
        <w:rPr>
          <w:rFonts w:hint="eastAsia" w:ascii="微软雅黑" w:hAnsi="微软雅黑" w:eastAsia="微软雅黑" w:cs="微软雅黑"/>
          <w:b w:val="0"/>
          <w:bCs w:val="0"/>
        </w:rPr>
        <w:fldChar w:fldCharType="separate"/>
      </w:r>
      <w:r>
        <w:rPr>
          <w:rStyle w:val="40"/>
          <w:rFonts w:hint="eastAsia" w:ascii="微软雅黑" w:hAnsi="微软雅黑" w:eastAsia="微软雅黑" w:cs="微软雅黑"/>
          <w:b w:val="0"/>
          <w:bCs w:val="0"/>
        </w:rPr>
        <w:t>第四篇  竞选程序及方法、评审标准、无效响应和采购终止</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_Toc206509829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lang w:val="en-US" w:eastAsia="zh-CN"/>
        </w:rPr>
        <w:t>9</w:t>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"_Toc206509830"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一、竞选程序及方法</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_Toc206509830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lang w:val="en-US" w:eastAsia="zh-CN"/>
        </w:rPr>
        <w:t>9</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"_Toc206509831"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二、评审标准</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_Toc206509831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w:t>
      </w:r>
      <w:r>
        <w:rPr>
          <w:rFonts w:hint="eastAsia" w:ascii="微软雅黑" w:hAnsi="微软雅黑" w:eastAsia="微软雅黑" w:cs="微软雅黑"/>
          <w:b w:val="0"/>
          <w:bCs w:val="0"/>
          <w:sz w:val="24"/>
          <w:szCs w:val="24"/>
          <w:lang w:val="en-US" w:eastAsia="zh-CN"/>
        </w:rPr>
        <w:t>0</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"_Toc206509832"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三、无效竞标</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_Toc206509832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w:t>
      </w:r>
      <w:r>
        <w:rPr>
          <w:rFonts w:hint="eastAsia" w:ascii="微软雅黑" w:hAnsi="微软雅黑" w:eastAsia="微软雅黑" w:cs="微软雅黑"/>
          <w:b w:val="0"/>
          <w:bCs w:val="0"/>
          <w:sz w:val="24"/>
          <w:szCs w:val="24"/>
          <w:lang w:val="en-US" w:eastAsia="zh-CN"/>
        </w:rPr>
        <w:t>3</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"_Toc206509833"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四、比选终止</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_Toc206509833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w:t>
      </w:r>
      <w:r>
        <w:rPr>
          <w:rFonts w:hint="eastAsia" w:ascii="微软雅黑" w:hAnsi="微软雅黑" w:eastAsia="微软雅黑" w:cs="微软雅黑"/>
          <w:b w:val="0"/>
          <w:bCs w:val="0"/>
          <w:sz w:val="24"/>
          <w:szCs w:val="24"/>
          <w:lang w:val="en-US" w:eastAsia="zh-CN"/>
        </w:rPr>
        <w:t>3</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4"/>
        <w:tabs>
          <w:tab w:val="right" w:leader="dot" w:pos="9737"/>
        </w:tabs>
        <w:spacing w:before="0" w:line="360" w:lineRule="auto"/>
        <w:rPr>
          <w:rFonts w:hint="eastAsia" w:ascii="微软雅黑" w:hAnsi="微软雅黑" w:eastAsia="微软雅黑" w:cs="微软雅黑"/>
          <w:b w:val="0"/>
          <w:bCs w:val="0"/>
          <w:caps w:val="0"/>
          <w:kern w:val="2"/>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"_Toc206509834"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第五篇  供应商须知</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_Toc206509834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- 1</w:t>
      </w:r>
      <w:r>
        <w:rPr>
          <w:rFonts w:hint="eastAsia" w:ascii="微软雅黑" w:hAnsi="微软雅黑" w:eastAsia="微软雅黑" w:cs="微软雅黑"/>
          <w:b w:val="0"/>
          <w:bCs w:val="0"/>
          <w:lang w:val="en-US" w:eastAsia="zh-CN"/>
        </w:rPr>
        <w:t>4</w:t>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"_Toc206509835"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一、比选费用</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_Toc206509835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w:t>
      </w:r>
      <w:r>
        <w:rPr>
          <w:rFonts w:hint="eastAsia" w:ascii="微软雅黑" w:hAnsi="微软雅黑" w:eastAsia="微软雅黑" w:cs="微软雅黑"/>
          <w:b w:val="0"/>
          <w:bCs w:val="0"/>
          <w:sz w:val="24"/>
          <w:szCs w:val="24"/>
          <w:lang w:val="en-US" w:eastAsia="zh-CN"/>
        </w:rPr>
        <w:t>4</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"_Toc206509836"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lang w:val="zh-CN"/>
        </w:rPr>
        <w:t>二、比选文件</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_Toc206509836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w:t>
      </w:r>
      <w:r>
        <w:rPr>
          <w:rFonts w:hint="eastAsia" w:ascii="微软雅黑" w:hAnsi="微软雅黑" w:eastAsia="微软雅黑" w:cs="微软雅黑"/>
          <w:b w:val="0"/>
          <w:bCs w:val="0"/>
          <w:sz w:val="24"/>
          <w:szCs w:val="24"/>
          <w:lang w:val="en-US" w:eastAsia="zh-CN"/>
        </w:rPr>
        <w:t>4</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"_Toc206509837"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三、比选要求</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_Toc206509837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- 1</w:t>
      </w:r>
      <w:r>
        <w:rPr>
          <w:rFonts w:hint="eastAsia" w:ascii="微软雅黑" w:hAnsi="微软雅黑" w:eastAsia="微软雅黑" w:cs="微软雅黑"/>
          <w:b w:val="0"/>
          <w:bCs w:val="0"/>
          <w:sz w:val="24"/>
          <w:szCs w:val="24"/>
          <w:lang w:val="en-US" w:eastAsia="zh-CN"/>
        </w:rPr>
        <w:t>4</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4"/>
        <w:tabs>
          <w:tab w:val="right" w:leader="dot" w:pos="9737"/>
        </w:tabs>
        <w:spacing w:before="0" w:line="360" w:lineRule="auto"/>
        <w:rPr>
          <w:rFonts w:hint="eastAsia" w:ascii="微软雅黑" w:hAnsi="微软雅黑" w:eastAsia="微软雅黑" w:cs="微软雅黑"/>
          <w:b w:val="0"/>
          <w:bCs w:val="0"/>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"_Toc206509837"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四、关于质疑和投诉</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_Toc206509837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- 1</w:t>
      </w:r>
      <w:r>
        <w:rPr>
          <w:rFonts w:hint="eastAsia" w:ascii="微软雅黑" w:hAnsi="微软雅黑" w:eastAsia="微软雅黑" w:cs="微软雅黑"/>
          <w:b w:val="0"/>
          <w:bCs w:val="0"/>
          <w:lang w:val="en-US" w:eastAsia="zh-CN"/>
        </w:rPr>
        <w:t>5</w:t>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4"/>
        <w:tabs>
          <w:tab w:val="right" w:leader="dot" w:pos="9737"/>
        </w:tabs>
        <w:spacing w:before="0" w:line="360" w:lineRule="auto"/>
        <w:rPr>
          <w:rFonts w:hint="eastAsia" w:ascii="微软雅黑" w:hAnsi="微软雅黑" w:eastAsia="微软雅黑" w:cs="微软雅黑"/>
          <w:b w:val="0"/>
          <w:bCs w:val="0"/>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"_Toc206509837"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五、成交供应商的变更</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_Toc206509837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- 1</w:t>
      </w:r>
      <w:r>
        <w:rPr>
          <w:rFonts w:hint="eastAsia" w:ascii="微软雅黑" w:hAnsi="微软雅黑" w:eastAsia="微软雅黑" w:cs="微软雅黑"/>
          <w:b w:val="0"/>
          <w:bCs w:val="0"/>
          <w:lang w:val="en-US" w:eastAsia="zh-CN"/>
        </w:rPr>
        <w:t>6</w:t>
      </w:r>
      <w:r>
        <w:rPr>
          <w:rFonts w:hint="eastAsia" w:ascii="微软雅黑" w:hAnsi="微软雅黑" w:eastAsia="微软雅黑" w:cs="微软雅黑"/>
          <w:b w:val="0"/>
          <w:bCs w:val="0"/>
        </w:rPr>
        <w:t>-</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4"/>
        <w:tabs>
          <w:tab w:val="right" w:leader="dot" w:pos="9737"/>
        </w:tabs>
        <w:spacing w:before="0" w:line="360" w:lineRule="auto"/>
        <w:rPr>
          <w:rFonts w:hint="eastAsia" w:ascii="微软雅黑" w:hAnsi="微软雅黑" w:eastAsia="微软雅黑" w:cs="微软雅黑"/>
          <w:b w:val="0"/>
          <w:bCs w:val="0"/>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"_Toc206509837"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六、成交通知书</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_Toc206509837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- 1</w:t>
      </w:r>
      <w:r>
        <w:rPr>
          <w:rFonts w:hint="eastAsia" w:ascii="微软雅黑" w:hAnsi="微软雅黑" w:eastAsia="微软雅黑" w:cs="微软雅黑"/>
          <w:b w:val="0"/>
          <w:bCs w:val="0"/>
          <w:lang w:val="en-US" w:eastAsia="zh-CN"/>
        </w:rPr>
        <w:t>6</w:t>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4"/>
        <w:tabs>
          <w:tab w:val="right" w:leader="dot" w:pos="9737"/>
        </w:tabs>
        <w:spacing w:before="0" w:line="360" w:lineRule="auto"/>
        <w:rPr>
          <w:rFonts w:hint="eastAsia" w:ascii="微软雅黑" w:hAnsi="微软雅黑" w:eastAsia="微软雅黑" w:cs="微软雅黑"/>
          <w:b w:val="0"/>
          <w:bCs w:val="0"/>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"_Toc206509837"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七、采购代理服务费</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_Toc206509837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- 1</w:t>
      </w:r>
      <w:r>
        <w:rPr>
          <w:rFonts w:hint="eastAsia" w:ascii="微软雅黑" w:hAnsi="微软雅黑" w:eastAsia="微软雅黑" w:cs="微软雅黑"/>
          <w:b w:val="0"/>
          <w:bCs w:val="0"/>
          <w:lang w:val="en-US" w:eastAsia="zh-CN"/>
        </w:rPr>
        <w:t>6</w:t>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4"/>
        <w:tabs>
          <w:tab w:val="right" w:leader="dot" w:pos="9737"/>
        </w:tabs>
        <w:spacing w:before="0" w:line="360" w:lineRule="auto"/>
        <w:rPr>
          <w:rFonts w:hint="eastAsia" w:ascii="微软雅黑" w:hAnsi="微软雅黑" w:eastAsia="微软雅黑" w:cs="微软雅黑"/>
          <w:b w:val="0"/>
          <w:bCs w:val="0"/>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"_Toc206509837"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八、签订合同</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_Toc206509837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- 1</w:t>
      </w:r>
      <w:r>
        <w:rPr>
          <w:rFonts w:hint="eastAsia" w:ascii="微软雅黑" w:hAnsi="微软雅黑" w:eastAsia="微软雅黑" w:cs="微软雅黑"/>
          <w:b w:val="0"/>
          <w:bCs w:val="0"/>
          <w:lang w:val="en-US" w:eastAsia="zh-CN"/>
        </w:rPr>
        <w:t>6</w:t>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4"/>
        <w:tabs>
          <w:tab w:val="right" w:leader="dot" w:pos="9737"/>
        </w:tabs>
        <w:spacing w:before="0" w:line="360" w:lineRule="auto"/>
        <w:rPr>
          <w:rFonts w:hint="eastAsia" w:ascii="微软雅黑" w:hAnsi="微软雅黑" w:eastAsia="微软雅黑" w:cs="微软雅黑"/>
          <w:b w:val="0"/>
          <w:bCs w:val="0"/>
          <w:caps w:val="0"/>
          <w:kern w:val="2"/>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"_Toc206509838"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第六篇  合同主要条款和格式合同</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_Toc206509838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- 1</w:t>
      </w:r>
      <w:r>
        <w:rPr>
          <w:rFonts w:hint="eastAsia" w:ascii="微软雅黑" w:hAnsi="微软雅黑" w:eastAsia="微软雅黑" w:cs="微软雅黑"/>
          <w:b w:val="0"/>
          <w:bCs w:val="0"/>
          <w:lang w:val="en-US" w:eastAsia="zh-CN"/>
        </w:rPr>
        <w:t>7</w:t>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4"/>
        <w:tabs>
          <w:tab w:val="right" w:leader="dot" w:pos="9737"/>
        </w:tabs>
        <w:spacing w:before="0" w:line="360" w:lineRule="auto"/>
        <w:rPr>
          <w:rFonts w:hint="eastAsia" w:ascii="微软雅黑" w:hAnsi="微软雅黑" w:eastAsia="微软雅黑" w:cs="微软雅黑"/>
          <w:b w:val="0"/>
          <w:bCs w:val="0"/>
          <w:caps w:val="0"/>
          <w:kern w:val="2"/>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"_Toc206509839"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rPr>
        <w:t>第七篇  响应文件格式要求</w:t>
      </w:r>
      <w:r>
        <w:rPr>
          <w:rFonts w:hint="eastAsia" w:ascii="微软雅黑" w:hAnsi="微软雅黑" w:eastAsia="微软雅黑" w:cs="微软雅黑"/>
          <w:b w:val="0"/>
          <w:bCs w:val="0"/>
        </w:rPr>
        <w:tab/>
      </w:r>
      <w:r>
        <w:rPr>
          <w:rFonts w:hint="eastAsia" w:ascii="微软雅黑" w:hAnsi="微软雅黑" w:eastAsia="微软雅黑" w:cs="微软雅黑"/>
          <w:b w:val="0"/>
          <w:bCs w:val="0"/>
        </w:rPr>
        <w:fldChar w:fldCharType="begin"/>
      </w:r>
      <w:r>
        <w:rPr>
          <w:rFonts w:hint="eastAsia" w:ascii="微软雅黑" w:hAnsi="微软雅黑" w:eastAsia="微软雅黑" w:cs="微软雅黑"/>
          <w:b w:val="0"/>
          <w:bCs w:val="0"/>
        </w:rPr>
        <w:instrText xml:space="preserve"> PAGEREF _Toc206509839 \h </w:instrText>
      </w:r>
      <w:r>
        <w:rPr>
          <w:rFonts w:hint="eastAsia" w:ascii="微软雅黑" w:hAnsi="微软雅黑" w:eastAsia="微软雅黑" w:cs="微软雅黑"/>
          <w:b w:val="0"/>
          <w:bCs w:val="0"/>
        </w:rPr>
        <w:fldChar w:fldCharType="separate"/>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lang w:val="en-US" w:eastAsia="zh-CN"/>
        </w:rPr>
        <w:t>31</w:t>
      </w:r>
      <w:r>
        <w:rPr>
          <w:rFonts w:hint="eastAsia" w:ascii="微软雅黑" w:hAnsi="微软雅黑" w:eastAsia="微软雅黑" w:cs="微软雅黑"/>
          <w:b w:val="0"/>
          <w:bCs w:val="0"/>
        </w:rPr>
        <w:t xml:space="preserve"> -</w:t>
      </w:r>
      <w:r>
        <w:rPr>
          <w:rFonts w:hint="eastAsia" w:ascii="微软雅黑" w:hAnsi="微软雅黑" w:eastAsia="微软雅黑" w:cs="微软雅黑"/>
          <w:b w:val="0"/>
          <w:bCs w:val="0"/>
        </w:rPr>
        <w:fldChar w:fldCharType="end"/>
      </w:r>
      <w:r>
        <w:rPr>
          <w:rFonts w:hint="eastAsia" w:ascii="微软雅黑" w:hAnsi="微软雅黑" w:eastAsia="微软雅黑" w:cs="微软雅黑"/>
          <w:b w:val="0"/>
          <w:bCs w:val="0"/>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"_Toc206509840"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一、经济部分</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_Toc206509840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lang w:val="en-US" w:eastAsia="zh-CN"/>
        </w:rPr>
        <w:t>32</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"_Toc206509841"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二、技术（质量）部分</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_Toc206509841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lang w:val="en-US" w:eastAsia="zh-CN"/>
        </w:rPr>
        <w:t>34</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27"/>
        <w:tabs>
          <w:tab w:val="right" w:leader="dot" w:pos="9737"/>
        </w:tabs>
        <w:spacing w:before="0" w:line="360" w:lineRule="auto"/>
        <w:rPr>
          <w:rFonts w:hint="eastAsia" w:ascii="微软雅黑" w:hAnsi="微软雅黑" w:eastAsia="微软雅黑" w:cs="微软雅黑"/>
          <w:b w:val="0"/>
          <w:bCs w:val="0"/>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"_Toc206509842"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b w:val="0"/>
          <w:bCs w:val="0"/>
          <w:sz w:val="24"/>
          <w:szCs w:val="24"/>
        </w:rPr>
        <w:t>三、商务部分</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fldChar w:fldCharType="begin"/>
      </w:r>
      <w:r>
        <w:rPr>
          <w:rFonts w:hint="eastAsia" w:ascii="微软雅黑" w:hAnsi="微软雅黑" w:eastAsia="微软雅黑" w:cs="微软雅黑"/>
          <w:b w:val="0"/>
          <w:bCs w:val="0"/>
          <w:sz w:val="24"/>
          <w:szCs w:val="24"/>
        </w:rPr>
        <w:instrText xml:space="preserve"> PAGEREF _Toc206509842 \h </w:instrText>
      </w:r>
      <w:r>
        <w:rPr>
          <w:rFonts w:hint="eastAsia" w:ascii="微软雅黑" w:hAnsi="微软雅黑" w:eastAsia="微软雅黑" w:cs="微软雅黑"/>
          <w:b w:val="0"/>
          <w:bCs w:val="0"/>
          <w:sz w:val="24"/>
          <w:szCs w:val="24"/>
        </w:rPr>
        <w:fldChar w:fldCharType="separate"/>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lang w:val="en-US" w:eastAsia="zh-CN"/>
        </w:rPr>
        <w:t>36</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val="0"/>
          <w:bCs w:val="0"/>
          <w:sz w:val="24"/>
          <w:szCs w:val="24"/>
        </w:rPr>
        <w:fldChar w:fldCharType="end"/>
      </w:r>
      <w:r>
        <w:rPr>
          <w:rFonts w:hint="eastAsia" w:ascii="微软雅黑" w:hAnsi="微软雅黑" w:eastAsia="微软雅黑" w:cs="微软雅黑"/>
          <w:b w:val="0"/>
          <w:bCs w:val="0"/>
          <w:sz w:val="24"/>
          <w:szCs w:val="24"/>
        </w:rPr>
        <w:fldChar w:fldCharType="end"/>
      </w:r>
    </w:p>
    <w:p>
      <w:pPr>
        <w:pStyle w:val="16"/>
        <w:tabs>
          <w:tab w:val="right" w:leader="dot" w:pos="9737"/>
        </w:tabs>
        <w:spacing w:line="360" w:lineRule="auto"/>
        <w:ind w:left="0"/>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"_Toc206509843"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四、资格条件及其他</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_Toc206509843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40</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16"/>
        <w:tabs>
          <w:tab w:val="right" w:leader="dot" w:pos="9737"/>
        </w:tabs>
        <w:spacing w:line="360" w:lineRule="auto"/>
        <w:ind w:left="0"/>
        <w:rPr>
          <w:rFonts w:hint="eastAsia" w:ascii="微软雅黑" w:hAnsi="微软雅黑" w:eastAsia="微软雅黑" w:cs="微软雅黑"/>
          <w:kern w:val="2"/>
          <w:sz w:val="24"/>
          <w:szCs w:val="2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"_Toc206509844" </w:instrText>
      </w:r>
      <w:r>
        <w:rPr>
          <w:rFonts w:hint="eastAsia" w:ascii="微软雅黑" w:hAnsi="微软雅黑" w:eastAsia="微软雅黑" w:cs="微软雅黑"/>
        </w:rPr>
        <w:fldChar w:fldCharType="separate"/>
      </w:r>
      <w:r>
        <w:rPr>
          <w:rStyle w:val="40"/>
          <w:rFonts w:hint="eastAsia" w:ascii="微软雅黑" w:hAnsi="微软雅黑" w:eastAsia="微软雅黑" w:cs="微软雅黑"/>
          <w:sz w:val="24"/>
          <w:szCs w:val="24"/>
        </w:rPr>
        <w:t>五、其他应提供的资料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_Toc206509844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44</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snapToGrid w:val="0"/>
        <w:spacing w:line="360" w:lineRule="auto"/>
        <w:rPr>
          <w:rFonts w:hint="eastAsia" w:ascii="微软雅黑" w:hAnsi="微软雅黑" w:eastAsia="微软雅黑" w:cs="微软雅黑"/>
        </w:rPr>
        <w:sectPr>
          <w:headerReference r:id="rId10" w:type="first"/>
          <w:footerReference r:id="rId12" w:type="first"/>
          <w:headerReference r:id="rId9" w:type="default"/>
          <w:footerReference r:id="rId11" w:type="default"/>
          <w:pgSz w:w="11907" w:h="16840"/>
          <w:pgMar w:top="1440" w:right="1080" w:bottom="1440" w:left="1080" w:header="454" w:footer="567" w:gutter="0"/>
          <w:pgNumType w:fmt="numberInDash" w:start="1"/>
          <w:cols w:space="720" w:num="1"/>
          <w:titlePg/>
          <w:docGrid w:type="lines" w:linePitch="381" w:charSpace="-5735"/>
        </w:sectPr>
      </w:pPr>
      <w:r>
        <w:rPr>
          <w:rFonts w:hint="eastAsia" w:ascii="微软雅黑" w:hAnsi="微软雅黑" w:eastAsia="微软雅黑" w:cs="微软雅黑"/>
          <w:b/>
          <w:bCs/>
          <w:caps/>
        </w:rPr>
        <w:fldChar w:fldCharType="end"/>
      </w:r>
    </w:p>
    <w:p>
      <w:pPr>
        <w:pStyle w:val="7"/>
        <w:spacing w:line="240" w:lineRule="auto"/>
        <w:jc w:val="center"/>
        <w:rPr>
          <w:rFonts w:hint="eastAsia" w:ascii="微软雅黑" w:hAnsi="微软雅黑" w:eastAsia="微软雅黑" w:cs="微软雅黑"/>
          <w:sz w:val="36"/>
          <w:szCs w:val="36"/>
        </w:rPr>
      </w:pPr>
      <w:bookmarkStart w:id="9" w:name="_Toc108545950"/>
      <w:bookmarkStart w:id="10" w:name="_Toc206509806"/>
      <w:bookmarkStart w:id="11" w:name="_Toc152480139"/>
      <w:bookmarkStart w:id="12" w:name="_Toc12789052"/>
      <w:bookmarkStart w:id="13" w:name="_Toc11641050"/>
      <w:bookmarkStart w:id="14" w:name="_Toc128744981"/>
      <w:r>
        <w:rPr>
          <w:rFonts w:hint="eastAsia" w:ascii="微软雅黑" w:hAnsi="微软雅黑" w:eastAsia="微软雅黑" w:cs="微软雅黑"/>
          <w:sz w:val="36"/>
          <w:szCs w:val="36"/>
        </w:rPr>
        <w:t>第一篇  比选邀请书</w:t>
      </w:r>
      <w:bookmarkEnd w:id="9"/>
      <w:bookmarkEnd w:id="10"/>
      <w:bookmarkEnd w:id="11"/>
    </w:p>
    <w:p>
      <w:pPr>
        <w:snapToGrid w:val="0"/>
        <w:rPr>
          <w:rFonts w:hint="eastAsia" w:ascii="微软雅黑" w:hAnsi="微软雅黑" w:eastAsia="微软雅黑" w:cs="微软雅黑"/>
        </w:rPr>
      </w:pPr>
    </w:p>
    <w:p>
      <w:pPr>
        <w:snapToGrid w:val="0"/>
        <w:ind w:firstLine="544" w:firstLineChars="200"/>
        <w:rPr>
          <w:rFonts w:hint="eastAsia" w:ascii="微软雅黑" w:hAnsi="微软雅黑" w:eastAsia="微软雅黑" w:cs="微软雅黑"/>
        </w:rPr>
      </w:pPr>
      <w:bookmarkStart w:id="15" w:name="_Toc206509810"/>
      <w:bookmarkStart w:id="16" w:name="_Toc108545954"/>
      <w:bookmarkStart w:id="17" w:name="_Toc1359"/>
      <w:bookmarkStart w:id="18" w:name="_Toc487204774"/>
      <w:bookmarkStart w:id="19" w:name="_Toc152480140"/>
      <w:r>
        <w:rPr>
          <w:rFonts w:hint="eastAsia" w:ascii="微软雅黑" w:hAnsi="微软雅黑" w:eastAsia="微软雅黑" w:cs="微软雅黑"/>
          <w:snapToGrid w:val="0"/>
          <w:color w:val="000000" w:themeColor="text1"/>
          <w:spacing w:val="16"/>
          <w:kern w:val="2"/>
          <w:sz w:val="24"/>
          <w:szCs w:val="24"/>
          <w:u w:val="single"/>
          <w:lang w:val="en-US" w:eastAsia="zh-CN" w:bidi="ar-SA"/>
          <w14:textFill>
            <w14:solidFill>
              <w14:schemeClr w14:val="tx1"/>
            </w14:solidFill>
          </w14:textFill>
        </w:rPr>
        <w:t>重庆修为工程咨询有限公司</w:t>
      </w:r>
      <w:r>
        <w:rPr>
          <w:rFonts w:hint="eastAsia" w:ascii="微软雅黑" w:hAnsi="微软雅黑" w:eastAsia="微软雅黑" w:cs="微软雅黑"/>
        </w:rPr>
        <w:t>（以下简称：采购代理机构）接受</w:t>
      </w:r>
      <w:r>
        <w:rPr>
          <w:rFonts w:hint="eastAsia" w:ascii="微软雅黑" w:hAnsi="微软雅黑" w:eastAsia="微软雅黑" w:cs="微软雅黑"/>
          <w:color w:val="auto"/>
          <w:sz w:val="24"/>
          <w:szCs w:val="24"/>
          <w:highlight w:val="none"/>
          <w:u w:val="single"/>
          <w:lang w:eastAsia="zh-CN"/>
        </w:rPr>
        <w:t>北碚区朝阳街道社区卫生服务中心</w:t>
      </w:r>
      <w:r>
        <w:rPr>
          <w:rFonts w:hint="eastAsia" w:ascii="微软雅黑" w:hAnsi="微软雅黑" w:eastAsia="微软雅黑" w:cs="微软雅黑"/>
        </w:rPr>
        <w:t>（以下简称：采购人）的委托，</w:t>
      </w:r>
      <w:r>
        <w:rPr>
          <w:rFonts w:hint="eastAsia" w:ascii="微软雅黑" w:hAnsi="微软雅黑" w:eastAsia="微软雅黑" w:cs="微软雅黑"/>
          <w:sz w:val="24"/>
          <w:szCs w:val="24"/>
          <w:u w:val="single"/>
        </w:rPr>
        <w:t>对</w:t>
      </w:r>
      <w:r>
        <w:rPr>
          <w:rFonts w:hint="eastAsia" w:ascii="微软雅黑" w:hAnsi="微软雅黑" w:eastAsia="微软雅黑" w:cs="微软雅黑"/>
          <w:kern w:val="0"/>
          <w:sz w:val="24"/>
          <w:szCs w:val="24"/>
          <w:highlight w:val="none"/>
          <w:u w:val="single"/>
          <w:lang w:eastAsia="zh-CN"/>
        </w:rPr>
        <w:t>北碚区朝阳街道社区卫生服务中心大楼楼顶修缮项目</w:t>
      </w:r>
      <w:r>
        <w:rPr>
          <w:rFonts w:hint="eastAsia" w:ascii="微软雅黑" w:hAnsi="微软雅黑" w:eastAsia="微软雅黑" w:cs="微软雅黑"/>
        </w:rPr>
        <w:t>进行竞争性比选采购。欢迎有资格的供应商前来参与比选。</w:t>
      </w:r>
    </w:p>
    <w:p>
      <w:pPr>
        <w:pStyle w:val="8"/>
        <w:adjustRightInd w:val="0"/>
        <w:snapToGrid w:val="0"/>
        <w:spacing w:before="0" w:after="0" w:line="240" w:lineRule="auto"/>
        <w:ind w:firstLine="480" w:firstLineChars="200"/>
        <w:rPr>
          <w:rFonts w:hint="eastAsia" w:ascii="微软雅黑" w:hAnsi="微软雅黑" w:eastAsia="微软雅黑" w:cs="微软雅黑"/>
          <w:sz w:val="24"/>
        </w:rPr>
      </w:pPr>
      <w:bookmarkStart w:id="20" w:name="_Toc317775175"/>
      <w:bookmarkStart w:id="21" w:name="_Toc313893526"/>
      <w:bookmarkStart w:id="22" w:name="_Toc76462317"/>
      <w:bookmarkStart w:id="23" w:name="_Toc106030871"/>
      <w:r>
        <w:rPr>
          <w:rFonts w:hint="eastAsia" w:ascii="微软雅黑" w:hAnsi="微软雅黑" w:eastAsia="微软雅黑" w:cs="微软雅黑"/>
          <w:sz w:val="24"/>
        </w:rPr>
        <w:t>一、竞争性比选内容</w:t>
      </w:r>
      <w:bookmarkEnd w:id="20"/>
      <w:bookmarkEnd w:id="21"/>
      <w:bookmarkEnd w:id="22"/>
      <w:bookmarkEnd w:id="23"/>
    </w:p>
    <w:tbl>
      <w:tblPr>
        <w:tblStyle w:val="33"/>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2178"/>
        <w:gridCol w:w="1972"/>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157"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微软雅黑"/>
                <w:b/>
                <w:bCs/>
                <w:sz w:val="21"/>
              </w:rPr>
            </w:pPr>
            <w:r>
              <w:rPr>
                <w:rFonts w:hint="eastAsia" w:ascii="微软雅黑" w:hAnsi="微软雅黑" w:eastAsia="微软雅黑" w:cs="微软雅黑"/>
                <w:b/>
                <w:bCs/>
                <w:sz w:val="21"/>
                <w:lang w:eastAsia="zh-CN"/>
              </w:rPr>
              <w:t>项目</w:t>
            </w:r>
            <w:r>
              <w:rPr>
                <w:rFonts w:hint="eastAsia" w:ascii="微软雅黑" w:hAnsi="微软雅黑" w:eastAsia="微软雅黑" w:cs="微软雅黑"/>
                <w:b/>
                <w:bCs/>
                <w:sz w:val="21"/>
              </w:rPr>
              <w:t>名称</w:t>
            </w:r>
          </w:p>
        </w:tc>
        <w:tc>
          <w:tcPr>
            <w:tcW w:w="2178"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微软雅黑"/>
                <w:b/>
                <w:bCs/>
                <w:lang w:eastAsia="zh-CN"/>
              </w:rPr>
            </w:pPr>
            <w:r>
              <w:rPr>
                <w:rFonts w:hint="eastAsia" w:ascii="微软雅黑" w:hAnsi="微软雅黑" w:eastAsia="微软雅黑" w:cs="微软雅黑"/>
                <w:b/>
                <w:bCs/>
              </w:rPr>
              <w:t>最高限价</w:t>
            </w:r>
            <w:r>
              <w:rPr>
                <w:rFonts w:hint="eastAsia" w:ascii="微软雅黑" w:hAnsi="微软雅黑" w:eastAsia="微软雅黑" w:cs="微软雅黑"/>
                <w:b/>
                <w:bCs/>
                <w:lang w:eastAsia="zh-CN"/>
              </w:rPr>
              <w:t>（元）</w:t>
            </w:r>
          </w:p>
        </w:tc>
        <w:tc>
          <w:tcPr>
            <w:tcW w:w="1972"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微软雅黑"/>
                <w:b/>
                <w:bCs/>
                <w:sz w:val="21"/>
              </w:rPr>
            </w:pPr>
            <w:r>
              <w:rPr>
                <w:rFonts w:hint="eastAsia" w:ascii="微软雅黑" w:hAnsi="微软雅黑" w:eastAsia="微软雅黑" w:cs="微软雅黑"/>
                <w:b/>
                <w:bCs/>
                <w:sz w:val="21"/>
              </w:rPr>
              <w:t>成交供应商数量（名）</w:t>
            </w:r>
          </w:p>
        </w:tc>
        <w:tc>
          <w:tcPr>
            <w:tcW w:w="2326"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微软雅黑"/>
                <w:b/>
                <w:bCs/>
                <w:sz w:val="21"/>
              </w:rPr>
            </w:pPr>
            <w:r>
              <w:rPr>
                <w:rFonts w:hint="eastAsia" w:ascii="微软雅黑" w:hAnsi="微软雅黑" w:eastAsia="微软雅黑" w:cs="微软雅黑"/>
                <w:b/>
                <w:bCs/>
                <w:sz w:val="21"/>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157"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微软雅黑"/>
                <w:sz w:val="21"/>
              </w:rPr>
            </w:pPr>
            <w:bookmarkStart w:id="24" w:name="_Hlk344477914"/>
            <w:r>
              <w:rPr>
                <w:rFonts w:hint="eastAsia" w:ascii="微软雅黑" w:hAnsi="微软雅黑" w:eastAsia="微软雅黑" w:cs="微软雅黑"/>
                <w:kern w:val="0"/>
                <w:sz w:val="24"/>
                <w:szCs w:val="24"/>
                <w:highlight w:val="none"/>
                <w:lang w:eastAsia="zh-CN"/>
              </w:rPr>
              <w:t>北碚区朝阳街道社区卫生服务中心大楼楼顶修缮项目</w:t>
            </w:r>
          </w:p>
        </w:tc>
        <w:tc>
          <w:tcPr>
            <w:tcW w:w="2178"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微软雅黑"/>
              </w:rPr>
            </w:pPr>
            <w:r>
              <w:rPr>
                <w:rFonts w:hint="eastAsia" w:ascii="微软雅黑" w:hAnsi="微软雅黑" w:eastAsia="微软雅黑" w:cs="微软雅黑"/>
                <w:kern w:val="0"/>
                <w:sz w:val="24"/>
                <w:szCs w:val="24"/>
                <w:highlight w:val="none"/>
                <w:lang w:val="en-US" w:eastAsia="zh-CN"/>
              </w:rPr>
              <w:t>179762.26</w:t>
            </w:r>
          </w:p>
        </w:tc>
        <w:tc>
          <w:tcPr>
            <w:tcW w:w="1972"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微软雅黑"/>
              </w:rPr>
            </w:pPr>
            <w:r>
              <w:rPr>
                <w:rFonts w:hint="eastAsia" w:ascii="微软雅黑" w:hAnsi="微软雅黑" w:eastAsia="微软雅黑" w:cs="微软雅黑"/>
              </w:rPr>
              <w:t>1</w:t>
            </w:r>
          </w:p>
        </w:tc>
        <w:tc>
          <w:tcPr>
            <w:tcW w:w="2326"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微软雅黑"/>
                <w:b/>
                <w:sz w:val="21"/>
                <w:szCs w:val="21"/>
              </w:rPr>
            </w:pPr>
            <w:r>
              <w:rPr>
                <w:rFonts w:hint="eastAsia" w:ascii="微软雅黑" w:hAnsi="微软雅黑" w:eastAsia="微软雅黑" w:cs="微软雅黑"/>
                <w:bCs/>
                <w:sz w:val="21"/>
                <w:szCs w:val="21"/>
              </w:rPr>
              <w:t>其他未列明行业</w:t>
            </w:r>
          </w:p>
        </w:tc>
      </w:tr>
      <w:bookmarkEnd w:id="24"/>
    </w:tbl>
    <w:p>
      <w:pPr>
        <w:pStyle w:val="8"/>
        <w:adjustRightInd w:val="0"/>
        <w:snapToGrid w:val="0"/>
        <w:spacing w:before="0" w:after="0" w:line="240" w:lineRule="auto"/>
        <w:ind w:firstLine="480" w:firstLineChars="200"/>
        <w:rPr>
          <w:rFonts w:hint="eastAsia" w:ascii="微软雅黑" w:hAnsi="微软雅黑" w:eastAsia="微软雅黑" w:cs="微软雅黑"/>
          <w:sz w:val="24"/>
        </w:rPr>
      </w:pPr>
      <w:bookmarkStart w:id="25" w:name="_Toc76462318"/>
      <w:bookmarkStart w:id="26" w:name="_Toc106030872"/>
      <w:r>
        <w:rPr>
          <w:rFonts w:hint="eastAsia" w:ascii="微软雅黑" w:hAnsi="微软雅黑" w:eastAsia="微软雅黑" w:cs="微软雅黑"/>
          <w:sz w:val="24"/>
        </w:rPr>
        <w:t>二、资金来源</w:t>
      </w:r>
      <w:bookmarkEnd w:id="25"/>
      <w:bookmarkEnd w:id="26"/>
    </w:p>
    <w:p>
      <w:pPr>
        <w:ind w:firstLine="480" w:firstLineChars="200"/>
        <w:rPr>
          <w:rFonts w:hint="eastAsia" w:ascii="微软雅黑" w:hAnsi="微软雅黑" w:eastAsia="微软雅黑" w:cs="微软雅黑"/>
        </w:rPr>
      </w:pPr>
      <w:r>
        <w:rPr>
          <w:rFonts w:hint="eastAsia" w:ascii="微软雅黑" w:hAnsi="微软雅黑" w:eastAsia="微软雅黑" w:cs="微软雅黑"/>
          <w:lang w:eastAsia="zh-CN"/>
        </w:rPr>
        <w:t>财政预算</w:t>
      </w:r>
      <w:r>
        <w:rPr>
          <w:rFonts w:hint="eastAsia" w:ascii="微软雅黑" w:hAnsi="微软雅黑" w:eastAsia="微软雅黑" w:cs="微软雅黑"/>
        </w:rPr>
        <w:t>资金。</w:t>
      </w:r>
    </w:p>
    <w:p>
      <w:pPr>
        <w:pStyle w:val="8"/>
        <w:adjustRightInd w:val="0"/>
        <w:snapToGrid w:val="0"/>
        <w:spacing w:before="0" w:after="0" w:line="240" w:lineRule="auto"/>
        <w:ind w:firstLine="480" w:firstLineChars="200"/>
        <w:rPr>
          <w:rFonts w:hint="eastAsia" w:ascii="微软雅黑" w:hAnsi="微软雅黑" w:eastAsia="微软雅黑" w:cs="微软雅黑"/>
          <w:sz w:val="24"/>
        </w:rPr>
      </w:pPr>
      <w:bookmarkStart w:id="27" w:name="_Toc76462319"/>
      <w:bookmarkStart w:id="28" w:name="_Toc106030873"/>
      <w:r>
        <w:rPr>
          <w:rFonts w:hint="eastAsia" w:ascii="微软雅黑" w:hAnsi="微软雅黑" w:eastAsia="微软雅黑" w:cs="微软雅黑"/>
          <w:sz w:val="24"/>
        </w:rPr>
        <w:t>三、供应商资格条件</w:t>
      </w:r>
      <w:bookmarkEnd w:id="27"/>
      <w:bookmarkEnd w:id="28"/>
    </w:p>
    <w:p>
      <w:pPr>
        <w:ind w:firstLine="480" w:firstLineChars="200"/>
        <w:rPr>
          <w:rFonts w:hint="eastAsia" w:ascii="微软雅黑" w:hAnsi="微软雅黑" w:eastAsia="微软雅黑" w:cs="微软雅黑"/>
        </w:rPr>
      </w:pPr>
      <w:r>
        <w:rPr>
          <w:rFonts w:hint="eastAsia" w:ascii="微软雅黑" w:hAnsi="微软雅黑" w:eastAsia="微软雅黑" w:cs="微软雅黑"/>
        </w:rPr>
        <w:t>（一）满足《中华人民共和国政府采购法》第二十二条规定；</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（二）落实政府采购政策需满足的资格要求：无；</w:t>
      </w:r>
    </w:p>
    <w:p>
      <w:pPr>
        <w:spacing w:line="4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（三）本项目的特定资格要求：</w:t>
      </w:r>
      <w:bookmarkStart w:id="29" w:name="_Toc18644"/>
    </w:p>
    <w:p>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1、供应商应具备建设行政主管部门颁发的有效期内的建筑装修装饰工程专业承包二级及以上资质或具备建设行政主管部门颁发的建筑工程施工总承包三级及以上资质。（提供资质证书复印件加盖供应商公章）。</w:t>
      </w:r>
      <w:bookmarkEnd w:id="29"/>
    </w:p>
    <w:p>
      <w:pPr>
        <w:spacing w:line="400" w:lineRule="exact"/>
        <w:ind w:firstLine="480" w:firstLineChars="200"/>
        <w:rPr>
          <w:rFonts w:hint="eastAsia" w:ascii="微软雅黑" w:hAnsi="微软雅黑" w:eastAsia="微软雅黑" w:cs="微软雅黑"/>
          <w:b/>
          <w:bCs/>
          <w:sz w:val="24"/>
          <w:szCs w:val="24"/>
          <w:highlight w:val="none"/>
        </w:rPr>
      </w:pPr>
      <w:bookmarkStart w:id="30" w:name="_Toc4857"/>
      <w:r>
        <w:rPr>
          <w:rFonts w:hint="eastAsia" w:ascii="微软雅黑" w:hAnsi="微软雅黑" w:eastAsia="微软雅黑" w:cs="微软雅黑"/>
          <w:b/>
          <w:bCs/>
          <w:sz w:val="24"/>
          <w:szCs w:val="24"/>
          <w:highlight w:val="none"/>
        </w:rPr>
        <w:t>2、供应商应具备建设行政主管部门颁发的有效期内的安全生产许可证。(须提供有效的证书复印件并加盖供应商公章）。</w:t>
      </w:r>
      <w:bookmarkEnd w:id="30"/>
    </w:p>
    <w:p>
      <w:pPr>
        <w:pStyle w:val="8"/>
        <w:spacing w:before="0" w:after="0" w:line="240" w:lineRule="auto"/>
        <w:ind w:firstLine="480" w:firstLineChars="20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rPr>
        <w:t>四、比选有关说明</w:t>
      </w:r>
      <w:bookmarkEnd w:id="15"/>
      <w:bookmarkEnd w:id="16"/>
      <w:bookmarkEnd w:id="17"/>
      <w:bookmarkEnd w:id="18"/>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（一）供应商应通过“行采家”平台（https://www.gec123.com）进行注册，成为行采家平台供应商。</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二）凡有意参加比选的供应商，请在“行采家”（http://www.gec123.com）网上下载或到采购代理机构处领取本项目比选文件以及图纸、澄清等报价前公布的所有项目资料，无论供应商下载或领取与否，均视为已知晓所有实质性要求内容。</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（二）比选文件公告期限：自比选公告发布之日起三个工作日。</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（三）竞争性比选文件发售期限及报名方式</w:t>
      </w:r>
    </w:p>
    <w:p>
      <w:pPr>
        <w:snapToGrid w:val="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xml:space="preserve">1、竞争性比选文件发售期：2025年 </w:t>
      </w:r>
      <w:r>
        <w:rPr>
          <w:rFonts w:hint="eastAsia" w:ascii="微软雅黑" w:hAnsi="微软雅黑" w:eastAsia="微软雅黑" w:cs="微软雅黑"/>
          <w:color w:val="000000" w:themeColor="text1"/>
          <w:lang w:val="en-US" w:eastAsia="zh-CN"/>
          <w14:textFill>
            <w14:solidFill>
              <w14:schemeClr w14:val="tx1"/>
            </w14:solidFill>
          </w14:textFill>
        </w:rPr>
        <w:t>11</w:t>
      </w:r>
      <w:r>
        <w:rPr>
          <w:rFonts w:hint="eastAsia" w:ascii="微软雅黑" w:hAnsi="微软雅黑" w:eastAsia="微软雅黑" w:cs="微软雅黑"/>
          <w:color w:val="000000" w:themeColor="text1"/>
          <w14:textFill>
            <w14:solidFill>
              <w14:schemeClr w14:val="tx1"/>
            </w14:solidFill>
          </w14:textFill>
        </w:rPr>
        <w:t>月</w:t>
      </w:r>
      <w:r>
        <w:rPr>
          <w:rFonts w:hint="eastAsia" w:ascii="微软雅黑" w:hAnsi="微软雅黑" w:eastAsia="微软雅黑" w:cs="微软雅黑"/>
          <w:color w:val="000000" w:themeColor="text1"/>
          <w:lang w:val="en-US" w:eastAsia="zh-CN"/>
          <w14:textFill>
            <w14:solidFill>
              <w14:schemeClr w14:val="tx1"/>
            </w14:solidFill>
          </w14:textFill>
        </w:rPr>
        <w:t xml:space="preserve"> 17 </w:t>
      </w:r>
      <w:r>
        <w:rPr>
          <w:rFonts w:hint="eastAsia" w:ascii="微软雅黑" w:hAnsi="微软雅黑" w:eastAsia="微软雅黑" w:cs="微软雅黑"/>
          <w:color w:val="000000" w:themeColor="text1"/>
          <w14:textFill>
            <w14:solidFill>
              <w14:schemeClr w14:val="tx1"/>
            </w14:solidFill>
          </w14:textFill>
        </w:rPr>
        <w:t>日至2025年</w:t>
      </w:r>
      <w:r>
        <w:rPr>
          <w:rFonts w:hint="eastAsia" w:ascii="微软雅黑" w:hAnsi="微软雅黑" w:eastAsia="微软雅黑" w:cs="微软雅黑"/>
          <w:color w:val="000000" w:themeColor="text1"/>
          <w:lang w:val="en-US" w:eastAsia="zh-CN"/>
          <w14:textFill>
            <w14:solidFill>
              <w14:schemeClr w14:val="tx1"/>
            </w14:solidFill>
          </w14:textFill>
        </w:rPr>
        <w:t>11</w:t>
      </w:r>
      <w:r>
        <w:rPr>
          <w:rFonts w:hint="eastAsia" w:ascii="微软雅黑" w:hAnsi="微软雅黑" w:eastAsia="微软雅黑" w:cs="微软雅黑"/>
          <w:color w:val="000000" w:themeColor="text1"/>
          <w14:textFill>
            <w14:solidFill>
              <w14:schemeClr w14:val="tx1"/>
            </w14:solidFill>
          </w14:textFill>
        </w:rPr>
        <w:t>月</w:t>
      </w:r>
      <w:r>
        <w:rPr>
          <w:rFonts w:hint="eastAsia" w:ascii="微软雅黑" w:hAnsi="微软雅黑" w:eastAsia="微软雅黑" w:cs="微软雅黑"/>
          <w:color w:val="000000" w:themeColor="text1"/>
          <w:lang w:val="en-US" w:eastAsia="zh-CN"/>
          <w14:textFill>
            <w14:solidFill>
              <w14:schemeClr w14:val="tx1"/>
            </w14:solidFill>
          </w14:textFill>
        </w:rPr>
        <w:t xml:space="preserve">19 </w:t>
      </w:r>
      <w:r>
        <w:rPr>
          <w:rFonts w:hint="eastAsia" w:ascii="微软雅黑" w:hAnsi="微软雅黑" w:eastAsia="微软雅黑" w:cs="微软雅黑"/>
          <w:color w:val="000000" w:themeColor="text1"/>
          <w14:textFill>
            <w14:solidFill>
              <w14:schemeClr w14:val="tx1"/>
            </w14:solidFill>
          </w14:textFill>
        </w:rPr>
        <w:t>日17时00分</w:t>
      </w:r>
    </w:p>
    <w:p>
      <w:pPr>
        <w:snapToGrid w:val="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2、报名方式：</w:t>
      </w:r>
    </w:p>
    <w:p>
      <w:pPr>
        <w:snapToGrid w:val="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在本项目竞争性比选文件发售期内，供应商应将竞争性比选文件购买费汇至以下账户内，转账时备注“比选文件购买费+项目名称”；供应商将（加盖供应商公章）：比选文件购买费汇款凭证或截图、《竞争性比选文件发售登记表》</w:t>
      </w: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14:textFill>
            <w14:solidFill>
              <w14:schemeClr w14:val="tx1"/>
            </w14:solidFill>
          </w14:textFill>
        </w:rPr>
        <w:t>营业执照 、法定代表人身份证明复印件、法定代表人授权委托书扫描件发送至</w:t>
      </w:r>
      <w:r>
        <w:rPr>
          <w:rFonts w:hint="eastAsia" w:ascii="微软雅黑" w:hAnsi="微软雅黑" w:eastAsia="微软雅黑" w:cs="微软雅黑"/>
          <w:color w:val="000000"/>
          <w:szCs w:val="24"/>
        </w:rPr>
        <w:t>707031950@qq.com</w:t>
      </w:r>
      <w:r>
        <w:rPr>
          <w:rFonts w:hint="eastAsia" w:ascii="微软雅黑" w:hAnsi="微软雅黑" w:eastAsia="微软雅黑" w:cs="微软雅黑"/>
          <w:color w:val="000000" w:themeColor="text1"/>
          <w14:textFill>
            <w14:solidFill>
              <w14:schemeClr w14:val="tx1"/>
            </w14:solidFill>
          </w14:textFill>
        </w:rPr>
        <w:t xml:space="preserve"> 。（邮件主题为项目名称+供应商名称报名资料）。</w:t>
      </w:r>
    </w:p>
    <w:p>
      <w:pPr>
        <w:ind w:firstLine="480" w:firstLineChars="200"/>
        <w:rPr>
          <w:rFonts w:hint="eastAsia" w:ascii="微软雅黑" w:hAnsi="微软雅黑" w:eastAsia="微软雅黑" w:cs="微软雅黑"/>
          <w:color w:val="000000" w:themeColor="text1"/>
          <w14:textFill>
            <w14:solidFill>
              <w14:schemeClr w14:val="tx1"/>
            </w14:solidFill>
          </w14:textFill>
        </w:rPr>
      </w:pPr>
    </w:p>
    <w:p>
      <w:pPr>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3、</w:t>
      </w:r>
      <w:r>
        <w:rPr>
          <w:rFonts w:hint="eastAsia" w:ascii="微软雅黑" w:hAnsi="微软雅黑" w:eastAsia="微软雅黑" w:cs="微软雅黑"/>
          <w:color w:val="000000" w:themeColor="text1"/>
          <w14:textFill>
            <w14:solidFill>
              <w14:schemeClr w14:val="tx1"/>
            </w14:solidFill>
          </w14:textFill>
        </w:rPr>
        <w:t>竞争性比选文件购买费缴纳账户：</w:t>
      </w:r>
    </w:p>
    <w:p>
      <w:pPr>
        <w:ind w:firstLine="480" w:firstLineChars="200"/>
        <w:rPr>
          <w:rFonts w:hint="eastAsia" w:ascii="微软雅黑" w:hAnsi="微软雅黑" w:eastAsia="微软雅黑" w:cs="微软雅黑"/>
          <w:color w:val="000000" w:themeColor="text1"/>
          <w14:textFill>
            <w14:solidFill>
              <w14:schemeClr w14:val="tx1"/>
            </w14:solidFill>
          </w14:textFill>
        </w:rPr>
      </w:pPr>
    </w:p>
    <w:p>
      <w:pPr>
        <w:ind w:firstLine="560" w:firstLineChars="200"/>
        <w:rPr>
          <w:rFonts w:hint="eastAsia" w:ascii="微软雅黑" w:hAnsi="微软雅黑" w:eastAsia="微软雅黑" w:cs="微软雅黑"/>
        </w:rPr>
      </w:pPr>
      <w:r>
        <w:rPr>
          <w:rFonts w:hint="eastAsia" w:ascii="微软雅黑" w:hAnsi="微软雅黑" w:eastAsia="微软雅黑" w:cs="微软雅黑"/>
          <w:sz w:val="28"/>
          <w:lang w:val="en-US" w:eastAsia="zh-CN"/>
        </w:rPr>
        <w:t xml:space="preserve">                           </w:t>
      </w:r>
      <w:r>
        <w:rPr>
          <w:rFonts w:hint="eastAsia" w:ascii="微软雅黑" w:hAnsi="微软雅黑" w:eastAsia="微软雅黑" w:cs="微软雅黑"/>
          <w:sz w:val="28"/>
        </w:rPr>
        <w:drawing>
          <wp:inline distT="0" distB="0" distL="114300" distR="114300">
            <wp:extent cx="587375" cy="710565"/>
            <wp:effectExtent l="0" t="0" r="3175" b="13335"/>
            <wp:docPr id="11" name="图片 5" descr="669d381d6ff207ecf585cd936d21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669d381d6ff207ecf585cd936d214d0"/>
                    <pic:cNvPicPr>
                      <a:picLocks noChangeAspect="1"/>
                    </pic:cNvPicPr>
                  </pic:nvPicPr>
                  <pic:blipFill>
                    <a:blip r:embed="rId23"/>
                    <a:srcRect l="13075" t="12062" r="9886" b="3258"/>
                    <a:stretch>
                      <a:fillRect/>
                    </a:stretch>
                  </pic:blipFill>
                  <pic:spPr>
                    <a:xfrm>
                      <a:off x="0" y="0"/>
                      <a:ext cx="587375" cy="710565"/>
                    </a:xfrm>
                    <a:prstGeom prst="rect">
                      <a:avLst/>
                    </a:prstGeom>
                    <a:noFill/>
                    <a:ln>
                      <a:noFill/>
                    </a:ln>
                  </pic:spPr>
                </pic:pic>
              </a:graphicData>
            </a:graphic>
          </wp:inline>
        </w:drawing>
      </w:r>
    </w:p>
    <w:p>
      <w:pPr>
        <w:ind w:firstLine="720" w:firstLineChars="300"/>
        <w:rPr>
          <w:rFonts w:hint="eastAsia" w:ascii="微软雅黑" w:hAnsi="微软雅黑" w:eastAsia="微软雅黑" w:cs="微软雅黑"/>
          <w:b/>
          <w:bCs/>
        </w:rPr>
      </w:pPr>
      <w:r>
        <w:rPr>
          <w:rFonts w:hint="eastAsia" w:ascii="微软雅黑" w:hAnsi="微软雅黑" w:eastAsia="微软雅黑" w:cs="微软雅黑"/>
          <w:b/>
          <w:bCs/>
        </w:rPr>
        <w:drawing>
          <wp:inline distT="0" distB="0" distL="114300" distR="114300">
            <wp:extent cx="635" cy="0"/>
            <wp:effectExtent l="0" t="0" r="0" b="0"/>
            <wp:docPr id="10" name="图片 6" descr="0f6f3fa90fca2ea826fb2ff6b46d7f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0f6f3fa90fca2ea826fb2ff6b46d7f81"/>
                    <pic:cNvPicPr>
                      <a:picLocks noChangeAspect="1"/>
                    </pic:cNvPicPr>
                  </pic:nvPicPr>
                  <pic:blipFill>
                    <a:blip r:embed="rId24"/>
                    <a:stretch>
                      <a:fillRect/>
                    </a:stretch>
                  </pic:blipFill>
                  <pic:spPr>
                    <a:xfrm>
                      <a:off x="0" y="0"/>
                      <a:ext cx="635" cy="0"/>
                    </a:xfrm>
                    <a:prstGeom prst="rect">
                      <a:avLst/>
                    </a:prstGeom>
                    <a:noFill/>
                    <a:ln>
                      <a:noFill/>
                    </a:ln>
                  </pic:spPr>
                </pic:pic>
              </a:graphicData>
            </a:graphic>
          </wp:inline>
        </w:drawing>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color w:val="000000" w:themeColor="text1"/>
          <w:lang w:val="en-US" w:eastAsia="zh-CN"/>
          <w14:textFill>
            <w14:solidFill>
              <w14:schemeClr w14:val="tx1"/>
            </w14:solidFill>
          </w14:textFill>
        </w:rPr>
        <w:t>4</w:t>
      </w:r>
      <w:r>
        <w:rPr>
          <w:rFonts w:hint="eastAsia" w:ascii="微软雅黑" w:hAnsi="微软雅黑" w:eastAsia="微软雅黑" w:cs="微软雅黑"/>
          <w:color w:val="000000" w:themeColor="text1"/>
          <w14:textFill>
            <w14:solidFill>
              <w14:schemeClr w14:val="tx1"/>
            </w14:solidFill>
          </w14:textFill>
        </w:rPr>
        <w:t>、竞争性比</w:t>
      </w:r>
      <w:r>
        <w:rPr>
          <w:rFonts w:hint="eastAsia" w:ascii="微软雅黑" w:hAnsi="微软雅黑" w:eastAsia="微软雅黑" w:cs="微软雅黑"/>
        </w:rPr>
        <w:t>选文件售价：人民币500元</w:t>
      </w:r>
      <w:r>
        <w:rPr>
          <w:rFonts w:hint="eastAsia" w:ascii="微软雅黑" w:hAnsi="微软雅黑" w:eastAsia="微软雅黑" w:cs="微软雅黑"/>
          <w:lang w:val="en-US" w:eastAsia="zh-CN"/>
        </w:rPr>
        <w:t>/份</w:t>
      </w:r>
      <w:r>
        <w:rPr>
          <w:rFonts w:hint="eastAsia" w:ascii="微软雅黑" w:hAnsi="微软雅黑" w:eastAsia="微软雅黑" w:cs="微软雅黑"/>
        </w:rPr>
        <w:t>。</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（四）供应商须满足以下</w:t>
      </w:r>
      <w:r>
        <w:rPr>
          <w:rFonts w:hint="eastAsia" w:ascii="微软雅黑" w:hAnsi="微软雅黑" w:eastAsia="微软雅黑" w:cs="微软雅黑"/>
          <w:lang w:val="en-US" w:eastAsia="zh-CN"/>
        </w:rPr>
        <w:t>2</w:t>
      </w:r>
      <w:r>
        <w:rPr>
          <w:rFonts w:hint="eastAsia" w:ascii="微软雅黑" w:hAnsi="微软雅黑" w:eastAsia="微软雅黑" w:cs="微软雅黑"/>
        </w:rPr>
        <w:t>种要件，其响应文件才被接受：</w:t>
      </w:r>
    </w:p>
    <w:p>
      <w:pPr>
        <w:ind w:firstLine="720" w:firstLineChars="300"/>
        <w:rPr>
          <w:rFonts w:hint="eastAsia" w:ascii="微软雅黑" w:hAnsi="微软雅黑" w:eastAsia="微软雅黑" w:cs="微软雅黑"/>
        </w:rPr>
      </w:pPr>
      <w:r>
        <w:rPr>
          <w:rFonts w:hint="eastAsia" w:ascii="微软雅黑" w:hAnsi="微软雅黑" w:eastAsia="微软雅黑" w:cs="微软雅黑"/>
        </w:rPr>
        <w:t>1.报名同时并缴纳了比选文件购买费用（工本费）才具备比选资格，其响应文件才被接收，否则不予受。</w:t>
      </w:r>
    </w:p>
    <w:p>
      <w:pPr>
        <w:snapToGrid w:val="0"/>
        <w:ind w:firstLine="720" w:firstLineChars="300"/>
        <w:rPr>
          <w:rFonts w:hint="eastAsia" w:ascii="微软雅黑" w:hAnsi="微软雅黑" w:eastAsia="微软雅黑" w:cs="微软雅黑"/>
        </w:rPr>
      </w:pPr>
      <w:r>
        <w:rPr>
          <w:rFonts w:hint="eastAsia" w:ascii="微软雅黑" w:hAnsi="微软雅黑" w:eastAsia="微软雅黑" w:cs="微软雅黑"/>
        </w:rPr>
        <w:t>2.按比选文件递交要求递交了响应文件；</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lang w:eastAsia="zh-CN"/>
        </w:rPr>
        <w:t>（五）</w:t>
      </w:r>
      <w:r>
        <w:rPr>
          <w:rFonts w:hint="eastAsia" w:ascii="微软雅黑" w:hAnsi="微软雅黑" w:eastAsia="微软雅黑" w:cs="微软雅黑"/>
          <w:color w:val="auto"/>
          <w:sz w:val="24"/>
          <w:szCs w:val="24"/>
        </w:rPr>
        <w:t>手持部分</w:t>
      </w:r>
    </w:p>
    <w:p>
      <w:pPr>
        <w:spacing w:line="40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1、供应商法定代表人参加的，需持法定代表人身份证明书；</w:t>
      </w:r>
    </w:p>
    <w:p>
      <w:pPr>
        <w:spacing w:line="40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2、供应商授权委托代理人参与</w:t>
      </w:r>
      <w:r>
        <w:rPr>
          <w:rFonts w:hint="eastAsia" w:ascii="微软雅黑" w:hAnsi="微软雅黑" w:eastAsia="微软雅黑" w:cs="微软雅黑"/>
          <w:b/>
          <w:bCs/>
          <w:color w:val="auto"/>
          <w:sz w:val="24"/>
          <w:szCs w:val="24"/>
          <w:lang w:val="en-US" w:eastAsia="zh-CN"/>
        </w:rPr>
        <w:t>谈判</w:t>
      </w:r>
      <w:r>
        <w:rPr>
          <w:rFonts w:hint="eastAsia" w:ascii="微软雅黑" w:hAnsi="微软雅黑" w:eastAsia="微软雅黑" w:cs="微软雅黑"/>
          <w:b/>
          <w:bCs/>
          <w:color w:val="auto"/>
          <w:sz w:val="24"/>
          <w:szCs w:val="24"/>
        </w:rPr>
        <w:t>的持法定代表人身份证明、授权委托书、委托代理人身份证原件；</w:t>
      </w:r>
    </w:p>
    <w:p>
      <w:pPr>
        <w:spacing w:line="40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注：以上资料的复印件须加盖投标人单位鲜章。</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w:t>
      </w:r>
      <w:r>
        <w:rPr>
          <w:rFonts w:hint="eastAsia" w:ascii="微软雅黑" w:hAnsi="微软雅黑" w:eastAsia="微软雅黑" w:cs="微软雅黑"/>
          <w:lang w:eastAsia="zh-CN"/>
        </w:rPr>
        <w:t>六</w:t>
      </w:r>
      <w:r>
        <w:rPr>
          <w:rFonts w:hint="eastAsia" w:ascii="微软雅黑" w:hAnsi="微软雅黑" w:eastAsia="微软雅黑" w:cs="微软雅黑"/>
        </w:rPr>
        <w:t>）响应文件递交</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本项目采用线上+线下相结合的比选方式，请各供应商按如下要求参与比选：</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1、线上报价及上传响应文件电子文档</w:t>
      </w:r>
    </w:p>
    <w:p>
      <w:pPr>
        <w:snapToGrid w:val="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线上报价时间：公告发布之日至2025年</w:t>
      </w:r>
      <w:r>
        <w:rPr>
          <w:rFonts w:hint="eastAsia" w:ascii="微软雅黑" w:hAnsi="微软雅黑" w:eastAsia="微软雅黑" w:cs="微软雅黑"/>
          <w:color w:val="000000" w:themeColor="text1"/>
          <w:lang w:val="en-US" w:eastAsia="zh-CN"/>
          <w14:textFill>
            <w14:solidFill>
              <w14:schemeClr w14:val="tx1"/>
            </w14:solidFill>
          </w14:textFill>
        </w:rPr>
        <w:t>11</w:t>
      </w:r>
      <w:r>
        <w:rPr>
          <w:rFonts w:hint="eastAsia" w:ascii="微软雅黑" w:hAnsi="微软雅黑" w:eastAsia="微软雅黑" w:cs="微软雅黑"/>
          <w:color w:val="000000" w:themeColor="text1"/>
          <w14:textFill>
            <w14:solidFill>
              <w14:schemeClr w14:val="tx1"/>
            </w14:solidFill>
          </w14:textFill>
        </w:rPr>
        <w:t>月</w:t>
      </w:r>
      <w:r>
        <w:rPr>
          <w:rFonts w:hint="eastAsia" w:ascii="微软雅黑" w:hAnsi="微软雅黑" w:eastAsia="微软雅黑" w:cs="微软雅黑"/>
          <w:color w:val="000000" w:themeColor="text1"/>
          <w:lang w:val="en-US" w:eastAsia="zh-CN"/>
          <w14:textFill>
            <w14:solidFill>
              <w14:schemeClr w14:val="tx1"/>
            </w14:solidFill>
          </w14:textFill>
        </w:rPr>
        <w:t>20</w:t>
      </w:r>
      <w:r>
        <w:rPr>
          <w:rFonts w:hint="eastAsia" w:ascii="微软雅黑" w:hAnsi="微软雅黑" w:eastAsia="微软雅黑" w:cs="微软雅黑"/>
          <w:color w:val="000000" w:themeColor="text1"/>
          <w14:textFill>
            <w14:solidFill>
              <w14:schemeClr w14:val="tx1"/>
            </w14:solidFill>
          </w14:textFill>
        </w:rPr>
        <w:t xml:space="preserve"> 日</w:t>
      </w:r>
      <w:r>
        <w:rPr>
          <w:rFonts w:hint="eastAsia" w:ascii="微软雅黑" w:hAnsi="微软雅黑" w:eastAsia="微软雅黑" w:cs="微软雅黑"/>
          <w:color w:val="000000" w:themeColor="text1"/>
          <w:lang w:val="en-US" w:eastAsia="zh-CN"/>
          <w14:textFill>
            <w14:solidFill>
              <w14:schemeClr w14:val="tx1"/>
            </w14:solidFill>
          </w14:textFill>
        </w:rPr>
        <w:t>9</w:t>
      </w:r>
      <w:r>
        <w:rPr>
          <w:rFonts w:hint="eastAsia" w:ascii="微软雅黑" w:hAnsi="微软雅黑" w:eastAsia="微软雅黑" w:cs="微软雅黑"/>
          <w:color w:val="000000" w:themeColor="text1"/>
          <w14:textFill>
            <w14:solidFill>
              <w14:schemeClr w14:val="tx1"/>
            </w14:solidFill>
          </w14:textFill>
        </w:rPr>
        <w:t>时</w:t>
      </w:r>
      <w:r>
        <w:rPr>
          <w:rFonts w:hint="eastAsia" w:ascii="微软雅黑" w:hAnsi="微软雅黑" w:eastAsia="微软雅黑" w:cs="微软雅黑"/>
          <w:color w:val="000000" w:themeColor="text1"/>
          <w:lang w:val="en-US" w:eastAsia="zh-CN"/>
          <w14:textFill>
            <w14:solidFill>
              <w14:schemeClr w14:val="tx1"/>
            </w14:solidFill>
          </w14:textFill>
        </w:rPr>
        <w:t>0</w:t>
      </w:r>
      <w:r>
        <w:rPr>
          <w:rFonts w:hint="eastAsia" w:ascii="微软雅黑" w:hAnsi="微软雅黑" w:eastAsia="微软雅黑" w:cs="微软雅黑"/>
          <w:color w:val="000000" w:themeColor="text1"/>
          <w14:textFill>
            <w14:solidFill>
              <w14:schemeClr w14:val="tx1"/>
            </w14:solidFill>
          </w14:textFill>
        </w:rPr>
        <w:t>0分。</w:t>
      </w:r>
    </w:p>
    <w:p>
      <w:pPr>
        <w:snapToGrid w:val="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线上报价要求：按本项目规定的线上报价时间内在行采家（https://www.gec123.com/）上进行线上报价，并在规定的时间内上传响应文件电子文档。未在规定时间内报价和上传响应文件的供应商不具备比选资格。行采家上传的响应文件电子文档应为签字盖章齐全的纸质响应文件扫描件（PDF格式），若与纸质响应文件不一致的，以纸质响应文件正本为准。</w:t>
      </w:r>
    </w:p>
    <w:p>
      <w:pPr>
        <w:snapToGrid w:val="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2、线下递交纸质响应文件</w:t>
      </w:r>
    </w:p>
    <w:p>
      <w:pPr>
        <w:snapToGrid w:val="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线下递交纸质响应文件开始时间：2025年</w:t>
      </w:r>
      <w:r>
        <w:rPr>
          <w:rFonts w:hint="eastAsia" w:ascii="微软雅黑" w:hAnsi="微软雅黑" w:eastAsia="微软雅黑" w:cs="微软雅黑"/>
          <w:color w:val="000000" w:themeColor="text1"/>
          <w:lang w:val="en-US" w:eastAsia="zh-CN"/>
          <w14:textFill>
            <w14:solidFill>
              <w14:schemeClr w14:val="tx1"/>
            </w14:solidFill>
          </w14:textFill>
        </w:rPr>
        <w:t>11</w:t>
      </w:r>
      <w:r>
        <w:rPr>
          <w:rFonts w:hint="eastAsia" w:ascii="微软雅黑" w:hAnsi="微软雅黑" w:eastAsia="微软雅黑" w:cs="微软雅黑"/>
          <w:color w:val="000000" w:themeColor="text1"/>
          <w14:textFill>
            <w14:solidFill>
              <w14:schemeClr w14:val="tx1"/>
            </w14:solidFill>
          </w14:textFill>
        </w:rPr>
        <w:t xml:space="preserve">月 </w:t>
      </w:r>
      <w:r>
        <w:rPr>
          <w:rFonts w:hint="eastAsia" w:ascii="微软雅黑" w:hAnsi="微软雅黑" w:eastAsia="微软雅黑" w:cs="微软雅黑"/>
          <w:color w:val="000000" w:themeColor="text1"/>
          <w:lang w:val="en-US" w:eastAsia="zh-CN"/>
          <w14:textFill>
            <w14:solidFill>
              <w14:schemeClr w14:val="tx1"/>
            </w14:solidFill>
          </w14:textFill>
        </w:rPr>
        <w:t xml:space="preserve">20  </w:t>
      </w:r>
      <w:r>
        <w:rPr>
          <w:rFonts w:hint="eastAsia" w:ascii="微软雅黑" w:hAnsi="微软雅黑" w:eastAsia="微软雅黑" w:cs="微软雅黑"/>
          <w:color w:val="000000" w:themeColor="text1"/>
          <w14:textFill>
            <w14:solidFill>
              <w14:schemeClr w14:val="tx1"/>
            </w14:solidFill>
          </w14:textFill>
        </w:rPr>
        <w:t>日9时30分</w:t>
      </w:r>
    </w:p>
    <w:p>
      <w:pPr>
        <w:snapToGrid w:val="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线下递交纸质响应文件截止时间：2025年</w:t>
      </w:r>
      <w:r>
        <w:rPr>
          <w:rFonts w:hint="eastAsia" w:ascii="微软雅黑" w:hAnsi="微软雅黑" w:eastAsia="微软雅黑" w:cs="微软雅黑"/>
          <w:color w:val="000000" w:themeColor="text1"/>
          <w:lang w:val="en-US" w:eastAsia="zh-CN"/>
          <w14:textFill>
            <w14:solidFill>
              <w14:schemeClr w14:val="tx1"/>
            </w14:solidFill>
          </w14:textFill>
        </w:rPr>
        <w:t>11</w:t>
      </w:r>
      <w:r>
        <w:rPr>
          <w:rFonts w:hint="eastAsia" w:ascii="微软雅黑" w:hAnsi="微软雅黑" w:eastAsia="微软雅黑" w:cs="微软雅黑"/>
          <w:color w:val="000000" w:themeColor="text1"/>
          <w14:textFill>
            <w14:solidFill>
              <w14:schemeClr w14:val="tx1"/>
            </w14:solidFill>
          </w14:textFill>
        </w:rPr>
        <w:t>月</w:t>
      </w:r>
      <w:r>
        <w:rPr>
          <w:rFonts w:hint="eastAsia" w:ascii="微软雅黑" w:hAnsi="微软雅黑" w:eastAsia="微软雅黑" w:cs="微软雅黑"/>
          <w:color w:val="000000" w:themeColor="text1"/>
          <w:lang w:val="en-US" w:eastAsia="zh-CN"/>
          <w14:textFill>
            <w14:solidFill>
              <w14:schemeClr w14:val="tx1"/>
            </w14:solidFill>
          </w14:textFill>
        </w:rPr>
        <w:t xml:space="preserve"> 20</w:t>
      </w:r>
      <w:r>
        <w:rPr>
          <w:rFonts w:hint="eastAsia" w:ascii="微软雅黑" w:hAnsi="微软雅黑" w:eastAsia="微软雅黑" w:cs="微软雅黑"/>
          <w:color w:val="000000" w:themeColor="text1"/>
          <w14:textFill>
            <w14:solidFill>
              <w14:schemeClr w14:val="tx1"/>
            </w14:solidFill>
          </w14:textFill>
        </w:rPr>
        <w:t xml:space="preserve">  日10时00分。</w:t>
      </w:r>
    </w:p>
    <w:p>
      <w:pPr>
        <w:pageBreakBefore w:val="0"/>
        <w:numPr>
          <w:ilvl w:val="0"/>
          <w:numId w:val="0"/>
        </w:numPr>
        <w:kinsoku/>
        <w:wordWrap/>
        <w:overflowPunct/>
        <w:topLinePunct w:val="0"/>
        <w:autoSpaceDE/>
        <w:autoSpaceDN/>
        <w:bidi w:val="0"/>
        <w:adjustRightInd/>
        <w:snapToGrid w:val="0"/>
        <w:spacing w:line="480" w:lineRule="exact"/>
        <w:ind w:firstLine="480" w:firstLineChars="200"/>
        <w:textAlignment w:val="auto"/>
        <w:rPr>
          <w:rFonts w:hint="eastAsia" w:ascii="微软雅黑" w:hAnsi="微软雅黑" w:eastAsia="微软雅黑" w:cs="微软雅黑"/>
          <w:b/>
          <w:bCs/>
          <w:color w:val="auto"/>
          <w:sz w:val="24"/>
          <w:szCs w:val="24"/>
          <w:u w:val="single"/>
        </w:rPr>
      </w:pPr>
      <w:r>
        <w:rPr>
          <w:rFonts w:hint="eastAsia" w:ascii="微软雅黑" w:hAnsi="微软雅黑" w:eastAsia="微软雅黑" w:cs="微软雅黑"/>
        </w:rPr>
        <w:t>线下递交纸质响应文件地点：</w:t>
      </w:r>
      <w:r>
        <w:rPr>
          <w:rFonts w:hint="eastAsia" w:ascii="微软雅黑" w:hAnsi="微软雅黑" w:eastAsia="微软雅黑" w:cs="微软雅黑"/>
          <w:b/>
          <w:bCs/>
          <w:color w:val="auto"/>
          <w:sz w:val="24"/>
          <w:szCs w:val="24"/>
          <w:u w:val="single"/>
        </w:rPr>
        <w:t>北碚区鱼塘湾2号6楼会议室</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逾期送达的或者未送达指定地点的响应文件，采购人或采购代理机构不予受理。</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3、比选时间：同递交纸质响应文件截止时间。</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4、比选地点：同递交纸质响应文件地点。</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5、供应商须满足以下要件，其响应文件才被接受：</w:t>
      </w:r>
    </w:p>
    <w:p>
      <w:pPr>
        <w:snapToGrid w:val="0"/>
        <w:ind w:firstLine="480" w:firstLineChars="200"/>
        <w:rPr>
          <w:rFonts w:hint="eastAsia" w:ascii="微软雅黑" w:hAnsi="微软雅黑" w:eastAsia="微软雅黑" w:cs="微软雅黑"/>
        </w:rPr>
      </w:pPr>
      <w:bookmarkStart w:id="31" w:name="_Toc487204775"/>
      <w:bookmarkStart w:id="32" w:name="_Toc108545955"/>
      <w:bookmarkStart w:id="33" w:name="_Toc22356"/>
      <w:r>
        <w:rPr>
          <w:rFonts w:hint="eastAsia" w:ascii="微软雅黑" w:hAnsi="微软雅黑" w:eastAsia="微软雅黑" w:cs="微软雅黑"/>
        </w:rPr>
        <w:t>①按时在行采家（https://www.gec123.com/）进行线上报价并上传签字盖章齐全的pdf格式的响应文件电子文档。</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②按时线下递交纸质响应文件。</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 xml:space="preserve">③按时报名成功并签到。 </w:t>
      </w:r>
    </w:p>
    <w:p>
      <w:pPr>
        <w:pStyle w:val="8"/>
        <w:spacing w:before="0" w:after="0" w:line="240" w:lineRule="auto"/>
        <w:ind w:firstLine="480" w:firstLineChars="200"/>
        <w:rPr>
          <w:rFonts w:hint="eastAsia" w:ascii="微软雅黑" w:hAnsi="微软雅黑" w:eastAsia="微软雅黑" w:cs="微软雅黑"/>
          <w:sz w:val="24"/>
          <w:szCs w:val="24"/>
        </w:rPr>
      </w:pPr>
      <w:bookmarkStart w:id="34" w:name="_Toc206509811"/>
      <w:r>
        <w:rPr>
          <w:rFonts w:hint="eastAsia" w:ascii="微软雅黑" w:hAnsi="微软雅黑" w:eastAsia="微软雅黑" w:cs="微软雅黑"/>
          <w:sz w:val="24"/>
          <w:szCs w:val="24"/>
        </w:rPr>
        <w:t>五、比选保证金</w:t>
      </w:r>
      <w:bookmarkEnd w:id="31"/>
      <w:bookmarkEnd w:id="32"/>
      <w:bookmarkEnd w:id="33"/>
      <w:bookmarkEnd w:id="34"/>
    </w:p>
    <w:p>
      <w:pPr>
        <w:pStyle w:val="9"/>
        <w:spacing w:line="240" w:lineRule="auto"/>
        <w:ind w:firstLine="480" w:firstLineChars="200"/>
        <w:rPr>
          <w:rFonts w:hint="eastAsia" w:ascii="微软雅黑" w:hAnsi="微软雅黑" w:eastAsia="微软雅黑" w:cs="微软雅黑"/>
          <w:sz w:val="24"/>
          <w:szCs w:val="24"/>
        </w:rPr>
      </w:pPr>
      <w:bookmarkStart w:id="35" w:name="_Toc206509812"/>
      <w:bookmarkStart w:id="36" w:name="_Toc108545956"/>
      <w:bookmarkStart w:id="37" w:name="_Toc487204776"/>
      <w:bookmarkStart w:id="38" w:name="_Toc24666"/>
      <w:r>
        <w:rPr>
          <w:rFonts w:hint="eastAsia" w:ascii="微软雅黑" w:hAnsi="微软雅黑" w:eastAsia="微软雅黑" w:cs="微软雅黑"/>
          <w:sz w:val="24"/>
          <w:szCs w:val="24"/>
        </w:rPr>
        <w:t>参照《重庆市北碚区财政局关于持续营造一流营商环境的通知》要求，本次采购取消投标保证金收取。</w:t>
      </w:r>
    </w:p>
    <w:p>
      <w:pPr>
        <w:pStyle w:val="8"/>
        <w:spacing w:before="0" w:after="0"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六、比选有关规定</w:t>
      </w:r>
      <w:bookmarkEnd w:id="35"/>
      <w:bookmarkEnd w:id="36"/>
      <w:bookmarkEnd w:id="37"/>
      <w:bookmarkEnd w:id="38"/>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（一）单位负责人为同一人或者存在直接控股、管理关系的不同供应商，不得参加同一合同项下的采购活动，否则均为无效响应。</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（二）为采购项目提供整体设计、规范编制或者项目管理、监理、检测等服务的供应商，不得再参加该采购项目的其他采购活动，否则均为无效响应。</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w:t>
      </w:r>
      <w:r>
        <w:rPr>
          <w:rFonts w:hint="eastAsia" w:ascii="微软雅黑" w:hAnsi="微软雅黑" w:eastAsia="微软雅黑" w:cs="微软雅黑"/>
          <w:lang w:eastAsia="zh-CN"/>
        </w:rPr>
        <w:t>三</w:t>
      </w:r>
      <w:r>
        <w:rPr>
          <w:rFonts w:hint="eastAsia" w:ascii="微软雅黑" w:hAnsi="微软雅黑" w:eastAsia="微软雅黑" w:cs="微软雅黑"/>
        </w:rPr>
        <w:t>）本项目的补遗文件（如果有）一律在“行采家(</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"https://www.gec123.com/" </w:instrText>
      </w:r>
      <w:r>
        <w:rPr>
          <w:rFonts w:hint="eastAsia" w:ascii="微软雅黑" w:hAnsi="微软雅黑" w:eastAsia="微软雅黑" w:cs="微软雅黑"/>
        </w:rPr>
        <w:fldChar w:fldCharType="separate"/>
      </w:r>
      <w:r>
        <w:rPr>
          <w:rFonts w:hint="eastAsia" w:ascii="微软雅黑" w:hAnsi="微软雅黑" w:eastAsia="微软雅黑" w:cs="微软雅黑"/>
        </w:rPr>
        <w:t>https://www.gec123.com</w:t>
      </w:r>
      <w:r>
        <w:rPr>
          <w:rFonts w:hint="eastAsia" w:ascii="微软雅黑" w:hAnsi="微软雅黑" w:eastAsia="微软雅黑" w:cs="微软雅黑"/>
        </w:rPr>
        <w:fldChar w:fldCharType="end"/>
      </w:r>
      <w:r>
        <w:rPr>
          <w:rFonts w:hint="eastAsia" w:ascii="微软雅黑" w:hAnsi="微软雅黑" w:eastAsia="微软雅黑" w:cs="微软雅黑"/>
        </w:rPr>
        <w:t>）”上发布，请各供应商注意下载或到代理机构处领取；无论供应商下载或领取与否，均视同供应商已知晓本项目补遗文件（如果有）的内容。</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w:t>
      </w:r>
      <w:r>
        <w:rPr>
          <w:rFonts w:hint="eastAsia" w:ascii="微软雅黑" w:hAnsi="微软雅黑" w:eastAsia="微软雅黑" w:cs="微软雅黑"/>
          <w:lang w:eastAsia="zh-CN"/>
        </w:rPr>
        <w:t>四</w:t>
      </w:r>
      <w:r>
        <w:rPr>
          <w:rFonts w:hint="eastAsia" w:ascii="微软雅黑" w:hAnsi="微软雅黑" w:eastAsia="微软雅黑" w:cs="微软雅黑"/>
        </w:rPr>
        <w:t>）超过响应文件截止时间递交的响应文件，恕不接收。</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w:t>
      </w:r>
      <w:r>
        <w:rPr>
          <w:rFonts w:hint="eastAsia" w:ascii="微软雅黑" w:hAnsi="微软雅黑" w:eastAsia="微软雅黑" w:cs="微软雅黑"/>
          <w:lang w:eastAsia="zh-CN"/>
        </w:rPr>
        <w:t>五</w:t>
      </w:r>
      <w:r>
        <w:rPr>
          <w:rFonts w:hint="eastAsia" w:ascii="微软雅黑" w:hAnsi="微软雅黑" w:eastAsia="微软雅黑" w:cs="微软雅黑"/>
        </w:rPr>
        <w:t>）比选费用：无论比选结果如何，供应商参与本项目比选的所有费用均应由供应商自行承担。</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w:t>
      </w:r>
      <w:r>
        <w:rPr>
          <w:rFonts w:hint="eastAsia" w:ascii="微软雅黑" w:hAnsi="微软雅黑" w:eastAsia="微软雅黑" w:cs="微软雅黑"/>
          <w:lang w:eastAsia="zh-CN"/>
        </w:rPr>
        <w:t>六</w:t>
      </w:r>
      <w:r>
        <w:rPr>
          <w:rFonts w:hint="eastAsia" w:ascii="微软雅黑" w:hAnsi="微软雅黑" w:eastAsia="微软雅黑" w:cs="微软雅黑"/>
        </w:rPr>
        <w:t>）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pStyle w:val="8"/>
        <w:spacing w:before="0" w:after="0" w:line="240" w:lineRule="auto"/>
        <w:ind w:firstLine="480" w:firstLineChars="200"/>
        <w:rPr>
          <w:rFonts w:hint="eastAsia" w:ascii="微软雅黑" w:hAnsi="微软雅黑" w:eastAsia="微软雅黑" w:cs="微软雅黑"/>
          <w:b w:val="0"/>
          <w:bCs w:val="0"/>
          <w:color w:val="auto"/>
          <w:sz w:val="24"/>
          <w:szCs w:val="24"/>
        </w:rPr>
      </w:pPr>
      <w:bookmarkStart w:id="39" w:name="_Toc76462321"/>
      <w:bookmarkStart w:id="40" w:name="_Toc373860294"/>
      <w:bookmarkStart w:id="41" w:name="_Toc206509813"/>
      <w:bookmarkStart w:id="42" w:name="_Toc108545957"/>
      <w:r>
        <w:rPr>
          <w:rFonts w:hint="eastAsia" w:ascii="微软雅黑" w:hAnsi="微软雅黑" w:eastAsia="微软雅黑" w:cs="微软雅黑"/>
          <w:b/>
          <w:bCs/>
          <w:color w:val="auto"/>
          <w:sz w:val="24"/>
          <w:szCs w:val="24"/>
          <w:lang w:eastAsia="zh-CN"/>
        </w:rPr>
        <w:t>七、</w:t>
      </w:r>
      <w:bookmarkStart w:id="43" w:name="_Toc56419853"/>
      <w:r>
        <w:rPr>
          <w:rFonts w:hint="eastAsia" w:ascii="微软雅黑" w:hAnsi="微软雅黑" w:eastAsia="微软雅黑" w:cs="微软雅黑"/>
          <w:b/>
          <w:bCs/>
          <w:color w:val="auto"/>
          <w:sz w:val="24"/>
          <w:szCs w:val="24"/>
          <w:lang w:eastAsia="zh-CN"/>
        </w:rPr>
        <w:t>现场踏勘</w:t>
      </w:r>
      <w:bookmarkEnd w:id="43"/>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val="0"/>
          <w:bCs w:val="0"/>
          <w:color w:val="auto"/>
          <w:sz w:val="24"/>
          <w:szCs w:val="24"/>
        </w:rPr>
        <w:t>自行踏勘。供应商自身应对勘察中获取的现场资料负责。不管供应商是否勘察过现场，均被认为在递交响应文件之前已勘察现场，对本项目的风险和义务十分了解，并在其响应文件中充分考虑了现场和环境条件。</w:t>
      </w:r>
    </w:p>
    <w:bookmarkEnd w:id="39"/>
    <w:bookmarkEnd w:id="40"/>
    <w:p>
      <w:pPr>
        <w:pStyle w:val="8"/>
        <w:spacing w:before="0" w:after="0"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八</w:t>
      </w:r>
      <w:r>
        <w:rPr>
          <w:rFonts w:hint="eastAsia" w:ascii="微软雅黑" w:hAnsi="微软雅黑" w:eastAsia="微软雅黑" w:cs="微软雅黑"/>
          <w:sz w:val="24"/>
          <w:szCs w:val="24"/>
        </w:rPr>
        <w:t>、联系方式</w:t>
      </w:r>
      <w:bookmarkEnd w:id="41"/>
      <w:bookmarkEnd w:id="42"/>
    </w:p>
    <w:bookmarkEnd w:id="12"/>
    <w:bookmarkEnd w:id="13"/>
    <w:bookmarkEnd w:id="14"/>
    <w:bookmarkEnd w:id="19"/>
    <w:p>
      <w:pPr>
        <w:pageBreakBefore w:val="0"/>
        <w:kinsoku/>
        <w:wordWrap/>
        <w:overflowPunct/>
        <w:topLinePunct w:val="0"/>
        <w:autoSpaceDE/>
        <w:autoSpaceDN/>
        <w:bidi w:val="0"/>
        <w:spacing w:line="480" w:lineRule="exact"/>
        <w:ind w:firstLine="480" w:firstLineChars="200"/>
        <w:textAlignment w:val="auto"/>
        <w:rPr>
          <w:rFonts w:hint="eastAsia" w:ascii="微软雅黑" w:hAnsi="微软雅黑" w:eastAsia="微软雅黑" w:cs="微软雅黑"/>
          <w:sz w:val="24"/>
          <w:u w:val="none"/>
          <w:lang w:eastAsia="zh-CN" w:bidi="ar"/>
        </w:rPr>
      </w:pPr>
      <w:bookmarkStart w:id="44" w:name="_Toc128744991"/>
      <w:bookmarkStart w:id="45" w:name="_Toc206509814"/>
      <w:bookmarkStart w:id="46" w:name="_Toc108545968"/>
      <w:r>
        <w:rPr>
          <w:rFonts w:hint="eastAsia" w:ascii="微软雅黑" w:hAnsi="微软雅黑" w:eastAsia="微软雅黑" w:cs="微软雅黑"/>
          <w:sz w:val="24"/>
          <w:u w:val="none"/>
          <w:lang w:eastAsia="zh-CN" w:bidi="ar"/>
        </w:rPr>
        <w:t>（一）采购人：</w:t>
      </w:r>
      <w:r>
        <w:rPr>
          <w:rFonts w:hint="eastAsia" w:ascii="微软雅黑" w:hAnsi="微软雅黑" w:eastAsia="微软雅黑" w:cs="微软雅黑"/>
          <w:sz w:val="24"/>
          <w:u w:val="none"/>
          <w:lang w:eastAsia="zh-CN" w:bidi="ar"/>
        </w:rPr>
        <w:t>重庆市北碚区朝阳街道社区卫生服务中心</w:t>
      </w:r>
    </w:p>
    <w:p>
      <w:pPr>
        <w:pageBreakBefore w:val="0"/>
        <w:kinsoku/>
        <w:wordWrap/>
        <w:overflowPunct/>
        <w:topLinePunct w:val="0"/>
        <w:autoSpaceDE/>
        <w:autoSpaceDN/>
        <w:bidi w:val="0"/>
        <w:spacing w:line="480" w:lineRule="exact"/>
        <w:ind w:firstLine="480" w:firstLineChars="200"/>
        <w:textAlignment w:val="auto"/>
        <w:rPr>
          <w:rFonts w:hint="default" w:ascii="微软雅黑" w:hAnsi="微软雅黑" w:eastAsia="微软雅黑" w:cs="微软雅黑"/>
          <w:sz w:val="24"/>
          <w:u w:val="none"/>
          <w:lang w:val="en-US" w:eastAsia="zh-CN" w:bidi="ar"/>
        </w:rPr>
      </w:pPr>
      <w:r>
        <w:rPr>
          <w:rFonts w:hint="eastAsia" w:ascii="微软雅黑" w:hAnsi="微软雅黑" w:eastAsia="微软雅黑" w:cs="微软雅黑"/>
          <w:sz w:val="24"/>
          <w:u w:val="none"/>
          <w:lang w:eastAsia="zh-CN" w:bidi="ar"/>
        </w:rPr>
        <w:t>联系人：</w:t>
      </w:r>
      <w:r>
        <w:rPr>
          <w:rFonts w:hint="eastAsia" w:ascii="微软雅黑" w:hAnsi="微软雅黑" w:eastAsia="微软雅黑" w:cs="微软雅黑"/>
          <w:sz w:val="24"/>
          <w:u w:val="none"/>
          <w:lang w:val="en-US" w:eastAsia="zh-CN" w:bidi="ar"/>
        </w:rPr>
        <w:t>罗泓栋</w:t>
      </w:r>
    </w:p>
    <w:p>
      <w:pPr>
        <w:pageBreakBefore w:val="0"/>
        <w:kinsoku/>
        <w:wordWrap/>
        <w:overflowPunct/>
        <w:topLinePunct w:val="0"/>
        <w:autoSpaceDE/>
        <w:autoSpaceDN/>
        <w:bidi w:val="0"/>
        <w:spacing w:line="480" w:lineRule="exact"/>
        <w:ind w:firstLine="480" w:firstLineChars="200"/>
        <w:textAlignment w:val="auto"/>
        <w:rPr>
          <w:rFonts w:hint="default" w:ascii="微软雅黑" w:hAnsi="微软雅黑" w:eastAsia="微软雅黑" w:cs="微软雅黑"/>
          <w:sz w:val="24"/>
          <w:u w:val="none"/>
          <w:lang w:val="en-US" w:eastAsia="zh-CN" w:bidi="ar"/>
        </w:rPr>
      </w:pPr>
      <w:r>
        <w:rPr>
          <w:rFonts w:hint="eastAsia" w:ascii="微软雅黑" w:hAnsi="微软雅黑" w:eastAsia="微软雅黑" w:cs="微软雅黑"/>
          <w:sz w:val="24"/>
          <w:u w:val="none"/>
          <w:lang w:eastAsia="zh-CN" w:bidi="ar"/>
        </w:rPr>
        <w:t>电  话：</w:t>
      </w:r>
      <w:r>
        <w:rPr>
          <w:rFonts w:hint="eastAsia" w:ascii="微软雅黑" w:hAnsi="微软雅黑" w:eastAsia="微软雅黑" w:cs="微软雅黑"/>
          <w:sz w:val="24"/>
          <w:u w:val="none"/>
          <w:lang w:val="en-US" w:eastAsia="zh-CN" w:bidi="ar"/>
        </w:rPr>
        <w:t>19122603472</w:t>
      </w:r>
    </w:p>
    <w:p>
      <w:pPr>
        <w:pageBreakBefore w:val="0"/>
        <w:kinsoku/>
        <w:wordWrap/>
        <w:overflowPunct/>
        <w:topLinePunct w:val="0"/>
        <w:autoSpaceDE/>
        <w:autoSpaceDN/>
        <w:bidi w:val="0"/>
        <w:spacing w:line="480" w:lineRule="exact"/>
        <w:ind w:firstLine="480" w:firstLineChars="200"/>
        <w:textAlignment w:val="auto"/>
        <w:rPr>
          <w:rFonts w:hint="eastAsia" w:ascii="微软雅黑" w:hAnsi="微软雅黑" w:eastAsia="微软雅黑" w:cs="微软雅黑"/>
          <w:sz w:val="24"/>
          <w:u w:val="none"/>
          <w:lang w:eastAsia="zh-CN" w:bidi="ar"/>
        </w:rPr>
      </w:pPr>
      <w:r>
        <w:rPr>
          <w:rFonts w:hint="eastAsia" w:ascii="微软雅黑" w:hAnsi="微软雅黑" w:eastAsia="微软雅黑" w:cs="微软雅黑"/>
          <w:sz w:val="24"/>
          <w:u w:val="none"/>
          <w:lang w:eastAsia="zh-CN" w:bidi="ar"/>
        </w:rPr>
        <w:t>地  址：北碚区鱼塘湾2号</w:t>
      </w:r>
    </w:p>
    <w:p>
      <w:pPr>
        <w:pageBreakBefore w:val="0"/>
        <w:kinsoku/>
        <w:wordWrap/>
        <w:overflowPunct/>
        <w:topLinePunct w:val="0"/>
        <w:autoSpaceDE/>
        <w:autoSpaceDN/>
        <w:bidi w:val="0"/>
        <w:spacing w:line="480" w:lineRule="exact"/>
        <w:ind w:firstLine="480" w:firstLineChars="200"/>
        <w:textAlignment w:val="auto"/>
        <w:rPr>
          <w:rFonts w:hint="eastAsia" w:ascii="微软雅黑" w:hAnsi="微软雅黑" w:eastAsia="微软雅黑" w:cs="微软雅黑"/>
          <w:sz w:val="24"/>
          <w:u w:val="none"/>
          <w:lang w:eastAsia="zh-CN" w:bidi="ar"/>
        </w:rPr>
      </w:pPr>
      <w:r>
        <w:rPr>
          <w:rFonts w:hint="eastAsia" w:ascii="微软雅黑" w:hAnsi="微软雅黑" w:eastAsia="微软雅黑" w:cs="微软雅黑"/>
          <w:sz w:val="24"/>
          <w:u w:val="none"/>
          <w:lang w:eastAsia="zh-CN" w:bidi="ar"/>
        </w:rPr>
        <w:t>（二）采购代理机构：</w:t>
      </w:r>
      <w:r>
        <w:rPr>
          <w:rFonts w:hint="eastAsia" w:ascii="微软雅黑" w:hAnsi="微软雅黑" w:eastAsia="微软雅黑" w:cs="微软雅黑"/>
          <w:sz w:val="24"/>
          <w:u w:val="none"/>
          <w:lang w:val="en-US" w:eastAsia="zh-CN" w:bidi="ar"/>
        </w:rPr>
        <w:t>重庆修为工程咨询有限公</w:t>
      </w:r>
      <w:bookmarkStart w:id="250" w:name="_GoBack"/>
      <w:bookmarkEnd w:id="250"/>
      <w:r>
        <w:rPr>
          <w:rFonts w:hint="eastAsia" w:ascii="微软雅黑" w:hAnsi="微软雅黑" w:eastAsia="微软雅黑" w:cs="微软雅黑"/>
          <w:sz w:val="24"/>
          <w:u w:val="none"/>
          <w:lang w:val="en-US" w:eastAsia="zh-CN" w:bidi="ar"/>
        </w:rPr>
        <w:t>司</w:t>
      </w:r>
    </w:p>
    <w:p>
      <w:pPr>
        <w:pageBreakBefore w:val="0"/>
        <w:kinsoku/>
        <w:wordWrap/>
        <w:overflowPunct/>
        <w:topLinePunct w:val="0"/>
        <w:autoSpaceDE/>
        <w:autoSpaceDN/>
        <w:bidi w:val="0"/>
        <w:spacing w:line="480" w:lineRule="exact"/>
        <w:ind w:firstLine="480" w:firstLineChars="200"/>
        <w:textAlignment w:val="auto"/>
        <w:rPr>
          <w:rFonts w:hint="eastAsia" w:ascii="微软雅黑" w:hAnsi="微软雅黑" w:eastAsia="微软雅黑" w:cs="微软雅黑"/>
          <w:sz w:val="24"/>
          <w:u w:val="none"/>
          <w:lang w:eastAsia="zh-CN" w:bidi="ar"/>
        </w:rPr>
      </w:pPr>
      <w:r>
        <w:rPr>
          <w:rFonts w:hint="eastAsia" w:ascii="微软雅黑" w:hAnsi="微软雅黑" w:eastAsia="微软雅黑" w:cs="微软雅黑"/>
          <w:sz w:val="24"/>
          <w:u w:val="none"/>
          <w:lang w:eastAsia="zh-CN" w:bidi="ar"/>
        </w:rPr>
        <w:t>联系人：刘老师</w:t>
      </w:r>
    </w:p>
    <w:p>
      <w:pPr>
        <w:pageBreakBefore w:val="0"/>
        <w:kinsoku/>
        <w:wordWrap/>
        <w:overflowPunct/>
        <w:topLinePunct w:val="0"/>
        <w:autoSpaceDE/>
        <w:autoSpaceDN/>
        <w:bidi w:val="0"/>
        <w:spacing w:line="480" w:lineRule="exact"/>
        <w:ind w:firstLine="480" w:firstLineChars="200"/>
        <w:textAlignment w:val="auto"/>
        <w:rPr>
          <w:rFonts w:hint="default" w:ascii="微软雅黑" w:hAnsi="微软雅黑" w:eastAsia="微软雅黑" w:cs="微软雅黑"/>
          <w:sz w:val="24"/>
          <w:u w:val="none"/>
          <w:lang w:val="en-US" w:eastAsia="zh-CN" w:bidi="ar"/>
        </w:rPr>
      </w:pPr>
      <w:r>
        <w:rPr>
          <w:rFonts w:hint="eastAsia" w:ascii="微软雅黑" w:hAnsi="微软雅黑" w:eastAsia="微软雅黑" w:cs="微软雅黑"/>
          <w:sz w:val="24"/>
          <w:u w:val="none"/>
          <w:lang w:eastAsia="zh-CN" w:bidi="ar"/>
        </w:rPr>
        <w:t>电  话：</w:t>
      </w:r>
      <w:r>
        <w:rPr>
          <w:rFonts w:hint="eastAsia" w:ascii="微软雅黑" w:hAnsi="微软雅黑" w:eastAsia="微软雅黑" w:cs="微软雅黑"/>
          <w:sz w:val="24"/>
          <w:u w:val="none"/>
          <w:lang w:val="en-US" w:eastAsia="zh-CN" w:bidi="ar"/>
        </w:rPr>
        <w:t>13883621314</w:t>
      </w:r>
    </w:p>
    <w:p>
      <w:pPr>
        <w:pageBreakBefore w:val="0"/>
        <w:kinsoku/>
        <w:wordWrap/>
        <w:overflowPunct/>
        <w:topLinePunct w:val="0"/>
        <w:autoSpaceDE/>
        <w:autoSpaceDN/>
        <w:bidi w:val="0"/>
        <w:spacing w:line="480" w:lineRule="exact"/>
        <w:ind w:firstLine="480" w:firstLineChars="200"/>
        <w:textAlignment w:val="auto"/>
        <w:rPr>
          <w:rFonts w:hint="eastAsia" w:ascii="微软雅黑" w:hAnsi="微软雅黑" w:eastAsia="微软雅黑" w:cs="微软雅黑"/>
          <w:sz w:val="24"/>
          <w:u w:val="none"/>
          <w:lang w:eastAsia="zh-CN" w:bidi="ar"/>
        </w:rPr>
      </w:pPr>
      <w:r>
        <w:rPr>
          <w:rFonts w:hint="eastAsia" w:ascii="微软雅黑" w:hAnsi="微软雅黑" w:eastAsia="微软雅黑" w:cs="微软雅黑"/>
          <w:sz w:val="24"/>
          <w:u w:val="none"/>
          <w:lang w:eastAsia="zh-CN" w:bidi="ar"/>
        </w:rPr>
        <w:t xml:space="preserve">地  址：重庆市两江新区天宫殿街道财富大道2号28-7 </w:t>
      </w:r>
    </w:p>
    <w:p>
      <w:pPr>
        <w:ind w:firstLine="480" w:firstLineChars="200"/>
        <w:rPr>
          <w:rFonts w:hint="eastAsia" w:ascii="微软雅黑" w:hAnsi="微软雅黑" w:eastAsia="微软雅黑" w:cs="微软雅黑"/>
        </w:rPr>
      </w:pPr>
    </w:p>
    <w:p>
      <w:pPr>
        <w:ind w:firstLine="480" w:firstLineChars="200"/>
        <w:rPr>
          <w:rFonts w:hint="eastAsia" w:ascii="微软雅黑" w:hAnsi="微软雅黑" w:eastAsia="微软雅黑" w:cs="微软雅黑"/>
        </w:rPr>
      </w:pPr>
      <w:r>
        <w:rPr>
          <w:rFonts w:hint="eastAsia" w:ascii="微软雅黑" w:hAnsi="微软雅黑" w:eastAsia="微软雅黑" w:cs="微软雅黑"/>
        </w:rPr>
        <w:t>注：供应商如有书面质疑的，由采购代理机构统一接收。供应商可采取将质疑函直接送达到采购代理机构办公室当面签收，同时将电子版本（word版）发送到采购代理机构联系人邮箱。</w:t>
      </w:r>
    </w:p>
    <w:p>
      <w:pPr>
        <w:rPr>
          <w:rFonts w:hint="eastAsia"/>
        </w:rPr>
      </w:pPr>
    </w:p>
    <w:bookmarkEnd w:id="44"/>
    <w:p>
      <w:pPr>
        <w:pStyle w:val="7"/>
        <w:keepLines/>
        <w:numPr>
          <w:ilvl w:val="0"/>
          <w:numId w:val="2"/>
        </w:numPr>
        <w:snapToGrid/>
        <w:spacing w:line="240" w:lineRule="auto"/>
        <w:ind w:firstLine="2881" w:firstLineChars="900"/>
        <w:jc w:val="both"/>
        <w:rPr>
          <w:rStyle w:val="50"/>
          <w:rFonts w:hint="eastAsia" w:ascii="微软雅黑" w:hAnsi="微软雅黑" w:eastAsia="微软雅黑" w:cs="微软雅黑"/>
          <w:b/>
          <w:bCs w:val="0"/>
        </w:rPr>
      </w:pPr>
      <w:r>
        <w:rPr>
          <w:rStyle w:val="50"/>
          <w:rFonts w:hint="eastAsia" w:ascii="微软雅黑" w:hAnsi="微软雅黑" w:eastAsia="微软雅黑" w:cs="微软雅黑"/>
          <w:b/>
          <w:bCs w:val="0"/>
        </w:rPr>
        <w:t>项目</w:t>
      </w:r>
      <w:r>
        <w:rPr>
          <w:rStyle w:val="50"/>
          <w:rFonts w:hint="eastAsia" w:ascii="微软雅黑" w:hAnsi="微软雅黑" w:eastAsia="微软雅黑" w:cs="微软雅黑"/>
          <w:b/>
          <w:bCs w:val="0"/>
          <w:lang w:val="en-US"/>
        </w:rPr>
        <w:t>技术（质量）</w:t>
      </w:r>
      <w:r>
        <w:rPr>
          <w:rStyle w:val="50"/>
          <w:rFonts w:hint="eastAsia" w:ascii="微软雅黑" w:hAnsi="微软雅黑" w:eastAsia="微软雅黑" w:cs="微软雅黑"/>
          <w:b/>
          <w:bCs w:val="0"/>
        </w:rPr>
        <w:t>需求</w:t>
      </w:r>
      <w:bookmarkEnd w:id="45"/>
      <w:bookmarkEnd w:id="46"/>
    </w:p>
    <w:p>
      <w:pPr>
        <w:spacing w:line="360" w:lineRule="auto"/>
        <w:ind w:firstLine="480" w:firstLineChars="200"/>
        <w:rPr>
          <w:rFonts w:hint="eastAsia" w:ascii="微软雅黑" w:hAnsi="微软雅黑" w:eastAsia="微软雅黑" w:cs="微软雅黑"/>
          <w:b/>
          <w:bCs/>
          <w:sz w:val="24"/>
          <w:szCs w:val="24"/>
        </w:rPr>
      </w:pPr>
      <w:bookmarkStart w:id="47" w:name="_Toc76462325"/>
    </w:p>
    <w:p>
      <w:pPr>
        <w:spacing w:line="360" w:lineRule="auto"/>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“※”标注的服务需求为符合性审查中的实质性要求，响应文件若不满足按无效响应处理。</w:t>
      </w:r>
    </w:p>
    <w:bookmarkEnd w:id="47"/>
    <w:p>
      <w:pPr>
        <w:pStyle w:val="8"/>
        <w:spacing w:before="0" w:after="0" w:line="400" w:lineRule="exact"/>
        <w:ind w:firstLine="480" w:firstLineChars="200"/>
        <w:rPr>
          <w:rFonts w:hint="eastAsia" w:ascii="微软雅黑" w:hAnsi="微软雅黑" w:eastAsia="微软雅黑" w:cs="微软雅黑"/>
          <w:sz w:val="24"/>
          <w:szCs w:val="24"/>
        </w:rPr>
      </w:pPr>
      <w:bookmarkStart w:id="48" w:name="_Toc25753"/>
      <w:bookmarkStart w:id="49" w:name="_Toc206248082"/>
      <w:bookmarkStart w:id="50" w:name="_Toc206509815"/>
      <w:r>
        <w:rPr>
          <w:rFonts w:hint="eastAsia" w:ascii="微软雅黑" w:hAnsi="微软雅黑" w:eastAsia="微软雅黑" w:cs="微软雅黑"/>
          <w:sz w:val="24"/>
          <w:szCs w:val="24"/>
        </w:rPr>
        <w:t>一、</w:t>
      </w:r>
      <w:bookmarkStart w:id="51" w:name="_Toc27684"/>
      <w:bookmarkStart w:id="52" w:name="_Toc20528"/>
      <w:bookmarkStart w:id="53" w:name="_Toc11734"/>
      <w:r>
        <w:rPr>
          <w:rFonts w:hint="eastAsia" w:ascii="微软雅黑" w:hAnsi="微软雅黑" w:eastAsia="微软雅黑" w:cs="微软雅黑"/>
          <w:sz w:val="24"/>
          <w:szCs w:val="24"/>
        </w:rPr>
        <w:t>项目一览表</w:t>
      </w:r>
      <w:bookmarkEnd w:id="48"/>
      <w:bookmarkEnd w:id="51"/>
      <w:bookmarkEnd w:id="52"/>
      <w:bookmarkEnd w:id="53"/>
    </w:p>
    <w:tbl>
      <w:tblPr>
        <w:tblStyle w:val="33"/>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8"/>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988" w:type="dxa"/>
            <w:vAlign w:val="center"/>
          </w:tcPr>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项目名称</w:t>
            </w:r>
          </w:p>
        </w:tc>
        <w:tc>
          <w:tcPr>
            <w:tcW w:w="2432"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b/>
                <w:sz w:val="24"/>
                <w:szCs w:val="24"/>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988" w:type="dxa"/>
            <w:vAlign w:val="center"/>
          </w:tcPr>
          <w:p>
            <w:pPr>
              <w:jc w:val="center"/>
              <w:rPr>
                <w:rFonts w:hint="eastAsia" w:ascii="微软雅黑" w:hAnsi="微软雅黑" w:eastAsia="微软雅黑" w:cs="微软雅黑"/>
                <w:b/>
                <w:sz w:val="24"/>
                <w:szCs w:val="24"/>
                <w:lang w:eastAsia="zh-CN"/>
              </w:rPr>
            </w:pPr>
            <w:r>
              <w:rPr>
                <w:rFonts w:hint="eastAsia" w:ascii="微软雅黑" w:hAnsi="微软雅黑" w:eastAsia="微软雅黑" w:cs="微软雅黑"/>
                <w:kern w:val="0"/>
                <w:sz w:val="24"/>
                <w:szCs w:val="24"/>
                <w:highlight w:val="none"/>
                <w:lang w:eastAsia="zh-CN"/>
              </w:rPr>
              <w:t>北碚区朝阳街道社区卫生服务中心大楼楼顶修缮项目</w:t>
            </w:r>
          </w:p>
        </w:tc>
        <w:tc>
          <w:tcPr>
            <w:tcW w:w="2432" w:type="dxa"/>
            <w:vAlign w:val="center"/>
          </w:tcPr>
          <w:p>
            <w:pPr>
              <w:widowControl/>
              <w:jc w:val="center"/>
              <w:rPr>
                <w:rFonts w:hint="eastAsia" w:ascii="微软雅黑" w:hAnsi="微软雅黑" w:eastAsia="微软雅黑" w:cs="微软雅黑"/>
                <w:sz w:val="24"/>
                <w:szCs w:val="24"/>
              </w:rPr>
            </w:pPr>
            <w:r>
              <w:rPr>
                <w:rFonts w:hint="eastAsia" w:ascii="微软雅黑" w:hAnsi="微软雅黑" w:eastAsia="微软雅黑" w:cs="微软雅黑"/>
                <w:kern w:val="2"/>
                <w:sz w:val="24"/>
                <w:szCs w:val="24"/>
                <w:lang w:val="en-US" w:eastAsia="zh-CN" w:bidi="ar-SA"/>
              </w:rPr>
              <w:t>1项</w:t>
            </w:r>
          </w:p>
        </w:tc>
      </w:tr>
    </w:tbl>
    <w:p>
      <w:pPr>
        <w:pStyle w:val="9"/>
        <w:snapToGrid w:val="0"/>
        <w:spacing w:before="0" w:after="0"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二</w:t>
      </w:r>
      <w:r>
        <w:rPr>
          <w:rFonts w:hint="eastAsia" w:ascii="微软雅黑" w:hAnsi="微软雅黑" w:eastAsia="微软雅黑" w:cs="微软雅黑"/>
          <w:sz w:val="24"/>
          <w:szCs w:val="24"/>
        </w:rPr>
        <w:t>、工程概况</w:t>
      </w:r>
      <w:bookmarkEnd w:id="49"/>
      <w:bookmarkEnd w:id="50"/>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本项目位于北碚区</w:t>
      </w:r>
      <w:r>
        <w:rPr>
          <w:rFonts w:hint="eastAsia" w:ascii="微软雅黑" w:hAnsi="微软雅黑" w:eastAsia="微软雅黑" w:cs="微软雅黑"/>
          <w:kern w:val="0"/>
          <w:sz w:val="24"/>
          <w:szCs w:val="24"/>
          <w:highlight w:val="none"/>
          <w:lang w:eastAsia="zh-CN"/>
        </w:rPr>
        <w:t>朝阳街道</w:t>
      </w:r>
      <w:r>
        <w:rPr>
          <w:rFonts w:hint="eastAsia" w:ascii="微软雅黑" w:hAnsi="微软雅黑" w:eastAsia="微软雅黑" w:cs="微软雅黑"/>
          <w:kern w:val="0"/>
          <w:sz w:val="24"/>
          <w:szCs w:val="24"/>
          <w:highlight w:val="none"/>
          <w:lang w:val="en-US" w:eastAsia="zh-CN"/>
        </w:rPr>
        <w:t>，</w:t>
      </w:r>
      <w:r>
        <w:rPr>
          <w:rFonts w:hint="eastAsia" w:ascii="微软雅黑" w:hAnsi="微软雅黑" w:eastAsia="微软雅黑" w:cs="微软雅黑"/>
          <w:kern w:val="0"/>
          <w:sz w:val="24"/>
          <w:szCs w:val="24"/>
        </w:rPr>
        <w:t>主要</w:t>
      </w:r>
      <w:r>
        <w:rPr>
          <w:rFonts w:hint="eastAsia" w:ascii="微软雅黑" w:hAnsi="微软雅黑" w:eastAsia="微软雅黑" w:cs="微软雅黑"/>
          <w:kern w:val="0"/>
          <w:sz w:val="24"/>
          <w:szCs w:val="24"/>
          <w:lang w:val="en-US" w:eastAsia="zh-CN"/>
        </w:rPr>
        <w:t>包括社区卫生服务中心6层屋面拆除原有隔热板、垫层及活动板房两个；拆除完成后在原有屋面上加盖轻钢结构屋顶。屋面修缮面积约460m2，新建轻钢结构面积约490m2</w:t>
      </w:r>
      <w:r>
        <w:rPr>
          <w:rFonts w:hint="eastAsia" w:ascii="微软雅黑" w:hAnsi="微软雅黑" w:eastAsia="微软雅黑" w:cs="微软雅黑"/>
          <w:kern w:val="0"/>
          <w:sz w:val="24"/>
          <w:szCs w:val="24"/>
          <w:lang w:eastAsia="zh-CN"/>
        </w:rPr>
        <w:t>。</w:t>
      </w:r>
    </w:p>
    <w:p>
      <w:pPr>
        <w:pStyle w:val="9"/>
        <w:snapToGrid w:val="0"/>
        <w:spacing w:before="0" w:after="0" w:line="360" w:lineRule="auto"/>
        <w:ind w:firstLine="480" w:firstLineChars="200"/>
        <w:rPr>
          <w:rFonts w:hint="eastAsia" w:ascii="微软雅黑" w:hAnsi="微软雅黑" w:eastAsia="微软雅黑" w:cs="微软雅黑"/>
          <w:sz w:val="24"/>
          <w:szCs w:val="24"/>
        </w:rPr>
      </w:pPr>
      <w:bookmarkStart w:id="54" w:name="_Toc206509816"/>
      <w:bookmarkStart w:id="55" w:name="_Toc206248083"/>
      <w:r>
        <w:rPr>
          <w:rFonts w:hint="eastAsia" w:ascii="微软雅黑" w:hAnsi="微软雅黑" w:eastAsia="微软雅黑" w:cs="微软雅黑"/>
          <w:bCs w:val="0"/>
          <w:sz w:val="24"/>
          <w:szCs w:val="24"/>
        </w:rPr>
        <w:t>※</w:t>
      </w:r>
      <w:r>
        <w:rPr>
          <w:rFonts w:hint="eastAsia" w:ascii="微软雅黑" w:hAnsi="微软雅黑" w:eastAsia="微软雅黑" w:cs="微软雅黑"/>
          <w:sz w:val="24"/>
          <w:szCs w:val="24"/>
          <w:lang w:eastAsia="zh-CN"/>
        </w:rPr>
        <w:t>三</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工程</w:t>
      </w:r>
      <w:r>
        <w:rPr>
          <w:rFonts w:hint="eastAsia" w:ascii="微软雅黑" w:hAnsi="微软雅黑" w:eastAsia="微软雅黑" w:cs="微软雅黑"/>
          <w:sz w:val="24"/>
          <w:szCs w:val="24"/>
        </w:rPr>
        <w:t>范围</w:t>
      </w:r>
      <w:bookmarkEnd w:id="54"/>
      <w:bookmarkEnd w:id="55"/>
      <w:bookmarkStart w:id="56" w:name="_Toc15844"/>
    </w:p>
    <w:p>
      <w:pPr>
        <w:pStyle w:val="9"/>
        <w:snapToGrid w:val="0"/>
        <w:spacing w:before="0" w:after="0"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本项目包括但不限</w:t>
      </w:r>
      <w:r>
        <w:rPr>
          <w:rFonts w:hint="eastAsia" w:ascii="微软雅黑" w:hAnsi="微软雅黑" w:eastAsia="微软雅黑" w:cs="微软雅黑"/>
          <w:kern w:val="0"/>
          <w:sz w:val="24"/>
          <w:szCs w:val="24"/>
          <w:lang w:val="en-US" w:eastAsia="zh-CN"/>
        </w:rPr>
        <w:t>屋面隔热板、垫层、活动板房拆除，新建轻钢结构屋顶及活动板房等所有工作内容，</w:t>
      </w:r>
      <w:r>
        <w:rPr>
          <w:rFonts w:hint="eastAsia" w:ascii="微软雅黑" w:hAnsi="微软雅黑" w:eastAsia="微软雅黑" w:cs="微软雅黑"/>
          <w:sz w:val="24"/>
          <w:szCs w:val="24"/>
        </w:rPr>
        <w:t>具体详见工程量清单。</w:t>
      </w:r>
      <w:bookmarkEnd w:id="56"/>
    </w:p>
    <w:p>
      <w:pPr>
        <w:pStyle w:val="9"/>
        <w:snapToGrid w:val="0"/>
        <w:spacing w:before="0" w:after="0" w:line="360" w:lineRule="auto"/>
        <w:ind w:firstLine="480" w:firstLineChars="200"/>
        <w:rPr>
          <w:rFonts w:hint="eastAsia" w:ascii="微软雅黑" w:hAnsi="微软雅黑" w:eastAsia="微软雅黑" w:cs="微软雅黑"/>
          <w:sz w:val="24"/>
          <w:szCs w:val="24"/>
        </w:rPr>
      </w:pPr>
      <w:bookmarkStart w:id="57" w:name="_Toc7081"/>
      <w:bookmarkStart w:id="58" w:name="_Toc206509817"/>
      <w:bookmarkStart w:id="59" w:name="_Toc206248084"/>
      <w:r>
        <w:rPr>
          <w:rFonts w:hint="eastAsia" w:ascii="微软雅黑" w:hAnsi="微软雅黑" w:eastAsia="微软雅黑" w:cs="微软雅黑"/>
          <w:bCs w:val="0"/>
          <w:sz w:val="24"/>
          <w:szCs w:val="24"/>
        </w:rPr>
        <w:t>※</w:t>
      </w:r>
      <w:r>
        <w:rPr>
          <w:rFonts w:hint="eastAsia" w:ascii="微软雅黑" w:hAnsi="微软雅黑" w:eastAsia="微软雅黑" w:cs="微软雅黑"/>
          <w:sz w:val="24"/>
          <w:szCs w:val="24"/>
          <w:lang w:eastAsia="zh-CN"/>
        </w:rPr>
        <w:t>四</w:t>
      </w:r>
      <w:r>
        <w:rPr>
          <w:rFonts w:hint="eastAsia" w:ascii="微软雅黑" w:hAnsi="微软雅黑" w:eastAsia="微软雅黑" w:cs="微软雅黑"/>
          <w:sz w:val="24"/>
          <w:szCs w:val="24"/>
        </w:rPr>
        <w:t>、技术规范及要求</w:t>
      </w:r>
      <w:bookmarkEnd w:id="57"/>
      <w:bookmarkEnd w:id="58"/>
      <w:bookmarkEnd w:id="59"/>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施工过程中必须按国家相关规范及要求进行施工，施工工艺必须达到国家相关规范合格要求。</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（一）施工要求</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1．成交供应商应配合采购人完成施工相关手续的报备及审批。</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2．成交供应商施工前应充分了解施工现场周边环境及设施设备，成交后需与采购人协调按相关规范解决施工用电、用水、建渣运输等施工生产条件。</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成交供应商应将所参与比选所选用的主要材料、设备的厂家、技术参数、品牌、质量等级等指标以书面报告提交采购人审核，经采购人认质、封样、打样（如有必要）后成交供应商方可采购进场。如成交供应商选用的主要材料存在明显的质量问题或不符合国家现行行业相关标准，采购人有权要求更换，如因此造成的工期延误由成交供应商承担违约责任。</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（二）安全要求</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1.成交供应商应遵守安全生产的有关管理规定，建立完善的安全管控体系，严格按照安全标准组织实施，采取必要的安全防护措施，消除隐患。</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2.成交供应商应派遣有丰富经验和相应能力的工程师进行现场组织施工，并对施工操作不当或错误所导致的直接损失和间接损失承担全部赔偿责任。</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3.在施工过程中，成交供应商应做到安全施工、文明施工，并做好相应的施工安全公告及警戒标识，施工过程中发生的一切安全事故由成交供应商自行负责处理。</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4.成交供应商应当与其施工人员建立劳动关系，承担全部用人用工主体责任。</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5.成交供应商应当依法为施工人员办理符合国家法律规定的社会保险，并根据自身需要购买雇主责任险、人身伤害意外险等商业补充险，以保障施工人员的合法权益得到充分的落实与保障。</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（三）环保材料使用 </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成交供应商使用的所有建材必须是符合质量要求的环保材料，必须满足国家相关部门有关材料环保的要求标准及规范。</w:t>
      </w:r>
    </w:p>
    <w:p>
      <w:pPr>
        <w:pStyle w:val="9"/>
        <w:snapToGrid w:val="0"/>
        <w:spacing w:before="0" w:after="0" w:line="360" w:lineRule="auto"/>
        <w:ind w:firstLine="480" w:firstLineChars="200"/>
        <w:rPr>
          <w:rFonts w:hint="eastAsia" w:ascii="微软雅黑" w:hAnsi="微软雅黑" w:eastAsia="微软雅黑" w:cs="微软雅黑"/>
          <w:sz w:val="24"/>
          <w:szCs w:val="24"/>
        </w:rPr>
      </w:pPr>
      <w:bookmarkStart w:id="60" w:name="_Toc206509818"/>
      <w:bookmarkStart w:id="61" w:name="_Toc206248085"/>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五</w:t>
      </w:r>
      <w:r>
        <w:rPr>
          <w:rFonts w:hint="eastAsia" w:ascii="微软雅黑" w:hAnsi="微软雅黑" w:eastAsia="微软雅黑" w:cs="微软雅黑"/>
          <w:sz w:val="24"/>
          <w:szCs w:val="24"/>
        </w:rPr>
        <w:t>、项目管理班子人员配备要求</w:t>
      </w:r>
      <w:bookmarkEnd w:id="60"/>
      <w:bookmarkEnd w:id="61"/>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项目经理资格要求：</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供应商拟派的项目经理应具有建筑工程专业二级及以上注册建造师执业资格且必须已在供应商本单位注册。</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（1）提供拟派项目经理人身份证复印件加盖供应商公章；</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（2）提供拟派项目经理人注册证书复印件加盖供应商公章；</w:t>
      </w:r>
    </w:p>
    <w:p>
      <w:pPr>
        <w:snapToGrid w:val="0"/>
        <w:spacing w:line="360" w:lineRule="auto"/>
        <w:ind w:firstLine="480" w:firstLineChars="200"/>
        <w:rPr>
          <w:rFonts w:hint="eastAsia" w:ascii="微软雅黑" w:hAnsi="微软雅黑" w:eastAsia="微软雅黑" w:cs="微软雅黑"/>
          <w:lang w:eastAsia="zh-CN"/>
        </w:rPr>
      </w:pPr>
      <w:r>
        <w:rPr>
          <w:rFonts w:hint="eastAsia" w:ascii="微软雅黑" w:hAnsi="微软雅黑" w:eastAsia="微软雅黑" w:cs="微软雅黑"/>
          <w:sz w:val="24"/>
          <w:szCs w:val="24"/>
        </w:rPr>
        <w:t>（3）提供供应商为其缴纳的截止开标前</w:t>
      </w:r>
      <w:r>
        <w:rPr>
          <w:rFonts w:hint="eastAsia" w:ascii="微软雅黑" w:hAnsi="微软雅黑" w:eastAsia="微软雅黑" w:cs="微软雅黑"/>
          <w:sz w:val="24"/>
          <w:szCs w:val="24"/>
          <w:lang w:eastAsia="zh-CN"/>
        </w:rPr>
        <w:t>六</w:t>
      </w:r>
      <w:r>
        <w:rPr>
          <w:rFonts w:hint="eastAsia" w:ascii="微软雅黑" w:hAnsi="微软雅黑" w:eastAsia="微软雅黑" w:cs="微软雅黑"/>
          <w:sz w:val="24"/>
          <w:szCs w:val="24"/>
        </w:rPr>
        <w:t>个月</w:t>
      </w:r>
      <w:r>
        <w:rPr>
          <w:rFonts w:hint="eastAsia" w:ascii="微软雅黑" w:hAnsi="微软雅黑" w:eastAsia="微软雅黑" w:cs="微软雅黑"/>
          <w:sz w:val="24"/>
          <w:szCs w:val="24"/>
          <w:lang w:eastAsia="zh-CN"/>
        </w:rPr>
        <w:t>中</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lang w:eastAsia="zh-CN"/>
        </w:rPr>
        <w:t>任一个月</w:t>
      </w:r>
      <w:r>
        <w:rPr>
          <w:rFonts w:hint="eastAsia" w:ascii="微软雅黑" w:hAnsi="微软雅黑" w:eastAsia="微软雅黑" w:cs="微软雅黑"/>
          <w:sz w:val="24"/>
          <w:szCs w:val="24"/>
        </w:rPr>
        <w:t>养老保险证明（个人）材料复印件并加盖供应</w:t>
      </w:r>
      <w:r>
        <w:rPr>
          <w:rFonts w:hint="eastAsia" w:ascii="微软雅黑" w:hAnsi="微软雅黑" w:eastAsia="微软雅黑" w:cs="微软雅黑"/>
        </w:rPr>
        <w:t>商公章</w:t>
      </w:r>
      <w:r>
        <w:rPr>
          <w:rFonts w:hint="eastAsia" w:ascii="微软雅黑" w:hAnsi="微软雅黑" w:eastAsia="微软雅黑" w:cs="微软雅黑"/>
          <w:lang w:eastAsia="zh-CN"/>
        </w:rPr>
        <w:t>。</w:t>
      </w:r>
    </w:p>
    <w:p>
      <w:pPr>
        <w:snapToGrid w:val="0"/>
        <w:ind w:firstLine="480" w:firstLineChars="200"/>
        <w:jc w:val="left"/>
        <w:rPr>
          <w:rFonts w:hint="eastAsia" w:ascii="微软雅黑" w:hAnsi="微软雅黑" w:eastAsia="微软雅黑" w:cs="微软雅黑"/>
          <w:color w:val="000000"/>
          <w:kern w:val="2"/>
        </w:rPr>
      </w:pPr>
    </w:p>
    <w:p>
      <w:pPr>
        <w:snapToGrid w:val="0"/>
        <w:ind w:firstLine="480" w:firstLineChars="200"/>
        <w:jc w:val="left"/>
        <w:rPr>
          <w:rFonts w:hint="eastAsia" w:ascii="微软雅黑" w:hAnsi="微软雅黑" w:eastAsia="微软雅黑" w:cs="微软雅黑"/>
          <w:color w:val="000000"/>
          <w:kern w:val="2"/>
        </w:rPr>
      </w:pPr>
    </w:p>
    <w:p>
      <w:pPr>
        <w:snapToGrid w:val="0"/>
        <w:ind w:firstLine="480" w:firstLineChars="200"/>
        <w:jc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color w:val="000000"/>
          <w:kern w:val="2"/>
        </w:rPr>
        <w:br w:type="page"/>
      </w:r>
      <w:bookmarkStart w:id="62" w:name="_Toc19400"/>
      <w:r>
        <w:rPr>
          <w:rFonts w:hint="eastAsia" w:ascii="微软雅黑" w:hAnsi="微软雅黑" w:eastAsia="微软雅黑" w:cs="微软雅黑"/>
          <w:b/>
          <w:bCs/>
          <w:color w:val="000000" w:themeColor="text1"/>
          <w:sz w:val="32"/>
          <w:szCs w:val="32"/>
          <w14:textFill>
            <w14:solidFill>
              <w14:schemeClr w14:val="tx1"/>
            </w14:solidFill>
          </w14:textFill>
        </w:rPr>
        <w:t>第三篇</w:t>
      </w: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32"/>
          <w:szCs w:val="32"/>
          <w14:textFill>
            <w14:solidFill>
              <w14:schemeClr w14:val="tx1"/>
            </w14:solidFill>
          </w14:textFill>
        </w:rPr>
        <w:t>项目商务需求</w:t>
      </w:r>
      <w:bookmarkEnd w:id="62"/>
    </w:p>
    <w:p>
      <w:pPr>
        <w:widowControl w:val="0"/>
        <w:overflowPunct w:val="0"/>
        <w:autoSpaceDE w:val="0"/>
        <w:autoSpaceDN w:val="0"/>
        <w:adjustRightInd w:val="0"/>
        <w:snapToGrid w:val="0"/>
        <w:ind w:firstLine="420" w:firstLineChars="200"/>
        <w:rPr>
          <w:rFonts w:hint="eastAsia" w:ascii="微软雅黑" w:hAnsi="微软雅黑" w:eastAsia="微软雅黑" w:cs="微软雅黑"/>
          <w:sz w:val="21"/>
          <w:szCs w:val="21"/>
        </w:rPr>
      </w:pPr>
      <w:bookmarkStart w:id="63" w:name="_Toc24569665"/>
      <w:bookmarkStart w:id="64" w:name="_Toc31319"/>
      <w:bookmarkStart w:id="65" w:name="_Toc267320051"/>
      <w:bookmarkStart w:id="66" w:name="_Toc13148"/>
      <w:bookmarkStart w:id="67" w:name="_Toc8808"/>
      <w:bookmarkStart w:id="68" w:name="_Toc102227319"/>
      <w:bookmarkStart w:id="69" w:name="_Toc179714298"/>
      <w:bookmarkStart w:id="70" w:name="_Toc342913393"/>
    </w:p>
    <w:bookmarkEnd w:id="63"/>
    <w:bookmarkEnd w:id="64"/>
    <w:bookmarkEnd w:id="65"/>
    <w:bookmarkEnd w:id="66"/>
    <w:bookmarkEnd w:id="67"/>
    <w:p>
      <w:pPr>
        <w:spacing w:line="360" w:lineRule="auto"/>
        <w:ind w:firstLine="480" w:firstLineChars="200"/>
        <w:rPr>
          <w:rFonts w:hint="eastAsia" w:ascii="微软雅黑" w:hAnsi="微软雅黑" w:eastAsia="微软雅黑" w:cs="微软雅黑"/>
          <w:b/>
          <w:bCs/>
          <w:sz w:val="24"/>
          <w:szCs w:val="24"/>
        </w:rPr>
      </w:pPr>
      <w:bookmarkStart w:id="71" w:name="_Toc76462328"/>
      <w:r>
        <w:rPr>
          <w:rFonts w:hint="eastAsia" w:ascii="微软雅黑" w:hAnsi="微软雅黑" w:eastAsia="微软雅黑" w:cs="微软雅黑"/>
          <w:b/>
          <w:bCs/>
          <w:sz w:val="24"/>
          <w:szCs w:val="24"/>
        </w:rPr>
        <w:t>“※”标注的商务需求为符合性审查中的实质性要求，响应文件若不满足按无效响应处理。</w:t>
      </w:r>
    </w:p>
    <w:bookmarkEnd w:id="71"/>
    <w:p>
      <w:pPr>
        <w:pStyle w:val="9"/>
        <w:spacing w:before="0" w:after="0" w:line="360" w:lineRule="auto"/>
        <w:ind w:firstLine="480" w:firstLineChars="200"/>
        <w:rPr>
          <w:rFonts w:hint="eastAsia" w:ascii="微软雅黑" w:hAnsi="微软雅黑" w:eastAsia="微软雅黑" w:cs="微软雅黑"/>
          <w:sz w:val="24"/>
          <w:szCs w:val="24"/>
        </w:rPr>
      </w:pPr>
      <w:bookmarkStart w:id="72" w:name="_Toc108199096"/>
      <w:bookmarkStart w:id="73" w:name="_Toc206509822"/>
      <w:bookmarkStart w:id="74" w:name="_Toc206248088"/>
      <w:bookmarkStart w:id="75" w:name="_Toc41643682"/>
      <w:bookmarkStart w:id="76" w:name="_Toc45694302"/>
      <w:bookmarkStart w:id="77" w:name="_Toc29479"/>
      <w:bookmarkStart w:id="78" w:name="_Toc38466652"/>
      <w:r>
        <w:rPr>
          <w:rFonts w:hint="eastAsia" w:ascii="微软雅黑" w:hAnsi="微软雅黑" w:eastAsia="微软雅黑" w:cs="微软雅黑"/>
          <w:sz w:val="24"/>
          <w:szCs w:val="24"/>
        </w:rPr>
        <w:t>※一、建设工期、地点及验收方式</w:t>
      </w:r>
      <w:bookmarkEnd w:id="72"/>
      <w:bookmarkEnd w:id="73"/>
      <w:bookmarkEnd w:id="74"/>
      <w:bookmarkEnd w:id="75"/>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（一）工期：采购人批准开工之日起</w:t>
      </w:r>
      <w:r>
        <w:rPr>
          <w:rFonts w:hint="eastAsia" w:ascii="微软雅黑" w:hAnsi="微软雅黑" w:eastAsia="微软雅黑" w:cs="微软雅黑"/>
          <w:sz w:val="24"/>
          <w:szCs w:val="24"/>
          <w:u w:val="single"/>
          <w:lang w:val="en-US" w:eastAsia="zh-CN"/>
        </w:rPr>
        <w:t xml:space="preserve">   30  </w:t>
      </w:r>
      <w:r>
        <w:rPr>
          <w:rFonts w:hint="eastAsia" w:ascii="微软雅黑" w:hAnsi="微软雅黑" w:eastAsia="微软雅黑" w:cs="微软雅黑"/>
          <w:sz w:val="24"/>
          <w:szCs w:val="24"/>
        </w:rPr>
        <w:t>个日历日内竣工并通过验收。</w:t>
      </w:r>
    </w:p>
    <w:p>
      <w:pPr>
        <w:pageBreakBefore w:val="0"/>
        <w:kinsoku/>
        <w:wordWrap/>
        <w:overflowPunct/>
        <w:topLinePunct w:val="0"/>
        <w:autoSpaceDE/>
        <w:autoSpaceDN/>
        <w:bidi w:val="0"/>
        <w:spacing w:line="360" w:lineRule="auto"/>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（二）工程地点：</w:t>
      </w:r>
      <w:r>
        <w:rPr>
          <w:rFonts w:hint="eastAsia" w:ascii="微软雅黑" w:hAnsi="微软雅黑" w:eastAsia="微软雅黑" w:cs="微软雅黑"/>
          <w:sz w:val="24"/>
          <w:u w:val="none"/>
          <w:lang w:eastAsia="zh-CN" w:bidi="ar"/>
        </w:rPr>
        <w:t>重庆市北碚区朝阳街道社区卫生服务中心。</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（三）验收方式：</w:t>
      </w:r>
    </w:p>
    <w:bookmarkEnd w:id="76"/>
    <w:bookmarkEnd w:id="77"/>
    <w:bookmarkEnd w:id="78"/>
    <w:p>
      <w:pPr>
        <w:spacing w:line="360" w:lineRule="auto"/>
        <w:ind w:firstLine="480" w:firstLineChars="200"/>
        <w:rPr>
          <w:rFonts w:hint="eastAsia" w:ascii="微软雅黑" w:hAnsi="微软雅黑" w:eastAsia="微软雅黑" w:cs="微软雅黑"/>
          <w:sz w:val="24"/>
          <w:szCs w:val="24"/>
        </w:rPr>
      </w:pPr>
      <w:bookmarkStart w:id="79" w:name="_Toc45694303"/>
      <w:bookmarkStart w:id="80" w:name="_Toc29726"/>
      <w:bookmarkStart w:id="81" w:name="_Toc108199097"/>
      <w:bookmarkStart w:id="82" w:name="_Toc38466653"/>
      <w:r>
        <w:rPr>
          <w:rFonts w:hint="eastAsia" w:ascii="微软雅黑" w:hAnsi="微软雅黑" w:eastAsia="微软雅黑" w:cs="微软雅黑"/>
          <w:sz w:val="24"/>
          <w:szCs w:val="24"/>
        </w:rPr>
        <w:t>施工过程应遵照现行国家有关规范进行，按照有关要求进行检查验收。供应商应保证工程质量，工程用建筑材料须符合国家标准和行业标准。工程完工后，按国家相关标准验收程序和规程进行验收，双方签字确认。验收的相关费用由中标人承担。中标人未达到比选文件的要求，且对采购人造成损失的，由中标人承担一切责任，并赔偿所造成的损失。</w:t>
      </w:r>
    </w:p>
    <w:p>
      <w:pPr>
        <w:pStyle w:val="9"/>
        <w:spacing w:before="0" w:after="0" w:line="360" w:lineRule="auto"/>
        <w:ind w:firstLine="480" w:firstLineChars="200"/>
        <w:rPr>
          <w:rFonts w:hint="eastAsia" w:ascii="微软雅黑" w:hAnsi="微软雅黑" w:eastAsia="微软雅黑" w:cs="微软雅黑"/>
          <w:sz w:val="24"/>
          <w:szCs w:val="24"/>
        </w:rPr>
      </w:pPr>
      <w:bookmarkStart w:id="83" w:name="_Toc206248089"/>
      <w:bookmarkStart w:id="84" w:name="_Toc206509823"/>
      <w:r>
        <w:rPr>
          <w:rFonts w:hint="eastAsia" w:ascii="微软雅黑" w:hAnsi="微软雅黑" w:eastAsia="微软雅黑" w:cs="微软雅黑"/>
          <w:sz w:val="24"/>
          <w:szCs w:val="24"/>
        </w:rPr>
        <w:t>※二、</w:t>
      </w:r>
      <w:bookmarkEnd w:id="79"/>
      <w:bookmarkEnd w:id="80"/>
      <w:bookmarkEnd w:id="81"/>
      <w:bookmarkEnd w:id="82"/>
      <w:r>
        <w:rPr>
          <w:rFonts w:hint="eastAsia" w:ascii="微软雅黑" w:hAnsi="微软雅黑" w:eastAsia="微软雅黑" w:cs="微软雅黑"/>
          <w:sz w:val="24"/>
          <w:szCs w:val="24"/>
        </w:rPr>
        <w:t>报价要求</w:t>
      </w:r>
      <w:bookmarkEnd w:id="83"/>
      <w:bookmarkEnd w:id="84"/>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本项目为装修工程，最高限价</w:t>
      </w:r>
      <w:r>
        <w:rPr>
          <w:rFonts w:hint="eastAsia" w:ascii="微软雅黑" w:hAnsi="微软雅黑" w:eastAsia="微软雅黑" w:cs="微软雅黑"/>
          <w:kern w:val="0"/>
          <w:sz w:val="24"/>
          <w:szCs w:val="24"/>
          <w:highlight w:val="none"/>
          <w:lang w:val="en-US" w:eastAsia="zh-CN"/>
        </w:rPr>
        <w:t>179762.26</w:t>
      </w:r>
      <w:r>
        <w:rPr>
          <w:rFonts w:hint="eastAsia" w:ascii="微软雅黑" w:hAnsi="微软雅黑" w:eastAsia="微软雅黑" w:cs="微软雅黑"/>
          <w:sz w:val="24"/>
          <w:szCs w:val="24"/>
        </w:rPr>
        <w:t>元，其中安全文明施工费</w:t>
      </w:r>
      <w:r>
        <w:rPr>
          <w:rFonts w:hint="eastAsia" w:ascii="微软雅黑" w:hAnsi="微软雅黑" w:eastAsia="微软雅黑" w:cs="微软雅黑"/>
          <w:kern w:val="0"/>
          <w:sz w:val="24"/>
          <w:szCs w:val="24"/>
          <w:highlight w:val="none"/>
          <w:lang w:val="en-US" w:eastAsia="zh-CN"/>
        </w:rPr>
        <w:t>5659.35</w:t>
      </w:r>
      <w:r>
        <w:rPr>
          <w:rFonts w:hint="eastAsia" w:ascii="微软雅黑" w:hAnsi="微软雅黑" w:eastAsia="微软雅黑" w:cs="微软雅黑"/>
          <w:sz w:val="24"/>
          <w:szCs w:val="24"/>
        </w:rPr>
        <w:t>元。供应商比选报价不得超过最高限价，安全文明施工费不得浮动，否则投标无效。</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w:t>
      </w:r>
      <w:r>
        <w:rPr>
          <w:rFonts w:hint="eastAsia" w:ascii="微软雅黑" w:hAnsi="微软雅黑" w:eastAsia="微软雅黑" w:cs="微软雅黑"/>
          <w:b/>
          <w:bCs/>
          <w:sz w:val="24"/>
          <w:szCs w:val="24"/>
          <w:highlight w:val="none"/>
        </w:rPr>
        <w:t>本次</w:t>
      </w:r>
      <w:r>
        <w:rPr>
          <w:rFonts w:hint="eastAsia" w:ascii="微软雅黑" w:hAnsi="微软雅黑" w:eastAsia="微软雅黑" w:cs="微软雅黑"/>
          <w:b/>
          <w:bCs/>
          <w:sz w:val="24"/>
          <w:szCs w:val="24"/>
          <w:highlight w:val="none"/>
          <w:lang w:eastAsia="zh-CN"/>
        </w:rPr>
        <w:t>谈判报价</w:t>
      </w:r>
      <w:r>
        <w:rPr>
          <w:rFonts w:hint="eastAsia" w:ascii="微软雅黑" w:hAnsi="微软雅黑" w:eastAsia="微软雅黑" w:cs="微软雅黑"/>
          <w:b/>
          <w:bCs/>
          <w:sz w:val="24"/>
          <w:szCs w:val="24"/>
          <w:highlight w:val="none"/>
        </w:rPr>
        <w:t>须为人民币报价</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rPr>
        <w:t>计价方式采用全费用综合单价合同，按实结算（按结算原则确定的全费用综合单价执行）</w:t>
      </w:r>
      <w:r>
        <w:rPr>
          <w:rFonts w:hint="eastAsia" w:ascii="微软雅黑" w:hAnsi="微软雅黑" w:eastAsia="微软雅黑" w:cs="微软雅黑"/>
          <w:sz w:val="24"/>
          <w:szCs w:val="24"/>
        </w:rPr>
        <w:t>。</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比选报价范围：供应商根据现场情况对采购人提供的工程量清单进行自主报价（报价以工程量清单为准）。报价时，供应商应充分考虑施工区域、作业环境、施工难度、现场文明施工要求、质量要求、采购人各项管理规定等因素。供应商必须完成比选文件、工程量清单以及采购人为完善该工程而提出的工程内容。</w:t>
      </w:r>
    </w:p>
    <w:p>
      <w:pPr>
        <w:spacing w:line="360" w:lineRule="auto"/>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 xml:space="preserve">（三）报价原则：供应商以比选文件、合同条件、国家技术和经济规范及标准等有关规定及配套文件和要求，结合施工图纸及相关说明进行报价。比选报价应包括完成工程量清单范围内工程项目的人工费、材料费、机械费（含大型机械进出场费）、企业管理费、利润、风险费用、措施费（施工组织措施费和施工技术措施费等）、规费、税金、政策性文件规定的所有费用。采购人不再支付其它费用。 </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（四）工程量清单项、价</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本工程分部分项工程量清单子项不论其对应的项目特征和工作内容是否描述完整，其全费用综合单价应包括完成该子项所需的人、材、机、企业管理、利润、一般风险、措施费、安全文明施工费、规费、税金等费用以及合同文件中明示或暗示的应由成交供应商承担的所有责任、义务、一般风险及相应的费用。成交后采购人不再对全费用综合单价进行调整。 </w:t>
      </w:r>
    </w:p>
    <w:p>
      <w:pPr>
        <w:numPr>
          <w:ilvl w:val="0"/>
          <w:numId w:val="0"/>
        </w:num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val="0"/>
          <w:bCs w:val="0"/>
          <w:sz w:val="24"/>
          <w:szCs w:val="24"/>
          <w:lang w:eastAsia="zh-CN"/>
        </w:rPr>
        <w:t>（五）</w:t>
      </w:r>
      <w:r>
        <w:rPr>
          <w:rFonts w:hint="eastAsia" w:ascii="微软雅黑" w:hAnsi="微软雅黑" w:eastAsia="微软雅黑" w:cs="微软雅黑"/>
          <w:b/>
          <w:bCs/>
          <w:sz w:val="24"/>
          <w:szCs w:val="24"/>
        </w:rPr>
        <w:t>本项目采购人将设置投标总报价最高限价。投标总报价最高限价为</w:t>
      </w:r>
      <w:r>
        <w:rPr>
          <w:rFonts w:hint="eastAsia" w:ascii="微软雅黑" w:hAnsi="微软雅黑" w:eastAsia="微软雅黑" w:cs="微软雅黑"/>
          <w:b/>
          <w:bCs/>
          <w:kern w:val="0"/>
          <w:sz w:val="24"/>
          <w:szCs w:val="24"/>
          <w:highlight w:val="none"/>
          <w:u w:val="single"/>
          <w:lang w:val="en-US" w:eastAsia="zh-CN"/>
        </w:rPr>
        <w:t>179762.26</w:t>
      </w:r>
      <w:r>
        <w:rPr>
          <w:rFonts w:hint="eastAsia" w:ascii="微软雅黑" w:hAnsi="微软雅黑" w:eastAsia="微软雅黑" w:cs="微软雅黑"/>
          <w:b/>
          <w:bCs/>
          <w:kern w:val="0"/>
          <w:sz w:val="24"/>
          <w:szCs w:val="24"/>
          <w:highlight w:val="none"/>
          <w:lang w:val="en-US" w:eastAsia="zh-CN"/>
        </w:rPr>
        <w:t>元（大写：壹拾柒万玖仟柒佰陆拾贰元贰角陆分），其中安全文明施工费</w:t>
      </w:r>
      <w:r>
        <w:rPr>
          <w:rFonts w:hint="eastAsia" w:ascii="微软雅黑" w:hAnsi="微软雅黑" w:eastAsia="微软雅黑" w:cs="微软雅黑"/>
          <w:b/>
          <w:bCs/>
          <w:kern w:val="0"/>
          <w:sz w:val="24"/>
          <w:szCs w:val="24"/>
          <w:highlight w:val="none"/>
          <w:u w:val="single"/>
          <w:lang w:val="en-US" w:eastAsia="zh-CN"/>
        </w:rPr>
        <w:t>5659.35元</w:t>
      </w:r>
      <w:r>
        <w:rPr>
          <w:rFonts w:hint="eastAsia" w:ascii="微软雅黑" w:hAnsi="微软雅黑" w:eastAsia="微软雅黑" w:cs="微软雅黑"/>
          <w:b/>
          <w:bCs/>
          <w:kern w:val="0"/>
          <w:sz w:val="24"/>
          <w:szCs w:val="24"/>
          <w:highlight w:val="none"/>
          <w:lang w:val="en-US" w:eastAsia="zh-CN"/>
        </w:rPr>
        <w:t>（大写：伍仟陆佰伍拾玖元叁角伍分）</w:t>
      </w:r>
      <w:r>
        <w:rPr>
          <w:rFonts w:hint="eastAsia" w:ascii="微软雅黑" w:hAnsi="微软雅黑" w:eastAsia="微软雅黑" w:cs="微软雅黑"/>
          <w:b/>
          <w:bCs/>
          <w:sz w:val="24"/>
          <w:szCs w:val="24"/>
        </w:rPr>
        <w:t>。供应商的投标总报价均不得超过采购人发布的对应的最高限价，否则由评审委员会作否决响应处理。</w:t>
      </w:r>
      <w:r>
        <w:rPr>
          <w:rFonts w:hint="eastAsia" w:ascii="微软雅黑" w:hAnsi="微软雅黑" w:eastAsia="微软雅黑" w:cs="微软雅黑"/>
          <w:sz w:val="24"/>
          <w:szCs w:val="24"/>
        </w:rPr>
        <w:t>安全文明施工费、暂估价（如有）和暂列金额（如有）必须按照采购人给出的暂定金额填报，否则视为对招标文件不作实质性响应，其响应文件由评标委员会作否决响应处理。</w:t>
      </w:r>
    </w:p>
    <w:p>
      <w:pPr>
        <w:pStyle w:val="9"/>
        <w:spacing w:before="0" w:after="0" w:line="360" w:lineRule="auto"/>
        <w:ind w:firstLine="480" w:firstLineChars="200"/>
        <w:rPr>
          <w:rFonts w:hint="eastAsia" w:ascii="微软雅黑" w:hAnsi="微软雅黑" w:eastAsia="微软雅黑" w:cs="微软雅黑"/>
          <w:sz w:val="24"/>
          <w:szCs w:val="24"/>
        </w:rPr>
      </w:pPr>
      <w:bookmarkStart w:id="85" w:name="_Toc206248090"/>
      <w:bookmarkStart w:id="86" w:name="_Toc206509824"/>
      <w:bookmarkStart w:id="87" w:name="_Toc23503"/>
      <w:bookmarkStart w:id="88" w:name="_Toc45694305"/>
      <w:bookmarkStart w:id="89" w:name="_Toc108199099"/>
      <w:bookmarkStart w:id="90" w:name="_Toc38466655"/>
      <w:r>
        <w:rPr>
          <w:rFonts w:hint="eastAsia" w:ascii="微软雅黑" w:hAnsi="微软雅黑" w:eastAsia="微软雅黑" w:cs="微软雅黑"/>
          <w:sz w:val="24"/>
          <w:szCs w:val="24"/>
        </w:rPr>
        <w:t>三、质量保证及售后服务</w:t>
      </w:r>
      <w:bookmarkEnd w:id="85"/>
      <w:bookmarkEnd w:id="86"/>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设备和材料质量总体要求：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比选文件全部要求。</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※（二）缺陷责任期为2年，防水质保期为5年。</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（三）保修期内，</w:t>
      </w:r>
      <w:bookmarkStart w:id="91" w:name="_Toc22243"/>
      <w:bookmarkStart w:id="92" w:name="_Toc31231"/>
      <w:r>
        <w:rPr>
          <w:rFonts w:hint="eastAsia" w:ascii="微软雅黑" w:hAnsi="微软雅黑" w:eastAsia="微软雅黑" w:cs="微软雅黑"/>
          <w:sz w:val="24"/>
          <w:szCs w:val="24"/>
        </w:rPr>
        <w:t>所有设备和施工质量缺陷的维护及维修（非人为损坏）均为免费。</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（四）保修期内，所有设备维护和施工质量缺陷维修均为现场服务，由此产生的费用均不再收取。</w:t>
      </w:r>
    </w:p>
    <w:bookmarkEnd w:id="91"/>
    <w:bookmarkEnd w:id="92"/>
    <w:p>
      <w:pPr>
        <w:pStyle w:val="9"/>
        <w:spacing w:before="0" w:after="0" w:line="360" w:lineRule="auto"/>
        <w:ind w:firstLine="480" w:firstLineChars="200"/>
        <w:rPr>
          <w:rFonts w:hint="eastAsia" w:ascii="微软雅黑" w:hAnsi="微软雅黑" w:eastAsia="微软雅黑" w:cs="微软雅黑"/>
          <w:sz w:val="24"/>
          <w:szCs w:val="24"/>
        </w:rPr>
      </w:pPr>
      <w:bookmarkStart w:id="93" w:name="_Toc206248091"/>
      <w:bookmarkStart w:id="94" w:name="_Toc206509825"/>
      <w:r>
        <w:rPr>
          <w:rFonts w:hint="eastAsia" w:ascii="微软雅黑" w:hAnsi="微软雅黑" w:eastAsia="微软雅黑" w:cs="微软雅黑"/>
          <w:sz w:val="24"/>
          <w:szCs w:val="24"/>
        </w:rPr>
        <w:t>※四、付款方式</w:t>
      </w:r>
      <w:bookmarkEnd w:id="87"/>
      <w:bookmarkEnd w:id="88"/>
      <w:bookmarkEnd w:id="89"/>
      <w:bookmarkEnd w:id="90"/>
      <w:bookmarkEnd w:id="93"/>
      <w:bookmarkEnd w:id="94"/>
    </w:p>
    <w:p>
      <w:pPr>
        <w:numPr>
          <w:ilvl w:val="0"/>
          <w:numId w:val="3"/>
        </w:num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按预付工程款</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0%，</w:t>
      </w:r>
      <w:r>
        <w:rPr>
          <w:rFonts w:hint="eastAsia" w:ascii="微软雅黑" w:hAnsi="微软雅黑" w:eastAsia="微软雅黑" w:cs="微软雅黑"/>
          <w:sz w:val="24"/>
          <w:szCs w:val="24"/>
          <w:lang w:val="en-US" w:eastAsia="zh-CN"/>
        </w:rPr>
        <w:t>完工</w:t>
      </w:r>
      <w:r>
        <w:rPr>
          <w:rFonts w:hint="eastAsia" w:ascii="微软雅黑" w:hAnsi="微软雅黑" w:eastAsia="微软雅黑" w:cs="微软雅黑"/>
          <w:sz w:val="24"/>
          <w:szCs w:val="24"/>
        </w:rPr>
        <w:t>款</w:t>
      </w:r>
      <w:r>
        <w:rPr>
          <w:rFonts w:hint="eastAsia" w:ascii="微软雅黑" w:hAnsi="微软雅黑" w:eastAsia="微软雅黑" w:cs="微软雅黑"/>
          <w:sz w:val="24"/>
          <w:szCs w:val="24"/>
          <w:lang w:val="en-US" w:eastAsia="zh-CN"/>
        </w:rPr>
        <w:t>60</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竣工验收款17%</w:t>
      </w:r>
      <w:r>
        <w:rPr>
          <w:rFonts w:hint="eastAsia" w:ascii="微软雅黑" w:hAnsi="微软雅黑" w:eastAsia="微软雅黑" w:cs="微软雅黑"/>
          <w:sz w:val="24"/>
          <w:szCs w:val="24"/>
        </w:rPr>
        <w:t>的方式进行支付。</w:t>
      </w:r>
    </w:p>
    <w:p>
      <w:pPr>
        <w:numPr>
          <w:ilvl w:val="0"/>
          <w:numId w:val="4"/>
        </w:numPr>
        <w:snapToGrid w:val="0"/>
        <w:spacing w:line="360"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预付款支付：合同正式签订后，供应商提供合规发票后，采购人在</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highlight w:val="none"/>
          <w14:textFill>
            <w14:solidFill>
              <w14:schemeClr w14:val="tx1"/>
            </w14:solidFill>
          </w14:textFill>
        </w:rPr>
        <w:t>个工作日内支付预付款。</w:t>
      </w:r>
    </w:p>
    <w:p>
      <w:pPr>
        <w:numPr>
          <w:ilvl w:val="0"/>
          <w:numId w:val="4"/>
        </w:numPr>
        <w:snapToGrid w:val="0"/>
        <w:spacing w:line="360"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完工款支付：工程完工验收合格并出具验收报告后，</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供应商提供合规发票后，采购人在</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highlight w:val="none"/>
          <w14:textFill>
            <w14:solidFill>
              <w14:schemeClr w14:val="tx1"/>
            </w14:solidFill>
          </w14:textFill>
        </w:rPr>
        <w:t>个工作日内支付</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完工</w:t>
      </w:r>
      <w:r>
        <w:rPr>
          <w:rFonts w:hint="eastAsia" w:ascii="微软雅黑" w:hAnsi="微软雅黑" w:eastAsia="微软雅黑" w:cs="微软雅黑"/>
          <w:color w:val="000000" w:themeColor="text1"/>
          <w:sz w:val="24"/>
          <w:szCs w:val="24"/>
          <w:highlight w:val="none"/>
          <w14:textFill>
            <w14:solidFill>
              <w14:schemeClr w14:val="tx1"/>
            </w14:solidFill>
          </w14:textFill>
        </w:rPr>
        <w:t>款。</w:t>
      </w:r>
    </w:p>
    <w:p>
      <w:pPr>
        <w:numPr>
          <w:ilvl w:val="255"/>
          <w:numId w:val="0"/>
        </w:numPr>
        <w:snapToGrid w:val="0"/>
        <w:spacing w:line="360"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14:textFill>
            <w14:solidFill>
              <w14:schemeClr w14:val="tx1"/>
            </w14:solidFill>
          </w14:textFill>
        </w:rPr>
        <w:t>.竣工验收款：项目竣工验收合格，并完成相关手续办理，提交全套完整竣工资料、验收合格证明文件及发票后支付。</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余下</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14:textFill>
            <w14:solidFill>
              <w14:schemeClr w14:val="tx1"/>
            </w14:solidFill>
          </w14:textFill>
        </w:rPr>
        <w:t>%作为施工项目质量保证金；待质保期周期满后，无任何质量问题，乙</w:t>
      </w:r>
      <w:r>
        <w:rPr>
          <w:rFonts w:hint="eastAsia" w:ascii="微软雅黑" w:hAnsi="微软雅黑" w:eastAsia="微软雅黑" w:cs="微软雅黑"/>
          <w:sz w:val="24"/>
          <w:szCs w:val="24"/>
        </w:rPr>
        <w:t>方提交付款申请和发票后一次性无息付清。质保期从验收合格之日起算。</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二</w:t>
      </w:r>
      <w:r>
        <w:rPr>
          <w:rFonts w:hint="eastAsia" w:ascii="微软雅黑" w:hAnsi="微软雅黑" w:eastAsia="微软雅黑" w:cs="微软雅黑"/>
          <w:sz w:val="24"/>
          <w:szCs w:val="24"/>
        </w:rPr>
        <w:t>）因成交供应商原因，工期延误导致采购人损失的，成交供应商应当支付由此带来的全部经济损失，同时按500元/天计算赔偿，经济损失和赔偿费用在付款结算时一并扣除。</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三</w:t>
      </w:r>
      <w:r>
        <w:rPr>
          <w:rFonts w:hint="eastAsia" w:ascii="微软雅黑" w:hAnsi="微软雅黑" w:eastAsia="微软雅黑" w:cs="微软雅黑"/>
          <w:sz w:val="24"/>
          <w:szCs w:val="24"/>
        </w:rPr>
        <w:t>）成交供应商不得发生拖欠农民工工资行为，严格按照重庆市《关于加强建设领域农民工工资管理的通知》要求支付民工工资。</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注：每次付款前，成交供应商须按有关规定提供合格发票，因成交供应商原因未能及时提供发票造成的支付延期由成交供应商承担全部责任。</w:t>
      </w:r>
    </w:p>
    <w:p>
      <w:pPr>
        <w:pStyle w:val="9"/>
        <w:spacing w:before="0" w:after="0" w:line="360" w:lineRule="auto"/>
        <w:ind w:firstLine="480" w:firstLineChars="200"/>
        <w:rPr>
          <w:rFonts w:hint="eastAsia" w:ascii="微软雅黑" w:hAnsi="微软雅黑" w:eastAsia="微软雅黑" w:cs="微软雅黑"/>
          <w:sz w:val="24"/>
          <w:szCs w:val="24"/>
        </w:rPr>
      </w:pPr>
      <w:bookmarkStart w:id="95" w:name="_Toc78194445"/>
      <w:bookmarkStart w:id="96" w:name="_Toc206248093"/>
      <w:bookmarkStart w:id="97" w:name="_Toc194573039"/>
      <w:bookmarkStart w:id="98" w:name="_Toc136599295"/>
      <w:bookmarkStart w:id="99" w:name="_Toc26845"/>
      <w:bookmarkStart w:id="100" w:name="_Toc206509827"/>
      <w:bookmarkStart w:id="101" w:name="_Toc78194446"/>
      <w:bookmarkStart w:id="102" w:name="_Toc104477149"/>
      <w:bookmarkStart w:id="103" w:name="_Toc126167026"/>
      <w:bookmarkStart w:id="104" w:name="_Toc17774"/>
      <w:r>
        <w:rPr>
          <w:rFonts w:hint="eastAsia" w:ascii="微软雅黑" w:hAnsi="微软雅黑" w:eastAsia="微软雅黑" w:cs="微软雅黑"/>
          <w:sz w:val="24"/>
          <w:szCs w:val="24"/>
          <w:lang w:eastAsia="zh-CN"/>
        </w:rPr>
        <w:t>五</w:t>
      </w:r>
      <w:r>
        <w:rPr>
          <w:rFonts w:hint="eastAsia" w:ascii="微软雅黑" w:hAnsi="微软雅黑" w:eastAsia="微软雅黑" w:cs="微软雅黑"/>
          <w:sz w:val="24"/>
          <w:szCs w:val="24"/>
        </w:rPr>
        <w:t>、知识产权</w:t>
      </w:r>
      <w:bookmarkEnd w:id="95"/>
      <w:bookmarkEnd w:id="96"/>
      <w:bookmarkEnd w:id="97"/>
      <w:bookmarkEnd w:id="98"/>
      <w:bookmarkEnd w:id="99"/>
      <w:bookmarkEnd w:id="100"/>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9"/>
        <w:spacing w:before="0" w:after="0" w:line="360" w:lineRule="auto"/>
        <w:ind w:firstLine="480" w:firstLineChars="200"/>
        <w:rPr>
          <w:rFonts w:hint="eastAsia" w:ascii="微软雅黑" w:hAnsi="微软雅黑" w:eastAsia="微软雅黑" w:cs="微软雅黑"/>
          <w:sz w:val="24"/>
          <w:szCs w:val="24"/>
        </w:rPr>
      </w:pPr>
      <w:bookmarkStart w:id="105" w:name="_Toc206509828"/>
      <w:bookmarkStart w:id="106" w:name="_Toc206248094"/>
      <w:r>
        <w:rPr>
          <w:rFonts w:hint="eastAsia" w:ascii="微软雅黑" w:hAnsi="微软雅黑" w:eastAsia="微软雅黑" w:cs="微软雅黑"/>
          <w:sz w:val="24"/>
          <w:szCs w:val="24"/>
          <w:lang w:eastAsia="zh-CN"/>
        </w:rPr>
        <w:t>六</w:t>
      </w:r>
      <w:r>
        <w:rPr>
          <w:rFonts w:hint="eastAsia" w:ascii="微软雅黑" w:hAnsi="微软雅黑" w:eastAsia="微软雅黑" w:cs="微软雅黑"/>
          <w:sz w:val="24"/>
          <w:szCs w:val="24"/>
        </w:rPr>
        <w:t>、其他</w:t>
      </w:r>
      <w:bookmarkEnd w:id="101"/>
      <w:bookmarkEnd w:id="102"/>
      <w:bookmarkEnd w:id="103"/>
      <w:bookmarkEnd w:id="104"/>
      <w:bookmarkEnd w:id="105"/>
      <w:bookmarkEnd w:id="106"/>
    </w:p>
    <w:p>
      <w:pPr>
        <w:spacing w:line="360" w:lineRule="auto"/>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（一）供应商必须在响应文件中对以上条款和服务承诺明确列出，承诺内容必须达到本篇及竞争性</w:t>
      </w:r>
      <w:r>
        <w:rPr>
          <w:rFonts w:hint="eastAsia" w:ascii="微软雅黑" w:hAnsi="微软雅黑" w:eastAsia="微软雅黑" w:cs="微软雅黑"/>
          <w:b/>
          <w:bCs/>
          <w:sz w:val="24"/>
          <w:szCs w:val="24"/>
          <w:highlight w:val="none"/>
          <w:lang w:eastAsia="zh-CN"/>
        </w:rPr>
        <w:t>比选</w:t>
      </w:r>
      <w:r>
        <w:rPr>
          <w:rFonts w:hint="eastAsia" w:ascii="微软雅黑" w:hAnsi="微软雅黑" w:eastAsia="微软雅黑" w:cs="微软雅黑"/>
          <w:b/>
          <w:bCs/>
          <w:sz w:val="24"/>
          <w:szCs w:val="24"/>
          <w:highlight w:val="none"/>
        </w:rPr>
        <w:t>文件其他条款的要求</w:t>
      </w:r>
      <w:r>
        <w:rPr>
          <w:rFonts w:hint="eastAsia" w:ascii="微软雅黑" w:hAnsi="微软雅黑" w:eastAsia="微软雅黑" w:cs="微软雅黑"/>
          <w:b/>
          <w:bCs/>
          <w:sz w:val="24"/>
          <w:szCs w:val="24"/>
          <w:highlight w:val="none"/>
          <w:lang w:eastAsia="zh-CN"/>
        </w:rPr>
        <w:t>（格式自拟）</w:t>
      </w:r>
      <w:r>
        <w:rPr>
          <w:rFonts w:hint="eastAsia" w:ascii="微软雅黑" w:hAnsi="微软雅黑" w:eastAsia="微软雅黑" w:cs="微软雅黑"/>
          <w:b/>
          <w:bCs/>
          <w:sz w:val="24"/>
          <w:szCs w:val="24"/>
          <w:highlight w:val="none"/>
        </w:rPr>
        <w:t>。</w:t>
      </w:r>
    </w:p>
    <w:p>
      <w:pPr>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（二）本项目严禁挂靠、转包。</w:t>
      </w:r>
    </w:p>
    <w:p>
      <w:pPr>
        <w:snapToGrid w:val="0"/>
        <w:spacing w:line="360" w:lineRule="auto"/>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sz w:val="24"/>
          <w:szCs w:val="24"/>
          <w:lang w:eastAsia="zh-CN"/>
        </w:rPr>
        <w:t>（三）</w:t>
      </w:r>
      <w:r>
        <w:rPr>
          <w:rFonts w:hint="eastAsia" w:ascii="微软雅黑" w:hAnsi="微软雅黑" w:eastAsia="微软雅黑" w:cs="微软雅黑"/>
          <w:sz w:val="24"/>
          <w:szCs w:val="24"/>
        </w:rPr>
        <w:t>其他未尽事宜由供需双方在采购合同中详细约定。</w:t>
      </w:r>
      <w:r>
        <w:rPr>
          <w:rFonts w:hint="eastAsia" w:ascii="微软雅黑" w:hAnsi="微软雅黑" w:eastAsia="微软雅黑" w:cs="微软雅黑"/>
          <w:sz w:val="24"/>
          <w:szCs w:val="24"/>
        </w:rPr>
        <w:br w:type="page"/>
      </w:r>
    </w:p>
    <w:bookmarkEnd w:id="68"/>
    <w:bookmarkEnd w:id="69"/>
    <w:bookmarkEnd w:id="70"/>
    <w:p>
      <w:pPr>
        <w:pStyle w:val="9"/>
        <w:spacing w:before="0" w:after="0" w:line="240" w:lineRule="auto"/>
        <w:ind w:firstLine="360" w:firstLineChars="100"/>
        <w:rPr>
          <w:rFonts w:hint="eastAsia" w:ascii="微软雅黑" w:hAnsi="微软雅黑" w:eastAsia="微软雅黑" w:cs="微软雅黑"/>
          <w:color w:val="000000"/>
          <w:sz w:val="36"/>
          <w:szCs w:val="28"/>
        </w:rPr>
      </w:pPr>
      <w:bookmarkStart w:id="107" w:name="_Toc21783685"/>
      <w:bookmarkStart w:id="108" w:name="_Toc26614"/>
      <w:r>
        <w:rPr>
          <w:rFonts w:hint="eastAsia" w:ascii="微软雅黑" w:hAnsi="微软雅黑" w:eastAsia="微软雅黑" w:cs="微软雅黑"/>
          <w:color w:val="000000"/>
          <w:sz w:val="36"/>
          <w:szCs w:val="28"/>
        </w:rPr>
        <w:t xml:space="preserve">第四篇  </w:t>
      </w:r>
      <w:bookmarkEnd w:id="107"/>
      <w:r>
        <w:rPr>
          <w:rFonts w:hint="eastAsia" w:ascii="微软雅黑" w:hAnsi="微软雅黑" w:eastAsia="微软雅黑" w:cs="微软雅黑"/>
          <w:color w:val="000000"/>
          <w:sz w:val="36"/>
          <w:szCs w:val="28"/>
        </w:rPr>
        <w:t>竞选程序及方法、评审标准、无效响应和采购终止</w:t>
      </w:r>
      <w:bookmarkEnd w:id="108"/>
      <w:bookmarkStart w:id="109" w:name="_Toc12641"/>
      <w:bookmarkStart w:id="110" w:name="_Toc22376"/>
      <w:bookmarkStart w:id="111" w:name="_Toc4239"/>
    </w:p>
    <w:p>
      <w:pPr>
        <w:pStyle w:val="9"/>
        <w:spacing w:before="0" w:after="0" w:line="240" w:lineRule="auto"/>
        <w:rPr>
          <w:rFonts w:hint="eastAsia" w:ascii="微软雅黑" w:hAnsi="微软雅黑" w:eastAsia="微软雅黑" w:cs="微软雅黑"/>
          <w:sz w:val="24"/>
          <w:szCs w:val="24"/>
        </w:rPr>
      </w:pPr>
    </w:p>
    <w:p>
      <w:pPr>
        <w:pStyle w:val="9"/>
        <w:spacing w:before="0" w:after="0"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一、竞选程序及方法</w:t>
      </w:r>
      <w:bookmarkEnd w:id="109"/>
      <w:bookmarkEnd w:id="110"/>
      <w:bookmarkEnd w:id="111"/>
    </w:p>
    <w:p>
      <w:pPr>
        <w:ind w:firstLine="480" w:firstLineChars="200"/>
        <w:rPr>
          <w:rFonts w:hint="eastAsia" w:ascii="微软雅黑" w:hAnsi="微软雅黑" w:eastAsia="微软雅黑" w:cs="微软雅黑"/>
        </w:rPr>
      </w:pPr>
      <w:r>
        <w:rPr>
          <w:rFonts w:hint="eastAsia" w:ascii="微软雅黑" w:hAnsi="微软雅黑" w:eastAsia="微软雅黑" w:cs="微软雅黑"/>
        </w:rPr>
        <w:t>（一）竞选按竞争性比选文件规定的时间和地点进行，供应商须有法定代表人（或其授权代表）或自然人参加并签到。</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（二）竞争性比选小组对各供应商的资格条件、竞争性比选申请文件的有效性、完整性和响应程度进行审查。各供应商只有在完全符合要求的前提下，才能参与正式竞选。</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1.资格性审查。依据法律法规和竞争性比选文件的规定，对比选申请文件中的资格证明等进行审查，以确定供应商是否具备竞选资格。资格性审查资料表如下：</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ign w:val="center"/>
          </w:tcPr>
          <w:p>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序号</w:t>
            </w:r>
          </w:p>
        </w:tc>
        <w:tc>
          <w:tcPr>
            <w:tcW w:w="4171" w:type="dxa"/>
            <w:gridSpan w:val="2"/>
            <w:noWrap/>
            <w:vAlign w:val="center"/>
          </w:tcPr>
          <w:p>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检查因素</w:t>
            </w:r>
          </w:p>
        </w:tc>
        <w:tc>
          <w:tcPr>
            <w:tcW w:w="4781" w:type="dxa"/>
            <w:noWrap/>
            <w:vAlign w:val="center"/>
          </w:tcPr>
          <w:p>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noWrap/>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709" w:type="dxa"/>
            <w:vMerge w:val="restart"/>
            <w:noWrap/>
            <w:vAlign w:val="center"/>
          </w:tcPr>
          <w:p>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《中华人民共和国政府采购法》第二十二条规定</w:t>
            </w:r>
          </w:p>
        </w:tc>
        <w:tc>
          <w:tcPr>
            <w:tcW w:w="3462" w:type="dxa"/>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（1）具有独立承担民事责任的能力</w:t>
            </w:r>
          </w:p>
        </w:tc>
        <w:tc>
          <w:tcPr>
            <w:tcW w:w="4781" w:type="dxa"/>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1.供应商法人营业执照（副本）或事业单位法人证书（副本）或个体工商户营业执照或有效的自然人身份证明或社会团体法人登记证书（提供复印件）。 </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6" w:type="dxa"/>
            <w:vMerge w:val="continue"/>
            <w:noWrap/>
            <w:vAlign w:val="center"/>
          </w:tcPr>
          <w:p>
            <w:pPr>
              <w:jc w:val="center"/>
              <w:rPr>
                <w:rFonts w:hint="eastAsia" w:ascii="微软雅黑" w:hAnsi="微软雅黑" w:eastAsia="微软雅黑" w:cs="微软雅黑"/>
                <w:sz w:val="21"/>
                <w:szCs w:val="21"/>
              </w:rPr>
            </w:pPr>
          </w:p>
        </w:tc>
        <w:tc>
          <w:tcPr>
            <w:tcW w:w="709" w:type="dxa"/>
            <w:vMerge w:val="continue"/>
            <w:noWrap/>
            <w:vAlign w:val="center"/>
          </w:tcPr>
          <w:p>
            <w:pPr>
              <w:rPr>
                <w:rFonts w:hint="eastAsia" w:ascii="微软雅黑" w:hAnsi="微软雅黑" w:eastAsia="微软雅黑" w:cs="微软雅黑"/>
                <w:sz w:val="21"/>
                <w:szCs w:val="21"/>
                <w:lang w:val="zh-CN"/>
              </w:rPr>
            </w:pPr>
          </w:p>
        </w:tc>
        <w:tc>
          <w:tcPr>
            <w:tcW w:w="3462" w:type="dxa"/>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（2）</w:t>
            </w:r>
            <w:r>
              <w:rPr>
                <w:rFonts w:hint="eastAsia" w:ascii="微软雅黑" w:hAnsi="微软雅黑" w:eastAsia="微软雅黑" w:cs="微软雅黑"/>
                <w:sz w:val="21"/>
                <w:szCs w:val="21"/>
              </w:rPr>
              <w:t>具有良好的商业信誉和健全的财务会计制度</w:t>
            </w:r>
          </w:p>
        </w:tc>
        <w:tc>
          <w:tcPr>
            <w:tcW w:w="4781" w:type="dxa"/>
            <w:vMerge w:val="restart"/>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bCs/>
                <w:sz w:val="21"/>
                <w:szCs w:val="21"/>
              </w:rPr>
              <w:t>供应商提供“基本资格条件承诺函”（见格式文件）。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noWrap/>
            <w:vAlign w:val="center"/>
          </w:tcPr>
          <w:p>
            <w:pPr>
              <w:jc w:val="center"/>
              <w:rPr>
                <w:rFonts w:hint="eastAsia" w:ascii="微软雅黑" w:hAnsi="微软雅黑" w:eastAsia="微软雅黑" w:cs="微软雅黑"/>
                <w:sz w:val="21"/>
                <w:szCs w:val="21"/>
              </w:rPr>
            </w:pPr>
          </w:p>
        </w:tc>
        <w:tc>
          <w:tcPr>
            <w:tcW w:w="709" w:type="dxa"/>
            <w:vMerge w:val="continue"/>
            <w:noWrap/>
            <w:vAlign w:val="center"/>
          </w:tcPr>
          <w:p>
            <w:pPr>
              <w:rPr>
                <w:rFonts w:hint="eastAsia" w:ascii="微软雅黑" w:hAnsi="微软雅黑" w:eastAsia="微软雅黑" w:cs="微软雅黑"/>
                <w:sz w:val="21"/>
                <w:szCs w:val="21"/>
                <w:lang w:val="zh-CN"/>
              </w:rPr>
            </w:pPr>
          </w:p>
        </w:tc>
        <w:tc>
          <w:tcPr>
            <w:tcW w:w="3462" w:type="dxa"/>
            <w:noWrap/>
            <w:vAlign w:val="center"/>
          </w:tcPr>
          <w:p>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（3）具有履行合同所必需的设备和专业技术能力</w:t>
            </w:r>
          </w:p>
        </w:tc>
        <w:tc>
          <w:tcPr>
            <w:tcW w:w="4781" w:type="dxa"/>
            <w:vMerge w:val="continue"/>
            <w:noWrap/>
            <w:vAlign w:val="center"/>
          </w:tcPr>
          <w:p>
            <w:pP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noWrap/>
            <w:vAlign w:val="center"/>
          </w:tcPr>
          <w:p>
            <w:pPr>
              <w:jc w:val="center"/>
              <w:rPr>
                <w:rFonts w:hint="eastAsia" w:ascii="微软雅黑" w:hAnsi="微软雅黑" w:eastAsia="微软雅黑" w:cs="微软雅黑"/>
                <w:sz w:val="21"/>
                <w:szCs w:val="21"/>
              </w:rPr>
            </w:pPr>
          </w:p>
        </w:tc>
        <w:tc>
          <w:tcPr>
            <w:tcW w:w="709" w:type="dxa"/>
            <w:vMerge w:val="continue"/>
            <w:noWrap/>
            <w:vAlign w:val="center"/>
          </w:tcPr>
          <w:p>
            <w:pPr>
              <w:rPr>
                <w:rFonts w:hint="eastAsia" w:ascii="微软雅黑" w:hAnsi="微软雅黑" w:eastAsia="微软雅黑" w:cs="微软雅黑"/>
                <w:sz w:val="21"/>
                <w:szCs w:val="21"/>
                <w:lang w:val="zh-CN"/>
              </w:rPr>
            </w:pPr>
          </w:p>
        </w:tc>
        <w:tc>
          <w:tcPr>
            <w:tcW w:w="3462" w:type="dxa"/>
            <w:noWrap/>
            <w:vAlign w:val="center"/>
          </w:tcPr>
          <w:p>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（4）有依法缴纳税收和社会保障金的良好记录</w:t>
            </w:r>
          </w:p>
        </w:tc>
        <w:tc>
          <w:tcPr>
            <w:tcW w:w="4781" w:type="dxa"/>
            <w:vMerge w:val="continue"/>
            <w:noWrap/>
            <w:vAlign w:val="center"/>
          </w:tcPr>
          <w:p>
            <w:pP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6" w:type="dxa"/>
            <w:vMerge w:val="continue"/>
            <w:noWrap/>
            <w:vAlign w:val="center"/>
          </w:tcPr>
          <w:p>
            <w:pPr>
              <w:jc w:val="center"/>
              <w:rPr>
                <w:rFonts w:hint="eastAsia" w:ascii="微软雅黑" w:hAnsi="微软雅黑" w:eastAsia="微软雅黑" w:cs="微软雅黑"/>
                <w:sz w:val="21"/>
                <w:szCs w:val="21"/>
              </w:rPr>
            </w:pPr>
          </w:p>
        </w:tc>
        <w:tc>
          <w:tcPr>
            <w:tcW w:w="709" w:type="dxa"/>
            <w:vMerge w:val="continue"/>
            <w:noWrap/>
            <w:vAlign w:val="center"/>
          </w:tcPr>
          <w:p>
            <w:pPr>
              <w:rPr>
                <w:rFonts w:hint="eastAsia" w:ascii="微软雅黑" w:hAnsi="微软雅黑" w:eastAsia="微软雅黑" w:cs="微软雅黑"/>
                <w:sz w:val="21"/>
                <w:szCs w:val="21"/>
                <w:lang w:val="zh-CN"/>
              </w:rPr>
            </w:pPr>
          </w:p>
        </w:tc>
        <w:tc>
          <w:tcPr>
            <w:tcW w:w="3462" w:type="dxa"/>
            <w:noWrap/>
            <w:vAlign w:val="center"/>
          </w:tcPr>
          <w:p>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（5）参加政府采购活动前三年内，在经营活动中没有重大违法记录</w:t>
            </w:r>
          </w:p>
        </w:tc>
        <w:tc>
          <w:tcPr>
            <w:tcW w:w="4781" w:type="dxa"/>
            <w:vMerge w:val="continue"/>
            <w:noWrap/>
            <w:vAlign w:val="center"/>
          </w:tcPr>
          <w:p>
            <w:pP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noWrap/>
            <w:vAlign w:val="center"/>
          </w:tcPr>
          <w:p>
            <w:pPr>
              <w:jc w:val="center"/>
              <w:rPr>
                <w:rFonts w:hint="eastAsia" w:ascii="微软雅黑" w:hAnsi="微软雅黑" w:eastAsia="微软雅黑" w:cs="微软雅黑"/>
                <w:sz w:val="21"/>
                <w:szCs w:val="21"/>
              </w:rPr>
            </w:pPr>
          </w:p>
        </w:tc>
        <w:tc>
          <w:tcPr>
            <w:tcW w:w="709" w:type="dxa"/>
            <w:vMerge w:val="continue"/>
            <w:noWrap/>
            <w:vAlign w:val="center"/>
          </w:tcPr>
          <w:p>
            <w:pPr>
              <w:rPr>
                <w:rFonts w:hint="eastAsia" w:ascii="微软雅黑" w:hAnsi="微软雅黑" w:eastAsia="微软雅黑" w:cs="微软雅黑"/>
                <w:sz w:val="21"/>
                <w:szCs w:val="21"/>
                <w:lang w:val="zh-CN"/>
              </w:rPr>
            </w:pPr>
          </w:p>
        </w:tc>
        <w:tc>
          <w:tcPr>
            <w:tcW w:w="3462" w:type="dxa"/>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（6）法律、行政法规规定的其他条件</w:t>
            </w:r>
          </w:p>
        </w:tc>
        <w:tc>
          <w:tcPr>
            <w:tcW w:w="4781" w:type="dxa"/>
            <w:noWrap/>
            <w:vAlign w:val="center"/>
          </w:tcPr>
          <w:p>
            <w:pP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noWrap/>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4171" w:type="dxa"/>
            <w:gridSpan w:val="2"/>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特定资格条件</w:t>
            </w:r>
          </w:p>
        </w:tc>
        <w:tc>
          <w:tcPr>
            <w:tcW w:w="4781" w:type="dxa"/>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按第一篇“供应商资格条件（</w:t>
            </w:r>
            <w:r>
              <w:rPr>
                <w:rFonts w:hint="eastAsia" w:ascii="微软雅黑" w:hAnsi="微软雅黑" w:eastAsia="微软雅黑" w:cs="微软雅黑"/>
                <w:sz w:val="21"/>
                <w:szCs w:val="21"/>
                <w:lang w:eastAsia="zh-CN"/>
              </w:rPr>
              <w:t>三</w:t>
            </w:r>
            <w:r>
              <w:rPr>
                <w:rFonts w:hint="eastAsia" w:ascii="微软雅黑" w:hAnsi="微软雅黑" w:eastAsia="微软雅黑" w:cs="微软雅黑"/>
                <w:sz w:val="21"/>
                <w:szCs w:val="21"/>
              </w:rPr>
              <w:t>）本项目的特定资格要求”的要求提交（如果有）。</w:t>
            </w:r>
          </w:p>
        </w:tc>
      </w:tr>
    </w:tbl>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2.符合性审查。依据竞争性比选文件的规定，从比选申请文件的有效性、完整性和对竞争性比选文件的响应程度进行审查，以确定是否对竞争性比选文件的实质性要求作出响应。符合性检查资料表如下：</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92"/>
        <w:gridCol w:w="2231"/>
        <w:gridCol w:w="5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5" w:type="dxa"/>
            <w:noWrap/>
            <w:vAlign w:val="center"/>
          </w:tcPr>
          <w:p>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序号</w:t>
            </w:r>
          </w:p>
        </w:tc>
        <w:tc>
          <w:tcPr>
            <w:tcW w:w="3723" w:type="dxa"/>
            <w:gridSpan w:val="2"/>
            <w:noWrap/>
            <w:vAlign w:val="center"/>
          </w:tcPr>
          <w:p>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评审因素</w:t>
            </w:r>
          </w:p>
        </w:tc>
        <w:tc>
          <w:tcPr>
            <w:tcW w:w="5141" w:type="dxa"/>
            <w:noWrap/>
            <w:vAlign w:val="center"/>
          </w:tcPr>
          <w:p>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35" w:type="dxa"/>
            <w:vMerge w:val="restart"/>
            <w:noWrap/>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492" w:type="dxa"/>
            <w:vMerge w:val="restart"/>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有效性审查</w:t>
            </w:r>
          </w:p>
        </w:tc>
        <w:tc>
          <w:tcPr>
            <w:tcW w:w="2231" w:type="dxa"/>
            <w:noWrap/>
            <w:vAlign w:val="center"/>
          </w:tcPr>
          <w:p>
            <w:pP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比选申请文件签署或盖章</w:t>
            </w:r>
          </w:p>
        </w:tc>
        <w:tc>
          <w:tcPr>
            <w:tcW w:w="5141" w:type="dxa"/>
            <w:noWrap/>
            <w:vAlign w:val="center"/>
          </w:tcPr>
          <w:p>
            <w:pP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按比选文件“第七篇 响应文件格式”要求签署或盖章。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ign w:val="center"/>
          </w:tcPr>
          <w:p>
            <w:pPr>
              <w:jc w:val="center"/>
              <w:rPr>
                <w:rFonts w:hint="eastAsia" w:ascii="微软雅黑" w:hAnsi="微软雅黑" w:eastAsia="微软雅黑" w:cs="微软雅黑"/>
                <w:sz w:val="21"/>
                <w:szCs w:val="21"/>
              </w:rPr>
            </w:pPr>
          </w:p>
        </w:tc>
        <w:tc>
          <w:tcPr>
            <w:tcW w:w="1492" w:type="dxa"/>
            <w:vMerge w:val="continue"/>
            <w:noWrap/>
            <w:vAlign w:val="center"/>
          </w:tcPr>
          <w:p>
            <w:pPr>
              <w:rPr>
                <w:rFonts w:hint="eastAsia" w:ascii="微软雅黑" w:hAnsi="微软雅黑" w:eastAsia="微软雅黑" w:cs="微软雅黑"/>
                <w:sz w:val="21"/>
                <w:szCs w:val="21"/>
              </w:rPr>
            </w:pPr>
          </w:p>
        </w:tc>
        <w:tc>
          <w:tcPr>
            <w:tcW w:w="2231" w:type="dxa"/>
            <w:noWrap/>
            <w:vAlign w:val="center"/>
          </w:tcPr>
          <w:p>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法定代表人身份证明及授权委托书</w:t>
            </w:r>
            <w:r>
              <w:rPr>
                <w:rFonts w:hint="eastAsia" w:ascii="微软雅黑" w:hAnsi="微软雅黑" w:eastAsia="微软雅黑" w:cs="微软雅黑"/>
                <w:sz w:val="21"/>
                <w:szCs w:val="21"/>
                <w:lang w:val="zh-CN"/>
              </w:rPr>
              <w:tab/>
            </w:r>
          </w:p>
        </w:tc>
        <w:tc>
          <w:tcPr>
            <w:tcW w:w="5141" w:type="dxa"/>
            <w:noWrap/>
            <w:vAlign w:val="center"/>
          </w:tcPr>
          <w:p>
            <w:pP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法定代表人身份证明及授权委托书有效，符合比选文件规定的格式，签署或盖章齐全。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ign w:val="center"/>
          </w:tcPr>
          <w:p>
            <w:pPr>
              <w:jc w:val="center"/>
              <w:rPr>
                <w:rFonts w:hint="eastAsia" w:ascii="微软雅黑" w:hAnsi="微软雅黑" w:eastAsia="微软雅黑" w:cs="微软雅黑"/>
                <w:sz w:val="21"/>
                <w:szCs w:val="21"/>
              </w:rPr>
            </w:pPr>
          </w:p>
        </w:tc>
        <w:tc>
          <w:tcPr>
            <w:tcW w:w="1492" w:type="dxa"/>
            <w:vMerge w:val="continue"/>
            <w:noWrap/>
            <w:vAlign w:val="center"/>
          </w:tcPr>
          <w:p>
            <w:pPr>
              <w:rPr>
                <w:rFonts w:hint="eastAsia" w:ascii="微软雅黑" w:hAnsi="微软雅黑" w:eastAsia="微软雅黑" w:cs="微软雅黑"/>
                <w:sz w:val="21"/>
                <w:szCs w:val="21"/>
              </w:rPr>
            </w:pPr>
          </w:p>
        </w:tc>
        <w:tc>
          <w:tcPr>
            <w:tcW w:w="2231" w:type="dxa"/>
            <w:noWrap/>
            <w:vAlign w:val="center"/>
          </w:tcPr>
          <w:p>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响应</w:t>
            </w:r>
            <w:r>
              <w:rPr>
                <w:rFonts w:hint="eastAsia" w:ascii="微软雅黑" w:hAnsi="微软雅黑" w:eastAsia="微软雅黑" w:cs="微软雅黑"/>
                <w:sz w:val="21"/>
                <w:szCs w:val="21"/>
                <w:lang w:val="zh-CN"/>
              </w:rPr>
              <w:t>方案</w:t>
            </w:r>
          </w:p>
        </w:tc>
        <w:tc>
          <w:tcPr>
            <w:tcW w:w="5141" w:type="dxa"/>
            <w:noWrap/>
            <w:vAlign w:val="center"/>
          </w:tcPr>
          <w:p>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每个包只能有一个</w:t>
            </w:r>
            <w:r>
              <w:rPr>
                <w:rFonts w:hint="eastAsia" w:ascii="微软雅黑" w:hAnsi="微软雅黑" w:eastAsia="微软雅黑" w:cs="微软雅黑"/>
                <w:sz w:val="21"/>
                <w:szCs w:val="21"/>
              </w:rPr>
              <w:t>响应</w:t>
            </w:r>
            <w:r>
              <w:rPr>
                <w:rFonts w:hint="eastAsia" w:ascii="微软雅黑" w:hAnsi="微软雅黑" w:eastAsia="微软雅黑" w:cs="微软雅黑"/>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ign w:val="center"/>
          </w:tcPr>
          <w:p>
            <w:pPr>
              <w:jc w:val="center"/>
              <w:rPr>
                <w:rFonts w:hint="eastAsia" w:ascii="微软雅黑" w:hAnsi="微软雅黑" w:eastAsia="微软雅黑" w:cs="微软雅黑"/>
                <w:sz w:val="21"/>
                <w:szCs w:val="21"/>
              </w:rPr>
            </w:pPr>
          </w:p>
        </w:tc>
        <w:tc>
          <w:tcPr>
            <w:tcW w:w="1492" w:type="dxa"/>
            <w:vMerge w:val="continue"/>
            <w:noWrap/>
            <w:vAlign w:val="center"/>
          </w:tcPr>
          <w:p>
            <w:pPr>
              <w:rPr>
                <w:rFonts w:hint="eastAsia" w:ascii="微软雅黑" w:hAnsi="微软雅黑" w:eastAsia="微软雅黑" w:cs="微软雅黑"/>
                <w:sz w:val="21"/>
                <w:szCs w:val="21"/>
              </w:rPr>
            </w:pPr>
          </w:p>
        </w:tc>
        <w:tc>
          <w:tcPr>
            <w:tcW w:w="2231" w:type="dxa"/>
            <w:noWrap/>
            <w:vAlign w:val="center"/>
          </w:tcPr>
          <w:p>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报价唯一</w:t>
            </w:r>
          </w:p>
        </w:tc>
        <w:tc>
          <w:tcPr>
            <w:tcW w:w="5141" w:type="dxa"/>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35" w:type="dxa"/>
            <w:noWrap/>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492" w:type="dxa"/>
            <w:noWrap/>
            <w:vAlign w:val="cente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完整性审查</w:t>
            </w:r>
          </w:p>
        </w:tc>
        <w:tc>
          <w:tcPr>
            <w:tcW w:w="2231" w:type="dxa"/>
            <w:noWrap/>
            <w:vAlign w:val="center"/>
          </w:tcPr>
          <w:p>
            <w:pPr>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比选申请文件</w:t>
            </w:r>
            <w:r>
              <w:rPr>
                <w:rFonts w:hint="eastAsia" w:ascii="微软雅黑" w:hAnsi="微软雅黑" w:eastAsia="微软雅黑" w:cs="微软雅黑"/>
                <w:sz w:val="21"/>
                <w:szCs w:val="21"/>
                <w:lang w:val="zh-CN"/>
              </w:rPr>
              <w:t>份数</w:t>
            </w:r>
          </w:p>
        </w:tc>
        <w:tc>
          <w:tcPr>
            <w:tcW w:w="5141" w:type="dxa"/>
            <w:noWrap/>
            <w:vAlign w:val="center"/>
          </w:tcPr>
          <w:p>
            <w:pPr>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比选申请文件</w:t>
            </w:r>
            <w:r>
              <w:rPr>
                <w:rFonts w:hint="eastAsia" w:ascii="微软雅黑" w:hAnsi="微软雅黑" w:eastAsia="微软雅黑" w:cs="微软雅黑"/>
                <w:sz w:val="21"/>
                <w:szCs w:val="21"/>
                <w:lang w:val="zh-CN"/>
              </w:rPr>
              <w:t>正、副本数量（含电子文档）符合</w:t>
            </w:r>
            <w:r>
              <w:rPr>
                <w:rFonts w:hint="eastAsia" w:ascii="微软雅黑" w:hAnsi="微软雅黑" w:eastAsia="微软雅黑" w:cs="微软雅黑"/>
                <w:sz w:val="21"/>
                <w:szCs w:val="21"/>
              </w:rPr>
              <w:t>竞争性比选</w:t>
            </w:r>
            <w:r>
              <w:rPr>
                <w:rFonts w:hint="eastAsia" w:ascii="微软雅黑" w:hAnsi="微软雅黑" w:eastAsia="微软雅黑" w:cs="微软雅黑"/>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5" w:type="dxa"/>
            <w:vMerge w:val="restart"/>
            <w:noWrap/>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492" w:type="dxa"/>
            <w:vMerge w:val="restart"/>
            <w:noWrap/>
            <w:vAlign w:val="center"/>
          </w:tcPr>
          <w:p>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竞争性比选文件的响应程度审查</w:t>
            </w:r>
          </w:p>
        </w:tc>
        <w:tc>
          <w:tcPr>
            <w:tcW w:w="2231" w:type="dxa"/>
            <w:noWrap/>
            <w:vAlign w:val="center"/>
          </w:tcPr>
          <w:p>
            <w:pP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实质性响应</w:t>
            </w:r>
          </w:p>
        </w:tc>
        <w:tc>
          <w:tcPr>
            <w:tcW w:w="5141" w:type="dxa"/>
            <w:noWrap/>
            <w:vAlign w:val="center"/>
          </w:tcPr>
          <w:p>
            <w:pP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竞争性比选文件第二篇、第三篇中规定的内容进行响应。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vMerge w:val="continue"/>
            <w:noWrap/>
            <w:vAlign w:val="center"/>
          </w:tcPr>
          <w:p>
            <w:pPr>
              <w:jc w:val="center"/>
              <w:rPr>
                <w:rFonts w:hint="eastAsia" w:ascii="微软雅黑" w:hAnsi="微软雅黑" w:eastAsia="微软雅黑" w:cs="微软雅黑"/>
                <w:sz w:val="21"/>
                <w:szCs w:val="21"/>
              </w:rPr>
            </w:pPr>
          </w:p>
        </w:tc>
        <w:tc>
          <w:tcPr>
            <w:tcW w:w="1492" w:type="dxa"/>
            <w:vMerge w:val="continue"/>
            <w:noWrap/>
            <w:vAlign w:val="center"/>
          </w:tcPr>
          <w:p>
            <w:pPr>
              <w:rPr>
                <w:rFonts w:hint="eastAsia" w:ascii="微软雅黑" w:hAnsi="微软雅黑" w:eastAsia="微软雅黑" w:cs="微软雅黑"/>
                <w:sz w:val="21"/>
                <w:szCs w:val="21"/>
                <w:lang w:val="zh-CN"/>
              </w:rPr>
            </w:pPr>
          </w:p>
        </w:tc>
        <w:tc>
          <w:tcPr>
            <w:tcW w:w="2231" w:type="dxa"/>
            <w:noWrap/>
            <w:vAlign w:val="center"/>
          </w:tcPr>
          <w:p>
            <w:pP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竞选有效期</w:t>
            </w:r>
          </w:p>
        </w:tc>
        <w:tc>
          <w:tcPr>
            <w:tcW w:w="5141" w:type="dxa"/>
            <w:noWrap/>
            <w:vAlign w:val="center"/>
          </w:tcPr>
          <w:p>
            <w:pP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比选申请文件及有关承诺文件有效期为提交比选申请文件截止时间起90天。</w:t>
            </w:r>
          </w:p>
        </w:tc>
      </w:tr>
    </w:tbl>
    <w:p>
      <w:pPr>
        <w:ind w:firstLine="480" w:firstLineChars="200"/>
        <w:rPr>
          <w:rFonts w:hint="eastAsia" w:ascii="微软雅黑" w:hAnsi="微软雅黑" w:eastAsia="微软雅黑" w:cs="微软雅黑"/>
        </w:rPr>
      </w:pPr>
      <w:r>
        <w:rPr>
          <w:rFonts w:hint="eastAsia" w:ascii="微软雅黑" w:hAnsi="微软雅黑" w:eastAsia="微软雅黑" w:cs="微软雅黑"/>
        </w:rPr>
        <w:t>（三）澄清有关问题。竞争性比选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四）竞争性比选小组要求供应商澄清、说明或者更正比选申请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五）竞争性比选小组采用综合评分法对供应商的比选申请文件（含有效书面承诺）进行综合评分。综合评分法，是指比选申请文件满足竞争性比选文件全部实质性要求且按请照评审因素的量化指标评审得分最高的供应商为成交候选供应商的评审方法。供应商总得分为报价、技术、商务等评定因素分别按照相应权重值计算分项得分后相加，满分为100分。</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六）竞争性比选小组各成员独立对每个有效响应（通过资格性、符合性检查的供应商）的文件进行评价、打分，然后汇总每个供应商每项评分因素的得分，并根据综合评分情况按照评审得分由高到低顺序推荐3名及以上成交候选供应商，排名第一的为第一成交候选供应商。评审得分相同的以报价得分高到低顺序排列推荐。报价得分也相同的，按照技术得分高到低优劣顺序排列推荐。</w:t>
      </w:r>
      <w:bookmarkStart w:id="112" w:name="_Toc129010310"/>
    </w:p>
    <w:p>
      <w:pPr>
        <w:pStyle w:val="9"/>
        <w:spacing w:before="0" w:after="0" w:line="240" w:lineRule="auto"/>
        <w:rPr>
          <w:rFonts w:hint="eastAsia" w:ascii="微软雅黑" w:hAnsi="微软雅黑" w:eastAsia="微软雅黑" w:cs="微软雅黑"/>
          <w:color w:val="000000"/>
          <w:sz w:val="36"/>
          <w:szCs w:val="28"/>
        </w:rPr>
      </w:pPr>
      <w:bookmarkStart w:id="113" w:name="_Toc4971"/>
      <w:bookmarkStart w:id="114" w:name="_Toc27036"/>
      <w:bookmarkStart w:id="115" w:name="_Toc25203"/>
      <w:r>
        <w:rPr>
          <w:rFonts w:hint="eastAsia" w:ascii="微软雅黑" w:hAnsi="微软雅黑" w:eastAsia="微软雅黑" w:cs="微软雅黑"/>
          <w:sz w:val="24"/>
          <w:szCs w:val="24"/>
        </w:rPr>
        <w:t>二、评审标准</w:t>
      </w:r>
      <w:bookmarkEnd w:id="112"/>
      <w:bookmarkEnd w:id="113"/>
      <w:bookmarkEnd w:id="114"/>
      <w:bookmarkEnd w:id="115"/>
    </w:p>
    <w:tbl>
      <w:tblPr>
        <w:tblStyle w:val="33"/>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83"/>
        <w:gridCol w:w="1133"/>
        <w:gridCol w:w="188"/>
        <w:gridCol w:w="521"/>
        <w:gridCol w:w="333"/>
        <w:gridCol w:w="4771"/>
        <w:gridCol w:w="193"/>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gridSpan w:val="2"/>
            <w:noWrap w:val="0"/>
            <w:vAlign w:val="center"/>
          </w:tcPr>
          <w:p>
            <w:pPr>
              <w:spacing w:line="276" w:lineRule="auto"/>
              <w:ind w:firstLine="28"/>
              <w:jc w:val="center"/>
              <w:rPr>
                <w:rFonts w:hint="eastAsia" w:ascii="微软雅黑" w:hAnsi="微软雅黑" w:eastAsia="微软雅黑" w:cs="微软雅黑"/>
                <w:b/>
                <w:sz w:val="24"/>
                <w:szCs w:val="24"/>
                <w:highlight w:val="none"/>
              </w:rPr>
            </w:pPr>
            <w:bookmarkStart w:id="116" w:name="_Toc17078"/>
            <w:r>
              <w:rPr>
                <w:rFonts w:hint="eastAsia" w:ascii="微软雅黑" w:hAnsi="微软雅黑" w:eastAsia="微软雅黑" w:cs="微软雅黑"/>
                <w:b/>
                <w:sz w:val="24"/>
                <w:szCs w:val="24"/>
                <w:highlight w:val="none"/>
              </w:rPr>
              <w:t>序号</w:t>
            </w:r>
          </w:p>
        </w:tc>
        <w:tc>
          <w:tcPr>
            <w:tcW w:w="1321" w:type="dxa"/>
            <w:gridSpan w:val="2"/>
            <w:noWrap w:val="0"/>
            <w:vAlign w:val="center"/>
          </w:tcPr>
          <w:p>
            <w:pPr>
              <w:spacing w:line="276" w:lineRule="auto"/>
              <w:ind w:firstLine="28"/>
              <w:jc w:val="center"/>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评分因素</w:t>
            </w:r>
          </w:p>
          <w:p>
            <w:pPr>
              <w:spacing w:line="276" w:lineRule="auto"/>
              <w:ind w:firstLine="28"/>
              <w:jc w:val="center"/>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及权重</w:t>
            </w:r>
          </w:p>
        </w:tc>
        <w:tc>
          <w:tcPr>
            <w:tcW w:w="854" w:type="dxa"/>
            <w:gridSpan w:val="2"/>
            <w:noWrap w:val="0"/>
            <w:vAlign w:val="center"/>
          </w:tcPr>
          <w:p>
            <w:pPr>
              <w:spacing w:line="276" w:lineRule="auto"/>
              <w:ind w:firstLine="28"/>
              <w:jc w:val="center"/>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分值</w:t>
            </w:r>
          </w:p>
        </w:tc>
        <w:tc>
          <w:tcPr>
            <w:tcW w:w="4964" w:type="dxa"/>
            <w:gridSpan w:val="2"/>
            <w:noWrap w:val="0"/>
            <w:vAlign w:val="center"/>
          </w:tcPr>
          <w:p>
            <w:pPr>
              <w:spacing w:line="276" w:lineRule="auto"/>
              <w:ind w:firstLine="28"/>
              <w:jc w:val="center"/>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评分标准</w:t>
            </w:r>
          </w:p>
        </w:tc>
        <w:tc>
          <w:tcPr>
            <w:tcW w:w="2016" w:type="dxa"/>
            <w:noWrap w:val="0"/>
            <w:vAlign w:val="center"/>
          </w:tcPr>
          <w:p>
            <w:pPr>
              <w:pStyle w:val="78"/>
              <w:spacing w:before="0" w:after="0"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817" w:type="dxa"/>
            <w:gridSpan w:val="2"/>
            <w:noWrap w:val="0"/>
            <w:vAlign w:val="center"/>
          </w:tcPr>
          <w:p>
            <w:pPr>
              <w:spacing w:line="276" w:lineRule="auto"/>
              <w:ind w:firstLine="28"/>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321" w:type="dxa"/>
            <w:gridSpan w:val="2"/>
            <w:noWrap w:val="0"/>
            <w:vAlign w:val="center"/>
          </w:tcPr>
          <w:p>
            <w:pPr>
              <w:snapToGrid w:val="0"/>
              <w:spacing w:line="324"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投标报价</w:t>
            </w:r>
          </w:p>
          <w:p>
            <w:pPr>
              <w:snapToGrid w:val="0"/>
              <w:spacing w:line="324"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w:t>
            </w:r>
          </w:p>
        </w:tc>
        <w:tc>
          <w:tcPr>
            <w:tcW w:w="854" w:type="dxa"/>
            <w:gridSpan w:val="2"/>
            <w:noWrap w:val="0"/>
            <w:vAlign w:val="center"/>
          </w:tcPr>
          <w:p>
            <w:pPr>
              <w:snapToGrid w:val="0"/>
              <w:spacing w:line="324" w:lineRule="auto"/>
              <w:jc w:val="cente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20</w:t>
            </w:r>
          </w:p>
        </w:tc>
        <w:tc>
          <w:tcPr>
            <w:tcW w:w="4964" w:type="dxa"/>
            <w:gridSpan w:val="2"/>
            <w:noWrap w:val="0"/>
            <w:vAlign w:val="center"/>
          </w:tcPr>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满足资格性、符合性要求的所有供应商的最低总价为评标基准价，按照下列公式计算每个供应商的投标总报价得分。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投标总报价得分=（评标基准价/投标报价）×价格权值×100。</w:t>
            </w:r>
          </w:p>
        </w:tc>
        <w:tc>
          <w:tcPr>
            <w:tcW w:w="2016" w:type="dxa"/>
            <w:noWrap w:val="0"/>
            <w:vAlign w:val="center"/>
          </w:tcPr>
          <w:p>
            <w:pPr>
              <w:spacing w:line="276" w:lineRule="auto"/>
              <w:ind w:left="-38"/>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Cs w:val="24"/>
              </w:rPr>
              <w:t>投标报价得分最终结果取小数点后两位，第三位四舍五入。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gridSpan w:val="2"/>
            <w:vMerge w:val="restart"/>
            <w:noWrap w:val="0"/>
            <w:vAlign w:val="center"/>
          </w:tcPr>
          <w:p>
            <w:pPr>
              <w:spacing w:line="276" w:lineRule="auto"/>
              <w:ind w:firstLine="28"/>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321" w:type="dxa"/>
            <w:gridSpan w:val="2"/>
            <w:vMerge w:val="restart"/>
            <w:noWrap w:val="0"/>
            <w:vAlign w:val="center"/>
          </w:tcPr>
          <w:p>
            <w:pPr>
              <w:spacing w:line="276" w:lineRule="auto"/>
              <w:ind w:firstLine="28"/>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技术部分</w:t>
            </w:r>
          </w:p>
          <w:p>
            <w:pPr>
              <w:spacing w:line="276" w:lineRule="auto"/>
              <w:ind w:firstLine="28"/>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65</w:t>
            </w:r>
            <w:r>
              <w:rPr>
                <w:rFonts w:hint="eastAsia" w:ascii="微软雅黑" w:hAnsi="微软雅黑" w:eastAsia="微软雅黑" w:cs="微软雅黑"/>
                <w:sz w:val="24"/>
                <w:szCs w:val="24"/>
                <w:highlight w:val="none"/>
              </w:rPr>
              <w:t>%）</w:t>
            </w:r>
          </w:p>
        </w:tc>
        <w:tc>
          <w:tcPr>
            <w:tcW w:w="854" w:type="dxa"/>
            <w:gridSpan w:val="2"/>
            <w:noWrap w:val="0"/>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15</w:t>
            </w:r>
          </w:p>
        </w:tc>
        <w:tc>
          <w:tcPr>
            <w:tcW w:w="4964" w:type="dxa"/>
            <w:gridSpan w:val="2"/>
            <w:noWrap w:val="0"/>
            <w:vAlign w:val="center"/>
          </w:tcPr>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施工方案与技术措施：</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供应商根据本项目实际情况提供施工方案与技术措施，包含但不限于：施工方法、施工设备、劳动力计划、安全文明施工的技术、组织措施、施工平面布置。</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（1）方案内容不存在瑕疵，得15分；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（2）方案内容存在1处瑕疵，得11分；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（3）方案内容存在2处瑕疵，得7分；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（4）方案内容存在3处瑕疵，得3分；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（5）方案内容存在4处及以上瑕疵的或未提供得0分。</w:t>
            </w:r>
          </w:p>
        </w:tc>
        <w:tc>
          <w:tcPr>
            <w:tcW w:w="2016" w:type="dxa"/>
            <w:vMerge w:val="restart"/>
            <w:noWrap w:val="0"/>
            <w:vAlign w:val="center"/>
          </w:tcPr>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供应商在响应文件中提供相关方案。</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注：本项内容中所称的“瑕疵”：</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①要素欠缺、仅有标题而无实质意义叙述内容、内容表述不完整、缺少关键分析点；</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②缺乏科学合理性或存在逻辑漏洞或常识错误；</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③方案内容表述前后矛盾、无连贯性；</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④内容空泛，无具体实施方法或内容；</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⑤方案不适用本项目特性或非专门针对本项目制定或方案相关内容不利于项目目标实现；</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⑥方案内容中包含其他项目名称，或出现与本项目不相关的其他内容；</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⑦现有技术条件下不可能实现目标。</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gridSpan w:val="2"/>
            <w:vMerge w:val="continue"/>
            <w:noWrap w:val="0"/>
            <w:vAlign w:val="center"/>
          </w:tcPr>
          <w:p>
            <w:pPr>
              <w:spacing w:line="276" w:lineRule="auto"/>
              <w:ind w:firstLine="28"/>
              <w:jc w:val="center"/>
              <w:rPr>
                <w:rFonts w:hint="eastAsia" w:ascii="微软雅黑" w:hAnsi="微软雅黑" w:eastAsia="微软雅黑" w:cs="微软雅黑"/>
                <w:sz w:val="24"/>
                <w:szCs w:val="24"/>
                <w:highlight w:val="none"/>
              </w:rPr>
            </w:pPr>
          </w:p>
        </w:tc>
        <w:tc>
          <w:tcPr>
            <w:tcW w:w="1321" w:type="dxa"/>
            <w:gridSpan w:val="2"/>
            <w:vMerge w:val="continue"/>
            <w:noWrap w:val="0"/>
            <w:vAlign w:val="center"/>
          </w:tcPr>
          <w:p>
            <w:pPr>
              <w:spacing w:line="276" w:lineRule="auto"/>
              <w:ind w:firstLine="28"/>
              <w:jc w:val="center"/>
              <w:rPr>
                <w:rFonts w:hint="eastAsia" w:ascii="微软雅黑" w:hAnsi="微软雅黑" w:eastAsia="微软雅黑" w:cs="微软雅黑"/>
                <w:sz w:val="24"/>
                <w:szCs w:val="24"/>
                <w:highlight w:val="none"/>
              </w:rPr>
            </w:pPr>
          </w:p>
        </w:tc>
        <w:tc>
          <w:tcPr>
            <w:tcW w:w="854" w:type="dxa"/>
            <w:gridSpan w:val="2"/>
            <w:noWrap w:val="0"/>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15</w:t>
            </w:r>
          </w:p>
        </w:tc>
        <w:tc>
          <w:tcPr>
            <w:tcW w:w="4964" w:type="dxa"/>
            <w:gridSpan w:val="2"/>
            <w:noWrap w:val="0"/>
            <w:vAlign w:val="center"/>
          </w:tcPr>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质量管理体系与措施：</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供应商根据本项目实际情况提供质量管理体系与措施，包含但不限于：施工项目质量保证目标、施工质量保证体系、质量检查监督机构设置、质量保证措施。</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（1）方案内容不存在瑕疵，得15分；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（2）方案内容存在1处瑕疵，得11分；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（3）方案内容存在2处瑕疵，得7分；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（4）方案内容存在3处瑕疵，得3分；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（5）方案内容存在4处及以上瑕疵的或未提供得0分。</w:t>
            </w:r>
          </w:p>
        </w:tc>
        <w:tc>
          <w:tcPr>
            <w:tcW w:w="2016" w:type="dxa"/>
            <w:vMerge w:val="continue"/>
            <w:noWrap w:val="0"/>
            <w:vAlign w:val="center"/>
          </w:tcPr>
          <w:p>
            <w:pPr>
              <w:adjustRightInd w:val="0"/>
              <w:snapToGrid w:val="0"/>
              <w:spacing w:line="400" w:lineRule="exact"/>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gridSpan w:val="2"/>
            <w:vMerge w:val="continue"/>
            <w:noWrap w:val="0"/>
            <w:vAlign w:val="center"/>
          </w:tcPr>
          <w:p>
            <w:pPr>
              <w:spacing w:line="276" w:lineRule="auto"/>
              <w:ind w:firstLine="28"/>
              <w:jc w:val="center"/>
              <w:rPr>
                <w:rFonts w:hint="eastAsia" w:ascii="微软雅黑" w:hAnsi="微软雅黑" w:eastAsia="微软雅黑" w:cs="微软雅黑"/>
                <w:sz w:val="24"/>
                <w:szCs w:val="24"/>
                <w:highlight w:val="none"/>
              </w:rPr>
            </w:pPr>
          </w:p>
        </w:tc>
        <w:tc>
          <w:tcPr>
            <w:tcW w:w="1321" w:type="dxa"/>
            <w:gridSpan w:val="2"/>
            <w:vMerge w:val="continue"/>
            <w:noWrap w:val="0"/>
            <w:vAlign w:val="center"/>
          </w:tcPr>
          <w:p>
            <w:pPr>
              <w:spacing w:line="276" w:lineRule="auto"/>
              <w:ind w:firstLine="28"/>
              <w:jc w:val="center"/>
              <w:rPr>
                <w:rFonts w:hint="eastAsia" w:ascii="微软雅黑" w:hAnsi="微软雅黑" w:eastAsia="微软雅黑" w:cs="微软雅黑"/>
                <w:sz w:val="24"/>
                <w:szCs w:val="24"/>
                <w:highlight w:val="none"/>
              </w:rPr>
            </w:pPr>
          </w:p>
        </w:tc>
        <w:tc>
          <w:tcPr>
            <w:tcW w:w="854" w:type="dxa"/>
            <w:gridSpan w:val="2"/>
            <w:noWrap w:val="0"/>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15</w:t>
            </w:r>
          </w:p>
        </w:tc>
        <w:tc>
          <w:tcPr>
            <w:tcW w:w="4964" w:type="dxa"/>
            <w:gridSpan w:val="2"/>
            <w:noWrap w:val="0"/>
            <w:vAlign w:val="center"/>
          </w:tcPr>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安全管理体系与措施：</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供应商根据本项目实际情况提供安全管理体系与措施，包含但不限于：安全生产管理体系、安全生产及保障措施、安全生产管理人员安排。</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（1）方案内容不存在瑕疵，得15分；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（2）方案内容存在1处瑕疵，得11分；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（3）方案内容存在2处瑕疵，得7分；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（4）方案内容存在3处瑕疵，得3分；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（5）方案内容存在4处及以上瑕疵的或未提供得0分。</w:t>
            </w:r>
          </w:p>
        </w:tc>
        <w:tc>
          <w:tcPr>
            <w:tcW w:w="2016" w:type="dxa"/>
            <w:vMerge w:val="continue"/>
            <w:noWrap w:val="0"/>
            <w:vAlign w:val="center"/>
          </w:tcPr>
          <w:p>
            <w:pPr>
              <w:adjustRightInd w:val="0"/>
              <w:snapToGrid w:val="0"/>
              <w:spacing w:line="400" w:lineRule="exact"/>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gridSpan w:val="2"/>
            <w:vMerge w:val="continue"/>
            <w:noWrap w:val="0"/>
            <w:vAlign w:val="center"/>
          </w:tcPr>
          <w:p>
            <w:pPr>
              <w:spacing w:line="276" w:lineRule="auto"/>
              <w:ind w:firstLine="28"/>
              <w:jc w:val="center"/>
              <w:rPr>
                <w:rFonts w:hint="eastAsia" w:ascii="微软雅黑" w:hAnsi="微软雅黑" w:eastAsia="微软雅黑" w:cs="微软雅黑"/>
                <w:sz w:val="24"/>
                <w:szCs w:val="24"/>
                <w:highlight w:val="none"/>
              </w:rPr>
            </w:pPr>
          </w:p>
        </w:tc>
        <w:tc>
          <w:tcPr>
            <w:tcW w:w="1321" w:type="dxa"/>
            <w:gridSpan w:val="2"/>
            <w:vMerge w:val="continue"/>
            <w:noWrap w:val="0"/>
            <w:vAlign w:val="center"/>
          </w:tcPr>
          <w:p>
            <w:pPr>
              <w:spacing w:line="276" w:lineRule="auto"/>
              <w:ind w:firstLine="28"/>
              <w:jc w:val="center"/>
              <w:rPr>
                <w:rFonts w:hint="eastAsia" w:ascii="微软雅黑" w:hAnsi="微软雅黑" w:eastAsia="微软雅黑" w:cs="微软雅黑"/>
                <w:sz w:val="24"/>
                <w:szCs w:val="24"/>
                <w:highlight w:val="none"/>
              </w:rPr>
            </w:pPr>
          </w:p>
        </w:tc>
        <w:tc>
          <w:tcPr>
            <w:tcW w:w="854" w:type="dxa"/>
            <w:gridSpan w:val="2"/>
            <w:noWrap w:val="0"/>
            <w:vAlign w:val="center"/>
          </w:tcPr>
          <w:p>
            <w:pPr>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0</w:t>
            </w:r>
          </w:p>
        </w:tc>
        <w:tc>
          <w:tcPr>
            <w:tcW w:w="4964" w:type="dxa"/>
            <w:gridSpan w:val="2"/>
            <w:noWrap w:val="0"/>
            <w:vAlign w:val="center"/>
          </w:tcPr>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工程进度计划与措施：</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供应商根据本项目实际情况提供工程进度计划与措施，包含但不限于：施工总体进度计划、关键节点工期、工程进度保障措施、工程进度补救措施。</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（1）方案内容不存在瑕疵，得1</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（2）方案内容存在1处瑕疵，得</w:t>
            </w:r>
            <w:r>
              <w:rPr>
                <w:rFonts w:hint="eastAsia" w:ascii="微软雅黑" w:hAnsi="微软雅黑" w:eastAsia="微软雅黑" w:cs="微软雅黑"/>
                <w:sz w:val="24"/>
                <w:szCs w:val="24"/>
                <w:highlight w:val="none"/>
                <w:lang w:val="en-US" w:eastAsia="zh-CN"/>
              </w:rPr>
              <w:t>7.5</w:t>
            </w:r>
            <w:r>
              <w:rPr>
                <w:rFonts w:hint="eastAsia" w:ascii="微软雅黑" w:hAnsi="微软雅黑" w:eastAsia="微软雅黑" w:cs="微软雅黑"/>
                <w:sz w:val="24"/>
                <w:szCs w:val="24"/>
                <w:highlight w:val="none"/>
              </w:rPr>
              <w:t>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（3）方案内容存在2处瑕疵，得</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（4）方案内容存在3处瑕疵，得</w:t>
            </w:r>
            <w:r>
              <w:rPr>
                <w:rFonts w:hint="eastAsia" w:ascii="微软雅黑" w:hAnsi="微软雅黑" w:eastAsia="微软雅黑" w:cs="微软雅黑"/>
                <w:sz w:val="24"/>
                <w:szCs w:val="24"/>
                <w:highlight w:val="none"/>
                <w:lang w:val="en-US" w:eastAsia="zh-CN"/>
              </w:rPr>
              <w:t>2.5</w:t>
            </w:r>
            <w:r>
              <w:rPr>
                <w:rFonts w:hint="eastAsia" w:ascii="微软雅黑" w:hAnsi="微软雅黑" w:eastAsia="微软雅黑" w:cs="微软雅黑"/>
                <w:sz w:val="24"/>
                <w:szCs w:val="24"/>
                <w:highlight w:val="none"/>
              </w:rPr>
              <w:t>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（5）方案内容存在4处及以上瑕疵的或未提供得0分。</w:t>
            </w:r>
          </w:p>
        </w:tc>
        <w:tc>
          <w:tcPr>
            <w:tcW w:w="2016" w:type="dxa"/>
            <w:vMerge w:val="continue"/>
            <w:noWrap w:val="0"/>
            <w:vAlign w:val="center"/>
          </w:tcPr>
          <w:p>
            <w:pPr>
              <w:adjustRightInd w:val="0"/>
              <w:snapToGrid w:val="0"/>
              <w:spacing w:line="400" w:lineRule="exact"/>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gridSpan w:val="2"/>
            <w:vMerge w:val="continue"/>
            <w:noWrap w:val="0"/>
            <w:vAlign w:val="center"/>
          </w:tcPr>
          <w:p>
            <w:pPr>
              <w:spacing w:line="276" w:lineRule="auto"/>
              <w:ind w:firstLine="28"/>
              <w:jc w:val="center"/>
              <w:rPr>
                <w:rFonts w:hint="eastAsia" w:ascii="微软雅黑" w:hAnsi="微软雅黑" w:eastAsia="微软雅黑" w:cs="微软雅黑"/>
                <w:sz w:val="24"/>
                <w:szCs w:val="24"/>
                <w:highlight w:val="none"/>
              </w:rPr>
            </w:pPr>
          </w:p>
        </w:tc>
        <w:tc>
          <w:tcPr>
            <w:tcW w:w="1321" w:type="dxa"/>
            <w:gridSpan w:val="2"/>
            <w:vMerge w:val="continue"/>
            <w:noWrap w:val="0"/>
            <w:vAlign w:val="center"/>
          </w:tcPr>
          <w:p>
            <w:pPr>
              <w:spacing w:line="276" w:lineRule="auto"/>
              <w:ind w:firstLine="28"/>
              <w:jc w:val="center"/>
              <w:rPr>
                <w:rFonts w:hint="eastAsia" w:ascii="微软雅黑" w:hAnsi="微软雅黑" w:eastAsia="微软雅黑" w:cs="微软雅黑"/>
                <w:sz w:val="24"/>
                <w:szCs w:val="24"/>
                <w:highlight w:val="none"/>
              </w:rPr>
            </w:pPr>
          </w:p>
        </w:tc>
        <w:tc>
          <w:tcPr>
            <w:tcW w:w="854" w:type="dxa"/>
            <w:gridSpan w:val="2"/>
            <w:noWrap w:val="0"/>
            <w:vAlign w:val="center"/>
          </w:tcPr>
          <w:p>
            <w:pPr>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10</w:t>
            </w:r>
          </w:p>
        </w:tc>
        <w:tc>
          <w:tcPr>
            <w:tcW w:w="4964" w:type="dxa"/>
            <w:gridSpan w:val="2"/>
            <w:noWrap w:val="0"/>
            <w:vAlign w:val="center"/>
          </w:tcPr>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环境保护管理体系措施</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供应商根据本项目实际情况提供环境保护管理体系措施，包含但不限于：环境保护措施、人员安排计划。</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（1）方案内容不存在瑕疵，得</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（2）方案内容存在1处瑕疵，得</w:t>
            </w:r>
            <w:r>
              <w:rPr>
                <w:rFonts w:hint="eastAsia" w:ascii="微软雅黑" w:hAnsi="微软雅黑" w:eastAsia="微软雅黑" w:cs="微软雅黑"/>
                <w:sz w:val="24"/>
                <w:szCs w:val="24"/>
                <w:highlight w:val="none"/>
                <w:lang w:val="en-US" w:eastAsia="zh-CN"/>
              </w:rPr>
              <w:t>7.5</w:t>
            </w:r>
            <w:r>
              <w:rPr>
                <w:rFonts w:hint="eastAsia" w:ascii="微软雅黑" w:hAnsi="微软雅黑" w:eastAsia="微软雅黑" w:cs="微软雅黑"/>
                <w:sz w:val="24"/>
                <w:szCs w:val="24"/>
                <w:highlight w:val="none"/>
              </w:rPr>
              <w:t>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（3）方案内容存在2处瑕疵，得</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（4）方案内容存在3处瑕疵，得</w:t>
            </w:r>
            <w:r>
              <w:rPr>
                <w:rFonts w:hint="eastAsia" w:ascii="微软雅黑" w:hAnsi="微软雅黑" w:eastAsia="微软雅黑" w:cs="微软雅黑"/>
                <w:sz w:val="24"/>
                <w:szCs w:val="24"/>
                <w:highlight w:val="none"/>
                <w:lang w:val="en-US" w:eastAsia="zh-CN"/>
              </w:rPr>
              <w:t>2.5</w:t>
            </w:r>
            <w:r>
              <w:rPr>
                <w:rFonts w:hint="eastAsia" w:ascii="微软雅黑" w:hAnsi="微软雅黑" w:eastAsia="微软雅黑" w:cs="微软雅黑"/>
                <w:sz w:val="24"/>
                <w:szCs w:val="24"/>
                <w:highlight w:val="none"/>
              </w:rPr>
              <w:t>分；</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（5）方案内容存在4处及以上瑕疵的或未提供得0分。</w:t>
            </w:r>
          </w:p>
        </w:tc>
        <w:tc>
          <w:tcPr>
            <w:tcW w:w="2016" w:type="dxa"/>
            <w:vMerge w:val="continue"/>
            <w:noWrap w:val="0"/>
            <w:vAlign w:val="center"/>
          </w:tcPr>
          <w:p>
            <w:pPr>
              <w:adjustRightInd w:val="0"/>
              <w:snapToGrid w:val="0"/>
              <w:spacing w:line="400" w:lineRule="exact"/>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72" w:type="dxa"/>
            <w:gridSpan w:val="9"/>
            <w:noWrap w:val="0"/>
            <w:vAlign w:val="center"/>
          </w:tcPr>
          <w:p>
            <w:pPr>
              <w:adjustRightInd w:val="0"/>
              <w:snapToGrid w:val="0"/>
              <w:spacing w:line="40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供应商的商务响应需满足采购文件“第</w:t>
            </w:r>
            <w:r>
              <w:rPr>
                <w:rFonts w:hint="eastAsia" w:ascii="微软雅黑" w:hAnsi="微软雅黑" w:eastAsia="微软雅黑" w:cs="微软雅黑"/>
                <w:sz w:val="24"/>
                <w:szCs w:val="24"/>
                <w:highlight w:val="none"/>
                <w:lang w:val="en-US" w:eastAsia="zh-CN"/>
              </w:rPr>
              <w:t>四</w:t>
            </w:r>
            <w:r>
              <w:rPr>
                <w:rFonts w:hint="eastAsia" w:ascii="微软雅黑" w:hAnsi="微软雅黑" w:eastAsia="微软雅黑" w:cs="微软雅黑"/>
                <w:sz w:val="24"/>
                <w:szCs w:val="24"/>
                <w:highlight w:val="none"/>
              </w:rPr>
              <w:t>篇  项目商务要求”的要求，有一条不满足的（第</w:t>
            </w:r>
            <w:r>
              <w:rPr>
                <w:rFonts w:hint="eastAsia" w:ascii="微软雅黑" w:hAnsi="微软雅黑" w:eastAsia="微软雅黑" w:cs="微软雅黑"/>
                <w:sz w:val="24"/>
                <w:szCs w:val="24"/>
                <w:highlight w:val="none"/>
                <w:lang w:val="en-US" w:eastAsia="zh-CN"/>
              </w:rPr>
              <w:t>四</w:t>
            </w:r>
            <w:r>
              <w:rPr>
                <w:rFonts w:hint="eastAsia" w:ascii="微软雅黑" w:hAnsi="微软雅黑" w:eastAsia="微软雅黑" w:cs="微软雅黑"/>
                <w:sz w:val="24"/>
                <w:szCs w:val="24"/>
                <w:highlight w:val="none"/>
              </w:rPr>
              <w:t>篇中“※”号标注的部分除外）商务部分得分为0分，不再进入商务部分的评审。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34" w:type="dxa"/>
            <w:noWrap w:val="0"/>
            <w:vAlign w:val="center"/>
          </w:tcPr>
          <w:p>
            <w:pPr>
              <w:spacing w:line="276" w:lineRule="auto"/>
              <w:ind w:firstLine="28"/>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416" w:type="dxa"/>
            <w:gridSpan w:val="2"/>
            <w:noWrap w:val="0"/>
            <w:vAlign w:val="center"/>
          </w:tcPr>
          <w:p>
            <w:pPr>
              <w:spacing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商务部分（1</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p>
        </w:tc>
        <w:tc>
          <w:tcPr>
            <w:tcW w:w="709" w:type="dxa"/>
            <w:gridSpan w:val="2"/>
            <w:noWrap w:val="0"/>
            <w:vAlign w:val="center"/>
          </w:tcPr>
          <w:p>
            <w:pPr>
              <w:snapToGrid w:val="0"/>
              <w:spacing w:line="324" w:lineRule="auto"/>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15</w:t>
            </w:r>
          </w:p>
        </w:tc>
        <w:tc>
          <w:tcPr>
            <w:tcW w:w="5104" w:type="dxa"/>
            <w:gridSpan w:val="2"/>
            <w:noWrap w:val="0"/>
            <w:vAlign w:val="center"/>
          </w:tcPr>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企业业绩：</w:t>
            </w:r>
          </w:p>
          <w:p>
            <w:pPr>
              <w:snapToGrid w:val="0"/>
              <w:spacing w:line="324"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年1月1日至今（以竣工验收时间为准），供应商有竣工验收合格的类似维修改造工程业绩，有1个得</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分，本项最多得</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分。</w:t>
            </w:r>
          </w:p>
        </w:tc>
        <w:tc>
          <w:tcPr>
            <w:tcW w:w="2209" w:type="dxa"/>
            <w:gridSpan w:val="2"/>
            <w:noWrap w:val="0"/>
            <w:vAlign w:val="center"/>
          </w:tcPr>
          <w:p>
            <w:pPr>
              <w:ind w:left="-4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提供合同协议书和竣工验收证明材料复印件并加盖供应商公章</w:t>
            </w:r>
          </w:p>
        </w:tc>
      </w:tr>
    </w:tbl>
    <w:p>
      <w:pPr>
        <w:pStyle w:val="9"/>
        <w:spacing w:before="0" w:after="0"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三、无效竞标</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供应商或其提交的响应文件出现下列情况之一者，应为无效投标：</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（一）供应商不符合规定的基本资格条件或特定资格条件的；</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（二）供应商的法定代表人（或其授权代表）或自然人未参加竞选；</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（三）供应商所提交的响应文件未按第七篇“响应文件格式”规定签署、盖章的；</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（四）法定代表人为同一个人的两个及两个以上法人，母公司、全资子公司及其控股公司，在同一分包采购中同时参与竞选；</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（五）单位负责人为同一人或者存在直接控股、管理关系的不同供应商，参加同一合同项下的采购活动的；</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（六）为采购项目提供整体设计、规范编制或者项目管理、监理、检测等服务的供应商，再参加该采购项目的其他采购活动；</w:t>
      </w:r>
    </w:p>
    <w:p>
      <w:pPr>
        <w:snapToGrid w:val="0"/>
        <w:ind w:firstLine="480" w:firstLineChars="200"/>
        <w:rPr>
          <w:rFonts w:hint="eastAsia" w:ascii="微软雅黑" w:hAnsi="微软雅黑" w:eastAsia="微软雅黑" w:cs="微软雅黑"/>
        </w:rPr>
      </w:pPr>
      <w:r>
        <w:rPr>
          <w:rFonts w:hint="eastAsia" w:ascii="微软雅黑" w:hAnsi="微软雅黑" w:eastAsia="微软雅黑" w:cs="微软雅黑"/>
        </w:rPr>
        <w:t>（七）供应商的实施时间、质量保证期及竞选有效期不满足竞争性比选文件要求的；</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（八）供应商响应文件内容有与国家现行法律法规相违背的内容，或附有采购人无法接受的条件。</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（九）供应商以联合体形式参与竞选的；</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（十）供应商进行合同分包的；</w:t>
      </w:r>
    </w:p>
    <w:p>
      <w:pPr>
        <w:pStyle w:val="9"/>
        <w:spacing w:before="0" w:after="0"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四、采购终止</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出现下列情形之一的，采购人或者采购代理机构应当终止竞争性比选采购活动，发布项目终止公告并说明原因，重新开展采购活动：</w:t>
      </w:r>
    </w:p>
    <w:p>
      <w:pPr>
        <w:numPr>
          <w:ilvl w:val="0"/>
          <w:numId w:val="5"/>
        </w:numPr>
        <w:snapToGrid w:val="0"/>
        <w:ind w:firstLine="465"/>
        <w:rPr>
          <w:rFonts w:hint="eastAsia" w:ascii="微软雅黑" w:hAnsi="微软雅黑" w:eastAsia="微软雅黑" w:cs="微软雅黑"/>
        </w:rPr>
      </w:pPr>
      <w:r>
        <w:rPr>
          <w:rFonts w:hint="eastAsia" w:ascii="微软雅黑" w:hAnsi="微软雅黑" w:eastAsia="微软雅黑" w:cs="微软雅黑"/>
        </w:rPr>
        <w:t>因情况变化，不再符合规定的竞争性比选采购方式适用情形的；</w:t>
      </w:r>
    </w:p>
    <w:p>
      <w:pPr>
        <w:numPr>
          <w:ilvl w:val="0"/>
          <w:numId w:val="5"/>
        </w:numPr>
        <w:snapToGrid w:val="0"/>
        <w:ind w:firstLine="465"/>
        <w:rPr>
          <w:rFonts w:hint="eastAsia" w:ascii="微软雅黑" w:hAnsi="微软雅黑" w:eastAsia="微软雅黑" w:cs="微软雅黑"/>
        </w:rPr>
      </w:pPr>
      <w:r>
        <w:rPr>
          <w:rFonts w:hint="eastAsia" w:ascii="微软雅黑" w:hAnsi="微软雅黑" w:eastAsia="微软雅黑" w:cs="微软雅黑"/>
        </w:rPr>
        <w:t>供应商的报价均超过了采购预算，采购人不能支付的；</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（三）出现影响采购公正的违法、违规行为的；</w:t>
      </w:r>
    </w:p>
    <w:p>
      <w:pPr>
        <w:snapToGrid w:val="0"/>
        <w:ind w:firstLine="465"/>
        <w:rPr>
          <w:rFonts w:hint="eastAsia" w:ascii="微软雅黑" w:hAnsi="微软雅黑" w:eastAsia="微软雅黑" w:cs="微软雅黑"/>
        </w:rPr>
      </w:pPr>
      <w:r>
        <w:rPr>
          <w:rFonts w:hint="eastAsia" w:ascii="微软雅黑" w:hAnsi="微软雅黑" w:eastAsia="微软雅黑" w:cs="微软雅黑"/>
        </w:rPr>
        <w:t>（四）在采购过程中符合要求的供应商或者报价未超过采购预算的供应商不足3家的。</w:t>
      </w:r>
    </w:p>
    <w:p>
      <w:pPr>
        <w:rPr>
          <w:rFonts w:hint="eastAsia" w:ascii="微软雅黑" w:hAnsi="微软雅黑" w:eastAsia="微软雅黑" w:cs="微软雅黑"/>
        </w:rPr>
        <w:sectPr>
          <w:headerReference r:id="rId13" w:type="default"/>
          <w:footerReference r:id="rId14" w:type="default"/>
          <w:pgSz w:w="11900" w:h="18920"/>
          <w:pgMar w:top="1920" w:right="720" w:bottom="1920" w:left="720" w:header="960" w:footer="960" w:gutter="0"/>
          <w:pgNumType w:start="1"/>
          <w:cols w:space="720" w:num="1"/>
        </w:sectPr>
      </w:pPr>
    </w:p>
    <w:p>
      <w:pPr>
        <w:snapToGrid w:val="0"/>
        <w:rPr>
          <w:rFonts w:hint="eastAsia" w:ascii="微软雅黑" w:hAnsi="微软雅黑" w:eastAsia="微软雅黑" w:cs="微软雅黑"/>
          <w:b/>
          <w:bCs/>
          <w:color w:val="000000"/>
        </w:rPr>
      </w:pPr>
    </w:p>
    <w:bookmarkEnd w:id="116"/>
    <w:p>
      <w:pPr>
        <w:pStyle w:val="8"/>
        <w:snapToGrid w:val="0"/>
        <w:spacing w:before="0" w:after="0" w:line="240" w:lineRule="auto"/>
        <w:ind w:firstLine="2801" w:firstLineChars="700"/>
        <w:jc w:val="both"/>
        <w:rPr>
          <w:rFonts w:hint="eastAsia" w:ascii="微软雅黑" w:hAnsi="微软雅黑" w:eastAsia="微软雅黑" w:cs="微软雅黑"/>
          <w:color w:val="000000"/>
          <w:sz w:val="40"/>
        </w:rPr>
      </w:pPr>
      <w:bookmarkStart w:id="117" w:name="_Toc21783690"/>
      <w:bookmarkStart w:id="118" w:name="_Toc4362"/>
      <w:r>
        <w:rPr>
          <w:rFonts w:hint="eastAsia" w:ascii="微软雅黑" w:hAnsi="微软雅黑" w:eastAsia="微软雅黑" w:cs="微软雅黑"/>
          <w:color w:val="000000"/>
          <w:sz w:val="40"/>
        </w:rPr>
        <w:t>第五篇  供应商须知</w:t>
      </w:r>
      <w:bookmarkEnd w:id="117"/>
      <w:bookmarkEnd w:id="118"/>
    </w:p>
    <w:p>
      <w:pPr>
        <w:pStyle w:val="9"/>
        <w:snapToGrid w:val="0"/>
        <w:spacing w:before="0" w:after="0" w:line="240" w:lineRule="auto"/>
        <w:rPr>
          <w:rFonts w:hint="eastAsia" w:ascii="微软雅黑" w:hAnsi="微软雅黑" w:eastAsia="微软雅黑" w:cs="微软雅黑"/>
          <w:color w:val="000000"/>
          <w:sz w:val="24"/>
          <w:szCs w:val="24"/>
        </w:rPr>
      </w:pPr>
      <w:bookmarkStart w:id="119" w:name="_Toc53751346"/>
      <w:bookmarkStart w:id="120" w:name="_Toc11029"/>
      <w:bookmarkStart w:id="121" w:name="_Toc342913389"/>
      <w:bookmarkStart w:id="122" w:name="_Toc952"/>
      <w:bookmarkStart w:id="123" w:name="_Toc507411003"/>
      <w:bookmarkStart w:id="124" w:name="_Toc80104359"/>
      <w:r>
        <w:rPr>
          <w:rFonts w:hint="eastAsia" w:ascii="微软雅黑" w:hAnsi="微软雅黑" w:eastAsia="微软雅黑" w:cs="微软雅黑"/>
          <w:color w:val="000000"/>
          <w:sz w:val="24"/>
          <w:szCs w:val="24"/>
        </w:rPr>
        <w:t>一、比选费用</w:t>
      </w:r>
      <w:bookmarkEnd w:id="119"/>
      <w:bookmarkEnd w:id="120"/>
      <w:bookmarkEnd w:id="121"/>
      <w:bookmarkEnd w:id="122"/>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参与比选的供应商应承担其编制响应文件所涉及的一切费用，不论结果如何，采购人和采购代理机构在任何情况下无义务也无责任承担这些费用。</w:t>
      </w:r>
    </w:p>
    <w:p>
      <w:pPr>
        <w:pStyle w:val="9"/>
        <w:snapToGrid w:val="0"/>
        <w:spacing w:before="0" w:after="0" w:line="240" w:lineRule="auto"/>
        <w:rPr>
          <w:rFonts w:hint="eastAsia" w:ascii="微软雅黑" w:hAnsi="微软雅黑" w:eastAsia="微软雅黑" w:cs="微软雅黑"/>
          <w:color w:val="000000"/>
          <w:sz w:val="24"/>
          <w:szCs w:val="24"/>
        </w:rPr>
      </w:pPr>
      <w:bookmarkStart w:id="125" w:name="_Toc342913391"/>
      <w:bookmarkStart w:id="126" w:name="_Toc53751347"/>
      <w:bookmarkStart w:id="127" w:name="_Toc4017"/>
      <w:bookmarkStart w:id="128" w:name="_Toc9807"/>
      <w:r>
        <w:rPr>
          <w:rFonts w:hint="eastAsia" w:ascii="微软雅黑" w:hAnsi="微软雅黑" w:eastAsia="微软雅黑" w:cs="微软雅黑"/>
          <w:color w:val="000000"/>
          <w:sz w:val="24"/>
          <w:szCs w:val="24"/>
        </w:rPr>
        <w:t>二、</w:t>
      </w:r>
      <w:bookmarkEnd w:id="125"/>
      <w:bookmarkEnd w:id="126"/>
      <w:bookmarkEnd w:id="127"/>
      <w:r>
        <w:rPr>
          <w:rFonts w:hint="eastAsia" w:ascii="微软雅黑" w:hAnsi="微软雅黑" w:eastAsia="微软雅黑" w:cs="微软雅黑"/>
          <w:color w:val="000000"/>
          <w:sz w:val="24"/>
          <w:szCs w:val="24"/>
        </w:rPr>
        <w:t>比选文件</w:t>
      </w:r>
      <w:bookmarkEnd w:id="128"/>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（一）比选文件由采购邀请书、项目技术（质量）需求、项目商务需求、竞选程序及方法、评审标准、无效响应条款和采购终止、供应商须知</w:t>
      </w:r>
      <w:r>
        <w:rPr>
          <w:rFonts w:hint="eastAsia" w:ascii="微软雅黑" w:hAnsi="微软雅黑" w:eastAsia="微软雅黑" w:cs="微软雅黑"/>
          <w:bCs/>
          <w:color w:val="000000"/>
        </w:rPr>
        <w:t>、合同草案条款、</w:t>
      </w:r>
      <w:r>
        <w:rPr>
          <w:rFonts w:hint="eastAsia" w:ascii="微软雅黑" w:hAnsi="微软雅黑" w:eastAsia="微软雅黑" w:cs="微软雅黑"/>
          <w:color w:val="000000"/>
        </w:rPr>
        <w:t>响应文件编制要求七部分组成。</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（二）采购人（或采购代理机构）所作的一切有效的书面通知、修改及补充，都是比选文件不可分割的部分。</w:t>
      </w:r>
    </w:p>
    <w:p>
      <w:pPr>
        <w:pStyle w:val="9"/>
        <w:snapToGrid w:val="0"/>
        <w:spacing w:before="0" w:after="0" w:line="240" w:lineRule="auto"/>
        <w:rPr>
          <w:rFonts w:hint="eastAsia" w:ascii="微软雅黑" w:hAnsi="微软雅黑" w:eastAsia="微软雅黑" w:cs="微软雅黑"/>
          <w:color w:val="000000"/>
          <w:sz w:val="24"/>
          <w:szCs w:val="24"/>
        </w:rPr>
      </w:pPr>
      <w:bookmarkStart w:id="129" w:name="_Toc179714297"/>
      <w:bookmarkStart w:id="130" w:name="_Toc13887"/>
      <w:bookmarkStart w:id="131" w:name="_Toc102227318"/>
      <w:bookmarkStart w:id="132" w:name="_Toc27179"/>
      <w:bookmarkStart w:id="133" w:name="_Toc342913392"/>
      <w:bookmarkStart w:id="134" w:name="_Toc53751348"/>
      <w:r>
        <w:rPr>
          <w:rFonts w:hint="eastAsia" w:ascii="微软雅黑" w:hAnsi="微软雅黑" w:eastAsia="微软雅黑" w:cs="微软雅黑"/>
          <w:color w:val="000000"/>
          <w:sz w:val="24"/>
          <w:szCs w:val="24"/>
        </w:rPr>
        <w:t>三、比选要求</w:t>
      </w:r>
      <w:bookmarkEnd w:id="129"/>
      <w:bookmarkEnd w:id="130"/>
      <w:bookmarkEnd w:id="131"/>
      <w:bookmarkEnd w:id="132"/>
      <w:bookmarkEnd w:id="133"/>
      <w:bookmarkEnd w:id="134"/>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（一）响应文件</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1.供应商应当按照比选文件的要求编制响应文件，并对比选文件提出的要求和条件作出响应。</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2.响应文件组成</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3.若投标人对投标文件的错处作必要修改，则应在修改处加盖投标人公章或由法定代表人或法定代表人授权代表签字确认。</w:t>
      </w:r>
    </w:p>
    <w:p>
      <w:pPr>
        <w:spacing w:line="400" w:lineRule="exact"/>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4.电报、电话、传真形式的投标文件概不接受。</w:t>
      </w:r>
    </w:p>
    <w:p>
      <w:pPr>
        <w:spacing w:line="400" w:lineRule="exact"/>
        <w:ind w:firstLine="480" w:firstLineChars="200"/>
        <w:rPr>
          <w:rFonts w:hint="eastAsia" w:ascii="微软雅黑" w:hAnsi="微软雅黑" w:eastAsia="微软雅黑" w:cs="微软雅黑"/>
        </w:rPr>
      </w:pPr>
      <w:r>
        <w:rPr>
          <w:rFonts w:hint="eastAsia" w:ascii="微软雅黑" w:hAnsi="微软雅黑" w:eastAsia="微软雅黑" w:cs="微软雅黑"/>
          <w:color w:val="000000"/>
        </w:rPr>
        <w:t>5.</w:t>
      </w:r>
      <w:r>
        <w:rPr>
          <w:rFonts w:hint="eastAsia" w:ascii="微软雅黑" w:hAnsi="微软雅黑" w:eastAsia="微软雅黑" w:cs="微软雅黑"/>
        </w:rPr>
        <w:t>供应商参与人员</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各个供应商应当派1-2名代表参与竞选，至少1人应为法定代表人（或其授权代表）或自然人。</w:t>
      </w:r>
    </w:p>
    <w:p>
      <w:pPr>
        <w:ind w:firstLine="480" w:firstLineChars="200"/>
        <w:rPr>
          <w:rFonts w:hint="eastAsia" w:ascii="微软雅黑" w:hAnsi="微软雅黑" w:eastAsia="微软雅黑" w:cs="微软雅黑"/>
        </w:rPr>
      </w:pPr>
      <w:r>
        <w:rPr>
          <w:rFonts w:hint="eastAsia" w:ascii="微软雅黑" w:hAnsi="微软雅黑" w:eastAsia="微软雅黑" w:cs="微软雅黑"/>
          <w:color w:val="000000"/>
        </w:rPr>
        <w:t>（二）响应文件的份数和签署</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本项目采取线上线下相结合的方式进行投标报价，供应商须在规定时间内完成行采家平台电子响应文件及现场纸质响应文件的提交，且线上线下递交的响应文件内容须保持一致。如不一致时，以线下纸质响应文件正本为准。</w:t>
      </w:r>
    </w:p>
    <w:p>
      <w:pPr>
        <w:spacing w:line="400" w:lineRule="exact"/>
        <w:ind w:firstLine="480" w:firstLineChars="200"/>
        <w:rPr>
          <w:rFonts w:hint="eastAsia" w:ascii="微软雅黑" w:hAnsi="微软雅黑" w:eastAsia="微软雅黑" w:cs="微软雅黑"/>
          <w:b/>
          <w:bCs/>
        </w:rPr>
      </w:pPr>
      <w:r>
        <w:rPr>
          <w:rFonts w:hint="eastAsia" w:ascii="微软雅黑" w:hAnsi="微软雅黑" w:eastAsia="微软雅黑" w:cs="微软雅黑"/>
          <w:b/>
          <w:bCs/>
        </w:rPr>
        <w:t>1、线下（投标现场）响应文件提交规则：</w:t>
      </w:r>
    </w:p>
    <w:p>
      <w:pPr>
        <w:spacing w:line="400" w:lineRule="exact"/>
        <w:ind w:firstLine="480" w:firstLineChars="200"/>
        <w:rPr>
          <w:rFonts w:hint="eastAsia" w:ascii="微软雅黑" w:hAnsi="微软雅黑" w:eastAsia="微软雅黑" w:cs="微软雅黑"/>
        </w:rPr>
      </w:pPr>
      <w:r>
        <w:rPr>
          <w:rFonts w:hint="eastAsia" w:ascii="微软雅黑" w:hAnsi="微软雅黑" w:eastAsia="微软雅黑" w:cs="微软雅黑"/>
          <w:color w:val="000000" w:themeColor="text1"/>
          <w14:textFill>
            <w14:solidFill>
              <w14:schemeClr w14:val="tx1"/>
            </w14:solidFill>
          </w14:textFill>
        </w:rPr>
        <w:t>（1）响应文件一式叁份，其中正本一份，副本贰份，副本</w:t>
      </w:r>
      <w:r>
        <w:rPr>
          <w:rFonts w:hint="eastAsia" w:ascii="微软雅黑" w:hAnsi="微软雅黑" w:eastAsia="微软雅黑" w:cs="微软雅黑"/>
        </w:rPr>
        <w:t>可为正本的复印件，应与正本一致，如出现不一致情况以正本为准。</w:t>
      </w:r>
    </w:p>
    <w:p>
      <w:pPr>
        <w:spacing w:line="4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（2）在比选申请文件正本中，竞争性比选文件第七篇响应文件格式要求中规定签署、盖章的地方必须按其规定签署、盖章。</w:t>
      </w:r>
    </w:p>
    <w:p>
      <w:pPr>
        <w:spacing w:line="4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（3）响应文件的密封与标记</w:t>
      </w:r>
    </w:p>
    <w:p>
      <w:pPr>
        <w:spacing w:line="4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响应文件的正本、副本均应密封送达竞采地点，应在封套上注明项目名称、供应商名称。若正本、副本分别进行密封的，还应在封套上注明“正本”、“副本”字样。</w:t>
      </w:r>
    </w:p>
    <w:p>
      <w:pPr>
        <w:spacing w:line="4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（4）如果未按上述规定进行密封的，采购人、采购代理机构将拒收其响应文件。</w:t>
      </w:r>
    </w:p>
    <w:p>
      <w:pPr>
        <w:spacing w:line="4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响应文件投递截止时间：见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400" w:lineRule="exact"/>
        <w:ind w:firstLine="480" w:firstLineChars="200"/>
        <w:rPr>
          <w:rFonts w:hint="eastAsia" w:ascii="微软雅黑" w:hAnsi="微软雅黑" w:eastAsia="微软雅黑" w:cs="微软雅黑"/>
          <w:b/>
          <w:bCs/>
        </w:rPr>
      </w:pPr>
      <w:r>
        <w:rPr>
          <w:rFonts w:hint="eastAsia" w:ascii="微软雅黑" w:hAnsi="微软雅黑" w:eastAsia="微软雅黑" w:cs="微软雅黑"/>
          <w:b/>
          <w:bCs/>
        </w:rPr>
        <w:t>2、线上（行采家电子竞采）响应文件提交规则：</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rPr>
        <w:t>（1）供应商须同时在线上上传盖章后的电子文档一份（电子文档内容应与纸质文件正本一致）。</w:t>
      </w:r>
      <w:r>
        <w:rPr>
          <w:rFonts w:hint="eastAsia" w:ascii="微软雅黑" w:hAnsi="微软雅黑" w:eastAsia="微软雅黑" w:cs="微软雅黑"/>
          <w:color w:val="000000" w:themeColor="text1"/>
          <w14:textFill>
            <w14:solidFill>
              <w14:schemeClr w14:val="tx1"/>
            </w14:solidFill>
          </w14:textFill>
        </w:rPr>
        <w:t>若与纸质响应文件不一致的，以纸质响应文件正本为准。</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（三）联合体</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本项目不接受以联合体形式参与比选。</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（四）比选有效期</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响应文件及有关承诺文件有效期为提交响应文件截止时间起90天。</w:t>
      </w:r>
    </w:p>
    <w:p>
      <w:pPr>
        <w:pStyle w:val="9"/>
        <w:snapToGrid w:val="0"/>
        <w:spacing w:before="0" w:after="0" w:line="240" w:lineRule="auto"/>
        <w:rPr>
          <w:rFonts w:hint="eastAsia" w:ascii="微软雅黑" w:hAnsi="微软雅黑" w:eastAsia="微软雅黑" w:cs="微软雅黑"/>
          <w:color w:val="000000"/>
          <w:sz w:val="24"/>
          <w:szCs w:val="24"/>
        </w:rPr>
      </w:pPr>
      <w:bookmarkStart w:id="135" w:name="_Toc53751351"/>
      <w:bookmarkStart w:id="136" w:name="_Toc10374"/>
      <w:bookmarkStart w:id="137" w:name="_Toc638"/>
      <w:r>
        <w:rPr>
          <w:rFonts w:hint="eastAsia" w:ascii="微软雅黑" w:hAnsi="微软雅黑" w:eastAsia="微软雅黑" w:cs="微软雅黑"/>
          <w:color w:val="000000"/>
          <w:sz w:val="24"/>
          <w:szCs w:val="24"/>
        </w:rPr>
        <w:t>四、关于质疑和投诉</w:t>
      </w:r>
      <w:bookmarkEnd w:id="135"/>
      <w:bookmarkEnd w:id="136"/>
      <w:bookmarkEnd w:id="137"/>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（一）质疑</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供应商认为采购文件、采购过程和成交结果使自己的权益收到伤害的，可向采购人或采购代理机构以书面形式提出质疑。</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 xml:space="preserve">提出质疑的应当是参与所质疑项目采购活动的供应商。 </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1.质疑时限、内容</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供应商认为采购文件、采购过程、成交结果使自己的权益受到损害的，可以在知道或者应知其权益受到损害之日起7个工作日内，以书面形式向采购人、采购代理机构提出质疑。</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1.2供应商提出质疑应当提交质疑函和必要的证明材料，质疑函应当包括下列内容：</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1.2.1供应商的姓名或者名称、地址、邮编、联系人及联系电话；</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1.2.2质疑项目的名称、项目号以及比选项目编号；</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1.2.3具体、明确的质疑事项和与质疑事项相关的请求；</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1.2.4事实依据；</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1.2.5必要的法律依据；</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1.2.6提出质疑的日期；</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1.2.7营业执照（或事业单位法人证书，或个体工商户营业执照或有效的自然人身份证明、组织机构代码证）复印件；</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1.2.8法定代表人授权委托书原件、法定代表人身份证复印件和其授权代表的身份证复印件（供应商为自然人的提供自然人身份证复印件）；</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1.3供应商为自然人的，质疑函应当由本人签字；供应商为法人或者其他组织的，质疑函应当由法定代表人、主要负责人，或者其授权代表签字或者盖章，并加盖公章。</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2.质疑答复</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采购人、采购代理机构应当在收到供应商的书面质疑后七个工作日内作出答复，并以书面形式通知质疑供应商和其他有关供应商。</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3.其他</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3.1供应商应按照《政府采购质疑和投诉办法》（财政部令第94号）及相关法律法规要求，在法定质疑期内一次性提出针对同一采购程序环节的质疑。</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3.2质疑函范本可在财政部门户网站和中国政府采购网下载。</w:t>
      </w:r>
    </w:p>
    <w:p>
      <w:pPr>
        <w:pStyle w:val="9"/>
        <w:snapToGrid w:val="0"/>
        <w:spacing w:before="0" w:after="0" w:line="240" w:lineRule="auto"/>
        <w:rPr>
          <w:rFonts w:hint="eastAsia" w:ascii="微软雅黑" w:hAnsi="微软雅黑" w:eastAsia="微软雅黑" w:cs="微软雅黑"/>
          <w:color w:val="000000"/>
          <w:sz w:val="24"/>
          <w:szCs w:val="24"/>
        </w:rPr>
      </w:pPr>
      <w:bookmarkStart w:id="138" w:name="_Toc7867"/>
      <w:bookmarkStart w:id="139" w:name="_Toc53751349"/>
      <w:bookmarkStart w:id="140" w:name="_Toc13975"/>
      <w:bookmarkStart w:id="141" w:name="_Toc14208"/>
      <w:bookmarkStart w:id="142" w:name="_Toc53751350"/>
      <w:r>
        <w:rPr>
          <w:rFonts w:hint="eastAsia" w:ascii="微软雅黑" w:hAnsi="微软雅黑" w:eastAsia="微软雅黑" w:cs="微软雅黑"/>
          <w:color w:val="000000"/>
          <w:sz w:val="24"/>
          <w:szCs w:val="24"/>
        </w:rPr>
        <w:t>五、成交供应商的变更</w:t>
      </w:r>
      <w:bookmarkEnd w:id="138"/>
      <w:bookmarkEnd w:id="139"/>
      <w:bookmarkEnd w:id="140"/>
    </w:p>
    <w:p>
      <w:pPr>
        <w:ind w:firstLine="480" w:firstLineChars="200"/>
        <w:rPr>
          <w:rFonts w:hint="eastAsia" w:ascii="微软雅黑" w:hAnsi="微软雅黑" w:eastAsia="微软雅黑" w:cs="微软雅黑"/>
          <w:color w:val="000000"/>
        </w:rPr>
      </w:pPr>
      <w:bookmarkStart w:id="143" w:name="_Toc102227321"/>
      <w:bookmarkStart w:id="144" w:name="_Toc342913395"/>
      <w:r>
        <w:rPr>
          <w:rFonts w:hint="eastAsia" w:ascii="微软雅黑" w:hAnsi="微软雅黑" w:eastAsia="微软雅黑" w:cs="微软雅黑"/>
          <w:color w:val="000000"/>
        </w:rPr>
        <w:t>成交供应商拒绝与采购人签订合同的，采购人可以按照评标报告推荐的成交候选供应商顺序，确定排名下一位的候选人为成交供应商，也可以重新开展政府采购活动。</w:t>
      </w:r>
    </w:p>
    <w:bookmarkEnd w:id="143"/>
    <w:bookmarkEnd w:id="144"/>
    <w:p>
      <w:pPr>
        <w:pStyle w:val="9"/>
        <w:snapToGrid w:val="0"/>
        <w:spacing w:before="0" w:after="0" w:line="240" w:lineRule="auto"/>
        <w:rPr>
          <w:rFonts w:hint="eastAsia" w:ascii="微软雅黑" w:hAnsi="微软雅黑" w:eastAsia="微软雅黑" w:cs="微软雅黑"/>
          <w:color w:val="000000"/>
          <w:sz w:val="24"/>
          <w:szCs w:val="24"/>
          <w:lang w:val="en-US"/>
        </w:rPr>
      </w:pPr>
      <w:bookmarkStart w:id="145" w:name="_Toc15399"/>
      <w:r>
        <w:rPr>
          <w:rFonts w:hint="eastAsia" w:ascii="微软雅黑" w:hAnsi="微软雅黑" w:eastAsia="微软雅黑" w:cs="微软雅黑"/>
          <w:color w:val="000000"/>
          <w:sz w:val="24"/>
          <w:szCs w:val="24"/>
        </w:rPr>
        <w:t>六、成交通知</w:t>
      </w:r>
      <w:bookmarkEnd w:id="141"/>
      <w:bookmarkEnd w:id="142"/>
      <w:bookmarkEnd w:id="145"/>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（一）成交供应商确定后，采购代理机构将在“行采家”（https://www.gec123.com/）上发布成交结果公告。</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（二）结果公告发出同时，采购代理机构将以书面形式发出《成交通知书》。《成交通知书》一经发出即发生法律效力。</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（三）《成交通知书》将作为签订合同的依据。</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（四）如有供应商对成交结果提出质疑的，在质疑处理完毕后发出成交通知书。</w:t>
      </w:r>
    </w:p>
    <w:p>
      <w:pPr>
        <w:pStyle w:val="9"/>
        <w:snapToGrid w:val="0"/>
        <w:spacing w:before="0" w:after="0" w:line="240" w:lineRule="auto"/>
        <w:rPr>
          <w:rFonts w:hint="eastAsia" w:ascii="微软雅黑" w:hAnsi="微软雅黑" w:eastAsia="微软雅黑" w:cs="微软雅黑"/>
          <w:color w:val="000000"/>
          <w:sz w:val="24"/>
          <w:szCs w:val="24"/>
        </w:rPr>
      </w:pPr>
      <w:bookmarkStart w:id="146" w:name="_Toc16609"/>
      <w:r>
        <w:rPr>
          <w:rFonts w:hint="eastAsia" w:ascii="微软雅黑" w:hAnsi="微软雅黑" w:eastAsia="微软雅黑" w:cs="微软雅黑"/>
          <w:color w:val="000000"/>
          <w:sz w:val="24"/>
          <w:szCs w:val="24"/>
        </w:rPr>
        <w:t>七、采购代理服务费</w:t>
      </w:r>
      <w:bookmarkEnd w:id="123"/>
      <w:bookmarkEnd w:id="124"/>
      <w:bookmarkEnd w:id="146"/>
    </w:p>
    <w:p>
      <w:pPr>
        <w:ind w:firstLine="480" w:firstLineChars="200"/>
        <w:rPr>
          <w:rFonts w:hint="eastAsia" w:ascii="微软雅黑" w:hAnsi="微软雅黑" w:eastAsia="微软雅黑" w:cs="微软雅黑"/>
          <w:color w:val="000000"/>
        </w:rPr>
      </w:pPr>
      <w:bookmarkStart w:id="147" w:name="_Toc21783697"/>
      <w:r>
        <w:rPr>
          <w:rFonts w:hint="eastAsia" w:ascii="微软雅黑" w:hAnsi="微软雅黑" w:eastAsia="微软雅黑" w:cs="微软雅黑"/>
          <w:color w:val="000000"/>
        </w:rPr>
        <w:t>1、供应商成交后向采购代理机构缴纳采购代理服务费（人民币</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000.00元）。</w:t>
      </w:r>
    </w:p>
    <w:p>
      <w:pPr>
        <w:ind w:firstLine="48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2、代理服务费在成交供应商领取成交通知书之前以转账形式一次性支付。</w:t>
      </w:r>
    </w:p>
    <w:p>
      <w:pPr>
        <w:pStyle w:val="9"/>
        <w:snapToGrid w:val="0"/>
        <w:spacing w:before="0" w:after="0" w:line="240" w:lineRule="auto"/>
        <w:rPr>
          <w:rFonts w:hint="eastAsia" w:ascii="微软雅黑" w:hAnsi="微软雅黑" w:eastAsia="微软雅黑" w:cs="微软雅黑"/>
          <w:color w:val="000000"/>
          <w:sz w:val="24"/>
          <w:szCs w:val="24"/>
        </w:rPr>
      </w:pPr>
      <w:bookmarkStart w:id="148" w:name="_Toc17504"/>
      <w:r>
        <w:rPr>
          <w:rFonts w:hint="eastAsia" w:ascii="微软雅黑" w:hAnsi="微软雅黑" w:eastAsia="微软雅黑" w:cs="微软雅黑"/>
          <w:color w:val="000000"/>
          <w:sz w:val="24"/>
          <w:szCs w:val="24"/>
        </w:rPr>
        <w:t>八、签订合同</w:t>
      </w:r>
      <w:bookmarkEnd w:id="147"/>
      <w:bookmarkEnd w:id="148"/>
    </w:p>
    <w:p>
      <w:pPr>
        <w:snapToGrid w:val="0"/>
        <w:ind w:firstLine="360" w:firstLineChars="150"/>
        <w:rPr>
          <w:rFonts w:hint="eastAsia" w:ascii="微软雅黑" w:hAnsi="微软雅黑" w:eastAsia="微软雅黑" w:cs="微软雅黑"/>
          <w:color w:val="000000"/>
        </w:rPr>
      </w:pPr>
      <w:r>
        <w:rPr>
          <w:rFonts w:hint="eastAsia" w:ascii="微软雅黑" w:hAnsi="微软雅黑" w:eastAsia="微软雅黑" w:cs="微软雅黑"/>
          <w:color w:val="000000"/>
        </w:rPr>
        <w:t>（一）采购人应当自成交通知书发出之日起二十日内，按照比选文件和成交供应商响应文件的约定，与成交供应商签订书面合同。所签订的合同不得对比选文件和供应商的响应文件作实质性修改。</w:t>
      </w:r>
    </w:p>
    <w:p>
      <w:pPr>
        <w:snapToGrid w:val="0"/>
        <w:ind w:firstLine="360" w:firstLineChars="150"/>
        <w:rPr>
          <w:rFonts w:hint="eastAsia" w:ascii="微软雅黑" w:hAnsi="微软雅黑" w:eastAsia="微软雅黑" w:cs="微软雅黑"/>
          <w:color w:val="000000"/>
        </w:rPr>
      </w:pPr>
      <w:r>
        <w:rPr>
          <w:rFonts w:hint="eastAsia" w:ascii="微软雅黑" w:hAnsi="微软雅黑" w:eastAsia="微软雅黑" w:cs="微软雅黑"/>
          <w:color w:val="000000"/>
        </w:rPr>
        <w:t>（二）比选文件、供应商的响应文件及补遗文件等，均为签订政府采购合同的依据。</w:t>
      </w:r>
    </w:p>
    <w:p>
      <w:pPr>
        <w:snapToGrid w:val="0"/>
        <w:ind w:firstLine="360" w:firstLineChars="150"/>
        <w:rPr>
          <w:rFonts w:hint="eastAsia" w:ascii="微软雅黑" w:hAnsi="微软雅黑" w:eastAsia="微软雅黑" w:cs="微软雅黑"/>
          <w:color w:val="000000"/>
        </w:rPr>
      </w:pPr>
      <w:r>
        <w:rPr>
          <w:rFonts w:hint="eastAsia" w:ascii="微软雅黑" w:hAnsi="微软雅黑" w:eastAsia="微软雅黑" w:cs="微软雅黑"/>
          <w:color w:val="000000"/>
        </w:rPr>
        <w:t>（三）合同生效条款由供需双方约定，法律、行政法规规定应当办理批准、登记等手续后生效的合同，依照其规定。</w:t>
      </w:r>
    </w:p>
    <w:p>
      <w:pPr>
        <w:snapToGrid w:val="0"/>
        <w:ind w:firstLine="480" w:firstLineChars="200"/>
        <w:rPr>
          <w:rFonts w:hint="eastAsia" w:ascii="微软雅黑" w:hAnsi="微软雅黑" w:eastAsia="微软雅黑" w:cs="微软雅黑"/>
          <w:color w:val="000000"/>
        </w:rPr>
      </w:pPr>
      <w:bookmarkStart w:id="149" w:name="_Toc21783699"/>
    </w:p>
    <w:p>
      <w:pPr>
        <w:snapToGrid w:val="0"/>
        <w:ind w:firstLine="480" w:firstLineChars="200"/>
        <w:rPr>
          <w:rFonts w:hint="eastAsia" w:ascii="微软雅黑" w:hAnsi="微软雅黑" w:eastAsia="微软雅黑" w:cs="微软雅黑"/>
          <w:color w:val="000000"/>
        </w:rPr>
      </w:pPr>
    </w:p>
    <w:bookmarkEnd w:id="149"/>
    <w:p>
      <w:pPr>
        <w:pStyle w:val="7"/>
        <w:tabs>
          <w:tab w:val="left" w:pos="3360"/>
        </w:tabs>
        <w:spacing w:line="336" w:lineRule="auto"/>
        <w:jc w:val="center"/>
        <w:rPr>
          <w:rFonts w:hint="eastAsia" w:ascii="微软雅黑" w:hAnsi="微软雅黑" w:eastAsia="微软雅黑" w:cs="微软雅黑"/>
          <w:kern w:val="2"/>
          <w:sz w:val="36"/>
          <w:szCs w:val="30"/>
        </w:rPr>
      </w:pPr>
      <w:bookmarkStart w:id="150" w:name="_Toc12789072"/>
      <w:bookmarkStart w:id="151" w:name="_Toc88569292"/>
      <w:r>
        <w:rPr>
          <w:rFonts w:hint="eastAsia" w:ascii="微软雅黑" w:hAnsi="微软雅黑" w:eastAsia="微软雅黑" w:cs="微软雅黑"/>
          <w:color w:val="000000"/>
          <w:sz w:val="36"/>
          <w:szCs w:val="30"/>
        </w:rPr>
        <w:br w:type="page"/>
      </w:r>
      <w:bookmarkEnd w:id="150"/>
      <w:bookmarkEnd w:id="151"/>
      <w:bookmarkStart w:id="152" w:name="_Toc108545981"/>
      <w:bookmarkStart w:id="153" w:name="_Toc206509838"/>
      <w:bookmarkStart w:id="154" w:name="_Hlk206060874"/>
      <w:r>
        <w:rPr>
          <w:rFonts w:hint="eastAsia" w:ascii="微软雅黑" w:hAnsi="微软雅黑" w:eastAsia="微软雅黑" w:cs="微软雅黑"/>
          <w:bCs w:val="0"/>
          <w:sz w:val="36"/>
          <w:szCs w:val="36"/>
        </w:rPr>
        <w:t>第</w:t>
      </w:r>
      <w:r>
        <w:rPr>
          <w:rFonts w:hint="eastAsia" w:ascii="微软雅黑" w:hAnsi="微软雅黑" w:eastAsia="微软雅黑" w:cs="微软雅黑"/>
          <w:bCs w:val="0"/>
          <w:sz w:val="36"/>
          <w:szCs w:val="36"/>
          <w:lang w:val="en-US"/>
        </w:rPr>
        <w:t>六</w:t>
      </w:r>
      <w:r>
        <w:rPr>
          <w:rFonts w:hint="eastAsia" w:ascii="微软雅黑" w:hAnsi="微软雅黑" w:eastAsia="微软雅黑" w:cs="微软雅黑"/>
          <w:bCs w:val="0"/>
          <w:sz w:val="36"/>
          <w:szCs w:val="36"/>
        </w:rPr>
        <w:t xml:space="preserve">篇  </w:t>
      </w:r>
      <w:bookmarkEnd w:id="152"/>
      <w:r>
        <w:rPr>
          <w:rFonts w:hint="eastAsia" w:ascii="微软雅黑" w:hAnsi="微软雅黑" w:eastAsia="微软雅黑" w:cs="微软雅黑"/>
          <w:kern w:val="2"/>
          <w:sz w:val="36"/>
          <w:szCs w:val="36"/>
        </w:rPr>
        <w:t>合同主要条款和格式合同</w:t>
      </w:r>
      <w:bookmarkEnd w:id="153"/>
    </w:p>
    <w:bookmarkEnd w:id="154"/>
    <w:p>
      <w:pPr>
        <w:spacing w:line="500" w:lineRule="exact"/>
        <w:ind w:firstLine="480" w:firstLineChars="200"/>
        <w:rPr>
          <w:rFonts w:hint="eastAsia" w:ascii="微软雅黑" w:hAnsi="微软雅黑" w:eastAsia="微软雅黑" w:cs="微软雅黑"/>
          <w:b/>
        </w:rPr>
      </w:pPr>
      <w:r>
        <w:rPr>
          <w:rFonts w:hint="eastAsia" w:ascii="微软雅黑" w:hAnsi="微软雅黑" w:eastAsia="微软雅黑" w:cs="微软雅黑"/>
          <w:b/>
          <w:bCs/>
          <w:szCs w:val="21"/>
        </w:rPr>
        <w:t xml:space="preserve"> </w:t>
      </w:r>
      <w:r>
        <w:rPr>
          <w:rFonts w:hint="eastAsia" w:ascii="微软雅黑" w:hAnsi="微软雅黑" w:eastAsia="微软雅黑" w:cs="微软雅黑"/>
          <w:b/>
        </w:rPr>
        <w:t>甲方(全称)：</w:t>
      </w:r>
      <w:r>
        <w:rPr>
          <w:rFonts w:hint="eastAsia" w:ascii="微软雅黑" w:hAnsi="微软雅黑" w:eastAsia="微软雅黑" w:cs="微软雅黑"/>
          <w:bCs/>
          <w:u w:val="single"/>
        </w:rPr>
        <w:t xml:space="preserve">                                  </w:t>
      </w:r>
      <w:r>
        <w:rPr>
          <w:rFonts w:hint="eastAsia" w:ascii="微软雅黑" w:hAnsi="微软雅黑" w:eastAsia="微软雅黑" w:cs="微软雅黑"/>
          <w:bCs/>
          <w:szCs w:val="28"/>
        </w:rPr>
        <w:t>（</w:t>
      </w:r>
      <w:r>
        <w:rPr>
          <w:rFonts w:hint="eastAsia" w:ascii="微软雅黑" w:hAnsi="微软雅黑" w:eastAsia="微软雅黑" w:cs="微软雅黑"/>
          <w:bCs/>
        </w:rPr>
        <w:t xml:space="preserve">以下简称甲方） </w:t>
      </w:r>
    </w:p>
    <w:p>
      <w:pPr>
        <w:spacing w:line="500" w:lineRule="exact"/>
        <w:ind w:firstLine="480" w:firstLineChars="200"/>
        <w:rPr>
          <w:rFonts w:hint="eastAsia" w:ascii="微软雅黑" w:hAnsi="微软雅黑" w:eastAsia="微软雅黑" w:cs="微软雅黑"/>
          <w:b/>
        </w:rPr>
      </w:pPr>
      <w:r>
        <w:rPr>
          <w:rFonts w:hint="eastAsia" w:ascii="微软雅黑" w:hAnsi="微软雅黑" w:eastAsia="微软雅黑" w:cs="微软雅黑"/>
          <w:b/>
          <w:bCs/>
        </w:rPr>
        <w:t>乙方</w:t>
      </w:r>
      <w:r>
        <w:rPr>
          <w:rFonts w:hint="eastAsia" w:ascii="微软雅黑" w:hAnsi="微软雅黑" w:eastAsia="微软雅黑" w:cs="微软雅黑"/>
          <w:b/>
        </w:rPr>
        <w:t>(全称)：</w:t>
      </w:r>
      <w:r>
        <w:rPr>
          <w:rFonts w:hint="eastAsia" w:ascii="微软雅黑" w:hAnsi="微软雅黑" w:eastAsia="微软雅黑" w:cs="微软雅黑"/>
          <w:b/>
          <w:u w:val="single"/>
        </w:rPr>
        <w:t xml:space="preserve">                                   </w:t>
      </w:r>
      <w:r>
        <w:rPr>
          <w:rFonts w:hint="eastAsia" w:ascii="微软雅黑" w:hAnsi="微软雅黑" w:eastAsia="微软雅黑" w:cs="微软雅黑"/>
          <w:bCs/>
        </w:rPr>
        <w:t>（以下简称乙方）</w:t>
      </w:r>
      <w:r>
        <w:rPr>
          <w:rFonts w:hint="eastAsia" w:ascii="微软雅黑" w:hAnsi="微软雅黑" w:eastAsia="微软雅黑" w:cs="微软雅黑"/>
          <w:b/>
        </w:rPr>
        <w:t xml:space="preserve"> </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依照《中华人民共和国民法典》、《中华人民共和国建筑法》及其他有关法律、行政法规，遵循平等、自愿、公平和诚实信用的原则，双方经友好协商，订立本合同。</w:t>
      </w:r>
    </w:p>
    <w:p>
      <w:pPr>
        <w:spacing w:line="500" w:lineRule="exact"/>
        <w:ind w:firstLine="480" w:firstLineChars="200"/>
        <w:rPr>
          <w:rFonts w:hint="eastAsia" w:ascii="微软雅黑" w:hAnsi="微软雅黑" w:eastAsia="微软雅黑" w:cs="微软雅黑"/>
          <w:b/>
        </w:rPr>
      </w:pPr>
      <w:bookmarkStart w:id="155" w:name="_Toc28359"/>
      <w:bookmarkStart w:id="156" w:name="_Toc23086"/>
      <w:bookmarkStart w:id="157" w:name="_Toc25038"/>
      <w:r>
        <w:rPr>
          <w:rFonts w:hint="eastAsia" w:ascii="微软雅黑" w:hAnsi="微软雅黑" w:eastAsia="微软雅黑" w:cs="微软雅黑"/>
          <w:b/>
        </w:rPr>
        <w:t>一、工程概况;</w:t>
      </w:r>
      <w:bookmarkEnd w:id="155"/>
      <w:bookmarkEnd w:id="156"/>
      <w:bookmarkEnd w:id="157"/>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1.1工程名称：</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1.2施工地点：</w:t>
      </w:r>
    </w:p>
    <w:p>
      <w:pPr>
        <w:widowControl w:val="0"/>
        <w:numPr>
          <w:ilvl w:val="0"/>
          <w:numId w:val="6"/>
        </w:numPr>
        <w:spacing w:line="500" w:lineRule="exact"/>
        <w:ind w:firstLine="480" w:firstLineChars="200"/>
        <w:jc w:val="both"/>
        <w:rPr>
          <w:rFonts w:hint="eastAsia" w:ascii="微软雅黑" w:hAnsi="微软雅黑" w:eastAsia="微软雅黑" w:cs="微软雅黑"/>
          <w:b/>
          <w:bCs/>
        </w:rPr>
      </w:pPr>
      <w:bookmarkStart w:id="158" w:name="_Toc25977"/>
      <w:bookmarkStart w:id="159" w:name="_Toc20055"/>
      <w:bookmarkStart w:id="160" w:name="_Toc6174"/>
      <w:r>
        <w:rPr>
          <w:rFonts w:hint="eastAsia" w:ascii="微软雅黑" w:hAnsi="微软雅黑" w:eastAsia="微软雅黑" w:cs="微软雅黑"/>
          <w:b/>
          <w:bCs/>
        </w:rPr>
        <w:t>合同承包范围及内容</w:t>
      </w:r>
      <w:bookmarkEnd w:id="158"/>
      <w:bookmarkEnd w:id="159"/>
      <w:bookmarkEnd w:id="160"/>
    </w:p>
    <w:p>
      <w:pPr>
        <w:spacing w:line="500" w:lineRule="exact"/>
        <w:ind w:firstLine="480" w:firstLineChars="200"/>
        <w:rPr>
          <w:rFonts w:hint="eastAsia" w:ascii="微软雅黑" w:hAnsi="微软雅黑" w:eastAsia="微软雅黑" w:cs="微软雅黑"/>
          <w:szCs w:val="22"/>
        </w:rPr>
      </w:pPr>
      <w:r>
        <w:rPr>
          <w:rFonts w:hint="eastAsia" w:ascii="微软雅黑" w:hAnsi="微软雅黑" w:eastAsia="微软雅黑" w:cs="微软雅黑"/>
          <w:szCs w:val="22"/>
          <w:lang w:val="zh-CN"/>
        </w:rPr>
        <w:t>2.1 合同承包范围及内容：</w:t>
      </w:r>
      <w:r>
        <w:rPr>
          <w:rFonts w:hint="eastAsia" w:ascii="微软雅黑" w:hAnsi="微软雅黑" w:eastAsia="微软雅黑" w:cs="微软雅黑"/>
          <w:kern w:val="0"/>
          <w:sz w:val="24"/>
          <w:szCs w:val="24"/>
          <w:lang w:val="en-US" w:eastAsia="zh-CN"/>
        </w:rPr>
        <w:t>屋面隔热板、垫层、活动板房拆除，新建轻钢结构屋顶及活动板房等所有，工作内容</w:t>
      </w:r>
      <w:r>
        <w:rPr>
          <w:rFonts w:hint="eastAsia" w:ascii="微软雅黑" w:hAnsi="微软雅黑" w:eastAsia="微软雅黑" w:cs="微软雅黑"/>
          <w:szCs w:val="22"/>
          <w:lang w:val="zh-CN"/>
        </w:rPr>
        <w:t>具体详见采购人发布的工程量清单。</w:t>
      </w:r>
    </w:p>
    <w:p>
      <w:pPr>
        <w:spacing w:line="500" w:lineRule="exact"/>
        <w:ind w:firstLine="480" w:firstLineChars="200"/>
        <w:rPr>
          <w:rFonts w:hint="eastAsia" w:ascii="微软雅黑" w:hAnsi="微软雅黑" w:eastAsia="微软雅黑" w:cs="微软雅黑"/>
          <w:b/>
          <w:bCs/>
        </w:rPr>
      </w:pPr>
      <w:bookmarkStart w:id="161" w:name="_Toc8354"/>
      <w:bookmarkStart w:id="162" w:name="_Toc5902"/>
      <w:bookmarkStart w:id="163" w:name="_Toc17962"/>
      <w:r>
        <w:rPr>
          <w:rFonts w:hint="eastAsia" w:ascii="微软雅黑" w:hAnsi="微软雅黑" w:eastAsia="微软雅黑" w:cs="微软雅黑"/>
          <w:b/>
          <w:bCs/>
        </w:rPr>
        <w:t>三、工程工期及确认条件</w:t>
      </w:r>
      <w:bookmarkEnd w:id="161"/>
      <w:bookmarkEnd w:id="162"/>
      <w:bookmarkEnd w:id="163"/>
    </w:p>
    <w:p>
      <w:pPr>
        <w:spacing w:line="500" w:lineRule="exact"/>
        <w:ind w:left="480" w:leftChars="200"/>
        <w:rPr>
          <w:rFonts w:hint="eastAsia" w:ascii="微软雅黑" w:hAnsi="微软雅黑" w:eastAsia="微软雅黑" w:cs="微软雅黑"/>
        </w:rPr>
      </w:pPr>
      <w:r>
        <w:rPr>
          <w:rFonts w:hint="eastAsia" w:ascii="微软雅黑" w:hAnsi="微软雅黑" w:eastAsia="微软雅黑" w:cs="微软雅黑"/>
        </w:rPr>
        <w:t>3.1</w:t>
      </w:r>
      <w:r>
        <w:rPr>
          <w:rFonts w:hint="eastAsia" w:ascii="微软雅黑" w:hAnsi="微软雅黑" w:eastAsia="微软雅黑" w:cs="微软雅黑"/>
          <w:lang w:val="zh-CN"/>
        </w:rPr>
        <w:t>工期：自合同签订之日起</w:t>
      </w:r>
      <w:r>
        <w:rPr>
          <w:rFonts w:hint="eastAsia" w:ascii="微软雅黑" w:hAnsi="微软雅黑" w:eastAsia="微软雅黑" w:cs="微软雅黑"/>
          <w:u w:val="single"/>
        </w:rPr>
        <w:t xml:space="preserve">   </w:t>
      </w:r>
      <w:r>
        <w:rPr>
          <w:rFonts w:hint="eastAsia" w:ascii="微软雅黑" w:hAnsi="微软雅黑" w:eastAsia="微软雅黑" w:cs="微软雅黑"/>
        </w:rPr>
        <w:t>日历天</w:t>
      </w:r>
      <w:r>
        <w:rPr>
          <w:rFonts w:hint="eastAsia" w:ascii="微软雅黑" w:hAnsi="微软雅黑" w:eastAsia="微软雅黑" w:cs="微软雅黑"/>
          <w:lang w:val="zh-CN"/>
        </w:rPr>
        <w:t>，</w:t>
      </w:r>
      <w:r>
        <w:rPr>
          <w:rFonts w:hint="eastAsia" w:ascii="微软雅黑" w:hAnsi="微软雅黑" w:eastAsia="微软雅黑" w:cs="微软雅黑"/>
        </w:rPr>
        <w:t>具体开工时间以甲方通知为准。</w:t>
      </w:r>
    </w:p>
    <w:p>
      <w:pPr>
        <w:spacing w:line="500" w:lineRule="exact"/>
        <w:ind w:left="480" w:leftChars="200"/>
        <w:rPr>
          <w:rFonts w:hint="eastAsia" w:ascii="微软雅黑" w:hAnsi="微软雅黑" w:eastAsia="微软雅黑" w:cs="微软雅黑"/>
        </w:rPr>
      </w:pPr>
      <w:r>
        <w:rPr>
          <w:rFonts w:hint="eastAsia" w:ascii="微软雅黑" w:hAnsi="微软雅黑" w:eastAsia="微软雅黑" w:cs="微软雅黑"/>
        </w:rPr>
        <w:t>质保期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年。</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3.2以上总工期视为已充分考虑了可能出现的各种形式的（除不可抗力以外的）雨雪、冰雹、大风、高温天气、低温天气、停水、停电、周六、周日及国家法定节假日、扰民和民忧、市政影响等不利因素，总工期除因甲方原因造成乙方工期发生延误，并经甲方现场项目部面确认后此工期可相应顺延外，其余无论任何原因，不得延误合同工期。</w:t>
      </w:r>
    </w:p>
    <w:p>
      <w:pPr>
        <w:spacing w:line="500" w:lineRule="exact"/>
        <w:ind w:left="105" w:firstLine="480" w:firstLineChars="200"/>
        <w:rPr>
          <w:rFonts w:hint="eastAsia" w:ascii="微软雅黑" w:hAnsi="微软雅黑" w:eastAsia="微软雅黑" w:cs="微软雅黑"/>
          <w:b/>
        </w:rPr>
      </w:pPr>
      <w:bookmarkStart w:id="164" w:name="_Toc8417"/>
      <w:bookmarkStart w:id="165" w:name="_Toc20098"/>
      <w:bookmarkStart w:id="166" w:name="_Toc4671"/>
      <w:r>
        <w:rPr>
          <w:rFonts w:hint="eastAsia" w:ascii="微软雅黑" w:hAnsi="微软雅黑" w:eastAsia="微软雅黑" w:cs="微软雅黑"/>
          <w:b/>
        </w:rPr>
        <w:t>四、工程质量及安全文明施工</w:t>
      </w:r>
      <w:bookmarkEnd w:id="164"/>
      <w:bookmarkEnd w:id="165"/>
      <w:bookmarkEnd w:id="166"/>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4.1工程质量：</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4.1.1工程验收标准</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4.1.1.1按图施工，符合国家有关施工质量验收规范和标准要求，达到合格标准。</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4.2安全文明施工</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4.2.1乙方自身应加强安全文明施工管理的内容，必须接受甲方的监督管理，并遵守甲方的相关安全管理制度。</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4.2.2乙方必须加强安全文明施工管理，按规定采取安全措施，确保工程施工安全和人身财产安全。施工期间由非甲方原因造成其他人员的病、伤、残、亡以及违法违纪事件，均由乙方承担一切经济、法律责任，甲方概不负责。</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4.2.3乙方的安全防护措施必须切实到位，杜绝工程质量事故、人身和财产伤亡事故（含第三者人身和财产）等的发生。因安全事故和因质量瑕疵等非甲方原因而造成的所有损失由乙方承担。甲方若为此承担任何责任的，甲方有权在支付给乙方的任何款项中直接扣除有关费用，若尚不足偿付甲方损失的，甲方有权进一步向乙方追偿。</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4.2.4施工中的建筑垃圾由乙方自行清除。乙方在清理建筑垃圾时必须严格遵守安全文明施工，严禁高空抛物等安全文明施工管理规定，否则，因非甲方原因造成的安全事故（含第三者财产人身安全）由乙方承担。甲方由此承担任何责任的，甲方有权在支付给乙方的任何款项中直接扣除有关费用，若尚不足偿付甲方损失的，甲方有权进一步向乙方追偿。</w:t>
      </w:r>
    </w:p>
    <w:p>
      <w:pPr>
        <w:spacing w:line="500" w:lineRule="exact"/>
        <w:ind w:firstLine="480" w:firstLineChars="200"/>
        <w:rPr>
          <w:rFonts w:hint="eastAsia" w:ascii="微软雅黑" w:hAnsi="微软雅黑" w:eastAsia="微软雅黑" w:cs="微软雅黑"/>
          <w:b/>
        </w:rPr>
      </w:pPr>
      <w:bookmarkStart w:id="167" w:name="_Toc12172"/>
      <w:bookmarkStart w:id="168" w:name="_Toc24528"/>
      <w:bookmarkStart w:id="169" w:name="_Toc19674"/>
      <w:r>
        <w:rPr>
          <w:rFonts w:hint="eastAsia" w:ascii="微软雅黑" w:hAnsi="微软雅黑" w:eastAsia="微软雅黑" w:cs="微软雅黑"/>
          <w:b/>
        </w:rPr>
        <w:t>五</w:t>
      </w:r>
      <w:r>
        <w:rPr>
          <w:rFonts w:hint="eastAsia" w:ascii="微软雅黑" w:hAnsi="微软雅黑" w:eastAsia="微软雅黑" w:cs="微软雅黑"/>
        </w:rPr>
        <w:t>、</w:t>
      </w:r>
      <w:r>
        <w:rPr>
          <w:rFonts w:hint="eastAsia" w:ascii="微软雅黑" w:hAnsi="微软雅黑" w:eastAsia="微软雅黑" w:cs="微软雅黑"/>
          <w:b/>
        </w:rPr>
        <w:t>甲、乙双方的责任</w:t>
      </w:r>
      <w:bookmarkEnd w:id="167"/>
      <w:bookmarkEnd w:id="168"/>
      <w:bookmarkEnd w:id="169"/>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5.1甲方责任</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5.1.1向乙方提供施工场地；</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5.1.2 按照合同及时支付工程款；</w:t>
      </w:r>
    </w:p>
    <w:p>
      <w:pPr>
        <w:spacing w:line="500" w:lineRule="exact"/>
        <w:ind w:firstLine="480" w:firstLineChars="200"/>
        <w:rPr>
          <w:rFonts w:hint="eastAsia" w:ascii="微软雅黑" w:hAnsi="微软雅黑" w:eastAsia="微软雅黑" w:cs="微软雅黑"/>
          <w:sz w:val="21"/>
        </w:rPr>
      </w:pPr>
      <w:r>
        <w:rPr>
          <w:rFonts w:hint="eastAsia" w:ascii="微软雅黑" w:hAnsi="微软雅黑" w:eastAsia="微软雅黑" w:cs="微软雅黑"/>
        </w:rPr>
        <w:t>5.1.3检查监督乙方的施工进度和施工质量。</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5.2乙方责任</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5.2.1 按合同约定、相关技术指标和施工图纸规范要求精心施工并通过工程验收。</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5.2.2 负责该项目工程施工，以及竣工交付前成品的保护，负责承担施工过程中的一切安全质量事故责任，因非甲方原因造成的各种损失及费用由乙方承担。</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5.2.3 确保在规定时间内完成合同约定的所有内容，满足设计要求，确保工程达到相关部门验收合格标准。</w:t>
      </w:r>
    </w:p>
    <w:p>
      <w:pPr>
        <w:spacing w:line="500" w:lineRule="exact"/>
        <w:ind w:firstLine="480" w:firstLineChars="200"/>
        <w:rPr>
          <w:rFonts w:hint="eastAsia" w:ascii="微软雅黑" w:hAnsi="微软雅黑" w:eastAsia="微软雅黑" w:cs="微软雅黑"/>
          <w:sz w:val="21"/>
        </w:rPr>
      </w:pPr>
      <w:r>
        <w:rPr>
          <w:rFonts w:hint="eastAsia" w:ascii="微软雅黑" w:hAnsi="微软雅黑" w:eastAsia="微软雅黑" w:cs="微软雅黑"/>
        </w:rPr>
        <w:t>5.2.4 质保期内出现任何质量问题，乙方应在48小内到场负责维修并承担维修过程中的一切费用，质保内容包括施工图纸及工程量清单的所有内容，质保期自工程竣工验收合格之日起计算。</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5.2.5 遵守甲方在现场的各项管理制度，与甲方现场代表及时沟通协调，以保证工程顺利开展。</w:t>
      </w:r>
    </w:p>
    <w:p>
      <w:pPr>
        <w:spacing w:line="500" w:lineRule="exact"/>
        <w:ind w:firstLine="480" w:firstLineChars="200"/>
        <w:rPr>
          <w:rFonts w:hint="eastAsia" w:ascii="微软雅黑" w:hAnsi="微软雅黑" w:eastAsia="微软雅黑" w:cs="微软雅黑"/>
          <w:sz w:val="21"/>
        </w:rPr>
      </w:pPr>
      <w:r>
        <w:rPr>
          <w:rFonts w:hint="eastAsia" w:ascii="微软雅黑" w:hAnsi="微软雅黑" w:eastAsia="微软雅黑" w:cs="微软雅黑"/>
        </w:rPr>
        <w:t>5.2.6乙方必须按时全额支付工人的人工工资、材料款。如发生拖欠导致的投诉，如查实后，乙方同意甲方有权从未付工程款中予以扣除，并用于直接支付拖欠工资和材料款等；</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5.2.7由乙方负责做好施工场地和周围地上及地下管线等设施、施工所用市政设施（道路、桥梁、给排水管网等）、邻近建筑物、构筑物（含文物保护建筑）、文物、青苗、古树名木等的保护工作，其费用由乙方承担，甲方不再另行支付。如果因非甲方的原因对以上事项造成损坏或人员伤亡，由此造成的法律责任和经济责任均由乙方自行承担。</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5.2.8乙方负责</w:t>
      </w:r>
      <w:r>
        <w:rPr>
          <w:rFonts w:hint="eastAsia" w:ascii="微软雅黑" w:hAnsi="微软雅黑" w:eastAsia="微软雅黑" w:cs="微软雅黑"/>
          <w:lang w:val="en-GB"/>
        </w:rPr>
        <w:t>收边、收口，对损坏工程进行修复，并承担相应费用。</w:t>
      </w:r>
    </w:p>
    <w:p>
      <w:pPr>
        <w:spacing w:line="500" w:lineRule="exact"/>
        <w:ind w:firstLine="480" w:firstLineChars="200"/>
        <w:rPr>
          <w:rFonts w:hint="eastAsia" w:ascii="微软雅黑" w:hAnsi="微软雅黑" w:eastAsia="微软雅黑" w:cs="微软雅黑"/>
          <w:b/>
        </w:rPr>
      </w:pPr>
      <w:bookmarkStart w:id="170" w:name="_Toc413"/>
      <w:bookmarkStart w:id="171" w:name="_Toc11490"/>
      <w:bookmarkStart w:id="172" w:name="_Toc5251"/>
      <w:r>
        <w:rPr>
          <w:rFonts w:hint="eastAsia" w:ascii="微软雅黑" w:hAnsi="微软雅黑" w:eastAsia="微软雅黑" w:cs="微软雅黑"/>
          <w:b/>
        </w:rPr>
        <w:t>六、工程材料供应及检查</w:t>
      </w:r>
      <w:bookmarkEnd w:id="170"/>
      <w:bookmarkEnd w:id="171"/>
      <w:bookmarkEnd w:id="172"/>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6.1用于本工程的材料应按工程量清单质量合格的要求。</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6.2本工程所有材料由乙方根据合同要求自行购买。</w:t>
      </w:r>
    </w:p>
    <w:p>
      <w:pPr>
        <w:widowControl w:val="0"/>
        <w:numPr>
          <w:ilvl w:val="0"/>
          <w:numId w:val="7"/>
        </w:numPr>
        <w:spacing w:line="500" w:lineRule="exact"/>
        <w:ind w:firstLine="480" w:firstLineChars="200"/>
        <w:jc w:val="both"/>
        <w:rPr>
          <w:rFonts w:hint="eastAsia" w:ascii="微软雅黑" w:hAnsi="微软雅黑" w:eastAsia="微软雅黑" w:cs="微软雅黑"/>
        </w:rPr>
      </w:pPr>
      <w:bookmarkStart w:id="173" w:name="_Toc2760"/>
      <w:bookmarkStart w:id="174" w:name="_Toc19537"/>
      <w:bookmarkStart w:id="175" w:name="_Toc6912"/>
      <w:r>
        <w:rPr>
          <w:rFonts w:hint="eastAsia" w:ascii="微软雅黑" w:hAnsi="微软雅黑" w:eastAsia="微软雅黑" w:cs="微软雅黑"/>
          <w:b/>
        </w:rPr>
        <w:t>合同价款</w:t>
      </w:r>
      <w:bookmarkEnd w:id="173"/>
      <w:bookmarkEnd w:id="174"/>
      <w:bookmarkEnd w:id="175"/>
    </w:p>
    <w:p>
      <w:pPr>
        <w:pStyle w:val="98"/>
        <w:spacing w:before="46" w:line="500" w:lineRule="exact"/>
        <w:ind w:left="420" w:right="83" w:firstLine="105"/>
        <w:jc w:val="left"/>
        <w:rPr>
          <w:rFonts w:hint="eastAsia" w:ascii="微软雅黑" w:hAnsi="微软雅黑" w:eastAsia="微软雅黑" w:cs="微软雅黑"/>
          <w:sz w:val="24"/>
        </w:rPr>
      </w:pPr>
      <w:r>
        <w:rPr>
          <w:rFonts w:hint="eastAsia" w:ascii="微软雅黑" w:hAnsi="微软雅黑" w:eastAsia="微软雅黑" w:cs="微软雅黑"/>
          <w:sz w:val="24"/>
        </w:rPr>
        <w:t>7.1本合同暂定合同金额：</w:t>
      </w:r>
      <w:r>
        <w:rPr>
          <w:rFonts w:hint="eastAsia" w:ascii="微软雅黑" w:hAnsi="微软雅黑" w:eastAsia="微软雅黑" w:cs="微软雅黑"/>
          <w:b/>
          <w:sz w:val="24"/>
          <w:u w:val="single"/>
        </w:rPr>
        <w:t xml:space="preserve">     </w:t>
      </w:r>
      <w:r>
        <w:rPr>
          <w:rFonts w:hint="eastAsia" w:ascii="微软雅黑" w:hAnsi="微软雅黑" w:eastAsia="微软雅黑" w:cs="微软雅黑"/>
          <w:b/>
          <w:sz w:val="24"/>
          <w:szCs w:val="22"/>
          <w:u w:val="single"/>
        </w:rPr>
        <w:t>，</w:t>
      </w:r>
      <w:r>
        <w:rPr>
          <w:rFonts w:hint="eastAsia" w:ascii="微软雅黑" w:hAnsi="微软雅黑" w:eastAsia="微软雅黑" w:cs="微软雅黑"/>
          <w:sz w:val="24"/>
        </w:rPr>
        <w:t>最终以的结算审定金额为准。</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lang w:val="en-GB"/>
        </w:rPr>
        <w:t>7.2以上</w:t>
      </w:r>
      <w:r>
        <w:rPr>
          <w:rFonts w:hint="eastAsia" w:ascii="微软雅黑" w:hAnsi="微软雅黑" w:eastAsia="微软雅黑" w:cs="微软雅黑"/>
        </w:rPr>
        <w:t>价格</w:t>
      </w:r>
      <w:r>
        <w:rPr>
          <w:rFonts w:hint="eastAsia" w:ascii="微软雅黑" w:hAnsi="微软雅黑" w:eastAsia="微软雅黑" w:cs="微软雅黑"/>
          <w:lang w:val="en-GB"/>
        </w:rPr>
        <w:t>包括：</w:t>
      </w:r>
      <w:r>
        <w:rPr>
          <w:rFonts w:hint="eastAsia" w:ascii="微软雅黑" w:hAnsi="微软雅黑" w:eastAsia="微软雅黑" w:cs="微软雅黑"/>
        </w:rPr>
        <w:t>完成该本项目所需的人工费、材料费、施工机具使用费、企业管理费、利润、风险费、措施费、规费、税金等所有费用。</w:t>
      </w:r>
    </w:p>
    <w:p>
      <w:pPr>
        <w:widowControl w:val="0"/>
        <w:numPr>
          <w:ilvl w:val="0"/>
          <w:numId w:val="7"/>
        </w:numPr>
        <w:spacing w:line="500" w:lineRule="exact"/>
        <w:ind w:firstLine="480" w:firstLineChars="200"/>
        <w:jc w:val="both"/>
        <w:rPr>
          <w:rFonts w:hint="eastAsia" w:ascii="微软雅黑" w:hAnsi="微软雅黑" w:eastAsia="微软雅黑" w:cs="微软雅黑"/>
          <w:b/>
        </w:rPr>
      </w:pPr>
      <w:bookmarkStart w:id="176" w:name="_Toc11892"/>
      <w:bookmarkStart w:id="177" w:name="_Toc2094"/>
      <w:bookmarkStart w:id="178" w:name="_Toc28302"/>
      <w:r>
        <w:rPr>
          <w:rFonts w:hint="eastAsia" w:ascii="微软雅黑" w:hAnsi="微软雅黑" w:eastAsia="微软雅黑" w:cs="微软雅黑"/>
          <w:b/>
        </w:rPr>
        <w:t>竣工结算原则：</w:t>
      </w:r>
      <w:bookmarkEnd w:id="176"/>
      <w:bookmarkEnd w:id="177"/>
      <w:bookmarkEnd w:id="178"/>
    </w:p>
    <w:p>
      <w:pPr>
        <w:spacing w:line="500" w:lineRule="exact"/>
        <w:ind w:firstLine="480" w:firstLineChars="200"/>
        <w:rPr>
          <w:rFonts w:hint="eastAsia" w:ascii="微软雅黑" w:hAnsi="微软雅黑" w:eastAsia="微软雅黑" w:cs="微软雅黑"/>
        </w:rPr>
      </w:pPr>
      <w:bookmarkStart w:id="179" w:name="_Toc9543"/>
      <w:bookmarkStart w:id="180" w:name="_Toc9374"/>
      <w:bookmarkStart w:id="181" w:name="_Toc133"/>
      <w:r>
        <w:rPr>
          <w:rFonts w:hint="eastAsia" w:ascii="微软雅黑" w:hAnsi="微软雅黑" w:eastAsia="微软雅黑" w:cs="微软雅黑"/>
        </w:rPr>
        <w:t>结算原则：结算总价=分部分项工程量清单结算价±设计变更、招标工程量清单漏项或新增项目价款结算金额±其他项目清单结算金额±合同约定其他费用。各部分的结算原则如下。</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1.分部分项工程量清单结算价</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（1）以成交供应商实际完成工程量为依据，由成交供应商报送，经采购人审核后批准的实际完成工程量乘成交供应商最后报价时的分部分项工程量清单中子项全费用综合单价。</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（2）实际完成工程量与比选工程量清单出现偏差，以实际完成工程量结算，分部分项工程量清单中子项全费用综合单价按成交供应商最后报价时的全费用综合单价结算，不作调整。</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2.措施费</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 xml:space="preserve">工程竣工结算时安全文明施工费按（按渝建发[2014]25号文、渝建发[2018]29号、渝建[2019]143号）、渝建管[2020]97号）《重庆市建设工程费用定额》CQFYDE-2018文件的相关规定与本工程招标文件的相关规定，合格标准计取按实调整。安全文明施工综合评定结果为不合格，则不计取。    </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3.设计变更及调整、工程量清单漏、缺项目、施工过程中出现新增项目（含招标范围以外的项目）价款结算办法：</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工程设计变更确定后，设计变更涉及工程价款调整的，或采购工程量清单中有漏项或工程施工中出现新增项目，由成交供应商在变更项目启动后向采购人提出，经采购人、监理人(有监理单位的情况下)及跟审单位(有跟审单位的情况下)审核同意后调整合同价款。调整方法如下：</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 xml:space="preserve">变更(包括签证)工程与投标报价的工程量清单中有相同的子项，原则上按投标时的相同子项的成交全费用综合单价报价执行；如投标报价中相同子项的成交全费用综合单价明显高于市场价格，其全费用综合单价需由成交供应商报送采购人重新审核，以采购人、监理人(有监理单位的情况下)及跟审单位(有跟审单位的情况下)的审定的全费用综合单价执行。 </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 xml:space="preserve">变更(包括签证)工程与投标报价的工程量清单中有类似子项的，原则上按投标时的类似子项的成交全费用综合单价报价执行；如投标报价中类似子项的成交全费用综合单价明显高于市场价格，其全费用综合单价需由成交供应商报送采购人重新审核，以采购人、监理人(有监理单位的情况下)及跟审单位(有跟审单位的情况下)的审定的全费用综合单价执行。    </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变更(包括签证)工程与工程量清单中无相同子项或类似子项的，按照《建设工程工程量清单计价规范》(GB50500-2013)、《重庆市建设工程工程量清单计价规则》(CQJJGZ-2013)、《重庆市房屋建筑与装饰工程计价定额》(CQJZZSDE-2018)、《重庆市 市政工程计价定额》(CQSZDE-2018)、《重庆市安装工程计价定额》(CQAZDE-2018)、《重庆市建设工程费用定额》(CQFYDE-2018)、《混凝土及砂浆配合比表、施工机械台班定额》(CQPSDE-2018) 及相关配套文件的规定进行组价(其中材料及人工费成交价中有的按成交价计算；成交价中没有的材料单价按施工期间重庆市建设工程造价总站主办的《重庆工程造价》公布的信息价算数平均值执行；成交价及《重庆工程造价》中均没有的材料由采购人、监理人(有监理单位的情况下)及跟审单位(有跟审单位的情况下)认质核价后，按核定的材料价格执行),组价后按成交价与最高限价下浮比例下浮后进入结算(其中按市场价计入的材料单价或综合单价不下浮)。</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A、材料由成交人进行采购，其中工程的主要材料部分采购前需报监理人(有监理单位的情况下)及跟审单位(有跟审单位的情况下)和采购人核质核价后再行采购，按结算评审部门审定后价格进行结算；如《重庆工程造价》中有的材料，核定价不得高于施工期间《重庆工程造价》信息价的算术平均值。</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B、人工工日单价按投标报价中的人工工日单价执行，投标报价中没有的人工工日单价则按施工期间《重庆工程造价》公布的主城区人工指导价的算术平均值执行。</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④变更工程量按《重庆市建设工程工程量计算规则》(CQJLGZ-2013)的规定的计量规则计算。</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4.其他项目清单结算金额</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（1）本工程材料采用暂估价格比选的，结算时则按经采购人认质核价后的材料价格进行结算，该项综合单价只调整材料价差、其他费用均不作调整。</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（2）本工程采用专业工程暂估价或暂列金额比选的，结算时按专用合同条款对应约定执行。</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5.规费：已标价工程量清单中规费费用按《重庆市建设工程费用定额》（CQFYDE-2018）执行。</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6.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7.合同约定其他费用：根据双方约定执行。</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8.竣工结算价</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以结算终审金额作为合同竣工结算价。</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结算初审金额：采购人审核的结算价。</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结算终审金额：如采购人收到重庆市财政局通知需要对工程结算进行审核或审计的，则双方同意以重庆市财政局或其委托的审计机构对工程结算的审核或审计结果作为最终结算依据，并在重庆市财政局或其委托的审计机构出具正式报告后完成工程结算审核；若无重庆市财政局审核或审计，则双方同意以采购人审定的结果作为最终结算依据；如遇政策调整，按最新政策执行。</w:t>
      </w:r>
    </w:p>
    <w:p>
      <w:pPr>
        <w:widowControl w:val="0"/>
        <w:numPr>
          <w:ilvl w:val="0"/>
          <w:numId w:val="7"/>
        </w:numPr>
        <w:spacing w:line="500" w:lineRule="exact"/>
        <w:ind w:firstLine="480" w:firstLineChars="200"/>
        <w:jc w:val="both"/>
        <w:rPr>
          <w:rFonts w:hint="eastAsia" w:ascii="微软雅黑" w:hAnsi="微软雅黑" w:eastAsia="微软雅黑" w:cs="微软雅黑"/>
          <w:b/>
        </w:rPr>
      </w:pPr>
      <w:r>
        <w:rPr>
          <w:rFonts w:hint="eastAsia" w:ascii="微软雅黑" w:hAnsi="微软雅黑" w:eastAsia="微软雅黑" w:cs="微软雅黑"/>
          <w:b/>
        </w:rPr>
        <w:t>付款方式：</w:t>
      </w:r>
      <w:bookmarkEnd w:id="179"/>
      <w:bookmarkEnd w:id="180"/>
      <w:bookmarkEnd w:id="181"/>
    </w:p>
    <w:p>
      <w:pPr>
        <w:numPr>
          <w:ilvl w:val="0"/>
          <w:numId w:val="0"/>
        </w:numPr>
        <w:snapToGrid w:val="0"/>
        <w:spacing w:line="360" w:lineRule="auto"/>
        <w:ind w:firstLine="480" w:firstLineChars="200"/>
        <w:rPr>
          <w:rFonts w:hint="eastAsia" w:ascii="微软雅黑" w:hAnsi="微软雅黑" w:eastAsia="微软雅黑" w:cs="微软雅黑"/>
          <w:sz w:val="24"/>
          <w:szCs w:val="24"/>
        </w:rPr>
      </w:pPr>
      <w:bookmarkStart w:id="182" w:name="_Toc13158"/>
      <w:bookmarkStart w:id="183" w:name="_Toc3450"/>
      <w:bookmarkStart w:id="184" w:name="_Toc8107"/>
      <w:r>
        <w:rPr>
          <w:rFonts w:hint="eastAsia" w:ascii="微软雅黑" w:hAnsi="微软雅黑" w:eastAsia="微软雅黑" w:cs="微软雅黑"/>
          <w:sz w:val="24"/>
          <w:szCs w:val="24"/>
        </w:rPr>
        <w:t>按预付工程款</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0%，</w:t>
      </w:r>
      <w:r>
        <w:rPr>
          <w:rFonts w:hint="eastAsia" w:ascii="微软雅黑" w:hAnsi="微软雅黑" w:eastAsia="微软雅黑" w:cs="微软雅黑"/>
          <w:sz w:val="24"/>
          <w:szCs w:val="24"/>
          <w:lang w:val="en-US" w:eastAsia="zh-CN"/>
        </w:rPr>
        <w:t>完工</w:t>
      </w:r>
      <w:r>
        <w:rPr>
          <w:rFonts w:hint="eastAsia" w:ascii="微软雅黑" w:hAnsi="微软雅黑" w:eastAsia="微软雅黑" w:cs="微软雅黑"/>
          <w:sz w:val="24"/>
          <w:szCs w:val="24"/>
        </w:rPr>
        <w:t>款</w:t>
      </w:r>
      <w:r>
        <w:rPr>
          <w:rFonts w:hint="eastAsia" w:ascii="微软雅黑" w:hAnsi="微软雅黑" w:eastAsia="微软雅黑" w:cs="微软雅黑"/>
          <w:sz w:val="24"/>
          <w:szCs w:val="24"/>
          <w:lang w:val="en-US" w:eastAsia="zh-CN"/>
        </w:rPr>
        <w:t>60</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竣工验收款17%</w:t>
      </w:r>
      <w:r>
        <w:rPr>
          <w:rFonts w:hint="eastAsia" w:ascii="微软雅黑" w:hAnsi="微软雅黑" w:eastAsia="微软雅黑" w:cs="微软雅黑"/>
          <w:sz w:val="24"/>
          <w:szCs w:val="24"/>
        </w:rPr>
        <w:t>的方式进行支付。</w:t>
      </w:r>
    </w:p>
    <w:p>
      <w:pPr>
        <w:numPr>
          <w:ilvl w:val="0"/>
          <w:numId w:val="0"/>
        </w:numPr>
        <w:snapToGrid w:val="0"/>
        <w:spacing w:line="360"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9.1</w:t>
      </w:r>
      <w:r>
        <w:rPr>
          <w:rFonts w:hint="eastAsia" w:ascii="微软雅黑" w:hAnsi="微软雅黑" w:eastAsia="微软雅黑" w:cs="微软雅黑"/>
          <w:color w:val="000000" w:themeColor="text1"/>
          <w:sz w:val="24"/>
          <w:szCs w:val="24"/>
          <w:highlight w:val="none"/>
          <w14:textFill>
            <w14:solidFill>
              <w14:schemeClr w14:val="tx1"/>
            </w14:solidFill>
          </w14:textFill>
        </w:rPr>
        <w:t>预付款支付：合同正式签订后，供应商提供合规发票后，采购人在</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highlight w:val="none"/>
          <w14:textFill>
            <w14:solidFill>
              <w14:schemeClr w14:val="tx1"/>
            </w14:solidFill>
          </w14:textFill>
        </w:rPr>
        <w:t>个工作日内支付预付款。</w:t>
      </w:r>
    </w:p>
    <w:p>
      <w:pPr>
        <w:numPr>
          <w:ilvl w:val="0"/>
          <w:numId w:val="0"/>
        </w:numPr>
        <w:snapToGrid w:val="0"/>
        <w:spacing w:line="360"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9.2完工款支付：工程完工验收合格并出具验收报告后，</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供应商提供合规发票后，采购人在</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highlight w:val="none"/>
          <w14:textFill>
            <w14:solidFill>
              <w14:schemeClr w14:val="tx1"/>
            </w14:solidFill>
          </w14:textFill>
        </w:rPr>
        <w:t>个工作日内支付</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完工</w:t>
      </w:r>
      <w:r>
        <w:rPr>
          <w:rFonts w:hint="eastAsia" w:ascii="微软雅黑" w:hAnsi="微软雅黑" w:eastAsia="微软雅黑" w:cs="微软雅黑"/>
          <w:color w:val="000000" w:themeColor="text1"/>
          <w:sz w:val="24"/>
          <w:szCs w:val="24"/>
          <w:highlight w:val="none"/>
          <w14:textFill>
            <w14:solidFill>
              <w14:schemeClr w14:val="tx1"/>
            </w14:solidFill>
          </w14:textFill>
        </w:rPr>
        <w:t>款。</w:t>
      </w:r>
    </w:p>
    <w:p>
      <w:pPr>
        <w:numPr>
          <w:ilvl w:val="255"/>
          <w:numId w:val="0"/>
        </w:numPr>
        <w:snapToGrid w:val="0"/>
        <w:spacing w:line="360"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9.3</w:t>
      </w:r>
      <w:r>
        <w:rPr>
          <w:rFonts w:hint="eastAsia" w:ascii="微软雅黑" w:hAnsi="微软雅黑" w:eastAsia="微软雅黑" w:cs="微软雅黑"/>
          <w:color w:val="000000" w:themeColor="text1"/>
          <w:sz w:val="24"/>
          <w:szCs w:val="24"/>
          <w:highlight w:val="none"/>
          <w14:textFill>
            <w14:solidFill>
              <w14:schemeClr w14:val="tx1"/>
            </w14:solidFill>
          </w14:textFill>
        </w:rPr>
        <w:t>竣工验收款：项目竣工验收合格，并完成相关手续办理，提交全套完整竣工资料、验收合格证明文件及发票后支付。</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9.4</w:t>
      </w:r>
      <w:r>
        <w:rPr>
          <w:rFonts w:hint="eastAsia" w:ascii="微软雅黑" w:hAnsi="微软雅黑" w:eastAsia="微软雅黑" w:cs="微软雅黑"/>
          <w:color w:val="000000" w:themeColor="text1"/>
          <w:sz w:val="24"/>
          <w:szCs w:val="24"/>
          <w:highlight w:val="none"/>
          <w14:textFill>
            <w14:solidFill>
              <w14:schemeClr w14:val="tx1"/>
            </w14:solidFill>
          </w14:textFill>
        </w:rPr>
        <w:t>余下</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14:textFill>
            <w14:solidFill>
              <w14:schemeClr w14:val="tx1"/>
            </w14:solidFill>
          </w14:textFill>
        </w:rPr>
        <w:t>%作为施工项目质量保证金；待质保期周期满后，无任何质量问题，乙</w:t>
      </w:r>
      <w:r>
        <w:rPr>
          <w:rFonts w:hint="eastAsia" w:ascii="微软雅黑" w:hAnsi="微软雅黑" w:eastAsia="微软雅黑" w:cs="微软雅黑"/>
          <w:sz w:val="24"/>
          <w:szCs w:val="24"/>
        </w:rPr>
        <w:t>方提交付款申请和发票后一次性无息付清。质保期从验收合格之日起算。</w:t>
      </w:r>
    </w:p>
    <w:p>
      <w:pPr>
        <w:spacing w:line="500" w:lineRule="exact"/>
        <w:ind w:firstLine="480" w:firstLineChars="200"/>
        <w:rPr>
          <w:rFonts w:hint="eastAsia" w:ascii="微软雅黑" w:hAnsi="微软雅黑" w:eastAsia="微软雅黑" w:cs="微软雅黑"/>
          <w:b/>
        </w:rPr>
      </w:pPr>
      <w:r>
        <w:rPr>
          <w:rFonts w:hint="eastAsia" w:ascii="微软雅黑" w:hAnsi="微软雅黑" w:eastAsia="微软雅黑" w:cs="微软雅黑"/>
          <w:b/>
        </w:rPr>
        <w:t>十、保险</w:t>
      </w:r>
      <w:bookmarkEnd w:id="182"/>
      <w:bookmarkEnd w:id="183"/>
      <w:bookmarkEnd w:id="184"/>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10.1甲方、乙方双方按规定办理相关保险业务，并各自承担相应费用和各自获取保险受益。</w:t>
      </w:r>
    </w:p>
    <w:p>
      <w:pPr>
        <w:spacing w:line="500" w:lineRule="exact"/>
        <w:ind w:firstLine="480" w:firstLineChars="200"/>
        <w:rPr>
          <w:rFonts w:hint="eastAsia" w:ascii="微软雅黑" w:hAnsi="微软雅黑" w:eastAsia="微软雅黑" w:cs="微软雅黑"/>
          <w:b/>
        </w:rPr>
      </w:pPr>
      <w:bookmarkStart w:id="185" w:name="_Toc4683"/>
      <w:bookmarkStart w:id="186" w:name="_Toc7728"/>
      <w:bookmarkStart w:id="187" w:name="_Toc22604"/>
      <w:r>
        <w:rPr>
          <w:rFonts w:hint="eastAsia" w:ascii="微软雅黑" w:hAnsi="微软雅黑" w:eastAsia="微软雅黑" w:cs="微软雅黑"/>
          <w:b/>
        </w:rPr>
        <w:t>十一、违约及违约处理</w:t>
      </w:r>
      <w:bookmarkEnd w:id="185"/>
      <w:bookmarkEnd w:id="186"/>
      <w:bookmarkEnd w:id="187"/>
    </w:p>
    <w:p>
      <w:pPr>
        <w:spacing w:line="500" w:lineRule="exact"/>
        <w:ind w:firstLine="504" w:firstLineChars="200"/>
        <w:rPr>
          <w:rFonts w:hint="eastAsia" w:ascii="微软雅黑" w:hAnsi="微软雅黑" w:eastAsia="微软雅黑" w:cs="微软雅黑"/>
          <w:spacing w:val="6"/>
        </w:rPr>
      </w:pPr>
      <w:r>
        <w:rPr>
          <w:rFonts w:hint="eastAsia" w:ascii="微软雅黑" w:hAnsi="微软雅黑" w:eastAsia="微软雅黑" w:cs="微软雅黑"/>
          <w:spacing w:val="6"/>
        </w:rPr>
        <w:t>11．1乙方如有下列行为之一，甲方有权给予乙方处罚，由此给甲方造成的一切损失，由乙方承担：</w:t>
      </w:r>
    </w:p>
    <w:p>
      <w:pPr>
        <w:spacing w:line="500" w:lineRule="exact"/>
        <w:ind w:firstLine="480" w:firstLineChars="200"/>
        <w:rPr>
          <w:rFonts w:hint="eastAsia" w:ascii="微软雅黑" w:hAnsi="微软雅黑" w:eastAsia="微软雅黑" w:cs="微软雅黑"/>
          <w:color w:val="000000" w:themeColor="text1"/>
          <w:sz w:val="2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11.1.1乙方未在合同约定的工期完成工程施工和验收，或以任何理由和借口拖延交付，每延误一天乙方向甲方支付合同价</w:t>
      </w:r>
      <w:r>
        <w:rPr>
          <w:rFonts w:hint="eastAsia" w:ascii="微软雅黑" w:hAnsi="微软雅黑" w:eastAsia="微软雅黑" w:cs="微软雅黑"/>
          <w:color w:val="000000" w:themeColor="text1"/>
          <w:u w:val="single"/>
          <w14:textFill>
            <w14:solidFill>
              <w14:schemeClr w14:val="tx1"/>
            </w14:solidFill>
          </w14:textFill>
        </w:rPr>
        <w:t xml:space="preserve">  </w:t>
      </w:r>
      <w:r>
        <w:rPr>
          <w:rFonts w:hint="eastAsia" w:ascii="微软雅黑" w:hAnsi="微软雅黑" w:eastAsia="微软雅黑" w:cs="微软雅黑"/>
          <w:color w:val="000000" w:themeColor="text1"/>
          <w:u w:val="single"/>
          <w:lang w:val="en-US" w:eastAsia="zh-CN"/>
          <w14:textFill>
            <w14:solidFill>
              <w14:schemeClr w14:val="tx1"/>
            </w14:solidFill>
          </w14:textFill>
        </w:rPr>
        <w:t>1</w:t>
      </w:r>
      <w:r>
        <w:rPr>
          <w:rFonts w:hint="eastAsia" w:ascii="微软雅黑" w:hAnsi="微软雅黑" w:eastAsia="微软雅黑" w:cs="微软雅黑"/>
          <w:color w:val="000000" w:themeColor="text1"/>
          <w:u w:val="single"/>
          <w14:textFill>
            <w14:solidFill>
              <w14:schemeClr w14:val="tx1"/>
            </w14:solidFill>
          </w14:textFill>
        </w:rPr>
        <w:t xml:space="preserve">  </w:t>
      </w:r>
      <w:r>
        <w:rPr>
          <w:rFonts w:hint="eastAsia" w:ascii="微软雅黑" w:hAnsi="微软雅黑" w:eastAsia="微软雅黑" w:cs="微软雅黑"/>
          <w:color w:val="000000" w:themeColor="text1"/>
          <w14:textFill>
            <w14:solidFill>
              <w14:schemeClr w14:val="tx1"/>
            </w14:solidFill>
          </w14:textFill>
        </w:rPr>
        <w:t>%的违约金，甲方有权在未付的合同价款中扣除。若乙方逾期10日完成施工和验收，甲方有权解除合同，并有权要求乙方赔偿由此给甲方造成的一切损失。</w:t>
      </w:r>
    </w:p>
    <w:p>
      <w:pPr>
        <w:spacing w:line="500" w:lineRule="exact"/>
        <w:ind w:firstLine="504" w:firstLineChars="200"/>
        <w:rPr>
          <w:rFonts w:hint="eastAsia" w:ascii="微软雅黑" w:hAnsi="微软雅黑" w:eastAsia="微软雅黑" w:cs="微软雅黑"/>
          <w:spacing w:val="6"/>
        </w:rPr>
      </w:pPr>
      <w:r>
        <w:rPr>
          <w:rFonts w:hint="eastAsia" w:ascii="微软雅黑" w:hAnsi="微软雅黑" w:eastAsia="微软雅黑" w:cs="微软雅黑"/>
          <w:spacing w:val="6"/>
        </w:rPr>
        <w:t>11.1.2乙方出现重大失误、错误、质量安全事故的，甲方有权对乙方处以本次造成损失金额的</w:t>
      </w:r>
      <w:r>
        <w:rPr>
          <w:rFonts w:hint="eastAsia" w:ascii="微软雅黑" w:hAnsi="微软雅黑" w:eastAsia="微软雅黑" w:cs="微软雅黑"/>
          <w:spacing w:val="6"/>
          <w:u w:val="single"/>
        </w:rPr>
        <w:t xml:space="preserve"> 10 </w:t>
      </w:r>
      <w:r>
        <w:rPr>
          <w:rFonts w:hint="eastAsia" w:ascii="微软雅黑" w:hAnsi="微软雅黑" w:eastAsia="微软雅黑" w:cs="微软雅黑"/>
          <w:spacing w:val="6"/>
        </w:rPr>
        <w:t>%的违约金，并有权要求乙方赔偿由此给甲方造成的一切损失。</w:t>
      </w:r>
    </w:p>
    <w:p>
      <w:pPr>
        <w:spacing w:line="500" w:lineRule="exact"/>
        <w:ind w:firstLine="504" w:firstLineChars="200"/>
        <w:rPr>
          <w:rFonts w:hint="eastAsia" w:ascii="微软雅黑" w:hAnsi="微软雅黑" w:eastAsia="微软雅黑" w:cs="微软雅黑"/>
          <w:spacing w:val="6"/>
        </w:rPr>
      </w:pPr>
      <w:r>
        <w:rPr>
          <w:rFonts w:hint="eastAsia" w:ascii="微软雅黑" w:hAnsi="微软雅黑" w:eastAsia="微软雅黑" w:cs="微软雅黑"/>
          <w:spacing w:val="6"/>
        </w:rPr>
        <w:t>11.1.3乙方将工程违法分包转包或将关键性、主体性工程分包的，应向甲方支付合同价款</w:t>
      </w:r>
      <w:r>
        <w:rPr>
          <w:rFonts w:hint="eastAsia" w:ascii="微软雅黑" w:hAnsi="微软雅黑" w:eastAsia="微软雅黑" w:cs="微软雅黑"/>
          <w:spacing w:val="6"/>
          <w:u w:val="single"/>
        </w:rPr>
        <w:t xml:space="preserve">  30  </w:t>
      </w:r>
      <w:r>
        <w:rPr>
          <w:rFonts w:hint="eastAsia" w:ascii="微软雅黑" w:hAnsi="微软雅黑" w:eastAsia="微软雅黑" w:cs="微软雅黑"/>
          <w:spacing w:val="6"/>
        </w:rPr>
        <w:t>%的违约金，甲方有权在应付合同包干工程款中扣除对应的金额并有权解除合同，由此造成的一切损失由乙方承担。</w:t>
      </w:r>
    </w:p>
    <w:p>
      <w:pPr>
        <w:spacing w:line="500" w:lineRule="exact"/>
        <w:ind w:firstLine="504" w:firstLineChars="200"/>
        <w:rPr>
          <w:rFonts w:hint="eastAsia" w:ascii="微软雅黑" w:hAnsi="微软雅黑" w:eastAsia="微软雅黑" w:cs="微软雅黑"/>
          <w:spacing w:val="6"/>
        </w:rPr>
      </w:pPr>
      <w:r>
        <w:rPr>
          <w:rFonts w:hint="eastAsia" w:ascii="微软雅黑" w:hAnsi="微软雅黑" w:eastAsia="微软雅黑" w:cs="微软雅黑"/>
          <w:spacing w:val="6"/>
        </w:rPr>
        <w:t>11.1.4甲方对乙方选择的分包人有否决权，乙方未经甲方同意将工程分包的，除与分包人承担连带责任外，还应支付合同金额</w:t>
      </w:r>
      <w:r>
        <w:rPr>
          <w:rFonts w:hint="eastAsia" w:ascii="微软雅黑" w:hAnsi="微软雅黑" w:eastAsia="微软雅黑" w:cs="微软雅黑"/>
          <w:spacing w:val="6"/>
          <w:u w:val="single"/>
        </w:rPr>
        <w:t xml:space="preserve"> 30</w:t>
      </w:r>
      <w:r>
        <w:rPr>
          <w:rFonts w:hint="eastAsia" w:ascii="微软雅黑" w:hAnsi="微软雅黑" w:eastAsia="微软雅黑" w:cs="微软雅黑"/>
          <w:spacing w:val="6"/>
        </w:rPr>
        <w:t>%的违约金，并向甲方赔偿由此造成的一切损失。</w:t>
      </w:r>
    </w:p>
    <w:p>
      <w:pPr>
        <w:spacing w:line="500" w:lineRule="exact"/>
        <w:ind w:firstLine="504" w:firstLineChars="200"/>
        <w:rPr>
          <w:rFonts w:hint="eastAsia" w:ascii="微软雅黑" w:hAnsi="微软雅黑" w:eastAsia="微软雅黑" w:cs="微软雅黑"/>
          <w:spacing w:val="6"/>
        </w:rPr>
      </w:pPr>
      <w:r>
        <w:rPr>
          <w:rFonts w:hint="eastAsia" w:ascii="微软雅黑" w:hAnsi="微软雅黑" w:eastAsia="微软雅黑" w:cs="微软雅黑"/>
          <w:spacing w:val="6"/>
        </w:rPr>
        <w:t>11.1.5乙方或其人员无正当理由不服从甲方管理或指挥的，按每人每次</w:t>
      </w:r>
      <w:r>
        <w:rPr>
          <w:rFonts w:hint="eastAsia" w:ascii="微软雅黑" w:hAnsi="微软雅黑" w:eastAsia="微软雅黑" w:cs="微软雅黑"/>
          <w:u w:val="single"/>
        </w:rPr>
        <w:t>￥</w:t>
      </w:r>
      <w:r>
        <w:rPr>
          <w:rFonts w:hint="eastAsia" w:ascii="微软雅黑" w:hAnsi="微软雅黑" w:eastAsia="微软雅黑" w:cs="微软雅黑"/>
          <w:spacing w:val="6"/>
          <w:u w:val="single"/>
        </w:rPr>
        <w:t>200~ 1000元</w:t>
      </w:r>
      <w:r>
        <w:rPr>
          <w:rFonts w:hint="eastAsia" w:ascii="微软雅黑" w:hAnsi="微软雅黑" w:eastAsia="微软雅黑" w:cs="微软雅黑"/>
          <w:spacing w:val="6"/>
        </w:rPr>
        <w:t>支付违约金，累计计算。</w:t>
      </w:r>
    </w:p>
    <w:p>
      <w:pPr>
        <w:spacing w:line="500" w:lineRule="exact"/>
        <w:ind w:firstLine="504" w:firstLineChars="200"/>
        <w:rPr>
          <w:rFonts w:hint="eastAsia" w:ascii="微软雅黑" w:hAnsi="微软雅黑" w:eastAsia="微软雅黑" w:cs="微软雅黑"/>
          <w:sz w:val="21"/>
        </w:rPr>
      </w:pPr>
      <w:r>
        <w:rPr>
          <w:rFonts w:hint="eastAsia" w:ascii="微软雅黑" w:hAnsi="微软雅黑" w:eastAsia="微软雅黑" w:cs="微软雅黑"/>
          <w:spacing w:val="6"/>
        </w:rPr>
        <w:t>11.1.6乙方未按约定保守甲方秘密，或未经甲方许可，乙方擅自泄露知悉的甲方相关信息、资料的，甲方将对乙方处以每次</w:t>
      </w:r>
      <w:r>
        <w:rPr>
          <w:rFonts w:hint="eastAsia" w:ascii="微软雅黑" w:hAnsi="微软雅黑" w:eastAsia="微软雅黑" w:cs="微软雅黑"/>
          <w:u w:val="single"/>
        </w:rPr>
        <w:t>￥</w:t>
      </w:r>
      <w:r>
        <w:rPr>
          <w:rFonts w:hint="eastAsia" w:ascii="微软雅黑" w:hAnsi="微软雅黑" w:eastAsia="微软雅黑" w:cs="微软雅黑"/>
          <w:spacing w:val="6"/>
          <w:u w:val="single"/>
        </w:rPr>
        <w:t>200～1000</w:t>
      </w:r>
      <w:r>
        <w:rPr>
          <w:rFonts w:hint="eastAsia" w:ascii="微软雅黑" w:hAnsi="微软雅黑" w:eastAsia="微软雅黑" w:cs="微软雅黑"/>
          <w:spacing w:val="6"/>
        </w:rPr>
        <w:t>元的罚金，累计计算。如果由此造成甲方损失的，甲方有权要求乙方进行损失赔偿。</w:t>
      </w:r>
    </w:p>
    <w:p>
      <w:pPr>
        <w:spacing w:line="500" w:lineRule="exact"/>
        <w:ind w:firstLine="504" w:firstLineChars="200"/>
        <w:rPr>
          <w:rFonts w:hint="eastAsia" w:ascii="微软雅黑" w:hAnsi="微软雅黑" w:eastAsia="微软雅黑" w:cs="微软雅黑"/>
          <w:spacing w:val="6"/>
        </w:rPr>
      </w:pPr>
      <w:r>
        <w:rPr>
          <w:rFonts w:hint="eastAsia" w:ascii="微软雅黑" w:hAnsi="微软雅黑" w:eastAsia="微软雅黑" w:cs="微软雅黑"/>
          <w:spacing w:val="6"/>
        </w:rPr>
        <w:t>11.1.7 如乙方未按合同约定支付供货方材料款，造成阻拦施工，所产生的一切损失及法律责任均由乙方自行承担；且甲方有权将欠付材料款直接支付给供货方，并从应付给乙方的合同包干工程款中予以扣除。</w:t>
      </w:r>
    </w:p>
    <w:p>
      <w:pPr>
        <w:spacing w:line="500" w:lineRule="exact"/>
        <w:ind w:firstLine="480" w:firstLineChars="200"/>
        <w:rPr>
          <w:rFonts w:hint="eastAsia" w:ascii="微软雅黑" w:hAnsi="微软雅黑" w:eastAsia="微软雅黑" w:cs="微软雅黑"/>
          <w:b/>
        </w:rPr>
      </w:pPr>
      <w:bookmarkStart w:id="188" w:name="_Toc3615"/>
      <w:bookmarkStart w:id="189" w:name="_Toc7332"/>
      <w:bookmarkStart w:id="190" w:name="_Toc269308575"/>
      <w:bookmarkStart w:id="191" w:name="_Toc28991"/>
      <w:r>
        <w:rPr>
          <w:rFonts w:hint="eastAsia" w:ascii="微软雅黑" w:hAnsi="微软雅黑" w:eastAsia="微软雅黑" w:cs="微软雅黑"/>
          <w:b/>
        </w:rPr>
        <w:t>十二、补充条款</w:t>
      </w:r>
      <w:bookmarkEnd w:id="188"/>
      <w:bookmarkEnd w:id="189"/>
      <w:bookmarkEnd w:id="190"/>
      <w:bookmarkEnd w:id="191"/>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乙方应承担的其他违约责任：</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12.1工程质量</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12.1.1未经甲方许可，乙方未按甲方提供的有效资料（施工图、技术交底、工程量清单、答疑纪要等）设计图施工，则乙方必须返工，费用自负。</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12.1.2乙方所用材料不符合本合同要求，则必须返工，返工损失由乙方自负, 且工期不得顺延，并每发现一次处以</w:t>
      </w:r>
      <w:r>
        <w:rPr>
          <w:rFonts w:hint="eastAsia" w:ascii="微软雅黑" w:hAnsi="微软雅黑" w:eastAsia="微软雅黑" w:cs="微软雅黑"/>
          <w:u w:val="single"/>
        </w:rPr>
        <w:t>￥</w:t>
      </w:r>
      <w:r>
        <w:rPr>
          <w:rFonts w:hint="eastAsia" w:ascii="微软雅黑" w:hAnsi="微软雅黑" w:eastAsia="微软雅黑" w:cs="微软雅黑"/>
          <w:u w:val="single"/>
          <w:lang w:val="en-US" w:eastAsia="zh-CN"/>
        </w:rPr>
        <w:t>1</w:t>
      </w:r>
      <w:r>
        <w:rPr>
          <w:rFonts w:hint="eastAsia" w:ascii="微软雅黑" w:hAnsi="微软雅黑" w:eastAsia="微软雅黑" w:cs="微软雅黑"/>
          <w:u w:val="single"/>
        </w:rPr>
        <w:t>000</w:t>
      </w:r>
      <w:r>
        <w:rPr>
          <w:rFonts w:hint="eastAsia" w:ascii="微软雅黑" w:hAnsi="微软雅黑" w:eastAsia="微软雅黑" w:cs="微软雅黑"/>
        </w:rPr>
        <w:t>元违约金，累计计算。</w:t>
      </w:r>
    </w:p>
    <w:p>
      <w:pPr>
        <w:adjustRightInd w:val="0"/>
        <w:snapToGrid w:val="0"/>
        <w:spacing w:line="500" w:lineRule="exact"/>
        <w:ind w:firstLine="472" w:firstLineChars="197"/>
        <w:rPr>
          <w:rFonts w:hint="eastAsia" w:ascii="微软雅黑" w:hAnsi="微软雅黑" w:eastAsia="微软雅黑" w:cs="微软雅黑"/>
        </w:rPr>
      </w:pPr>
      <w:r>
        <w:rPr>
          <w:rFonts w:hint="eastAsia" w:ascii="微软雅黑" w:hAnsi="微软雅黑" w:eastAsia="微软雅黑" w:cs="微软雅黑"/>
        </w:rPr>
        <w:t>12.1.3乙方在施工中没有领会甲方意图或不明确施工要求而又不向甲方求证明确，致使施工不能达到甲方要求的，甲方有权要求乙方返工并由乙方承担返工损失，工期不得顺延。</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12.1.4乙方未严格按照甲方提供的施工图要求以及国家、地方和行业现行规范要求的工程质量标准施工，每违反一次承担</w:t>
      </w:r>
      <w:r>
        <w:rPr>
          <w:rFonts w:hint="eastAsia" w:ascii="微软雅黑" w:hAnsi="微软雅黑" w:eastAsia="微软雅黑" w:cs="微软雅黑"/>
          <w:u w:val="single"/>
        </w:rPr>
        <w:t>￥1000元</w:t>
      </w:r>
      <w:r>
        <w:rPr>
          <w:rFonts w:hint="eastAsia" w:ascii="微软雅黑" w:hAnsi="微软雅黑" w:eastAsia="微软雅黑" w:cs="微软雅黑"/>
        </w:rPr>
        <w:t>的违约金，累计计算，且乙方必须按照甲方要求的时间进行改造。</w:t>
      </w:r>
    </w:p>
    <w:p>
      <w:pPr>
        <w:spacing w:line="500" w:lineRule="exact"/>
        <w:ind w:firstLine="480" w:firstLineChars="200"/>
        <w:rPr>
          <w:rFonts w:hint="eastAsia" w:ascii="微软雅黑" w:hAnsi="微软雅黑" w:eastAsia="微软雅黑" w:cs="微软雅黑"/>
          <w:u w:val="single"/>
        </w:rPr>
      </w:pPr>
      <w:r>
        <w:rPr>
          <w:rFonts w:hint="eastAsia" w:ascii="微软雅黑" w:hAnsi="微软雅黑" w:eastAsia="微软雅黑" w:cs="微软雅黑"/>
        </w:rPr>
        <w:t>12.1.5乙方应按本合同约定的材料特征进行采购，若发现以次充好的材料，每发现一次乙方承担</w:t>
      </w:r>
      <w:r>
        <w:rPr>
          <w:rFonts w:hint="eastAsia" w:ascii="微软雅黑" w:hAnsi="微软雅黑" w:eastAsia="微软雅黑" w:cs="微软雅黑"/>
          <w:u w:val="single"/>
        </w:rPr>
        <w:t>￥</w:t>
      </w:r>
      <w:r>
        <w:rPr>
          <w:rFonts w:hint="eastAsia" w:ascii="微软雅黑" w:hAnsi="微软雅黑" w:eastAsia="微软雅黑" w:cs="微软雅黑"/>
          <w:u w:val="single"/>
          <w:lang w:val="en-US" w:eastAsia="zh-CN"/>
        </w:rPr>
        <w:t>1</w:t>
      </w:r>
      <w:r>
        <w:rPr>
          <w:rFonts w:hint="eastAsia" w:ascii="微软雅黑" w:hAnsi="微软雅黑" w:eastAsia="微软雅黑" w:cs="微软雅黑"/>
          <w:u w:val="single"/>
        </w:rPr>
        <w:t>000</w:t>
      </w:r>
      <w:r>
        <w:rPr>
          <w:rFonts w:hint="eastAsia" w:ascii="微软雅黑" w:hAnsi="微软雅黑" w:eastAsia="微软雅黑" w:cs="微软雅黑"/>
        </w:rPr>
        <w:t>元每次的违约金，累计计算，并在甲方要求的期限内整改达到合同约定标准，且工期不得延长。</w:t>
      </w:r>
    </w:p>
    <w:p>
      <w:pPr>
        <w:adjustRightInd w:val="0"/>
        <w:snapToGrid w:val="0"/>
        <w:spacing w:line="500" w:lineRule="exact"/>
        <w:ind w:firstLine="472" w:firstLineChars="197"/>
        <w:rPr>
          <w:rFonts w:hint="eastAsia" w:ascii="微软雅黑" w:hAnsi="微软雅黑" w:eastAsia="微软雅黑" w:cs="微软雅黑"/>
        </w:rPr>
      </w:pPr>
      <w:r>
        <w:rPr>
          <w:rFonts w:hint="eastAsia" w:ascii="微软雅黑" w:hAnsi="微软雅黑" w:eastAsia="微软雅黑" w:cs="微软雅黑"/>
        </w:rPr>
        <w:t>12.2项目管理</w:t>
      </w:r>
    </w:p>
    <w:p>
      <w:pPr>
        <w:adjustRightInd w:val="0"/>
        <w:snapToGrid w:val="0"/>
        <w:spacing w:line="500" w:lineRule="exact"/>
        <w:ind w:firstLine="472" w:firstLineChars="197"/>
        <w:rPr>
          <w:rFonts w:hint="eastAsia" w:ascii="微软雅黑" w:hAnsi="微软雅黑" w:eastAsia="微软雅黑" w:cs="微软雅黑"/>
        </w:rPr>
      </w:pPr>
      <w:r>
        <w:rPr>
          <w:rFonts w:hint="eastAsia" w:ascii="微软雅黑" w:hAnsi="微软雅黑" w:eastAsia="微软雅黑" w:cs="微软雅黑"/>
        </w:rPr>
        <w:t>12.2.1乙方负责施工现场安全、保卫、防火工作，承担非甲方原因造成的损失，按照《重庆市文明施工要求十八条》，作好施工现场的清洁卫生、文明施工工作，严禁堵塞交通，完工后必须作到工完清场。</w:t>
      </w:r>
    </w:p>
    <w:p>
      <w:pPr>
        <w:adjustRightInd w:val="0"/>
        <w:snapToGrid w:val="0"/>
        <w:spacing w:line="500" w:lineRule="exact"/>
        <w:ind w:firstLine="472" w:firstLineChars="197"/>
        <w:rPr>
          <w:rFonts w:hint="eastAsia" w:ascii="微软雅黑" w:hAnsi="微软雅黑" w:eastAsia="微软雅黑" w:cs="微软雅黑"/>
        </w:rPr>
      </w:pPr>
      <w:r>
        <w:rPr>
          <w:rFonts w:hint="eastAsia" w:ascii="微软雅黑" w:hAnsi="微软雅黑" w:eastAsia="微软雅黑" w:cs="微软雅黑"/>
        </w:rPr>
        <w:t>12.2.2乙方应尊重甲方的管理职责履行职责，在施工过程中，乙方不服从甲方单位按授权范围内的监督、协调管理或甲方的管理，甲方有权对乙方进行处罚，每次金额为</w:t>
      </w:r>
      <w:r>
        <w:rPr>
          <w:rFonts w:hint="eastAsia" w:ascii="微软雅黑" w:hAnsi="微软雅黑" w:eastAsia="微软雅黑" w:cs="微软雅黑"/>
          <w:u w:val="single"/>
        </w:rPr>
        <w:t>￥200-500</w:t>
      </w:r>
      <w:r>
        <w:rPr>
          <w:rFonts w:hint="eastAsia" w:ascii="微软雅黑" w:hAnsi="微软雅黑" w:eastAsia="微软雅黑" w:cs="微软雅黑"/>
        </w:rPr>
        <w:t>元，累计计算。</w:t>
      </w:r>
    </w:p>
    <w:p>
      <w:pPr>
        <w:adjustRightInd w:val="0"/>
        <w:snapToGrid w:val="0"/>
        <w:spacing w:line="500" w:lineRule="exact"/>
        <w:ind w:firstLine="472" w:firstLineChars="197"/>
        <w:rPr>
          <w:rFonts w:hint="eastAsia" w:ascii="微软雅黑" w:hAnsi="微软雅黑" w:eastAsia="微软雅黑" w:cs="微软雅黑"/>
        </w:rPr>
      </w:pPr>
      <w:r>
        <w:rPr>
          <w:rFonts w:hint="eastAsia" w:ascii="微软雅黑" w:hAnsi="微软雅黑" w:eastAsia="微软雅黑" w:cs="微软雅黑"/>
        </w:rPr>
        <w:t>12.2.3乙方对施工现场出现的质量、安全事故或其它重大事件，未在事故发生后</w:t>
      </w:r>
      <w:r>
        <w:rPr>
          <w:rFonts w:hint="eastAsia" w:ascii="微软雅黑" w:hAnsi="微软雅黑" w:eastAsia="微软雅黑" w:cs="微软雅黑"/>
          <w:spacing w:val="6"/>
        </w:rPr>
        <w:t>2</w:t>
      </w:r>
      <w:r>
        <w:rPr>
          <w:rFonts w:hint="eastAsia" w:ascii="微软雅黑" w:hAnsi="微软雅黑" w:eastAsia="微软雅黑" w:cs="微软雅黑"/>
        </w:rPr>
        <w:t>小时内（特大事件</w:t>
      </w:r>
      <w:r>
        <w:rPr>
          <w:rFonts w:hint="eastAsia" w:ascii="微软雅黑" w:hAnsi="微软雅黑" w:eastAsia="微软雅黑" w:cs="微软雅黑"/>
          <w:spacing w:val="6"/>
        </w:rPr>
        <w:t>1</w:t>
      </w:r>
      <w:r>
        <w:rPr>
          <w:rFonts w:hint="eastAsia" w:ascii="微软雅黑" w:hAnsi="微软雅黑" w:eastAsia="微软雅黑" w:cs="微软雅黑"/>
        </w:rPr>
        <w:t>小时内）以有效方式报告甲方，或者未在事故发生后</w:t>
      </w:r>
      <w:r>
        <w:rPr>
          <w:rFonts w:hint="eastAsia" w:ascii="微软雅黑" w:hAnsi="微软雅黑" w:eastAsia="微软雅黑" w:cs="微软雅黑"/>
          <w:spacing w:val="6"/>
        </w:rPr>
        <w:t>24</w:t>
      </w:r>
      <w:r>
        <w:rPr>
          <w:rFonts w:hint="eastAsia" w:ascii="微软雅黑" w:hAnsi="微软雅黑" w:eastAsia="微软雅黑" w:cs="微软雅黑"/>
        </w:rPr>
        <w:t>小时内提出书面报告，每发生一次处违约金</w:t>
      </w:r>
      <w:r>
        <w:rPr>
          <w:rFonts w:hint="eastAsia" w:ascii="微软雅黑" w:hAnsi="微软雅黑" w:eastAsia="微软雅黑" w:cs="微软雅黑"/>
          <w:u w:val="single"/>
        </w:rPr>
        <w:t>￥</w:t>
      </w:r>
      <w:r>
        <w:rPr>
          <w:rFonts w:hint="eastAsia" w:ascii="微软雅黑" w:hAnsi="微软雅黑" w:eastAsia="微软雅黑" w:cs="微软雅黑"/>
          <w:spacing w:val="6"/>
          <w:u w:val="single"/>
          <w:lang w:val="en-US" w:eastAsia="zh-CN"/>
        </w:rPr>
        <w:t>2</w:t>
      </w:r>
      <w:r>
        <w:rPr>
          <w:rFonts w:hint="eastAsia" w:ascii="微软雅黑" w:hAnsi="微软雅黑" w:eastAsia="微软雅黑" w:cs="微软雅黑"/>
          <w:spacing w:val="6"/>
          <w:u w:val="single"/>
        </w:rPr>
        <w:t>000</w:t>
      </w:r>
      <w:r>
        <w:rPr>
          <w:rFonts w:hint="eastAsia" w:ascii="微软雅黑" w:hAnsi="微软雅黑" w:eastAsia="微软雅黑" w:cs="微软雅黑"/>
          <w:u w:val="single"/>
        </w:rPr>
        <w:t>-</w:t>
      </w:r>
      <w:r>
        <w:rPr>
          <w:rFonts w:hint="eastAsia" w:ascii="微软雅黑" w:hAnsi="微软雅黑" w:eastAsia="微软雅黑" w:cs="微软雅黑"/>
          <w:u w:val="single"/>
          <w:lang w:val="en-US" w:eastAsia="zh-CN"/>
        </w:rPr>
        <w:t>5</w:t>
      </w:r>
      <w:r>
        <w:rPr>
          <w:rFonts w:hint="eastAsia" w:ascii="微软雅黑" w:hAnsi="微软雅黑" w:eastAsia="微软雅黑" w:cs="微软雅黑"/>
          <w:u w:val="single"/>
        </w:rPr>
        <w:t>000</w:t>
      </w:r>
      <w:r>
        <w:rPr>
          <w:rFonts w:hint="eastAsia" w:ascii="微软雅黑" w:hAnsi="微软雅黑" w:eastAsia="微软雅黑" w:cs="微软雅黑"/>
        </w:rPr>
        <w:t>元，累计计算。</w:t>
      </w:r>
    </w:p>
    <w:p>
      <w:pPr>
        <w:adjustRightInd w:val="0"/>
        <w:snapToGrid w:val="0"/>
        <w:spacing w:line="500" w:lineRule="exact"/>
        <w:ind w:firstLine="472" w:firstLineChars="197"/>
        <w:rPr>
          <w:rFonts w:hint="eastAsia" w:ascii="微软雅黑" w:hAnsi="微软雅黑" w:eastAsia="微软雅黑" w:cs="微软雅黑"/>
        </w:rPr>
      </w:pPr>
      <w:r>
        <w:rPr>
          <w:rFonts w:hint="eastAsia" w:ascii="微软雅黑" w:hAnsi="微软雅黑" w:eastAsia="微软雅黑" w:cs="微软雅黑"/>
        </w:rPr>
        <w:t>12.2.4乙方未按甲方要求在规定时间内完成工作（涉及安全、质量等事项）或采取措施，每延误一天处违约金</w:t>
      </w:r>
      <w:r>
        <w:rPr>
          <w:rFonts w:hint="eastAsia" w:ascii="微软雅黑" w:hAnsi="微软雅黑" w:eastAsia="微软雅黑" w:cs="微软雅黑"/>
          <w:u w:val="single"/>
        </w:rPr>
        <w:t>￥</w:t>
      </w:r>
      <w:r>
        <w:rPr>
          <w:rFonts w:hint="eastAsia" w:ascii="微软雅黑" w:hAnsi="微软雅黑" w:eastAsia="微软雅黑" w:cs="微软雅黑"/>
          <w:spacing w:val="6"/>
          <w:u w:val="single"/>
          <w:lang w:val="en-US" w:eastAsia="zh-CN"/>
        </w:rPr>
        <w:t>5</w:t>
      </w:r>
      <w:r>
        <w:rPr>
          <w:rFonts w:hint="eastAsia" w:ascii="微软雅黑" w:hAnsi="微软雅黑" w:eastAsia="微软雅黑" w:cs="微软雅黑"/>
          <w:spacing w:val="6"/>
          <w:u w:val="single"/>
        </w:rPr>
        <w:t>00</w:t>
      </w:r>
      <w:r>
        <w:rPr>
          <w:rFonts w:hint="eastAsia" w:ascii="微软雅黑" w:hAnsi="微软雅黑" w:eastAsia="微软雅黑" w:cs="微软雅黑"/>
        </w:rPr>
        <w:t>元，累计计算。</w:t>
      </w:r>
    </w:p>
    <w:p>
      <w:pPr>
        <w:adjustRightInd w:val="0"/>
        <w:snapToGrid w:val="0"/>
        <w:spacing w:line="500" w:lineRule="exact"/>
        <w:ind w:firstLine="472" w:firstLineChars="197"/>
        <w:rPr>
          <w:rFonts w:hint="eastAsia" w:ascii="微软雅黑" w:hAnsi="微软雅黑" w:eastAsia="微软雅黑" w:cs="微软雅黑"/>
          <w:u w:val="single"/>
        </w:rPr>
      </w:pPr>
      <w:r>
        <w:rPr>
          <w:rFonts w:hint="eastAsia" w:ascii="微软雅黑" w:hAnsi="微软雅黑" w:eastAsia="微软雅黑" w:cs="微软雅黑"/>
        </w:rPr>
        <w:t>12.2.5本工程涉及违约金均为累计，且乙方同意其应承担的违约金可由甲方从未支付的合同价款中予以扣减，不足部分由乙方补足。</w:t>
      </w:r>
    </w:p>
    <w:p>
      <w:pPr>
        <w:adjustRightInd w:val="0"/>
        <w:snapToGrid w:val="0"/>
        <w:spacing w:line="500" w:lineRule="exact"/>
        <w:ind w:firstLine="338"/>
        <w:rPr>
          <w:rFonts w:hint="eastAsia" w:ascii="微软雅黑" w:hAnsi="微软雅黑" w:eastAsia="微软雅黑" w:cs="微软雅黑"/>
        </w:rPr>
      </w:pPr>
      <w:r>
        <w:rPr>
          <w:rFonts w:hint="eastAsia" w:ascii="微软雅黑" w:hAnsi="微软雅黑" w:eastAsia="微软雅黑" w:cs="微软雅黑"/>
        </w:rPr>
        <w:t>12.3如果发生以下行为之一，甲方有权解除合同，且甲方有权要求乙方赔偿由此给甲方造成的一切损失：</w:t>
      </w:r>
    </w:p>
    <w:p>
      <w:pPr>
        <w:adjustRightInd w:val="0"/>
        <w:snapToGrid w:val="0"/>
        <w:spacing w:line="500" w:lineRule="exact"/>
        <w:ind w:firstLine="326"/>
        <w:rPr>
          <w:rFonts w:hint="eastAsia" w:ascii="微软雅黑" w:hAnsi="微软雅黑" w:eastAsia="微软雅黑" w:cs="微软雅黑"/>
          <w:spacing w:val="6"/>
        </w:rPr>
      </w:pPr>
      <w:r>
        <w:rPr>
          <w:rFonts w:hint="eastAsia" w:ascii="微软雅黑" w:hAnsi="微软雅黑" w:eastAsia="微软雅黑" w:cs="微软雅黑"/>
          <w:spacing w:val="6"/>
        </w:rPr>
        <w:t>12.3.1甲方发现并有充分的证据证明乙方不能履行施工合同约定的义务和职责的。</w:t>
      </w:r>
    </w:p>
    <w:p>
      <w:pPr>
        <w:adjustRightInd w:val="0"/>
        <w:snapToGrid w:val="0"/>
        <w:spacing w:line="500" w:lineRule="exact"/>
        <w:ind w:firstLine="326"/>
        <w:rPr>
          <w:rFonts w:hint="eastAsia" w:ascii="微软雅黑" w:hAnsi="微软雅黑" w:eastAsia="微软雅黑" w:cs="微软雅黑"/>
          <w:spacing w:val="6"/>
        </w:rPr>
      </w:pPr>
      <w:r>
        <w:rPr>
          <w:rFonts w:hint="eastAsia" w:ascii="微软雅黑" w:hAnsi="微软雅黑" w:eastAsia="微软雅黑" w:cs="微软雅黑"/>
          <w:spacing w:val="6"/>
        </w:rPr>
        <w:t>12.3.2乙方未经甲方同意将工程转包给其他单位的。</w:t>
      </w:r>
    </w:p>
    <w:p>
      <w:pPr>
        <w:adjustRightInd w:val="0"/>
        <w:snapToGrid w:val="0"/>
        <w:spacing w:line="500" w:lineRule="exact"/>
        <w:ind w:firstLine="326"/>
        <w:rPr>
          <w:rFonts w:hint="eastAsia" w:ascii="微软雅黑" w:hAnsi="微软雅黑" w:eastAsia="微软雅黑" w:cs="微软雅黑"/>
          <w:spacing w:val="6"/>
        </w:rPr>
      </w:pPr>
      <w:r>
        <w:rPr>
          <w:rFonts w:hint="eastAsia" w:ascii="微软雅黑" w:hAnsi="微软雅黑" w:eastAsia="微软雅黑" w:cs="微软雅黑"/>
          <w:spacing w:val="6"/>
        </w:rPr>
        <w:t>12.3.3乙方施工中未按设计图和招标文件规定的材料品牌、生产厂家、产品质量进行采购，以次充好、偷工减料、弄虚作假或恶意欺骗的。</w:t>
      </w:r>
    </w:p>
    <w:p>
      <w:pPr>
        <w:adjustRightInd w:val="0"/>
        <w:snapToGrid w:val="0"/>
        <w:spacing w:line="500" w:lineRule="exact"/>
        <w:ind w:firstLine="333"/>
        <w:rPr>
          <w:rFonts w:hint="eastAsia" w:ascii="微软雅黑" w:hAnsi="微软雅黑" w:eastAsia="微软雅黑" w:cs="微软雅黑"/>
          <w:spacing w:val="6"/>
        </w:rPr>
      </w:pPr>
      <w:r>
        <w:rPr>
          <w:rFonts w:hint="eastAsia" w:ascii="微软雅黑" w:hAnsi="微软雅黑" w:eastAsia="微软雅黑" w:cs="微软雅黑"/>
          <w:spacing w:val="6"/>
        </w:rPr>
        <w:t>12.3.4在甲方按合同约定足额支付工程款的情况下，乙方拖欠民工工资，导致涉及单位或个人向甲方、建设主管部门或其它机构投诉的；同时甲方有权从应付给乙方的进度款项中扣除后直接支付给施工民工。</w:t>
      </w:r>
    </w:p>
    <w:p>
      <w:pPr>
        <w:autoSpaceDE w:val="0"/>
        <w:autoSpaceDN w:val="0"/>
        <w:adjustRightInd w:val="0"/>
        <w:spacing w:line="500" w:lineRule="exact"/>
        <w:ind w:firstLine="435"/>
        <w:rPr>
          <w:rFonts w:hint="eastAsia" w:ascii="微软雅黑" w:hAnsi="微软雅黑" w:eastAsia="微软雅黑" w:cs="微软雅黑"/>
          <w:spacing w:val="6"/>
        </w:rPr>
      </w:pPr>
      <w:r>
        <w:rPr>
          <w:rFonts w:hint="eastAsia" w:ascii="微软雅黑" w:hAnsi="微软雅黑" w:eastAsia="微软雅黑" w:cs="微软雅黑"/>
          <w:spacing w:val="6"/>
        </w:rPr>
        <w:t>12.3.5因乙方原因致使合同无法履行或合同终止的。</w:t>
      </w:r>
    </w:p>
    <w:p>
      <w:pPr>
        <w:autoSpaceDE w:val="0"/>
        <w:autoSpaceDN w:val="0"/>
        <w:adjustRightInd w:val="0"/>
        <w:spacing w:line="500" w:lineRule="exact"/>
        <w:ind w:firstLine="435"/>
        <w:rPr>
          <w:rFonts w:hint="eastAsia" w:ascii="微软雅黑" w:hAnsi="微软雅黑" w:eastAsia="微软雅黑" w:cs="微软雅黑"/>
          <w:bCs/>
        </w:rPr>
      </w:pPr>
      <w:r>
        <w:rPr>
          <w:rFonts w:hint="eastAsia" w:ascii="微软雅黑" w:hAnsi="微软雅黑" w:eastAsia="微软雅黑" w:cs="微软雅黑"/>
          <w:bCs/>
        </w:rPr>
        <w:t>12.4对民工工资支付的规定：</w:t>
      </w:r>
    </w:p>
    <w:p>
      <w:pPr>
        <w:autoSpaceDE w:val="0"/>
        <w:autoSpaceDN w:val="0"/>
        <w:adjustRightInd w:val="0"/>
        <w:spacing w:line="500" w:lineRule="exact"/>
        <w:ind w:firstLine="435"/>
        <w:rPr>
          <w:rFonts w:hint="eastAsia" w:ascii="微软雅黑" w:hAnsi="微软雅黑" w:eastAsia="微软雅黑" w:cs="微软雅黑"/>
          <w:bCs/>
        </w:rPr>
      </w:pPr>
      <w:r>
        <w:rPr>
          <w:rFonts w:hint="eastAsia" w:ascii="微软雅黑" w:hAnsi="微软雅黑" w:eastAsia="微软雅黑" w:cs="微软雅黑"/>
          <w:bCs/>
        </w:rPr>
        <w:t>12.4.1乙方不得以任何理由拖欠民工工资，若因此造成甲方正常工作的影响，甲方将停止向乙方支付工程进度款或处以乙方拖欠农民工工资总额相等的违约金；</w:t>
      </w:r>
    </w:p>
    <w:p>
      <w:pPr>
        <w:autoSpaceDE w:val="0"/>
        <w:autoSpaceDN w:val="0"/>
        <w:adjustRightInd w:val="0"/>
        <w:spacing w:line="500" w:lineRule="exact"/>
        <w:ind w:firstLine="435"/>
        <w:rPr>
          <w:rFonts w:hint="eastAsia" w:ascii="微软雅黑" w:hAnsi="微软雅黑" w:eastAsia="微软雅黑" w:cs="微软雅黑"/>
          <w:bCs/>
        </w:rPr>
      </w:pPr>
      <w:r>
        <w:rPr>
          <w:rFonts w:hint="eastAsia" w:ascii="微软雅黑" w:hAnsi="微软雅黑" w:eastAsia="微软雅黑" w:cs="微软雅黑"/>
          <w:bCs/>
        </w:rPr>
        <w:t>12.4.2乙方须每月足额发放农民工工资，如乙方未按月足额发放民工工资，甲方有权不经乙方授权委托即可从合同款中扣除相应的数额用于支付民工工资，且甲方有权向乙方收取等额的违约金。</w:t>
      </w:r>
    </w:p>
    <w:p>
      <w:pPr>
        <w:autoSpaceDE w:val="0"/>
        <w:autoSpaceDN w:val="0"/>
        <w:adjustRightInd w:val="0"/>
        <w:spacing w:line="500" w:lineRule="exact"/>
        <w:ind w:firstLine="435"/>
        <w:rPr>
          <w:rFonts w:hint="eastAsia" w:ascii="微软雅黑" w:hAnsi="微软雅黑" w:eastAsia="微软雅黑" w:cs="微软雅黑"/>
          <w:bCs/>
        </w:rPr>
      </w:pPr>
      <w:r>
        <w:rPr>
          <w:rFonts w:hint="eastAsia" w:ascii="微软雅黑" w:hAnsi="微软雅黑" w:eastAsia="微软雅黑" w:cs="微软雅黑"/>
          <w:bCs/>
        </w:rPr>
        <w:t>12.4.3工程完工，乙方必须将本工程全部民工工资发放到位，否则甲方有权从合同款扣除相应的数额用于支付全部的民工工资，且甲方有权向乙方收取等额的违约金。</w:t>
      </w:r>
    </w:p>
    <w:p>
      <w:pPr>
        <w:autoSpaceDE w:val="0"/>
        <w:autoSpaceDN w:val="0"/>
        <w:adjustRightInd w:val="0"/>
        <w:spacing w:line="500" w:lineRule="exact"/>
        <w:ind w:firstLine="435"/>
        <w:rPr>
          <w:rFonts w:hint="eastAsia" w:ascii="微软雅黑" w:hAnsi="微软雅黑" w:eastAsia="微软雅黑" w:cs="微软雅黑"/>
          <w:bCs/>
        </w:rPr>
      </w:pPr>
      <w:r>
        <w:rPr>
          <w:rFonts w:hint="eastAsia" w:ascii="微软雅黑" w:hAnsi="微软雅黑" w:eastAsia="微软雅黑" w:cs="微软雅黑"/>
          <w:bCs/>
        </w:rPr>
        <w:t>12.4.4若因乙方未支付民工工资，而发生民工闹事或上访，则甲方有权停止支付乙方合同工程款，并处以乙方拖欠民工工资总额相等的违约金，因此产生的后果及责任概由乙方承担。</w:t>
      </w:r>
    </w:p>
    <w:p>
      <w:pPr>
        <w:spacing w:line="500" w:lineRule="exact"/>
        <w:ind w:firstLine="480" w:firstLineChars="200"/>
        <w:rPr>
          <w:rFonts w:hint="eastAsia" w:ascii="微软雅黑" w:hAnsi="微软雅黑" w:eastAsia="微软雅黑" w:cs="微软雅黑"/>
        </w:rPr>
      </w:pPr>
      <w:bookmarkStart w:id="192" w:name="_Toc3168"/>
      <w:bookmarkStart w:id="193" w:name="_Toc8091"/>
      <w:bookmarkStart w:id="194" w:name="_Toc28445"/>
      <w:r>
        <w:rPr>
          <w:rFonts w:hint="eastAsia" w:ascii="微软雅黑" w:hAnsi="微软雅黑" w:eastAsia="微软雅黑" w:cs="微软雅黑"/>
          <w:b/>
        </w:rPr>
        <w:t>十三、其他</w:t>
      </w:r>
      <w:bookmarkEnd w:id="192"/>
      <w:bookmarkEnd w:id="193"/>
      <w:bookmarkEnd w:id="194"/>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13.2合同执行过程中如发生争议，双方协商解决，协商不成，依法向项目所在地有管辖权的人民法院起诉。</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13.3本合同一式陆份，甲方叁份，乙方叁份，双方法定代表人或授权代表签字并加盖公章后生效。</w:t>
      </w:r>
    </w:p>
    <w:p>
      <w:pPr>
        <w:spacing w:line="500" w:lineRule="exact"/>
        <w:ind w:firstLine="480" w:firstLineChars="200"/>
        <w:rPr>
          <w:rFonts w:hint="eastAsia" w:ascii="微软雅黑" w:hAnsi="微软雅黑" w:eastAsia="微软雅黑" w:cs="微软雅黑"/>
        </w:rPr>
      </w:pP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甲方（公章）：                         乙方（公章）：</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法定代表人（签字）：                   法定代表人（签字）：</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或授权代表（签字）：                   或授权代表（签字）：</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ab/>
      </w:r>
      <w:r>
        <w:rPr>
          <w:rFonts w:hint="eastAsia" w:ascii="微软雅黑" w:hAnsi="微软雅黑" w:eastAsia="微软雅黑" w:cs="微软雅黑"/>
        </w:rPr>
        <w:t xml:space="preserve">                                    乙方开户行：</w:t>
      </w:r>
    </w:p>
    <w:p>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经办人：                               经办人：</w:t>
      </w:r>
    </w:p>
    <w:p>
      <w:pPr>
        <w:spacing w:line="500" w:lineRule="exact"/>
        <w:ind w:left="4901" w:leftChars="342" w:hanging="4080" w:hangingChars="1700"/>
        <w:rPr>
          <w:rFonts w:hint="eastAsia" w:ascii="微软雅黑" w:hAnsi="微软雅黑" w:eastAsia="微软雅黑" w:cs="微软雅黑"/>
        </w:rPr>
      </w:pPr>
      <w:r>
        <w:rPr>
          <w:rFonts w:hint="eastAsia" w:ascii="微软雅黑" w:hAnsi="微软雅黑" w:eastAsia="微软雅黑" w:cs="微软雅黑"/>
        </w:rPr>
        <w:t xml:space="preserve">                       </w:t>
      </w:r>
    </w:p>
    <w:p>
      <w:pPr>
        <w:spacing w:line="500" w:lineRule="exact"/>
        <w:rPr>
          <w:rFonts w:hint="eastAsia" w:ascii="微软雅黑" w:hAnsi="微软雅黑" w:eastAsia="微软雅黑" w:cs="微软雅黑"/>
        </w:rPr>
      </w:pPr>
    </w:p>
    <w:p>
      <w:pPr>
        <w:spacing w:line="500" w:lineRule="exact"/>
        <w:ind w:firstLine="6480" w:firstLineChars="2700"/>
        <w:rPr>
          <w:rFonts w:hint="eastAsia" w:ascii="微软雅黑" w:hAnsi="微软雅黑" w:eastAsia="微软雅黑" w:cs="微软雅黑"/>
        </w:rPr>
      </w:pPr>
      <w:r>
        <w:rPr>
          <w:rFonts w:hint="eastAsia" w:ascii="微软雅黑" w:hAnsi="微软雅黑" w:eastAsia="微软雅黑" w:cs="微软雅黑"/>
        </w:rPr>
        <w:t xml:space="preserve"> 年    月    日</w:t>
      </w: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p>
    <w:p>
      <w:pPr>
        <w:spacing w:line="336" w:lineRule="auto"/>
        <w:jc w:val="center"/>
        <w:rPr>
          <w:rFonts w:hint="eastAsia" w:ascii="微软雅黑" w:hAnsi="微软雅黑" w:eastAsia="微软雅黑" w:cs="微软雅黑"/>
        </w:rPr>
      </w:pPr>
      <w:r>
        <w:rPr>
          <w:rFonts w:hint="eastAsia" w:ascii="微软雅黑" w:hAnsi="微软雅黑" w:eastAsia="微软雅黑" w:cs="微软雅黑"/>
        </w:rPr>
        <w:br w:type="page"/>
      </w:r>
      <w:r>
        <w:rPr>
          <w:rFonts w:hint="eastAsia" w:ascii="微软雅黑" w:hAnsi="微软雅黑" w:eastAsia="微软雅黑" w:cs="微软雅黑"/>
        </w:rPr>
        <w:t>廉政合同</w:t>
      </w: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项目名称：                             </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项目地址：                             </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采购人（甲方）：                         </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供应商（乙方）：                           </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第一条 甲乙双方的责任</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（一）应严格遵守国家关于市场准入、项目招标投标、工程建设、施工安装和市场活动等有关法律、法规，相关政策，以及廉政建设的各项规定。</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（二）严格执行建设工程项目承发包合同文件，自觉按合同办事。</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（三）业务活动必须坚持公开、公平、公正、诚信、透明的原则（除法律法规另有规定者外），不得为获取不正当的利益，损害国家、集体和对方利益，不得违反工程建设管理、施工安装的规章制度。</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（四）发现对方在业务活动中有违规、违纪、违法行为的，应及时提醒对方，情节严重的，应向其上级主管部门或纪检监察、司法等有关机关举报。</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第二条 甲方的责任</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甲方的领导和从事该建设工程项目的工作人员，在工程建设的事前、事中、事后应遵守以下规定：</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（一）不准向乙方和相关单位索要或接受回扣、礼金、有价证券、贵重物品和好处费、感谢费等。</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（二）不准在乙方和相关单位报销任何应由甲方或个人支付的费用。</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（三）不准要求、暗示或接受乙方和相关单位为个人装修住房、婚丧嫁娶、配偶子女的工作安排以及出国（境）、旅游等提供方便。</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（四）不准参加有可能影响公正执行公务的乙方和相关单位的宴请和健身、娱乐等活动。</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第三条 乙方的责任</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应与甲方保持正常的业务交往，按照有关法律法规和程序开展业务工作，严格执行工程建设的有关方针、政策，尤其是有关建筑施工安装的强制性标准和规范，并遵守以下规定：</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（一）不准以任何理由向甲方、相关单位及其工作人员索要、接受或赠送礼金、有价证券、贵重物品和回扣、好处费、感谢费等。</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（二）不准以任何理由为甲方和相关单位报销应由对方或个人支付的费用。</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（三）不准接受或暗示为甲方、相关单位或个人装修住房、婚丧嫁娶、配偶子女的工作安排以及出国（境）、旅游等提供方便。</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（四）不准以任何理由为甲方、相关单位或个人组织有可能影响公正执行公务的宴请、健身、娱乐等活动。</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第四条 违约责任</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第五条 本责任书作为工程施工合同的附件，与工程施工合同具有同等法律效力。经双方签署后立即生效。</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第六条 本责任书的有效期为双方签署之日起至该工程项目竣工验收合格时止。</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第七条 本责任书一式四份，由甲乙双方各执二份。</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甲方单位：（盖章）       乙方单位：（盖章）</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法定代表人：              法定代表人：</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地址：                    地址：</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电话：                    电话：</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年  月  日                   年  月  日</w:t>
      </w:r>
    </w:p>
    <w:p>
      <w:pPr>
        <w:spacing w:line="336" w:lineRule="auto"/>
        <w:ind w:firstLine="240" w:firstLineChars="100"/>
        <w:rPr>
          <w:rFonts w:hint="eastAsia" w:ascii="微软雅黑" w:hAnsi="微软雅黑" w:eastAsia="微软雅黑" w:cs="微软雅黑"/>
        </w:rPr>
        <w:sectPr>
          <w:headerReference r:id="rId15" w:type="default"/>
          <w:footerReference r:id="rId16" w:type="default"/>
          <w:footerReference r:id="rId17" w:type="even"/>
          <w:pgSz w:w="11907" w:h="16840"/>
          <w:pgMar w:top="1440" w:right="1080" w:bottom="1440" w:left="1080" w:header="737" w:footer="737" w:gutter="0"/>
          <w:pgNumType w:fmt="numberInDash"/>
          <w:cols w:space="720" w:num="1"/>
        </w:sectPr>
      </w:pPr>
    </w:p>
    <w:p>
      <w:pPr>
        <w:spacing w:line="336" w:lineRule="auto"/>
        <w:ind w:firstLine="2880" w:firstLineChars="1200"/>
        <w:rPr>
          <w:rFonts w:hint="eastAsia" w:ascii="微软雅黑" w:hAnsi="微软雅黑" w:eastAsia="微软雅黑" w:cs="微软雅黑"/>
        </w:rPr>
      </w:pPr>
      <w:r>
        <w:rPr>
          <w:rFonts w:hint="eastAsia" w:ascii="微软雅黑" w:hAnsi="微软雅黑" w:eastAsia="微软雅黑" w:cs="微软雅黑"/>
        </w:rPr>
        <w:t>按期支付农民工工资承诺书</w:t>
      </w: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    按照《劳动法》相关规定，我公司就支付农民工工资问题承诺如下：</w:t>
      </w:r>
    </w:p>
    <w:p>
      <w:pPr>
        <w:spacing w:line="336" w:lineRule="auto"/>
        <w:ind w:firstLine="600" w:firstLineChars="250"/>
        <w:rPr>
          <w:rFonts w:hint="eastAsia" w:ascii="微软雅黑" w:hAnsi="微软雅黑" w:eastAsia="微软雅黑" w:cs="微软雅黑"/>
        </w:rPr>
      </w:pPr>
      <w:r>
        <w:rPr>
          <w:rFonts w:hint="eastAsia" w:ascii="微软雅黑" w:hAnsi="微软雅黑" w:eastAsia="微软雅黑" w:cs="微软雅黑"/>
        </w:rPr>
        <w:t>1.承诺不拖欠农民工工资，并不能以支付农民工工资名义向采购人要求超合同付款，并承担采购人的相关处分规定。</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   2.如果发生违反规定拖欠或克扣民工工资行为，造成民工上访，及其它突发事件或公共事件，我单位愿意接受采购人的处罚，同时愿意接受建设行政主管部门依照有关规定作出的其它处罚决定。</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   3.采购人有权以任何方式监督我司对劳务人员工资的支付情况，我司如迟延支付或未足额支付劳务人员工资，自觉承担采购人的相关处分规定。</w:t>
      </w: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供应商（加盖单位公章）：</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企业法人代表或其委托代理人签字（盖章）：</w:t>
      </w: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                             年    月    日</w:t>
      </w: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pPr>
    </w:p>
    <w:p>
      <w:pPr>
        <w:spacing w:line="336" w:lineRule="auto"/>
        <w:ind w:firstLine="240" w:firstLineChars="100"/>
        <w:rPr>
          <w:rFonts w:hint="eastAsia" w:ascii="微软雅黑" w:hAnsi="微软雅黑" w:eastAsia="微软雅黑" w:cs="微软雅黑"/>
        </w:rPr>
        <w:sectPr>
          <w:pgSz w:w="11907" w:h="16840"/>
          <w:pgMar w:top="1440" w:right="1080" w:bottom="1440" w:left="1080" w:header="737" w:footer="737" w:gutter="0"/>
          <w:pgNumType w:fmt="numberInDash"/>
          <w:cols w:space="720" w:num="1"/>
        </w:sectPr>
      </w:pPr>
    </w:p>
    <w:p>
      <w:pPr>
        <w:spacing w:line="336" w:lineRule="auto"/>
        <w:ind w:firstLine="3840" w:firstLineChars="1600"/>
        <w:rPr>
          <w:rFonts w:hint="eastAsia" w:ascii="微软雅黑" w:hAnsi="微软雅黑" w:eastAsia="微软雅黑" w:cs="微软雅黑"/>
        </w:rPr>
      </w:pPr>
      <w:r>
        <w:rPr>
          <w:rFonts w:hint="eastAsia" w:ascii="微软雅黑" w:hAnsi="微软雅黑" w:eastAsia="微软雅黑" w:cs="微软雅黑"/>
        </w:rPr>
        <w:t>质量安全承诺书</w:t>
      </w:r>
    </w:p>
    <w:p>
      <w:pPr>
        <w:spacing w:line="336" w:lineRule="auto"/>
        <w:ind w:firstLine="240" w:firstLineChars="100"/>
        <w:rPr>
          <w:rFonts w:hint="eastAsia" w:ascii="微软雅黑" w:hAnsi="微软雅黑" w:eastAsia="微软雅黑" w:cs="微软雅黑"/>
        </w:rPr>
      </w:pPr>
    </w:p>
    <w:p>
      <w:pPr>
        <w:spacing w:line="336" w:lineRule="auto"/>
        <w:ind w:firstLine="480" w:firstLineChars="200"/>
        <w:rPr>
          <w:rFonts w:hint="eastAsia" w:ascii="微软雅黑" w:hAnsi="微软雅黑" w:eastAsia="微软雅黑" w:cs="微软雅黑"/>
        </w:rPr>
      </w:pPr>
      <w:r>
        <w:rPr>
          <w:rFonts w:hint="eastAsia" w:ascii="微软雅黑" w:hAnsi="微软雅黑" w:eastAsia="微软雅黑" w:cs="微软雅黑"/>
        </w:rPr>
        <w:t>根据《中华人民共和国建筑法》、《中华人民共和国安全生产法》、《建设工程质量管理条例》、《建设工程安全生产管理条例》等法律、法规，为加强建设质量、安全管理，特签订如下质量安全责任书。</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1.必须履行《建设工程质量管理制度》《建设工程安全管理制度》具体要求，严格执行有关质量安全管理的法律法规和标准，增强安全防范意识，制定具体的质量安全施工方案。</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2.自觉接受采购人、项目监理部门对质量安全生产的教育学习，同时在项目工程开工前，应对项目经理、施工员、质安员、各班组长及施工操作人员进行施工质量安全生产操作规程的教育，经常召开质量安全会议，总结质量安全经验，增强质量安全责任感，并做好记录。</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3.应向各岗位人员签订质量安全责任，落实到每位在岗员工，做到人人重视工程质量和安全。</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4.对项目工程的质量安全生产监督检查，检查时若发现项目经理、项目技术负责人、施工员、安全员不在施工现场，给予教育并处以罚款。</w:t>
      </w:r>
    </w:p>
    <w:p>
      <w:pPr>
        <w:spacing w:line="336" w:lineRule="auto"/>
        <w:ind w:firstLine="480" w:firstLineChars="200"/>
        <w:rPr>
          <w:rFonts w:hint="eastAsia" w:ascii="微软雅黑" w:hAnsi="微软雅黑" w:eastAsia="微软雅黑" w:cs="微软雅黑"/>
        </w:rPr>
      </w:pPr>
      <w:r>
        <w:rPr>
          <w:rFonts w:hint="eastAsia" w:ascii="微软雅黑" w:hAnsi="微软雅黑" w:eastAsia="微软雅黑" w:cs="微软雅黑"/>
        </w:rPr>
        <w:t>5.严格遵照《十项安全技术措施》，把好安全关。</w:t>
      </w:r>
    </w:p>
    <w:p>
      <w:pPr>
        <w:spacing w:line="336" w:lineRule="auto"/>
        <w:ind w:firstLine="480" w:firstLineChars="200"/>
        <w:rPr>
          <w:rFonts w:hint="eastAsia" w:ascii="微软雅黑" w:hAnsi="微软雅黑" w:eastAsia="微软雅黑" w:cs="微软雅黑"/>
        </w:rPr>
      </w:pPr>
      <w:r>
        <w:rPr>
          <w:rFonts w:hint="eastAsia" w:ascii="微软雅黑" w:hAnsi="微软雅黑" w:eastAsia="微软雅黑" w:cs="微软雅黑"/>
        </w:rPr>
        <w:t>6.认真履行安全职责和遵守各种施工操作规程及安全生产的《六大纪律》。</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7.施工现场必须设置各种安全生产标志牌，切实履行《安全十大禁令》和《施工现场十不准》，为保证施工安全创造必要条件。</w:t>
      </w:r>
    </w:p>
    <w:p>
      <w:pPr>
        <w:spacing w:line="336" w:lineRule="auto"/>
        <w:ind w:firstLine="480" w:firstLineChars="200"/>
        <w:rPr>
          <w:rFonts w:hint="eastAsia" w:ascii="微软雅黑" w:hAnsi="微软雅黑" w:eastAsia="微软雅黑" w:cs="微软雅黑"/>
        </w:rPr>
      </w:pPr>
      <w:r>
        <w:rPr>
          <w:rFonts w:hint="eastAsia" w:ascii="微软雅黑" w:hAnsi="微软雅黑" w:eastAsia="微软雅黑" w:cs="微软雅黑"/>
        </w:rPr>
        <w:t>8.保证所建设的工程安全、质量合格。</w:t>
      </w:r>
    </w:p>
    <w:p>
      <w:pPr>
        <w:spacing w:line="336" w:lineRule="auto"/>
        <w:ind w:firstLine="240" w:firstLineChars="100"/>
        <w:rPr>
          <w:rFonts w:hint="eastAsia" w:ascii="微软雅黑" w:hAnsi="微软雅黑" w:eastAsia="微软雅黑" w:cs="微软雅黑"/>
        </w:rPr>
      </w:pPr>
    </w:p>
    <w:p>
      <w:pPr>
        <w:spacing w:line="336" w:lineRule="auto"/>
        <w:ind w:firstLine="480" w:firstLineChars="200"/>
        <w:rPr>
          <w:rFonts w:hint="eastAsia" w:ascii="微软雅黑" w:hAnsi="微软雅黑" w:eastAsia="微软雅黑" w:cs="微软雅黑"/>
        </w:rPr>
      </w:pPr>
      <w:r>
        <w:rPr>
          <w:rFonts w:hint="eastAsia" w:ascii="微软雅黑" w:hAnsi="微软雅黑" w:eastAsia="微软雅黑" w:cs="微软雅黑"/>
        </w:rPr>
        <w:t>供应商（加盖单位公章）：</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  企业法人代表或其委托代理人签字（盖章）：</w:t>
      </w:r>
    </w:p>
    <w:p>
      <w:pPr>
        <w:spacing w:line="336" w:lineRule="auto"/>
        <w:ind w:firstLine="240" w:firstLineChars="100"/>
        <w:rPr>
          <w:rFonts w:hint="eastAsia" w:ascii="微软雅黑" w:hAnsi="微软雅黑" w:eastAsia="微软雅黑" w:cs="微软雅黑"/>
        </w:rPr>
      </w:pPr>
      <w:r>
        <w:rPr>
          <w:rFonts w:hint="eastAsia" w:ascii="微软雅黑" w:hAnsi="微软雅黑" w:eastAsia="微软雅黑" w:cs="微软雅黑"/>
        </w:rPr>
        <w:t xml:space="preserve">                                  年    月    日</w:t>
      </w:r>
    </w:p>
    <w:p>
      <w:pPr>
        <w:spacing w:line="336" w:lineRule="auto"/>
        <w:ind w:firstLine="480" w:firstLineChars="200"/>
        <w:rPr>
          <w:rFonts w:hint="eastAsia" w:ascii="微软雅黑" w:hAnsi="微软雅黑" w:eastAsia="微软雅黑" w:cs="微软雅黑"/>
        </w:rPr>
      </w:pPr>
    </w:p>
    <w:p>
      <w:pPr>
        <w:spacing w:line="336" w:lineRule="auto"/>
        <w:ind w:firstLine="2161" w:firstLineChars="600"/>
        <w:rPr>
          <w:rFonts w:hint="eastAsia" w:ascii="微软雅黑" w:hAnsi="微软雅黑" w:eastAsia="微软雅黑" w:cs="微软雅黑"/>
          <w:b/>
          <w:bCs w:val="0"/>
          <w:sz w:val="36"/>
          <w:szCs w:val="30"/>
          <w:highlight w:val="none"/>
        </w:rPr>
      </w:pPr>
      <w:bookmarkStart w:id="195" w:name="_Toc27373"/>
      <w:bookmarkStart w:id="196" w:name="_Toc15526"/>
      <w:bookmarkStart w:id="197" w:name="_Toc12127"/>
      <w:bookmarkStart w:id="198" w:name="_Toc13005"/>
      <w:bookmarkStart w:id="199" w:name="_Toc15587"/>
      <w:r>
        <w:rPr>
          <w:rFonts w:hint="eastAsia" w:ascii="微软雅黑" w:hAnsi="微软雅黑" w:eastAsia="微软雅黑" w:cs="微软雅黑"/>
          <w:b/>
          <w:bCs w:val="0"/>
          <w:sz w:val="36"/>
          <w:szCs w:val="30"/>
          <w:highlight w:val="none"/>
        </w:rPr>
        <w:t>第七篇   响应文件格式</w:t>
      </w:r>
      <w:bookmarkEnd w:id="195"/>
      <w:bookmarkEnd w:id="196"/>
      <w:bookmarkEnd w:id="197"/>
      <w:bookmarkEnd w:id="198"/>
      <w:bookmarkEnd w:id="199"/>
    </w:p>
    <w:p>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一、经济部分</w:t>
      </w:r>
    </w:p>
    <w:p>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（一）竞争性比选报价函</w:t>
      </w:r>
    </w:p>
    <w:p>
      <w:pPr>
        <w:pStyle w:val="6"/>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（二）已标价工程量清单</w:t>
      </w:r>
    </w:p>
    <w:p>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w:t>
      </w:r>
      <w:r>
        <w:rPr>
          <w:rFonts w:hint="eastAsia" w:ascii="微软雅黑" w:hAnsi="微软雅黑" w:eastAsia="微软雅黑" w:cs="微软雅黑"/>
          <w:sz w:val="24"/>
          <w:szCs w:val="24"/>
          <w:highlight w:val="none"/>
          <w:lang w:val="en-US" w:eastAsia="zh-CN"/>
        </w:rPr>
        <w:t>技术</w:t>
      </w:r>
      <w:r>
        <w:rPr>
          <w:rFonts w:hint="eastAsia" w:ascii="微软雅黑" w:hAnsi="微软雅黑" w:eastAsia="微软雅黑" w:cs="微软雅黑"/>
          <w:sz w:val="24"/>
          <w:szCs w:val="24"/>
          <w:highlight w:val="none"/>
        </w:rPr>
        <w:t>部分</w:t>
      </w:r>
    </w:p>
    <w:p>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（一）技术应答</w:t>
      </w:r>
    </w:p>
    <w:p>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（二）技术响应偏离表</w:t>
      </w:r>
    </w:p>
    <w:p>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三、商务部分</w:t>
      </w:r>
    </w:p>
    <w:p>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（一）商务响应偏离表</w:t>
      </w:r>
    </w:p>
    <w:p>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（二）其它优惠承诺</w:t>
      </w:r>
    </w:p>
    <w:p>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四、资格条件及其他</w:t>
      </w:r>
    </w:p>
    <w:p>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（二）法定代表人身份证明书（格式）</w:t>
      </w:r>
    </w:p>
    <w:p>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（三）法定代表人授权委托书（格式）</w:t>
      </w:r>
    </w:p>
    <w:p>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（四）基本资格条件承诺函（格式）</w:t>
      </w:r>
    </w:p>
    <w:p>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五、其他应提供的资料</w:t>
      </w:r>
    </w:p>
    <w:p>
      <w:pPr>
        <w:spacing w:line="440" w:lineRule="exact"/>
        <w:ind w:firstLine="480" w:firstLineChars="200"/>
        <w:rPr>
          <w:rFonts w:hint="eastAsia" w:ascii="微软雅黑" w:hAnsi="微软雅黑" w:eastAsia="微软雅黑" w:cs="微软雅黑"/>
          <w:sz w:val="24"/>
          <w:szCs w:val="24"/>
          <w:highlight w:val="none"/>
        </w:rPr>
        <w:sectPr>
          <w:footerReference r:id="rId18" w:type="default"/>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szCs w:val="24"/>
          <w:highlight w:val="none"/>
        </w:rPr>
        <w:t>（一）其他与项目有关的资料（自附）</w:t>
      </w:r>
    </w:p>
    <w:p>
      <w:pPr>
        <w:pStyle w:val="9"/>
        <w:spacing w:before="0" w:after="0" w:line="440" w:lineRule="exact"/>
        <w:jc w:val="left"/>
        <w:rPr>
          <w:rFonts w:hint="eastAsia" w:ascii="微软雅黑" w:hAnsi="微软雅黑" w:eastAsia="微软雅黑" w:cs="微软雅黑"/>
          <w:sz w:val="28"/>
          <w:szCs w:val="28"/>
          <w:highlight w:val="none"/>
        </w:rPr>
      </w:pPr>
      <w:bookmarkStart w:id="200" w:name="_Toc116901383"/>
      <w:bookmarkStart w:id="201" w:name="_Toc15870"/>
      <w:bookmarkStart w:id="202" w:name="_Toc819"/>
      <w:bookmarkStart w:id="203" w:name="_Toc53751355"/>
      <w:bookmarkStart w:id="204" w:name="_Toc313888360"/>
      <w:bookmarkStart w:id="205" w:name="_Toc17422"/>
      <w:bookmarkStart w:id="206" w:name="_Toc342913419"/>
      <w:bookmarkStart w:id="207" w:name="_Toc8402"/>
      <w:bookmarkStart w:id="208" w:name="_Toc313008356"/>
      <w:bookmarkStart w:id="209" w:name="_Toc28540"/>
      <w:bookmarkStart w:id="210" w:name="_Toc12789073"/>
      <w:bookmarkStart w:id="211" w:name="_Toc283382454"/>
      <w:bookmarkStart w:id="212" w:name="_Toc283382459"/>
      <w:r>
        <w:rPr>
          <w:rFonts w:hint="eastAsia" w:ascii="微软雅黑" w:hAnsi="微软雅黑" w:eastAsia="微软雅黑" w:cs="微软雅黑"/>
          <w:sz w:val="28"/>
          <w:szCs w:val="28"/>
          <w:highlight w:val="none"/>
        </w:rPr>
        <w:t>一、经济部分</w:t>
      </w:r>
      <w:bookmarkEnd w:id="200"/>
      <w:bookmarkEnd w:id="201"/>
      <w:bookmarkEnd w:id="202"/>
      <w:bookmarkEnd w:id="203"/>
      <w:bookmarkEnd w:id="204"/>
      <w:bookmarkEnd w:id="205"/>
      <w:bookmarkEnd w:id="206"/>
      <w:bookmarkEnd w:id="207"/>
      <w:bookmarkEnd w:id="208"/>
      <w:bookmarkEnd w:id="209"/>
    </w:p>
    <w:bookmarkEnd w:id="210"/>
    <w:bookmarkEnd w:id="211"/>
    <w:p>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（一）竞争性比选报价函</w:t>
      </w:r>
    </w:p>
    <w:p>
      <w:pPr>
        <w:tabs>
          <w:tab w:val="left" w:pos="6300"/>
        </w:tabs>
        <w:snapToGrid w:val="0"/>
        <w:spacing w:line="440" w:lineRule="exact"/>
        <w:ind w:firstLine="480" w:firstLineChars="200"/>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竞争性比选报价函</w:t>
      </w:r>
    </w:p>
    <w:p>
      <w:pPr>
        <w:tabs>
          <w:tab w:val="left" w:pos="6300"/>
        </w:tabs>
        <w:snapToGrid w:val="0"/>
        <w:spacing w:line="44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（采购单位名称）</w:t>
      </w:r>
      <w:r>
        <w:rPr>
          <w:rFonts w:hint="eastAsia" w:ascii="微软雅黑" w:hAnsi="微软雅黑" w:eastAsia="微软雅黑" w:cs="微软雅黑"/>
          <w:sz w:val="24"/>
          <w:szCs w:val="24"/>
          <w:highlight w:val="none"/>
        </w:rPr>
        <w:t>：</w:t>
      </w:r>
    </w:p>
    <w:p>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我方收到____________________________（项目名称）的竞争性比选文件，经详细研究，决定参加该项目的比选。</w:t>
      </w:r>
    </w:p>
    <w:p>
      <w:pPr>
        <w:tabs>
          <w:tab w:val="left" w:pos="6300"/>
        </w:tabs>
        <w:snapToGrid w:val="0"/>
        <w:spacing w:line="336" w:lineRule="auto"/>
        <w:ind w:firstLine="480" w:firstLineChars="200"/>
        <w:rPr>
          <w:rFonts w:hint="eastAsia" w:ascii="微软雅黑" w:hAnsi="微软雅黑" w:eastAsia="微软雅黑" w:cs="微软雅黑"/>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rPr>
        <w:t>愿意按照竞争性比选文件中的一切要求，提供本项目的工程服务，报价为人民币大写：</w:t>
      </w:r>
      <w:r>
        <w:rPr>
          <w:rFonts w:hint="eastAsia" w:ascii="微软雅黑" w:hAnsi="微软雅黑" w:eastAsia="微软雅黑" w:cs="微软雅黑"/>
          <w:u w:val="single"/>
        </w:rPr>
        <w:t xml:space="preserve">     </w:t>
      </w:r>
      <w:r>
        <w:rPr>
          <w:rFonts w:hint="eastAsia" w:ascii="微软雅黑" w:hAnsi="微软雅黑" w:eastAsia="微软雅黑" w:cs="微软雅黑"/>
        </w:rPr>
        <w:t>元整；人民币小写：</w:t>
      </w:r>
      <w:r>
        <w:rPr>
          <w:rFonts w:hint="eastAsia" w:ascii="微软雅黑" w:hAnsi="微软雅黑" w:eastAsia="微软雅黑" w:cs="微软雅黑"/>
          <w:u w:val="single"/>
        </w:rPr>
        <w:t xml:space="preserve">     </w:t>
      </w:r>
      <w:r>
        <w:rPr>
          <w:rFonts w:hint="eastAsia" w:ascii="微软雅黑" w:hAnsi="微软雅黑" w:eastAsia="微软雅黑" w:cs="微软雅黑"/>
        </w:rPr>
        <w:t>元，安全文明施工费为：</w:t>
      </w:r>
      <w:r>
        <w:rPr>
          <w:rFonts w:hint="eastAsia" w:ascii="微软雅黑" w:hAnsi="微软雅黑" w:eastAsia="微软雅黑" w:cs="微软雅黑"/>
          <w:u w:val="single"/>
        </w:rPr>
        <w:t xml:space="preserve">       </w:t>
      </w:r>
      <w:r>
        <w:rPr>
          <w:rFonts w:hint="eastAsia" w:ascii="微软雅黑" w:hAnsi="微软雅黑" w:eastAsia="微软雅黑" w:cs="微软雅黑"/>
        </w:rPr>
        <w:t>，工期为</w:t>
      </w:r>
      <w:r>
        <w:rPr>
          <w:rFonts w:hint="eastAsia" w:ascii="微软雅黑" w:hAnsi="微软雅黑" w:eastAsia="微软雅黑" w:cs="微软雅黑"/>
          <w:u w:val="single"/>
        </w:rPr>
        <w:t xml:space="preserve">：   </w:t>
      </w:r>
      <w:r>
        <w:rPr>
          <w:rFonts w:hint="eastAsia" w:ascii="微软雅黑" w:hAnsi="微软雅黑" w:eastAsia="微软雅黑" w:cs="微软雅黑"/>
        </w:rPr>
        <w:t>日历天，工程质量：</w:t>
      </w:r>
      <w:r>
        <w:rPr>
          <w:rFonts w:hint="eastAsia" w:ascii="微软雅黑" w:hAnsi="微软雅黑" w:eastAsia="微软雅黑" w:cs="微软雅黑"/>
          <w:b/>
          <w:bCs/>
          <w:u w:val="single"/>
        </w:rPr>
        <w:t>达到竞争性比选文件的要求</w:t>
      </w:r>
      <w:r>
        <w:rPr>
          <w:rFonts w:hint="eastAsia" w:ascii="微软雅黑" w:hAnsi="微软雅黑" w:eastAsia="微软雅黑" w:cs="微软雅黑"/>
        </w:rPr>
        <w:t>。</w:t>
      </w:r>
    </w:p>
    <w:p>
      <w:pPr>
        <w:tabs>
          <w:tab w:val="left" w:pos="6300"/>
        </w:tabs>
        <w:snapToGrid w:val="0"/>
        <w:spacing w:line="336"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2.我方现提交的响应文件为：响应文件正本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份，副本</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份。</w:t>
      </w:r>
    </w:p>
    <w:p>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3.我方承诺：本次竞争性比选的有效期为 90 天。</w:t>
      </w:r>
    </w:p>
    <w:p>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4.我方完全理解和接受贵方竞争性比选的一切规定和要求及评审办法。</w:t>
      </w:r>
    </w:p>
    <w:p>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5.在整个竞争性比选中，我方若有违规行为，接受按照相关规定及其实施条例等规定给予惩罚。</w:t>
      </w:r>
    </w:p>
    <w:p>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6.我方若成为成交供应商，将按照比选结果签订合同，并且严格履行合同义务。本承诺函将成为合同不可分割的一部分，与合同具有同等的法律效力。</w:t>
      </w:r>
    </w:p>
    <w:p>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7.我方理解，最低报价不是成交的唯一条件。</w:t>
      </w:r>
    </w:p>
    <w:p>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8.我方同意按竞争性比选文件规定，交纳竞争性比选文件要求的保证金（如果有）。如果我方成为成交供应商，保证在接到成交通知书后，向采购代理机构交纳比选通知书规定的采购代理服务费。</w:t>
      </w:r>
    </w:p>
    <w:p>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9.我方未为采购项目提供整体设计、规范编制或者项目管理、监理、检测等服务。</w:t>
      </w:r>
    </w:p>
    <w:p>
      <w:pPr>
        <w:tabs>
          <w:tab w:val="left" w:pos="6300"/>
        </w:tabs>
        <w:snapToGrid w:val="0"/>
        <w:spacing w:line="440" w:lineRule="exact"/>
        <w:rPr>
          <w:rFonts w:hint="eastAsia" w:ascii="微软雅黑" w:hAnsi="微软雅黑" w:eastAsia="微软雅黑" w:cs="微软雅黑"/>
          <w:sz w:val="24"/>
          <w:szCs w:val="24"/>
          <w:highlight w:val="none"/>
        </w:rPr>
      </w:pPr>
    </w:p>
    <w:p>
      <w:pPr>
        <w:tabs>
          <w:tab w:val="left" w:pos="6300"/>
        </w:tabs>
        <w:snapToGrid w:val="0"/>
        <w:spacing w:line="440" w:lineRule="exact"/>
        <w:ind w:firstLine="570"/>
        <w:rPr>
          <w:rFonts w:hint="eastAsia" w:ascii="微软雅黑" w:hAnsi="微软雅黑" w:eastAsia="微软雅黑" w:cs="微软雅黑"/>
          <w:sz w:val="24"/>
          <w:szCs w:val="24"/>
          <w:highlight w:val="none"/>
        </w:rPr>
      </w:pPr>
    </w:p>
    <w:p>
      <w:pPr>
        <w:tabs>
          <w:tab w:val="left" w:pos="6300"/>
        </w:tabs>
        <w:snapToGrid w:val="0"/>
        <w:spacing w:line="440" w:lineRule="exact"/>
        <w:ind w:firstLine="570"/>
        <w:rPr>
          <w:rFonts w:hint="eastAsia" w:ascii="微软雅黑" w:hAnsi="微软雅黑" w:eastAsia="微软雅黑" w:cs="微软雅黑"/>
          <w:sz w:val="24"/>
          <w:szCs w:val="24"/>
          <w:highlight w:val="none"/>
        </w:rPr>
      </w:pPr>
    </w:p>
    <w:p>
      <w:pPr>
        <w:tabs>
          <w:tab w:val="left" w:pos="6300"/>
        </w:tabs>
        <w:snapToGrid w:val="0"/>
        <w:spacing w:line="44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pPr>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年   月   日</w:t>
      </w:r>
    </w:p>
    <w:p>
      <w:pPr>
        <w:tabs>
          <w:tab w:val="left" w:pos="2895"/>
        </w:tabs>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（二）已标价工程量清单</w:t>
      </w:r>
    </w:p>
    <w:p>
      <w:pPr>
        <w:snapToGrid w:val="0"/>
        <w:spacing w:line="312" w:lineRule="auto"/>
        <w:ind w:firstLine="480" w:firstLineChars="200"/>
        <w:jc w:val="center"/>
        <w:rPr>
          <w:rFonts w:hint="eastAsia" w:ascii="微软雅黑" w:hAnsi="微软雅黑" w:eastAsia="微软雅黑" w:cs="微软雅黑"/>
          <w:sz w:val="24"/>
          <w:szCs w:val="24"/>
          <w:highlight w:val="none"/>
        </w:rPr>
      </w:pPr>
    </w:p>
    <w:p>
      <w:pPr>
        <w:snapToGrid w:val="0"/>
        <w:spacing w:line="312" w:lineRule="auto"/>
        <w:ind w:firstLine="480" w:firstLineChars="200"/>
        <w:jc w:val="center"/>
        <w:rPr>
          <w:rFonts w:hint="eastAsia" w:ascii="微软雅黑" w:hAnsi="微软雅黑" w:eastAsia="微软雅黑" w:cs="微软雅黑"/>
          <w:sz w:val="24"/>
          <w:szCs w:val="24"/>
          <w:highlight w:val="none"/>
        </w:rPr>
      </w:pPr>
    </w:p>
    <w:p>
      <w:pPr>
        <w:snapToGrid w:val="0"/>
        <w:spacing w:line="312" w:lineRule="auto"/>
        <w:ind w:firstLine="480" w:firstLineChars="200"/>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提供已标价工程量清单，可不提供单价分析表</w:t>
      </w:r>
    </w:p>
    <w:p>
      <w:pPr>
        <w:tabs>
          <w:tab w:val="left" w:pos="2895"/>
        </w:tabs>
        <w:spacing w:line="380" w:lineRule="exact"/>
        <w:ind w:firstLine="480" w:firstLineChars="200"/>
        <w:rPr>
          <w:rFonts w:hint="eastAsia" w:ascii="微软雅黑" w:hAnsi="微软雅黑" w:eastAsia="微软雅黑" w:cs="微软雅黑"/>
          <w:sz w:val="24"/>
          <w:szCs w:val="24"/>
          <w:highlight w:val="none"/>
        </w:rPr>
      </w:pPr>
    </w:p>
    <w:p>
      <w:pPr>
        <w:spacing w:line="380" w:lineRule="exact"/>
        <w:ind w:right="480"/>
        <w:rPr>
          <w:rFonts w:hint="eastAsia" w:ascii="微软雅黑" w:hAnsi="微软雅黑" w:eastAsia="微软雅黑" w:cs="微软雅黑"/>
          <w:sz w:val="24"/>
          <w:szCs w:val="24"/>
          <w:highlight w:val="none"/>
        </w:rPr>
      </w:pPr>
    </w:p>
    <w:p>
      <w:pPr>
        <w:pStyle w:val="9"/>
        <w:spacing w:before="0" w:after="0" w:line="440" w:lineRule="exact"/>
        <w:jc w:val="left"/>
        <w:rPr>
          <w:rFonts w:hint="eastAsia" w:ascii="微软雅黑" w:hAnsi="微软雅黑" w:eastAsia="微软雅黑" w:cs="微软雅黑"/>
          <w:szCs w:val="32"/>
          <w:highlight w:val="none"/>
        </w:rPr>
      </w:pPr>
      <w:bookmarkStart w:id="213" w:name="_Toc313888361"/>
      <w:bookmarkStart w:id="214" w:name="_Toc76462351"/>
      <w:bookmarkStart w:id="215" w:name="_Toc106030907"/>
      <w:bookmarkStart w:id="216" w:name="_Toc313008357"/>
      <w:bookmarkStart w:id="217" w:name="_Toc342913420"/>
      <w:bookmarkStart w:id="218" w:name="_Toc30584"/>
      <w:bookmarkStart w:id="219" w:name="_Toc789"/>
      <w:bookmarkStart w:id="220" w:name="_Toc19270"/>
      <w:bookmarkStart w:id="221" w:name="_Toc18067"/>
      <w:bookmarkStart w:id="222" w:name="_Toc6152"/>
      <w:bookmarkStart w:id="223" w:name="_Toc313888362"/>
      <w:bookmarkStart w:id="224" w:name="_Toc29845"/>
      <w:bookmarkStart w:id="225" w:name="_Toc313008358"/>
      <w:bookmarkStart w:id="226" w:name="_Toc342913421"/>
      <w:bookmarkStart w:id="227" w:name="_Toc25084"/>
      <w:r>
        <w:rPr>
          <w:rFonts w:hint="eastAsia" w:ascii="微软雅黑" w:hAnsi="微软雅黑" w:eastAsia="微软雅黑" w:cs="微软雅黑"/>
          <w:szCs w:val="32"/>
          <w:highlight w:val="none"/>
        </w:rPr>
        <w:br w:type="page"/>
      </w:r>
      <w:bookmarkStart w:id="228" w:name="_Toc25212"/>
      <w:r>
        <w:rPr>
          <w:rFonts w:hint="eastAsia" w:ascii="微软雅黑" w:hAnsi="微软雅黑" w:eastAsia="微软雅黑" w:cs="微软雅黑"/>
          <w:sz w:val="28"/>
          <w:szCs w:val="28"/>
          <w:highlight w:val="none"/>
        </w:rPr>
        <w:t>二、</w:t>
      </w:r>
      <w:bookmarkEnd w:id="213"/>
      <w:bookmarkEnd w:id="214"/>
      <w:bookmarkEnd w:id="215"/>
      <w:bookmarkEnd w:id="216"/>
      <w:bookmarkEnd w:id="217"/>
      <w:r>
        <w:rPr>
          <w:rFonts w:hint="eastAsia" w:ascii="微软雅黑" w:hAnsi="微软雅黑" w:eastAsia="微软雅黑" w:cs="微软雅黑"/>
          <w:sz w:val="28"/>
          <w:szCs w:val="28"/>
          <w:highlight w:val="none"/>
          <w:lang w:val="en-US" w:eastAsia="zh-CN"/>
        </w:rPr>
        <w:t>技术（质量）</w:t>
      </w:r>
      <w:r>
        <w:rPr>
          <w:rFonts w:hint="eastAsia" w:ascii="微软雅黑" w:hAnsi="微软雅黑" w:eastAsia="微软雅黑" w:cs="微软雅黑"/>
          <w:sz w:val="28"/>
          <w:szCs w:val="28"/>
          <w:highlight w:val="none"/>
        </w:rPr>
        <w:t>部分</w:t>
      </w:r>
      <w:bookmarkEnd w:id="218"/>
      <w:bookmarkEnd w:id="219"/>
      <w:bookmarkEnd w:id="220"/>
      <w:bookmarkEnd w:id="221"/>
      <w:bookmarkEnd w:id="228"/>
    </w:p>
    <w:p>
      <w:pPr>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（一）技术应答（格式自拟）</w:t>
      </w:r>
    </w:p>
    <w:p>
      <w:pPr>
        <w:snapToGrid w:val="0"/>
        <w:spacing w:line="360" w:lineRule="auto"/>
        <w:jc w:val="center"/>
        <w:rPr>
          <w:rFonts w:hint="eastAsia" w:ascii="微软雅黑" w:hAnsi="微软雅黑" w:eastAsia="微软雅黑" w:cs="微软雅黑"/>
          <w:sz w:val="24"/>
          <w:szCs w:val="24"/>
          <w:highlight w:val="none"/>
        </w:rPr>
      </w:pPr>
    </w:p>
    <w:p>
      <w:pPr>
        <w:snapToGrid w:val="0"/>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供应商可根据本</w:t>
      </w:r>
      <w:r>
        <w:rPr>
          <w:rFonts w:hint="eastAsia" w:ascii="微软雅黑" w:hAnsi="微软雅黑" w:eastAsia="微软雅黑" w:cs="微软雅黑"/>
          <w:sz w:val="24"/>
          <w:szCs w:val="24"/>
          <w:highlight w:val="none"/>
          <w:lang w:val="en-US" w:eastAsia="zh-CN"/>
        </w:rPr>
        <w:t>竞采</w:t>
      </w:r>
      <w:r>
        <w:rPr>
          <w:rFonts w:hint="eastAsia" w:ascii="微软雅黑" w:hAnsi="微软雅黑" w:eastAsia="微软雅黑" w:cs="微软雅黑"/>
          <w:sz w:val="24"/>
          <w:szCs w:val="24"/>
          <w:highlight w:val="none"/>
        </w:rPr>
        <w:t>文件“第</w:t>
      </w:r>
      <w:r>
        <w:rPr>
          <w:rFonts w:hint="eastAsia" w:ascii="微软雅黑" w:hAnsi="微软雅黑" w:eastAsia="微软雅黑" w:cs="微软雅黑"/>
          <w:sz w:val="24"/>
          <w:szCs w:val="24"/>
          <w:highlight w:val="none"/>
          <w:lang w:val="en-US" w:eastAsia="zh-CN"/>
        </w:rPr>
        <w:t>二篇 供应商须知</w:t>
      </w:r>
      <w:r>
        <w:rPr>
          <w:rFonts w:hint="eastAsia" w:ascii="微软雅黑" w:hAnsi="微软雅黑" w:eastAsia="微软雅黑" w:cs="微软雅黑"/>
          <w:sz w:val="24"/>
          <w:szCs w:val="24"/>
          <w:highlight w:val="none"/>
        </w:rPr>
        <w:t>、→评审标准→技术部分”中的要求提供。</w:t>
      </w:r>
    </w:p>
    <w:p>
      <w:pPr>
        <w:snapToGrid w:val="0"/>
        <w:spacing w:line="4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highlight w:val="none"/>
        </w:rPr>
        <w:t>。</w:t>
      </w:r>
    </w:p>
    <w:p>
      <w:pPr>
        <w:snapToGrid w:val="0"/>
        <w:spacing w:line="360" w:lineRule="auto"/>
        <w:jc w:val="both"/>
        <w:rPr>
          <w:rFonts w:hint="eastAsia" w:ascii="微软雅黑" w:hAnsi="微软雅黑" w:eastAsia="微软雅黑" w:cs="微软雅黑"/>
          <w:sz w:val="24"/>
          <w:szCs w:val="24"/>
          <w:highlight w:val="none"/>
        </w:rPr>
      </w:pPr>
    </w:p>
    <w:p>
      <w:pPr>
        <w:snapToGrid w:val="0"/>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（二）技术响应偏离表</w:t>
      </w:r>
    </w:p>
    <w:p>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项目名称：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360" w:lineRule="auto"/>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2658" w:type="dxa"/>
            <w:noWrap w:val="0"/>
            <w:vAlign w:val="center"/>
          </w:tcPr>
          <w:p>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采购需求</w:t>
            </w:r>
          </w:p>
        </w:tc>
        <w:tc>
          <w:tcPr>
            <w:tcW w:w="2759" w:type="dxa"/>
            <w:noWrap w:val="0"/>
            <w:vAlign w:val="center"/>
          </w:tcPr>
          <w:p>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响应情况</w:t>
            </w:r>
          </w:p>
        </w:tc>
        <w:tc>
          <w:tcPr>
            <w:tcW w:w="2067" w:type="dxa"/>
            <w:noWrap w:val="0"/>
            <w:vAlign w:val="center"/>
          </w:tcPr>
          <w:p>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noWrap w:val="0"/>
            <w:vAlign w:val="center"/>
          </w:tcPr>
          <w:p>
            <w:pPr>
              <w:spacing w:line="360" w:lineRule="auto"/>
              <w:rPr>
                <w:rFonts w:hint="eastAsia" w:ascii="微软雅黑" w:hAnsi="微软雅黑" w:eastAsia="微软雅黑" w:cs="微软雅黑"/>
                <w:highlight w:val="none"/>
              </w:rPr>
            </w:pPr>
            <w:bookmarkStart w:id="229" w:name="_Toc30143"/>
            <w:bookmarkStart w:id="230" w:name="_Toc8080"/>
            <w:r>
              <w:rPr>
                <w:rFonts w:hint="eastAsia" w:ascii="微软雅黑" w:hAnsi="微软雅黑" w:eastAsia="微软雅黑" w:cs="微软雅黑"/>
                <w:sz w:val="24"/>
                <w:highlight w:val="none"/>
              </w:rPr>
              <w:t>提醒：请注明技术参数或具体内容</w:t>
            </w:r>
            <w:bookmarkEnd w:id="229"/>
            <w:bookmarkEnd w:id="230"/>
          </w:p>
        </w:tc>
        <w:tc>
          <w:tcPr>
            <w:tcW w:w="2067"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bl>
    <w:p>
      <w:pPr>
        <w:spacing w:line="360" w:lineRule="auto"/>
        <w:ind w:firstLine="600" w:firstLineChars="250"/>
        <w:rPr>
          <w:rFonts w:hint="eastAsia" w:ascii="微软雅黑" w:hAnsi="微软雅黑" w:eastAsia="微软雅黑" w:cs="微软雅黑"/>
          <w:sz w:val="24"/>
          <w:highlight w:val="none"/>
        </w:rPr>
      </w:pPr>
    </w:p>
    <w:p>
      <w:pPr>
        <w:spacing w:line="360" w:lineRule="auto"/>
        <w:ind w:firstLine="840" w:firstLineChars="35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供应商：                   法定代表人（或法定代表人授权代表）或自然人：</w:t>
      </w:r>
    </w:p>
    <w:p>
      <w:pPr>
        <w:spacing w:line="360" w:lineRule="auto"/>
        <w:rPr>
          <w:rFonts w:hint="eastAsia" w:ascii="微软雅黑" w:hAnsi="微软雅黑" w:eastAsia="微软雅黑" w:cs="微软雅黑"/>
          <w:sz w:val="24"/>
          <w:highlight w:val="none"/>
        </w:rPr>
      </w:pPr>
    </w:p>
    <w:p>
      <w:pPr>
        <w:spacing w:line="360" w:lineRule="auto"/>
        <w:ind w:firstLine="720" w:firstLineChars="3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（供应商公章）                               （签字或盖章）</w:t>
      </w:r>
    </w:p>
    <w:p>
      <w:pPr>
        <w:tabs>
          <w:tab w:val="left" w:pos="6300"/>
        </w:tabs>
        <w:snapToGrid w:val="0"/>
        <w:spacing w:line="360" w:lineRule="auto"/>
        <w:ind w:firstLine="57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年     月     日</w:t>
      </w:r>
    </w:p>
    <w:p>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注：</w:t>
      </w:r>
    </w:p>
    <w:p>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1.本表即为对本项目“第</w:t>
      </w:r>
      <w:r>
        <w:rPr>
          <w:rFonts w:hint="eastAsia" w:ascii="微软雅黑" w:hAnsi="微软雅黑" w:eastAsia="微软雅黑" w:cs="微软雅黑"/>
          <w:sz w:val="24"/>
          <w:highlight w:val="none"/>
          <w:lang w:val="en-US" w:eastAsia="zh-CN"/>
        </w:rPr>
        <w:t>二</w:t>
      </w:r>
      <w:r>
        <w:rPr>
          <w:rFonts w:hint="eastAsia" w:ascii="微软雅黑" w:hAnsi="微软雅黑" w:eastAsia="微软雅黑" w:cs="微软雅黑"/>
          <w:sz w:val="24"/>
          <w:highlight w:val="none"/>
        </w:rPr>
        <w:t>篇  项目技术（质量）需求”中所列条款进行比较和响应；</w:t>
      </w:r>
    </w:p>
    <w:p>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2.本表可扩展；</w:t>
      </w:r>
    </w:p>
    <w:p>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3.可附相关技术（质量）支撑材料。（格式自定）</w:t>
      </w:r>
    </w:p>
    <w:p>
      <w:pPr>
        <w:tabs>
          <w:tab w:val="left" w:pos="6300"/>
        </w:tabs>
        <w:snapToGrid w:val="0"/>
        <w:spacing w:line="400" w:lineRule="exact"/>
        <w:ind w:firstLine="480" w:firstLineChars="200"/>
        <w:rPr>
          <w:rFonts w:hint="eastAsia" w:ascii="微软雅黑" w:hAnsi="微软雅黑" w:eastAsia="微软雅黑" w:cs="微软雅黑"/>
          <w:szCs w:val="24"/>
          <w:highlight w:val="none"/>
        </w:rPr>
      </w:pPr>
    </w:p>
    <w:p>
      <w:pPr>
        <w:pStyle w:val="9"/>
        <w:spacing w:before="0" w:after="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br w:type="page"/>
      </w:r>
      <w:bookmarkStart w:id="231" w:name="_Toc8729"/>
      <w:bookmarkStart w:id="232" w:name="_Toc25321"/>
      <w:bookmarkStart w:id="233" w:name="_Toc6788"/>
      <w:bookmarkStart w:id="234" w:name="_Toc2840"/>
      <w:bookmarkStart w:id="235" w:name="_Toc13816"/>
      <w:r>
        <w:rPr>
          <w:rFonts w:hint="eastAsia" w:ascii="微软雅黑" w:hAnsi="微软雅黑" w:eastAsia="微软雅黑" w:cs="微软雅黑"/>
          <w:sz w:val="28"/>
          <w:szCs w:val="28"/>
          <w:highlight w:val="none"/>
        </w:rPr>
        <w:t>三、商务部分</w:t>
      </w:r>
      <w:bookmarkEnd w:id="222"/>
      <w:bookmarkEnd w:id="223"/>
      <w:bookmarkEnd w:id="224"/>
      <w:bookmarkEnd w:id="225"/>
      <w:bookmarkEnd w:id="226"/>
      <w:bookmarkEnd w:id="227"/>
      <w:bookmarkEnd w:id="231"/>
      <w:bookmarkEnd w:id="232"/>
      <w:bookmarkEnd w:id="233"/>
      <w:bookmarkEnd w:id="234"/>
      <w:bookmarkEnd w:id="235"/>
    </w:p>
    <w:p>
      <w:pPr>
        <w:snapToGrid w:val="0"/>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一</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商务响应偏离表</w:t>
      </w:r>
    </w:p>
    <w:p>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p>
    <w:p>
      <w:pPr>
        <w:snapToGrid w:val="0"/>
        <w:spacing w:line="400" w:lineRule="exact"/>
        <w:ind w:firstLine="480" w:firstLineChars="200"/>
        <w:rPr>
          <w:rFonts w:hint="eastAsia" w:ascii="微软雅黑" w:hAnsi="微软雅黑" w:eastAsia="微软雅黑" w:cs="微软雅黑"/>
          <w:sz w:val="24"/>
          <w:szCs w:val="24"/>
          <w:highlight w:val="none"/>
        </w:rPr>
      </w:pP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0" w:type="dxa"/>
            <w:noWrap w:val="0"/>
            <w:vAlign w:val="center"/>
          </w:tcPr>
          <w:p>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3179" w:type="dxa"/>
            <w:noWrap w:val="0"/>
            <w:vAlign w:val="center"/>
          </w:tcPr>
          <w:p>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项目商务需求</w:t>
            </w:r>
          </w:p>
        </w:tc>
        <w:tc>
          <w:tcPr>
            <w:tcW w:w="2434" w:type="dxa"/>
            <w:noWrap w:val="0"/>
            <w:vAlign w:val="center"/>
          </w:tcPr>
          <w:p>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响应情况</w:t>
            </w:r>
          </w:p>
        </w:tc>
        <w:tc>
          <w:tcPr>
            <w:tcW w:w="2355" w:type="dxa"/>
            <w:noWrap w:val="0"/>
            <w:vAlign w:val="center"/>
          </w:tcPr>
          <w:p>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bl>
    <w:p>
      <w:pPr>
        <w:snapToGrid w:val="0"/>
        <w:spacing w:line="360" w:lineRule="auto"/>
        <w:ind w:firstLine="465"/>
        <w:rPr>
          <w:rFonts w:hint="eastAsia" w:ascii="微软雅黑" w:hAnsi="微软雅黑" w:eastAsia="微软雅黑" w:cs="微软雅黑"/>
          <w:sz w:val="24"/>
          <w:szCs w:val="24"/>
          <w:highlight w:val="none"/>
        </w:rPr>
      </w:pPr>
    </w:p>
    <w:p>
      <w:pPr>
        <w:spacing w:line="500" w:lineRule="exact"/>
        <w:ind w:firstLine="600" w:firstLineChars="2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                            法定代表人（或其授权代表）或自然人：</w:t>
      </w:r>
    </w:p>
    <w:p>
      <w:pPr>
        <w:spacing w:line="500" w:lineRule="exac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    </w:t>
      </w:r>
    </w:p>
    <w:p>
      <w:pPr>
        <w:spacing w:line="500" w:lineRule="exact"/>
        <w:ind w:firstLine="360" w:firstLineChars="1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（供应商公章）                                 （签署或盖章）</w:t>
      </w:r>
    </w:p>
    <w:p>
      <w:pPr>
        <w:tabs>
          <w:tab w:val="left" w:pos="6300"/>
        </w:tabs>
        <w:snapToGrid w:val="0"/>
        <w:spacing w:line="500" w:lineRule="exact"/>
        <w:ind w:firstLine="570"/>
        <w:rPr>
          <w:rFonts w:hint="eastAsia" w:ascii="微软雅黑" w:hAnsi="微软雅黑" w:eastAsia="微软雅黑" w:cs="微软雅黑"/>
          <w:sz w:val="24"/>
          <w:highlight w:val="none"/>
        </w:rPr>
      </w:pPr>
      <w:r>
        <w:rPr>
          <w:rFonts w:hint="eastAsia" w:ascii="微软雅黑" w:hAnsi="微软雅黑" w:eastAsia="微软雅黑" w:cs="微软雅黑"/>
          <w:sz w:val="24"/>
          <w:szCs w:val="28"/>
          <w:highlight w:val="none"/>
        </w:rPr>
        <w:t xml:space="preserve">                                            年     月     日</w:t>
      </w:r>
    </w:p>
    <w:p>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注：</w:t>
      </w:r>
    </w:p>
    <w:p>
      <w:pPr>
        <w:tabs>
          <w:tab w:val="left" w:pos="6300"/>
        </w:tabs>
        <w:snapToGrid w:val="0"/>
        <w:spacing w:line="500" w:lineRule="exact"/>
        <w:ind w:firstLine="480" w:firstLineChars="200"/>
        <w:rPr>
          <w:rFonts w:hint="eastAsia" w:ascii="微软雅黑" w:hAnsi="微软雅黑" w:eastAsia="微软雅黑" w:cs="微软雅黑"/>
          <w:szCs w:val="28"/>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highlight w:val="none"/>
        </w:rPr>
        <w:t>.本表即为对本项目“第三篇 项目商务需求”中所列条款进行比较和响应。</w:t>
      </w:r>
    </w:p>
    <w:p>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2.本表可扩展。</w:t>
      </w:r>
    </w:p>
    <w:p>
      <w:pPr>
        <w:tabs>
          <w:tab w:val="left" w:pos="6300"/>
        </w:tabs>
        <w:snapToGrid w:val="0"/>
        <w:spacing w:line="500" w:lineRule="exact"/>
        <w:ind w:firstLine="480" w:firstLineChars="200"/>
        <w:rPr>
          <w:rFonts w:hint="eastAsia" w:ascii="微软雅黑" w:hAnsi="微软雅黑" w:eastAsia="微软雅黑" w:cs="微软雅黑"/>
          <w:szCs w:val="28"/>
          <w:highlight w:val="none"/>
        </w:rPr>
      </w:pPr>
    </w:p>
    <w:p>
      <w:pPr>
        <w:snapToGrid w:val="0"/>
        <w:spacing w:line="360" w:lineRule="auto"/>
        <w:rPr>
          <w:rFonts w:hint="eastAsia" w:ascii="微软雅黑" w:hAnsi="微软雅黑" w:eastAsia="微软雅黑" w:cs="微软雅黑"/>
          <w:sz w:val="24"/>
          <w:szCs w:val="24"/>
          <w:highlight w:val="none"/>
        </w:rPr>
      </w:pPr>
    </w:p>
    <w:p>
      <w:pPr>
        <w:autoSpaceDE w:val="0"/>
        <w:autoSpaceDN w:val="0"/>
        <w:adjustRightInd w:val="0"/>
        <w:snapToGrid w:val="0"/>
        <w:spacing w:line="360" w:lineRule="auto"/>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kern w:val="0"/>
          <w:sz w:val="24"/>
          <w:szCs w:val="24"/>
          <w:highlight w:val="none"/>
        </w:rPr>
        <w:t>项目管理机构组成表</w:t>
      </w:r>
    </w:p>
    <w:tbl>
      <w:tblPr>
        <w:tblStyle w:val="33"/>
        <w:tblW w:w="10207"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850"/>
        <w:gridCol w:w="851"/>
        <w:gridCol w:w="1167"/>
        <w:gridCol w:w="1152"/>
        <w:gridCol w:w="1510"/>
        <w:gridCol w:w="2008"/>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vMerge w:val="restart"/>
            <w:noWrap w:val="0"/>
            <w:vAlign w:val="center"/>
          </w:tcPr>
          <w:p>
            <w:pPr>
              <w:autoSpaceDE w:val="0"/>
              <w:autoSpaceDN w:val="0"/>
              <w:adjustRightInd w:val="0"/>
              <w:snapToGrid w:val="0"/>
              <w:ind w:left="4" w:hanging="4" w:hangingChars="2"/>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职务</w:t>
            </w:r>
          </w:p>
        </w:tc>
        <w:tc>
          <w:tcPr>
            <w:tcW w:w="850" w:type="dxa"/>
            <w:vMerge w:val="restart"/>
            <w:noWrap w:val="0"/>
            <w:vAlign w:val="center"/>
          </w:tcPr>
          <w:p>
            <w:pPr>
              <w:autoSpaceDE w:val="0"/>
              <w:autoSpaceDN w:val="0"/>
              <w:adjustRightInd w:val="0"/>
              <w:snapToGrid w:val="0"/>
              <w:jc w:val="lef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姓名</w:t>
            </w:r>
          </w:p>
        </w:tc>
        <w:tc>
          <w:tcPr>
            <w:tcW w:w="851" w:type="dxa"/>
            <w:vMerge w:val="restart"/>
            <w:noWrap w:val="0"/>
            <w:vAlign w:val="center"/>
          </w:tcPr>
          <w:p>
            <w:pPr>
              <w:autoSpaceDE w:val="0"/>
              <w:autoSpaceDN w:val="0"/>
              <w:adjustRightInd w:val="0"/>
              <w:snapToGrid w:val="0"/>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职称</w:t>
            </w:r>
          </w:p>
        </w:tc>
        <w:tc>
          <w:tcPr>
            <w:tcW w:w="5837" w:type="dxa"/>
            <w:gridSpan w:val="4"/>
            <w:noWrap w:val="0"/>
            <w:vAlign w:val="center"/>
          </w:tcPr>
          <w:p>
            <w:pPr>
              <w:autoSpaceDE w:val="0"/>
              <w:autoSpaceDN w:val="0"/>
              <w:adjustRightInd w:val="0"/>
              <w:snapToGrid w:val="0"/>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执业或职业资格证明</w:t>
            </w:r>
          </w:p>
        </w:tc>
        <w:tc>
          <w:tcPr>
            <w:tcW w:w="1534" w:type="dxa"/>
            <w:noWrap w:val="0"/>
            <w:vAlign w:val="center"/>
          </w:tcPr>
          <w:p>
            <w:pPr>
              <w:autoSpaceDE w:val="0"/>
              <w:autoSpaceDN w:val="0"/>
              <w:adjustRightInd w:val="0"/>
              <w:snapToGrid w:val="0"/>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vMerge w:val="continue"/>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vMerge w:val="continue"/>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vMerge w:val="continue"/>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center"/>
          </w:tcPr>
          <w:p>
            <w:pPr>
              <w:autoSpaceDE w:val="0"/>
              <w:autoSpaceDN w:val="0"/>
              <w:adjustRightInd w:val="0"/>
              <w:snapToGrid w:val="0"/>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证书名称</w:t>
            </w:r>
          </w:p>
        </w:tc>
        <w:tc>
          <w:tcPr>
            <w:tcW w:w="1152" w:type="dxa"/>
            <w:noWrap w:val="0"/>
            <w:vAlign w:val="center"/>
          </w:tcPr>
          <w:p>
            <w:pPr>
              <w:autoSpaceDE w:val="0"/>
              <w:autoSpaceDN w:val="0"/>
              <w:adjustRightInd w:val="0"/>
              <w:snapToGrid w:val="0"/>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级别</w:t>
            </w:r>
          </w:p>
        </w:tc>
        <w:tc>
          <w:tcPr>
            <w:tcW w:w="1510" w:type="dxa"/>
            <w:noWrap w:val="0"/>
            <w:vAlign w:val="center"/>
          </w:tcPr>
          <w:p>
            <w:pPr>
              <w:autoSpaceDE w:val="0"/>
              <w:autoSpaceDN w:val="0"/>
              <w:adjustRightInd w:val="0"/>
              <w:snapToGrid w:val="0"/>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证号</w:t>
            </w:r>
          </w:p>
        </w:tc>
        <w:tc>
          <w:tcPr>
            <w:tcW w:w="2008" w:type="dxa"/>
            <w:noWrap w:val="0"/>
            <w:vAlign w:val="center"/>
          </w:tcPr>
          <w:p>
            <w:pPr>
              <w:autoSpaceDE w:val="0"/>
              <w:autoSpaceDN w:val="0"/>
              <w:adjustRightInd w:val="0"/>
              <w:snapToGrid w:val="0"/>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专业</w:t>
            </w: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center"/>
          </w:tcPr>
          <w:p>
            <w:pPr>
              <w:autoSpaceDE w:val="0"/>
              <w:autoSpaceDN w:val="0"/>
              <w:adjustRightInd w:val="0"/>
              <w:snapToGrid w:val="0"/>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项目经理</w:t>
            </w: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exact"/>
        </w:trPr>
        <w:tc>
          <w:tcPr>
            <w:tcW w:w="1135" w:type="dxa"/>
            <w:noWrap w:val="0"/>
            <w:vAlign w:val="center"/>
          </w:tcPr>
          <w:p>
            <w:pPr>
              <w:autoSpaceDE w:val="0"/>
              <w:autoSpaceDN w:val="0"/>
              <w:adjustRightInd w:val="0"/>
              <w:snapToGrid w:val="0"/>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技术负责人</w:t>
            </w: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exact"/>
        </w:trPr>
        <w:tc>
          <w:tcPr>
            <w:tcW w:w="1135"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851"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67"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152"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10"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2008"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c>
          <w:tcPr>
            <w:tcW w:w="1534" w:type="dxa"/>
            <w:noWrap w:val="0"/>
            <w:vAlign w:val="top"/>
          </w:tcPr>
          <w:p>
            <w:pPr>
              <w:autoSpaceDE w:val="0"/>
              <w:autoSpaceDN w:val="0"/>
              <w:adjustRightInd w:val="0"/>
              <w:snapToGrid w:val="0"/>
              <w:jc w:val="left"/>
              <w:rPr>
                <w:rFonts w:hint="eastAsia" w:ascii="微软雅黑" w:hAnsi="微软雅黑" w:eastAsia="微软雅黑" w:cs="微软雅黑"/>
                <w:kern w:val="0"/>
                <w:sz w:val="21"/>
                <w:szCs w:val="21"/>
                <w:highlight w:val="none"/>
              </w:rPr>
            </w:pPr>
          </w:p>
        </w:tc>
      </w:tr>
    </w:tbl>
    <w:p>
      <w:pPr>
        <w:spacing w:line="20" w:lineRule="exact"/>
        <w:jc w:val="center"/>
        <w:rPr>
          <w:rFonts w:hint="eastAsia" w:ascii="微软雅黑" w:hAnsi="微软雅黑" w:eastAsia="微软雅黑" w:cs="微软雅黑"/>
          <w:sz w:val="21"/>
          <w:szCs w:val="21"/>
          <w:highlight w:val="none"/>
        </w:rPr>
      </w:pPr>
    </w:p>
    <w:p>
      <w:pPr>
        <w:tabs>
          <w:tab w:val="left" w:pos="6300"/>
        </w:tabs>
        <w:snapToGrid w:val="0"/>
        <w:spacing w:line="360" w:lineRule="auto"/>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备注：本表仅填项目经理和技术负责人相关信息，后附相关证明材料。</w:t>
      </w:r>
    </w:p>
    <w:p>
      <w:pPr>
        <w:tabs>
          <w:tab w:val="left" w:pos="6300"/>
        </w:tabs>
        <w:snapToGrid w:val="0"/>
        <w:spacing w:line="360" w:lineRule="auto"/>
        <w:ind w:firstLine="420" w:firstLineChars="200"/>
        <w:jc w:val="center"/>
        <w:rPr>
          <w:rFonts w:hint="eastAsia" w:ascii="微软雅黑" w:hAnsi="微软雅黑" w:eastAsia="微软雅黑" w:cs="微软雅黑"/>
          <w:sz w:val="21"/>
          <w:szCs w:val="21"/>
          <w:highlight w:val="none"/>
        </w:rPr>
      </w:pPr>
    </w:p>
    <w:p>
      <w:pPr>
        <w:tabs>
          <w:tab w:val="left" w:pos="6300"/>
        </w:tabs>
        <w:snapToGrid w:val="0"/>
        <w:spacing w:line="360" w:lineRule="auto"/>
        <w:ind w:firstLine="420" w:firstLineChars="200"/>
        <w:jc w:val="center"/>
        <w:rPr>
          <w:rFonts w:hint="eastAsia" w:ascii="微软雅黑" w:hAnsi="微软雅黑" w:eastAsia="微软雅黑" w:cs="微软雅黑"/>
          <w:sz w:val="21"/>
          <w:szCs w:val="21"/>
          <w:highlight w:val="none"/>
        </w:rPr>
      </w:pPr>
    </w:p>
    <w:p>
      <w:pPr>
        <w:tabs>
          <w:tab w:val="left" w:pos="6300"/>
        </w:tabs>
        <w:snapToGrid w:val="0"/>
        <w:spacing w:line="360" w:lineRule="auto"/>
        <w:ind w:firstLine="420" w:firstLineChars="200"/>
        <w:jc w:val="center"/>
        <w:rPr>
          <w:rFonts w:hint="eastAsia" w:ascii="微软雅黑" w:hAnsi="微软雅黑" w:eastAsia="微软雅黑" w:cs="微软雅黑"/>
          <w:sz w:val="21"/>
          <w:szCs w:val="21"/>
          <w:highlight w:val="none"/>
        </w:rPr>
      </w:pPr>
    </w:p>
    <w:p>
      <w:pPr>
        <w:tabs>
          <w:tab w:val="left" w:pos="6300"/>
        </w:tabs>
        <w:snapToGrid w:val="0"/>
        <w:spacing w:line="360" w:lineRule="auto"/>
        <w:ind w:firstLine="420" w:firstLineChars="200"/>
        <w:jc w:val="center"/>
        <w:rPr>
          <w:rFonts w:hint="eastAsia" w:ascii="微软雅黑" w:hAnsi="微软雅黑" w:eastAsia="微软雅黑" w:cs="微软雅黑"/>
          <w:sz w:val="21"/>
          <w:szCs w:val="21"/>
          <w:highlight w:val="none"/>
        </w:rPr>
      </w:pPr>
    </w:p>
    <w:p>
      <w:pPr>
        <w:tabs>
          <w:tab w:val="left" w:pos="6300"/>
        </w:tabs>
        <w:snapToGrid w:val="0"/>
        <w:spacing w:line="360" w:lineRule="auto"/>
        <w:ind w:firstLine="420" w:firstLineChars="200"/>
        <w:jc w:val="center"/>
        <w:rPr>
          <w:rFonts w:hint="eastAsia" w:ascii="微软雅黑" w:hAnsi="微软雅黑" w:eastAsia="微软雅黑" w:cs="微软雅黑"/>
          <w:sz w:val="21"/>
          <w:szCs w:val="21"/>
          <w:highlight w:val="none"/>
        </w:rPr>
      </w:pPr>
    </w:p>
    <w:p>
      <w:pPr>
        <w:tabs>
          <w:tab w:val="left" w:pos="6300"/>
        </w:tabs>
        <w:snapToGrid w:val="0"/>
        <w:spacing w:line="360" w:lineRule="auto"/>
        <w:ind w:firstLine="420" w:firstLineChars="200"/>
        <w:jc w:val="center"/>
        <w:rPr>
          <w:rFonts w:hint="eastAsia" w:ascii="微软雅黑" w:hAnsi="微软雅黑" w:eastAsia="微软雅黑" w:cs="微软雅黑"/>
          <w:sz w:val="21"/>
          <w:szCs w:val="21"/>
          <w:highlight w:val="none"/>
        </w:rPr>
      </w:pPr>
    </w:p>
    <w:p>
      <w:pPr>
        <w:tabs>
          <w:tab w:val="left" w:pos="6300"/>
        </w:tabs>
        <w:snapToGrid w:val="0"/>
        <w:spacing w:line="360" w:lineRule="auto"/>
        <w:ind w:firstLine="420" w:firstLineChars="200"/>
        <w:jc w:val="center"/>
        <w:rPr>
          <w:rFonts w:hint="eastAsia" w:ascii="微软雅黑" w:hAnsi="微软雅黑" w:eastAsia="微软雅黑" w:cs="微软雅黑"/>
          <w:sz w:val="21"/>
          <w:szCs w:val="21"/>
          <w:highlight w:val="none"/>
        </w:rPr>
      </w:pPr>
    </w:p>
    <w:p>
      <w:pPr>
        <w:autoSpaceDE w:val="0"/>
        <w:autoSpaceDN w:val="0"/>
        <w:adjustRightInd w:val="0"/>
        <w:snapToGrid w:val="0"/>
        <w:spacing w:line="360" w:lineRule="auto"/>
        <w:jc w:val="center"/>
        <w:rPr>
          <w:rFonts w:hint="eastAsia" w:ascii="微软雅黑" w:hAnsi="微软雅黑" w:eastAsia="微软雅黑" w:cs="微软雅黑"/>
          <w:kern w:val="0"/>
          <w:sz w:val="24"/>
          <w:szCs w:val="24"/>
          <w:highlight w:val="none"/>
        </w:rPr>
      </w:pPr>
      <w:bookmarkStart w:id="236" w:name="_Toc66865980"/>
      <w:r>
        <w:rPr>
          <w:rFonts w:hint="eastAsia" w:ascii="微软雅黑" w:hAnsi="微软雅黑" w:eastAsia="微软雅黑" w:cs="微软雅黑"/>
          <w:kern w:val="0"/>
          <w:sz w:val="24"/>
          <w:szCs w:val="24"/>
          <w:highlight w:val="none"/>
        </w:rPr>
        <w:t>承诺书</w:t>
      </w:r>
      <w:bookmarkEnd w:id="236"/>
    </w:p>
    <w:p>
      <w:pPr>
        <w:spacing w:line="400" w:lineRule="exact"/>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u w:val="single"/>
        </w:rPr>
        <w:t xml:space="preserve">        （采购人名称）</w:t>
      </w:r>
      <w:r>
        <w:rPr>
          <w:rFonts w:hint="eastAsia" w:ascii="微软雅黑" w:hAnsi="微软雅黑" w:eastAsia="微软雅黑" w:cs="微软雅黑"/>
          <w:sz w:val="24"/>
          <w:szCs w:val="24"/>
          <w:highlight w:val="none"/>
        </w:rPr>
        <w:t>：</w:t>
      </w:r>
    </w:p>
    <w:p>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我公司</w:t>
      </w:r>
      <w:r>
        <w:rPr>
          <w:rFonts w:hint="eastAsia" w:ascii="微软雅黑" w:hAnsi="微软雅黑" w:eastAsia="微软雅黑" w:cs="微软雅黑"/>
          <w:sz w:val="24"/>
          <w:szCs w:val="24"/>
          <w:highlight w:val="none"/>
          <w:u w:val="single"/>
        </w:rPr>
        <w:t xml:space="preserve">        （供应商名称）</w:t>
      </w:r>
      <w:r>
        <w:rPr>
          <w:rFonts w:hint="eastAsia" w:ascii="微软雅黑" w:hAnsi="微软雅黑" w:eastAsia="微软雅黑" w:cs="微软雅黑"/>
          <w:sz w:val="24"/>
          <w:szCs w:val="24"/>
          <w:highlight w:val="none"/>
        </w:rPr>
        <w:t>参加了贵单位</w:t>
      </w:r>
      <w:r>
        <w:rPr>
          <w:rFonts w:hint="eastAsia" w:ascii="微软雅黑" w:hAnsi="微软雅黑" w:eastAsia="微软雅黑" w:cs="微软雅黑"/>
          <w:sz w:val="24"/>
          <w:szCs w:val="24"/>
          <w:highlight w:val="none"/>
          <w:u w:val="single"/>
        </w:rPr>
        <w:t xml:space="preserve">        （项目名称）</w:t>
      </w:r>
      <w:r>
        <w:rPr>
          <w:rFonts w:hint="eastAsia" w:ascii="微软雅黑" w:hAnsi="微软雅黑" w:eastAsia="微软雅黑" w:cs="微软雅黑"/>
          <w:sz w:val="24"/>
          <w:szCs w:val="24"/>
          <w:highlight w:val="none"/>
        </w:rPr>
        <w:t>的投标，自愿作出以下承诺：</w:t>
      </w:r>
    </w:p>
    <w:p>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1、我公司拟派的项目经理按注册建造师的相关规定到岗履职和未被禁止参与投标。</w:t>
      </w:r>
    </w:p>
    <w:p>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1.1拟派的项目经理中标后在本项目任职，签订合同时拟派的项目经理必须与响应文件中的项目经理一致，并满足办理施工许可手续的相关要求。不能按承诺到岗履约的，按合同相关条款处罚，给贵单位造成损失的，我公司依法承担违约赔偿责任。拟派的项目经理中标后不得随意更换。</w:t>
      </w:r>
    </w:p>
    <w:p>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拟派的项目经理未被重庆市市级有关行业主管部门暂停在渝承揽新业务，若被暂停且参加投标的投标将被否决；已取得成交资格的，贵单位有权取消我公司成交资格；给贵单位造成损失的，我公司依法承担违约赔偿责任。</w:t>
      </w:r>
    </w:p>
    <w:p>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中标后不能满足该要求的，取消我公司中标资格，给贵单位造成损失的，我公司依法承担违约赔偿责任。</w:t>
      </w:r>
    </w:p>
    <w:p>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我公司提供的相关证明材料真实有效，不存在弄虚作假情形。贵单位在合同签订前均有权对我公司提供的资料进行核实，若发现弄虚作假，按相关规定取消我公司中标资格，并按相关法律法规报相关部门，我公司自愿承担因此造成的相关责任并赔偿相应损失。</w:t>
      </w:r>
    </w:p>
    <w:p>
      <w:pPr>
        <w:spacing w:line="400" w:lineRule="exact"/>
        <w:ind w:firstLine="48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4"/>
          <w:szCs w:val="24"/>
          <w:highlight w:val="none"/>
        </w:rPr>
        <w:t>4、我公司承诺：已标价工程量清单符合给出的范围及数量，采购文件中规定工程量清单不允许修改的内容不得修改，每项工程量清单综合单价报价不得高于对应工程量清单综合单价招标控制价。贵单位可在合同签订前对我公司已标价工程量清单进行清标。若发现我公司的工程量清单综合单价报价超过招标时给出的工程量清单综合单价招标控制价的，在工程结算时贵单位以发出的工程量清单综合单价招标控制价为基础，按照我公司的中标总报价与本工程的总价招标控制价的下浮比例进行同比例下调，我公司无条件接受，否则按我公司违约处理</w:t>
      </w:r>
      <w:r>
        <w:rPr>
          <w:rFonts w:hint="eastAsia" w:ascii="微软雅黑" w:hAnsi="微软雅黑" w:eastAsia="微软雅黑" w:cs="微软雅黑"/>
          <w:sz w:val="21"/>
          <w:szCs w:val="21"/>
          <w:highlight w:val="none"/>
        </w:rPr>
        <w:t>。</w:t>
      </w:r>
    </w:p>
    <w:p>
      <w:pPr>
        <w:snapToGrid w:val="0"/>
        <w:spacing w:line="400" w:lineRule="exact"/>
        <w:ind w:firstLine="420" w:firstLineChars="200"/>
        <w:rPr>
          <w:rFonts w:hint="eastAsia" w:ascii="微软雅黑" w:hAnsi="微软雅黑" w:eastAsia="微软雅黑" w:cs="微软雅黑"/>
          <w:sz w:val="21"/>
          <w:szCs w:val="21"/>
          <w:highlight w:val="none"/>
        </w:rPr>
      </w:pPr>
    </w:p>
    <w:p>
      <w:pPr>
        <w:tabs>
          <w:tab w:val="left" w:pos="4200"/>
          <w:tab w:val="left" w:pos="4620"/>
        </w:tabs>
        <w:autoSpaceDE w:val="0"/>
        <w:autoSpaceDN w:val="0"/>
        <w:adjustRightInd w:val="0"/>
        <w:snapToGrid w:val="0"/>
        <w:spacing w:line="400" w:lineRule="exact"/>
        <w:ind w:firstLine="420" w:firstLineChars="200"/>
        <w:jc w:val="left"/>
        <w:rPr>
          <w:rFonts w:hint="eastAsia" w:ascii="微软雅黑" w:hAnsi="微软雅黑" w:eastAsia="微软雅黑" w:cs="微软雅黑"/>
          <w:sz w:val="21"/>
          <w:szCs w:val="21"/>
          <w:highlight w:val="none"/>
        </w:rPr>
      </w:pPr>
    </w:p>
    <w:p>
      <w:pPr>
        <w:tabs>
          <w:tab w:val="left" w:pos="4200"/>
          <w:tab w:val="left" w:pos="4620"/>
        </w:tabs>
        <w:autoSpaceDE w:val="0"/>
        <w:autoSpaceDN w:val="0"/>
        <w:adjustRightInd w:val="0"/>
        <w:snapToGrid w:val="0"/>
        <w:spacing w:line="400" w:lineRule="exact"/>
        <w:ind w:firstLine="480" w:firstLineChars="200"/>
        <w:jc w:val="righ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供  应  商：</w:t>
      </w:r>
      <w:r>
        <w:rPr>
          <w:rFonts w:hint="eastAsia" w:ascii="微软雅黑" w:hAnsi="微软雅黑" w:eastAsia="微软雅黑" w:cs="微软雅黑"/>
          <w:kern w:val="0"/>
          <w:sz w:val="24"/>
          <w:szCs w:val="24"/>
          <w:highlight w:val="none"/>
          <w:u w:val="single"/>
        </w:rPr>
        <w:t xml:space="preserve">                 </w:t>
      </w:r>
      <w:r>
        <w:rPr>
          <w:rFonts w:hint="eastAsia" w:ascii="微软雅黑" w:hAnsi="微软雅黑" w:eastAsia="微软雅黑" w:cs="微软雅黑"/>
          <w:sz w:val="24"/>
          <w:szCs w:val="24"/>
          <w:highlight w:val="none"/>
        </w:rPr>
        <w:t>（供应商公章）</w:t>
      </w:r>
    </w:p>
    <w:p>
      <w:pPr>
        <w:tabs>
          <w:tab w:val="left" w:pos="6300"/>
        </w:tabs>
        <w:autoSpaceDE w:val="0"/>
        <w:autoSpaceDN w:val="0"/>
        <w:adjustRightInd w:val="0"/>
        <w:snapToGrid w:val="0"/>
        <w:spacing w:line="400" w:lineRule="exact"/>
        <w:ind w:firstLine="480" w:firstLineChars="200"/>
        <w:jc w:val="righ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法定代表人：</w:t>
      </w:r>
      <w:r>
        <w:rPr>
          <w:rFonts w:hint="eastAsia" w:ascii="微软雅黑" w:hAnsi="微软雅黑" w:eastAsia="微软雅黑" w:cs="微软雅黑"/>
          <w:kern w:val="0"/>
          <w:sz w:val="24"/>
          <w:szCs w:val="24"/>
          <w:highlight w:val="none"/>
          <w:u w:val="single"/>
        </w:rPr>
        <w:t xml:space="preserve">                 </w:t>
      </w:r>
      <w:r>
        <w:rPr>
          <w:rFonts w:hint="eastAsia" w:ascii="微软雅黑" w:hAnsi="微软雅黑" w:eastAsia="微软雅黑" w:cs="微软雅黑"/>
          <w:kern w:val="0"/>
          <w:sz w:val="24"/>
          <w:szCs w:val="24"/>
          <w:highlight w:val="none"/>
        </w:rPr>
        <w:t>（签字或盖章）</w:t>
      </w:r>
    </w:p>
    <w:p>
      <w:pPr>
        <w:tabs>
          <w:tab w:val="left" w:pos="6300"/>
        </w:tabs>
        <w:snapToGrid w:val="0"/>
        <w:spacing w:line="400" w:lineRule="exact"/>
        <w:ind w:firstLine="480" w:firstLineChars="20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u w:val="single"/>
        </w:rPr>
        <w:t xml:space="preserve">     </w:t>
      </w:r>
      <w:r>
        <w:rPr>
          <w:rFonts w:hint="eastAsia" w:ascii="微软雅黑" w:hAnsi="微软雅黑" w:eastAsia="微软雅黑" w:cs="微软雅黑"/>
          <w:kern w:val="0"/>
          <w:sz w:val="24"/>
          <w:szCs w:val="24"/>
          <w:highlight w:val="none"/>
        </w:rPr>
        <w:t>年</w:t>
      </w:r>
      <w:r>
        <w:rPr>
          <w:rFonts w:hint="eastAsia" w:ascii="微软雅黑" w:hAnsi="微软雅黑" w:eastAsia="微软雅黑" w:cs="微软雅黑"/>
          <w:kern w:val="0"/>
          <w:sz w:val="24"/>
          <w:szCs w:val="24"/>
          <w:highlight w:val="none"/>
          <w:u w:val="single"/>
        </w:rPr>
        <w:t xml:space="preserve">    </w:t>
      </w:r>
      <w:r>
        <w:rPr>
          <w:rFonts w:hint="eastAsia" w:ascii="微软雅黑" w:hAnsi="微软雅黑" w:eastAsia="微软雅黑" w:cs="微软雅黑"/>
          <w:kern w:val="0"/>
          <w:sz w:val="24"/>
          <w:szCs w:val="24"/>
          <w:highlight w:val="none"/>
        </w:rPr>
        <w:t>月</w:t>
      </w:r>
      <w:r>
        <w:rPr>
          <w:rFonts w:hint="eastAsia" w:ascii="微软雅黑" w:hAnsi="微软雅黑" w:eastAsia="微软雅黑" w:cs="微软雅黑"/>
          <w:kern w:val="0"/>
          <w:sz w:val="24"/>
          <w:szCs w:val="24"/>
          <w:highlight w:val="none"/>
          <w:u w:val="single"/>
        </w:rPr>
        <w:t xml:space="preserve">    </w:t>
      </w:r>
      <w:r>
        <w:rPr>
          <w:rFonts w:hint="eastAsia" w:ascii="微软雅黑" w:hAnsi="微软雅黑" w:eastAsia="微软雅黑" w:cs="微软雅黑"/>
          <w:kern w:val="0"/>
          <w:sz w:val="24"/>
          <w:szCs w:val="24"/>
          <w:highlight w:val="none"/>
        </w:rPr>
        <w:t>日</w:t>
      </w:r>
    </w:p>
    <w:p>
      <w:pPr>
        <w:tabs>
          <w:tab w:val="left" w:pos="6300"/>
        </w:tabs>
        <w:snapToGrid w:val="0"/>
        <w:spacing w:line="360" w:lineRule="auto"/>
        <w:ind w:firstLine="420" w:firstLineChars="200"/>
        <w:rPr>
          <w:rFonts w:hint="eastAsia" w:ascii="微软雅黑" w:hAnsi="微软雅黑" w:eastAsia="微软雅黑" w:cs="微软雅黑"/>
          <w:sz w:val="21"/>
          <w:szCs w:val="21"/>
          <w:highlight w:val="none"/>
        </w:rPr>
      </w:pPr>
    </w:p>
    <w:p>
      <w:pPr>
        <w:tabs>
          <w:tab w:val="left" w:pos="6300"/>
        </w:tabs>
        <w:snapToGrid w:val="0"/>
        <w:spacing w:line="360" w:lineRule="auto"/>
        <w:ind w:firstLine="420" w:firstLineChars="200"/>
        <w:rPr>
          <w:rFonts w:hint="eastAsia" w:ascii="微软雅黑" w:hAnsi="微软雅黑" w:eastAsia="微软雅黑" w:cs="微软雅黑"/>
          <w:sz w:val="21"/>
          <w:szCs w:val="21"/>
          <w:highlight w:val="none"/>
        </w:rPr>
      </w:pPr>
    </w:p>
    <w:p>
      <w:pPr>
        <w:tabs>
          <w:tab w:val="left" w:pos="6300"/>
        </w:tabs>
        <w:snapToGrid w:val="0"/>
        <w:spacing w:line="360" w:lineRule="auto"/>
        <w:ind w:firstLine="420" w:firstLineChars="200"/>
        <w:jc w:val="center"/>
        <w:rPr>
          <w:rFonts w:hint="eastAsia" w:ascii="微软雅黑" w:hAnsi="微软雅黑" w:eastAsia="微软雅黑" w:cs="微软雅黑"/>
          <w:sz w:val="21"/>
          <w:szCs w:val="21"/>
          <w:highlight w:val="none"/>
        </w:rPr>
      </w:pPr>
    </w:p>
    <w:p>
      <w:pPr>
        <w:snapToGrid w:val="0"/>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二</w:t>
      </w:r>
      <w:r>
        <w:rPr>
          <w:rFonts w:hint="eastAsia" w:ascii="微软雅黑" w:hAnsi="微软雅黑" w:eastAsia="微软雅黑" w:cs="微软雅黑"/>
          <w:sz w:val="24"/>
          <w:szCs w:val="24"/>
          <w:highlight w:val="none"/>
        </w:rPr>
        <w:t>）其它优惠承诺（格式自定）</w:t>
      </w:r>
    </w:p>
    <w:p>
      <w:pPr>
        <w:rPr>
          <w:rFonts w:hint="eastAsia" w:ascii="微软雅黑" w:hAnsi="微软雅黑" w:eastAsia="微软雅黑" w:cs="微软雅黑"/>
          <w:sz w:val="24"/>
          <w:szCs w:val="24"/>
          <w:highlight w:val="none"/>
        </w:rPr>
      </w:pPr>
    </w:p>
    <w:bookmarkEnd w:id="212"/>
    <w:p>
      <w:pPr>
        <w:pStyle w:val="9"/>
        <w:spacing w:before="0" w:after="0"/>
        <w:rPr>
          <w:rFonts w:hint="eastAsia" w:ascii="微软雅黑" w:hAnsi="微软雅黑" w:eastAsia="微软雅黑" w:cs="微软雅黑"/>
          <w:sz w:val="28"/>
          <w:szCs w:val="28"/>
          <w:highlight w:val="none"/>
        </w:rPr>
      </w:pPr>
      <w:bookmarkStart w:id="237" w:name="_Toc342913422"/>
      <w:bookmarkStart w:id="238" w:name="_Toc313888363"/>
      <w:bookmarkStart w:id="239" w:name="_Toc313008359"/>
      <w:r>
        <w:rPr>
          <w:rFonts w:hint="eastAsia" w:ascii="微软雅黑" w:hAnsi="微软雅黑" w:eastAsia="微软雅黑" w:cs="微软雅黑"/>
          <w:sz w:val="28"/>
          <w:szCs w:val="28"/>
          <w:highlight w:val="none"/>
        </w:rPr>
        <w:br w:type="page"/>
      </w:r>
      <w:bookmarkStart w:id="240" w:name="_Toc5238"/>
      <w:bookmarkStart w:id="241" w:name="_Toc32303"/>
      <w:bookmarkStart w:id="242" w:name="_Toc28879"/>
      <w:bookmarkStart w:id="243" w:name="_Toc2134"/>
      <w:bookmarkStart w:id="244" w:name="_Toc22209"/>
      <w:r>
        <w:rPr>
          <w:rFonts w:hint="eastAsia" w:ascii="微软雅黑" w:hAnsi="微软雅黑" w:eastAsia="微软雅黑" w:cs="微软雅黑"/>
          <w:sz w:val="28"/>
          <w:szCs w:val="28"/>
          <w:highlight w:val="none"/>
        </w:rPr>
        <w:t>四、</w:t>
      </w:r>
      <w:bookmarkEnd w:id="237"/>
      <w:bookmarkEnd w:id="238"/>
      <w:bookmarkEnd w:id="239"/>
      <w:r>
        <w:rPr>
          <w:rFonts w:hint="eastAsia" w:ascii="微软雅黑" w:hAnsi="微软雅黑" w:eastAsia="微软雅黑" w:cs="微软雅黑"/>
          <w:sz w:val="28"/>
          <w:szCs w:val="28"/>
          <w:highlight w:val="none"/>
        </w:rPr>
        <w:t>资格条件及其他</w:t>
      </w:r>
      <w:bookmarkEnd w:id="240"/>
      <w:bookmarkEnd w:id="241"/>
      <w:bookmarkEnd w:id="242"/>
      <w:bookmarkEnd w:id="243"/>
      <w:bookmarkEnd w:id="244"/>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widowControl/>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（二）法定代表人身份证明书（格式）</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u w:val="single"/>
        </w:rPr>
        <w:t xml:space="preserve">                                                </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（法定代表人姓名）</w:t>
      </w:r>
      <w:r>
        <w:rPr>
          <w:rFonts w:hint="eastAsia" w:ascii="微软雅黑" w:hAnsi="微软雅黑" w:eastAsia="微软雅黑" w:cs="微软雅黑"/>
          <w:szCs w:val="28"/>
          <w:highlight w:val="none"/>
          <w:u w:val="single"/>
        </w:rPr>
        <w:t xml:space="preserve">       </w:t>
      </w:r>
      <w:r>
        <w:rPr>
          <w:rFonts w:hint="eastAsia" w:ascii="微软雅黑" w:hAnsi="微软雅黑" w:eastAsia="微软雅黑" w:cs="微软雅黑"/>
          <w:sz w:val="24"/>
          <w:szCs w:val="24"/>
          <w:highlight w:val="none"/>
        </w:rPr>
        <w:t>（性别）在</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（供应商名称）任</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（职务名称）职务，是（供应商名称）</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的法定代表人。</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特此证明。</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年   月   日</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法定代表人电话：XXXXXXX      电子邮箱：XXXXXX@XXXXX（若授权他人办理并签署比选申请文件的可不填写法定代表人电话和电子邮箱）</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（附：法定代表人身份证正反面复印件）</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column"/>
      </w:r>
      <w:r>
        <w:rPr>
          <w:rFonts w:hint="eastAsia" w:ascii="微软雅黑" w:hAnsi="微软雅黑" w:eastAsia="微软雅黑" w:cs="微软雅黑"/>
          <w:sz w:val="24"/>
          <w:szCs w:val="24"/>
          <w:highlight w:val="none"/>
        </w:rPr>
        <w:t>（三）法定代表人授权委托书（格式）</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u w:val="single"/>
        </w:rPr>
        <w:t xml:space="preserve">                                                </w:t>
      </w:r>
    </w:p>
    <w:p>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（供应商法定代表人名称）是</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（供应商名称）的法定代表人，特授权</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（被授权人姓名及身份证代码）代表我单位全权办理上述项目的竞选、签约等具体工作，并签署全部有关文件、协议及合同。</w:t>
      </w:r>
    </w:p>
    <w:p>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我单位对被授权人的签署负全部责任。</w:t>
      </w:r>
    </w:p>
    <w:p>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被授权人：                                 供应商法定代表人：</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（签署或盖章）                                （签署或盖章）</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（附：被授权人身份证正反面复印件）</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p>
    <w:p>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w:t>
      </w:r>
    </w:p>
    <w:p>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年   月   日</w:t>
      </w:r>
    </w:p>
    <w:p>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被授权人电话：XXXXXXX     电子邮箱：XXXXXX@XXXXX（若法定代表人办理并签署比选申请文件的可不填写）</w:t>
      </w:r>
    </w:p>
    <w:p>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注：若为法定代表人办理并签署比选申请文件的，不提供此文件。</w:t>
      </w:r>
    </w:p>
    <w:p>
      <w:pPr>
        <w:spacing w:line="530" w:lineRule="exact"/>
        <w:ind w:firstLine="480" w:firstLineChars="200"/>
        <w:jc w:val="left"/>
        <w:rPr>
          <w:rFonts w:hint="eastAsia" w:ascii="微软雅黑" w:hAnsi="微软雅黑" w:eastAsia="微软雅黑" w:cs="微软雅黑"/>
          <w:b/>
          <w:bCs/>
          <w:sz w:val="36"/>
          <w:szCs w:val="36"/>
          <w:highlight w:val="none"/>
        </w:rPr>
      </w:pPr>
      <w:r>
        <w:rPr>
          <w:rFonts w:hint="eastAsia" w:ascii="微软雅黑" w:hAnsi="微软雅黑" w:eastAsia="微软雅黑" w:cs="微软雅黑"/>
          <w:sz w:val="24"/>
          <w:szCs w:val="24"/>
          <w:highlight w:val="none"/>
        </w:rPr>
        <w:br w:type="column"/>
      </w:r>
      <w:r>
        <w:rPr>
          <w:rFonts w:hint="eastAsia" w:ascii="微软雅黑" w:hAnsi="微软雅黑" w:eastAsia="微软雅黑" w:cs="微软雅黑"/>
          <w:sz w:val="24"/>
          <w:szCs w:val="24"/>
          <w:highlight w:val="none"/>
        </w:rPr>
        <w:t>（四）</w:t>
      </w:r>
      <w:r>
        <w:rPr>
          <w:rFonts w:hint="eastAsia" w:ascii="微软雅黑" w:hAnsi="微软雅黑" w:eastAsia="微软雅黑" w:cs="微软雅黑"/>
          <w:szCs w:val="28"/>
          <w:highlight w:val="none"/>
        </w:rPr>
        <w:t>基本资格条件承诺函</w:t>
      </w:r>
    </w:p>
    <w:p>
      <w:pPr>
        <w:spacing w:line="530" w:lineRule="exact"/>
        <w:ind w:firstLine="720" w:firstLineChars="200"/>
        <w:jc w:val="center"/>
        <w:rPr>
          <w:rFonts w:hint="eastAsia" w:ascii="微软雅黑" w:hAnsi="微软雅黑" w:eastAsia="微软雅黑" w:cs="微软雅黑"/>
          <w:b/>
          <w:bCs/>
          <w:sz w:val="36"/>
          <w:szCs w:val="36"/>
          <w:highlight w:val="none"/>
        </w:rPr>
      </w:pPr>
      <w:r>
        <w:rPr>
          <w:rFonts w:hint="eastAsia" w:ascii="微软雅黑" w:hAnsi="微软雅黑" w:eastAsia="微软雅黑" w:cs="微软雅黑"/>
          <w:b/>
          <w:bCs/>
          <w:sz w:val="36"/>
          <w:szCs w:val="36"/>
          <w:highlight w:val="none"/>
        </w:rPr>
        <w:t>基本资格条件承诺函</w:t>
      </w:r>
    </w:p>
    <w:p>
      <w:pPr>
        <w:tabs>
          <w:tab w:val="left" w:pos="6300"/>
        </w:tabs>
        <w:snapToGrid w:val="0"/>
        <w:spacing w:line="530" w:lineRule="exact"/>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项目名称：</w:t>
      </w:r>
      <w:r>
        <w:rPr>
          <w:rFonts w:hint="eastAsia" w:ascii="微软雅黑" w:hAnsi="微软雅黑" w:eastAsia="微软雅黑" w:cs="微软雅黑"/>
          <w:sz w:val="24"/>
          <w:highlight w:val="none"/>
          <w:u w:val="single"/>
        </w:rPr>
        <w:t xml:space="preserve">                    </w:t>
      </w:r>
    </w:p>
    <w:p>
      <w:pPr>
        <w:tabs>
          <w:tab w:val="left" w:pos="6300"/>
        </w:tabs>
        <w:snapToGrid w:val="0"/>
        <w:spacing w:line="53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pPr>
        <w:tabs>
          <w:tab w:val="left" w:pos="6300"/>
        </w:tabs>
        <w:snapToGrid w:val="0"/>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（供应商名称）郑重承诺：</w:t>
      </w:r>
    </w:p>
    <w:p>
      <w:pPr>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1.我方具有良好的商业信誉和健全的财务会计制度，具有履行合同所必需的设备和专业技术能力，具</w:t>
      </w:r>
      <w:r>
        <w:rPr>
          <w:rFonts w:hint="eastAsia" w:ascii="微软雅黑" w:hAnsi="微软雅黑" w:eastAsia="微软雅黑" w:cs="微软雅黑"/>
          <w:sz w:val="24"/>
          <w:szCs w:val="24"/>
          <w:highlight w:val="none"/>
          <w:lang w:val="zh-CN"/>
        </w:rPr>
        <w:t>有依法缴纳税收和社会保障金的良好记录</w:t>
      </w:r>
      <w:r>
        <w:rPr>
          <w:rFonts w:hint="eastAsia" w:ascii="微软雅黑" w:hAnsi="微软雅黑" w:eastAsia="微软雅黑" w:cs="微软雅黑"/>
          <w:sz w:val="24"/>
          <w:szCs w:val="24"/>
          <w:highlight w:val="none"/>
        </w:rPr>
        <w:t>，参加本项目采购活动前三年内无重大违法活动记录。</w:t>
      </w:r>
    </w:p>
    <w:p>
      <w:pPr>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我方对以上承诺负全部法律责任。</w:t>
      </w:r>
    </w:p>
    <w:p>
      <w:pPr>
        <w:tabs>
          <w:tab w:val="left" w:pos="6300"/>
        </w:tabs>
        <w:snapToGrid w:val="0"/>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特此承诺。</w:t>
      </w:r>
    </w:p>
    <w:p>
      <w:pPr>
        <w:tabs>
          <w:tab w:val="left" w:pos="6300"/>
        </w:tabs>
        <w:snapToGrid w:val="0"/>
        <w:spacing w:line="530" w:lineRule="exact"/>
        <w:rPr>
          <w:rFonts w:hint="eastAsia" w:ascii="微软雅黑" w:hAnsi="微软雅黑" w:eastAsia="微软雅黑" w:cs="微软雅黑"/>
          <w:sz w:val="24"/>
          <w:szCs w:val="24"/>
          <w:highlight w:val="none"/>
        </w:rPr>
      </w:pPr>
    </w:p>
    <w:p>
      <w:pPr>
        <w:tabs>
          <w:tab w:val="left" w:pos="6300"/>
        </w:tabs>
        <w:snapToGrid w:val="0"/>
        <w:spacing w:line="530" w:lineRule="exact"/>
        <w:ind w:right="424"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w:t>
      </w:r>
    </w:p>
    <w:p>
      <w:pPr>
        <w:spacing w:line="400" w:lineRule="exact"/>
        <w:ind w:firstLine="7440" w:firstLineChars="31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4"/>
          <w:highlight w:val="none"/>
        </w:rPr>
        <w:t>年   月   日</w:t>
      </w:r>
    </w:p>
    <w:p>
      <w:pPr>
        <w:tabs>
          <w:tab w:val="left" w:pos="6300"/>
        </w:tabs>
        <w:snapToGrid w:val="0"/>
        <w:spacing w:line="500" w:lineRule="exact"/>
        <w:ind w:firstLine="570"/>
        <w:rPr>
          <w:rFonts w:hint="eastAsia" w:ascii="微软雅黑" w:hAnsi="微软雅黑" w:eastAsia="微软雅黑" w:cs="微软雅黑"/>
          <w:color w:val="000000"/>
          <w:szCs w:val="28"/>
          <w:highlight w:val="none"/>
        </w:rPr>
      </w:pPr>
    </w:p>
    <w:p>
      <w:pPr>
        <w:tabs>
          <w:tab w:val="left" w:pos="6300"/>
        </w:tabs>
        <w:snapToGrid w:val="0"/>
        <w:spacing w:line="500" w:lineRule="exact"/>
        <w:jc w:val="left"/>
        <w:rPr>
          <w:rFonts w:hint="eastAsia" w:ascii="微软雅黑" w:hAnsi="微软雅黑" w:eastAsia="微软雅黑" w:cs="微软雅黑"/>
          <w:color w:val="000000"/>
          <w:szCs w:val="28"/>
          <w:highlight w:val="none"/>
        </w:rPr>
      </w:pPr>
    </w:p>
    <w:p>
      <w:pPr>
        <w:tabs>
          <w:tab w:val="left" w:pos="6300"/>
        </w:tabs>
        <w:snapToGrid w:val="0"/>
        <w:spacing w:line="500" w:lineRule="exact"/>
        <w:ind w:firstLine="570"/>
        <w:jc w:val="left"/>
        <w:rPr>
          <w:rFonts w:hint="eastAsia" w:ascii="微软雅黑" w:hAnsi="微软雅黑" w:eastAsia="微软雅黑" w:cs="微软雅黑"/>
          <w:color w:val="000000"/>
          <w:szCs w:val="28"/>
          <w:highlight w:val="none"/>
        </w:rPr>
      </w:pPr>
    </w:p>
    <w:p>
      <w:pPr>
        <w:tabs>
          <w:tab w:val="left" w:pos="6300"/>
        </w:tabs>
        <w:snapToGrid w:val="0"/>
        <w:spacing w:line="500" w:lineRule="exact"/>
        <w:ind w:firstLine="570"/>
        <w:jc w:val="left"/>
        <w:rPr>
          <w:rFonts w:hint="eastAsia" w:ascii="微软雅黑" w:hAnsi="微软雅黑" w:eastAsia="微软雅黑" w:cs="微软雅黑"/>
          <w:color w:val="000000"/>
          <w:szCs w:val="28"/>
          <w:highlight w:val="none"/>
        </w:rPr>
      </w:pPr>
    </w:p>
    <w:p>
      <w:pPr>
        <w:tabs>
          <w:tab w:val="left" w:pos="6300"/>
        </w:tabs>
        <w:snapToGrid w:val="0"/>
        <w:spacing w:line="500" w:lineRule="exact"/>
        <w:ind w:firstLine="570"/>
        <w:jc w:val="left"/>
        <w:rPr>
          <w:rFonts w:hint="eastAsia" w:ascii="微软雅黑" w:hAnsi="微软雅黑" w:eastAsia="微软雅黑" w:cs="微软雅黑"/>
          <w:color w:val="000000"/>
          <w:szCs w:val="28"/>
          <w:highlight w:val="none"/>
        </w:rPr>
      </w:pPr>
    </w:p>
    <w:p>
      <w:pPr>
        <w:keepNext/>
        <w:keepLines/>
        <w:spacing w:line="413" w:lineRule="auto"/>
        <w:rPr>
          <w:rFonts w:hint="eastAsia" w:ascii="微软雅黑" w:hAnsi="微软雅黑" w:eastAsia="微软雅黑" w:cs="微软雅黑"/>
          <w:highlight w:val="none"/>
        </w:rPr>
      </w:pPr>
    </w:p>
    <w:p>
      <w:pPr>
        <w:spacing w:line="360" w:lineRule="auto"/>
        <w:rPr>
          <w:rFonts w:hint="eastAsia" w:ascii="微软雅黑" w:hAnsi="微软雅黑" w:eastAsia="微软雅黑" w:cs="微软雅黑"/>
          <w:sz w:val="24"/>
          <w:szCs w:val="24"/>
          <w:highlight w:val="none"/>
        </w:rPr>
        <w:sectPr>
          <w:headerReference r:id="rId19" w:type="default"/>
          <w:pgSz w:w="11907" w:h="16840"/>
          <w:pgMar w:top="1134" w:right="1191" w:bottom="1134" w:left="1304" w:header="851" w:footer="992" w:gutter="0"/>
          <w:pgNumType w:fmt="numberInDash"/>
          <w:cols w:space="720" w:num="1"/>
          <w:docGrid w:linePitch="380" w:charSpace="-5735"/>
        </w:sectPr>
      </w:pPr>
    </w:p>
    <w:p>
      <w:pPr>
        <w:pStyle w:val="9"/>
        <w:spacing w:before="0" w:after="0"/>
        <w:rPr>
          <w:rFonts w:hint="eastAsia" w:ascii="微软雅黑" w:hAnsi="微软雅黑" w:eastAsia="微软雅黑" w:cs="微软雅黑"/>
          <w:sz w:val="28"/>
          <w:szCs w:val="28"/>
          <w:highlight w:val="none"/>
        </w:rPr>
      </w:pPr>
      <w:bookmarkStart w:id="245" w:name="_Toc18328"/>
      <w:bookmarkStart w:id="246" w:name="_Toc25603"/>
      <w:bookmarkStart w:id="247" w:name="_Toc16239"/>
      <w:bookmarkStart w:id="248" w:name="_Toc25658"/>
      <w:bookmarkStart w:id="249" w:name="_Toc22448"/>
      <w:r>
        <w:rPr>
          <w:rFonts w:hint="eastAsia" w:ascii="微软雅黑" w:hAnsi="微软雅黑" w:eastAsia="微软雅黑" w:cs="微软雅黑"/>
          <w:sz w:val="28"/>
          <w:szCs w:val="28"/>
          <w:highlight w:val="none"/>
        </w:rPr>
        <w:t>五、其他应提供的资料</w:t>
      </w:r>
      <w:bookmarkEnd w:id="245"/>
      <w:bookmarkEnd w:id="246"/>
      <w:bookmarkEnd w:id="247"/>
      <w:bookmarkEnd w:id="248"/>
      <w:bookmarkEnd w:id="249"/>
    </w:p>
    <w:p>
      <w:pPr>
        <w:tabs>
          <w:tab w:val="left" w:pos="6300"/>
        </w:tabs>
        <w:snapToGrid w:val="0"/>
        <w:spacing w:line="5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（一）其他与项目有关的资料（自附）；</w:t>
      </w:r>
    </w:p>
    <w:p>
      <w:pPr>
        <w:spacing w:line="360" w:lineRule="auto"/>
        <w:rPr>
          <w:rFonts w:hint="eastAsia" w:ascii="微软雅黑" w:hAnsi="微软雅黑" w:eastAsia="微软雅黑" w:cs="微软雅黑"/>
          <w:sz w:val="24"/>
          <w:szCs w:val="24"/>
          <w:highlight w:val="none"/>
        </w:rPr>
      </w:pPr>
    </w:p>
    <w:p>
      <w:pPr>
        <w:spacing w:line="360" w:lineRule="auto"/>
        <w:rPr>
          <w:rFonts w:hint="eastAsia" w:ascii="微软雅黑" w:hAnsi="微软雅黑" w:eastAsia="微软雅黑" w:cs="微软雅黑"/>
          <w:sz w:val="24"/>
          <w:szCs w:val="24"/>
          <w:highlight w:val="none"/>
        </w:rPr>
      </w:pPr>
    </w:p>
    <w:p>
      <w:pPr>
        <w:spacing w:line="360" w:lineRule="auto"/>
        <w:rPr>
          <w:rFonts w:hint="eastAsia" w:ascii="微软雅黑" w:hAnsi="微软雅黑" w:eastAsia="微软雅黑" w:cs="微软雅黑"/>
          <w:sz w:val="24"/>
          <w:szCs w:val="24"/>
          <w:highlight w:val="none"/>
        </w:rPr>
      </w:pPr>
    </w:p>
    <w:p>
      <w:pPr>
        <w:spacing w:line="360" w:lineRule="auto"/>
        <w:rPr>
          <w:rFonts w:hint="eastAsia" w:ascii="微软雅黑" w:hAnsi="微软雅黑" w:eastAsia="微软雅黑" w:cs="微软雅黑"/>
          <w:sz w:val="24"/>
          <w:szCs w:val="24"/>
          <w:highlight w:val="none"/>
        </w:rPr>
      </w:pPr>
    </w:p>
    <w:p>
      <w:pPr>
        <w:spacing w:line="360" w:lineRule="auto"/>
        <w:rPr>
          <w:rFonts w:hint="eastAsia" w:ascii="微软雅黑" w:hAnsi="微软雅黑" w:eastAsia="微软雅黑" w:cs="微软雅黑"/>
          <w:sz w:val="24"/>
          <w:szCs w:val="24"/>
          <w:highlight w:val="none"/>
        </w:rPr>
      </w:pPr>
    </w:p>
    <w:p>
      <w:pPr>
        <w:spacing w:line="360" w:lineRule="auto"/>
        <w:rPr>
          <w:rFonts w:hint="eastAsia" w:ascii="微软雅黑" w:hAnsi="微软雅黑" w:eastAsia="微软雅黑" w:cs="微软雅黑"/>
          <w:sz w:val="24"/>
          <w:szCs w:val="24"/>
          <w:highlight w:val="none"/>
        </w:rPr>
      </w:pPr>
    </w:p>
    <w:p>
      <w:pPr>
        <w:tabs>
          <w:tab w:val="left" w:pos="6300"/>
        </w:tabs>
        <w:snapToGrid w:val="0"/>
        <w:spacing w:line="500" w:lineRule="exact"/>
        <w:ind w:firstLine="480" w:firstLineChars="200"/>
        <w:jc w:val="center"/>
        <w:rPr>
          <w:rFonts w:hint="eastAsia" w:ascii="微软雅黑" w:hAnsi="微软雅黑" w:eastAsia="微软雅黑" w:cs="微软雅黑"/>
          <w:szCs w:val="28"/>
          <w:highlight w:val="none"/>
        </w:rPr>
      </w:pPr>
      <w:r>
        <w:rPr>
          <w:rFonts w:hint="eastAsia" w:ascii="微软雅黑" w:hAnsi="微软雅黑" w:eastAsia="微软雅黑" w:cs="微软雅黑"/>
          <w:szCs w:val="28"/>
          <w:highlight w:val="none"/>
        </w:rPr>
        <w:t>（结束）</w:t>
      </w:r>
    </w:p>
    <w:p>
      <w:pPr>
        <w:pStyle w:val="6"/>
        <w:spacing w:line="336" w:lineRule="auto"/>
        <w:rPr>
          <w:rFonts w:hint="eastAsia" w:ascii="微软雅黑" w:hAnsi="微软雅黑" w:eastAsia="微软雅黑" w:cs="微软雅黑"/>
        </w:rPr>
      </w:pPr>
      <w:r>
        <w:rPr>
          <w:rFonts w:hint="eastAsia" w:ascii="微软雅黑" w:hAnsi="微软雅黑" w:eastAsia="微软雅黑" w:cs="微软雅黑"/>
          <w:szCs w:val="28"/>
          <w:highlight w:val="none"/>
        </w:rPr>
        <w:br w:type="page"/>
      </w:r>
    </w:p>
    <w:p>
      <w:pPr>
        <w:pStyle w:val="6"/>
        <w:spacing w:line="336" w:lineRule="auto"/>
        <w:rPr>
          <w:rFonts w:hint="eastAsia" w:ascii="微软雅黑" w:hAnsi="微软雅黑" w:eastAsia="微软雅黑" w:cs="微软雅黑"/>
        </w:rPr>
      </w:pPr>
    </w:p>
    <w:p>
      <w:pPr>
        <w:pStyle w:val="6"/>
        <w:spacing w:line="336" w:lineRule="auto"/>
        <w:rPr>
          <w:rFonts w:ascii="仿宋" w:hAnsi="仿宋" w:eastAsia="仿宋" w:cs="宋体"/>
        </w:rPr>
      </w:pPr>
    </w:p>
    <w:p>
      <w:pPr>
        <w:pStyle w:val="6"/>
        <w:spacing w:line="336" w:lineRule="auto"/>
        <w:rPr>
          <w:rFonts w:ascii="仿宋" w:hAnsi="仿宋" w:eastAsia="仿宋" w:cs="宋体"/>
        </w:rPr>
      </w:pPr>
    </w:p>
    <w:p>
      <w:pPr>
        <w:pStyle w:val="6"/>
        <w:spacing w:line="336" w:lineRule="auto"/>
        <w:rPr>
          <w:rFonts w:ascii="仿宋" w:hAnsi="仿宋" w:eastAsia="仿宋" w:cs="宋体"/>
        </w:rPr>
      </w:pPr>
    </w:p>
    <w:p>
      <w:pPr>
        <w:pStyle w:val="6"/>
        <w:spacing w:line="336" w:lineRule="auto"/>
        <w:rPr>
          <w:rFonts w:ascii="仿宋" w:hAnsi="仿宋" w:eastAsia="仿宋" w:cs="宋体"/>
        </w:rPr>
      </w:pPr>
    </w:p>
    <w:p>
      <w:pPr>
        <w:pStyle w:val="6"/>
        <w:spacing w:line="336" w:lineRule="auto"/>
        <w:rPr>
          <w:rFonts w:ascii="仿宋" w:hAnsi="仿宋" w:eastAsia="仿宋" w:cs="宋体"/>
        </w:rPr>
      </w:pPr>
    </w:p>
    <w:p>
      <w:pPr>
        <w:pStyle w:val="6"/>
        <w:spacing w:line="336" w:lineRule="auto"/>
        <w:rPr>
          <w:rFonts w:ascii="仿宋" w:hAnsi="仿宋" w:eastAsia="仿宋" w:cs="宋体"/>
        </w:rPr>
      </w:pPr>
    </w:p>
    <w:p>
      <w:pPr>
        <w:pStyle w:val="6"/>
        <w:spacing w:line="336" w:lineRule="auto"/>
        <w:rPr>
          <w:rFonts w:ascii="仿宋" w:hAnsi="仿宋" w:eastAsia="仿宋" w:cs="宋体"/>
        </w:rPr>
      </w:pPr>
    </w:p>
    <w:p>
      <w:pPr>
        <w:spacing w:line="336" w:lineRule="auto"/>
        <w:rPr>
          <w:rFonts w:ascii="仿宋" w:hAnsi="仿宋" w:eastAsia="仿宋"/>
        </w:rPr>
      </w:pPr>
    </w:p>
    <w:p>
      <w:pPr>
        <w:pStyle w:val="6"/>
        <w:spacing w:line="336" w:lineRule="auto"/>
        <w:rPr>
          <w:rFonts w:hint="eastAsia" w:ascii="微软雅黑" w:hAnsi="微软雅黑" w:eastAsia="微软雅黑" w:cs="微软雅黑"/>
        </w:rPr>
      </w:pPr>
    </w:p>
    <w:p>
      <w:pPr>
        <w:pStyle w:val="6"/>
        <w:spacing w:line="336" w:lineRule="auto"/>
        <w:rPr>
          <w:rFonts w:hint="eastAsia" w:ascii="微软雅黑" w:hAnsi="微软雅黑" w:eastAsia="微软雅黑" w:cs="微软雅黑"/>
        </w:rPr>
      </w:pPr>
    </w:p>
    <w:p>
      <w:pPr>
        <w:pStyle w:val="6"/>
        <w:spacing w:line="336" w:lineRule="auto"/>
        <w:rPr>
          <w:rFonts w:ascii="仿宋" w:hAnsi="仿宋" w:eastAsia="仿宋" w:cs="宋体"/>
        </w:rPr>
      </w:pPr>
    </w:p>
    <w:p>
      <w:pPr>
        <w:pStyle w:val="6"/>
        <w:spacing w:line="336" w:lineRule="auto"/>
        <w:rPr>
          <w:rFonts w:ascii="仿宋" w:hAnsi="仿宋" w:eastAsia="仿宋" w:cs="宋体"/>
        </w:rPr>
      </w:pPr>
    </w:p>
    <w:p>
      <w:pPr>
        <w:pStyle w:val="6"/>
        <w:spacing w:line="336" w:lineRule="auto"/>
        <w:rPr>
          <w:rFonts w:ascii="仿宋" w:hAnsi="仿宋" w:eastAsia="仿宋" w:cs="宋体"/>
        </w:rPr>
      </w:pPr>
    </w:p>
    <w:p>
      <w:pPr>
        <w:pStyle w:val="6"/>
        <w:spacing w:line="336" w:lineRule="auto"/>
        <w:rPr>
          <w:rFonts w:ascii="仿宋" w:hAnsi="仿宋" w:eastAsia="仿宋" w:cs="宋体"/>
        </w:rPr>
      </w:pPr>
    </w:p>
    <w:p>
      <w:pPr>
        <w:spacing w:line="336" w:lineRule="auto"/>
        <w:rPr>
          <w:rFonts w:ascii="仿宋" w:hAnsi="仿宋" w:eastAsia="仿宋"/>
        </w:rPr>
      </w:pPr>
    </w:p>
    <w:sectPr>
      <w:headerReference r:id="rId20" w:type="default"/>
      <w:footerReference r:id="rId21" w:type="default"/>
      <w:pgSz w:w="11907" w:h="16840"/>
      <w:pgMar w:top="1440" w:right="1080" w:bottom="1440" w:left="1080" w:header="454" w:footer="567"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onaco">
    <w:altName w:val="Courier New"/>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decorative"/>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jc w:val="center"/>
      <w:rPr>
        <w:rStyle w:val="37"/>
        <w:rFonts w:ascii="宋体"/>
        <w:sz w:val="21"/>
        <w:szCs w:val="21"/>
      </w:rPr>
    </w:pPr>
    <w:r>
      <w:rPr>
        <w:rFonts w:ascii="宋体"/>
        <w:sz w:val="21"/>
        <w:szCs w:val="21"/>
      </w:rPr>
      <w:fldChar w:fldCharType="begin"/>
    </w:r>
    <w:r>
      <w:rPr>
        <w:rStyle w:val="37"/>
        <w:rFonts w:ascii="宋体"/>
        <w:sz w:val="21"/>
        <w:szCs w:val="21"/>
      </w:rPr>
      <w:instrText xml:space="preserve">PAGE  </w:instrText>
    </w:r>
    <w:r>
      <w:rPr>
        <w:rFonts w:ascii="宋体"/>
        <w:sz w:val="21"/>
        <w:szCs w:val="21"/>
      </w:rPr>
      <w:fldChar w:fldCharType="separate"/>
    </w:r>
    <w:r>
      <w:rPr>
        <w:rStyle w:val="37"/>
        <w:rFonts w:ascii="宋体"/>
        <w:sz w:val="21"/>
        <w:szCs w:val="21"/>
      </w:rPr>
      <w:t>- 1 -</w:t>
    </w:r>
    <w:r>
      <w:rPr>
        <w:rFonts w:ascii="宋体"/>
        <w:sz w:val="21"/>
        <w:szCs w:val="21"/>
      </w:rPr>
      <w:fldChar w:fldCharType="end"/>
    </w:r>
  </w:p>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- 34 -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7"/>
      </w:rPr>
    </w:pPr>
  </w:p>
  <w:p>
    <w:pPr>
      <w:pStyle w:val="2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2"/>
                            <w:jc w:val="center"/>
                          </w:pP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- 7 -</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pPr>
                      <w:pStyle w:val="22"/>
                      <w:jc w:val="center"/>
                    </w:pP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- 7 -</w:t>
                    </w:r>
                    <w:r>
                      <w:rPr>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ascii="微软雅黑" w:hAnsi="微软雅黑" w:eastAsia="微软雅黑" w:cs="微软雅黑"/>
        <w:b/>
        <w:bCs/>
        <w:sz w:val="28"/>
        <w:szCs w:val="28"/>
      </w:rPr>
    </w:pPr>
    <w:r>
      <w:rPr>
        <w:rFonts w:hint="eastAsia" w:ascii="方正仿宋_GBK" w:eastAsia="方正仿宋_GBK"/>
        <w:sz w:val="21"/>
        <w:szCs w:val="21"/>
      </w:rPr>
      <w:t xml:space="preserve">                                    </w:t>
    </w:r>
    <w:r>
      <w:rPr>
        <w:rFonts w:hint="eastAsia" w:ascii="方正仿宋_GBK" w:eastAsia="方正仿宋_GBK"/>
        <w:sz w:val="28"/>
        <w:szCs w:val="28"/>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842" w:firstLineChars="1600"/>
      <w:jc w:val="both"/>
      <w:rPr>
        <w:rFonts w:ascii="微软雅黑" w:hAnsi="微软雅黑" w:eastAsia="微软雅黑" w:cs="微软雅黑"/>
        <w:b/>
        <w:bCs/>
        <w:sz w:val="24"/>
        <w:szCs w:val="24"/>
      </w:rPr>
    </w:pPr>
    <w:r>
      <w:rPr>
        <w:rFonts w:hint="eastAsia" w:ascii="微软雅黑" w:hAnsi="微软雅黑" w:eastAsia="微软雅黑" w:cs="微软雅黑"/>
        <w:b/>
        <w:bCs/>
        <w:sz w:val="24"/>
        <w:szCs w:val="24"/>
      </w:rPr>
      <w:t>竞争性比选文件</w:t>
    </w:r>
  </w:p>
  <w:p>
    <w:pPr>
      <w:pStyle w:val="23"/>
      <w:pBdr>
        <w:bottom w:val="none" w:color="auto" w:sz="0" w:space="0"/>
      </w:pBd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40" w:firstLineChars="1300"/>
      <w:jc w:val="both"/>
      <w:rPr>
        <w:rFonts w:ascii="微软雅黑" w:hAnsi="微软雅黑" w:eastAsia="微软雅黑" w:cs="微软雅黑"/>
        <w:b/>
        <w:bCs/>
        <w:sz w:val="28"/>
        <w:szCs w:val="28"/>
      </w:rPr>
    </w:pPr>
    <w:r>
      <w:rPr>
        <w:rFonts w:hint="eastAsia" w:ascii="方正仿宋_GBK" w:eastAsia="方正仿宋_GBK"/>
        <w:sz w:val="28"/>
        <w:szCs w:val="28"/>
      </w:rPr>
      <w:t>竞争性比选文件</w:t>
    </w:r>
  </w:p>
  <w:p>
    <w:pPr>
      <w:pStyle w:val="23"/>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0" w:firstLineChars="1400"/>
      <w:jc w:val="both"/>
      <w:rPr>
        <w:rFonts w:ascii="微软雅黑" w:hAnsi="微软雅黑" w:eastAsia="微软雅黑" w:cs="微软雅黑"/>
        <w:b/>
        <w:bCs/>
        <w:sz w:val="28"/>
        <w:szCs w:val="28"/>
      </w:rPr>
    </w:pPr>
    <w:r>
      <w:rPr>
        <w:rFonts w:hint="eastAsia" w:ascii="方正仿宋_GBK" w:eastAsia="方正仿宋_GBK"/>
        <w:sz w:val="28"/>
        <w:szCs w:val="28"/>
      </w:rPr>
      <w:t>竞争性比选文件</w:t>
    </w:r>
  </w:p>
  <w:p>
    <w:pPr>
      <w:pStyle w:val="23"/>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210" w:firstLineChars="100"/>
      <w:jc w:val="left"/>
      <w:rPr>
        <w:rFonts w:hint="eastAsia" w:ascii="方正仿宋_GBK" w:eastAsia="方正仿宋_GBK"/>
        <w:sz w:val="21"/>
        <w:szCs w:val="21"/>
      </w:rPr>
    </w:pPr>
    <w:r>
      <w:rPr>
        <w:rFonts w:hint="eastAsia" w:ascii="方正仿宋_GBK" w:eastAsia="方正仿宋_GBK"/>
        <w:sz w:val="21"/>
        <w:szCs w:val="21"/>
      </w:rPr>
      <w:t xml:space="preserve">  </w:t>
    </w:r>
    <w:r>
      <w:rPr>
        <w:rFonts w:hint="eastAsia"/>
      </w:rPr>
      <w:t>重庆大家智方科技有限公司                                                 竞争性比选文件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72D7D"/>
    <w:multiLevelType w:val="singleLevel"/>
    <w:tmpl w:val="82E72D7D"/>
    <w:lvl w:ilvl="0" w:tentative="0">
      <w:start w:val="1"/>
      <w:numFmt w:val="chineseCounting"/>
      <w:suff w:val="nothing"/>
      <w:lvlText w:val="（%1）"/>
      <w:lvlJc w:val="left"/>
      <w:rPr>
        <w:rFonts w:hint="eastAsia"/>
      </w:rPr>
    </w:lvl>
  </w:abstractNum>
  <w:abstractNum w:abstractNumId="1">
    <w:nsid w:val="BFA2F6FC"/>
    <w:multiLevelType w:val="singleLevel"/>
    <w:tmpl w:val="BFA2F6FC"/>
    <w:lvl w:ilvl="0" w:tentative="0">
      <w:start w:val="7"/>
      <w:numFmt w:val="chineseCounting"/>
      <w:suff w:val="nothing"/>
      <w:lvlText w:val="%1、"/>
      <w:lvlJc w:val="left"/>
      <w:rPr>
        <w:rFonts w:hint="eastAsia"/>
      </w:rPr>
    </w:lvl>
  </w:abstractNum>
  <w:abstractNum w:abstractNumId="2">
    <w:nsid w:val="FAA32D1F"/>
    <w:multiLevelType w:val="singleLevel"/>
    <w:tmpl w:val="FAA32D1F"/>
    <w:lvl w:ilvl="0" w:tentative="0">
      <w:start w:val="1"/>
      <w:numFmt w:val="decimal"/>
      <w:lvlText w:val="%1."/>
      <w:lvlJc w:val="left"/>
      <w:pPr>
        <w:tabs>
          <w:tab w:val="left" w:pos="312"/>
        </w:tabs>
      </w:pPr>
    </w:lvl>
  </w:abstractNum>
  <w:abstractNum w:abstractNumId="3">
    <w:nsid w:val="00000008"/>
    <w:multiLevelType w:val="multilevel"/>
    <w:tmpl w:val="00000008"/>
    <w:lvl w:ilvl="0" w:tentative="0">
      <w:start w:val="1"/>
      <w:numFmt w:val="decimal"/>
      <w:pStyle w:val="8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8"/>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6A96F38"/>
    <w:multiLevelType w:val="singleLevel"/>
    <w:tmpl w:val="06A96F38"/>
    <w:lvl w:ilvl="0" w:tentative="0">
      <w:start w:val="2"/>
      <w:numFmt w:val="chineseCounting"/>
      <w:suff w:val="space"/>
      <w:lvlText w:val="第%1篇"/>
      <w:lvlJc w:val="left"/>
      <w:rPr>
        <w:rFonts w:hint="eastAsia"/>
      </w:rPr>
    </w:lvl>
  </w:abstractNum>
  <w:abstractNum w:abstractNumId="5">
    <w:nsid w:val="1099F425"/>
    <w:multiLevelType w:val="singleLevel"/>
    <w:tmpl w:val="1099F425"/>
    <w:lvl w:ilvl="0" w:tentative="0">
      <w:start w:val="1"/>
      <w:numFmt w:val="chineseCounting"/>
      <w:suff w:val="nothing"/>
      <w:lvlText w:val="（%1）"/>
      <w:lvlJc w:val="left"/>
      <w:rPr>
        <w:rFonts w:hint="eastAsia"/>
      </w:rPr>
    </w:lvl>
  </w:abstractNum>
  <w:abstractNum w:abstractNumId="6">
    <w:nsid w:val="185572E9"/>
    <w:multiLevelType w:val="singleLevel"/>
    <w:tmpl w:val="185572E9"/>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ZGM5NDc3ODM3MGI5MzBlMzdmNTNhMzNmM2JkZmMifQ=="/>
  </w:docVars>
  <w:rsids>
    <w:rsidRoot w:val="00E3648B"/>
    <w:rsid w:val="0000480E"/>
    <w:rsid w:val="00025FBA"/>
    <w:rsid w:val="000725DB"/>
    <w:rsid w:val="00084479"/>
    <w:rsid w:val="000B32FD"/>
    <w:rsid w:val="000C2804"/>
    <w:rsid w:val="000C2D14"/>
    <w:rsid w:val="000C30F4"/>
    <w:rsid w:val="000F3E02"/>
    <w:rsid w:val="001516B9"/>
    <w:rsid w:val="00154A20"/>
    <w:rsid w:val="0016285F"/>
    <w:rsid w:val="001663FA"/>
    <w:rsid w:val="001A767F"/>
    <w:rsid w:val="001C14B3"/>
    <w:rsid w:val="001C389B"/>
    <w:rsid w:val="001F48E3"/>
    <w:rsid w:val="00213F9C"/>
    <w:rsid w:val="00225F64"/>
    <w:rsid w:val="00226C58"/>
    <w:rsid w:val="00243351"/>
    <w:rsid w:val="00253BD9"/>
    <w:rsid w:val="002756CA"/>
    <w:rsid w:val="002813A8"/>
    <w:rsid w:val="002B509A"/>
    <w:rsid w:val="002D25BB"/>
    <w:rsid w:val="002E06D4"/>
    <w:rsid w:val="003144F5"/>
    <w:rsid w:val="003518FB"/>
    <w:rsid w:val="00354A08"/>
    <w:rsid w:val="00380AD0"/>
    <w:rsid w:val="003E02EA"/>
    <w:rsid w:val="00417BFD"/>
    <w:rsid w:val="00440452"/>
    <w:rsid w:val="00485D56"/>
    <w:rsid w:val="004B3C46"/>
    <w:rsid w:val="004D1040"/>
    <w:rsid w:val="004E3AD0"/>
    <w:rsid w:val="00503483"/>
    <w:rsid w:val="0050474F"/>
    <w:rsid w:val="0051730F"/>
    <w:rsid w:val="00551E41"/>
    <w:rsid w:val="005664B3"/>
    <w:rsid w:val="005A1F23"/>
    <w:rsid w:val="005C2ECC"/>
    <w:rsid w:val="005D121C"/>
    <w:rsid w:val="006024A2"/>
    <w:rsid w:val="0060328E"/>
    <w:rsid w:val="00731247"/>
    <w:rsid w:val="00734460"/>
    <w:rsid w:val="00755555"/>
    <w:rsid w:val="00772883"/>
    <w:rsid w:val="00790689"/>
    <w:rsid w:val="007A77B9"/>
    <w:rsid w:val="007E1477"/>
    <w:rsid w:val="007F72A3"/>
    <w:rsid w:val="00806E7B"/>
    <w:rsid w:val="00811D3D"/>
    <w:rsid w:val="00854700"/>
    <w:rsid w:val="00862769"/>
    <w:rsid w:val="008A61AC"/>
    <w:rsid w:val="008D6776"/>
    <w:rsid w:val="008F064D"/>
    <w:rsid w:val="00914E14"/>
    <w:rsid w:val="009D36ED"/>
    <w:rsid w:val="009F42FD"/>
    <w:rsid w:val="009F587B"/>
    <w:rsid w:val="00A03AC8"/>
    <w:rsid w:val="00A61888"/>
    <w:rsid w:val="00A8090B"/>
    <w:rsid w:val="00AB4339"/>
    <w:rsid w:val="00AD5C72"/>
    <w:rsid w:val="00AD7386"/>
    <w:rsid w:val="00AE5A3D"/>
    <w:rsid w:val="00B230A5"/>
    <w:rsid w:val="00B25F4B"/>
    <w:rsid w:val="00B51C8F"/>
    <w:rsid w:val="00BA599F"/>
    <w:rsid w:val="00BC09F1"/>
    <w:rsid w:val="00BE2ABD"/>
    <w:rsid w:val="00C11B36"/>
    <w:rsid w:val="00C16BA4"/>
    <w:rsid w:val="00C27C27"/>
    <w:rsid w:val="00C425C0"/>
    <w:rsid w:val="00C536FA"/>
    <w:rsid w:val="00C56E12"/>
    <w:rsid w:val="00C75B6F"/>
    <w:rsid w:val="00CA2BB4"/>
    <w:rsid w:val="00CB5A45"/>
    <w:rsid w:val="00CF33BC"/>
    <w:rsid w:val="00D10BAD"/>
    <w:rsid w:val="00D339BF"/>
    <w:rsid w:val="00D72C20"/>
    <w:rsid w:val="00DB616B"/>
    <w:rsid w:val="00DE3FCE"/>
    <w:rsid w:val="00E019CF"/>
    <w:rsid w:val="00E116AA"/>
    <w:rsid w:val="00E3464F"/>
    <w:rsid w:val="00E3648B"/>
    <w:rsid w:val="00E4764A"/>
    <w:rsid w:val="00E6131B"/>
    <w:rsid w:val="00E64777"/>
    <w:rsid w:val="00EA732A"/>
    <w:rsid w:val="00EB708A"/>
    <w:rsid w:val="00EF45B7"/>
    <w:rsid w:val="00F343AA"/>
    <w:rsid w:val="00F3738E"/>
    <w:rsid w:val="00F57324"/>
    <w:rsid w:val="00F702AD"/>
    <w:rsid w:val="00F72F77"/>
    <w:rsid w:val="00F84450"/>
    <w:rsid w:val="00FC7590"/>
    <w:rsid w:val="00FD2129"/>
    <w:rsid w:val="00FD2F76"/>
    <w:rsid w:val="00FE143E"/>
    <w:rsid w:val="00FE3F5E"/>
    <w:rsid w:val="017C2D6B"/>
    <w:rsid w:val="017C53AD"/>
    <w:rsid w:val="01C64F5C"/>
    <w:rsid w:val="01D86994"/>
    <w:rsid w:val="028C23B3"/>
    <w:rsid w:val="029006BE"/>
    <w:rsid w:val="0295277A"/>
    <w:rsid w:val="02B64E33"/>
    <w:rsid w:val="02C5513C"/>
    <w:rsid w:val="02C93D1E"/>
    <w:rsid w:val="02DF795F"/>
    <w:rsid w:val="02F8159E"/>
    <w:rsid w:val="032F2286"/>
    <w:rsid w:val="036A59B4"/>
    <w:rsid w:val="038A18D4"/>
    <w:rsid w:val="04071455"/>
    <w:rsid w:val="04526BC2"/>
    <w:rsid w:val="0473493A"/>
    <w:rsid w:val="05A50F26"/>
    <w:rsid w:val="05C55124"/>
    <w:rsid w:val="062E2C0C"/>
    <w:rsid w:val="069B0169"/>
    <w:rsid w:val="07D869D7"/>
    <w:rsid w:val="07F05605"/>
    <w:rsid w:val="07F615C4"/>
    <w:rsid w:val="084F6F27"/>
    <w:rsid w:val="085D66CB"/>
    <w:rsid w:val="08716E9D"/>
    <w:rsid w:val="08870D58"/>
    <w:rsid w:val="08B46BC8"/>
    <w:rsid w:val="090E6DE2"/>
    <w:rsid w:val="094920C9"/>
    <w:rsid w:val="0A6F3B8E"/>
    <w:rsid w:val="0B754EF6"/>
    <w:rsid w:val="0BFD1843"/>
    <w:rsid w:val="0C090831"/>
    <w:rsid w:val="0C267312"/>
    <w:rsid w:val="0C9E205F"/>
    <w:rsid w:val="0E166924"/>
    <w:rsid w:val="0ED40186"/>
    <w:rsid w:val="0EEC1973"/>
    <w:rsid w:val="0F1119E4"/>
    <w:rsid w:val="0F376A50"/>
    <w:rsid w:val="0FB71F81"/>
    <w:rsid w:val="0FC61113"/>
    <w:rsid w:val="0FC82856"/>
    <w:rsid w:val="0FEE2463"/>
    <w:rsid w:val="108005C5"/>
    <w:rsid w:val="10A14477"/>
    <w:rsid w:val="10EB2FF8"/>
    <w:rsid w:val="11A6405B"/>
    <w:rsid w:val="11D22B82"/>
    <w:rsid w:val="11DA5AB3"/>
    <w:rsid w:val="11E626AA"/>
    <w:rsid w:val="126B7787"/>
    <w:rsid w:val="12723F3D"/>
    <w:rsid w:val="130828F1"/>
    <w:rsid w:val="13415613"/>
    <w:rsid w:val="13843EAB"/>
    <w:rsid w:val="14ED5B17"/>
    <w:rsid w:val="14EF7AC7"/>
    <w:rsid w:val="15793835"/>
    <w:rsid w:val="162420D4"/>
    <w:rsid w:val="1695469E"/>
    <w:rsid w:val="169721C5"/>
    <w:rsid w:val="16AE750E"/>
    <w:rsid w:val="1971594F"/>
    <w:rsid w:val="197C1B46"/>
    <w:rsid w:val="1BB5284D"/>
    <w:rsid w:val="1C5B3C94"/>
    <w:rsid w:val="1CAD18E8"/>
    <w:rsid w:val="1CB6711D"/>
    <w:rsid w:val="1D494BC1"/>
    <w:rsid w:val="1D4B3D09"/>
    <w:rsid w:val="1D4E07A6"/>
    <w:rsid w:val="1D6F3E9B"/>
    <w:rsid w:val="1DCA10D2"/>
    <w:rsid w:val="1E191131"/>
    <w:rsid w:val="1E561C6C"/>
    <w:rsid w:val="1E845724"/>
    <w:rsid w:val="1EE319C6"/>
    <w:rsid w:val="1F3709E9"/>
    <w:rsid w:val="1F3F789D"/>
    <w:rsid w:val="1FB00909"/>
    <w:rsid w:val="1FD8090A"/>
    <w:rsid w:val="1FF73CD4"/>
    <w:rsid w:val="20713A86"/>
    <w:rsid w:val="21843C8D"/>
    <w:rsid w:val="21895841"/>
    <w:rsid w:val="21937A2C"/>
    <w:rsid w:val="21BC6F83"/>
    <w:rsid w:val="21C35847"/>
    <w:rsid w:val="22A72B45"/>
    <w:rsid w:val="22A72B65"/>
    <w:rsid w:val="22E70030"/>
    <w:rsid w:val="22F50091"/>
    <w:rsid w:val="22F52D07"/>
    <w:rsid w:val="23260675"/>
    <w:rsid w:val="23EC4874"/>
    <w:rsid w:val="24C47C4F"/>
    <w:rsid w:val="25950217"/>
    <w:rsid w:val="25BF34E6"/>
    <w:rsid w:val="26B75F6B"/>
    <w:rsid w:val="26D62FA3"/>
    <w:rsid w:val="271138CD"/>
    <w:rsid w:val="279A1B15"/>
    <w:rsid w:val="27BA1757"/>
    <w:rsid w:val="27D87C46"/>
    <w:rsid w:val="27F64701"/>
    <w:rsid w:val="27FA251F"/>
    <w:rsid w:val="2879797C"/>
    <w:rsid w:val="28B516A5"/>
    <w:rsid w:val="29A529F3"/>
    <w:rsid w:val="29A65F05"/>
    <w:rsid w:val="29D15596"/>
    <w:rsid w:val="29DE28E4"/>
    <w:rsid w:val="29FA743E"/>
    <w:rsid w:val="2B617549"/>
    <w:rsid w:val="2B71075D"/>
    <w:rsid w:val="2BCE6231"/>
    <w:rsid w:val="2C7566AC"/>
    <w:rsid w:val="2E092640"/>
    <w:rsid w:val="2E2E5403"/>
    <w:rsid w:val="2E98638E"/>
    <w:rsid w:val="2EDA3034"/>
    <w:rsid w:val="2EEE0998"/>
    <w:rsid w:val="2FC9111F"/>
    <w:rsid w:val="304964EC"/>
    <w:rsid w:val="30AF3789"/>
    <w:rsid w:val="311A7FB0"/>
    <w:rsid w:val="323639D7"/>
    <w:rsid w:val="32C33693"/>
    <w:rsid w:val="33226245"/>
    <w:rsid w:val="33844142"/>
    <w:rsid w:val="33A82C9F"/>
    <w:rsid w:val="345319C9"/>
    <w:rsid w:val="345E282F"/>
    <w:rsid w:val="351F5D4F"/>
    <w:rsid w:val="35A9176E"/>
    <w:rsid w:val="36CC5A63"/>
    <w:rsid w:val="37052D23"/>
    <w:rsid w:val="370E1FF0"/>
    <w:rsid w:val="37533A8E"/>
    <w:rsid w:val="37714C0D"/>
    <w:rsid w:val="37B95D83"/>
    <w:rsid w:val="381811CC"/>
    <w:rsid w:val="385775AE"/>
    <w:rsid w:val="38935189"/>
    <w:rsid w:val="39791649"/>
    <w:rsid w:val="399A2B84"/>
    <w:rsid w:val="399C685C"/>
    <w:rsid w:val="39C5432C"/>
    <w:rsid w:val="39FE4185"/>
    <w:rsid w:val="3B940DE0"/>
    <w:rsid w:val="3BB56AC5"/>
    <w:rsid w:val="3C3E762A"/>
    <w:rsid w:val="3D0B3E57"/>
    <w:rsid w:val="3D2341EB"/>
    <w:rsid w:val="3D956BAE"/>
    <w:rsid w:val="3DCB187D"/>
    <w:rsid w:val="3E226D80"/>
    <w:rsid w:val="3E6C6E7A"/>
    <w:rsid w:val="3E9A01F4"/>
    <w:rsid w:val="3EAF3300"/>
    <w:rsid w:val="3EC55271"/>
    <w:rsid w:val="3F1A5776"/>
    <w:rsid w:val="3F542A99"/>
    <w:rsid w:val="3FB533B4"/>
    <w:rsid w:val="3FC62809"/>
    <w:rsid w:val="400C5122"/>
    <w:rsid w:val="400D6059"/>
    <w:rsid w:val="4106562F"/>
    <w:rsid w:val="415C79E3"/>
    <w:rsid w:val="41923405"/>
    <w:rsid w:val="41A2728F"/>
    <w:rsid w:val="426A6D93"/>
    <w:rsid w:val="427F607F"/>
    <w:rsid w:val="427F7E2D"/>
    <w:rsid w:val="42FA3538"/>
    <w:rsid w:val="439F28F6"/>
    <w:rsid w:val="43DC7CC3"/>
    <w:rsid w:val="442423B7"/>
    <w:rsid w:val="44817E8C"/>
    <w:rsid w:val="44B26298"/>
    <w:rsid w:val="458E7E63"/>
    <w:rsid w:val="460A6844"/>
    <w:rsid w:val="460A74EF"/>
    <w:rsid w:val="46266DCA"/>
    <w:rsid w:val="468D421B"/>
    <w:rsid w:val="46F35A9B"/>
    <w:rsid w:val="476B013E"/>
    <w:rsid w:val="4800731A"/>
    <w:rsid w:val="481E1E96"/>
    <w:rsid w:val="482C010F"/>
    <w:rsid w:val="498126DD"/>
    <w:rsid w:val="4A437422"/>
    <w:rsid w:val="4BE216B1"/>
    <w:rsid w:val="4C031829"/>
    <w:rsid w:val="4C1A7CB9"/>
    <w:rsid w:val="4C3E5E2C"/>
    <w:rsid w:val="4C417E01"/>
    <w:rsid w:val="4D62104F"/>
    <w:rsid w:val="4F145BEE"/>
    <w:rsid w:val="4F4B3161"/>
    <w:rsid w:val="4F7F5615"/>
    <w:rsid w:val="4FCD042A"/>
    <w:rsid w:val="51A4428B"/>
    <w:rsid w:val="523B22C8"/>
    <w:rsid w:val="527E018B"/>
    <w:rsid w:val="534F1FF2"/>
    <w:rsid w:val="535D1AC5"/>
    <w:rsid w:val="53DC242E"/>
    <w:rsid w:val="542A7943"/>
    <w:rsid w:val="54322F51"/>
    <w:rsid w:val="54560EE2"/>
    <w:rsid w:val="54684BC5"/>
    <w:rsid w:val="551D2AB1"/>
    <w:rsid w:val="554F18E1"/>
    <w:rsid w:val="55D37750"/>
    <w:rsid w:val="55DC72ED"/>
    <w:rsid w:val="566046C7"/>
    <w:rsid w:val="56EB73E7"/>
    <w:rsid w:val="572646B1"/>
    <w:rsid w:val="579161E1"/>
    <w:rsid w:val="57E156E6"/>
    <w:rsid w:val="57F6354D"/>
    <w:rsid w:val="5836136E"/>
    <w:rsid w:val="587C0C3F"/>
    <w:rsid w:val="58B3013F"/>
    <w:rsid w:val="59464DA9"/>
    <w:rsid w:val="594E3CB4"/>
    <w:rsid w:val="59620A30"/>
    <w:rsid w:val="59D2663D"/>
    <w:rsid w:val="5A6E704A"/>
    <w:rsid w:val="5AEF6D32"/>
    <w:rsid w:val="5B585A25"/>
    <w:rsid w:val="5BA54009"/>
    <w:rsid w:val="5BC55A80"/>
    <w:rsid w:val="5BEF05B4"/>
    <w:rsid w:val="5CCF650E"/>
    <w:rsid w:val="5CE40B61"/>
    <w:rsid w:val="5D1F7DEB"/>
    <w:rsid w:val="5EE23FC0"/>
    <w:rsid w:val="5F654690"/>
    <w:rsid w:val="60714E01"/>
    <w:rsid w:val="60D3786A"/>
    <w:rsid w:val="60EC092C"/>
    <w:rsid w:val="614B38A4"/>
    <w:rsid w:val="61C64CD9"/>
    <w:rsid w:val="61E17D0C"/>
    <w:rsid w:val="61EF6CDF"/>
    <w:rsid w:val="61FA2BD4"/>
    <w:rsid w:val="62774244"/>
    <w:rsid w:val="62A6294E"/>
    <w:rsid w:val="62B965EC"/>
    <w:rsid w:val="6346020D"/>
    <w:rsid w:val="636B1FDC"/>
    <w:rsid w:val="64063AB3"/>
    <w:rsid w:val="64412D3D"/>
    <w:rsid w:val="667033D7"/>
    <w:rsid w:val="66AC62E5"/>
    <w:rsid w:val="67C9137D"/>
    <w:rsid w:val="68100E9E"/>
    <w:rsid w:val="6833452D"/>
    <w:rsid w:val="68CA1553"/>
    <w:rsid w:val="6908207B"/>
    <w:rsid w:val="69C601FA"/>
    <w:rsid w:val="6A0A42A7"/>
    <w:rsid w:val="6AEF704E"/>
    <w:rsid w:val="6AF3148F"/>
    <w:rsid w:val="6BFB7C75"/>
    <w:rsid w:val="6C165841"/>
    <w:rsid w:val="6C3E27AC"/>
    <w:rsid w:val="6C6B5BAF"/>
    <w:rsid w:val="6CAD0D5B"/>
    <w:rsid w:val="6D142D9C"/>
    <w:rsid w:val="6D7273E2"/>
    <w:rsid w:val="6DB36A59"/>
    <w:rsid w:val="6DCE598B"/>
    <w:rsid w:val="6E4F6056"/>
    <w:rsid w:val="6E704000"/>
    <w:rsid w:val="6E9827DA"/>
    <w:rsid w:val="6EB034E3"/>
    <w:rsid w:val="6EEF37F3"/>
    <w:rsid w:val="6F590805"/>
    <w:rsid w:val="6F6E15CD"/>
    <w:rsid w:val="6FE15F5A"/>
    <w:rsid w:val="705E122F"/>
    <w:rsid w:val="706933FF"/>
    <w:rsid w:val="70785D38"/>
    <w:rsid w:val="70810A07"/>
    <w:rsid w:val="70F51490"/>
    <w:rsid w:val="711D0007"/>
    <w:rsid w:val="712B6D82"/>
    <w:rsid w:val="71535E5D"/>
    <w:rsid w:val="72470BFA"/>
    <w:rsid w:val="72C2773E"/>
    <w:rsid w:val="72FC32BC"/>
    <w:rsid w:val="736F21B5"/>
    <w:rsid w:val="741B5358"/>
    <w:rsid w:val="750B2DCA"/>
    <w:rsid w:val="752E55CB"/>
    <w:rsid w:val="7556556B"/>
    <w:rsid w:val="75981ACC"/>
    <w:rsid w:val="7622081C"/>
    <w:rsid w:val="762E3B57"/>
    <w:rsid w:val="77C268AB"/>
    <w:rsid w:val="783E2AD0"/>
    <w:rsid w:val="78F46178"/>
    <w:rsid w:val="799A10CD"/>
    <w:rsid w:val="79CC49FF"/>
    <w:rsid w:val="79CE678C"/>
    <w:rsid w:val="7A141457"/>
    <w:rsid w:val="7A1850E9"/>
    <w:rsid w:val="7A6014EF"/>
    <w:rsid w:val="7A607B74"/>
    <w:rsid w:val="7A922676"/>
    <w:rsid w:val="7AA81651"/>
    <w:rsid w:val="7B345BCE"/>
    <w:rsid w:val="7C3C40BE"/>
    <w:rsid w:val="7CD21AF0"/>
    <w:rsid w:val="7D1035AA"/>
    <w:rsid w:val="7D9F52B4"/>
    <w:rsid w:val="7E090056"/>
    <w:rsid w:val="7E191883"/>
    <w:rsid w:val="7E417769"/>
    <w:rsid w:val="7F56395A"/>
    <w:rsid w:val="7F5C4FDD"/>
    <w:rsid w:val="7F944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7">
    <w:name w:val="heading 1"/>
    <w:basedOn w:val="1"/>
    <w:next w:val="1"/>
    <w:link w:val="49"/>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8">
    <w:name w:val="heading 2"/>
    <w:basedOn w:val="1"/>
    <w:next w:val="1"/>
    <w:link w:val="50"/>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9">
    <w:name w:val="heading 3"/>
    <w:basedOn w:val="1"/>
    <w:next w:val="1"/>
    <w:link w:val="51"/>
    <w:qFormat/>
    <w:uiPriority w:val="0"/>
    <w:pPr>
      <w:keepNext/>
      <w:keepLines/>
      <w:spacing w:before="260" w:after="260" w:line="415" w:lineRule="auto"/>
      <w:outlineLvl w:val="2"/>
    </w:pPr>
    <w:rPr>
      <w:rFonts w:ascii="Times New Roman" w:hAnsi="Times New Roman" w:cs="Times New Roman"/>
      <w:b/>
      <w:bCs/>
      <w:sz w:val="32"/>
      <w:szCs w:val="32"/>
      <w:lang w:val="zh-CN"/>
    </w:rPr>
  </w:style>
  <w:style w:type="paragraph" w:styleId="10">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afterLines="0" w:line="240" w:lineRule="auto"/>
      <w:ind w:left="420" w:leftChars="200" w:firstLine="420" w:firstLineChars="200"/>
    </w:pPr>
  </w:style>
  <w:style w:type="paragraph" w:styleId="3">
    <w:name w:val="Body Text Indent"/>
    <w:basedOn w:val="1"/>
    <w:next w:val="4"/>
    <w:link w:val="55"/>
    <w:qFormat/>
    <w:uiPriority w:val="99"/>
    <w:pPr>
      <w:spacing w:line="700" w:lineRule="exact"/>
      <w:ind w:left="960"/>
    </w:pPr>
    <w:rPr>
      <w:rFonts w:ascii="Times New Roman" w:hAnsi="Times New Roman" w:cs="Times New Roman"/>
      <w:sz w:val="20"/>
      <w:szCs w:val="20"/>
      <w:lang w:val="zh-CN"/>
    </w:rPr>
  </w:style>
  <w:style w:type="paragraph" w:customStyle="1" w:styleId="4">
    <w:name w:val="样式 宋体 五号 行距: 单倍行距"/>
    <w:basedOn w:val="1"/>
    <w:qFormat/>
    <w:uiPriority w:val="0"/>
    <w:pPr>
      <w:adjustRightInd w:val="0"/>
      <w:jc w:val="left"/>
    </w:pPr>
    <w:rPr>
      <w:rFonts w:ascii="宋体" w:hAnsi="宋体"/>
      <w:kern w:val="0"/>
      <w:sz w:val="21"/>
    </w:rPr>
  </w:style>
  <w:style w:type="paragraph" w:styleId="5">
    <w:name w:val="Body Text First Indent"/>
    <w:basedOn w:val="6"/>
    <w:next w:val="1"/>
    <w:link w:val="64"/>
    <w:qFormat/>
    <w:uiPriority w:val="0"/>
    <w:pPr>
      <w:ind w:firstLine="420"/>
    </w:pPr>
  </w:style>
  <w:style w:type="paragraph" w:styleId="6">
    <w:name w:val="Body Text"/>
    <w:basedOn w:val="1"/>
    <w:next w:val="1"/>
    <w:link w:val="52"/>
    <w:autoRedefine/>
    <w:unhideWhenUsed/>
    <w:qFormat/>
    <w:uiPriority w:val="99"/>
    <w:pPr>
      <w:spacing w:after="120"/>
    </w:pPr>
    <w:rPr>
      <w:rFonts w:ascii="Times New Roman" w:hAnsi="Times New Roman" w:cs="Times New Roman"/>
      <w:kern w:val="2"/>
      <w:sz w:val="28"/>
      <w:szCs w:val="28"/>
      <w:lang w:val="zh-CN"/>
    </w:rPr>
  </w:style>
  <w:style w:type="paragraph" w:styleId="11">
    <w:name w:val="toc 7"/>
    <w:basedOn w:val="1"/>
    <w:next w:val="1"/>
    <w:autoRedefine/>
    <w:unhideWhenUsed/>
    <w:qFormat/>
    <w:uiPriority w:val="39"/>
    <w:pPr>
      <w:ind w:left="1200"/>
    </w:pPr>
    <w:rPr>
      <w:rFonts w:asciiTheme="minorHAnsi" w:eastAsiaTheme="minorHAnsi"/>
      <w:sz w:val="20"/>
      <w:szCs w:val="20"/>
    </w:rPr>
  </w:style>
  <w:style w:type="paragraph" w:styleId="12">
    <w:name w:val="Normal Indent"/>
    <w:basedOn w:val="1"/>
    <w:next w:val="6"/>
    <w:qFormat/>
    <w:uiPriority w:val="99"/>
    <w:pPr>
      <w:adjustRightInd w:val="0"/>
      <w:snapToGrid w:val="0"/>
      <w:spacing w:line="360" w:lineRule="auto"/>
      <w:ind w:firstLine="420"/>
    </w:pPr>
    <w:rPr>
      <w:szCs w:val="20"/>
    </w:rPr>
  </w:style>
  <w:style w:type="paragraph" w:styleId="13">
    <w:name w:val="Document Map"/>
    <w:basedOn w:val="1"/>
    <w:link w:val="53"/>
    <w:autoRedefine/>
    <w:semiHidden/>
    <w:qFormat/>
    <w:uiPriority w:val="99"/>
    <w:pPr>
      <w:shd w:val="clear" w:color="auto" w:fill="000080"/>
    </w:pPr>
    <w:rPr>
      <w:rFonts w:ascii="Times New Roman" w:hAnsi="Times New Roman" w:cs="Times New Roman"/>
      <w:sz w:val="2"/>
      <w:szCs w:val="2"/>
      <w:lang w:val="zh-CN"/>
    </w:rPr>
  </w:style>
  <w:style w:type="paragraph" w:styleId="14">
    <w:name w:val="annotation text"/>
    <w:basedOn w:val="1"/>
    <w:link w:val="54"/>
    <w:autoRedefine/>
    <w:unhideWhenUsed/>
    <w:qFormat/>
    <w:uiPriority w:val="99"/>
    <w:rPr>
      <w:rFonts w:ascii="Times New Roman" w:hAnsi="Times New Roman" w:cs="Times New Roman"/>
      <w:kern w:val="2"/>
      <w:sz w:val="28"/>
      <w:szCs w:val="28"/>
      <w:lang w:val="zh-CN"/>
    </w:rPr>
  </w:style>
  <w:style w:type="paragraph" w:styleId="15">
    <w:name w:val="toc 5"/>
    <w:basedOn w:val="1"/>
    <w:next w:val="1"/>
    <w:autoRedefine/>
    <w:unhideWhenUsed/>
    <w:qFormat/>
    <w:uiPriority w:val="39"/>
    <w:pPr>
      <w:ind w:left="720"/>
    </w:pPr>
    <w:rPr>
      <w:rFonts w:asciiTheme="minorHAnsi" w:eastAsiaTheme="minorHAnsi"/>
      <w:sz w:val="20"/>
      <w:szCs w:val="20"/>
    </w:rPr>
  </w:style>
  <w:style w:type="paragraph" w:styleId="16">
    <w:name w:val="toc 3"/>
    <w:basedOn w:val="1"/>
    <w:next w:val="1"/>
    <w:autoRedefine/>
    <w:qFormat/>
    <w:uiPriority w:val="39"/>
    <w:pPr>
      <w:ind w:left="240"/>
    </w:pPr>
    <w:rPr>
      <w:rFonts w:asciiTheme="minorHAnsi" w:eastAsiaTheme="minorHAnsi"/>
      <w:sz w:val="20"/>
      <w:szCs w:val="20"/>
    </w:rPr>
  </w:style>
  <w:style w:type="paragraph" w:styleId="17">
    <w:name w:val="Plain Text"/>
    <w:basedOn w:val="1"/>
    <w:link w:val="56"/>
    <w:autoRedefine/>
    <w:qFormat/>
    <w:uiPriority w:val="99"/>
    <w:rPr>
      <w:rFonts w:hAnsi="Courier New" w:cs="Times New Roman"/>
      <w:sz w:val="21"/>
      <w:szCs w:val="21"/>
      <w:lang w:val="zh-CN"/>
    </w:rPr>
  </w:style>
  <w:style w:type="paragraph" w:styleId="18">
    <w:name w:val="toc 8"/>
    <w:basedOn w:val="1"/>
    <w:next w:val="1"/>
    <w:autoRedefine/>
    <w:unhideWhenUsed/>
    <w:qFormat/>
    <w:uiPriority w:val="39"/>
    <w:pPr>
      <w:ind w:left="1440"/>
    </w:pPr>
    <w:rPr>
      <w:rFonts w:asciiTheme="minorHAnsi" w:eastAsiaTheme="minorHAnsi"/>
      <w:sz w:val="20"/>
      <w:szCs w:val="20"/>
    </w:rPr>
  </w:style>
  <w:style w:type="paragraph" w:styleId="19">
    <w:name w:val="Date"/>
    <w:basedOn w:val="1"/>
    <w:next w:val="1"/>
    <w:link w:val="57"/>
    <w:autoRedefine/>
    <w:qFormat/>
    <w:uiPriority w:val="99"/>
    <w:rPr>
      <w:rFonts w:ascii="Times New Roman" w:hAnsi="Times New Roman" w:cs="Times New Roman"/>
      <w:sz w:val="20"/>
      <w:szCs w:val="20"/>
      <w:lang w:val="zh-CN"/>
    </w:rPr>
  </w:style>
  <w:style w:type="paragraph" w:styleId="20">
    <w:name w:val="Body Text Indent 2"/>
    <w:basedOn w:val="1"/>
    <w:link w:val="58"/>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21">
    <w:name w:val="Balloon Text"/>
    <w:basedOn w:val="1"/>
    <w:link w:val="59"/>
    <w:autoRedefine/>
    <w:semiHidden/>
    <w:qFormat/>
    <w:uiPriority w:val="99"/>
    <w:rPr>
      <w:rFonts w:ascii="Times New Roman" w:hAnsi="Times New Roman" w:cs="Times New Roman"/>
      <w:sz w:val="2"/>
      <w:szCs w:val="2"/>
      <w:lang w:val="zh-CN"/>
    </w:rPr>
  </w:style>
  <w:style w:type="paragraph" w:styleId="22">
    <w:name w:val="footer"/>
    <w:basedOn w:val="1"/>
    <w:link w:val="60"/>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23">
    <w:name w:val="header"/>
    <w:basedOn w:val="1"/>
    <w:link w:val="61"/>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4">
    <w:name w:val="toc 1"/>
    <w:basedOn w:val="1"/>
    <w:next w:val="1"/>
    <w:autoRedefine/>
    <w:qFormat/>
    <w:uiPriority w:val="39"/>
    <w:pPr>
      <w:spacing w:before="360"/>
    </w:pPr>
    <w:rPr>
      <w:rFonts w:asciiTheme="majorHAnsi" w:eastAsiaTheme="majorHAnsi"/>
      <w:b/>
      <w:bCs/>
      <w:caps/>
    </w:rPr>
  </w:style>
  <w:style w:type="paragraph" w:styleId="25">
    <w:name w:val="toc 4"/>
    <w:basedOn w:val="1"/>
    <w:next w:val="1"/>
    <w:autoRedefine/>
    <w:unhideWhenUsed/>
    <w:qFormat/>
    <w:uiPriority w:val="39"/>
    <w:pPr>
      <w:ind w:left="480"/>
    </w:pPr>
    <w:rPr>
      <w:rFonts w:asciiTheme="minorHAnsi" w:eastAsiaTheme="minorHAnsi"/>
      <w:sz w:val="20"/>
      <w:szCs w:val="20"/>
    </w:rPr>
  </w:style>
  <w:style w:type="paragraph" w:styleId="26">
    <w:name w:val="toc 6"/>
    <w:basedOn w:val="1"/>
    <w:next w:val="1"/>
    <w:autoRedefine/>
    <w:unhideWhenUsed/>
    <w:qFormat/>
    <w:uiPriority w:val="39"/>
    <w:pPr>
      <w:ind w:left="960"/>
    </w:pPr>
    <w:rPr>
      <w:rFonts w:asciiTheme="minorHAnsi" w:eastAsiaTheme="minorHAnsi"/>
      <w:sz w:val="20"/>
      <w:szCs w:val="20"/>
    </w:rPr>
  </w:style>
  <w:style w:type="paragraph" w:styleId="27">
    <w:name w:val="toc 2"/>
    <w:basedOn w:val="1"/>
    <w:next w:val="1"/>
    <w:autoRedefine/>
    <w:qFormat/>
    <w:uiPriority w:val="39"/>
    <w:pPr>
      <w:spacing w:before="240"/>
    </w:pPr>
    <w:rPr>
      <w:rFonts w:asciiTheme="minorHAnsi" w:eastAsiaTheme="minorHAnsi"/>
      <w:b/>
      <w:bCs/>
      <w:sz w:val="20"/>
      <w:szCs w:val="20"/>
    </w:rPr>
  </w:style>
  <w:style w:type="paragraph" w:styleId="28">
    <w:name w:val="toc 9"/>
    <w:basedOn w:val="1"/>
    <w:next w:val="1"/>
    <w:autoRedefine/>
    <w:unhideWhenUsed/>
    <w:qFormat/>
    <w:uiPriority w:val="39"/>
    <w:pPr>
      <w:ind w:left="1680"/>
    </w:pPr>
    <w:rPr>
      <w:rFonts w:asciiTheme="minorHAnsi" w:eastAsiaTheme="minorHAnsi"/>
      <w:sz w:val="20"/>
      <w:szCs w:val="20"/>
    </w:rPr>
  </w:style>
  <w:style w:type="paragraph" w:styleId="29">
    <w:name w:val="Body Text 2"/>
    <w:basedOn w:val="1"/>
    <w:link w:val="62"/>
    <w:unhideWhenUsed/>
    <w:qFormat/>
    <w:uiPriority w:val="99"/>
    <w:pPr>
      <w:spacing w:after="120" w:line="480" w:lineRule="auto"/>
    </w:pPr>
    <w:rPr>
      <w:rFonts w:cs="Times New Roman"/>
      <w:lang w:val="zh-CN"/>
    </w:rPr>
  </w:style>
  <w:style w:type="paragraph" w:styleId="30">
    <w:name w:val="Normal (Web)"/>
    <w:basedOn w:val="1"/>
    <w:autoRedefine/>
    <w:qFormat/>
    <w:uiPriority w:val="99"/>
    <w:pPr>
      <w:spacing w:before="100" w:beforeAutospacing="1" w:after="100" w:afterAutospacing="1"/>
    </w:pPr>
    <w:rPr>
      <w:color w:val="000000"/>
    </w:rPr>
  </w:style>
  <w:style w:type="paragraph" w:styleId="31">
    <w:name w:val="Title"/>
    <w:basedOn w:val="1"/>
    <w:next w:val="1"/>
    <w:qFormat/>
    <w:uiPriority w:val="0"/>
    <w:pPr>
      <w:spacing w:line="360" w:lineRule="auto"/>
      <w:jc w:val="center"/>
    </w:pPr>
    <w:rPr>
      <w:rFonts w:ascii="Arial" w:hAnsi="Arial"/>
      <w:b/>
      <w:smallCaps/>
      <w:kern w:val="28"/>
      <w:sz w:val="36"/>
      <w:lang w:eastAsia="en-US"/>
    </w:rPr>
  </w:style>
  <w:style w:type="paragraph" w:styleId="32">
    <w:name w:val="annotation subject"/>
    <w:basedOn w:val="14"/>
    <w:next w:val="14"/>
    <w:link w:val="63"/>
    <w:unhideWhenUsed/>
    <w:qFormat/>
    <w:uiPriority w:val="99"/>
    <w:rPr>
      <w:b/>
      <w:bCs/>
    </w:rPr>
  </w:style>
  <w:style w:type="table" w:styleId="34">
    <w:name w:val="Table Grid"/>
    <w:basedOn w:val="33"/>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22"/>
    <w:rPr>
      <w:b/>
      <w:bCs/>
    </w:rPr>
  </w:style>
  <w:style w:type="character" w:styleId="37">
    <w:name w:val="page number"/>
    <w:autoRedefine/>
    <w:qFormat/>
    <w:uiPriority w:val="0"/>
    <w:rPr>
      <w:rFonts w:cs="Times New Roman"/>
    </w:rPr>
  </w:style>
  <w:style w:type="character" w:styleId="38">
    <w:name w:val="FollowedHyperlink"/>
    <w:basedOn w:val="35"/>
    <w:autoRedefine/>
    <w:semiHidden/>
    <w:unhideWhenUsed/>
    <w:qFormat/>
    <w:uiPriority w:val="99"/>
    <w:rPr>
      <w:color w:val="000000"/>
      <w:u w:val="none"/>
    </w:rPr>
  </w:style>
  <w:style w:type="character" w:styleId="39">
    <w:name w:val="Emphasis"/>
    <w:basedOn w:val="35"/>
    <w:autoRedefine/>
    <w:qFormat/>
    <w:uiPriority w:val="20"/>
    <w:rPr>
      <w:i/>
      <w:iCs/>
    </w:rPr>
  </w:style>
  <w:style w:type="character" w:styleId="40">
    <w:name w:val="Hyperlink"/>
    <w:autoRedefine/>
    <w:qFormat/>
    <w:uiPriority w:val="99"/>
    <w:rPr>
      <w:rFonts w:cs="Times New Roman"/>
      <w:color w:val="0000FF"/>
      <w:u w:val="single"/>
    </w:rPr>
  </w:style>
  <w:style w:type="character" w:styleId="41">
    <w:name w:val="HTML Code"/>
    <w:basedOn w:val="35"/>
    <w:autoRedefine/>
    <w:semiHidden/>
    <w:unhideWhenUsed/>
    <w:qFormat/>
    <w:uiPriority w:val="99"/>
    <w:rPr>
      <w:rFonts w:ascii="Monaco" w:hAnsi="Monaco" w:eastAsia="Monaco" w:cs="Monaco"/>
      <w:color w:val="DD1144"/>
      <w:sz w:val="15"/>
      <w:szCs w:val="15"/>
      <w:bdr w:val="single" w:color="E1E1E8" w:sz="6" w:space="0"/>
      <w:shd w:val="clear" w:color="auto" w:fill="F7F7F9"/>
    </w:rPr>
  </w:style>
  <w:style w:type="character" w:styleId="42">
    <w:name w:val="annotation reference"/>
    <w:autoRedefine/>
    <w:unhideWhenUsed/>
    <w:qFormat/>
    <w:uiPriority w:val="99"/>
    <w:rPr>
      <w:sz w:val="21"/>
      <w:szCs w:val="21"/>
    </w:rPr>
  </w:style>
  <w:style w:type="character" w:styleId="43">
    <w:name w:val="HTML Cite"/>
    <w:basedOn w:val="35"/>
    <w:semiHidden/>
    <w:unhideWhenUsed/>
    <w:qFormat/>
    <w:uiPriority w:val="99"/>
  </w:style>
  <w:style w:type="paragraph" w:customStyle="1" w:styleId="44">
    <w:name w:val="索引 51"/>
    <w:basedOn w:val="1"/>
    <w:next w:val="1"/>
    <w:qFormat/>
    <w:uiPriority w:val="0"/>
    <w:pPr>
      <w:ind w:left="1680"/>
    </w:pPr>
  </w:style>
  <w:style w:type="paragraph" w:customStyle="1" w:styleId="45">
    <w:name w:val="正文（缩进）"/>
    <w:basedOn w:val="1"/>
    <w:autoRedefine/>
    <w:qFormat/>
    <w:uiPriority w:val="0"/>
    <w:pPr>
      <w:spacing w:beforeLines="50" w:afterLines="50" w:line="360" w:lineRule="auto"/>
      <w:ind w:firstLine="480" w:firstLineChars="200"/>
    </w:pPr>
  </w:style>
  <w:style w:type="paragraph" w:customStyle="1" w:styleId="46">
    <w:name w:val="Default"/>
    <w:next w:val="47"/>
    <w:autoRedefine/>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7">
    <w:name w:val="表格文字"/>
    <w:basedOn w:val="1"/>
    <w:autoRedefine/>
    <w:qFormat/>
    <w:uiPriority w:val="0"/>
    <w:pPr>
      <w:spacing w:line="420" w:lineRule="atLeast"/>
      <w:textAlignment w:val="baseline"/>
    </w:pPr>
    <w:rPr>
      <w:szCs w:val="20"/>
    </w:rPr>
  </w:style>
  <w:style w:type="paragraph" w:customStyle="1" w:styleId="48">
    <w:name w:val="标书正文1"/>
    <w:basedOn w:val="1"/>
    <w:autoRedefine/>
    <w:qFormat/>
    <w:uiPriority w:val="99"/>
    <w:pPr>
      <w:spacing w:line="520" w:lineRule="exact"/>
      <w:ind w:firstLine="640" w:firstLineChars="200"/>
    </w:pPr>
  </w:style>
  <w:style w:type="character" w:customStyle="1" w:styleId="49">
    <w:name w:val="标题 1 Char"/>
    <w:basedOn w:val="35"/>
    <w:link w:val="7"/>
    <w:autoRedefine/>
    <w:qFormat/>
    <w:uiPriority w:val="99"/>
    <w:rPr>
      <w:rFonts w:ascii="Times New Roman" w:hAnsi="Times New Roman" w:eastAsia="宋体" w:cs="Times New Roman"/>
      <w:b/>
      <w:bCs/>
      <w:kern w:val="44"/>
      <w:sz w:val="44"/>
      <w:szCs w:val="44"/>
      <w:lang w:val="zh-CN" w:eastAsia="zh-CN"/>
    </w:rPr>
  </w:style>
  <w:style w:type="character" w:customStyle="1" w:styleId="50">
    <w:name w:val="标题 2 Char"/>
    <w:basedOn w:val="35"/>
    <w:link w:val="8"/>
    <w:autoRedefine/>
    <w:qFormat/>
    <w:uiPriority w:val="99"/>
    <w:rPr>
      <w:rFonts w:ascii="Cambria" w:hAnsi="Cambria" w:eastAsia="宋体" w:cs="Times New Roman"/>
      <w:b/>
      <w:bCs/>
      <w:kern w:val="0"/>
      <w:sz w:val="32"/>
      <w:szCs w:val="32"/>
      <w:lang w:val="zh-CN" w:eastAsia="zh-CN"/>
    </w:rPr>
  </w:style>
  <w:style w:type="character" w:customStyle="1" w:styleId="51">
    <w:name w:val="标题 3 Char"/>
    <w:basedOn w:val="35"/>
    <w:link w:val="9"/>
    <w:autoRedefine/>
    <w:qFormat/>
    <w:uiPriority w:val="0"/>
    <w:rPr>
      <w:rFonts w:ascii="Times New Roman" w:hAnsi="Times New Roman" w:eastAsia="宋体" w:cs="Times New Roman"/>
      <w:b/>
      <w:bCs/>
      <w:kern w:val="0"/>
      <w:sz w:val="32"/>
      <w:szCs w:val="32"/>
      <w:lang w:val="zh-CN" w:eastAsia="zh-CN"/>
    </w:rPr>
  </w:style>
  <w:style w:type="character" w:customStyle="1" w:styleId="52">
    <w:name w:val="正文文本 Char"/>
    <w:basedOn w:val="35"/>
    <w:link w:val="6"/>
    <w:autoRedefine/>
    <w:qFormat/>
    <w:uiPriority w:val="99"/>
    <w:rPr>
      <w:rFonts w:ascii="Times New Roman" w:hAnsi="Times New Roman" w:eastAsia="宋体" w:cs="Times New Roman"/>
      <w:sz w:val="28"/>
      <w:szCs w:val="28"/>
      <w:lang w:val="zh-CN" w:eastAsia="zh-CN"/>
    </w:rPr>
  </w:style>
  <w:style w:type="character" w:customStyle="1" w:styleId="53">
    <w:name w:val="文档结构图 Char"/>
    <w:basedOn w:val="35"/>
    <w:link w:val="13"/>
    <w:autoRedefine/>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54">
    <w:name w:val="批注文字 Char"/>
    <w:basedOn w:val="35"/>
    <w:link w:val="14"/>
    <w:autoRedefine/>
    <w:qFormat/>
    <w:uiPriority w:val="99"/>
    <w:rPr>
      <w:rFonts w:ascii="Times New Roman" w:hAnsi="Times New Roman" w:eastAsia="宋体" w:cs="Times New Roman"/>
      <w:sz w:val="28"/>
      <w:szCs w:val="28"/>
      <w:lang w:val="zh-CN" w:eastAsia="zh-CN"/>
    </w:rPr>
  </w:style>
  <w:style w:type="character" w:customStyle="1" w:styleId="55">
    <w:name w:val="正文文本缩进 Char"/>
    <w:basedOn w:val="35"/>
    <w:link w:val="3"/>
    <w:autoRedefine/>
    <w:qFormat/>
    <w:uiPriority w:val="99"/>
    <w:rPr>
      <w:rFonts w:ascii="Times New Roman" w:hAnsi="Times New Roman" w:eastAsia="宋体" w:cs="Times New Roman"/>
      <w:kern w:val="0"/>
      <w:sz w:val="20"/>
      <w:szCs w:val="20"/>
      <w:lang w:val="zh-CN" w:eastAsia="zh-CN"/>
    </w:rPr>
  </w:style>
  <w:style w:type="character" w:customStyle="1" w:styleId="56">
    <w:name w:val="纯文本 Char"/>
    <w:basedOn w:val="35"/>
    <w:link w:val="17"/>
    <w:autoRedefine/>
    <w:qFormat/>
    <w:uiPriority w:val="99"/>
    <w:rPr>
      <w:rFonts w:ascii="宋体" w:hAnsi="Courier New" w:eastAsia="宋体" w:cs="Times New Roman"/>
      <w:kern w:val="0"/>
      <w:szCs w:val="21"/>
      <w:lang w:val="zh-CN" w:eastAsia="zh-CN"/>
    </w:rPr>
  </w:style>
  <w:style w:type="character" w:customStyle="1" w:styleId="57">
    <w:name w:val="日期 Char"/>
    <w:basedOn w:val="35"/>
    <w:link w:val="19"/>
    <w:autoRedefine/>
    <w:qFormat/>
    <w:uiPriority w:val="99"/>
    <w:rPr>
      <w:rFonts w:ascii="Times New Roman" w:hAnsi="Times New Roman" w:eastAsia="宋体" w:cs="Times New Roman"/>
      <w:kern w:val="0"/>
      <w:sz w:val="20"/>
      <w:szCs w:val="20"/>
      <w:lang w:val="zh-CN" w:eastAsia="zh-CN"/>
    </w:rPr>
  </w:style>
  <w:style w:type="character" w:customStyle="1" w:styleId="58">
    <w:name w:val="正文文本缩进 2 Char"/>
    <w:basedOn w:val="35"/>
    <w:link w:val="20"/>
    <w:autoRedefine/>
    <w:qFormat/>
    <w:uiPriority w:val="99"/>
    <w:rPr>
      <w:rFonts w:ascii="Times New Roman" w:hAnsi="Times New Roman" w:eastAsia="宋体" w:cs="Times New Roman"/>
      <w:sz w:val="28"/>
      <w:szCs w:val="28"/>
      <w:lang w:val="zh-CN" w:eastAsia="zh-CN"/>
    </w:rPr>
  </w:style>
  <w:style w:type="character" w:customStyle="1" w:styleId="59">
    <w:name w:val="批注框文本 Char"/>
    <w:basedOn w:val="35"/>
    <w:link w:val="21"/>
    <w:autoRedefine/>
    <w:semiHidden/>
    <w:qFormat/>
    <w:uiPriority w:val="99"/>
    <w:rPr>
      <w:rFonts w:ascii="Times New Roman" w:hAnsi="Times New Roman" w:eastAsia="宋体" w:cs="Times New Roman"/>
      <w:kern w:val="0"/>
      <w:sz w:val="2"/>
      <w:szCs w:val="2"/>
      <w:lang w:val="zh-CN" w:eastAsia="zh-CN"/>
    </w:rPr>
  </w:style>
  <w:style w:type="character" w:customStyle="1" w:styleId="60">
    <w:name w:val="页脚 Char"/>
    <w:basedOn w:val="35"/>
    <w:link w:val="22"/>
    <w:autoRedefine/>
    <w:qFormat/>
    <w:uiPriority w:val="99"/>
    <w:rPr>
      <w:rFonts w:ascii="Times New Roman" w:hAnsi="Times New Roman" w:eastAsia="宋体" w:cs="Times New Roman"/>
      <w:kern w:val="0"/>
      <w:sz w:val="18"/>
      <w:szCs w:val="18"/>
      <w:lang w:val="zh-CN" w:eastAsia="zh-CN"/>
    </w:rPr>
  </w:style>
  <w:style w:type="character" w:customStyle="1" w:styleId="61">
    <w:name w:val="页眉 Char"/>
    <w:basedOn w:val="35"/>
    <w:link w:val="23"/>
    <w:autoRedefine/>
    <w:qFormat/>
    <w:uiPriority w:val="0"/>
    <w:rPr>
      <w:rFonts w:ascii="Times New Roman" w:hAnsi="Times New Roman" w:eastAsia="宋体" w:cs="Times New Roman"/>
      <w:kern w:val="0"/>
      <w:sz w:val="18"/>
      <w:szCs w:val="18"/>
      <w:lang w:val="zh-CN" w:eastAsia="zh-CN"/>
    </w:rPr>
  </w:style>
  <w:style w:type="character" w:customStyle="1" w:styleId="62">
    <w:name w:val="正文文本 2 Char"/>
    <w:basedOn w:val="35"/>
    <w:link w:val="29"/>
    <w:autoRedefine/>
    <w:qFormat/>
    <w:uiPriority w:val="99"/>
    <w:rPr>
      <w:rFonts w:ascii="宋体" w:hAnsi="宋体" w:eastAsia="宋体" w:cs="Times New Roman"/>
      <w:kern w:val="0"/>
      <w:sz w:val="24"/>
      <w:lang w:val="zh-CN" w:eastAsia="zh-CN"/>
    </w:rPr>
  </w:style>
  <w:style w:type="character" w:customStyle="1" w:styleId="63">
    <w:name w:val="批注主题 Char"/>
    <w:basedOn w:val="54"/>
    <w:link w:val="32"/>
    <w:autoRedefine/>
    <w:qFormat/>
    <w:uiPriority w:val="99"/>
    <w:rPr>
      <w:rFonts w:ascii="Times New Roman" w:hAnsi="Times New Roman" w:eastAsia="宋体" w:cs="Times New Roman"/>
      <w:b/>
      <w:bCs/>
      <w:sz w:val="28"/>
      <w:szCs w:val="28"/>
      <w:lang w:val="zh-CN" w:eastAsia="zh-CN"/>
    </w:rPr>
  </w:style>
  <w:style w:type="character" w:customStyle="1" w:styleId="64">
    <w:name w:val="正文首行缩进 Char"/>
    <w:basedOn w:val="52"/>
    <w:link w:val="5"/>
    <w:qFormat/>
    <w:uiPriority w:val="0"/>
    <w:rPr>
      <w:rFonts w:ascii="宋体" w:hAnsi="宋体" w:eastAsia="宋体" w:cs="宋体"/>
      <w:kern w:val="0"/>
      <w:sz w:val="24"/>
      <w:szCs w:val="28"/>
      <w:lang w:val="zh-CN" w:eastAsia="zh-CN"/>
    </w:rPr>
  </w:style>
  <w:style w:type="paragraph" w:customStyle="1" w:styleId="65">
    <w:name w:val="正文文本 21"/>
    <w:basedOn w:val="1"/>
    <w:autoRedefine/>
    <w:qFormat/>
    <w:uiPriority w:val="0"/>
    <w:pPr>
      <w:snapToGrid w:val="0"/>
      <w:spacing w:line="540" w:lineRule="exact"/>
    </w:pPr>
    <w:rPr>
      <w:rFonts w:eastAsia="方正仿宋_GBK"/>
      <w:color w:val="000000"/>
    </w:rPr>
  </w:style>
  <w:style w:type="paragraph" w:customStyle="1" w:styleId="66">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67">
    <w:name w:val="emphasizedtitle1"/>
    <w:autoRedefine/>
    <w:qFormat/>
    <w:uiPriority w:val="99"/>
    <w:rPr>
      <w:rFonts w:ascii="Arial" w:hAnsi="Arial"/>
      <w:b/>
      <w:sz w:val="27"/>
    </w:rPr>
  </w:style>
  <w:style w:type="character" w:customStyle="1" w:styleId="68">
    <w:name w:val="font21"/>
    <w:autoRedefine/>
    <w:qFormat/>
    <w:uiPriority w:val="0"/>
    <w:rPr>
      <w:rFonts w:ascii="宋体" w:eastAsia="宋体" w:cs="宋体"/>
      <w:color w:val="000000"/>
      <w:sz w:val="20"/>
      <w:szCs w:val="20"/>
      <w:u w:val="none"/>
    </w:rPr>
  </w:style>
  <w:style w:type="character" w:customStyle="1" w:styleId="69">
    <w:name w:val="apple-converted-space"/>
    <w:autoRedefine/>
    <w:qFormat/>
    <w:uiPriority w:val="99"/>
    <w:rPr>
      <w:rFonts w:cs="Times New Roman"/>
    </w:rPr>
  </w:style>
  <w:style w:type="character" w:customStyle="1" w:styleId="70">
    <w:name w:val="active"/>
    <w:autoRedefine/>
    <w:qFormat/>
    <w:uiPriority w:val="0"/>
    <w:rPr>
      <w:shd w:val="clear" w:color="auto" w:fill="EC3535"/>
    </w:rPr>
  </w:style>
  <w:style w:type="character" w:customStyle="1" w:styleId="71">
    <w:name w:val="样式 (中文) 仿宋_GB2312 小四 行距: 固定值 22 磅 Char"/>
    <w:link w:val="72"/>
    <w:autoRedefine/>
    <w:qFormat/>
    <w:uiPriority w:val="0"/>
    <w:rPr>
      <w:rFonts w:eastAsia="仿宋_GB2312"/>
      <w:sz w:val="24"/>
    </w:rPr>
  </w:style>
  <w:style w:type="paragraph" w:customStyle="1" w:styleId="72">
    <w:name w:val="样式 (中文) 仿宋_GB2312 小四 行距: 固定值 22 磅"/>
    <w:basedOn w:val="1"/>
    <w:link w:val="71"/>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73">
    <w:name w:val="maincontenttable"/>
    <w:autoRedefine/>
    <w:qFormat/>
    <w:uiPriority w:val="99"/>
    <w:rPr>
      <w:rFonts w:cs="Times New Roman"/>
    </w:rPr>
  </w:style>
  <w:style w:type="paragraph" w:customStyle="1" w:styleId="74">
    <w:name w:val="Char1 Char Char Char"/>
    <w:basedOn w:val="1"/>
    <w:autoRedefine/>
    <w:qFormat/>
    <w:uiPriority w:val="99"/>
    <w:rPr>
      <w:rFonts w:ascii="Tahoma" w:hAnsi="Tahoma" w:cs="Tahoma"/>
      <w:sz w:val="30"/>
      <w:szCs w:val="30"/>
    </w:rPr>
  </w:style>
  <w:style w:type="paragraph" w:customStyle="1" w:styleId="75">
    <w:name w:val="Char Char Char Char Char Char Char Char Char Char"/>
    <w:basedOn w:val="1"/>
    <w:autoRedefine/>
    <w:qFormat/>
    <w:uiPriority w:val="99"/>
    <w:pPr>
      <w:tabs>
        <w:tab w:val="left" w:pos="360"/>
      </w:tabs>
      <w:ind w:left="360" w:hanging="360" w:hangingChars="200"/>
    </w:pPr>
  </w:style>
  <w:style w:type="paragraph" w:customStyle="1" w:styleId="76">
    <w:name w:val="op_exactqa_s_prop"/>
    <w:basedOn w:val="1"/>
    <w:qFormat/>
    <w:uiPriority w:val="99"/>
  </w:style>
  <w:style w:type="paragraph" w:customStyle="1" w:styleId="77">
    <w:name w:val="Char"/>
    <w:basedOn w:val="1"/>
    <w:autoRedefine/>
    <w:qFormat/>
    <w:uiPriority w:val="99"/>
    <w:pPr>
      <w:spacing w:after="160" w:line="240" w:lineRule="exact"/>
    </w:pPr>
    <w:rPr>
      <w:rFonts w:ascii="Verdana" w:hAnsi="Verdana" w:eastAsia="仿宋_GB2312" w:cs="Verdana"/>
      <w:lang w:eastAsia="en-US"/>
    </w:rPr>
  </w:style>
  <w:style w:type="paragraph" w:customStyle="1" w:styleId="78">
    <w:name w:val="图例"/>
    <w:basedOn w:val="1"/>
    <w:qFormat/>
    <w:uiPriority w:val="0"/>
    <w:pPr>
      <w:spacing w:before="120" w:after="120" w:line="360" w:lineRule="auto"/>
      <w:jc w:val="center"/>
    </w:pPr>
    <w:rPr>
      <w:rFonts w:eastAsia="仿宋_GB2312"/>
      <w:b/>
    </w:rPr>
  </w:style>
  <w:style w:type="paragraph" w:customStyle="1" w:styleId="79">
    <w:name w:val="Char Char Char Char"/>
    <w:basedOn w:val="1"/>
    <w:qFormat/>
    <w:uiPriority w:val="99"/>
    <w:pPr>
      <w:spacing w:after="160" w:line="240" w:lineRule="exact"/>
    </w:pPr>
    <w:rPr>
      <w:rFonts w:ascii="Verdana" w:hAnsi="Verdana" w:cs="Verdana"/>
      <w:sz w:val="20"/>
      <w:szCs w:val="20"/>
      <w:lang w:eastAsia="en-US"/>
    </w:rPr>
  </w:style>
  <w:style w:type="paragraph" w:customStyle="1" w:styleId="80">
    <w:name w:val="_Style 7"/>
    <w:basedOn w:val="1"/>
    <w:autoRedefine/>
    <w:qFormat/>
    <w:uiPriority w:val="0"/>
    <w:pPr>
      <w:ind w:firstLine="200" w:firstLineChars="200"/>
    </w:pPr>
    <w:rPr>
      <w:rFonts w:ascii="等线" w:eastAsia="等线" w:cs="Times New Roman"/>
      <w:sz w:val="21"/>
      <w:szCs w:val="22"/>
    </w:rPr>
  </w:style>
  <w:style w:type="paragraph" w:customStyle="1" w:styleId="81">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82">
    <w:name w:val="列表段落1"/>
    <w:basedOn w:val="1"/>
    <w:unhideWhenUsed/>
    <w:qFormat/>
    <w:uiPriority w:val="99"/>
    <w:pPr>
      <w:ind w:firstLine="420" w:firstLineChars="200"/>
    </w:pPr>
  </w:style>
  <w:style w:type="paragraph" w:customStyle="1" w:styleId="83">
    <w:name w:val="1"/>
    <w:basedOn w:val="1"/>
    <w:next w:val="17"/>
    <w:autoRedefine/>
    <w:qFormat/>
    <w:uiPriority w:val="0"/>
    <w:rPr>
      <w:rFonts w:hAnsi="Courier New"/>
      <w:sz w:val="21"/>
      <w:szCs w:val="21"/>
    </w:rPr>
  </w:style>
  <w:style w:type="paragraph" w:customStyle="1" w:styleId="84">
    <w:name w:val="列出段落2"/>
    <w:basedOn w:val="1"/>
    <w:unhideWhenUsed/>
    <w:qFormat/>
    <w:uiPriority w:val="99"/>
    <w:pPr>
      <w:ind w:firstLine="420" w:firstLineChars="200"/>
    </w:pPr>
  </w:style>
  <w:style w:type="paragraph" w:customStyle="1" w:styleId="8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86">
    <w:name w:val="列出段落1"/>
    <w:basedOn w:val="1"/>
    <w:autoRedefine/>
    <w:qFormat/>
    <w:uiPriority w:val="99"/>
    <w:pPr>
      <w:ind w:firstLine="420" w:firstLineChars="200"/>
    </w:pPr>
    <w:rPr>
      <w:rFonts w:ascii="Calibri" w:hAnsi="Calibri"/>
      <w:sz w:val="21"/>
      <w:szCs w:val="22"/>
    </w:rPr>
  </w:style>
  <w:style w:type="paragraph" w:customStyle="1" w:styleId="8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8">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89">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90">
    <w:name w:val="NormalCharacter"/>
    <w:autoRedefine/>
    <w:qFormat/>
    <w:uiPriority w:val="0"/>
    <w:rPr>
      <w:rFonts w:ascii="Calibri" w:hAnsi="Calibri" w:eastAsia="宋体"/>
    </w:rPr>
  </w:style>
  <w:style w:type="paragraph" w:styleId="91">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92">
    <w:name w:val="Normal_6b1eb2b1-915e-4520-a4ad-e896fdd76176"/>
    <w:next w:val="7"/>
    <w:qFormat/>
    <w:uiPriority w:val="0"/>
    <w:rPr>
      <w:rFonts w:ascii="Times New Roman" w:hAnsi="Times New Roman" w:eastAsia="宋体" w:cs="Times New Roman"/>
      <w:sz w:val="21"/>
      <w:lang w:val="en-US" w:eastAsia="zh-CN" w:bidi="ar-SA"/>
    </w:rPr>
  </w:style>
  <w:style w:type="character" w:customStyle="1" w:styleId="93">
    <w:name w:val="active7"/>
    <w:basedOn w:val="35"/>
    <w:qFormat/>
    <w:uiPriority w:val="0"/>
    <w:rPr>
      <w:color w:val="FFFFFF"/>
      <w:shd w:val="clear" w:color="auto" w:fill="E02F23"/>
    </w:rPr>
  </w:style>
  <w:style w:type="character" w:customStyle="1" w:styleId="94">
    <w:name w:val="active6"/>
    <w:basedOn w:val="35"/>
    <w:qFormat/>
    <w:uiPriority w:val="0"/>
    <w:rPr>
      <w:color w:val="FFFFFF"/>
      <w:shd w:val="clear" w:color="auto" w:fill="E02F23"/>
    </w:rPr>
  </w:style>
  <w:style w:type="paragraph" w:customStyle="1" w:styleId="95">
    <w:name w:val="pa-34"/>
    <w:basedOn w:val="1"/>
    <w:qFormat/>
    <w:uiPriority w:val="0"/>
    <w:pPr>
      <w:spacing w:line="360" w:lineRule="atLeast"/>
      <w:ind w:firstLine="420"/>
    </w:pPr>
  </w:style>
  <w:style w:type="paragraph" w:customStyle="1" w:styleId="96">
    <w:name w:val="正文-表格内文字"/>
    <w:basedOn w:val="1"/>
    <w:qFormat/>
    <w:uiPriority w:val="99"/>
    <w:pPr>
      <w:spacing w:line="264" w:lineRule="auto"/>
    </w:pPr>
    <w:rPr>
      <w:sz w:val="21"/>
    </w:rPr>
  </w:style>
  <w:style w:type="paragraph" w:customStyle="1" w:styleId="97">
    <w:name w:val="正文1"/>
    <w:basedOn w:val="1"/>
    <w:next w:val="1"/>
    <w:qFormat/>
    <w:uiPriority w:val="0"/>
    <w:pPr>
      <w:widowControl w:val="0"/>
      <w:spacing w:line="300" w:lineRule="auto"/>
      <w:ind w:firstLine="200" w:firstLineChars="200"/>
      <w:jc w:val="both"/>
    </w:pPr>
    <w:rPr>
      <w:rFonts w:ascii="Times New Roman" w:hAnsi="Times New Roman" w:cs="Times New Roman"/>
      <w:kern w:val="2"/>
      <w:szCs w:val="20"/>
    </w:rPr>
  </w:style>
  <w:style w:type="paragraph" w:customStyle="1" w:styleId="98">
    <w:name w:val="Table Paragraph"/>
    <w:basedOn w:val="1"/>
    <w:qFormat/>
    <w:uiPriority w:val="1"/>
    <w:pPr>
      <w:widowControl w:val="0"/>
      <w:jc w:val="both"/>
    </w:pPr>
    <w:rPr>
      <w:kern w:val="2"/>
      <w:sz w:val="28"/>
      <w:szCs w:val="20"/>
      <w:lang w:val="zh-CN" w:bidi="zh-CN"/>
    </w:rPr>
  </w:style>
  <w:style w:type="paragraph" w:customStyle="1" w:styleId="99">
    <w:name w:val="副标题【正】"/>
    <w:basedOn w:val="1"/>
    <w:next w:val="1"/>
    <w:qFormat/>
    <w:uiPriority w:val="0"/>
    <w:pPr>
      <w:spacing w:line="360" w:lineRule="auto"/>
      <w:jc w:val="center"/>
    </w:pPr>
    <w:rPr>
      <w:b/>
      <w:sz w:val="32"/>
    </w:rPr>
  </w:style>
  <w:style w:type="paragraph" w:customStyle="1" w:styleId="100">
    <w:name w:val="表头"/>
    <w:basedOn w:val="1"/>
    <w:next w:val="1"/>
    <w:qFormat/>
    <w:uiPriority w:val="0"/>
    <w:pPr>
      <w:spacing w:line="300" w:lineRule="exact"/>
      <w:jc w:val="center"/>
    </w:pPr>
    <w:rPr>
      <w:b/>
    </w:rPr>
  </w:style>
  <w:style w:type="paragraph" w:customStyle="1" w:styleId="101">
    <w:name w:val="表内"/>
    <w:basedOn w:val="1"/>
    <w:next w:val="1"/>
    <w:qFormat/>
    <w:uiPriority w:val="0"/>
    <w:pPr>
      <w:spacing w:line="300" w:lineRule="exact"/>
    </w:pPr>
  </w:style>
  <w:style w:type="character" w:customStyle="1" w:styleId="102">
    <w:name w:val="font11"/>
    <w:basedOn w:val="35"/>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02C3B-A063-4BB7-ABA8-28605945394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23460</Words>
  <Characters>24552</Characters>
  <Lines>129</Lines>
  <Paragraphs>36</Paragraphs>
  <TotalTime>15</TotalTime>
  <ScaleCrop>false</ScaleCrop>
  <LinksUpToDate>false</LinksUpToDate>
  <CharactersWithSpaces>26337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2025-09-17T06:20:00Z</dcterms:created>
  <dc:creator>Haowen Yang</dc:creator>
  <cp:lastModifiedBy>别问我是谁</cp:lastModifiedBy>
  <dcterms:modified xsi:type="dcterms:W3CDTF">2025-11-17T07:30:26Z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839DBF4FB2C64C718A8E9F55A3E52A74_13</vt:lpwstr>
  </property>
  <property fmtid="{D5CDD505-2E9C-101B-9397-08002B2CF9AE}" pid="4" name="KSOTemplateDocerSaveRecord">
    <vt:lpwstr>eyJoZGlkIjoiM2ZhNmU3MWI0N2VjODA1YmNmNDBlMGY0Mzc4MzAxNTIifQ==</vt:lpwstr>
  </property>
</Properties>
</file>