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BDBDB2">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highlight w:val="none"/>
        </w:rPr>
      </w:pPr>
    </w:p>
    <w:p w14:paraId="21BA7F79">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612BB89E">
      <w:pPr>
        <w:pageBreakBefore w:val="0"/>
        <w:wordWrap/>
        <w:topLinePunct w:val="0"/>
        <w:bidi w:val="0"/>
        <w:spacing w:before="77" w:beforeLines="20" w:line="360" w:lineRule="auto"/>
        <w:ind w:left="0" w:leftChars="0" w:right="0"/>
        <w:jc w:val="center"/>
        <w:textAlignment w:val="auto"/>
        <w:outlineLvl w:val="0"/>
        <w:rPr>
          <w:rFonts w:hint="eastAsia" w:ascii="宋体" w:hAnsi="宋体" w:eastAsia="宋体" w:cs="宋体"/>
          <w:color w:val="auto"/>
          <w:spacing w:val="80"/>
          <w:sz w:val="72"/>
          <w:szCs w:val="72"/>
          <w:highlight w:val="none"/>
        </w:rPr>
      </w:pPr>
      <w:r>
        <w:rPr>
          <w:rFonts w:hint="eastAsia" w:ascii="宋体" w:hAnsi="宋体" w:eastAsia="宋体" w:cs="宋体"/>
          <w:color w:val="auto"/>
          <w:spacing w:val="80"/>
          <w:sz w:val="72"/>
          <w:szCs w:val="72"/>
          <w:highlight w:val="none"/>
        </w:rPr>
        <w:t>竞争性比选</w:t>
      </w:r>
    </w:p>
    <w:p w14:paraId="0847254D">
      <w:pPr>
        <w:pageBreakBefore w:val="0"/>
        <w:wordWrap/>
        <w:topLinePunct w:val="0"/>
        <w:bidi w:val="0"/>
        <w:spacing w:before="77" w:beforeLines="20" w:line="360" w:lineRule="auto"/>
        <w:ind w:left="0" w:leftChars="0" w:right="0"/>
        <w:jc w:val="center"/>
        <w:textAlignment w:val="auto"/>
        <w:outlineLvl w:val="0"/>
        <w:rPr>
          <w:rFonts w:hint="eastAsia" w:ascii="宋体" w:hAnsi="宋体" w:eastAsia="宋体" w:cs="宋体"/>
          <w:color w:val="auto"/>
          <w:spacing w:val="80"/>
          <w:sz w:val="72"/>
          <w:szCs w:val="72"/>
          <w:highlight w:val="none"/>
        </w:rPr>
      </w:pPr>
      <w:r>
        <w:rPr>
          <w:rFonts w:hint="eastAsia" w:ascii="宋体" w:hAnsi="宋体" w:eastAsia="宋体" w:cs="宋体"/>
          <w:color w:val="auto"/>
          <w:spacing w:val="80"/>
          <w:sz w:val="72"/>
          <w:szCs w:val="72"/>
          <w:highlight w:val="none"/>
        </w:rPr>
        <w:t>文件</w:t>
      </w:r>
    </w:p>
    <w:p w14:paraId="3E7C97D7">
      <w:pPr>
        <w:pStyle w:val="22"/>
        <w:rPr>
          <w:rFonts w:hint="eastAsia" w:ascii="宋体" w:hAnsi="宋体" w:eastAsia="宋体" w:cs="宋体"/>
          <w:color w:val="auto"/>
          <w:spacing w:val="80"/>
          <w:sz w:val="72"/>
          <w:szCs w:val="72"/>
          <w:highlight w:val="none"/>
        </w:rPr>
      </w:pPr>
    </w:p>
    <w:p w14:paraId="1DB3325E">
      <w:pPr>
        <w:pStyle w:val="68"/>
        <w:rPr>
          <w:rFonts w:hint="eastAsia"/>
          <w:color w:val="auto"/>
        </w:rPr>
      </w:pPr>
    </w:p>
    <w:p w14:paraId="3240923A">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78F82E60">
      <w:pPr>
        <w:pageBreakBefore w:val="0"/>
        <w:wordWrap/>
        <w:topLinePunct w:val="0"/>
        <w:bidi w:val="0"/>
        <w:spacing w:before="77" w:beforeLines="20" w:line="360" w:lineRule="auto"/>
        <w:ind w:left="0" w:leftChars="0" w:right="0" w:firstLine="1080" w:firstLineChars="300"/>
        <w:textAlignment w:val="auto"/>
        <w:rPr>
          <w:rFonts w:hint="default" w:ascii="宋体" w:hAnsi="宋体" w:eastAsia="宋体" w:cs="宋体"/>
          <w:color w:val="auto"/>
          <w:kern w:val="2"/>
          <w:sz w:val="36"/>
          <w:szCs w:val="36"/>
          <w:highlight w:val="none"/>
          <w:lang w:val="en-US" w:eastAsia="zh-CN" w:bidi="ar-SA"/>
        </w:rPr>
      </w:pPr>
      <w:r>
        <w:rPr>
          <w:rFonts w:hint="eastAsia" w:ascii="宋体" w:hAnsi="宋体" w:eastAsia="宋体" w:cs="宋体"/>
          <w:color w:val="auto"/>
          <w:kern w:val="2"/>
          <w:sz w:val="36"/>
          <w:szCs w:val="36"/>
          <w:highlight w:val="none"/>
          <w:lang w:val="en-US" w:eastAsia="zh-CN" w:bidi="ar-SA"/>
        </w:rPr>
        <w:t>项目编号：</w:t>
      </w:r>
      <w:r>
        <w:rPr>
          <w:rFonts w:hint="eastAsia" w:ascii="宋体" w:hAnsi="宋体" w:cs="宋体"/>
          <w:color w:val="auto"/>
          <w:sz w:val="32"/>
          <w:szCs w:val="32"/>
          <w:highlight w:val="none"/>
        </w:rPr>
        <w:t>RSZB-202</w:t>
      </w:r>
      <w:r>
        <w:rPr>
          <w:rFonts w:hint="eastAsia" w:ascii="宋体" w:hAnsi="宋体" w:cs="宋体"/>
          <w:color w:val="auto"/>
          <w:sz w:val="32"/>
          <w:szCs w:val="32"/>
          <w:highlight w:val="none"/>
          <w:lang w:val="en-US" w:eastAsia="zh-CN"/>
        </w:rPr>
        <w:t>5</w:t>
      </w:r>
      <w:r>
        <w:rPr>
          <w:rFonts w:hint="eastAsia" w:ascii="宋体" w:hAnsi="宋体" w:cs="宋体"/>
          <w:color w:val="auto"/>
          <w:sz w:val="32"/>
          <w:szCs w:val="32"/>
          <w:highlight w:val="none"/>
        </w:rPr>
        <w:t>-</w:t>
      </w:r>
      <w:r>
        <w:rPr>
          <w:rFonts w:hint="eastAsia" w:ascii="宋体" w:hAnsi="宋体" w:cs="宋体"/>
          <w:color w:val="auto"/>
          <w:sz w:val="32"/>
          <w:szCs w:val="32"/>
          <w:highlight w:val="none"/>
          <w:lang w:val="en-US" w:eastAsia="zh-CN"/>
        </w:rPr>
        <w:t xml:space="preserve">144 </w:t>
      </w:r>
    </w:p>
    <w:p w14:paraId="740B6E4F">
      <w:pPr>
        <w:pageBreakBefore w:val="0"/>
        <w:wordWrap/>
        <w:topLinePunct w:val="0"/>
        <w:bidi w:val="0"/>
        <w:spacing w:before="77" w:beforeLines="20" w:line="360" w:lineRule="auto"/>
        <w:ind w:left="0" w:leftChars="0" w:right="0" w:firstLine="1080" w:firstLineChars="300"/>
        <w:textAlignment w:val="auto"/>
        <w:rPr>
          <w:rFonts w:hint="eastAsia" w:ascii="宋体" w:hAnsi="宋体" w:eastAsia="宋体" w:cs="宋体"/>
          <w:color w:val="auto"/>
          <w:kern w:val="2"/>
          <w:sz w:val="36"/>
          <w:szCs w:val="36"/>
          <w:highlight w:val="none"/>
          <w:lang w:val="en-US" w:eastAsia="zh-CN" w:bidi="ar-SA"/>
        </w:rPr>
      </w:pPr>
      <w:r>
        <w:rPr>
          <w:rFonts w:hint="eastAsia" w:ascii="宋体" w:hAnsi="宋体" w:eastAsia="宋体" w:cs="宋体"/>
          <w:color w:val="auto"/>
          <w:kern w:val="2"/>
          <w:sz w:val="36"/>
          <w:szCs w:val="36"/>
          <w:highlight w:val="none"/>
          <w:lang w:val="en-US" w:eastAsia="zh-CN" w:bidi="ar-SA"/>
        </w:rPr>
        <w:t>项目名称：</w:t>
      </w:r>
      <w:bookmarkStart w:id="0" w:name="OLE_LINK1"/>
      <w:r>
        <w:rPr>
          <w:rFonts w:hint="eastAsia" w:ascii="宋体" w:hAnsi="宋体" w:cs="宋体"/>
          <w:color w:val="auto"/>
          <w:kern w:val="2"/>
          <w:sz w:val="36"/>
          <w:szCs w:val="36"/>
          <w:highlight w:val="none"/>
          <w:lang w:val="en-US" w:eastAsia="zh-CN" w:bidi="ar-SA"/>
        </w:rPr>
        <w:t>福溪大道人行道塌陷整治-施工</w:t>
      </w:r>
    </w:p>
    <w:bookmarkEnd w:id="0"/>
    <w:p w14:paraId="01DBD15A">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36"/>
          <w:szCs w:val="36"/>
          <w:highlight w:val="none"/>
        </w:rPr>
      </w:pPr>
    </w:p>
    <w:p w14:paraId="71359915">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 xml:space="preserve">                    </w:t>
      </w:r>
    </w:p>
    <w:p w14:paraId="58E5658E">
      <w:pPr>
        <w:pageBreakBefore w:val="0"/>
        <w:wordWrap/>
        <w:topLinePunct w:val="0"/>
        <w:bidi w:val="0"/>
        <w:spacing w:before="77" w:beforeLines="20" w:line="360" w:lineRule="auto"/>
        <w:ind w:left="0" w:leftChars="0" w:right="0"/>
        <w:textAlignment w:val="auto"/>
        <w:rPr>
          <w:rFonts w:hint="eastAsia"/>
          <w:color w:val="auto"/>
        </w:rPr>
      </w:pPr>
    </w:p>
    <w:p w14:paraId="4964A61E">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53CCB186">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1A583186">
      <w:pPr>
        <w:pStyle w:val="15"/>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36"/>
          <w:szCs w:val="36"/>
          <w:highlight w:val="none"/>
          <w:lang w:eastAsia="zh-CN"/>
        </w:rPr>
      </w:pPr>
      <w:r>
        <w:rPr>
          <w:rFonts w:hint="eastAsia" w:ascii="宋体" w:hAnsi="宋体" w:eastAsia="宋体" w:cs="宋体"/>
          <w:color w:val="auto"/>
          <w:sz w:val="36"/>
          <w:szCs w:val="36"/>
          <w:highlight w:val="none"/>
        </w:rPr>
        <w:t>采购人：</w:t>
      </w:r>
      <w:r>
        <w:rPr>
          <w:rFonts w:hint="eastAsia" w:ascii="宋体" w:hAnsi="宋体" w:eastAsia="宋体" w:cs="宋体"/>
          <w:color w:val="auto"/>
          <w:sz w:val="36"/>
          <w:szCs w:val="36"/>
          <w:highlight w:val="none"/>
          <w:lang w:eastAsia="zh-CN"/>
        </w:rPr>
        <w:t>重庆市大渡口区市政工程处</w:t>
      </w:r>
    </w:p>
    <w:p w14:paraId="6CB91673">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48"/>
          <w:szCs w:val="32"/>
          <w:highlight w:val="none"/>
          <w:lang w:eastAsia="zh-CN"/>
        </w:rPr>
      </w:pPr>
      <w:r>
        <w:rPr>
          <w:rFonts w:hint="eastAsia" w:ascii="宋体" w:hAnsi="宋体" w:eastAsia="宋体" w:cs="宋体"/>
          <w:color w:val="auto"/>
          <w:sz w:val="36"/>
          <w:szCs w:val="36"/>
          <w:highlight w:val="none"/>
        </w:rPr>
        <w:t>采购代理机构：</w:t>
      </w:r>
      <w:r>
        <w:rPr>
          <w:rFonts w:hint="eastAsia" w:ascii="宋体" w:hAnsi="宋体" w:eastAsia="宋体" w:cs="宋体"/>
          <w:color w:val="auto"/>
          <w:sz w:val="36"/>
          <w:szCs w:val="36"/>
          <w:highlight w:val="none"/>
          <w:lang w:eastAsia="zh-CN"/>
        </w:rPr>
        <w:t>重庆瑞盛工程咨询有限公司</w:t>
      </w:r>
    </w:p>
    <w:p w14:paraId="719B8B15">
      <w:pPr>
        <w:pageBreakBefore w:val="0"/>
        <w:wordWrap/>
        <w:topLinePunct w:val="0"/>
        <w:bidi w:val="0"/>
        <w:spacing w:before="77" w:beforeLines="20" w:line="360" w:lineRule="auto"/>
        <w:ind w:left="0" w:leftChars="0" w:right="0"/>
        <w:jc w:val="center"/>
        <w:textAlignment w:val="auto"/>
        <w:outlineLvl w:val="0"/>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二〇二五年</w:t>
      </w:r>
      <w:r>
        <w:rPr>
          <w:rFonts w:hint="eastAsia" w:ascii="宋体" w:hAnsi="宋体" w:cs="宋体"/>
          <w:color w:val="auto"/>
          <w:sz w:val="36"/>
          <w:szCs w:val="36"/>
          <w:highlight w:val="none"/>
          <w:lang w:val="en-US" w:eastAsia="zh-CN"/>
        </w:rPr>
        <w:t>十</w:t>
      </w:r>
      <w:r>
        <w:rPr>
          <w:rFonts w:hint="eastAsia" w:ascii="宋体" w:hAnsi="宋体" w:eastAsia="宋体" w:cs="宋体"/>
          <w:color w:val="auto"/>
          <w:sz w:val="36"/>
          <w:szCs w:val="36"/>
          <w:highlight w:val="none"/>
        </w:rPr>
        <w:t>月</w:t>
      </w:r>
    </w:p>
    <w:p w14:paraId="081310F2">
      <w:pPr>
        <w:pageBreakBefore w:val="0"/>
        <w:wordWrap/>
        <w:topLinePunct w:val="0"/>
        <w:bidi w:val="0"/>
        <w:spacing w:before="77" w:beforeLines="20" w:line="360" w:lineRule="auto"/>
        <w:ind w:left="0" w:leftChars="0" w:right="0"/>
        <w:jc w:val="both"/>
        <w:textAlignment w:val="auto"/>
        <w:outlineLvl w:val="0"/>
        <w:rPr>
          <w:rFonts w:hint="eastAsia" w:ascii="宋体" w:hAnsi="宋体" w:eastAsia="宋体" w:cs="宋体"/>
          <w:color w:val="auto"/>
          <w:sz w:val="44"/>
          <w:szCs w:val="28"/>
          <w:highlight w:val="none"/>
        </w:rPr>
      </w:pPr>
    </w:p>
    <w:p w14:paraId="19C9F377">
      <w:pPr>
        <w:pageBreakBefore w:val="0"/>
        <w:wordWrap/>
        <w:topLinePunct w:val="0"/>
        <w:bidi w:val="0"/>
        <w:spacing w:before="77" w:beforeLines="20" w:line="360" w:lineRule="auto"/>
        <w:ind w:left="0" w:leftChars="0" w:right="0"/>
        <w:jc w:val="center"/>
        <w:textAlignment w:val="auto"/>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   录</w:t>
      </w:r>
    </w:p>
    <w:p w14:paraId="32D85704">
      <w:pPr>
        <w:pStyle w:val="47"/>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"1-3" \h \z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_Toc17444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第一篇  比选邀请书</w:t>
      </w:r>
      <w:r>
        <w:rPr>
          <w:color w:val="auto"/>
        </w:rPr>
        <w:tab/>
      </w:r>
      <w:r>
        <w:rPr>
          <w:color w:val="auto"/>
        </w:rPr>
        <w:fldChar w:fldCharType="begin"/>
      </w:r>
      <w:r>
        <w:rPr>
          <w:color w:val="auto"/>
        </w:rPr>
        <w:instrText xml:space="preserve"> PAGEREF _Toc17444 \h </w:instrText>
      </w:r>
      <w:r>
        <w:rPr>
          <w:color w:val="auto"/>
        </w:rPr>
        <w:fldChar w:fldCharType="separate"/>
      </w:r>
      <w:r>
        <w:rPr>
          <w:color w:val="auto"/>
        </w:rPr>
        <w:t>- 4 -</w:t>
      </w:r>
      <w:r>
        <w:rPr>
          <w:color w:val="auto"/>
        </w:rPr>
        <w:fldChar w:fldCharType="end"/>
      </w:r>
      <w:r>
        <w:rPr>
          <w:rFonts w:hint="eastAsia" w:ascii="宋体" w:hAnsi="宋体" w:eastAsia="宋体" w:cs="宋体"/>
          <w:color w:val="auto"/>
          <w:szCs w:val="21"/>
          <w:highlight w:val="none"/>
        </w:rPr>
        <w:fldChar w:fldCharType="end"/>
      </w:r>
    </w:p>
    <w:p w14:paraId="0CD4A28C">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_Toc13172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一、竞争性比选内容</w:t>
      </w:r>
      <w:r>
        <w:rPr>
          <w:color w:val="auto"/>
        </w:rPr>
        <w:tab/>
      </w:r>
      <w:r>
        <w:rPr>
          <w:color w:val="auto"/>
        </w:rPr>
        <w:fldChar w:fldCharType="begin"/>
      </w:r>
      <w:r>
        <w:rPr>
          <w:color w:val="auto"/>
        </w:rPr>
        <w:instrText xml:space="preserve"> PAGEREF _Toc13172 \h </w:instrText>
      </w:r>
      <w:r>
        <w:rPr>
          <w:color w:val="auto"/>
        </w:rPr>
        <w:fldChar w:fldCharType="separate"/>
      </w:r>
      <w:r>
        <w:rPr>
          <w:color w:val="auto"/>
        </w:rPr>
        <w:t>- 4 -</w:t>
      </w:r>
      <w:r>
        <w:rPr>
          <w:color w:val="auto"/>
        </w:rPr>
        <w:fldChar w:fldCharType="end"/>
      </w:r>
      <w:r>
        <w:rPr>
          <w:rFonts w:hint="eastAsia" w:ascii="宋体" w:hAnsi="宋体" w:eastAsia="宋体" w:cs="宋体"/>
          <w:color w:val="auto"/>
          <w:szCs w:val="21"/>
          <w:highlight w:val="none"/>
        </w:rPr>
        <w:fldChar w:fldCharType="end"/>
      </w:r>
    </w:p>
    <w:p w14:paraId="73D8C634">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_Toc29962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rPr>
        <w:t xml:space="preserve">二、 </w:t>
      </w:r>
      <w:r>
        <w:rPr>
          <w:rFonts w:hint="eastAsia" w:ascii="宋体" w:hAnsi="宋体" w:eastAsia="宋体" w:cs="宋体"/>
          <w:color w:val="auto"/>
          <w:szCs w:val="24"/>
          <w:highlight w:val="none"/>
        </w:rPr>
        <w:t>资金来源</w:t>
      </w:r>
      <w:r>
        <w:rPr>
          <w:color w:val="auto"/>
        </w:rPr>
        <w:tab/>
      </w:r>
      <w:r>
        <w:rPr>
          <w:color w:val="auto"/>
        </w:rPr>
        <w:fldChar w:fldCharType="begin"/>
      </w:r>
      <w:r>
        <w:rPr>
          <w:color w:val="auto"/>
        </w:rPr>
        <w:instrText xml:space="preserve"> PAGEREF _Toc29962 \h </w:instrText>
      </w:r>
      <w:r>
        <w:rPr>
          <w:color w:val="auto"/>
        </w:rPr>
        <w:fldChar w:fldCharType="separate"/>
      </w:r>
      <w:r>
        <w:rPr>
          <w:color w:val="auto"/>
        </w:rPr>
        <w:t>- 4 -</w:t>
      </w:r>
      <w:r>
        <w:rPr>
          <w:color w:val="auto"/>
        </w:rPr>
        <w:fldChar w:fldCharType="end"/>
      </w:r>
      <w:r>
        <w:rPr>
          <w:rFonts w:hint="eastAsia" w:ascii="宋体" w:hAnsi="宋体" w:eastAsia="宋体" w:cs="宋体"/>
          <w:color w:val="auto"/>
          <w:szCs w:val="21"/>
          <w:highlight w:val="none"/>
        </w:rPr>
        <w:fldChar w:fldCharType="end"/>
      </w:r>
    </w:p>
    <w:p w14:paraId="1770AF5C">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_Toc11242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三、供应商资格条件</w:t>
      </w:r>
      <w:r>
        <w:rPr>
          <w:color w:val="auto"/>
        </w:rPr>
        <w:tab/>
      </w:r>
      <w:r>
        <w:rPr>
          <w:color w:val="auto"/>
        </w:rPr>
        <w:fldChar w:fldCharType="begin"/>
      </w:r>
      <w:r>
        <w:rPr>
          <w:color w:val="auto"/>
        </w:rPr>
        <w:instrText xml:space="preserve"> PAGEREF _Toc11242 \h </w:instrText>
      </w:r>
      <w:r>
        <w:rPr>
          <w:color w:val="auto"/>
        </w:rPr>
        <w:fldChar w:fldCharType="separate"/>
      </w:r>
      <w:r>
        <w:rPr>
          <w:color w:val="auto"/>
        </w:rPr>
        <w:t>- 4 -</w:t>
      </w:r>
      <w:r>
        <w:rPr>
          <w:color w:val="auto"/>
        </w:rPr>
        <w:fldChar w:fldCharType="end"/>
      </w:r>
      <w:r>
        <w:rPr>
          <w:rFonts w:hint="eastAsia" w:ascii="宋体" w:hAnsi="宋体" w:eastAsia="宋体" w:cs="宋体"/>
          <w:color w:val="auto"/>
          <w:szCs w:val="21"/>
          <w:highlight w:val="none"/>
        </w:rPr>
        <w:fldChar w:fldCharType="end"/>
      </w:r>
    </w:p>
    <w:p w14:paraId="6E919950">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_Toc21973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五、比选保证金</w:t>
      </w:r>
      <w:r>
        <w:rPr>
          <w:color w:val="auto"/>
        </w:rPr>
        <w:tab/>
      </w:r>
      <w:r>
        <w:rPr>
          <w:color w:val="auto"/>
        </w:rPr>
        <w:fldChar w:fldCharType="begin"/>
      </w:r>
      <w:r>
        <w:rPr>
          <w:color w:val="auto"/>
        </w:rPr>
        <w:instrText xml:space="preserve"> PAGEREF _Toc21973 \h </w:instrText>
      </w:r>
      <w:r>
        <w:rPr>
          <w:color w:val="auto"/>
        </w:rPr>
        <w:fldChar w:fldCharType="separate"/>
      </w:r>
      <w:r>
        <w:rPr>
          <w:color w:val="auto"/>
        </w:rPr>
        <w:t>- 5 -</w:t>
      </w:r>
      <w:r>
        <w:rPr>
          <w:color w:val="auto"/>
        </w:rPr>
        <w:fldChar w:fldCharType="end"/>
      </w:r>
      <w:r>
        <w:rPr>
          <w:rFonts w:hint="eastAsia" w:ascii="宋体" w:hAnsi="宋体" w:eastAsia="宋体" w:cs="宋体"/>
          <w:color w:val="auto"/>
          <w:szCs w:val="21"/>
          <w:highlight w:val="none"/>
        </w:rPr>
        <w:fldChar w:fldCharType="end"/>
      </w:r>
    </w:p>
    <w:p w14:paraId="5090F820">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_Toc26657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六、其它有关规定</w:t>
      </w:r>
      <w:r>
        <w:rPr>
          <w:color w:val="auto"/>
        </w:rPr>
        <w:tab/>
      </w:r>
      <w:r>
        <w:rPr>
          <w:color w:val="auto"/>
        </w:rPr>
        <w:fldChar w:fldCharType="begin"/>
      </w:r>
      <w:r>
        <w:rPr>
          <w:color w:val="auto"/>
        </w:rPr>
        <w:instrText xml:space="preserve"> PAGEREF _Toc26657 \h </w:instrText>
      </w:r>
      <w:r>
        <w:rPr>
          <w:color w:val="auto"/>
        </w:rPr>
        <w:fldChar w:fldCharType="separate"/>
      </w:r>
      <w:r>
        <w:rPr>
          <w:color w:val="auto"/>
        </w:rPr>
        <w:t>- 5 -</w:t>
      </w:r>
      <w:r>
        <w:rPr>
          <w:color w:val="auto"/>
        </w:rPr>
        <w:fldChar w:fldCharType="end"/>
      </w:r>
      <w:r>
        <w:rPr>
          <w:rFonts w:hint="eastAsia" w:ascii="宋体" w:hAnsi="宋体" w:eastAsia="宋体" w:cs="宋体"/>
          <w:color w:val="auto"/>
          <w:szCs w:val="21"/>
          <w:highlight w:val="none"/>
        </w:rPr>
        <w:fldChar w:fldCharType="end"/>
      </w:r>
    </w:p>
    <w:p w14:paraId="07BC341C">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_Toc19969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七、联系方式</w:t>
      </w:r>
      <w:r>
        <w:rPr>
          <w:color w:val="auto"/>
        </w:rPr>
        <w:tab/>
      </w:r>
      <w:r>
        <w:rPr>
          <w:color w:val="auto"/>
        </w:rPr>
        <w:fldChar w:fldCharType="begin"/>
      </w:r>
      <w:r>
        <w:rPr>
          <w:color w:val="auto"/>
        </w:rPr>
        <w:instrText xml:space="preserve"> PAGEREF _Toc19969 \h </w:instrText>
      </w:r>
      <w:r>
        <w:rPr>
          <w:color w:val="auto"/>
        </w:rPr>
        <w:fldChar w:fldCharType="separate"/>
      </w:r>
      <w:r>
        <w:rPr>
          <w:color w:val="auto"/>
        </w:rPr>
        <w:t>- 6 -</w:t>
      </w:r>
      <w:r>
        <w:rPr>
          <w:color w:val="auto"/>
        </w:rPr>
        <w:fldChar w:fldCharType="end"/>
      </w:r>
      <w:r>
        <w:rPr>
          <w:rFonts w:hint="eastAsia" w:ascii="宋体" w:hAnsi="宋体" w:eastAsia="宋体" w:cs="宋体"/>
          <w:color w:val="auto"/>
          <w:szCs w:val="21"/>
          <w:highlight w:val="none"/>
        </w:rPr>
        <w:fldChar w:fldCharType="end"/>
      </w:r>
    </w:p>
    <w:p w14:paraId="3011DC52">
      <w:pPr>
        <w:pStyle w:val="47"/>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_Toc22336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lang w:val="en-US" w:eastAsia="zh-CN"/>
        </w:rPr>
        <w:t xml:space="preserve">第二篇 </w:t>
      </w:r>
      <w:r>
        <w:rPr>
          <w:rFonts w:hint="eastAsia" w:ascii="宋体" w:hAnsi="宋体" w:eastAsia="宋体" w:cs="宋体"/>
          <w:color w:val="auto"/>
          <w:szCs w:val="30"/>
          <w:highlight w:val="none"/>
        </w:rPr>
        <w:t>项目</w:t>
      </w:r>
      <w:r>
        <w:rPr>
          <w:rFonts w:hint="eastAsia" w:ascii="宋体" w:hAnsi="宋体" w:eastAsia="宋体" w:cs="宋体"/>
          <w:color w:val="auto"/>
          <w:szCs w:val="30"/>
          <w:highlight w:val="none"/>
          <w:lang w:val="en-US" w:eastAsia="zh-CN"/>
        </w:rPr>
        <w:t>技术</w:t>
      </w:r>
      <w:r>
        <w:rPr>
          <w:rFonts w:hint="eastAsia" w:ascii="宋体" w:hAnsi="宋体" w:eastAsia="宋体" w:cs="宋体"/>
          <w:color w:val="auto"/>
          <w:szCs w:val="30"/>
          <w:highlight w:val="none"/>
        </w:rPr>
        <w:t>需求</w:t>
      </w:r>
      <w:r>
        <w:rPr>
          <w:color w:val="auto"/>
        </w:rPr>
        <w:tab/>
      </w:r>
      <w:r>
        <w:rPr>
          <w:color w:val="auto"/>
        </w:rPr>
        <w:fldChar w:fldCharType="begin"/>
      </w:r>
      <w:r>
        <w:rPr>
          <w:color w:val="auto"/>
        </w:rPr>
        <w:instrText xml:space="preserve"> PAGEREF _Toc22336 \h </w:instrText>
      </w:r>
      <w:r>
        <w:rPr>
          <w:color w:val="auto"/>
        </w:rPr>
        <w:fldChar w:fldCharType="separate"/>
      </w:r>
      <w:r>
        <w:rPr>
          <w:color w:val="auto"/>
        </w:rPr>
        <w:t>- 7 -</w:t>
      </w:r>
      <w:r>
        <w:rPr>
          <w:color w:val="auto"/>
        </w:rPr>
        <w:fldChar w:fldCharType="end"/>
      </w:r>
      <w:r>
        <w:rPr>
          <w:rFonts w:hint="eastAsia" w:ascii="宋体" w:hAnsi="宋体" w:eastAsia="宋体" w:cs="宋体"/>
          <w:color w:val="auto"/>
          <w:szCs w:val="21"/>
          <w:highlight w:val="none"/>
        </w:rPr>
        <w:fldChar w:fldCharType="end"/>
      </w:r>
    </w:p>
    <w:p w14:paraId="49CFBF94">
      <w:pPr>
        <w:pStyle w:val="47"/>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_Toc20133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rPr>
        <w:t xml:space="preserve">第三篇 </w:t>
      </w:r>
      <w:r>
        <w:rPr>
          <w:rFonts w:hint="eastAsia" w:ascii="宋体" w:hAnsi="宋体" w:eastAsia="宋体" w:cs="宋体"/>
          <w:color w:val="auto"/>
          <w:szCs w:val="30"/>
          <w:highlight w:val="none"/>
        </w:rPr>
        <w:t>项目商务需求</w:t>
      </w:r>
      <w:r>
        <w:rPr>
          <w:color w:val="auto"/>
        </w:rPr>
        <w:tab/>
      </w:r>
      <w:r>
        <w:rPr>
          <w:color w:val="auto"/>
        </w:rPr>
        <w:fldChar w:fldCharType="begin"/>
      </w:r>
      <w:r>
        <w:rPr>
          <w:color w:val="auto"/>
        </w:rPr>
        <w:instrText xml:space="preserve"> PAGEREF _Toc20133 \h </w:instrText>
      </w:r>
      <w:r>
        <w:rPr>
          <w:color w:val="auto"/>
        </w:rPr>
        <w:fldChar w:fldCharType="separate"/>
      </w:r>
      <w:r>
        <w:rPr>
          <w:color w:val="auto"/>
        </w:rPr>
        <w:t>- 9 -</w:t>
      </w:r>
      <w:r>
        <w:rPr>
          <w:color w:val="auto"/>
        </w:rPr>
        <w:fldChar w:fldCharType="end"/>
      </w:r>
      <w:r>
        <w:rPr>
          <w:rFonts w:hint="eastAsia" w:ascii="宋体" w:hAnsi="宋体" w:eastAsia="宋体" w:cs="宋体"/>
          <w:color w:val="auto"/>
          <w:szCs w:val="21"/>
          <w:highlight w:val="none"/>
        </w:rPr>
        <w:fldChar w:fldCharType="end"/>
      </w:r>
    </w:p>
    <w:p w14:paraId="430DFD2F">
      <w:pPr>
        <w:pStyle w:val="47"/>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_Toc25192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第四篇  竞选程序及方法、评审标准、无效响应和</w:t>
      </w:r>
      <w:r>
        <w:rPr>
          <w:rFonts w:hint="eastAsia" w:ascii="宋体" w:hAnsi="宋体" w:eastAsia="宋体" w:cs="宋体"/>
          <w:color w:val="auto"/>
          <w:szCs w:val="36"/>
          <w:highlight w:val="none"/>
        </w:rPr>
        <w:t>采购终止</w:t>
      </w:r>
      <w:r>
        <w:rPr>
          <w:color w:val="auto"/>
        </w:rPr>
        <w:tab/>
      </w:r>
      <w:r>
        <w:rPr>
          <w:color w:val="auto"/>
        </w:rPr>
        <w:fldChar w:fldCharType="begin"/>
      </w:r>
      <w:r>
        <w:rPr>
          <w:color w:val="auto"/>
        </w:rPr>
        <w:instrText xml:space="preserve"> PAGEREF _Toc25192 \h </w:instrText>
      </w:r>
      <w:r>
        <w:rPr>
          <w:color w:val="auto"/>
        </w:rPr>
        <w:fldChar w:fldCharType="separate"/>
      </w:r>
      <w:r>
        <w:rPr>
          <w:color w:val="auto"/>
        </w:rPr>
        <w:t>- 17 -</w:t>
      </w:r>
      <w:r>
        <w:rPr>
          <w:color w:val="auto"/>
        </w:rPr>
        <w:fldChar w:fldCharType="end"/>
      </w:r>
      <w:r>
        <w:rPr>
          <w:rFonts w:hint="eastAsia" w:ascii="宋体" w:hAnsi="宋体" w:eastAsia="宋体" w:cs="宋体"/>
          <w:color w:val="auto"/>
          <w:szCs w:val="21"/>
          <w:highlight w:val="none"/>
        </w:rPr>
        <w:fldChar w:fldCharType="end"/>
      </w:r>
    </w:p>
    <w:p w14:paraId="42BD61F8">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_Toc29053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一、竞选程序及方法</w:t>
      </w:r>
      <w:r>
        <w:rPr>
          <w:color w:val="auto"/>
        </w:rPr>
        <w:tab/>
      </w:r>
      <w:r>
        <w:rPr>
          <w:color w:val="auto"/>
        </w:rPr>
        <w:fldChar w:fldCharType="begin"/>
      </w:r>
      <w:r>
        <w:rPr>
          <w:color w:val="auto"/>
        </w:rPr>
        <w:instrText xml:space="preserve"> PAGEREF _Toc29053 \h </w:instrText>
      </w:r>
      <w:r>
        <w:rPr>
          <w:color w:val="auto"/>
        </w:rPr>
        <w:fldChar w:fldCharType="separate"/>
      </w:r>
      <w:r>
        <w:rPr>
          <w:color w:val="auto"/>
        </w:rPr>
        <w:t>- 17 -</w:t>
      </w:r>
      <w:r>
        <w:rPr>
          <w:color w:val="auto"/>
        </w:rPr>
        <w:fldChar w:fldCharType="end"/>
      </w:r>
      <w:r>
        <w:rPr>
          <w:rFonts w:hint="eastAsia" w:ascii="宋体" w:hAnsi="宋体" w:eastAsia="宋体" w:cs="宋体"/>
          <w:color w:val="auto"/>
          <w:szCs w:val="21"/>
          <w:highlight w:val="none"/>
        </w:rPr>
        <w:fldChar w:fldCharType="end"/>
      </w:r>
    </w:p>
    <w:p w14:paraId="54EBDCFD">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_Toc31889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二、评审标准</w:t>
      </w:r>
      <w:r>
        <w:rPr>
          <w:color w:val="auto"/>
        </w:rPr>
        <w:tab/>
      </w:r>
      <w:r>
        <w:rPr>
          <w:color w:val="auto"/>
        </w:rPr>
        <w:fldChar w:fldCharType="begin"/>
      </w:r>
      <w:r>
        <w:rPr>
          <w:color w:val="auto"/>
        </w:rPr>
        <w:instrText xml:space="preserve"> PAGEREF _Toc31889 \h </w:instrText>
      </w:r>
      <w:r>
        <w:rPr>
          <w:color w:val="auto"/>
        </w:rPr>
        <w:fldChar w:fldCharType="separate"/>
      </w:r>
      <w:r>
        <w:rPr>
          <w:color w:val="auto"/>
        </w:rPr>
        <w:t>- 19 -</w:t>
      </w:r>
      <w:r>
        <w:rPr>
          <w:color w:val="auto"/>
        </w:rPr>
        <w:fldChar w:fldCharType="end"/>
      </w:r>
      <w:r>
        <w:rPr>
          <w:rFonts w:hint="eastAsia" w:ascii="宋体" w:hAnsi="宋体" w:eastAsia="宋体" w:cs="宋体"/>
          <w:color w:val="auto"/>
          <w:szCs w:val="21"/>
          <w:highlight w:val="none"/>
        </w:rPr>
        <w:fldChar w:fldCharType="end"/>
      </w:r>
    </w:p>
    <w:p w14:paraId="73FCE76C">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_Toc11276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三、无效响应</w:t>
      </w:r>
      <w:r>
        <w:rPr>
          <w:color w:val="auto"/>
        </w:rPr>
        <w:tab/>
      </w:r>
      <w:r>
        <w:rPr>
          <w:color w:val="auto"/>
        </w:rPr>
        <w:fldChar w:fldCharType="begin"/>
      </w:r>
      <w:r>
        <w:rPr>
          <w:color w:val="auto"/>
        </w:rPr>
        <w:instrText xml:space="preserve"> PAGEREF _Toc11276 \h </w:instrText>
      </w:r>
      <w:r>
        <w:rPr>
          <w:color w:val="auto"/>
        </w:rPr>
        <w:fldChar w:fldCharType="separate"/>
      </w:r>
      <w:r>
        <w:rPr>
          <w:color w:val="auto"/>
        </w:rPr>
        <w:t>- 22 -</w:t>
      </w:r>
      <w:r>
        <w:rPr>
          <w:color w:val="auto"/>
        </w:rPr>
        <w:fldChar w:fldCharType="end"/>
      </w:r>
      <w:r>
        <w:rPr>
          <w:rFonts w:hint="eastAsia" w:ascii="宋体" w:hAnsi="宋体" w:eastAsia="宋体" w:cs="宋体"/>
          <w:color w:val="auto"/>
          <w:szCs w:val="21"/>
          <w:highlight w:val="none"/>
        </w:rPr>
        <w:fldChar w:fldCharType="end"/>
      </w:r>
    </w:p>
    <w:p w14:paraId="5EDC9FE3">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_Toc32356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四、采购终止</w:t>
      </w:r>
      <w:r>
        <w:rPr>
          <w:color w:val="auto"/>
        </w:rPr>
        <w:tab/>
      </w:r>
      <w:r>
        <w:rPr>
          <w:color w:val="auto"/>
        </w:rPr>
        <w:fldChar w:fldCharType="begin"/>
      </w:r>
      <w:r>
        <w:rPr>
          <w:color w:val="auto"/>
        </w:rPr>
        <w:instrText xml:space="preserve"> PAGEREF _Toc32356 \h </w:instrText>
      </w:r>
      <w:r>
        <w:rPr>
          <w:color w:val="auto"/>
        </w:rPr>
        <w:fldChar w:fldCharType="separate"/>
      </w:r>
      <w:r>
        <w:rPr>
          <w:color w:val="auto"/>
        </w:rPr>
        <w:t>- 22 -</w:t>
      </w:r>
      <w:r>
        <w:rPr>
          <w:color w:val="auto"/>
        </w:rPr>
        <w:fldChar w:fldCharType="end"/>
      </w:r>
      <w:r>
        <w:rPr>
          <w:rFonts w:hint="eastAsia" w:ascii="宋体" w:hAnsi="宋体" w:eastAsia="宋体" w:cs="宋体"/>
          <w:color w:val="auto"/>
          <w:szCs w:val="21"/>
          <w:highlight w:val="none"/>
        </w:rPr>
        <w:fldChar w:fldCharType="end"/>
      </w:r>
    </w:p>
    <w:p w14:paraId="1A3BE8D2">
      <w:pPr>
        <w:pStyle w:val="47"/>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_Toc11315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第五篇  供应商须知</w:t>
      </w:r>
      <w:r>
        <w:rPr>
          <w:color w:val="auto"/>
        </w:rPr>
        <w:tab/>
      </w:r>
      <w:r>
        <w:rPr>
          <w:color w:val="auto"/>
        </w:rPr>
        <w:fldChar w:fldCharType="begin"/>
      </w:r>
      <w:r>
        <w:rPr>
          <w:color w:val="auto"/>
        </w:rPr>
        <w:instrText xml:space="preserve"> PAGEREF _Toc11315 \h </w:instrText>
      </w:r>
      <w:r>
        <w:rPr>
          <w:color w:val="auto"/>
        </w:rPr>
        <w:fldChar w:fldCharType="separate"/>
      </w:r>
      <w:r>
        <w:rPr>
          <w:color w:val="auto"/>
        </w:rPr>
        <w:t>- 23 -</w:t>
      </w:r>
      <w:r>
        <w:rPr>
          <w:color w:val="auto"/>
        </w:rPr>
        <w:fldChar w:fldCharType="end"/>
      </w:r>
      <w:r>
        <w:rPr>
          <w:rFonts w:hint="eastAsia" w:ascii="宋体" w:hAnsi="宋体" w:eastAsia="宋体" w:cs="宋体"/>
          <w:color w:val="auto"/>
          <w:szCs w:val="21"/>
          <w:highlight w:val="none"/>
        </w:rPr>
        <w:fldChar w:fldCharType="end"/>
      </w:r>
    </w:p>
    <w:p w14:paraId="453BCE03">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_Toc7854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一、比选费用</w:t>
      </w:r>
      <w:r>
        <w:rPr>
          <w:color w:val="auto"/>
        </w:rPr>
        <w:tab/>
      </w:r>
      <w:r>
        <w:rPr>
          <w:color w:val="auto"/>
        </w:rPr>
        <w:fldChar w:fldCharType="begin"/>
      </w:r>
      <w:r>
        <w:rPr>
          <w:color w:val="auto"/>
        </w:rPr>
        <w:instrText xml:space="preserve"> PAGEREF _Toc7854 \h </w:instrText>
      </w:r>
      <w:r>
        <w:rPr>
          <w:color w:val="auto"/>
        </w:rPr>
        <w:fldChar w:fldCharType="separate"/>
      </w:r>
      <w:r>
        <w:rPr>
          <w:color w:val="auto"/>
        </w:rPr>
        <w:t>- 23 -</w:t>
      </w:r>
      <w:r>
        <w:rPr>
          <w:color w:val="auto"/>
        </w:rPr>
        <w:fldChar w:fldCharType="end"/>
      </w:r>
      <w:r>
        <w:rPr>
          <w:rFonts w:hint="eastAsia" w:ascii="宋体" w:hAnsi="宋体" w:eastAsia="宋体" w:cs="宋体"/>
          <w:color w:val="auto"/>
          <w:szCs w:val="21"/>
          <w:highlight w:val="none"/>
        </w:rPr>
        <w:fldChar w:fldCharType="end"/>
      </w:r>
    </w:p>
    <w:p w14:paraId="300A5484">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_Toc21556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二、竞争性比选文件</w:t>
      </w:r>
      <w:r>
        <w:rPr>
          <w:color w:val="auto"/>
        </w:rPr>
        <w:tab/>
      </w:r>
      <w:r>
        <w:rPr>
          <w:color w:val="auto"/>
        </w:rPr>
        <w:fldChar w:fldCharType="begin"/>
      </w:r>
      <w:r>
        <w:rPr>
          <w:color w:val="auto"/>
        </w:rPr>
        <w:instrText xml:space="preserve"> PAGEREF _Toc21556 \h </w:instrText>
      </w:r>
      <w:r>
        <w:rPr>
          <w:color w:val="auto"/>
        </w:rPr>
        <w:fldChar w:fldCharType="separate"/>
      </w:r>
      <w:r>
        <w:rPr>
          <w:color w:val="auto"/>
        </w:rPr>
        <w:t>- 23 -</w:t>
      </w:r>
      <w:r>
        <w:rPr>
          <w:color w:val="auto"/>
        </w:rPr>
        <w:fldChar w:fldCharType="end"/>
      </w:r>
      <w:r>
        <w:rPr>
          <w:rFonts w:hint="eastAsia" w:ascii="宋体" w:hAnsi="宋体" w:eastAsia="宋体" w:cs="宋体"/>
          <w:color w:val="auto"/>
          <w:szCs w:val="21"/>
          <w:highlight w:val="none"/>
        </w:rPr>
        <w:fldChar w:fldCharType="end"/>
      </w:r>
    </w:p>
    <w:p w14:paraId="1B440836">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_Toc10316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三、比选要求</w:t>
      </w:r>
      <w:r>
        <w:rPr>
          <w:color w:val="auto"/>
        </w:rPr>
        <w:tab/>
      </w:r>
      <w:r>
        <w:rPr>
          <w:color w:val="auto"/>
        </w:rPr>
        <w:fldChar w:fldCharType="begin"/>
      </w:r>
      <w:r>
        <w:rPr>
          <w:color w:val="auto"/>
        </w:rPr>
        <w:instrText xml:space="preserve"> PAGEREF _Toc10316 \h </w:instrText>
      </w:r>
      <w:r>
        <w:rPr>
          <w:color w:val="auto"/>
        </w:rPr>
        <w:fldChar w:fldCharType="separate"/>
      </w:r>
      <w:r>
        <w:rPr>
          <w:color w:val="auto"/>
        </w:rPr>
        <w:t>- 23 -</w:t>
      </w:r>
      <w:r>
        <w:rPr>
          <w:color w:val="auto"/>
        </w:rPr>
        <w:fldChar w:fldCharType="end"/>
      </w:r>
      <w:r>
        <w:rPr>
          <w:rFonts w:hint="eastAsia" w:ascii="宋体" w:hAnsi="宋体" w:eastAsia="宋体" w:cs="宋体"/>
          <w:color w:val="auto"/>
          <w:szCs w:val="21"/>
          <w:highlight w:val="none"/>
        </w:rPr>
        <w:fldChar w:fldCharType="end"/>
      </w:r>
    </w:p>
    <w:p w14:paraId="54099746">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_Toc31165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四、</w:t>
      </w:r>
      <w:r>
        <w:rPr>
          <w:rFonts w:hint="eastAsia" w:ascii="宋体" w:hAnsi="宋体" w:eastAsia="宋体" w:cs="宋体"/>
          <w:color w:val="auto"/>
          <w:szCs w:val="24"/>
          <w:highlight w:val="none"/>
          <w:lang w:eastAsia="zh-CN"/>
        </w:rPr>
        <w:t>中选人</w:t>
      </w:r>
      <w:r>
        <w:rPr>
          <w:rFonts w:hint="eastAsia" w:ascii="宋体" w:hAnsi="宋体" w:eastAsia="宋体" w:cs="宋体"/>
          <w:color w:val="auto"/>
          <w:szCs w:val="24"/>
          <w:highlight w:val="none"/>
        </w:rPr>
        <w:t>的确认和变更</w:t>
      </w:r>
      <w:r>
        <w:rPr>
          <w:color w:val="auto"/>
        </w:rPr>
        <w:tab/>
      </w:r>
      <w:r>
        <w:rPr>
          <w:color w:val="auto"/>
        </w:rPr>
        <w:fldChar w:fldCharType="begin"/>
      </w:r>
      <w:r>
        <w:rPr>
          <w:color w:val="auto"/>
        </w:rPr>
        <w:instrText xml:space="preserve"> PAGEREF _Toc31165 \h </w:instrText>
      </w:r>
      <w:r>
        <w:rPr>
          <w:color w:val="auto"/>
        </w:rPr>
        <w:fldChar w:fldCharType="separate"/>
      </w:r>
      <w:r>
        <w:rPr>
          <w:color w:val="auto"/>
        </w:rPr>
        <w:t>- 24 -</w:t>
      </w:r>
      <w:r>
        <w:rPr>
          <w:color w:val="auto"/>
        </w:rPr>
        <w:fldChar w:fldCharType="end"/>
      </w:r>
      <w:r>
        <w:rPr>
          <w:rFonts w:hint="eastAsia" w:ascii="宋体" w:hAnsi="宋体" w:eastAsia="宋体" w:cs="宋体"/>
          <w:color w:val="auto"/>
          <w:szCs w:val="21"/>
          <w:highlight w:val="none"/>
        </w:rPr>
        <w:fldChar w:fldCharType="end"/>
      </w:r>
    </w:p>
    <w:p w14:paraId="72B07772">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_Toc32316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五、成交通知</w:t>
      </w:r>
      <w:r>
        <w:rPr>
          <w:color w:val="auto"/>
        </w:rPr>
        <w:tab/>
      </w:r>
      <w:r>
        <w:rPr>
          <w:color w:val="auto"/>
        </w:rPr>
        <w:fldChar w:fldCharType="begin"/>
      </w:r>
      <w:r>
        <w:rPr>
          <w:color w:val="auto"/>
        </w:rPr>
        <w:instrText xml:space="preserve"> PAGEREF _Toc32316 \h </w:instrText>
      </w:r>
      <w:r>
        <w:rPr>
          <w:color w:val="auto"/>
        </w:rPr>
        <w:fldChar w:fldCharType="separate"/>
      </w:r>
      <w:r>
        <w:rPr>
          <w:color w:val="auto"/>
        </w:rPr>
        <w:t>- 25 -</w:t>
      </w:r>
      <w:r>
        <w:rPr>
          <w:color w:val="auto"/>
        </w:rPr>
        <w:fldChar w:fldCharType="end"/>
      </w:r>
      <w:r>
        <w:rPr>
          <w:rFonts w:hint="eastAsia" w:ascii="宋体" w:hAnsi="宋体" w:eastAsia="宋体" w:cs="宋体"/>
          <w:color w:val="auto"/>
          <w:szCs w:val="21"/>
          <w:highlight w:val="none"/>
        </w:rPr>
        <w:fldChar w:fldCharType="end"/>
      </w:r>
    </w:p>
    <w:p w14:paraId="2EC811E5">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_Toc7994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六、关于质疑</w:t>
      </w:r>
      <w:r>
        <w:rPr>
          <w:color w:val="auto"/>
        </w:rPr>
        <w:tab/>
      </w:r>
      <w:r>
        <w:rPr>
          <w:color w:val="auto"/>
        </w:rPr>
        <w:fldChar w:fldCharType="begin"/>
      </w:r>
      <w:r>
        <w:rPr>
          <w:color w:val="auto"/>
        </w:rPr>
        <w:instrText xml:space="preserve"> PAGEREF _Toc7994 \h </w:instrText>
      </w:r>
      <w:r>
        <w:rPr>
          <w:color w:val="auto"/>
        </w:rPr>
        <w:fldChar w:fldCharType="separate"/>
      </w:r>
      <w:r>
        <w:rPr>
          <w:color w:val="auto"/>
        </w:rPr>
        <w:t>- 25 -</w:t>
      </w:r>
      <w:r>
        <w:rPr>
          <w:color w:val="auto"/>
        </w:rPr>
        <w:fldChar w:fldCharType="end"/>
      </w:r>
      <w:r>
        <w:rPr>
          <w:rFonts w:hint="eastAsia" w:ascii="宋体" w:hAnsi="宋体" w:eastAsia="宋体" w:cs="宋体"/>
          <w:color w:val="auto"/>
          <w:szCs w:val="21"/>
          <w:highlight w:val="none"/>
        </w:rPr>
        <w:fldChar w:fldCharType="end"/>
      </w:r>
    </w:p>
    <w:p w14:paraId="05B0318F">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_Toc9727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七、采购代理服务费</w:t>
      </w:r>
      <w:r>
        <w:rPr>
          <w:color w:val="auto"/>
        </w:rPr>
        <w:tab/>
      </w:r>
      <w:r>
        <w:rPr>
          <w:color w:val="auto"/>
        </w:rPr>
        <w:fldChar w:fldCharType="begin"/>
      </w:r>
      <w:r>
        <w:rPr>
          <w:color w:val="auto"/>
        </w:rPr>
        <w:instrText xml:space="preserve"> PAGEREF _Toc9727 \h </w:instrText>
      </w:r>
      <w:r>
        <w:rPr>
          <w:color w:val="auto"/>
        </w:rPr>
        <w:fldChar w:fldCharType="separate"/>
      </w:r>
      <w:r>
        <w:rPr>
          <w:color w:val="auto"/>
        </w:rPr>
        <w:t>- 26 -</w:t>
      </w:r>
      <w:r>
        <w:rPr>
          <w:color w:val="auto"/>
        </w:rPr>
        <w:fldChar w:fldCharType="end"/>
      </w:r>
      <w:r>
        <w:rPr>
          <w:rFonts w:hint="eastAsia" w:ascii="宋体" w:hAnsi="宋体" w:eastAsia="宋体" w:cs="宋体"/>
          <w:color w:val="auto"/>
          <w:szCs w:val="21"/>
          <w:highlight w:val="none"/>
        </w:rPr>
        <w:fldChar w:fldCharType="end"/>
      </w:r>
    </w:p>
    <w:p w14:paraId="2BE90E05">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_Toc13542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八、平台服务费</w:t>
      </w:r>
      <w:r>
        <w:rPr>
          <w:color w:val="auto"/>
        </w:rPr>
        <w:tab/>
      </w:r>
      <w:r>
        <w:rPr>
          <w:color w:val="auto"/>
        </w:rPr>
        <w:fldChar w:fldCharType="begin"/>
      </w:r>
      <w:r>
        <w:rPr>
          <w:color w:val="auto"/>
        </w:rPr>
        <w:instrText xml:space="preserve"> PAGEREF _Toc13542 \h </w:instrText>
      </w:r>
      <w:r>
        <w:rPr>
          <w:color w:val="auto"/>
        </w:rPr>
        <w:fldChar w:fldCharType="separate"/>
      </w:r>
      <w:r>
        <w:rPr>
          <w:color w:val="auto"/>
        </w:rPr>
        <w:t>- 26 -</w:t>
      </w:r>
      <w:r>
        <w:rPr>
          <w:color w:val="auto"/>
        </w:rPr>
        <w:fldChar w:fldCharType="end"/>
      </w:r>
      <w:r>
        <w:rPr>
          <w:rFonts w:hint="eastAsia" w:ascii="宋体" w:hAnsi="宋体" w:eastAsia="宋体" w:cs="宋体"/>
          <w:color w:val="auto"/>
          <w:szCs w:val="21"/>
          <w:highlight w:val="none"/>
        </w:rPr>
        <w:fldChar w:fldCharType="end"/>
      </w:r>
    </w:p>
    <w:p w14:paraId="1825FFD8">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_Toc15674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lang w:val="en-US" w:eastAsia="zh-CN"/>
        </w:rPr>
        <w:t>九</w:t>
      </w:r>
      <w:r>
        <w:rPr>
          <w:rFonts w:hint="eastAsia" w:ascii="宋体" w:hAnsi="宋体" w:eastAsia="宋体" w:cs="宋体"/>
          <w:color w:val="auto"/>
          <w:szCs w:val="24"/>
          <w:highlight w:val="none"/>
        </w:rPr>
        <w:t>、签订合同</w:t>
      </w:r>
      <w:r>
        <w:rPr>
          <w:color w:val="auto"/>
        </w:rPr>
        <w:tab/>
      </w:r>
      <w:r>
        <w:rPr>
          <w:color w:val="auto"/>
        </w:rPr>
        <w:fldChar w:fldCharType="begin"/>
      </w:r>
      <w:r>
        <w:rPr>
          <w:color w:val="auto"/>
        </w:rPr>
        <w:instrText xml:space="preserve"> PAGEREF _Toc15674 \h </w:instrText>
      </w:r>
      <w:r>
        <w:rPr>
          <w:color w:val="auto"/>
        </w:rPr>
        <w:fldChar w:fldCharType="separate"/>
      </w:r>
      <w:r>
        <w:rPr>
          <w:color w:val="auto"/>
        </w:rPr>
        <w:t>- 26 -</w:t>
      </w:r>
      <w:r>
        <w:rPr>
          <w:color w:val="auto"/>
        </w:rPr>
        <w:fldChar w:fldCharType="end"/>
      </w:r>
      <w:r>
        <w:rPr>
          <w:rFonts w:hint="eastAsia" w:ascii="宋体" w:hAnsi="宋体" w:eastAsia="宋体" w:cs="宋体"/>
          <w:color w:val="auto"/>
          <w:szCs w:val="21"/>
          <w:highlight w:val="none"/>
        </w:rPr>
        <w:fldChar w:fldCharType="end"/>
      </w:r>
    </w:p>
    <w:p w14:paraId="4ADA5667">
      <w:pPr>
        <w:pStyle w:val="47"/>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_Toc26902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30"/>
        </w:rPr>
        <w:t xml:space="preserve">第六篇 </w:t>
      </w:r>
      <w:r>
        <w:rPr>
          <w:rFonts w:hint="eastAsia" w:ascii="宋体" w:hAnsi="宋体" w:eastAsia="宋体" w:cs="宋体"/>
          <w:bCs/>
          <w:color w:val="auto"/>
          <w:szCs w:val="30"/>
          <w:highlight w:val="none"/>
        </w:rPr>
        <w:t>采购合同</w:t>
      </w:r>
      <w:r>
        <w:rPr>
          <w:color w:val="auto"/>
        </w:rPr>
        <w:tab/>
      </w:r>
      <w:r>
        <w:rPr>
          <w:color w:val="auto"/>
        </w:rPr>
        <w:fldChar w:fldCharType="begin"/>
      </w:r>
      <w:r>
        <w:rPr>
          <w:color w:val="auto"/>
        </w:rPr>
        <w:instrText xml:space="preserve"> PAGEREF _Toc26902 \h </w:instrText>
      </w:r>
      <w:r>
        <w:rPr>
          <w:color w:val="auto"/>
        </w:rPr>
        <w:fldChar w:fldCharType="separate"/>
      </w:r>
      <w:r>
        <w:rPr>
          <w:color w:val="auto"/>
        </w:rPr>
        <w:t>- 27 -</w:t>
      </w:r>
      <w:r>
        <w:rPr>
          <w:color w:val="auto"/>
        </w:rPr>
        <w:fldChar w:fldCharType="end"/>
      </w:r>
      <w:r>
        <w:rPr>
          <w:rFonts w:hint="eastAsia" w:ascii="宋体" w:hAnsi="宋体" w:eastAsia="宋体" w:cs="宋体"/>
          <w:color w:val="auto"/>
          <w:szCs w:val="21"/>
          <w:highlight w:val="none"/>
        </w:rPr>
        <w:fldChar w:fldCharType="end"/>
      </w:r>
    </w:p>
    <w:p w14:paraId="10FD74C7">
      <w:pPr>
        <w:pStyle w:val="47"/>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_Toc11052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30"/>
          <w:highlight w:val="none"/>
        </w:rPr>
        <w:t>第七篇  比选响应文件编制要求</w:t>
      </w:r>
      <w:r>
        <w:rPr>
          <w:color w:val="auto"/>
        </w:rPr>
        <w:tab/>
      </w:r>
      <w:r>
        <w:rPr>
          <w:color w:val="auto"/>
        </w:rPr>
        <w:fldChar w:fldCharType="begin"/>
      </w:r>
      <w:r>
        <w:rPr>
          <w:color w:val="auto"/>
        </w:rPr>
        <w:instrText xml:space="preserve"> PAGEREF _Toc11052 \h </w:instrText>
      </w:r>
      <w:r>
        <w:rPr>
          <w:color w:val="auto"/>
        </w:rPr>
        <w:fldChar w:fldCharType="separate"/>
      </w:r>
      <w:r>
        <w:rPr>
          <w:color w:val="auto"/>
        </w:rPr>
        <w:t>- 29 -</w:t>
      </w:r>
      <w:r>
        <w:rPr>
          <w:color w:val="auto"/>
        </w:rPr>
        <w:fldChar w:fldCharType="end"/>
      </w:r>
      <w:r>
        <w:rPr>
          <w:rFonts w:hint="eastAsia" w:ascii="宋体" w:hAnsi="宋体" w:eastAsia="宋体" w:cs="宋体"/>
          <w:color w:val="auto"/>
          <w:szCs w:val="21"/>
          <w:highlight w:val="none"/>
        </w:rPr>
        <w:fldChar w:fldCharType="end"/>
      </w:r>
    </w:p>
    <w:p w14:paraId="52C5AC07">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_Toc5978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一、经济部分</w:t>
      </w:r>
      <w:r>
        <w:rPr>
          <w:color w:val="auto"/>
        </w:rPr>
        <w:tab/>
      </w:r>
      <w:r>
        <w:rPr>
          <w:color w:val="auto"/>
        </w:rPr>
        <w:fldChar w:fldCharType="begin"/>
      </w:r>
      <w:r>
        <w:rPr>
          <w:color w:val="auto"/>
        </w:rPr>
        <w:instrText xml:space="preserve"> PAGEREF _Toc5978 \h </w:instrText>
      </w:r>
      <w:r>
        <w:rPr>
          <w:color w:val="auto"/>
        </w:rPr>
        <w:fldChar w:fldCharType="separate"/>
      </w:r>
      <w:r>
        <w:rPr>
          <w:color w:val="auto"/>
        </w:rPr>
        <w:t>- 30 -</w:t>
      </w:r>
      <w:r>
        <w:rPr>
          <w:color w:val="auto"/>
        </w:rPr>
        <w:fldChar w:fldCharType="end"/>
      </w:r>
      <w:r>
        <w:rPr>
          <w:rFonts w:hint="eastAsia" w:ascii="宋体" w:hAnsi="宋体" w:eastAsia="宋体" w:cs="宋体"/>
          <w:color w:val="auto"/>
          <w:szCs w:val="21"/>
          <w:highlight w:val="none"/>
        </w:rPr>
        <w:fldChar w:fldCharType="end"/>
      </w:r>
    </w:p>
    <w:p w14:paraId="700F1110">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_Toc28972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二、</w:t>
      </w:r>
      <w:r>
        <w:rPr>
          <w:rFonts w:hint="eastAsia" w:ascii="宋体" w:hAnsi="宋体" w:eastAsia="宋体" w:cs="宋体"/>
          <w:color w:val="auto"/>
          <w:szCs w:val="24"/>
          <w:highlight w:val="none"/>
          <w:lang w:val="en-US" w:eastAsia="zh-CN"/>
        </w:rPr>
        <w:t>技术</w:t>
      </w:r>
      <w:r>
        <w:rPr>
          <w:rFonts w:hint="eastAsia" w:ascii="宋体" w:hAnsi="宋体" w:eastAsia="宋体" w:cs="宋体"/>
          <w:color w:val="auto"/>
          <w:szCs w:val="24"/>
          <w:highlight w:val="none"/>
        </w:rPr>
        <w:t>部分</w:t>
      </w:r>
      <w:r>
        <w:rPr>
          <w:color w:val="auto"/>
        </w:rPr>
        <w:tab/>
      </w:r>
      <w:r>
        <w:rPr>
          <w:color w:val="auto"/>
        </w:rPr>
        <w:fldChar w:fldCharType="begin"/>
      </w:r>
      <w:r>
        <w:rPr>
          <w:color w:val="auto"/>
        </w:rPr>
        <w:instrText xml:space="preserve"> PAGEREF _Toc28972 \h </w:instrText>
      </w:r>
      <w:r>
        <w:rPr>
          <w:color w:val="auto"/>
        </w:rPr>
        <w:fldChar w:fldCharType="separate"/>
      </w:r>
      <w:r>
        <w:rPr>
          <w:color w:val="auto"/>
        </w:rPr>
        <w:t>- 32 -</w:t>
      </w:r>
      <w:r>
        <w:rPr>
          <w:color w:val="auto"/>
        </w:rPr>
        <w:fldChar w:fldCharType="end"/>
      </w:r>
      <w:r>
        <w:rPr>
          <w:rFonts w:hint="eastAsia" w:ascii="宋体" w:hAnsi="宋体" w:eastAsia="宋体" w:cs="宋体"/>
          <w:color w:val="auto"/>
          <w:szCs w:val="21"/>
          <w:highlight w:val="none"/>
        </w:rPr>
        <w:fldChar w:fldCharType="end"/>
      </w:r>
    </w:p>
    <w:p w14:paraId="1A32681F">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_Toc10132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三、商务部分</w:t>
      </w:r>
      <w:r>
        <w:rPr>
          <w:color w:val="auto"/>
        </w:rPr>
        <w:tab/>
      </w:r>
      <w:r>
        <w:rPr>
          <w:color w:val="auto"/>
        </w:rPr>
        <w:fldChar w:fldCharType="begin"/>
      </w:r>
      <w:r>
        <w:rPr>
          <w:color w:val="auto"/>
        </w:rPr>
        <w:instrText xml:space="preserve"> PAGEREF _Toc10132 \h </w:instrText>
      </w:r>
      <w:r>
        <w:rPr>
          <w:color w:val="auto"/>
        </w:rPr>
        <w:fldChar w:fldCharType="separate"/>
      </w:r>
      <w:r>
        <w:rPr>
          <w:color w:val="auto"/>
        </w:rPr>
        <w:t>- 35 -</w:t>
      </w:r>
      <w:r>
        <w:rPr>
          <w:color w:val="auto"/>
        </w:rPr>
        <w:fldChar w:fldCharType="end"/>
      </w:r>
      <w:r>
        <w:rPr>
          <w:rFonts w:hint="eastAsia" w:ascii="宋体" w:hAnsi="宋体" w:eastAsia="宋体" w:cs="宋体"/>
          <w:color w:val="auto"/>
          <w:szCs w:val="21"/>
          <w:highlight w:val="none"/>
        </w:rPr>
        <w:fldChar w:fldCharType="end"/>
      </w:r>
    </w:p>
    <w:p w14:paraId="426D1AF7">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_Toc7152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四、资格条件及其他</w:t>
      </w:r>
      <w:r>
        <w:rPr>
          <w:color w:val="auto"/>
        </w:rPr>
        <w:tab/>
      </w:r>
      <w:r>
        <w:rPr>
          <w:color w:val="auto"/>
        </w:rPr>
        <w:fldChar w:fldCharType="begin"/>
      </w:r>
      <w:r>
        <w:rPr>
          <w:color w:val="auto"/>
        </w:rPr>
        <w:instrText xml:space="preserve"> PAGEREF _Toc7152 \h </w:instrText>
      </w:r>
      <w:r>
        <w:rPr>
          <w:color w:val="auto"/>
        </w:rPr>
        <w:fldChar w:fldCharType="separate"/>
      </w:r>
      <w:r>
        <w:rPr>
          <w:color w:val="auto"/>
        </w:rPr>
        <w:t>- 39 -</w:t>
      </w:r>
      <w:r>
        <w:rPr>
          <w:color w:val="auto"/>
        </w:rPr>
        <w:fldChar w:fldCharType="end"/>
      </w:r>
      <w:r>
        <w:rPr>
          <w:rFonts w:hint="eastAsia" w:ascii="宋体" w:hAnsi="宋体" w:eastAsia="宋体" w:cs="宋体"/>
          <w:color w:val="auto"/>
          <w:szCs w:val="21"/>
          <w:highlight w:val="none"/>
        </w:rPr>
        <w:fldChar w:fldCharType="end"/>
      </w:r>
    </w:p>
    <w:p w14:paraId="0D58AD01">
      <w:pPr>
        <w:pStyle w:val="29"/>
        <w:pageBreakBefore w:val="0"/>
        <w:tabs>
          <w:tab w:val="right" w:leader="dot" w:pos="9412"/>
        </w:tabs>
        <w:wordWrap/>
        <w:topLinePunct w:val="0"/>
        <w:bidi w:val="0"/>
        <w:spacing w:before="77" w:beforeLines="20" w:line="360" w:lineRule="auto"/>
        <w:ind w:left="0" w:leftChars="0" w:right="0"/>
        <w:textAlignment w:val="auto"/>
        <w:rPr>
          <w:color w:val="auto"/>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_Toc3732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4"/>
          <w:highlight w:val="none"/>
        </w:rPr>
        <w:t>五、其他资料</w:t>
      </w:r>
      <w:r>
        <w:rPr>
          <w:color w:val="auto"/>
        </w:rPr>
        <w:tab/>
      </w:r>
      <w:r>
        <w:rPr>
          <w:color w:val="auto"/>
        </w:rPr>
        <w:fldChar w:fldCharType="begin"/>
      </w:r>
      <w:r>
        <w:rPr>
          <w:color w:val="auto"/>
        </w:rPr>
        <w:instrText xml:space="preserve"> PAGEREF _Toc3732 \h </w:instrText>
      </w:r>
      <w:r>
        <w:rPr>
          <w:color w:val="auto"/>
        </w:rPr>
        <w:fldChar w:fldCharType="separate"/>
      </w:r>
      <w:r>
        <w:rPr>
          <w:color w:val="auto"/>
        </w:rPr>
        <w:t>- 44 -</w:t>
      </w:r>
      <w:r>
        <w:rPr>
          <w:color w:val="auto"/>
        </w:rPr>
        <w:fldChar w:fldCharType="end"/>
      </w:r>
      <w:r>
        <w:rPr>
          <w:rFonts w:hint="eastAsia" w:ascii="宋体" w:hAnsi="宋体" w:eastAsia="宋体" w:cs="宋体"/>
          <w:color w:val="auto"/>
          <w:szCs w:val="21"/>
          <w:highlight w:val="none"/>
        </w:rPr>
        <w:fldChar w:fldCharType="end"/>
      </w:r>
    </w:p>
    <w:p w14:paraId="518AF8B6">
      <w:pPr>
        <w:pStyle w:val="47"/>
        <w:pageBreakBefore w:val="0"/>
        <w:tabs>
          <w:tab w:val="right" w:leader="dot" w:pos="9402"/>
        </w:tabs>
        <w:wordWrap/>
        <w:topLinePunct w:val="0"/>
        <w:bidi w:val="0"/>
        <w:spacing w:before="77" w:beforeLines="20" w:line="360" w:lineRule="auto"/>
        <w:ind w:left="0" w:leftChars="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fldChar w:fldCharType="end"/>
      </w:r>
    </w:p>
    <w:p w14:paraId="1ECE99CE">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5C383768">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500718B0">
      <w:pPr>
        <w:pageBreakBefore w:val="0"/>
        <w:tabs>
          <w:tab w:val="left" w:pos="7023"/>
        </w:tabs>
        <w:wordWrap/>
        <w:topLinePunct w:val="0"/>
        <w:bidi w:val="0"/>
        <w:spacing w:before="77" w:beforeLines="20" w:line="360" w:lineRule="auto"/>
        <w:ind w:left="0" w:leftChars="0" w:right="0"/>
        <w:jc w:val="left"/>
        <w:textAlignment w:val="auto"/>
        <w:rPr>
          <w:rFonts w:hint="eastAsia" w:ascii="宋体" w:hAnsi="宋体" w:eastAsia="宋体" w:cs="宋体"/>
          <w:color w:val="auto"/>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highlight w:val="none"/>
        </w:rPr>
        <w:tab/>
      </w:r>
    </w:p>
    <w:p w14:paraId="6470CA69">
      <w:pPr>
        <w:pStyle w:val="3"/>
        <w:pageBreakBefore w:val="0"/>
        <w:wordWrap/>
        <w:topLinePunct w:val="0"/>
        <w:bidi w:val="0"/>
        <w:spacing w:before="77" w:beforeLines="20" w:line="360" w:lineRule="auto"/>
        <w:ind w:left="0" w:leftChars="0" w:right="0"/>
        <w:jc w:val="center"/>
        <w:textAlignment w:val="auto"/>
        <w:rPr>
          <w:rFonts w:hint="eastAsia" w:ascii="宋体" w:hAnsi="宋体" w:eastAsia="宋体" w:cs="宋体"/>
          <w:b w:val="0"/>
          <w:color w:val="auto"/>
          <w:szCs w:val="30"/>
          <w:highlight w:val="none"/>
        </w:rPr>
      </w:pPr>
      <w:bookmarkStart w:id="1" w:name="_Toc12789052"/>
      <w:bookmarkStart w:id="2" w:name="_Toc17444"/>
      <w:bookmarkStart w:id="3" w:name="_Toc11641050"/>
      <w:r>
        <w:rPr>
          <w:rFonts w:hint="eastAsia" w:ascii="宋体" w:hAnsi="宋体" w:eastAsia="宋体" w:cs="宋体"/>
          <w:b w:val="0"/>
          <w:color w:val="auto"/>
          <w:sz w:val="36"/>
          <w:szCs w:val="30"/>
          <w:highlight w:val="none"/>
        </w:rPr>
        <w:t>第一篇  比选邀请书</w:t>
      </w:r>
      <w:bookmarkEnd w:id="1"/>
      <w:bookmarkEnd w:id="2"/>
      <w:bookmarkEnd w:id="3"/>
    </w:p>
    <w:p w14:paraId="060D68DC">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重庆瑞盛工程咨询有限公司</w:t>
      </w:r>
      <w:r>
        <w:rPr>
          <w:rFonts w:hint="eastAsia" w:ascii="宋体" w:hAnsi="宋体" w:eastAsia="宋体" w:cs="宋体"/>
          <w:color w:val="auto"/>
          <w:sz w:val="24"/>
          <w:szCs w:val="24"/>
          <w:highlight w:val="none"/>
        </w:rPr>
        <w:t>（以下简称：采购代理机构）接受</w:t>
      </w:r>
      <w:r>
        <w:rPr>
          <w:rFonts w:hint="eastAsia" w:ascii="宋体" w:hAnsi="宋体" w:eastAsia="宋体" w:cs="宋体"/>
          <w:color w:val="auto"/>
          <w:sz w:val="24"/>
          <w:szCs w:val="24"/>
          <w:highlight w:val="none"/>
          <w:u w:val="single"/>
          <w:lang w:eastAsia="zh-CN"/>
        </w:rPr>
        <w:t>重庆市大渡口区市政工程处</w:t>
      </w:r>
      <w:r>
        <w:rPr>
          <w:rFonts w:hint="eastAsia" w:ascii="宋体" w:hAnsi="宋体" w:eastAsia="宋体" w:cs="宋体"/>
          <w:color w:val="auto"/>
          <w:sz w:val="24"/>
          <w:szCs w:val="24"/>
          <w:highlight w:val="none"/>
        </w:rPr>
        <w:t>委托，对其</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u w:val="single"/>
          <w:lang w:val="en-US" w:eastAsia="zh-CN"/>
        </w:rPr>
        <w:t>福溪大道人行道塌陷整治-施工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进行竞争性比选采购。欢迎有资格的供应商前来参与竞选。</w:t>
      </w:r>
    </w:p>
    <w:p w14:paraId="4DC5592D">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4" w:name="_Toc13172"/>
      <w:bookmarkStart w:id="5" w:name="_Toc313893526"/>
      <w:bookmarkStart w:id="6" w:name="_Toc317775175"/>
      <w:r>
        <w:rPr>
          <w:rFonts w:hint="eastAsia" w:ascii="宋体" w:hAnsi="宋体" w:eastAsia="宋体" w:cs="宋体"/>
          <w:color w:val="auto"/>
          <w:sz w:val="24"/>
          <w:szCs w:val="24"/>
          <w:highlight w:val="none"/>
        </w:rPr>
        <w:t>一、竞争性比选内容</w:t>
      </w:r>
      <w:bookmarkEnd w:id="4"/>
      <w:bookmarkEnd w:id="5"/>
      <w:bookmarkEnd w:id="6"/>
    </w:p>
    <w:tbl>
      <w:tblPr>
        <w:tblStyle w:val="59"/>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6"/>
        <w:gridCol w:w="2135"/>
        <w:gridCol w:w="1815"/>
        <w:gridCol w:w="1815"/>
      </w:tblGrid>
      <w:tr w14:paraId="2ADB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766" w:type="dxa"/>
            <w:tcBorders>
              <w:top w:val="single" w:color="auto" w:sz="4" w:space="0"/>
              <w:left w:val="single" w:color="auto" w:sz="4" w:space="0"/>
              <w:right w:val="single" w:color="auto" w:sz="4" w:space="0"/>
            </w:tcBorders>
            <w:vAlign w:val="center"/>
          </w:tcPr>
          <w:p w14:paraId="480615FB">
            <w:pPr>
              <w:pageBreakBefore w:val="0"/>
              <w:widowControl/>
              <w:wordWrap/>
              <w:topLinePunct w:val="0"/>
              <w:bidi w:val="0"/>
              <w:spacing w:before="77" w:beforeLines="20" w:line="360" w:lineRule="auto"/>
              <w:ind w:left="0" w:leftChars="0" w:right="0"/>
              <w:jc w:val="center"/>
              <w:textAlignment w:val="auto"/>
              <w:rPr>
                <w:rFonts w:hint="eastAsia" w:ascii="宋体" w:hAnsi="宋体" w:eastAsia="宋体" w:cs="宋体"/>
                <w:b/>
                <w:bCs/>
                <w:color w:val="auto"/>
                <w:kern w:val="0"/>
                <w:sz w:val="21"/>
                <w:szCs w:val="21"/>
                <w:highlight w:val="none"/>
              </w:rPr>
            </w:pPr>
            <w:bookmarkStart w:id="7" w:name="_Toc373860293"/>
            <w:bookmarkStart w:id="8" w:name="_Toc317775178"/>
            <w:r>
              <w:rPr>
                <w:rFonts w:hint="eastAsia" w:ascii="宋体" w:hAnsi="宋体" w:eastAsia="宋体" w:cs="宋体"/>
                <w:b/>
                <w:bCs/>
                <w:color w:val="auto"/>
                <w:kern w:val="0"/>
                <w:sz w:val="21"/>
                <w:szCs w:val="21"/>
                <w:highlight w:val="none"/>
              </w:rPr>
              <w:t>项目名称</w:t>
            </w:r>
          </w:p>
        </w:tc>
        <w:tc>
          <w:tcPr>
            <w:tcW w:w="2135" w:type="dxa"/>
            <w:tcBorders>
              <w:top w:val="single" w:color="auto" w:sz="4" w:space="0"/>
              <w:left w:val="single" w:color="auto" w:sz="4" w:space="0"/>
              <w:right w:val="single" w:color="auto" w:sz="4" w:space="0"/>
            </w:tcBorders>
            <w:vAlign w:val="center"/>
          </w:tcPr>
          <w:p w14:paraId="21C466D1">
            <w:pPr>
              <w:pageBreakBefore w:val="0"/>
              <w:wordWrap/>
              <w:topLinePunct w:val="0"/>
              <w:bidi w:val="0"/>
              <w:spacing w:before="77" w:beforeLines="20" w:line="360" w:lineRule="auto"/>
              <w:ind w:left="0" w:leftChars="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最高限价</w:t>
            </w:r>
          </w:p>
          <w:p w14:paraId="79749F9C">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highlight w:val="none"/>
              </w:rPr>
            </w:pPr>
            <w:r>
              <w:rPr>
                <w:rFonts w:hint="eastAsia" w:ascii="宋体" w:hAnsi="宋体" w:eastAsia="宋体" w:cs="宋体"/>
                <w:b/>
                <w:bCs/>
                <w:color w:val="auto"/>
                <w:kern w:val="0"/>
                <w:sz w:val="21"/>
                <w:szCs w:val="21"/>
                <w:highlight w:val="none"/>
              </w:rPr>
              <w:t>（元）</w:t>
            </w:r>
          </w:p>
        </w:tc>
        <w:tc>
          <w:tcPr>
            <w:tcW w:w="1815" w:type="dxa"/>
            <w:tcBorders>
              <w:top w:val="single" w:color="auto" w:sz="4" w:space="0"/>
              <w:left w:val="single" w:color="auto" w:sz="4" w:space="0"/>
              <w:right w:val="single" w:color="auto" w:sz="4" w:space="0"/>
            </w:tcBorders>
            <w:vAlign w:val="center"/>
          </w:tcPr>
          <w:p w14:paraId="07ACB4AE">
            <w:pPr>
              <w:pageBreakBefore w:val="0"/>
              <w:wordWrap/>
              <w:topLinePunct w:val="0"/>
              <w:bidi w:val="0"/>
              <w:spacing w:before="77" w:beforeLines="20" w:line="360" w:lineRule="auto"/>
              <w:ind w:left="0" w:leftChars="0" w:right="0"/>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中选人</w:t>
            </w:r>
          </w:p>
          <w:p w14:paraId="1F2C31CA">
            <w:pPr>
              <w:pageBreakBefore w:val="0"/>
              <w:wordWrap/>
              <w:topLinePunct w:val="0"/>
              <w:bidi w:val="0"/>
              <w:spacing w:before="77" w:beforeLines="20" w:line="360" w:lineRule="auto"/>
              <w:ind w:left="0" w:leftChars="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数量（名）</w:t>
            </w:r>
          </w:p>
        </w:tc>
        <w:tc>
          <w:tcPr>
            <w:tcW w:w="1815" w:type="dxa"/>
            <w:tcBorders>
              <w:top w:val="single" w:color="auto" w:sz="4" w:space="0"/>
              <w:left w:val="single" w:color="auto" w:sz="4" w:space="0"/>
              <w:right w:val="single" w:color="auto" w:sz="4" w:space="0"/>
            </w:tcBorders>
            <w:vAlign w:val="center"/>
          </w:tcPr>
          <w:p w14:paraId="45501EF2">
            <w:pPr>
              <w:pageBreakBefore w:val="0"/>
              <w:wordWrap/>
              <w:topLinePunct w:val="0"/>
              <w:bidi w:val="0"/>
              <w:spacing w:before="77" w:beforeLines="20" w:line="360" w:lineRule="auto"/>
              <w:ind w:left="0" w:leftChars="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采购标的对应的中小企业划分标准所属行业</w:t>
            </w:r>
          </w:p>
        </w:tc>
      </w:tr>
      <w:tr w14:paraId="3D9B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766" w:type="dxa"/>
            <w:tcBorders>
              <w:top w:val="single" w:color="auto" w:sz="4" w:space="0"/>
              <w:left w:val="single" w:color="auto" w:sz="4" w:space="0"/>
              <w:bottom w:val="single" w:color="auto" w:sz="4" w:space="0"/>
              <w:right w:val="single" w:color="auto" w:sz="4" w:space="0"/>
            </w:tcBorders>
            <w:vAlign w:val="center"/>
          </w:tcPr>
          <w:p w14:paraId="047BF532">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bookmarkStart w:id="9" w:name="_Hlk344477914"/>
            <w:r>
              <w:rPr>
                <w:rFonts w:hint="eastAsia" w:ascii="宋体" w:hAnsi="宋体" w:cs="宋体"/>
                <w:color w:val="auto"/>
                <w:sz w:val="21"/>
                <w:szCs w:val="21"/>
                <w:highlight w:val="none"/>
                <w:lang w:val="en-US" w:eastAsia="zh-CN"/>
              </w:rPr>
              <w:t>福溪大道人行道塌陷整治-施工</w:t>
            </w:r>
          </w:p>
        </w:tc>
        <w:tc>
          <w:tcPr>
            <w:tcW w:w="2135" w:type="dxa"/>
            <w:tcBorders>
              <w:top w:val="single" w:color="auto" w:sz="4" w:space="0"/>
              <w:left w:val="single" w:color="auto" w:sz="4" w:space="0"/>
              <w:bottom w:val="single" w:color="auto" w:sz="4" w:space="0"/>
              <w:right w:val="single" w:color="auto" w:sz="4" w:space="0"/>
            </w:tcBorders>
            <w:vAlign w:val="center"/>
          </w:tcPr>
          <w:p w14:paraId="4D775A27">
            <w:pPr>
              <w:pageBreakBefore w:val="0"/>
              <w:wordWrap/>
              <w:topLinePunct w:val="0"/>
              <w:bidi w:val="0"/>
              <w:spacing w:before="77" w:beforeLines="20" w:line="360" w:lineRule="auto"/>
              <w:ind w:left="0" w:leftChars="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4"/>
                <w:szCs w:val="24"/>
                <w:highlight w:val="none"/>
                <w:lang w:val="en-US" w:eastAsia="zh-CN"/>
              </w:rPr>
              <w:t>474819.19</w:t>
            </w:r>
          </w:p>
        </w:tc>
        <w:tc>
          <w:tcPr>
            <w:tcW w:w="1815" w:type="dxa"/>
            <w:tcBorders>
              <w:top w:val="single" w:color="auto" w:sz="4" w:space="0"/>
              <w:left w:val="single" w:color="auto" w:sz="4" w:space="0"/>
              <w:bottom w:val="single" w:color="auto" w:sz="4" w:space="0"/>
              <w:right w:val="single" w:color="auto" w:sz="4" w:space="0"/>
            </w:tcBorders>
            <w:vAlign w:val="center"/>
          </w:tcPr>
          <w:p w14:paraId="3B9D8911">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15" w:type="dxa"/>
            <w:tcBorders>
              <w:top w:val="single" w:color="auto" w:sz="4" w:space="0"/>
              <w:left w:val="single" w:color="auto" w:sz="4" w:space="0"/>
              <w:bottom w:val="single" w:color="auto" w:sz="4" w:space="0"/>
              <w:right w:val="single" w:color="auto" w:sz="4" w:space="0"/>
            </w:tcBorders>
            <w:vAlign w:val="center"/>
          </w:tcPr>
          <w:p w14:paraId="57D845C7">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建筑业</w:t>
            </w:r>
          </w:p>
        </w:tc>
      </w:tr>
      <w:bookmarkEnd w:id="9"/>
    </w:tbl>
    <w:p w14:paraId="0E903B58">
      <w:pPr>
        <w:pStyle w:val="4"/>
        <w:pageBreakBefore w:val="0"/>
        <w:numPr>
          <w:ilvl w:val="0"/>
          <w:numId w:val="13"/>
        </w:numPr>
        <w:wordWrap/>
        <w:topLinePunct w:val="0"/>
        <w:bidi w:val="0"/>
        <w:spacing w:before="77" w:beforeLines="20" w:line="360" w:lineRule="auto"/>
        <w:ind w:left="0" w:leftChars="0" w:right="0"/>
        <w:textAlignment w:val="auto"/>
        <w:rPr>
          <w:rFonts w:hint="eastAsia" w:ascii="宋体" w:hAnsi="宋体" w:eastAsia="宋体" w:cs="宋体"/>
          <w:b w:val="0"/>
          <w:color w:val="auto"/>
          <w:sz w:val="24"/>
          <w:szCs w:val="24"/>
          <w:highlight w:val="none"/>
        </w:rPr>
      </w:pPr>
      <w:bookmarkStart w:id="10" w:name="_Toc10542"/>
      <w:bookmarkStart w:id="11" w:name="_Toc29962"/>
      <w:bookmarkStart w:id="12" w:name="_Toc19118"/>
      <w:bookmarkStart w:id="13" w:name="_Toc26112"/>
      <w:r>
        <w:rPr>
          <w:rFonts w:hint="eastAsia" w:ascii="宋体" w:hAnsi="宋体" w:eastAsia="宋体" w:cs="宋体"/>
          <w:color w:val="auto"/>
          <w:sz w:val="24"/>
          <w:szCs w:val="24"/>
          <w:highlight w:val="none"/>
        </w:rPr>
        <w:t>资金来源</w:t>
      </w:r>
      <w:bookmarkEnd w:id="10"/>
      <w:bookmarkEnd w:id="11"/>
      <w:bookmarkEnd w:id="12"/>
      <w:bookmarkEnd w:id="13"/>
    </w:p>
    <w:p w14:paraId="68790F56">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财政资金，预算金额为</w:t>
      </w:r>
      <w:r>
        <w:rPr>
          <w:rFonts w:hint="eastAsia" w:ascii="宋体" w:hAnsi="宋体" w:cs="宋体"/>
          <w:color w:val="auto"/>
          <w:sz w:val="24"/>
          <w:szCs w:val="24"/>
          <w:highlight w:val="none"/>
          <w:lang w:val="en-US" w:eastAsia="zh-CN"/>
        </w:rPr>
        <w:t>474819.19</w:t>
      </w:r>
      <w:r>
        <w:rPr>
          <w:rFonts w:hint="eastAsia" w:ascii="宋体" w:hAnsi="宋体" w:eastAsia="宋体" w:cs="宋体"/>
          <w:color w:val="auto"/>
          <w:sz w:val="24"/>
          <w:szCs w:val="24"/>
          <w:highlight w:val="none"/>
        </w:rPr>
        <w:t>元。</w:t>
      </w:r>
    </w:p>
    <w:p w14:paraId="0D5C90B7">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14" w:name="_Toc11242"/>
      <w:r>
        <w:rPr>
          <w:rFonts w:hint="eastAsia" w:ascii="宋体" w:hAnsi="宋体" w:eastAsia="宋体" w:cs="宋体"/>
          <w:color w:val="auto"/>
          <w:sz w:val="24"/>
          <w:szCs w:val="24"/>
          <w:highlight w:val="none"/>
        </w:rPr>
        <w:t>三、供应商资格条件</w:t>
      </w:r>
      <w:bookmarkEnd w:id="14"/>
    </w:p>
    <w:p w14:paraId="7683CC68">
      <w:pPr>
        <w:pageBreakBefore w:val="0"/>
        <w:kinsoku w:val="0"/>
        <w:wordWrap/>
        <w:overflowPunct w:val="0"/>
        <w:topLinePunct w:val="0"/>
        <w:autoSpaceDE w:val="0"/>
        <w:autoSpaceDN w:val="0"/>
        <w:bidi w:val="0"/>
        <w:adjustRightInd w:val="0"/>
        <w:snapToGrid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（一）基本资格条件</w:t>
      </w:r>
    </w:p>
    <w:p w14:paraId="1B6F68AF">
      <w:pPr>
        <w:pageBreakBefore w:val="0"/>
        <w:kinsoku w:val="0"/>
        <w:wordWrap/>
        <w:overflowPunct w:val="0"/>
        <w:topLinePunct w:val="0"/>
        <w:autoSpaceDE w:val="0"/>
        <w:autoSpaceDN w:val="0"/>
        <w:bidi w:val="0"/>
        <w:adjustRightInd w:val="0"/>
        <w:snapToGrid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0AD6E12A">
      <w:pPr>
        <w:pageBreakBefore w:val="0"/>
        <w:wordWrap/>
        <w:topLinePunct w:val="0"/>
        <w:bidi w:val="0"/>
        <w:adjustRightInd w:val="0"/>
        <w:snapToGrid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75B42423">
      <w:pPr>
        <w:pageBreakBefore w:val="0"/>
        <w:wordWrap/>
        <w:topLinePunct w:val="0"/>
        <w:bidi w:val="0"/>
        <w:adjustRightInd w:val="0"/>
        <w:snapToGrid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34709552">
      <w:pPr>
        <w:pageBreakBefore w:val="0"/>
        <w:wordWrap/>
        <w:topLinePunct w:val="0"/>
        <w:bidi w:val="0"/>
        <w:adjustRightInd w:val="0"/>
        <w:snapToGrid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19C06918">
      <w:pPr>
        <w:pageBreakBefore w:val="0"/>
        <w:wordWrap/>
        <w:topLinePunct w:val="0"/>
        <w:bidi w:val="0"/>
        <w:adjustRightInd w:val="0"/>
        <w:snapToGrid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4E789003">
      <w:pPr>
        <w:pageBreakBefore w:val="0"/>
        <w:wordWrap/>
        <w:topLinePunct w:val="0"/>
        <w:bidi w:val="0"/>
        <w:adjustRightInd w:val="0"/>
        <w:snapToGrid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4A90631F">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落实政府采购政策需满足的资格要求：</w:t>
      </w:r>
      <w:r>
        <w:rPr>
          <w:rFonts w:hint="eastAsia" w:ascii="宋体" w:hAnsi="宋体" w:eastAsia="宋体" w:cs="宋体"/>
          <w:color w:val="auto"/>
          <w:sz w:val="24"/>
          <w:szCs w:val="24"/>
          <w:u w:val="none"/>
          <w:lang w:val="en-US" w:eastAsia="zh-CN"/>
        </w:rPr>
        <w:t>本项目</w:t>
      </w:r>
      <w:r>
        <w:rPr>
          <w:rFonts w:hint="eastAsia" w:ascii="宋体" w:hAnsi="宋体" w:eastAsia="宋体" w:cs="宋体"/>
          <w:color w:val="auto"/>
          <w:sz w:val="24"/>
          <w:szCs w:val="24"/>
          <w:highlight w:val="none"/>
          <w:u w:val="none"/>
        </w:rPr>
        <w:t>属于专门面向中小企业采购的项目,</w:t>
      </w:r>
      <w:r>
        <w:rPr>
          <w:rFonts w:hint="eastAsia" w:ascii="宋体" w:hAnsi="宋体" w:eastAsia="宋体" w:cs="宋体"/>
          <w:color w:val="auto"/>
          <w:sz w:val="24"/>
          <w:szCs w:val="24"/>
          <w:highlight w:val="none"/>
          <w:u w:val="none"/>
          <w:lang w:val="en-US" w:eastAsia="zh-CN"/>
        </w:rPr>
        <w:t>投标供应商</w:t>
      </w:r>
      <w:r>
        <w:rPr>
          <w:rFonts w:hint="eastAsia" w:ascii="宋体" w:hAnsi="宋体" w:eastAsia="宋体" w:cs="宋体"/>
          <w:color w:val="auto"/>
          <w:sz w:val="24"/>
          <w:szCs w:val="24"/>
          <w:highlight w:val="none"/>
          <w:u w:val="none"/>
        </w:rPr>
        <w:t>应为中小微企业、监狱企业、残疾人福利性单位</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须</w:t>
      </w:r>
      <w:r>
        <w:rPr>
          <w:rFonts w:hint="eastAsia" w:ascii="宋体" w:hAnsi="宋体" w:eastAsia="宋体" w:cs="宋体"/>
          <w:color w:val="auto"/>
          <w:sz w:val="24"/>
          <w:szCs w:val="24"/>
          <w:highlight w:val="none"/>
          <w:u w:val="none"/>
        </w:rPr>
        <w:t>提供中小企业声明函或监狱企业监狱企业证明文件或残疾人福利性单位声明函</w:t>
      </w:r>
      <w:r>
        <w:rPr>
          <w:rFonts w:hint="eastAsia" w:ascii="宋体" w:hAnsi="宋体" w:eastAsia="宋体" w:cs="宋体"/>
          <w:color w:val="auto"/>
          <w:sz w:val="24"/>
          <w:szCs w:val="24"/>
          <w:highlight w:val="none"/>
          <w:u w:val="none"/>
          <w:lang w:val="en-US" w:eastAsia="zh-CN"/>
        </w:rPr>
        <w:t>。</w:t>
      </w:r>
    </w:p>
    <w:p w14:paraId="1BCA29B8">
      <w:pPr>
        <w:pageBreakBefore w:val="0"/>
        <w:wordWrap/>
        <w:topLinePunct w:val="0"/>
        <w:bidi w:val="0"/>
        <w:adjustRightInd w:val="0"/>
        <w:snapToGrid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）特定资格条件</w:t>
      </w:r>
    </w:p>
    <w:p w14:paraId="0BC3F9DE">
      <w:pPr>
        <w:pageBreakBefore w:val="0"/>
        <w:kinsoku/>
        <w:wordWrap/>
        <w:overflowPunct/>
        <w:topLinePunct w:val="0"/>
        <w:autoSpaceDE/>
        <w:autoSpaceDN/>
        <w:bidi w:val="0"/>
        <w:adjustRightInd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1、供应商须</w:t>
      </w:r>
      <w:r>
        <w:rPr>
          <w:rFonts w:hint="eastAsia" w:ascii="宋体" w:hAnsi="宋体" w:eastAsia="宋体" w:cs="宋体"/>
          <w:color w:val="auto"/>
          <w:sz w:val="24"/>
          <w:szCs w:val="24"/>
        </w:rPr>
        <w:t>具备建设行政主管部门颁发的市政公用工程施工总承包</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级及以上资质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（须提供有效的资质证书复印件，并加盖供应商单位鲜章。）</w:t>
      </w:r>
    </w:p>
    <w:p w14:paraId="639DB934">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供应商须具有建设行政主管部门颁发的有效的安全生产许可证书</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“三类人员”安全生产考核合格证书（须提供有效的安全生产许可证书</w:t>
      </w:r>
      <w:r>
        <w:rPr>
          <w:rFonts w:hint="eastAsia" w:ascii="宋体" w:hAnsi="宋体" w:cs="宋体"/>
          <w:color w:val="auto"/>
          <w:sz w:val="24"/>
          <w:szCs w:val="24"/>
          <w:highlight w:val="none"/>
          <w:lang w:val="en-US" w:eastAsia="zh-CN"/>
        </w:rPr>
        <w:t>、人员考核合格证书</w:t>
      </w:r>
      <w:r>
        <w:rPr>
          <w:rFonts w:hint="eastAsia" w:ascii="宋体" w:hAnsi="宋体" w:eastAsia="宋体" w:cs="宋体"/>
          <w:color w:val="auto"/>
          <w:sz w:val="24"/>
          <w:szCs w:val="24"/>
          <w:highlight w:val="none"/>
          <w:lang w:val="en-US" w:eastAsia="zh-CN"/>
        </w:rPr>
        <w:t>复印件，并加盖供应商单位鲜章）。</w:t>
      </w:r>
    </w:p>
    <w:p w14:paraId="1CE3475E">
      <w:pPr>
        <w:pageBreakBefore w:val="0"/>
        <w:wordWrap/>
        <w:topLinePunct w:val="0"/>
        <w:bidi w:val="0"/>
        <w:spacing w:before="77" w:beforeLines="20" w:line="360" w:lineRule="auto"/>
        <w:ind w:left="0" w:leftChars="0" w:right="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四、比选有关说明</w:t>
      </w:r>
      <w:bookmarkEnd w:id="7"/>
    </w:p>
    <w:bookmarkEnd w:id="8"/>
    <w:p w14:paraId="2EDB0DDF">
      <w:pPr>
        <w:pageBreakBefore w:val="0"/>
        <w:wordWrap/>
        <w:topLinePunct w:val="0"/>
        <w:bidi w:val="0"/>
        <w:snapToGrid w:val="0"/>
        <w:spacing w:before="77" w:beforeLines="20" w:line="360" w:lineRule="auto"/>
        <w:ind w:left="0" w:leftChars="0" w:righ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（一）供应商应通过“行采家”网站（https://www.gec123.com/）登记加入“供应商库”。</w:t>
      </w:r>
    </w:p>
    <w:p w14:paraId="2AB5B080">
      <w:pPr>
        <w:pageBreakBefore w:val="0"/>
        <w:wordWrap/>
        <w:topLinePunct w:val="0"/>
        <w:bidi w:val="0"/>
        <w:snapToGrid w:val="0"/>
        <w:spacing w:before="77" w:beforeLines="20" w:line="360" w:lineRule="auto"/>
        <w:ind w:left="0" w:leftChars="0" w:righ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比选的供应商，请在“行采家”网站（https://www.gec123.com/）网上下载本项目竞争性比选文件以及变更等比选前公布的所有项目资料，无论供应商下载与否，均视为已知晓所有比选实质性要求内容。</w:t>
      </w:r>
    </w:p>
    <w:p w14:paraId="3439E2AE">
      <w:pPr>
        <w:pageBreakBefore w:val="0"/>
        <w:wordWrap/>
        <w:topLinePunct w:val="0"/>
        <w:bidi w:val="0"/>
        <w:snapToGrid w:val="0"/>
        <w:spacing w:before="77" w:beforeLines="20" w:line="360" w:lineRule="auto"/>
        <w:ind w:left="0" w:leftChars="0" w:righ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 比选文件公告期限：自比选公告发布之日起三个工作日。</w:t>
      </w:r>
    </w:p>
    <w:p w14:paraId="10F45002">
      <w:pPr>
        <w:pageBreakBefore w:val="0"/>
        <w:wordWrap/>
        <w:topLinePunct w:val="0"/>
        <w:bidi w:val="0"/>
        <w:snapToGrid w:val="0"/>
        <w:spacing w:before="77" w:beforeLines="20" w:line="360" w:lineRule="auto"/>
        <w:ind w:left="0" w:leftChars="0" w:righ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）线上报价</w:t>
      </w:r>
    </w:p>
    <w:p w14:paraId="3BB47CD5">
      <w:pPr>
        <w:pageBreakBefore w:val="0"/>
        <w:wordWrap/>
        <w:topLinePunct w:val="0"/>
        <w:bidi w:val="0"/>
        <w:snapToGrid w:val="0"/>
        <w:spacing w:before="77" w:beforeLines="20" w:line="360" w:lineRule="auto"/>
        <w:ind w:left="0" w:leftChars="0" w:righ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1.线上报价时间：</w:t>
      </w:r>
      <w:r>
        <w:rPr>
          <w:rFonts w:hint="eastAsia" w:ascii="宋体" w:hAnsi="宋体" w:cs="宋体"/>
          <w:color w:val="auto"/>
          <w:sz w:val="24"/>
          <w:szCs w:val="24"/>
          <w:highlight w:val="none"/>
        </w:rPr>
        <w:t>网上报价及上传响应文件电子档时间：202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：00时-1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：00时。</w:t>
      </w:r>
    </w:p>
    <w:p w14:paraId="6A39EA21">
      <w:pPr>
        <w:pageBreakBefore w:val="0"/>
        <w:wordWrap/>
        <w:topLinePunct w:val="0"/>
        <w:bidi w:val="0"/>
        <w:snapToGrid w:val="0"/>
        <w:spacing w:before="77" w:beforeLines="20" w:line="360" w:lineRule="auto"/>
        <w:ind w:left="0" w:leftChars="0" w:righ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报价要求：按本项目规定的时间在“行采家”网站（https://www.gec123.com/）进行网上报价。供应商线上报价时需上传盖章后的电子文档（PDF）格式一份。上传电子文档必须按照要求制作，规定签字、盖章的地方必须按其规定签字、盖章，未按要求制作响应文件的按无效响应处理。</w:t>
      </w:r>
    </w:p>
    <w:p w14:paraId="328ED4EA">
      <w:pPr>
        <w:pageBreakBefore w:val="0"/>
        <w:wordWrap/>
        <w:topLinePunct w:val="0"/>
        <w:bidi w:val="0"/>
        <w:snapToGrid w:val="0"/>
        <w:spacing w:before="77" w:beforeLines="20" w:line="360" w:lineRule="auto"/>
        <w:ind w:left="0" w:leftChars="0" w:righ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（五）供应商须满足以下要件，其响应文件才被接受：</w:t>
      </w:r>
    </w:p>
    <w:p w14:paraId="65E5E68C">
      <w:pPr>
        <w:pageBreakBefore w:val="0"/>
        <w:wordWrap/>
        <w:topLinePunct w:val="0"/>
        <w:bidi w:val="0"/>
        <w:snapToGrid w:val="0"/>
        <w:spacing w:before="77" w:beforeLines="20" w:line="360" w:lineRule="auto"/>
        <w:ind w:left="0" w:leftChars="0" w:righ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按时在“行采家”网站（https://www.gec123.com/）报名，并上传了响应文件电子档；</w:t>
      </w:r>
    </w:p>
    <w:p w14:paraId="4A7E314C">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15" w:name="_Toc479668114"/>
      <w:bookmarkStart w:id="16" w:name="_Toc9107"/>
      <w:bookmarkStart w:id="17" w:name="_Toc480882256"/>
      <w:bookmarkStart w:id="18" w:name="_Toc21973"/>
      <w:r>
        <w:rPr>
          <w:rFonts w:hint="eastAsia" w:ascii="宋体" w:hAnsi="宋体" w:eastAsia="宋体" w:cs="宋体"/>
          <w:color w:val="auto"/>
          <w:sz w:val="24"/>
          <w:szCs w:val="24"/>
          <w:highlight w:val="none"/>
        </w:rPr>
        <w:t>五、</w:t>
      </w:r>
      <w:bookmarkEnd w:id="15"/>
      <w:bookmarkEnd w:id="16"/>
      <w:bookmarkEnd w:id="17"/>
      <w:r>
        <w:rPr>
          <w:rFonts w:hint="eastAsia" w:ascii="宋体" w:hAnsi="宋体" w:eastAsia="宋体" w:cs="宋体"/>
          <w:color w:val="auto"/>
          <w:sz w:val="24"/>
          <w:szCs w:val="24"/>
          <w:highlight w:val="none"/>
        </w:rPr>
        <w:t>比选保证金</w:t>
      </w:r>
      <w:bookmarkEnd w:id="18"/>
    </w:p>
    <w:p w14:paraId="60B369BC">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bookmarkStart w:id="19" w:name="_Toc17448"/>
      <w:r>
        <w:rPr>
          <w:rFonts w:hint="eastAsia" w:ascii="宋体" w:hAnsi="宋体" w:eastAsia="宋体" w:cs="宋体"/>
          <w:color w:val="auto"/>
          <w:sz w:val="24"/>
          <w:szCs w:val="24"/>
          <w:highlight w:val="none"/>
        </w:rPr>
        <w:t>无。</w:t>
      </w:r>
    </w:p>
    <w:p w14:paraId="1C4E6840">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20" w:name="_Toc26657"/>
      <w:r>
        <w:rPr>
          <w:rFonts w:hint="eastAsia" w:ascii="宋体" w:hAnsi="宋体" w:eastAsia="宋体" w:cs="宋体"/>
          <w:color w:val="auto"/>
          <w:sz w:val="24"/>
          <w:szCs w:val="24"/>
          <w:highlight w:val="none"/>
        </w:rPr>
        <w:t>六、其它有关规定</w:t>
      </w:r>
      <w:bookmarkEnd w:id="19"/>
      <w:bookmarkEnd w:id="20"/>
    </w:p>
    <w:p w14:paraId="05A135BB">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（一）单位负责人为同一人或者存在直接控股、管理关系的不同供应商，不得参加同一合同项下的政府采购活动，否则均为无效响应。</w:t>
      </w:r>
    </w:p>
    <w:p w14:paraId="74B39B1A">
      <w:pPr>
        <w:pageBreakBefore w:val="0"/>
        <w:wordWrap/>
        <w:topLinePunct w:val="0"/>
        <w:bidi w:val="0"/>
        <w:snapToGrid w:val="0"/>
        <w:spacing w:before="77" w:beforeLines="20" w:line="360" w:lineRule="auto"/>
        <w:ind w:left="0" w:leftChars="0" w:righ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2D5B2166">
      <w:pPr>
        <w:pageBreakBefore w:val="0"/>
        <w:wordWrap/>
        <w:topLinePunct w:val="0"/>
        <w:bidi w:val="0"/>
        <w:snapToGrid w:val="0"/>
        <w:spacing w:before="77" w:beforeLines="20" w:line="360" w:lineRule="auto"/>
        <w:ind w:left="0" w:leftChars="0" w:righ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（三）本项目的补遗文件（如果有）一律在“行采家”平台（http://www.gec123.com）上发布，请各供应商注意下载；无论供应商下载与否，均视同供应商已知晓本项目补遗文件（如果有）的内容。</w:t>
      </w:r>
    </w:p>
    <w:p w14:paraId="63119041">
      <w:pPr>
        <w:pageBreakBefore w:val="0"/>
        <w:wordWrap/>
        <w:topLinePunct w:val="0"/>
        <w:bidi w:val="0"/>
        <w:snapToGrid w:val="0"/>
        <w:spacing w:before="77" w:beforeLines="20" w:line="360" w:lineRule="auto"/>
        <w:ind w:left="0" w:leftChars="0" w:righ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（四）超过比选响应文件截止时间递交的比选响应文件，恕不接收。</w:t>
      </w:r>
    </w:p>
    <w:p w14:paraId="5F6F6864">
      <w:pPr>
        <w:pageBreakBefore w:val="0"/>
        <w:wordWrap/>
        <w:topLinePunct w:val="0"/>
        <w:bidi w:val="0"/>
        <w:snapToGrid w:val="0"/>
        <w:spacing w:before="77" w:beforeLines="2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（五）比选费用：无论比选结果如何，供应商参与本项目比选的所有费用均应由供应商自行承担。</w:t>
      </w:r>
    </w:p>
    <w:p w14:paraId="4B596B56">
      <w:pPr>
        <w:pageBreakBefore w:val="0"/>
        <w:wordWrap/>
        <w:topLinePunct w:val="0"/>
        <w:bidi w:val="0"/>
        <w:snapToGrid w:val="0"/>
        <w:spacing w:before="77" w:beforeLines="20" w:line="360" w:lineRule="auto"/>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（六）本项目不接受联合体参与比选，否则按无效处理。</w:t>
      </w:r>
    </w:p>
    <w:p w14:paraId="3013AD28">
      <w:pPr>
        <w:pageBreakBefore w:val="0"/>
        <w:wordWrap/>
        <w:topLinePunct w:val="0"/>
        <w:bidi w:val="0"/>
        <w:snapToGrid w:val="0"/>
        <w:spacing w:before="77" w:beforeLines="20" w:line="360" w:lineRule="auto"/>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（七）本项目不接受合同分包，否则按无效处理。</w:t>
      </w:r>
    </w:p>
    <w:p w14:paraId="1F2AB742">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6429198A">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21" w:name="_Toc19969"/>
      <w:r>
        <w:rPr>
          <w:rFonts w:hint="eastAsia" w:ascii="宋体" w:hAnsi="宋体" w:eastAsia="宋体" w:cs="宋体"/>
          <w:color w:val="auto"/>
          <w:sz w:val="24"/>
          <w:szCs w:val="24"/>
          <w:highlight w:val="none"/>
        </w:rPr>
        <w:t>七、联系方式</w:t>
      </w:r>
      <w:bookmarkEnd w:id="21"/>
    </w:p>
    <w:p w14:paraId="30DC29D0">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（一）采购人：重庆市大渡口区市政工程处 </w:t>
      </w:r>
    </w:p>
    <w:p w14:paraId="55770E4E">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陈老师</w:t>
      </w:r>
    </w:p>
    <w:p w14:paraId="66FE2F72">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话：023-68920697</w:t>
      </w:r>
    </w:p>
    <w:p w14:paraId="110FA87E">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址：重庆市大渡口区曾家村石板场35号</w:t>
      </w:r>
    </w:p>
    <w:p w14:paraId="11CB12DF">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 采购代理机构：重庆瑞盛工程咨询有限公司 </w:t>
      </w:r>
    </w:p>
    <w:p w14:paraId="6ADE20CA">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颜老师</w:t>
      </w:r>
      <w:r>
        <w:rPr>
          <w:rFonts w:hint="eastAsia" w:ascii="宋体" w:hAnsi="宋体" w:eastAsia="宋体" w:cs="宋体"/>
          <w:color w:val="auto"/>
          <w:sz w:val="24"/>
          <w:szCs w:val="24"/>
          <w:highlight w:val="none"/>
        </w:rPr>
        <w:t xml:space="preserve"> </w:t>
      </w:r>
    </w:p>
    <w:p w14:paraId="17110672">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13883905504</w:t>
      </w:r>
    </w:p>
    <w:p w14:paraId="46B19845">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址：重庆市大渡口区钢花路1039号附33号2-1</w:t>
      </w:r>
    </w:p>
    <w:p w14:paraId="0D1F1F8C">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4C134BFB">
      <w:pPr>
        <w:pStyle w:val="2"/>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22" w:name="_Toc23529"/>
      <w:bookmarkStart w:id="23" w:name="_Toc26914"/>
    </w:p>
    <w:p w14:paraId="4BF559DC">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6011DBD4">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5EC5745C">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68B0B187">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5124FDB0">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789DD50A">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66A8DB30">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1588579A">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63C384DD">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bookmarkEnd w:id="22"/>
    <w:bookmarkEnd w:id="23"/>
    <w:p w14:paraId="07D15A04">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6888DD11">
      <w:pPr>
        <w:pStyle w:val="3"/>
        <w:pageBreakBefore w:val="0"/>
        <w:numPr>
          <w:ilvl w:val="0"/>
          <w:numId w:val="14"/>
        </w:numPr>
        <w:wordWrap/>
        <w:topLinePunct w:val="0"/>
        <w:bidi w:val="0"/>
        <w:spacing w:before="77" w:beforeLines="20" w:line="360" w:lineRule="auto"/>
        <w:ind w:left="0" w:leftChars="0" w:right="0"/>
        <w:jc w:val="center"/>
        <w:textAlignment w:val="auto"/>
        <w:rPr>
          <w:rFonts w:hint="eastAsia" w:ascii="宋体" w:hAnsi="宋体" w:eastAsia="宋体" w:cs="宋体"/>
          <w:b w:val="0"/>
          <w:color w:val="auto"/>
          <w:sz w:val="36"/>
          <w:szCs w:val="30"/>
          <w:highlight w:val="none"/>
          <w:lang w:val="en-US" w:eastAsia="zh-CN"/>
        </w:rPr>
      </w:pPr>
      <w:bookmarkStart w:id="24" w:name="_Toc22336"/>
      <w:r>
        <w:rPr>
          <w:rFonts w:hint="eastAsia" w:ascii="宋体" w:hAnsi="宋体" w:eastAsia="宋体" w:cs="宋体"/>
          <w:b w:val="0"/>
          <w:color w:val="auto"/>
          <w:sz w:val="36"/>
          <w:szCs w:val="30"/>
          <w:highlight w:val="none"/>
        </w:rPr>
        <w:t>项目</w:t>
      </w:r>
      <w:r>
        <w:rPr>
          <w:rFonts w:hint="eastAsia" w:ascii="宋体" w:hAnsi="宋体" w:eastAsia="宋体" w:cs="宋体"/>
          <w:b w:val="0"/>
          <w:color w:val="auto"/>
          <w:sz w:val="36"/>
          <w:szCs w:val="30"/>
          <w:highlight w:val="none"/>
          <w:lang w:val="en-US" w:eastAsia="zh-CN"/>
        </w:rPr>
        <w:t>技术</w:t>
      </w:r>
      <w:r>
        <w:rPr>
          <w:rFonts w:hint="eastAsia" w:ascii="宋体" w:hAnsi="宋体" w:eastAsia="宋体" w:cs="宋体"/>
          <w:b w:val="0"/>
          <w:color w:val="auto"/>
          <w:sz w:val="36"/>
          <w:szCs w:val="30"/>
          <w:highlight w:val="none"/>
        </w:rPr>
        <w:t>需求</w:t>
      </w:r>
      <w:bookmarkEnd w:id="24"/>
      <w:bookmarkStart w:id="25" w:name="_Toc12789058"/>
    </w:p>
    <w:p w14:paraId="7B5621D8">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项目技术需求中所有要求均为符合性审查中的实质性要求，响应文件若不满足按无效响应处理。</w:t>
      </w:r>
    </w:p>
    <w:p w14:paraId="1AF11BDD">
      <w:pPr>
        <w:pageBreakBefore w:val="0"/>
        <w:wordWrap/>
        <w:topLinePunct w:val="0"/>
        <w:bidi w:val="0"/>
        <w:snapToGrid w:val="0"/>
        <w:spacing w:before="77" w:beforeLines="20" w:line="360" w:lineRule="auto"/>
        <w:ind w:left="0" w:leftChars="0" w:right="0" w:firstLine="482" w:firstLineChars="200"/>
        <w:textAlignment w:val="auto"/>
        <w:rPr>
          <w:rFonts w:hint="eastAsia" w:ascii="宋体" w:hAnsi="宋体" w:eastAsia="宋体" w:cs="宋体"/>
          <w:b/>
          <w:bCs/>
          <w:color w:val="auto"/>
          <w:sz w:val="24"/>
          <w:szCs w:val="24"/>
          <w:highlight w:val="none"/>
        </w:rPr>
      </w:pPr>
      <w:bookmarkStart w:id="26" w:name="_Toc19786033"/>
      <w:bookmarkStart w:id="27" w:name="_Toc6838"/>
      <w:r>
        <w:rPr>
          <w:rFonts w:hint="eastAsia" w:ascii="宋体" w:hAnsi="宋体" w:eastAsia="宋体" w:cs="宋体"/>
          <w:b/>
          <w:bCs/>
          <w:color w:val="auto"/>
          <w:sz w:val="24"/>
          <w:szCs w:val="24"/>
          <w:highlight w:val="none"/>
        </w:rPr>
        <w:t>一、采购项目基本情况</w:t>
      </w:r>
      <w:bookmarkEnd w:id="26"/>
      <w:bookmarkEnd w:id="27"/>
    </w:p>
    <w:p w14:paraId="157F80C1">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bookmarkStart w:id="28" w:name="_Toc1573"/>
      <w:r>
        <w:rPr>
          <w:rFonts w:hint="eastAsia" w:ascii="宋体" w:hAnsi="宋体" w:eastAsia="宋体" w:cs="宋体"/>
          <w:color w:val="auto"/>
          <w:sz w:val="24"/>
          <w:szCs w:val="24"/>
          <w:highlight w:val="none"/>
        </w:rPr>
        <w:t>1.项目名称：</w:t>
      </w:r>
      <w:bookmarkEnd w:id="28"/>
      <w:r>
        <w:rPr>
          <w:rFonts w:hint="eastAsia" w:ascii="宋体" w:hAnsi="宋体" w:cs="宋体"/>
          <w:color w:val="auto"/>
          <w:sz w:val="24"/>
          <w:szCs w:val="24"/>
          <w:highlight w:val="none"/>
          <w:lang w:eastAsia="zh-CN"/>
        </w:rPr>
        <w:t>福溪大道人行道塌陷整治-施工</w:t>
      </w:r>
    </w:p>
    <w:p w14:paraId="3F56337A">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2.招标范围：</w:t>
      </w:r>
      <w:bookmarkStart w:id="29" w:name="_Hlk101689526"/>
      <w:r>
        <w:rPr>
          <w:rFonts w:hint="eastAsia" w:ascii="宋体" w:hAnsi="宋体" w:cs="宋体"/>
          <w:color w:val="auto"/>
          <w:sz w:val="24"/>
          <w:szCs w:val="24"/>
          <w:highlight w:val="none"/>
          <w:lang w:val="en-US" w:eastAsia="zh-CN"/>
        </w:rPr>
        <w:t>包含人行道修整、拆除、挖基坑土方、路缘石安装及其他零星项目等内容。具体详见工程量清单。</w:t>
      </w:r>
    </w:p>
    <w:bookmarkEnd w:id="29"/>
    <w:p w14:paraId="51E41F34">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3.本工程设置竞标总报价招标控制价。</w:t>
      </w:r>
      <w:r>
        <w:rPr>
          <w:rFonts w:hint="eastAsia" w:ascii="宋体" w:hAnsi="宋体" w:eastAsia="宋体" w:cs="宋体"/>
          <w:b/>
          <w:bCs/>
          <w:color w:val="auto"/>
          <w:sz w:val="24"/>
          <w:szCs w:val="24"/>
          <w:highlight w:val="none"/>
        </w:rPr>
        <w:t>本工程竞标总报价招标控制价为：</w:t>
      </w:r>
      <w:r>
        <w:rPr>
          <w:rFonts w:hint="eastAsia" w:ascii="宋体" w:hAnsi="宋体" w:cs="宋体"/>
          <w:b/>
          <w:bCs/>
          <w:color w:val="auto"/>
          <w:sz w:val="24"/>
          <w:szCs w:val="24"/>
          <w:highlight w:val="none"/>
          <w:u w:val="single"/>
          <w:lang w:val="en-US" w:eastAsia="zh-CN"/>
        </w:rPr>
        <w:t>肆拾柒万肆仟捌佰壹拾玖元壹角玖分</w:t>
      </w:r>
      <w:r>
        <w:rPr>
          <w:rFonts w:hint="eastAsia" w:ascii="宋体" w:hAnsi="宋体" w:eastAsia="宋体" w:cs="宋体"/>
          <w:b/>
          <w:bCs/>
          <w:color w:val="auto"/>
          <w:sz w:val="24"/>
          <w:szCs w:val="24"/>
          <w:highlight w:val="none"/>
          <w:u w:val="single"/>
        </w:rPr>
        <w:t>（小写：</w:t>
      </w:r>
      <w:r>
        <w:rPr>
          <w:rFonts w:hint="eastAsia" w:ascii="宋体" w:hAnsi="宋体" w:cs="宋体"/>
          <w:b/>
          <w:bCs/>
          <w:color w:val="auto"/>
          <w:sz w:val="24"/>
          <w:szCs w:val="24"/>
          <w:highlight w:val="none"/>
          <w:u w:val="single"/>
          <w:lang w:val="en-US" w:eastAsia="zh-CN"/>
        </w:rPr>
        <w:t>474819.19</w:t>
      </w:r>
      <w:r>
        <w:rPr>
          <w:rFonts w:hint="eastAsia" w:ascii="宋体" w:hAnsi="宋体" w:eastAsia="宋体" w:cs="宋体"/>
          <w:b/>
          <w:bCs/>
          <w:color w:val="auto"/>
          <w:sz w:val="24"/>
          <w:szCs w:val="24"/>
          <w:highlight w:val="none"/>
          <w:u w:val="single"/>
        </w:rPr>
        <w:t>元</w:t>
      </w:r>
      <w:r>
        <w:rPr>
          <w:rFonts w:hint="eastAsia" w:ascii="宋体" w:hAnsi="宋体" w:eastAsia="宋体" w:cs="宋体"/>
          <w:b/>
          <w:bCs/>
          <w:color w:val="auto"/>
          <w:sz w:val="24"/>
          <w:szCs w:val="24"/>
          <w:highlight w:val="none"/>
        </w:rPr>
        <w:t>），其中已含安全文明施工费</w:t>
      </w:r>
      <w:r>
        <w:rPr>
          <w:rFonts w:hint="eastAsia" w:ascii="宋体" w:hAnsi="宋体" w:eastAsia="宋体" w:cs="宋体"/>
          <w:b/>
          <w:bCs/>
          <w:color w:val="auto"/>
          <w:sz w:val="24"/>
          <w:szCs w:val="24"/>
          <w:highlight w:val="none"/>
          <w:u w:val="single"/>
        </w:rPr>
        <w:t>：</w:t>
      </w:r>
      <w:r>
        <w:rPr>
          <w:rFonts w:hint="eastAsia" w:ascii="宋体" w:hAnsi="宋体" w:cs="宋体"/>
          <w:b/>
          <w:bCs/>
          <w:color w:val="auto"/>
          <w:sz w:val="24"/>
          <w:szCs w:val="24"/>
          <w:highlight w:val="none"/>
          <w:u w:val="single"/>
          <w:lang w:eastAsia="zh-CN"/>
        </w:rPr>
        <w:t>壹万贰仟叁佰伍拾肆元捌角</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（小写：</w:t>
      </w:r>
      <w:r>
        <w:rPr>
          <w:rFonts w:hint="eastAsia" w:ascii="宋体" w:hAnsi="宋体" w:cs="宋体"/>
          <w:b/>
          <w:bCs/>
          <w:color w:val="auto"/>
          <w:sz w:val="24"/>
          <w:szCs w:val="24"/>
          <w:highlight w:val="none"/>
          <w:u w:val="single"/>
          <w:lang w:val="en-US" w:eastAsia="zh-CN"/>
        </w:rPr>
        <w:t>12354.8</w:t>
      </w:r>
      <w:r>
        <w:rPr>
          <w:rFonts w:hint="eastAsia" w:ascii="宋体" w:hAnsi="宋体" w:eastAsia="宋体" w:cs="宋体"/>
          <w:b/>
          <w:bCs/>
          <w:color w:val="auto"/>
          <w:sz w:val="24"/>
          <w:szCs w:val="24"/>
          <w:highlight w:val="none"/>
          <w:u w:val="single"/>
        </w:rPr>
        <w:t>元）</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b/>
          <w:bCs/>
          <w:color w:val="auto"/>
          <w:sz w:val="24"/>
          <w:szCs w:val="24"/>
          <w:highlight w:val="none"/>
        </w:rPr>
        <w:t>报价函》及工程量清单报价中的安全文明施工费汇总金额必须按照采购人给出的暂定金额填报，否则按无效响应处理）。各供应商的竞标报价和分部分项清单综合单价报价均不得超过采购人发布的相应最高限价，否则按无效响应处理。</w:t>
      </w:r>
    </w:p>
    <w:p w14:paraId="64A28660">
      <w:pPr>
        <w:pageBreakBefore w:val="0"/>
        <w:wordWrap/>
        <w:topLinePunct w:val="0"/>
        <w:bidi w:val="0"/>
        <w:snapToGrid w:val="0"/>
        <w:spacing w:before="77" w:beforeLines="20" w:line="360" w:lineRule="auto"/>
        <w:ind w:left="0" w:leftChars="0" w:right="0" w:firstLine="482" w:firstLineChars="200"/>
        <w:textAlignment w:val="auto"/>
        <w:rPr>
          <w:rFonts w:hint="eastAsia" w:ascii="宋体" w:hAnsi="宋体" w:eastAsia="宋体" w:cs="宋体"/>
          <w:b/>
          <w:bCs/>
          <w:color w:val="auto"/>
          <w:sz w:val="24"/>
          <w:szCs w:val="24"/>
          <w:highlight w:val="none"/>
        </w:rPr>
      </w:pPr>
      <w:bookmarkStart w:id="30" w:name="_Toc18941"/>
      <w:r>
        <w:rPr>
          <w:rFonts w:hint="eastAsia" w:ascii="宋体" w:hAnsi="宋体" w:eastAsia="宋体" w:cs="宋体"/>
          <w:b/>
          <w:bCs/>
          <w:color w:val="auto"/>
          <w:sz w:val="24"/>
          <w:szCs w:val="24"/>
          <w:highlight w:val="none"/>
        </w:rPr>
        <w:t>二、工程量清单</w:t>
      </w:r>
      <w:bookmarkEnd w:id="30"/>
    </w:p>
    <w:p w14:paraId="71C140BD">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详见附件。</w:t>
      </w:r>
    </w:p>
    <w:p w14:paraId="68A57413">
      <w:pPr>
        <w:pageBreakBefore w:val="0"/>
        <w:wordWrap/>
        <w:topLinePunct w:val="0"/>
        <w:bidi w:val="0"/>
        <w:snapToGrid w:val="0"/>
        <w:spacing w:before="77" w:beforeLines="20" w:line="360" w:lineRule="auto"/>
        <w:ind w:left="0" w:leftChars="0" w:right="0" w:firstLine="482" w:firstLineChars="200"/>
        <w:textAlignment w:val="auto"/>
        <w:rPr>
          <w:rFonts w:hint="eastAsia" w:ascii="宋体" w:hAnsi="宋体" w:eastAsia="宋体" w:cs="宋体"/>
          <w:b/>
          <w:bCs/>
          <w:color w:val="auto"/>
          <w:sz w:val="24"/>
          <w:szCs w:val="24"/>
          <w:highlight w:val="none"/>
          <w:lang w:val="en-US" w:eastAsia="zh-CN"/>
        </w:rPr>
      </w:pPr>
      <w:bookmarkStart w:id="31" w:name="_Toc23904"/>
      <w:r>
        <w:rPr>
          <w:rFonts w:hint="eastAsia" w:ascii="宋体" w:hAnsi="宋体" w:eastAsia="宋体" w:cs="宋体"/>
          <w:b/>
          <w:bCs/>
          <w:color w:val="auto"/>
          <w:sz w:val="24"/>
          <w:szCs w:val="24"/>
          <w:highlight w:val="none"/>
          <w:lang w:val="en-US" w:eastAsia="zh-CN"/>
        </w:rPr>
        <w:t>三、施工要求</w:t>
      </w:r>
      <w:bookmarkEnd w:id="31"/>
    </w:p>
    <w:p w14:paraId="5775AF71">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bookmarkStart w:id="32" w:name="_Toc16124"/>
      <w:r>
        <w:rPr>
          <w:rFonts w:hint="eastAsia" w:ascii="宋体" w:hAnsi="宋体" w:eastAsia="宋体" w:cs="宋体"/>
          <w:color w:val="auto"/>
          <w:sz w:val="24"/>
          <w:szCs w:val="24"/>
          <w:highlight w:val="none"/>
          <w:lang w:val="en-US" w:eastAsia="zh-CN"/>
        </w:rPr>
        <w:t>符合《建筑工程施工质量验收统一标准》GB50300-2013，《建筑地面工程施工质量验收规范》GB50209-2010、《建筑工程施工质量评价标准》GB/T50375-2016、《无障碍设施施工验收及维护规范》GB50642-2011、《城镇道路工程施工与质量验收规范》CJJ 1-2008、《城市地下病害体综合探测与风险评估技术标准》（JGJ/T 437-2018）规范及其它相关的国家和地方规范、规程，并达到设计要求合格标准。</w:t>
      </w:r>
    </w:p>
    <w:p w14:paraId="1ADDA3E3">
      <w:pPr>
        <w:pageBreakBefore w:val="0"/>
        <w:wordWrap/>
        <w:topLinePunct w:val="0"/>
        <w:bidi w:val="0"/>
        <w:snapToGrid w:val="0"/>
        <w:spacing w:before="77" w:beforeLines="20" w:line="360" w:lineRule="auto"/>
        <w:ind w:left="0" w:leftChars="0" w:right="0" w:firstLine="482" w:firstLineChars="200"/>
        <w:textAlignment w:val="auto"/>
        <w:rPr>
          <w:rFonts w:hint="default" w:ascii="宋体" w:hAnsi="宋体" w:eastAsia="宋体" w:cs="宋体"/>
          <w:b/>
          <w:bCs/>
          <w:color w:val="auto"/>
          <w:sz w:val="24"/>
          <w:szCs w:val="24"/>
          <w:highlight w:val="red"/>
          <w:lang w:val="en-US" w:eastAsia="zh-CN"/>
        </w:rPr>
      </w:pPr>
      <w:r>
        <w:rPr>
          <w:rFonts w:hint="eastAsia" w:ascii="宋体" w:hAnsi="宋体" w:eastAsia="宋体" w:cs="宋体"/>
          <w:b/>
          <w:bCs/>
          <w:color w:val="auto"/>
          <w:sz w:val="24"/>
          <w:szCs w:val="24"/>
          <w:highlight w:val="none"/>
          <w:lang w:val="en-US" w:eastAsia="zh-CN"/>
        </w:rPr>
        <w:t>四、主要管理人员：</w:t>
      </w:r>
    </w:p>
    <w:p w14:paraId="12BF7D90">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1、项目经理</w:t>
      </w:r>
    </w:p>
    <w:p w14:paraId="3FF86D53">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投标人拟派的项目经理须已在本单位注册并具有</w:t>
      </w:r>
      <w:r>
        <w:rPr>
          <w:rFonts w:hint="eastAsia" w:ascii="宋体" w:hAnsi="宋体" w:cs="宋体"/>
          <w:color w:val="auto"/>
          <w:sz w:val="24"/>
          <w:szCs w:val="24"/>
          <w:highlight w:val="none"/>
          <w:lang w:val="en-US" w:eastAsia="zh-CN"/>
        </w:rPr>
        <w:t>市政公用</w:t>
      </w:r>
      <w:r>
        <w:rPr>
          <w:rFonts w:hint="eastAsia" w:ascii="宋体" w:hAnsi="宋体" w:eastAsia="宋体" w:cs="宋体"/>
          <w:color w:val="auto"/>
          <w:sz w:val="24"/>
          <w:szCs w:val="24"/>
          <w:highlight w:val="none"/>
        </w:rPr>
        <w:t>工程贰级及以上注册建造师执业资格</w:t>
      </w:r>
      <w:r>
        <w:rPr>
          <w:rFonts w:hint="eastAsia" w:ascii="宋体" w:hAnsi="宋体" w:eastAsia="宋体" w:cs="宋体"/>
          <w:color w:val="auto"/>
          <w:sz w:val="24"/>
          <w:szCs w:val="24"/>
          <w:highlight w:val="none"/>
          <w:lang w:val="en-US" w:eastAsia="zh-CN"/>
        </w:rPr>
        <w:t>。同时具备相应的由建设行政主管部门颁发的有效的安全生产考核合格证书。</w:t>
      </w:r>
    </w:p>
    <w:p w14:paraId="304E0CBA">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须提供项目经理在有效期内的建造师注册证书复印件、身份证复印件、安全生产考核合格证书复印件、</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lang w:eastAsia="zh-CN"/>
        </w:rPr>
        <w:t>截止前前三</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lang w:eastAsia="zh-CN"/>
        </w:rPr>
        <w:t>月任意一</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证明材料</w:t>
      </w:r>
      <w:r>
        <w:rPr>
          <w:rFonts w:hint="eastAsia" w:ascii="宋体" w:hAnsi="宋体" w:eastAsia="宋体" w:cs="宋体"/>
          <w:color w:val="auto"/>
          <w:sz w:val="24"/>
          <w:szCs w:val="24"/>
          <w:highlight w:val="none"/>
          <w:lang w:val="en-US" w:eastAsia="zh-CN"/>
        </w:rPr>
        <w:t>复印件并加盖投标投标人公章。</w:t>
      </w:r>
    </w:p>
    <w:p w14:paraId="26F071EF">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2、项目技术负责人</w:t>
      </w:r>
    </w:p>
    <w:p w14:paraId="7A3112FA">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投标人拟派的项目技术负责人应具有工程类中级及以上技术职称。</w:t>
      </w:r>
    </w:p>
    <w:p w14:paraId="228AC290">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须提供技术负责人职称证复印件、身份证复印件</w:t>
      </w:r>
      <w:r>
        <w:rPr>
          <w:rFonts w:hint="eastAsia" w:ascii="宋体" w:hAnsi="宋体" w:cs="宋体"/>
          <w:color w:val="auto"/>
          <w:lang w:eastAsia="zh-CN"/>
        </w:rPr>
        <w:t>、</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lang w:eastAsia="zh-CN"/>
        </w:rPr>
        <w:t>截止前前三</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lang w:eastAsia="zh-CN"/>
        </w:rPr>
        <w:t>月任意一</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eastAsia="zh-CN"/>
        </w:rPr>
        <w:t>养老保险</w:t>
      </w:r>
      <w:r>
        <w:rPr>
          <w:rFonts w:hint="eastAsia" w:ascii="宋体" w:hAnsi="宋体" w:eastAsia="宋体" w:cs="宋体"/>
          <w:color w:val="auto"/>
          <w:sz w:val="24"/>
          <w:szCs w:val="24"/>
          <w:highlight w:val="none"/>
        </w:rPr>
        <w:t>证明材料</w:t>
      </w:r>
      <w:r>
        <w:rPr>
          <w:rFonts w:hint="eastAsia" w:ascii="宋体" w:hAnsi="宋体" w:eastAsia="宋体" w:cs="宋体"/>
          <w:color w:val="auto"/>
          <w:sz w:val="24"/>
          <w:szCs w:val="24"/>
          <w:highlight w:val="none"/>
          <w:lang w:val="en-US" w:eastAsia="zh-CN"/>
        </w:rPr>
        <w:t>复印件并加盖投标投标人公章。</w:t>
      </w:r>
    </w:p>
    <w:p w14:paraId="79DCCA1E">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3、其他主要管理人员</w:t>
      </w:r>
    </w:p>
    <w:p w14:paraId="7C6A5ACB">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投标人自行承诺成交后在签订合同之前须按照建设行政主管部门的要求组建施工项目部，配置项目管理班子，出具任命文件。 任命文件应当明确施工项目部的职责、岗位设置、人员配备，并书面通知采购人。相关岗位管理人员应持有建设行政主管部门要求的岗位证书，合同签订</w:t>
      </w:r>
      <w:r>
        <w:rPr>
          <w:rFonts w:hint="eastAsia" w:ascii="宋体" w:hAnsi="宋体" w:eastAsia="宋体" w:cs="宋体"/>
          <w:color w:val="auto"/>
          <w:sz w:val="24"/>
          <w:szCs w:val="24"/>
          <w:highlight w:val="none"/>
          <w:lang w:eastAsia="zh-CN"/>
        </w:rPr>
        <w:t>前前三</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lang w:eastAsia="zh-CN"/>
        </w:rPr>
        <w:t>月任意一</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养老保险</w:t>
      </w:r>
      <w:r>
        <w:rPr>
          <w:rFonts w:hint="eastAsia" w:ascii="宋体" w:hAnsi="宋体" w:eastAsia="宋体" w:cs="宋体"/>
          <w:color w:val="auto"/>
          <w:sz w:val="24"/>
          <w:szCs w:val="24"/>
          <w:highlight w:val="none"/>
        </w:rPr>
        <w:t>证明材料</w:t>
      </w:r>
      <w:r>
        <w:rPr>
          <w:rFonts w:hint="eastAsia" w:ascii="宋体" w:hAnsi="宋体" w:eastAsia="宋体" w:cs="宋体"/>
          <w:color w:val="auto"/>
          <w:sz w:val="24"/>
          <w:szCs w:val="24"/>
          <w:highlight w:val="none"/>
          <w:lang w:val="en-US" w:eastAsia="zh-CN"/>
        </w:rPr>
        <w:t>复印件并加盖投标投标人公章。成交后不能满足该要求的，取消其成交资格；签订合同后不满足该要求的，按合同相关条款处罚并上报行政主管部门；给采购人造成损失的，投标人依法承担违约赔偿责任（承诺格式自拟，未按要求承诺的按无效响应处理。）</w:t>
      </w:r>
    </w:p>
    <w:p w14:paraId="5F242A47">
      <w:pPr>
        <w:pageBreakBefore w:val="0"/>
        <w:wordWrap/>
        <w:topLinePunct w:val="0"/>
        <w:bidi w:val="0"/>
        <w:spacing w:before="77" w:beforeLines="20" w:line="360" w:lineRule="auto"/>
        <w:ind w:left="0" w:leftChars="0" w:right="0" w:firstLine="480" w:firstLineChars="200"/>
        <w:textAlignment w:val="auto"/>
        <w:rPr>
          <w:rFonts w:hint="default" w:ascii="宋体" w:hAnsi="宋体" w:eastAsia="宋体" w:cs="宋体"/>
          <w:strike/>
          <w:dstrike w:val="0"/>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注：项目经理、项目技术负责人及其他主要管理人员均不得兼任。</w:t>
      </w:r>
    </w:p>
    <w:bookmarkEnd w:id="32"/>
    <w:p w14:paraId="2F2D0673">
      <w:pPr>
        <w:pageBreakBefore w:val="0"/>
        <w:wordWrap/>
        <w:topLinePunct w:val="0"/>
        <w:bidi w:val="0"/>
        <w:snapToGrid w:val="0"/>
        <w:spacing w:before="77" w:beforeLines="20" w:line="360" w:lineRule="auto"/>
        <w:ind w:left="0" w:leftChars="0" w:right="0" w:firstLine="482" w:firstLineChars="200"/>
        <w:textAlignment w:val="auto"/>
        <w:rPr>
          <w:rFonts w:hint="eastAsia" w:ascii="宋体" w:hAnsi="宋体" w:eastAsia="宋体" w:cs="宋体"/>
          <w:b/>
          <w:bCs/>
          <w:color w:val="auto"/>
          <w:sz w:val="24"/>
          <w:szCs w:val="24"/>
          <w:highlight w:val="none"/>
          <w:lang w:val="en-US" w:eastAsia="zh-CN"/>
        </w:rPr>
      </w:pPr>
      <w:bookmarkStart w:id="33" w:name="_Toc2187"/>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、其他</w:t>
      </w:r>
      <w:bookmarkEnd w:id="33"/>
    </w:p>
    <w:p w14:paraId="6D96E784">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sectPr>
          <w:headerReference r:id="rId8" w:type="default"/>
          <w:footerReference r:id="rId9" w:type="default"/>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color w:val="auto"/>
          <w:sz w:val="24"/>
          <w:szCs w:val="24"/>
          <w:highlight w:val="none"/>
        </w:rPr>
        <w:t>本项目不组织集体现场踏勘，各供应商可自行对现场进行踏勘。供应商应充分了解该项目的项目背景、服务地点、服务范围、设备组织、现场条件、道路环境、安全措施、人员安排、物业规定、文明施工、市政监管、运输工具等各种情况，以便获取本项目编制响应文件和签署合同所需的所有数据。踏勘现场所发生的所有费用（包含因踏勘现场而造成的死亡、人身伤害、财产损失和产生的其他费用）均由供应商自行承担，供应商应充分考虑了本项目可能面临的不确定因素和可能导致的风险，供应商一旦成交，</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不得以不完全了解现场情况为借口而提出额外赔偿，或延长工期等要求，由供应商在其响应文件中单独提供书面承诺函（格式自拟</w:t>
      </w:r>
      <w:r>
        <w:rPr>
          <w:rFonts w:hint="eastAsia" w:ascii="宋体" w:hAnsi="宋体" w:cs="宋体"/>
          <w:color w:val="auto"/>
          <w:sz w:val="24"/>
          <w:szCs w:val="24"/>
          <w:highlight w:val="none"/>
          <w:lang w:eastAsia="zh-CN"/>
        </w:rPr>
        <w:t>）。</w:t>
      </w:r>
    </w:p>
    <w:bookmarkEnd w:id="25"/>
    <w:p w14:paraId="1FEB5B0F">
      <w:pPr>
        <w:pStyle w:val="3"/>
        <w:pageBreakBefore w:val="0"/>
        <w:numPr>
          <w:ilvl w:val="0"/>
          <w:numId w:val="14"/>
        </w:numPr>
        <w:wordWrap/>
        <w:topLinePunct w:val="0"/>
        <w:bidi w:val="0"/>
        <w:spacing w:before="77" w:beforeLines="20" w:line="360" w:lineRule="auto"/>
        <w:ind w:left="0" w:leftChars="0" w:right="0"/>
        <w:jc w:val="center"/>
        <w:textAlignment w:val="auto"/>
        <w:rPr>
          <w:rFonts w:hint="eastAsia" w:ascii="宋体" w:hAnsi="宋体" w:eastAsia="宋体" w:cs="宋体"/>
          <w:b w:val="0"/>
          <w:color w:val="auto"/>
          <w:sz w:val="36"/>
          <w:szCs w:val="30"/>
          <w:highlight w:val="none"/>
        </w:rPr>
      </w:pPr>
      <w:bookmarkStart w:id="34" w:name="_Toc20133"/>
      <w:r>
        <w:rPr>
          <w:rFonts w:hint="eastAsia" w:ascii="宋体" w:hAnsi="宋体" w:eastAsia="宋体" w:cs="宋体"/>
          <w:b w:val="0"/>
          <w:color w:val="auto"/>
          <w:sz w:val="36"/>
          <w:szCs w:val="30"/>
          <w:highlight w:val="none"/>
        </w:rPr>
        <w:t>项目商务需求</w:t>
      </w:r>
      <w:bookmarkEnd w:id="34"/>
    </w:p>
    <w:p w14:paraId="7F120C81">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项目商务需求中所有要求均为符合性审查中的实质性要求，响应文件若不满足按无效响应处理。</w:t>
      </w:r>
    </w:p>
    <w:p w14:paraId="76989BCB">
      <w:pPr>
        <w:pageBreakBefore w:val="0"/>
        <w:wordWrap/>
        <w:topLinePunct w:val="0"/>
        <w:bidi w:val="0"/>
        <w:snapToGrid w:val="0"/>
        <w:spacing w:before="77" w:beforeLines="20" w:line="360" w:lineRule="auto"/>
        <w:ind w:left="0" w:leftChars="0" w:right="0" w:firstLine="482" w:firstLineChars="200"/>
        <w:textAlignment w:val="auto"/>
        <w:rPr>
          <w:rFonts w:hint="eastAsia" w:ascii="宋体" w:hAnsi="宋体" w:eastAsia="宋体" w:cs="宋体"/>
          <w:b/>
          <w:bCs/>
          <w:color w:val="auto"/>
          <w:sz w:val="24"/>
          <w:szCs w:val="24"/>
          <w:highlight w:val="none"/>
        </w:rPr>
      </w:pPr>
      <w:bookmarkStart w:id="35" w:name="_Toc19786036"/>
      <w:bookmarkStart w:id="36" w:name="_Toc10423"/>
      <w:bookmarkStart w:id="37" w:name="_Toc8735"/>
      <w:r>
        <w:rPr>
          <w:rFonts w:hint="eastAsia" w:ascii="宋体" w:hAnsi="宋体" w:eastAsia="宋体" w:cs="宋体"/>
          <w:b/>
          <w:bCs/>
          <w:color w:val="auto"/>
          <w:sz w:val="24"/>
          <w:szCs w:val="24"/>
          <w:highlight w:val="none"/>
        </w:rPr>
        <w:t>一、</w:t>
      </w:r>
      <w:bookmarkEnd w:id="35"/>
      <w:bookmarkEnd w:id="36"/>
      <w:r>
        <w:rPr>
          <w:rFonts w:hint="eastAsia" w:ascii="宋体" w:hAnsi="宋体" w:eastAsia="宋体" w:cs="宋体"/>
          <w:b/>
          <w:bCs/>
          <w:color w:val="auto"/>
          <w:sz w:val="24"/>
          <w:szCs w:val="24"/>
          <w:highlight w:val="none"/>
          <w:lang w:val="en-US" w:eastAsia="zh-CN"/>
        </w:rPr>
        <w:t>施工工期</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施工</w:t>
      </w:r>
      <w:r>
        <w:rPr>
          <w:rFonts w:hint="eastAsia" w:ascii="宋体" w:hAnsi="宋体" w:eastAsia="宋体" w:cs="宋体"/>
          <w:b/>
          <w:bCs/>
          <w:color w:val="auto"/>
          <w:sz w:val="24"/>
          <w:szCs w:val="24"/>
          <w:highlight w:val="none"/>
          <w:lang w:val="zh-CN" w:eastAsia="zh-CN"/>
        </w:rPr>
        <w:t>地点</w:t>
      </w:r>
      <w:bookmarkEnd w:id="37"/>
    </w:p>
    <w:p w14:paraId="362666CD">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施工工期</w:t>
      </w:r>
    </w:p>
    <w:p w14:paraId="3A444769">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合同签订后30</w:t>
      </w:r>
      <w:r>
        <w:rPr>
          <w:rFonts w:hint="eastAsia" w:ascii="宋体" w:hAnsi="宋体" w:cs="宋体"/>
          <w:color w:val="auto"/>
          <w:sz w:val="24"/>
          <w:szCs w:val="24"/>
          <w:highlight w:val="none"/>
          <w:lang w:val="en-US" w:eastAsia="zh-CN"/>
        </w:rPr>
        <w:t>日内</w:t>
      </w:r>
      <w:r>
        <w:rPr>
          <w:rFonts w:hint="eastAsia" w:ascii="宋体" w:hAnsi="宋体" w:eastAsia="宋体" w:cs="宋体"/>
          <w:color w:val="auto"/>
          <w:sz w:val="24"/>
          <w:szCs w:val="24"/>
          <w:highlight w:val="none"/>
          <w:lang w:val="en-US" w:eastAsia="zh-CN"/>
        </w:rPr>
        <w:t>完工。</w:t>
      </w:r>
    </w:p>
    <w:p w14:paraId="4A10A267">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lang w:val="zh-CN" w:eastAsia="zh-CN"/>
        </w:rPr>
        <w:t>地点</w:t>
      </w:r>
    </w:p>
    <w:p w14:paraId="34A18D70">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bookmarkStart w:id="38" w:name="_Toc25016"/>
      <w:r>
        <w:rPr>
          <w:rFonts w:hint="eastAsia" w:ascii="宋体" w:hAnsi="宋体" w:eastAsia="宋体" w:cs="宋体"/>
          <w:color w:val="auto"/>
          <w:sz w:val="24"/>
          <w:szCs w:val="24"/>
          <w:highlight w:val="none"/>
        </w:rPr>
        <w:t>服务范围</w:t>
      </w:r>
      <w:r>
        <w:rPr>
          <w:rFonts w:hint="eastAsia" w:ascii="宋体" w:hAnsi="宋体" w:eastAsia="宋体" w:cs="宋体"/>
          <w:color w:val="auto"/>
          <w:sz w:val="24"/>
          <w:szCs w:val="24"/>
          <w:highlight w:val="none"/>
          <w:lang w:eastAsia="zh-CN"/>
        </w:rPr>
        <w:t>：大渡口区</w:t>
      </w:r>
      <w:r>
        <w:rPr>
          <w:rFonts w:hint="eastAsia" w:ascii="宋体" w:hAnsi="宋体" w:cs="宋体"/>
          <w:color w:val="auto"/>
          <w:sz w:val="24"/>
          <w:szCs w:val="24"/>
          <w:highlight w:val="none"/>
          <w:lang w:val="en-US" w:eastAsia="zh-CN"/>
        </w:rPr>
        <w:t>福溪大道</w:t>
      </w:r>
      <w:r>
        <w:rPr>
          <w:rFonts w:hint="eastAsia" w:ascii="宋体" w:hAnsi="宋体" w:eastAsia="宋体" w:cs="宋体"/>
          <w:color w:val="auto"/>
          <w:sz w:val="24"/>
          <w:szCs w:val="24"/>
          <w:highlight w:val="none"/>
          <w:lang w:val="en-US" w:eastAsia="zh-CN"/>
        </w:rPr>
        <w:t>。</w:t>
      </w:r>
    </w:p>
    <w:p w14:paraId="153C73BD">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其他特殊要求</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作业过程应当做到文明、环保、安全、合规。由作业单位承担施工现场安全责任。作业场所是</w:t>
      </w:r>
      <w:r>
        <w:rPr>
          <w:rFonts w:hint="eastAsia" w:ascii="宋体" w:hAnsi="宋体" w:eastAsia="宋体" w:cs="宋体"/>
          <w:color w:val="auto"/>
          <w:sz w:val="24"/>
          <w:szCs w:val="24"/>
          <w:highlight w:val="none"/>
          <w:lang w:eastAsia="zh-CN"/>
        </w:rPr>
        <w:t>整个大渡口</w:t>
      </w:r>
      <w:r>
        <w:rPr>
          <w:rFonts w:hint="eastAsia" w:ascii="宋体" w:hAnsi="宋体" w:eastAsia="宋体" w:cs="宋体"/>
          <w:color w:val="auto"/>
          <w:sz w:val="24"/>
          <w:szCs w:val="24"/>
          <w:highlight w:val="none"/>
        </w:rPr>
        <w:t>区，必须保障作业安全，做好作业防护，日产日清。</w:t>
      </w:r>
    </w:p>
    <w:p w14:paraId="6C8B12CB">
      <w:pPr>
        <w:pageBreakBefore w:val="0"/>
        <w:wordWrap/>
        <w:topLinePunct w:val="0"/>
        <w:bidi w:val="0"/>
        <w:snapToGrid w:val="0"/>
        <w:spacing w:before="77" w:beforeLines="20" w:line="360" w:lineRule="auto"/>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二、缺陷责任期、质量保修期及验收标准</w:t>
      </w:r>
      <w:bookmarkEnd w:id="38"/>
    </w:p>
    <w:p w14:paraId="70F00BA9">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（一）工程缺陷责任期：</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个月。</w:t>
      </w:r>
    </w:p>
    <w:p w14:paraId="7BA85012">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（二）质量保修期：按国家及相关规定、《建设工程质量管理条例》执行。</w:t>
      </w:r>
    </w:p>
    <w:p w14:paraId="0B9B48E4">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.工程保修期自工程竣工验收合格（以竣工验收报告日期为准）之日起计算。</w:t>
      </w:r>
    </w:p>
    <w:p w14:paraId="4979DBEE">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工程在保修范围和保修期限内发生质量问题的，</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应当履行保修义务，并对造成的损失承担赔偿责任。</w:t>
      </w:r>
    </w:p>
    <w:p w14:paraId="43C6C48E">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（三）验收标准：</w:t>
      </w:r>
      <w:bookmarkStart w:id="39" w:name="_Toc19786038"/>
      <w:bookmarkStart w:id="40" w:name="_Toc12974"/>
      <w:r>
        <w:rPr>
          <w:rFonts w:hint="eastAsia" w:ascii="宋体" w:hAnsi="宋体" w:eastAsia="宋体" w:cs="宋体"/>
          <w:color w:val="auto"/>
          <w:sz w:val="24"/>
          <w:szCs w:val="24"/>
          <w:highlight w:val="none"/>
          <w:lang w:val="en-US" w:eastAsia="zh-CN"/>
        </w:rPr>
        <w:t>验收标准应应符合国家现行标准《建筑工程施工质量验收统一标准》GB 50300-2013、《建筑地面工程施工质量验收规范》GB 50209-2010、《城镇道路工程施工与质量验收规范》CJJ 1-2008、无障碍设施施工验收及维护规范》GB50642-2011，并通过《道路塌陷隐患雷达检测技术规范》（T/CMEA2-2018）、《地质雷达探测技术规程》（T/CAGHP 032-2018）、《城市工程地球物理探测标准》(CJJ7-2017)、《城市测量规范》（CJJ/T8-2011）、《城市地下病害体综合探测与风险评估技术标准》（JGJ/T 437-2018）及其它相关的国家和地方规范、规程。</w:t>
      </w:r>
    </w:p>
    <w:p w14:paraId="72755038">
      <w:pPr>
        <w:pageBreakBefore w:val="0"/>
        <w:wordWrap/>
        <w:topLinePunct w:val="0"/>
        <w:bidi w:val="0"/>
        <w:snapToGrid w:val="0"/>
        <w:spacing w:before="77" w:beforeLines="20" w:line="360" w:lineRule="auto"/>
        <w:ind w:left="0" w:leftChars="0" w:right="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三、报价原则</w:t>
      </w:r>
      <w:bookmarkEnd w:id="39"/>
      <w:bookmarkEnd w:id="40"/>
    </w:p>
    <w:p w14:paraId="42562AB7">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（一）各供应商以竞争性</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文件、合同条件、工程量清单、本次采购范围的施工设计图纸、国家技术和经济规范及标准</w:t>
      </w:r>
      <w:bookmarkStart w:id="41" w:name="OLE_LINK10"/>
      <w:r>
        <w:rPr>
          <w:rFonts w:hint="eastAsia" w:ascii="宋体" w:hAnsi="宋体" w:eastAsia="宋体" w:cs="宋体"/>
          <w:color w:val="auto"/>
          <w:sz w:val="24"/>
          <w:szCs w:val="24"/>
          <w:highlight w:val="none"/>
        </w:rPr>
        <w:t>《建设工程工程量清单计价规范》（GB50500-2013）、《重庆市建设工程工程量清单计价规则》（CQJJGZ-2013）、《重庆市建设工程工程量计算规则》（CQJLGZ-2013）、《重庆市市政工程计价定额》（CQSZDE-2018）、《重庆市安装工程计价定额》（CQAZDE-2018）、《重庆市房屋建筑与装饰工程计价定额》（CQJZZSDE-2018）、《重庆市建设工程费用定额》（CQFYDE-2018）、《混凝土及砂浆配合比表、施工机械台班定额》（CQPSDE-2018）、《关于适用增值税新税率调整建设工程计价依据的通知》（渝建【2019】143号）及相关配套文件的规定</w:t>
      </w:r>
      <w:bookmarkEnd w:id="41"/>
      <w:r>
        <w:rPr>
          <w:rFonts w:hint="eastAsia" w:ascii="宋体" w:hAnsi="宋体" w:eastAsia="宋体" w:cs="宋体"/>
          <w:color w:val="auto"/>
          <w:sz w:val="24"/>
          <w:szCs w:val="24"/>
          <w:highlight w:val="none"/>
        </w:rPr>
        <w:t>，结合自身实力、市场行情自主合理报价</w:t>
      </w:r>
      <w:r>
        <w:rPr>
          <w:rFonts w:hint="eastAsia" w:ascii="宋体" w:hAnsi="宋体" w:eastAsia="宋体" w:cs="宋体"/>
          <w:color w:val="auto"/>
          <w:sz w:val="24"/>
          <w:szCs w:val="24"/>
          <w:highlight w:val="none"/>
          <w:lang w:eastAsia="zh-CN"/>
        </w:rPr>
        <w:t>。</w:t>
      </w:r>
    </w:p>
    <w:p w14:paraId="30E68436">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本工程采用固定综合单价。本工程各分部分项工程量清单已包括《建设工程工程量清单计价规范》（GB50500-2013）、《重庆市建设工程工程量清单计价规则》（CQJJGZ-2013）中相应项目编码和项目名称及施工图纸、相关规范、标准、政策性文件、规定、限制和禁止使用通告等所有工程内容及完成此工作内容而必须的各种主要、辅助工作；其综合单价应包括完成该子项所需的人工费、产品费、材料费、机械费、管理费、利润、风险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服务费、及提供服务所需的设备或货物使用费、辅材费、运输费、装卸费、人身保险及各种应纳的税费等全部费用，等除措施费、安全文明施工费、规费、税金外的所有费用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因成交供应商自身原因造成漏报、少报皆由其自行承担责任，采购人不再补偿。供应商自行考虑并承担一切安全风险。</w:t>
      </w:r>
    </w:p>
    <w:p w14:paraId="3EBA2565">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（三）余方弃置，本工程分部分项清单中的“余方弃置（增运</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9KM）”，</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在报价时按增运</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9KM填报，如实际外运距离有所减少，结算时按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人、监理单位等各方（如有跟踪审计单位，则必须有跟踪审计单位签字）核定的弃渣线路的运距进行等比例调整（例：若实际增运运距为1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KM，则该清单子项结算价为:综合单价投标报价/</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9*实际方量*实际增运运距1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KM）。若实际增运运距有所增加（即超过</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9KM），则结算时仍按</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9KM计算，超过部分不予考虑。运距精确到小数点后一位。</w:t>
      </w:r>
    </w:p>
    <w:p w14:paraId="58879F0A">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（四）措施项目费清单包括施工组织措施项目清单和施工技术措施项目清单两部分。</w:t>
      </w:r>
    </w:p>
    <w:p w14:paraId="085E281C">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1.施工组织措施费：无论因设计变更或施工工艺变化等任何因素而引起实际措施费的变化，均按投标时施工组织措施项目费（除安全文明施工费外）的报价作为结算价。</w:t>
      </w:r>
    </w:p>
    <w:p w14:paraId="783C3E13">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技术措施费：施工技术措施清单中以项计列的项目，无论因设计变更或施工工艺变化等任何因素而引起实际措施费的变化，均按投标时施工技术措施项目费的报价作为结算价；施工技术措施清单中以项目编码、项目名称、项目特征、工程量及计量单位列项的项目，以</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投标报价的综合单价乘以按《重庆市建设工程工程量计算规》（CQJLGZ-2013）约定的计量规则计算的实际合格工程量办理结算。</w:t>
      </w:r>
    </w:p>
    <w:p w14:paraId="24F8A182">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（五）工程量清单中的项、量、综合单价：</w:t>
      </w:r>
    </w:p>
    <w:p w14:paraId="0286DC25">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采购人提供的工程量清单中的工程量与招标的施工设计图中工程量不一致，供应商应在规定的时间前通知采购人核查，除采购人对工程量清单主动补遗或对供应商质疑作修改外，应以工程量清单中列出的工程量为准。</w:t>
      </w:r>
    </w:p>
    <w:p w14:paraId="027387F2">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工程量清单中给出的工程量是估算量或暂定量，是为</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报价确定的共同的基础，不能作为最终结算的依据。结算工程量以现场实际收方单工程量为准。</w:t>
      </w:r>
    </w:p>
    <w:p w14:paraId="7B965039">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2.供应商在编制</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报价时不得擅自变改采购人提供的分部分项工程量清单中的序号、项目编码、项目名称、项目特征、工程量及计量单位，否则视为对网上</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文件不作实质性响应，其响应文件按</w:t>
      </w:r>
      <w:r>
        <w:rPr>
          <w:rFonts w:hint="eastAsia" w:ascii="宋体" w:hAnsi="宋体" w:eastAsia="宋体" w:cs="宋体"/>
          <w:color w:val="auto"/>
          <w:sz w:val="24"/>
          <w:szCs w:val="24"/>
          <w:highlight w:val="none"/>
          <w:lang w:val="en-US" w:eastAsia="zh-CN"/>
        </w:rPr>
        <w:t>无效响应处理</w:t>
      </w:r>
      <w:r>
        <w:rPr>
          <w:rFonts w:hint="eastAsia" w:ascii="宋体" w:hAnsi="宋体" w:eastAsia="宋体" w:cs="宋体"/>
          <w:color w:val="auto"/>
          <w:sz w:val="24"/>
          <w:szCs w:val="24"/>
          <w:highlight w:val="none"/>
        </w:rPr>
        <w:t>。工程量清单中“项目特征”描述不作为</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报价的唯一依据，供应商应根据分部分项工程量清单计价表中“项目特征”的描述结合</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文件中的供应商须知、通用合同条款、专用合同条款、技术标准和要求、施工设计图纸和对现场的勘察情况等一起阅读和理解并确定报价。</w:t>
      </w:r>
    </w:p>
    <w:p w14:paraId="02DCC5FC">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文件及相关补遗文件规定了暂估材料单价或专业工程暂估价或暂列金额的，供应商必须按规定的暂定价格进行报价。</w:t>
      </w:r>
    </w:p>
    <w:p w14:paraId="53BCBB00">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4.供应商须严格按采购人提供的《工程量清单》进行报价，不得出现漏项或增项，否则视为对</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文件不作实质性响应，其响应文件按</w:t>
      </w:r>
      <w:r>
        <w:rPr>
          <w:rFonts w:hint="eastAsia" w:ascii="宋体" w:hAnsi="宋体" w:eastAsia="宋体" w:cs="宋体"/>
          <w:color w:val="auto"/>
          <w:sz w:val="24"/>
          <w:szCs w:val="24"/>
          <w:highlight w:val="none"/>
          <w:lang w:val="en-US" w:eastAsia="zh-CN"/>
        </w:rPr>
        <w:t>无效响应</w:t>
      </w:r>
      <w:r>
        <w:rPr>
          <w:rFonts w:hint="eastAsia" w:ascii="宋体" w:hAnsi="宋体" w:eastAsia="宋体" w:cs="宋体"/>
          <w:color w:val="auto"/>
          <w:sz w:val="24"/>
          <w:szCs w:val="24"/>
          <w:highlight w:val="none"/>
        </w:rPr>
        <w:t>处理。</w:t>
      </w:r>
    </w:p>
    <w:p w14:paraId="2BD61A1A">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空白或报价为零，则视为该子项的价款已包括在工程量清单其他子目的单价和合价中，成交后必须完成该子项工作内容，采购人不对该子项进行结算与支付；施工过程中，因采购人原因需要对报价空白或报价为零的项目减少实施工程量或不予实施，采购人将按</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报价时计价原则计算出该项目的综合单价以及相应的规费、措施费和税金，并据此从结算价中扣除。</w:t>
      </w:r>
    </w:p>
    <w:p w14:paraId="6422B961">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（六）安全文明措施费</w:t>
      </w:r>
    </w:p>
    <w:p w14:paraId="3E1FCDE9">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1.安全文明施工费由安全施工费、文明施工费、环境保护费及临时设施费组成。</w:t>
      </w:r>
    </w:p>
    <w:p w14:paraId="2BF9BDF0">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工程安全文明施工费由采购人根据《重庆市建设工程安全文明施工费计取及使用管理规定（2024版）》（渝建管〔2024〕38号）规定及《重庆市建设工程费用定额》（CQFYDE-2018）的相关规定和费用标准单列计算，安全文明施工费为暂定金额。工程量清单报价中的安全文明施工费必须按照采购人给出的暂定金额填报，须在各单位工程中分别单列计算。</w:t>
      </w:r>
    </w:p>
    <w:p w14:paraId="6C54B56C">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（七）材料采购及报价</w:t>
      </w:r>
    </w:p>
    <w:p w14:paraId="7F3EA091">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1.本工程所需材料、设备由</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自行采购，但所采购的材料必须符合国家规范标准及设计文件、</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文件要求，并提供相应合格证明资料、质保书等。</w:t>
      </w:r>
    </w:p>
    <w:p w14:paraId="7F6E6FD8">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2.本工程所需的材料（设备）</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应在采购前七日内将所采购材料设备的厂家、技术参数、品牌、质量等级等指标以书面形式通知采购人，采购人收到</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的书面报告后七日内予以确认，经采购人认质、封样后</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方可采购进场。</w:t>
      </w:r>
    </w:p>
    <w:p w14:paraId="434EBA5E">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3.本工程所需的材料、设备由各供应商参照重庆市建设工程造价总站主办的《重庆工程造价信息》当期（本</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文件发布当期）公布的信息价并结合市场行情以及供应商的自身实力自主报价，并承担材料价格涨跌风险。成交后，材料、设备价格均不作调整。</w:t>
      </w:r>
    </w:p>
    <w:p w14:paraId="370694CD">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4.材料、设备运输距离由供应商根据自身情况及踏勘现场报告自行确定。</w:t>
      </w:r>
    </w:p>
    <w:p w14:paraId="07FB464E">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5.发承包双方按照《重庆市城乡建设委员会关于进一步加强建筑安装材料价格风险管控的指导意见》（渝建〔2018〕61号）执行建筑安装材料价格风险管控。</w:t>
      </w:r>
    </w:p>
    <w:p w14:paraId="4AF21D27">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（八）人工费</w:t>
      </w:r>
    </w:p>
    <w:p w14:paraId="72023E1F">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本工程人工单价由各供应商参照重庆市建设工程造价总站主办的最新一期《重庆工程造价信息》（本</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文件发布当期）公布的市场人工信息价结合市场行情自主测算计入各分部分项综合单价中，成交后不再调整。</w:t>
      </w:r>
    </w:p>
    <w:p w14:paraId="3B8C4F92">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清单中有部分注明采用“全费用清单”的子目，为全费用综合单价项目应包括完成该子项所需的人工费、材料费、机械费、管理费、利润、风险费用、措施费（含安全文明施工费用）、规费、税金等的所有费用。</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不再对综合单价进行调整，无论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在单价分析表中是否组价完整，</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均认为该单价为全费用综合包干单价。</w:t>
      </w:r>
    </w:p>
    <w:p w14:paraId="7CF75634">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十</w:t>
      </w:r>
      <w:r>
        <w:rPr>
          <w:rFonts w:hint="eastAsia" w:ascii="宋体" w:hAnsi="宋体" w:eastAsia="宋体" w:cs="宋体"/>
          <w:color w:val="auto"/>
          <w:sz w:val="24"/>
          <w:szCs w:val="24"/>
          <w:highlight w:val="none"/>
        </w:rPr>
        <w:t>）本工程竣工档案编制费按照2018年《重庆市建设工程费用定额》中相应费率标准执行。</w:t>
      </w:r>
    </w:p>
    <w:p w14:paraId="4982C952">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）本项目企业管理费和组织措施费按照《重庆市城乡建设委员会关于调整企业管理费和组织措施费内容及费用标准的通知》（渝建发〔2014〕27号）执行。</w:t>
      </w:r>
    </w:p>
    <w:p w14:paraId="65161EF2">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）税金：按《重庆市城乡建设委员会关于适用增值税新税率调整建设工程计价依据的通知》（渝建〔2019〕143 号）计取。</w:t>
      </w:r>
    </w:p>
    <w:p w14:paraId="16485F82">
      <w:pPr>
        <w:pageBreakBefore w:val="0"/>
        <w:wordWrap/>
        <w:topLinePunct w:val="0"/>
        <w:bidi w:val="0"/>
        <w:snapToGrid w:val="0"/>
        <w:spacing w:before="77" w:beforeLines="20" w:line="360" w:lineRule="auto"/>
        <w:ind w:left="0" w:leftChars="0" w:right="0" w:firstLine="482" w:firstLineChars="200"/>
        <w:textAlignment w:val="auto"/>
        <w:rPr>
          <w:rFonts w:hint="eastAsia" w:ascii="宋体" w:hAnsi="宋体" w:eastAsia="宋体" w:cs="宋体"/>
          <w:b/>
          <w:bCs/>
          <w:color w:val="auto"/>
          <w:sz w:val="24"/>
          <w:szCs w:val="24"/>
          <w:highlight w:val="none"/>
        </w:rPr>
      </w:pPr>
      <w:bookmarkStart w:id="42" w:name="_Toc19786039"/>
      <w:bookmarkStart w:id="43" w:name="_Toc30331"/>
      <w:r>
        <w:rPr>
          <w:rFonts w:hint="eastAsia" w:ascii="宋体" w:hAnsi="宋体" w:eastAsia="宋体" w:cs="宋体"/>
          <w:b/>
          <w:bCs/>
          <w:color w:val="auto"/>
          <w:sz w:val="24"/>
          <w:szCs w:val="24"/>
          <w:highlight w:val="none"/>
        </w:rPr>
        <w:t>四、结算原则</w:t>
      </w:r>
      <w:bookmarkEnd w:id="42"/>
      <w:bookmarkEnd w:id="43"/>
    </w:p>
    <w:p w14:paraId="11836DFA">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bookmarkStart w:id="44" w:name="_Toc19786040"/>
      <w:bookmarkStart w:id="45" w:name="_Hlk122447792"/>
      <w:bookmarkStart w:id="46" w:name="_Toc517"/>
      <w:r>
        <w:rPr>
          <w:rFonts w:hint="eastAsia" w:ascii="宋体" w:hAnsi="宋体" w:eastAsia="宋体" w:cs="宋体"/>
          <w:color w:val="auto"/>
          <w:sz w:val="24"/>
          <w:szCs w:val="24"/>
          <w:highlight w:val="none"/>
        </w:rPr>
        <w:t>特别说明：本工程结算时，凡涉及营改增的，均按《关于适用增值税新税率调整建设工程计价依据的通知》（渝建〔2019〕143号）执行。</w:t>
      </w:r>
    </w:p>
    <w:p w14:paraId="6C1392C9">
      <w:pPr>
        <w:pageBreakBefore w:val="0"/>
        <w:wordWrap/>
        <w:topLinePunct w:val="0"/>
        <w:bidi w:val="0"/>
        <w:snapToGrid w:val="0"/>
        <w:spacing w:before="77" w:beforeLines="20" w:line="360" w:lineRule="auto"/>
        <w:ind w:left="0" w:leftChars="0" w:righ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固定综合单价</w:t>
      </w:r>
      <w:r>
        <w:rPr>
          <w:rFonts w:hint="eastAsia" w:ascii="宋体" w:hAnsi="宋体" w:eastAsia="宋体" w:cs="宋体"/>
          <w:color w:val="auto"/>
          <w:sz w:val="24"/>
          <w:szCs w:val="24"/>
          <w:highlight w:val="none"/>
          <w:lang w:val="en-US" w:eastAsia="zh-CN"/>
        </w:rPr>
        <w:t>清单结算；</w:t>
      </w:r>
    </w:p>
    <w:p w14:paraId="7AA470C8">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（一）结算总价＝分部分项工程量清单综合单价×子项工程量+措施项目费+其他项目费+安全文明施工费+规费+税金+设计变更及新增部分金额+合同约定的其它费用（合同如果没有约定，则取消此项目）。</w:t>
      </w:r>
    </w:p>
    <w:p w14:paraId="79D553F5">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（二）各部分的结算原则如下：</w:t>
      </w:r>
    </w:p>
    <w:p w14:paraId="08619AD5">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1.分部分项工程量清单结算价：</w:t>
      </w:r>
    </w:p>
    <w:p w14:paraId="7163AEA8">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分部分项工程量清单项目按成交单价实行综合单价包干。工程结算时，以</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最后成交单价为结算单价依据，乘以施工图及设计变更按《建设工程工程量清单计价规范》（GB50500-2013）计算且经采购人及监理工程师（有监理单位的情况下）审核的工程量，作为该子项的结算合价。各分部分项工程量清单子项合价累计相加，得分部分项工程量清单结算价。</w:t>
      </w:r>
    </w:p>
    <w:p w14:paraId="383AB970">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2.措施费</w:t>
      </w:r>
    </w:p>
    <w:p w14:paraId="7A8A870E">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施工组织措施费：无论因设计变更或施工工艺变化等任何因素而引起实际措施费的变化，均按投标时施工组织措施项目费（除安全文明施工费外）的报价作为结算价。</w:t>
      </w:r>
    </w:p>
    <w:p w14:paraId="68770E46">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技术措施费：施工技术措施清单中以项计列的项目，无论因设计变更或施工工艺变化等任何因素而引起实际措施费的变化，均按投标时施工技术措施项目费的报价作为结算价；施工技术措施清单中以项目编码、项目名称、项目特征、工程量及计量单位列项的项目，以</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投标报价的综合单价乘以按《重庆市建设工程工程量计算规则》（CQJLGZ-2013）约定的计量规则计算的实际合格工程量办理结算。</w:t>
      </w:r>
    </w:p>
    <w:p w14:paraId="67D4A3B5">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3.本工程设计变更、采购工程量清单漏项或新增项目价款结算办法：工程设计变更确定后，设计变更涉及工程价款调整的，或采购工程量清单中有漏项或工程施工中出现新增项目，由</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在变更项目启动后7天内向采购人提出，经采购人审核同意后调整合同价款。调整方法如下：</w:t>
      </w:r>
    </w:p>
    <w:p w14:paraId="06B402AE">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变更（包括签证）工程与投标报价的工程量清单中有相同的子项，原则上按投标时的相同子项的综合单价报价执行；如投标报价中相同子项的综合单价明显高于市场价格，其综合单价需由</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报送采购人重新审核，以采购人的审定的综合单价执行。</w:t>
      </w:r>
    </w:p>
    <w:p w14:paraId="7C4C2286">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变更（包括签证）工程与投标报价的工程量清单中有类似子项的，原则上按投标时的类似子项的综合单价报价执行；如投标报价中类似子项的综合单价明显高于市场价格，其综合单价需由</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报送采购人重新审核，以采购人的审定的综合单价执行。</w:t>
      </w:r>
    </w:p>
    <w:p w14:paraId="445F1498">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更（包括签证）工程与工程量清单中无相同子项或类似子项的，按照《建设工程工程量清单计价规范》（GB50500-2013）、《市政工程工程量计算规范》（GB50857-2013）、《通用安装工程工程量计算规范》（GB50856-2013）、《园林绿化工程工程量计算规范》（GB50858-2013）、《重庆市通用安装工程计价定额》（CQAZDE-2018）、《重庆市市政工程计价定额》（CQSZDE-2018）、《重庆市园林绿化工程计价定额》（CQYLLHDE-2018）、《重庆市建设工程费用定额》（CQFYDE-2018）及相关配套文件的规定进行组价（其中材料及人工费成交价中有的按成交价计算；成交价中没有的材料单价按施工期间重庆市建设工程造价总站主办的《重庆工程造价信息》公布的信息价算数平均值执行；成交价及《重庆工程造价信息》中均没有的材料由采购人认质核价后，按核定的材料价格执行），组价后按成交价与最高限价下浮比例下浮后进入结算（其中按市场价计入的材料单价或综合单价不下浮）。</w:t>
      </w:r>
    </w:p>
    <w:p w14:paraId="38A5BED6">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A、材料由</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 xml:space="preserve">进行采购，其中工程的主要材料部分采购前需报监理人和采购人核质核价后再行采购，按结算评审部门审定后价格进行结算；如《重庆工程造价信息》中有的材料，核定价不得高于施工期间《重庆工程造价信息》信息价的算术平均值。 </w:t>
      </w:r>
    </w:p>
    <w:p w14:paraId="3BE0EA15">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B、人工工日单价按投标报价中的人工工日单价执行，投标报价中没有的人工工日单价则按施工期间《重庆工程造价信息》公布的大渡口区人工指导价的算术平均值执行。</w:t>
      </w:r>
    </w:p>
    <w:p w14:paraId="055A9D88">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④变更工程量按《重庆市建设工程工程量计算规则》（CQJLGZ-2013）的规定的计量规则计算。</w:t>
      </w:r>
    </w:p>
    <w:p w14:paraId="1EDAC5FF">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4.其他项目清单结算金额</w:t>
      </w:r>
    </w:p>
    <w:p w14:paraId="600C272D">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①材料采用暂估单价的，在施工过程中，使用前由</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报价，经采购人审核同意后方可采购、施工。结算时只对采购人核定单价与暂估单价的价差部分进行调整（调整的数量根据工程结算数量确定），该价差除税金外不再计取其他任何费用。若</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在采购人核价后5个工作日内，</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拒绝签字确认采购人核定的价格或拒绝按采购人核定的价格采购的，则该种材料改为甲方采购供应，其该种材料费用采购人按暂估单价（含应计取的税金）在结算价款中扣除，且采购人还应按规定收取该种材料费用的采保费的1/3。</w:t>
      </w:r>
    </w:p>
    <w:p w14:paraId="4E79C575">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材料暂估单价仅指此类材料本身运至施工现场的价格，不包括这些材料的安装、安装所必须的辅助材料以及发生在现场内的验收、存储、保管、二次搬运、从存放地点运至安装地点以及其他任何必要的辅助工作所发生的费用，上述费用由供应商自行考虑计入各相应子目的综合单价报价中，成交后不再计取。</w:t>
      </w:r>
    </w:p>
    <w:p w14:paraId="06B52669">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②本工程采用专业工程暂估价或暂列金额采购的，结算时按实结算。其中以暂列金额采购的施工内容实施与否由采购人决定。</w:t>
      </w:r>
    </w:p>
    <w:p w14:paraId="638F4AD3">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5.安全文明施工费：按《重庆市建设工程安全文明施工费计取及使用管理规定》（渝建管〔2024〕38号）规定标准进行结算。安全文明施工综合评定结果为不合格，则不计取。</w:t>
      </w:r>
    </w:p>
    <w:p w14:paraId="3C8C6E0E">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6.规费：按投标费率结算，若</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的投标报价中规费费率高于规定费率，则以规定费率结算。</w:t>
      </w:r>
    </w:p>
    <w:p w14:paraId="5DB3AD44">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7.税金：按投标费率结算，若</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的投标报价中税金费率高于规定费率，则以规定费率结算。</w:t>
      </w:r>
    </w:p>
    <w:p w14:paraId="1E73772C">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8.采购人要求</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完成合同以外施工范围内或施工范围外但与本施工项目有密切关系的零星项目，</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应接受采购人施工要求，并向采购人提出工程量签证。</w:t>
      </w:r>
    </w:p>
    <w:p w14:paraId="63A8A427">
      <w:pPr>
        <w:pageBreakBefore w:val="0"/>
        <w:kinsoku/>
        <w:wordWrap/>
        <w:overflowPunct/>
        <w:topLinePunct w:val="0"/>
        <w:autoSpaceDE/>
        <w:autoSpaceDN/>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全费用清单结算；</w:t>
      </w:r>
    </w:p>
    <w:p w14:paraId="017BF7CF">
      <w:pPr>
        <w:pageBreakBefore w:val="0"/>
        <w:kinsoku/>
        <w:wordWrap/>
        <w:overflowPunct/>
        <w:topLinePunct w:val="0"/>
        <w:autoSpaceDE/>
        <w:autoSpaceDN/>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1、本项目设计变更、招标工程量清单漏项或新增项目价款结算办法：项目设计变更确定后，设计变更涉及项目价款调整的，或招标工程量清单中有漏项或新增项目施工中出现新增项目，由</w:t>
      </w:r>
      <w:r>
        <w:rPr>
          <w:rFonts w:hint="eastAsia" w:ascii="宋体" w:hAnsi="宋体" w:cs="宋体"/>
          <w:color w:val="auto"/>
          <w:sz w:val="24"/>
          <w:szCs w:val="24"/>
          <w:highlight w:val="none"/>
          <w:lang w:val="en-US" w:eastAsia="zh-CN"/>
        </w:rPr>
        <w:t>中选人</w:t>
      </w:r>
      <w:r>
        <w:rPr>
          <w:rFonts w:hint="eastAsia" w:ascii="宋体" w:hAnsi="宋体" w:eastAsia="宋体" w:cs="宋体"/>
          <w:color w:val="auto"/>
          <w:sz w:val="24"/>
          <w:szCs w:val="24"/>
          <w:highlight w:val="none"/>
          <w:lang w:val="en-US" w:eastAsia="zh-CN"/>
        </w:rPr>
        <w:t>在变更项目启动后7天内向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提出，经</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审核同意后调整合同价款。调整方法如下：</w:t>
      </w:r>
    </w:p>
    <w:p w14:paraId="42FB287F">
      <w:pPr>
        <w:pageBreakBefore w:val="0"/>
        <w:kinsoku/>
        <w:wordWrap/>
        <w:overflowPunct/>
        <w:topLinePunct w:val="0"/>
        <w:autoSpaceDE/>
        <w:autoSpaceDN/>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（1）变更（包括签证）工程或新增项目与投标报价的工程量清单中有相同的子项，则按投标时的相同子项的全费用综合单价报价执行；</w:t>
      </w:r>
    </w:p>
    <w:p w14:paraId="5ADB1446">
      <w:pPr>
        <w:pageBreakBefore w:val="0"/>
        <w:kinsoku/>
        <w:wordWrap/>
        <w:overflowPunct/>
        <w:topLinePunct w:val="0"/>
        <w:autoSpaceDE/>
        <w:autoSpaceDN/>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（2）变更（包括签证）工程或新增项目与投标报价的工程量清单中有类似子项的，则按投标时的类似子项全费用综合单价报价执行（类似子项的全费用综合单价由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审定）；</w:t>
      </w:r>
    </w:p>
    <w:p w14:paraId="45C2032B">
      <w:pPr>
        <w:pageBreakBefore w:val="0"/>
        <w:kinsoku/>
        <w:wordWrap/>
        <w:overflowPunct/>
        <w:topLinePunct w:val="0"/>
        <w:autoSpaceDE/>
        <w:autoSpaceDN/>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变更（包括签证）工程或新增项目与工程量清单中无相同子项或类似子项的，按照以《建设工程工程量清单计价规范》（GB50500-2013）、《重庆市建设工程工程量清单计价规则》（CQJJGZ-2013）、《重庆市房屋建筑与装饰工程计价定额》（CQJZDE-2018）、《重庆市市政工程计价定额》（CQSZDE-2018）、《重庆市通用安装工程计价定额》（CQAZDE-2018）、《重庆市房屋修缮工程计价定额》（CQXSDE-2018）、《重庆市建设工程费用定额》（CQFYDE-2018）等相关配套文件的规定进行组价。（其中材料及人工费中标价中有的按中标价计算，中标价中没有的材料单价按施工期间重庆市建设工程造价总站主办的《重庆工程造价信息》公布的信息价算数平均值执行，《重庆工程造价信息》中没有的材料单价由中标人报</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，由</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eastAsia="zh-CN"/>
        </w:rPr>
        <w:t>认质，价格最终以审定价为准），组价后按中标价与最高限价下浮比例下浮后进入结算。</w:t>
      </w:r>
    </w:p>
    <w:p w14:paraId="754D2E32">
      <w:pPr>
        <w:pageBreakBefore w:val="0"/>
        <w:kinsoku/>
        <w:wordWrap/>
        <w:overflowPunct/>
        <w:topLinePunct w:val="0"/>
        <w:autoSpaceDE/>
        <w:autoSpaceDN/>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（4）变更工程量按《重庆市建设工程工程量计算规则》（CQJLGZ-2013）的规定的计量规则计算。</w:t>
      </w:r>
    </w:p>
    <w:p w14:paraId="5BF55347">
      <w:pPr>
        <w:pageBreakBefore w:val="0"/>
        <w:kinsoku/>
        <w:wordWrap/>
        <w:overflowPunct/>
        <w:topLinePunct w:val="0"/>
        <w:autoSpaceDE/>
        <w:autoSpaceDN/>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2、安全文明施工费用：若某个点位安全文明施工综合评定结果为不合格，在结算时扣除与施工内容相关清单对应工程量的安全文明施工费。</w:t>
      </w:r>
    </w:p>
    <w:p w14:paraId="71E7BAA8">
      <w:pPr>
        <w:pageBreakBefore w:val="0"/>
        <w:wordWrap/>
        <w:topLinePunct w:val="0"/>
        <w:bidi w:val="0"/>
        <w:snapToGrid/>
        <w:spacing w:before="77" w:beforeLines="20" w:line="360" w:lineRule="auto"/>
        <w:ind w:left="0" w:leftChars="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（三）本工程所需材料、设备（暂估价、暂列金额除外）由供应商自行承担材料、设备价格涨跌风险，成交后不作调整。</w:t>
      </w:r>
    </w:p>
    <w:p w14:paraId="1B3D9DB4">
      <w:pPr>
        <w:pageBreakBefore w:val="0"/>
        <w:kinsoku/>
        <w:wordWrap/>
        <w:overflowPunct/>
        <w:topLinePunct w:val="0"/>
        <w:autoSpaceDE/>
        <w:autoSpaceDN/>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本工程结算金额最终按审定的金额为准</w:t>
      </w:r>
      <w:r>
        <w:rPr>
          <w:rFonts w:hint="eastAsia" w:ascii="宋体" w:hAnsi="宋体" w:eastAsia="宋体" w:cs="宋体"/>
          <w:color w:val="auto"/>
          <w:sz w:val="24"/>
          <w:szCs w:val="24"/>
          <w:highlight w:val="none"/>
          <w:lang w:eastAsia="zh-CN"/>
        </w:rPr>
        <w:t>。</w:t>
      </w:r>
    </w:p>
    <w:p w14:paraId="77205553">
      <w:pPr>
        <w:pageBreakBefore w:val="0"/>
        <w:kinsoku/>
        <w:wordWrap/>
        <w:overflowPunct/>
        <w:topLinePunct w:val="0"/>
        <w:autoSpaceDE/>
        <w:autoSpaceDN/>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注：在项目结算评审时，业主单位应先进行初审，再报结算评审。</w:t>
      </w:r>
      <w:r>
        <w:rPr>
          <w:rFonts w:hint="eastAsia" w:ascii="宋体" w:hAnsi="宋体" w:eastAsia="宋体" w:cs="宋体"/>
          <w:color w:val="auto"/>
          <w:sz w:val="24"/>
          <w:szCs w:val="24"/>
          <w:highlight w:val="none"/>
          <w:lang w:val="en-US" w:eastAsia="zh-CN"/>
        </w:rPr>
        <w:t>结算评审的</w:t>
      </w:r>
      <w:r>
        <w:rPr>
          <w:rFonts w:hint="eastAsia" w:ascii="宋体" w:hAnsi="宋体" w:eastAsia="宋体" w:cs="宋体"/>
          <w:color w:val="auto"/>
          <w:sz w:val="24"/>
          <w:szCs w:val="24"/>
          <w:highlight w:val="none"/>
        </w:rPr>
        <w:t>基本收费由业主承担，</w:t>
      </w:r>
      <w:r>
        <w:rPr>
          <w:rFonts w:hint="eastAsia" w:ascii="宋体" w:hAnsi="宋体" w:eastAsia="宋体" w:cs="宋体"/>
          <w:color w:val="auto"/>
          <w:sz w:val="24"/>
          <w:szCs w:val="24"/>
          <w:highlight w:val="none"/>
          <w:lang w:val="en-US" w:eastAsia="zh-CN"/>
        </w:rPr>
        <w:t>如果送审结算金额与评审审定金额相比，</w:t>
      </w:r>
      <w:r>
        <w:rPr>
          <w:rFonts w:hint="eastAsia" w:ascii="宋体" w:hAnsi="宋体" w:eastAsia="宋体" w:cs="宋体"/>
          <w:color w:val="auto"/>
          <w:sz w:val="24"/>
          <w:szCs w:val="24"/>
          <w:highlight w:val="none"/>
        </w:rPr>
        <w:t>审减率在5%之内（含5%）的审减效益费由业主单位承担；审减率超过5%的，全部审减效益费由施工单位承担，由业主单位统一支付后，在工程款中扣减。(该审减率为抵扣审增部分的</w:t>
      </w:r>
      <w:r>
        <w:rPr>
          <w:rFonts w:hint="eastAsia" w:ascii="宋体" w:hAnsi="宋体" w:eastAsia="宋体" w:cs="宋体"/>
          <w:color w:val="auto"/>
          <w:sz w:val="24"/>
          <w:szCs w:val="24"/>
          <w:highlight w:val="none"/>
          <w:lang w:val="en-US" w:eastAsia="zh-CN"/>
        </w:rPr>
        <w:t>品迭后</w:t>
      </w:r>
      <w:r>
        <w:rPr>
          <w:rFonts w:hint="eastAsia" w:ascii="宋体" w:hAnsi="宋体" w:eastAsia="宋体" w:cs="宋体"/>
          <w:color w:val="auto"/>
          <w:sz w:val="24"/>
          <w:szCs w:val="24"/>
          <w:highlight w:val="none"/>
        </w:rPr>
        <w:t>审减率)</w:t>
      </w:r>
    </w:p>
    <w:p w14:paraId="25CDDF3E">
      <w:pPr>
        <w:pageBreakBefore w:val="0"/>
        <w:wordWrap/>
        <w:topLinePunct w:val="0"/>
        <w:bidi w:val="0"/>
        <w:snapToGrid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rPr>
      </w:pPr>
      <w:bookmarkStart w:id="47" w:name="_Toc8512"/>
      <w:r>
        <w:rPr>
          <w:rFonts w:hint="eastAsia" w:ascii="宋体" w:hAnsi="宋体" w:eastAsia="宋体" w:cs="宋体"/>
          <w:color w:val="auto"/>
          <w:sz w:val="24"/>
          <w:szCs w:val="24"/>
          <w:highlight w:val="none"/>
        </w:rPr>
        <w:t>施工单位原则上应当于3个月内完善工程结算资料，并积极配合业主单位做好竣工验收工作。若三个月未完成相关资料，业主可自行办理工程结算。</w:t>
      </w:r>
      <w:bookmarkEnd w:id="47"/>
    </w:p>
    <w:bookmarkEnd w:id="44"/>
    <w:bookmarkEnd w:id="45"/>
    <w:bookmarkEnd w:id="46"/>
    <w:p w14:paraId="68459B84">
      <w:pPr>
        <w:pageBreakBefore w:val="0"/>
        <w:numPr>
          <w:ilvl w:val="0"/>
          <w:numId w:val="15"/>
        </w:numPr>
        <w:wordWrap/>
        <w:topLinePunct w:val="0"/>
        <w:bidi w:val="0"/>
        <w:snapToGrid w:val="0"/>
        <w:spacing w:before="77" w:beforeLines="20" w:line="360" w:lineRule="auto"/>
        <w:ind w:left="0" w:leftChars="0" w:right="0" w:firstLine="482" w:firstLineChars="200"/>
        <w:textAlignment w:val="auto"/>
        <w:rPr>
          <w:rFonts w:hint="eastAsia" w:ascii="宋体" w:hAnsi="宋体" w:eastAsia="宋体" w:cs="宋体"/>
          <w:b/>
          <w:bCs/>
          <w:color w:val="auto"/>
          <w:sz w:val="24"/>
          <w:szCs w:val="24"/>
          <w:highlight w:val="none"/>
        </w:rPr>
      </w:pPr>
      <w:bookmarkStart w:id="48" w:name="_Toc5433"/>
      <w:bookmarkStart w:id="49" w:name="_Toc25961"/>
      <w:bookmarkStart w:id="50" w:name="_Toc19786042"/>
      <w:bookmarkStart w:id="51" w:name="_Toc511812888"/>
      <w:r>
        <w:rPr>
          <w:rFonts w:hint="eastAsia" w:ascii="宋体" w:hAnsi="宋体" w:eastAsia="宋体" w:cs="宋体"/>
          <w:b/>
          <w:bCs/>
          <w:color w:val="auto"/>
          <w:sz w:val="24"/>
          <w:szCs w:val="24"/>
          <w:highlight w:val="none"/>
        </w:rPr>
        <w:t>付款方式</w:t>
      </w:r>
      <w:bookmarkEnd w:id="48"/>
      <w:bookmarkEnd w:id="49"/>
      <w:bookmarkEnd w:id="50"/>
      <w:bookmarkStart w:id="52" w:name="_Toc19786043"/>
      <w:bookmarkStart w:id="53" w:name="_Toc31232"/>
    </w:p>
    <w:p w14:paraId="483E8591">
      <w:pPr>
        <w:pageBreakBefore w:val="0"/>
        <w:wordWrap/>
        <w:topLinePunct w:val="0"/>
        <w:bidi w:val="0"/>
        <w:adjustRightInd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zh-CN" w:eastAsia="zh-CN"/>
        </w:rPr>
      </w:pPr>
      <w:bookmarkStart w:id="54" w:name="_Hlk121064674"/>
      <w:r>
        <w:rPr>
          <w:rFonts w:hint="eastAsia" w:ascii="宋体" w:hAnsi="宋体" w:eastAsia="宋体" w:cs="宋体"/>
          <w:color w:val="auto"/>
          <w:sz w:val="24"/>
          <w:szCs w:val="24"/>
          <w:highlight w:val="none"/>
          <w:lang w:val="zh-CN" w:eastAsia="zh-CN"/>
        </w:rPr>
        <w:t>a、预付款支付比例：合同总价的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0%。</w:t>
      </w:r>
    </w:p>
    <w:p w14:paraId="28238B25">
      <w:pPr>
        <w:pageBreakBefore w:val="0"/>
        <w:kinsoku/>
        <w:wordWrap/>
        <w:overflowPunct/>
        <w:topLinePunct w:val="0"/>
        <w:autoSpaceDE/>
        <w:autoSpaceDN/>
        <w:bidi w:val="0"/>
        <w:adjustRightInd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b、提供预付款保函：</w:t>
      </w:r>
      <w:r>
        <w:rPr>
          <w:rFonts w:hint="eastAsia" w:ascii="宋体" w:hAnsi="宋体" w:eastAsia="宋体" w:cs="宋体"/>
          <w:color w:val="auto"/>
          <w:sz w:val="24"/>
          <w:highlight w:val="none"/>
          <w:lang w:val="en-US" w:eastAsia="zh-CN"/>
        </w:rPr>
        <w:t>合同签订后，中标人进场，提出第1次支付申请，采购人向中标人支付签约合同总金额的50%作为预付款。采购人向中标人支付预付款前，中标人须提供与预付款同等额度的见索即付的担保函（金融机构、担保机构出具的保函、电子保函必须由合法经营的大型金融机构、担保机构出具，保函的受益人为采购人，保函原件交采购人保存），如中标人收到预付款后不履行相关义务，采购人将通过担保函收回已支付的预付款，若中标人未按约定向采购人提供担保函的，采购人有权拒绝支付预付款并不承担任何责任</w:t>
      </w:r>
      <w:r>
        <w:rPr>
          <w:rFonts w:hint="eastAsia" w:ascii="宋体" w:hAnsi="宋体" w:eastAsia="宋体" w:cs="宋体"/>
          <w:color w:val="auto"/>
          <w:sz w:val="24"/>
          <w:highlight w:val="none"/>
          <w:lang w:val="zh-CN" w:eastAsia="zh-CN"/>
        </w:rPr>
        <w:t>。</w:t>
      </w:r>
    </w:p>
    <w:p w14:paraId="6FD590C5">
      <w:pPr>
        <w:pageBreakBefore w:val="0"/>
        <w:kinsoku/>
        <w:wordWrap/>
        <w:overflowPunct/>
        <w:topLinePunct w:val="0"/>
        <w:autoSpaceDE/>
        <w:autoSpaceDN/>
        <w:bidi w:val="0"/>
        <w:adjustRightInd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c、预付款扣回的方式：中标人</w:t>
      </w:r>
      <w:r>
        <w:rPr>
          <w:rFonts w:hint="eastAsia" w:ascii="宋体" w:hAnsi="宋体" w:eastAsia="宋体" w:cs="宋体"/>
          <w:color w:val="auto"/>
          <w:sz w:val="24"/>
          <w:highlight w:val="none"/>
          <w:lang w:val="en-US" w:eastAsia="zh-CN"/>
        </w:rPr>
        <w:t>提交</w:t>
      </w:r>
      <w:r>
        <w:rPr>
          <w:rFonts w:hint="eastAsia" w:ascii="宋体" w:hAnsi="宋体" w:eastAsia="宋体" w:cs="宋体"/>
          <w:color w:val="auto"/>
          <w:sz w:val="24"/>
          <w:highlight w:val="none"/>
          <w:lang w:val="zh-CN" w:eastAsia="zh-CN"/>
        </w:rPr>
        <w:t>支付第一笔服务费时开始</w:t>
      </w:r>
      <w:r>
        <w:rPr>
          <w:rFonts w:hint="eastAsia" w:ascii="宋体" w:hAnsi="宋体" w:eastAsia="宋体" w:cs="宋体"/>
          <w:color w:val="auto"/>
          <w:sz w:val="24"/>
          <w:highlight w:val="none"/>
          <w:lang w:val="en-US" w:eastAsia="zh-CN"/>
        </w:rPr>
        <w:t>扣除</w:t>
      </w:r>
      <w:r>
        <w:rPr>
          <w:rFonts w:hint="eastAsia" w:ascii="宋体" w:hAnsi="宋体" w:eastAsia="宋体" w:cs="宋体"/>
          <w:color w:val="auto"/>
          <w:sz w:val="24"/>
          <w:highlight w:val="none"/>
          <w:lang w:val="zh-CN" w:eastAsia="zh-CN"/>
        </w:rPr>
        <w:t>，直至预付款全额扣回</w:t>
      </w:r>
      <w:r>
        <w:rPr>
          <w:rFonts w:hint="eastAsia" w:ascii="宋体" w:hAnsi="宋体" w:eastAsia="宋体" w:cs="宋体"/>
          <w:color w:val="auto"/>
          <w:sz w:val="24"/>
          <w:highlight w:val="none"/>
          <w:lang w:val="en-US" w:eastAsia="zh-CN"/>
        </w:rPr>
        <w:t>再继续支付后期费用</w:t>
      </w:r>
      <w:r>
        <w:rPr>
          <w:rFonts w:hint="eastAsia" w:ascii="宋体" w:hAnsi="宋体" w:eastAsia="宋体" w:cs="宋体"/>
          <w:color w:val="auto"/>
          <w:sz w:val="24"/>
          <w:highlight w:val="none"/>
          <w:lang w:val="zh-CN" w:eastAsia="zh-CN"/>
        </w:rPr>
        <w:t>。</w:t>
      </w:r>
    </w:p>
    <w:p w14:paraId="6F76DAF6">
      <w:pPr>
        <w:pStyle w:val="22"/>
        <w:pageBreakBefore w:val="0"/>
        <w:wordWrap/>
        <w:topLinePunct w:val="0"/>
        <w:bidi w:val="0"/>
        <w:spacing w:before="77" w:beforeLines="20" w:line="360" w:lineRule="auto"/>
        <w:ind w:left="0" w:leftChars="0" w:right="0" w:firstLine="480" w:firstLineChars="200"/>
        <w:textAlignment w:val="auto"/>
        <w:rPr>
          <w:rFonts w:hint="default"/>
          <w:color w:val="auto"/>
          <w:lang w:val="en-US" w:eastAsia="zh-CN"/>
        </w:rPr>
      </w:pPr>
      <w:r>
        <w:rPr>
          <w:rFonts w:hint="eastAsia" w:ascii="宋体" w:hAnsi="宋体" w:eastAsia="宋体" w:cs="宋体"/>
          <w:color w:val="auto"/>
          <w:sz w:val="24"/>
          <w:highlight w:val="none"/>
          <w:lang w:val="en-US" w:eastAsia="zh-CN"/>
        </w:rPr>
        <w:t>d</w:t>
      </w: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进度款</w:t>
      </w:r>
      <w:r>
        <w:rPr>
          <w:rFonts w:hint="eastAsia" w:ascii="宋体" w:hAnsi="宋体" w:eastAsia="宋体" w:cs="宋体"/>
          <w:color w:val="auto"/>
          <w:sz w:val="24"/>
          <w:szCs w:val="24"/>
          <w:highlight w:val="none"/>
        </w:rPr>
        <w:t>：</w:t>
      </w:r>
    </w:p>
    <w:p w14:paraId="6E12E3F6">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工程竣工验收合格</w:t>
      </w:r>
      <w:r>
        <w:rPr>
          <w:rFonts w:hint="eastAsia" w:ascii="宋体" w:hAnsi="宋体" w:eastAsia="宋体" w:cs="宋体"/>
          <w:color w:val="auto"/>
          <w:sz w:val="24"/>
          <w:szCs w:val="24"/>
          <w:highlight w:val="none"/>
          <w:lang w:val="en-US" w:eastAsia="zh-CN"/>
        </w:rPr>
        <w:t>及提供</w:t>
      </w:r>
      <w:r>
        <w:rPr>
          <w:rFonts w:hint="eastAsia" w:ascii="宋体" w:hAnsi="宋体" w:cs="宋体"/>
          <w:color w:val="auto"/>
          <w:sz w:val="24"/>
          <w:szCs w:val="24"/>
          <w:highlight w:val="none"/>
          <w:lang w:val="en-US" w:eastAsia="zh-CN"/>
        </w:rPr>
        <w:t>农民</w:t>
      </w:r>
      <w:r>
        <w:rPr>
          <w:rFonts w:hint="eastAsia" w:ascii="宋体" w:hAnsi="宋体" w:eastAsia="宋体" w:cs="宋体"/>
          <w:color w:val="auto"/>
          <w:sz w:val="24"/>
          <w:szCs w:val="24"/>
          <w:highlight w:val="none"/>
          <w:lang w:val="en-US" w:eastAsia="zh-CN"/>
        </w:rPr>
        <w:t>工资料通过审查合格后</w:t>
      </w:r>
      <w:r>
        <w:rPr>
          <w:rFonts w:hint="eastAsia" w:ascii="宋体" w:hAnsi="宋体" w:eastAsia="宋体" w:cs="宋体"/>
          <w:color w:val="auto"/>
          <w:sz w:val="24"/>
          <w:szCs w:val="24"/>
          <w:highlight w:val="none"/>
        </w:rPr>
        <w:t>付款至合同金额的</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工程价款结算</w:t>
      </w:r>
      <w:r>
        <w:rPr>
          <w:rFonts w:hint="eastAsia" w:ascii="宋体" w:hAnsi="宋体" w:eastAsia="宋体" w:cs="宋体"/>
          <w:color w:val="auto"/>
          <w:sz w:val="24"/>
          <w:szCs w:val="24"/>
          <w:highlight w:val="none"/>
          <w:lang w:eastAsia="zh-CN"/>
        </w:rPr>
        <w:t>第三方</w:t>
      </w:r>
      <w:r>
        <w:rPr>
          <w:rFonts w:hint="eastAsia" w:ascii="宋体" w:hAnsi="宋体" w:eastAsia="宋体" w:cs="宋体"/>
          <w:color w:val="auto"/>
          <w:sz w:val="24"/>
          <w:szCs w:val="24"/>
          <w:highlight w:val="none"/>
        </w:rPr>
        <w:t>审核完成后，支付至审定结算价款的97%。余款3%作为质量保证金，</w:t>
      </w:r>
      <w:r>
        <w:rPr>
          <w:rFonts w:hint="eastAsia" w:ascii="宋体" w:hAnsi="宋体"/>
          <w:color w:val="auto"/>
          <w:sz w:val="24"/>
          <w:szCs w:val="24"/>
          <w:highlight w:val="none"/>
        </w:rPr>
        <w:t>在缺陷责任期满后无质量问题</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采购人将</w:t>
      </w:r>
      <w:r>
        <w:rPr>
          <w:rFonts w:hint="eastAsia" w:ascii="宋体" w:hAnsi="宋体" w:cs="宋体"/>
          <w:color w:val="auto"/>
          <w:sz w:val="24"/>
          <w:szCs w:val="24"/>
          <w:highlight w:val="none"/>
        </w:rPr>
        <w:t>无息退还</w:t>
      </w:r>
      <w:r>
        <w:rPr>
          <w:rFonts w:hint="eastAsia" w:ascii="宋体" w:hAnsi="宋体" w:cs="宋体"/>
          <w:color w:val="auto"/>
          <w:sz w:val="24"/>
          <w:szCs w:val="24"/>
          <w:highlight w:val="none"/>
          <w:lang w:val="en-US" w:eastAsia="zh-CN"/>
        </w:rPr>
        <w:t>质保金</w:t>
      </w:r>
      <w:r>
        <w:rPr>
          <w:rFonts w:hint="eastAsia" w:ascii="宋体" w:hAnsi="宋体" w:cs="宋体"/>
          <w:color w:val="auto"/>
          <w:sz w:val="24"/>
          <w:szCs w:val="24"/>
          <w:highlight w:val="none"/>
        </w:rPr>
        <w:t>（不计利息）</w:t>
      </w:r>
      <w:r>
        <w:rPr>
          <w:rFonts w:hint="eastAsia" w:ascii="宋体" w:hAnsi="宋体" w:eastAsia="宋体" w:cs="宋体"/>
          <w:color w:val="auto"/>
          <w:sz w:val="24"/>
          <w:szCs w:val="24"/>
          <w:highlight w:val="none"/>
        </w:rPr>
        <w:t>。</w:t>
      </w:r>
    </w:p>
    <w:p w14:paraId="64AA5D67">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注：采购人付款前，</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应提供相应金额的正式发票，否则采购人有权不予付款且不承担任何违约责任。</w:t>
      </w:r>
    </w:p>
    <w:bookmarkEnd w:id="51"/>
    <w:bookmarkEnd w:id="52"/>
    <w:bookmarkEnd w:id="53"/>
    <w:p w14:paraId="4A3AEB6B">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bookmarkStart w:id="55" w:name="_Toc19786045"/>
      <w:bookmarkStart w:id="56" w:name="_Toc26594"/>
      <w:bookmarkStart w:id="57" w:name="_Toc4093"/>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其他</w:t>
      </w:r>
      <w:bookmarkEnd w:id="55"/>
      <w:bookmarkEnd w:id="56"/>
      <w:bookmarkEnd w:id="57"/>
    </w:p>
    <w:p w14:paraId="7F254743">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本项目在实施过程中，</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必须执行《保障农民工工资支付条例》（中华人民共和国国务院令第724号）、《重庆市人民政府办公厅关于全面治理拖欠农民工工资问题的实施意见》（渝府办发〔2016〕101号）、《重庆市城乡建设委员会、中国人民银行重庆营业管理部、中国银行业监督管理委员会重庆监管局关于建筑领域实施农民工工资专用账户管理及银行代发制度（试行）的通知》（渝建发〔2017〕13号）</w:t>
      </w:r>
      <w:r>
        <w:rPr>
          <w:rFonts w:hint="eastAsia" w:ascii="宋体" w:hAnsi="宋体" w:eastAsia="宋体" w:cs="宋体"/>
          <w:color w:val="auto"/>
          <w:sz w:val="24"/>
          <w:szCs w:val="24"/>
          <w:highlight w:val="none"/>
          <w:lang w:eastAsia="zh-CN"/>
        </w:rPr>
        <w:t>、《重庆市住房和城乡建设委员会关于优化调整建筑领域农民工工资专用账户管理及工资保证金制度的通知》（渝建发</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7号 ）、《重庆市住房和城乡建设委员会关于调整市政及机电安装工程农民工工资专用账户人工费拨付比例有关事宜的通知》（渝建管〔2021〕211号 ）</w:t>
      </w:r>
      <w:r>
        <w:rPr>
          <w:rFonts w:hint="eastAsia" w:ascii="宋体" w:hAnsi="宋体" w:eastAsia="宋体" w:cs="宋体"/>
          <w:color w:val="auto"/>
          <w:sz w:val="24"/>
          <w:szCs w:val="24"/>
          <w:highlight w:val="none"/>
        </w:rPr>
        <w:t>及《重庆市建设工程造价管理总站关于建筑领域农民工工资专户管理网络系统正式运行有关事宜的通知》</w:t>
      </w:r>
      <w:r>
        <w:rPr>
          <w:rFonts w:hint="eastAsia" w:ascii="宋体" w:hAnsi="宋体" w:cs="宋体"/>
          <w:color w:val="auto"/>
          <w:sz w:val="24"/>
          <w:szCs w:val="24"/>
          <w:highlight w:val="none"/>
          <w:lang w:eastAsia="zh-CN"/>
        </w:rPr>
        <w:t>等国家、地方、各行业主管部门及甲方的农民工要求</w:t>
      </w:r>
      <w:r>
        <w:rPr>
          <w:rFonts w:hint="eastAsia" w:ascii="宋体" w:hAnsi="宋体" w:eastAsia="宋体" w:cs="宋体"/>
          <w:color w:val="auto"/>
          <w:sz w:val="24"/>
          <w:szCs w:val="24"/>
          <w:highlight w:val="none"/>
        </w:rPr>
        <w:t>，实行农民工工资专用账户管理及银行代发制度，</w:t>
      </w:r>
      <w:r>
        <w:rPr>
          <w:rFonts w:hint="eastAsia" w:ascii="宋体" w:hAnsi="宋体" w:eastAsia="宋体" w:cs="宋体"/>
          <w:color w:val="auto"/>
          <w:sz w:val="24"/>
          <w:szCs w:val="24"/>
          <w:highlight w:val="none"/>
          <w:lang w:eastAsia="zh-CN"/>
        </w:rPr>
        <w:t>农民工工资款每月足额支付，不得以工程款未到等任何借口拖延或拒绝支付，工程竣工后</w:t>
      </w:r>
      <w:r>
        <w:rPr>
          <w:rFonts w:hint="eastAsia" w:ascii="宋体" w:hAnsi="宋体" w:eastAsia="宋体" w:cs="宋体"/>
          <w:color w:val="auto"/>
          <w:sz w:val="24"/>
          <w:szCs w:val="24"/>
          <w:highlight w:val="none"/>
          <w:lang w:val="en-US" w:eastAsia="zh-CN"/>
        </w:rPr>
        <w:t>15个工作日内发放完所有农民工工资</w:t>
      </w:r>
      <w:r>
        <w:rPr>
          <w:rFonts w:hint="eastAsia" w:ascii="宋体" w:hAnsi="宋体" w:eastAsia="宋体" w:cs="宋体"/>
          <w:color w:val="auto"/>
          <w:sz w:val="24"/>
          <w:szCs w:val="24"/>
          <w:highlight w:val="none"/>
        </w:rPr>
        <w:t>。</w:t>
      </w:r>
    </w:p>
    <w:p w14:paraId="156A3A23">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供应商成交</w:t>
      </w:r>
      <w:r>
        <w:rPr>
          <w:rFonts w:hint="eastAsia" w:ascii="宋体" w:hAnsi="宋体" w:eastAsia="宋体" w:cs="宋体"/>
          <w:color w:val="auto"/>
          <w:sz w:val="24"/>
          <w:szCs w:val="24"/>
          <w:highlight w:val="none"/>
        </w:rPr>
        <w:t>后，</w:t>
      </w:r>
      <w:r>
        <w:rPr>
          <w:rFonts w:hint="eastAsia" w:ascii="宋体" w:hAnsi="宋体" w:cs="宋体"/>
          <w:color w:val="auto"/>
          <w:sz w:val="24"/>
          <w:szCs w:val="24"/>
          <w:highlight w:val="none"/>
          <w:lang w:eastAsia="zh-CN"/>
        </w:rPr>
        <w:t>在合同签订后，项目开工前应开设本项目的农民工工资专用专户，</w:t>
      </w:r>
      <w:r>
        <w:rPr>
          <w:rFonts w:hint="eastAsia" w:ascii="宋体" w:hAnsi="宋体" w:eastAsia="宋体" w:cs="宋体"/>
          <w:color w:val="auto"/>
          <w:sz w:val="24"/>
          <w:szCs w:val="24"/>
          <w:highlight w:val="none"/>
        </w:rPr>
        <w:t>在项目开工后，为农民工办理</w:t>
      </w:r>
      <w:r>
        <w:rPr>
          <w:rFonts w:hint="eastAsia" w:ascii="宋体" w:hAnsi="宋体" w:cs="宋体"/>
          <w:color w:val="auto"/>
          <w:sz w:val="24"/>
          <w:szCs w:val="24"/>
          <w:highlight w:val="none"/>
          <w:lang w:eastAsia="zh-CN"/>
        </w:rPr>
        <w:t>社保（</w:t>
      </w:r>
      <w:r>
        <w:rPr>
          <w:rFonts w:hint="eastAsia" w:ascii="宋体" w:hAnsi="宋体" w:eastAsia="宋体" w:cs="宋体"/>
          <w:color w:val="auto"/>
          <w:sz w:val="24"/>
          <w:szCs w:val="24"/>
          <w:highlight w:val="none"/>
        </w:rPr>
        <w:t>工资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卡，委托银行通过农民工工资专用账户直接将农民工工资发放至</w:t>
      </w:r>
      <w:r>
        <w:rPr>
          <w:rFonts w:hint="eastAsia" w:ascii="宋体" w:hAnsi="宋体" w:cs="宋体"/>
          <w:color w:val="auto"/>
          <w:sz w:val="24"/>
          <w:szCs w:val="24"/>
          <w:highlight w:val="none"/>
          <w:lang w:eastAsia="zh-CN"/>
        </w:rPr>
        <w:t>社保</w:t>
      </w:r>
      <w:r>
        <w:rPr>
          <w:rFonts w:hint="eastAsia" w:ascii="宋体" w:hAnsi="宋体" w:eastAsia="宋体" w:cs="宋体"/>
          <w:color w:val="auto"/>
          <w:sz w:val="24"/>
          <w:szCs w:val="24"/>
          <w:highlight w:val="none"/>
        </w:rPr>
        <w:t>卡，并按照有关规定在“工资专户管理网络系统”中填报相关信息。</w:t>
      </w:r>
    </w:p>
    <w:p w14:paraId="0D670585">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应做好安全文明施工、做好施工期间的清扫保洁工作。</w:t>
      </w:r>
    </w:p>
    <w:p w14:paraId="2D298B6A">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在施工中应加强附属建筑物及成品保护，如因施工造成损坏的，由</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承担由此造成的一切责任。</w:t>
      </w:r>
    </w:p>
    <w:p w14:paraId="56CE05F9">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）施工期间如不服从采购人管理，采购人可根据实际情况按违约处理，并处相应罚款，从结算工程款中扣除。</w:t>
      </w:r>
    </w:p>
    <w:p w14:paraId="1E8CCA17">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确定后，由采购人和</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按照相关规定和程序办理有关手续，签订合同。</w:t>
      </w:r>
    </w:p>
    <w:p w14:paraId="0BC77E3A">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）其他未尽事宜由供需双方在采购合同中详细约定。</w:t>
      </w:r>
    </w:p>
    <w:p w14:paraId="5A0E80DC">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）本项目不允许转包、挂靠。</w:t>
      </w:r>
    </w:p>
    <w:bookmarkEnd w:id="54"/>
    <w:p w14:paraId="375A55BF">
      <w:pPr>
        <w:pStyle w:val="3"/>
        <w:pageBreakBefore w:val="0"/>
        <w:wordWrap/>
        <w:topLinePunct w:val="0"/>
        <w:bidi w:val="0"/>
        <w:spacing w:before="77" w:beforeLines="20" w:line="360" w:lineRule="auto"/>
        <w:ind w:left="0" w:leftChars="0" w:right="0"/>
        <w:jc w:val="center"/>
        <w:textAlignment w:val="auto"/>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br w:type="page"/>
      </w:r>
      <w:bookmarkStart w:id="58" w:name="_Toc25192"/>
      <w:r>
        <w:rPr>
          <w:rFonts w:hint="eastAsia" w:ascii="宋体" w:hAnsi="宋体" w:eastAsia="宋体" w:cs="宋体"/>
          <w:b w:val="0"/>
          <w:color w:val="auto"/>
          <w:sz w:val="36"/>
          <w:szCs w:val="30"/>
          <w:highlight w:val="none"/>
        </w:rPr>
        <w:t>第四篇  竞选程序及方法、评审标准、无效响应和</w:t>
      </w:r>
      <w:r>
        <w:rPr>
          <w:rFonts w:hint="eastAsia" w:ascii="宋体" w:hAnsi="宋体" w:eastAsia="宋体" w:cs="宋体"/>
          <w:b w:val="0"/>
          <w:color w:val="auto"/>
          <w:sz w:val="36"/>
          <w:szCs w:val="36"/>
          <w:highlight w:val="none"/>
        </w:rPr>
        <w:t>采购终止</w:t>
      </w:r>
      <w:bookmarkEnd w:id="58"/>
    </w:p>
    <w:p w14:paraId="6D44F7A4">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59" w:name="_Toc29053"/>
      <w:r>
        <w:rPr>
          <w:rFonts w:hint="eastAsia" w:ascii="宋体" w:hAnsi="宋体" w:eastAsia="宋体" w:cs="宋体"/>
          <w:color w:val="auto"/>
          <w:sz w:val="24"/>
          <w:szCs w:val="24"/>
          <w:highlight w:val="none"/>
        </w:rPr>
        <w:t>一、竞选程序及方法</w:t>
      </w:r>
      <w:bookmarkEnd w:id="59"/>
    </w:p>
    <w:p w14:paraId="19F54CFE">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（一）竞选按竞争性比选文件规定的时间和地点进行，供应商须有法定代表人（或其授权代表）或自然人参加并签到。</w:t>
      </w:r>
    </w:p>
    <w:p w14:paraId="58F3ED81">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（二）比选小组对各供应商的资格条件、比选响应文件的有效性、完整性和响应程度进行审查。各供应商只有在完全符合要求的前提下，才能参与正式比选。</w:t>
      </w:r>
    </w:p>
    <w:p w14:paraId="72A2B1FD">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资格性审查。依据法律法规和竞争性比选文件的规定，对比选响应文件中的资格证明等进行审查，以确定供应商是否具备比选资格。资格性审查资料表如下：</w:t>
      </w:r>
    </w:p>
    <w:tbl>
      <w:tblPr>
        <w:tblStyle w:val="59"/>
        <w:tblW w:w="96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709"/>
        <w:gridCol w:w="3689"/>
        <w:gridCol w:w="4413"/>
      </w:tblGrid>
      <w:tr w14:paraId="65FB6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4B6290E7">
            <w:pPr>
              <w:pageBreakBefore w:val="0"/>
              <w:wordWrap/>
              <w:topLinePunct w:val="0"/>
              <w:bidi w:val="0"/>
              <w:spacing w:before="77" w:beforeLines="20" w:line="360" w:lineRule="auto"/>
              <w:ind w:left="0" w:leftChars="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4398" w:type="dxa"/>
            <w:gridSpan w:val="2"/>
            <w:vAlign w:val="center"/>
          </w:tcPr>
          <w:p w14:paraId="762A0585">
            <w:pPr>
              <w:pageBreakBefore w:val="0"/>
              <w:wordWrap/>
              <w:topLinePunct w:val="0"/>
              <w:bidi w:val="0"/>
              <w:spacing w:before="77" w:beforeLines="20" w:line="360" w:lineRule="auto"/>
              <w:ind w:left="0" w:leftChars="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检查因素</w:t>
            </w:r>
          </w:p>
        </w:tc>
        <w:tc>
          <w:tcPr>
            <w:tcW w:w="4413" w:type="dxa"/>
            <w:vAlign w:val="center"/>
          </w:tcPr>
          <w:p w14:paraId="60114442">
            <w:pPr>
              <w:pageBreakBefore w:val="0"/>
              <w:wordWrap/>
              <w:topLinePunct w:val="0"/>
              <w:bidi w:val="0"/>
              <w:spacing w:before="77" w:beforeLines="20" w:line="360" w:lineRule="auto"/>
              <w:ind w:left="0" w:leftChars="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检查内容</w:t>
            </w:r>
          </w:p>
        </w:tc>
      </w:tr>
      <w:tr w14:paraId="6720B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restart"/>
            <w:vAlign w:val="center"/>
          </w:tcPr>
          <w:p w14:paraId="503F61AB">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709" w:type="dxa"/>
            <w:vMerge w:val="restart"/>
            <w:vAlign w:val="center"/>
          </w:tcPr>
          <w:p w14:paraId="0A86823A">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《中华人民共和国政府采购法》第二十二条规定</w:t>
            </w:r>
          </w:p>
        </w:tc>
        <w:tc>
          <w:tcPr>
            <w:tcW w:w="3689" w:type="dxa"/>
            <w:vAlign w:val="center"/>
          </w:tcPr>
          <w:p w14:paraId="5CDAF2DB">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1.具有独立承担民事责任的能力</w:t>
            </w:r>
          </w:p>
        </w:tc>
        <w:tc>
          <w:tcPr>
            <w:tcW w:w="4413" w:type="dxa"/>
            <w:vAlign w:val="center"/>
          </w:tcPr>
          <w:p w14:paraId="1E6A7273">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27AEC110">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2.供应商法定代表人身份证明和法定代表人授权代表委托书。</w:t>
            </w:r>
          </w:p>
        </w:tc>
      </w:tr>
      <w:tr w14:paraId="4271E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18AF70CB">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709" w:type="dxa"/>
            <w:vMerge w:val="continue"/>
            <w:vAlign w:val="center"/>
          </w:tcPr>
          <w:p w14:paraId="3D03CE6E">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lang w:val="zh-CN"/>
              </w:rPr>
            </w:pPr>
          </w:p>
        </w:tc>
        <w:tc>
          <w:tcPr>
            <w:tcW w:w="3689" w:type="dxa"/>
            <w:vAlign w:val="center"/>
          </w:tcPr>
          <w:p w14:paraId="065878E6">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具有良好的商业信誉和健全的财务会计制度</w:t>
            </w:r>
          </w:p>
        </w:tc>
        <w:tc>
          <w:tcPr>
            <w:tcW w:w="4413" w:type="dxa"/>
            <w:vMerge w:val="restart"/>
            <w:vAlign w:val="center"/>
          </w:tcPr>
          <w:p w14:paraId="3555ED25">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bookmarkStart w:id="60" w:name="OLE_LINK2"/>
            <w:r>
              <w:rPr>
                <w:rFonts w:hint="eastAsia" w:ascii="宋体" w:hAnsi="宋体" w:eastAsia="宋体" w:cs="宋体"/>
                <w:color w:val="auto"/>
                <w:sz w:val="21"/>
                <w:szCs w:val="21"/>
                <w:highlight w:val="none"/>
              </w:rPr>
              <w:t>供应商提供“基本资格条件承诺函”（格式详见第七篇）</w:t>
            </w:r>
            <w:bookmarkEnd w:id="60"/>
          </w:p>
        </w:tc>
      </w:tr>
      <w:tr w14:paraId="52458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348A3F56">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709" w:type="dxa"/>
            <w:vMerge w:val="continue"/>
            <w:vAlign w:val="center"/>
          </w:tcPr>
          <w:p w14:paraId="444855AC">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lang w:val="zh-CN"/>
              </w:rPr>
            </w:pPr>
          </w:p>
        </w:tc>
        <w:tc>
          <w:tcPr>
            <w:tcW w:w="3689" w:type="dxa"/>
            <w:vAlign w:val="center"/>
          </w:tcPr>
          <w:p w14:paraId="64A3EF14">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3.具有履行合同所必需的设备和专业技术能力</w:t>
            </w:r>
          </w:p>
        </w:tc>
        <w:tc>
          <w:tcPr>
            <w:tcW w:w="4413" w:type="dxa"/>
            <w:vMerge w:val="continue"/>
            <w:vAlign w:val="center"/>
          </w:tcPr>
          <w:p w14:paraId="1C64D6D4">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p>
        </w:tc>
      </w:tr>
      <w:tr w14:paraId="17A90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142DAC93">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709" w:type="dxa"/>
            <w:vMerge w:val="continue"/>
            <w:vAlign w:val="center"/>
          </w:tcPr>
          <w:p w14:paraId="336D2F08">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lang w:val="zh-CN"/>
              </w:rPr>
            </w:pPr>
          </w:p>
        </w:tc>
        <w:tc>
          <w:tcPr>
            <w:tcW w:w="3689" w:type="dxa"/>
            <w:vAlign w:val="center"/>
          </w:tcPr>
          <w:p w14:paraId="280CB44B">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4.有依法缴纳税收和社会保障金的良好记录</w:t>
            </w:r>
          </w:p>
        </w:tc>
        <w:tc>
          <w:tcPr>
            <w:tcW w:w="4413" w:type="dxa"/>
            <w:vMerge w:val="continue"/>
            <w:vAlign w:val="center"/>
          </w:tcPr>
          <w:p w14:paraId="45C74567">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p>
        </w:tc>
      </w:tr>
      <w:tr w14:paraId="5C84B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Merge w:val="continue"/>
            <w:vAlign w:val="center"/>
          </w:tcPr>
          <w:p w14:paraId="731E5132">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709" w:type="dxa"/>
            <w:vMerge w:val="continue"/>
            <w:vAlign w:val="center"/>
          </w:tcPr>
          <w:p w14:paraId="5541F9CB">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lang w:val="zh-CN"/>
              </w:rPr>
            </w:pPr>
          </w:p>
        </w:tc>
        <w:tc>
          <w:tcPr>
            <w:tcW w:w="3689" w:type="dxa"/>
            <w:vAlign w:val="center"/>
          </w:tcPr>
          <w:p w14:paraId="54AF1B49">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5.参加政府采购活动前三年内，在经营活动中没有重大违法记录</w:t>
            </w:r>
          </w:p>
        </w:tc>
        <w:tc>
          <w:tcPr>
            <w:tcW w:w="4413" w:type="dxa"/>
            <w:vMerge w:val="continue"/>
            <w:vAlign w:val="center"/>
          </w:tcPr>
          <w:p w14:paraId="6A99D572">
            <w:pPr>
              <w:pageBreakBefore w:val="0"/>
              <w:wordWrap/>
              <w:topLinePunct w:val="0"/>
              <w:bidi w:val="0"/>
              <w:spacing w:before="77" w:beforeLines="20" w:line="360" w:lineRule="auto"/>
              <w:ind w:left="0" w:leftChars="0" w:right="0"/>
              <w:textAlignment w:val="auto"/>
              <w:rPr>
                <w:rFonts w:hint="eastAsia" w:ascii="宋体" w:hAnsi="宋体" w:eastAsia="宋体" w:cs="宋体"/>
                <w:b/>
                <w:color w:val="auto"/>
                <w:sz w:val="21"/>
                <w:szCs w:val="21"/>
                <w:highlight w:val="none"/>
              </w:rPr>
            </w:pPr>
          </w:p>
        </w:tc>
      </w:tr>
      <w:tr w14:paraId="41343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65982AB5">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709" w:type="dxa"/>
            <w:vMerge w:val="continue"/>
            <w:vAlign w:val="center"/>
          </w:tcPr>
          <w:p w14:paraId="52F52365">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p>
        </w:tc>
        <w:tc>
          <w:tcPr>
            <w:tcW w:w="3689" w:type="dxa"/>
            <w:vAlign w:val="center"/>
          </w:tcPr>
          <w:p w14:paraId="59DCD097">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6.法律、行政法规规定的其他条件</w:t>
            </w:r>
          </w:p>
        </w:tc>
        <w:tc>
          <w:tcPr>
            <w:tcW w:w="4413" w:type="dxa"/>
            <w:vAlign w:val="center"/>
          </w:tcPr>
          <w:p w14:paraId="09563EEC">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p>
        </w:tc>
      </w:tr>
      <w:tr w14:paraId="75F4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817" w:type="dxa"/>
            <w:vMerge w:val="continue"/>
            <w:vAlign w:val="center"/>
          </w:tcPr>
          <w:p w14:paraId="2C61692F">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709" w:type="dxa"/>
            <w:vMerge w:val="continue"/>
            <w:vAlign w:val="center"/>
          </w:tcPr>
          <w:p w14:paraId="16C4FE09">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p>
        </w:tc>
        <w:tc>
          <w:tcPr>
            <w:tcW w:w="3689" w:type="dxa"/>
            <w:vAlign w:val="center"/>
          </w:tcPr>
          <w:p w14:paraId="25713A77">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7.本项目的特定资格要求</w:t>
            </w:r>
          </w:p>
        </w:tc>
        <w:tc>
          <w:tcPr>
            <w:tcW w:w="4413" w:type="dxa"/>
            <w:vAlign w:val="center"/>
          </w:tcPr>
          <w:p w14:paraId="4DEC659A">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按“第一篇三、供应商资格要求（</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）本项目的特定资格要求”的要求提交。</w:t>
            </w:r>
          </w:p>
        </w:tc>
      </w:tr>
      <w:tr w14:paraId="7DBBD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817" w:type="dxa"/>
            <w:vAlign w:val="center"/>
          </w:tcPr>
          <w:p w14:paraId="5152873D">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4398" w:type="dxa"/>
            <w:gridSpan w:val="2"/>
            <w:vAlign w:val="center"/>
          </w:tcPr>
          <w:p w14:paraId="7B29E879">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落实政府采购政策需满足的资格要求</w:t>
            </w:r>
          </w:p>
        </w:tc>
        <w:tc>
          <w:tcPr>
            <w:tcW w:w="4413" w:type="dxa"/>
            <w:vAlign w:val="center"/>
          </w:tcPr>
          <w:p w14:paraId="51B975CF">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按第一篇“三、供应商资格要求（二）。落实政府采购政策需满足的资格要求”的要求提交。</w:t>
            </w:r>
          </w:p>
        </w:tc>
      </w:tr>
    </w:tbl>
    <w:p w14:paraId="152145C8">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20BBC1C4">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截止日期前通过 “信用中国”网站(www.creditchina.gov.cn)、"中国政府采购网"(www.ccgp.gov.cn)等渠道查询信用记录。</w:t>
      </w:r>
    </w:p>
    <w:p w14:paraId="520A0E88">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2、符合性审查。依据竞争性比选文件的规定，从比选响应文件的有效性、完整性和对竞争性比选文件的响应程度进行审查，以确定是否对竞争性比选文件的实质性要求作出响应。符合性审查资料表如下：</w:t>
      </w:r>
    </w:p>
    <w:tbl>
      <w:tblPr>
        <w:tblStyle w:val="59"/>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52"/>
        <w:gridCol w:w="1974"/>
        <w:gridCol w:w="5382"/>
      </w:tblGrid>
      <w:tr w14:paraId="1D27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Align w:val="center"/>
          </w:tcPr>
          <w:p w14:paraId="721B866D">
            <w:pPr>
              <w:pageBreakBefore w:val="0"/>
              <w:wordWrap/>
              <w:topLinePunct w:val="0"/>
              <w:bidi w:val="0"/>
              <w:snapToGrid w:val="0"/>
              <w:spacing w:before="77" w:beforeLines="20" w:line="360" w:lineRule="auto"/>
              <w:ind w:left="0" w:leftChars="0" w:right="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3526" w:type="dxa"/>
            <w:gridSpan w:val="2"/>
            <w:vAlign w:val="center"/>
          </w:tcPr>
          <w:p w14:paraId="4B900CD8">
            <w:pPr>
              <w:pageBreakBefore w:val="0"/>
              <w:wordWrap/>
              <w:topLinePunct w:val="0"/>
              <w:bidi w:val="0"/>
              <w:snapToGrid w:val="0"/>
              <w:spacing w:before="77" w:beforeLines="20" w:line="360" w:lineRule="auto"/>
              <w:ind w:left="0" w:leftChars="0" w:right="0"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382" w:type="dxa"/>
            <w:vAlign w:val="center"/>
          </w:tcPr>
          <w:p w14:paraId="7F7689E4">
            <w:pPr>
              <w:pageBreakBefore w:val="0"/>
              <w:wordWrap/>
              <w:topLinePunct w:val="0"/>
              <w:bidi w:val="0"/>
              <w:snapToGrid w:val="0"/>
              <w:spacing w:before="77" w:beforeLines="20" w:line="360" w:lineRule="auto"/>
              <w:ind w:left="0" w:leftChars="0" w:right="0" w:firstLine="422" w:firstLineChars="200"/>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7B8F0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restart"/>
            <w:vAlign w:val="center"/>
          </w:tcPr>
          <w:p w14:paraId="29FEF869">
            <w:pPr>
              <w:pageBreakBefore w:val="0"/>
              <w:wordWrap/>
              <w:topLinePunct w:val="0"/>
              <w:bidi w:val="0"/>
              <w:snapToGrid w:val="0"/>
              <w:spacing w:before="77" w:beforeLines="20" w:line="360" w:lineRule="auto"/>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52" w:type="dxa"/>
            <w:vMerge w:val="restart"/>
            <w:vAlign w:val="center"/>
          </w:tcPr>
          <w:p w14:paraId="23F1B798">
            <w:pPr>
              <w:pageBreakBefore w:val="0"/>
              <w:wordWrap/>
              <w:topLinePunct w:val="0"/>
              <w:bidi w:val="0"/>
              <w:snapToGrid w:val="0"/>
              <w:spacing w:before="77" w:beforeLines="20" w:line="360" w:lineRule="auto"/>
              <w:ind w:left="0" w:leftChars="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1974" w:type="dxa"/>
            <w:vAlign w:val="center"/>
          </w:tcPr>
          <w:p w14:paraId="38677637">
            <w:pPr>
              <w:pageBreakBefore w:val="0"/>
              <w:wordWrap/>
              <w:topLinePunct w:val="0"/>
              <w:bidi w:val="0"/>
              <w:snapToGrid w:val="0"/>
              <w:spacing w:before="77" w:beforeLines="20" w:line="360" w:lineRule="auto"/>
              <w:ind w:left="0" w:leftChars="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比选响应文件签署或盖章</w:t>
            </w:r>
          </w:p>
        </w:tc>
        <w:tc>
          <w:tcPr>
            <w:tcW w:w="5382" w:type="dxa"/>
            <w:vAlign w:val="center"/>
          </w:tcPr>
          <w:p w14:paraId="66F256AD">
            <w:pPr>
              <w:pageBreakBefore w:val="0"/>
              <w:wordWrap/>
              <w:topLinePunct w:val="0"/>
              <w:bidi w:val="0"/>
              <w:snapToGrid w:val="0"/>
              <w:spacing w:before="77" w:beforeLines="20" w:line="360" w:lineRule="auto"/>
              <w:ind w:left="0" w:leftChars="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按竞争性比选文件“第七篇比选响应文件编制要求”要求签署或盖章。</w:t>
            </w:r>
          </w:p>
        </w:tc>
      </w:tr>
      <w:tr w14:paraId="1D20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Merge w:val="continue"/>
            <w:vAlign w:val="center"/>
          </w:tcPr>
          <w:p w14:paraId="5D6EB4FB">
            <w:pPr>
              <w:pageBreakBefore w:val="0"/>
              <w:wordWrap/>
              <w:topLinePunct w:val="0"/>
              <w:bidi w:val="0"/>
              <w:snapToGrid w:val="0"/>
              <w:spacing w:before="77" w:beforeLines="20" w:line="360" w:lineRule="auto"/>
              <w:ind w:left="0" w:leftChars="0" w:right="0" w:firstLine="420" w:firstLineChars="200"/>
              <w:jc w:val="center"/>
              <w:textAlignment w:val="auto"/>
              <w:rPr>
                <w:rFonts w:hint="eastAsia" w:ascii="宋体" w:hAnsi="宋体" w:eastAsia="宋体" w:cs="宋体"/>
                <w:color w:val="auto"/>
                <w:kern w:val="0"/>
                <w:sz w:val="21"/>
                <w:szCs w:val="21"/>
                <w:highlight w:val="none"/>
              </w:rPr>
            </w:pPr>
          </w:p>
        </w:tc>
        <w:tc>
          <w:tcPr>
            <w:tcW w:w="1552" w:type="dxa"/>
            <w:vMerge w:val="continue"/>
            <w:vAlign w:val="center"/>
          </w:tcPr>
          <w:p w14:paraId="637E79EF">
            <w:pPr>
              <w:pageBreakBefore w:val="0"/>
              <w:wordWrap/>
              <w:topLinePunct w:val="0"/>
              <w:bidi w:val="0"/>
              <w:snapToGrid w:val="0"/>
              <w:spacing w:before="77" w:beforeLines="20" w:line="360" w:lineRule="auto"/>
              <w:ind w:left="0" w:leftChars="0" w:right="0" w:firstLine="420" w:firstLineChars="200"/>
              <w:textAlignment w:val="auto"/>
              <w:rPr>
                <w:rFonts w:hint="eastAsia" w:ascii="宋体" w:hAnsi="宋体" w:eastAsia="宋体" w:cs="宋体"/>
                <w:color w:val="auto"/>
                <w:kern w:val="0"/>
                <w:sz w:val="21"/>
                <w:szCs w:val="21"/>
                <w:highlight w:val="none"/>
              </w:rPr>
            </w:pPr>
          </w:p>
        </w:tc>
        <w:tc>
          <w:tcPr>
            <w:tcW w:w="1974" w:type="dxa"/>
            <w:vAlign w:val="center"/>
          </w:tcPr>
          <w:p w14:paraId="7C760226">
            <w:pPr>
              <w:pageBreakBefore w:val="0"/>
              <w:wordWrap/>
              <w:topLinePunct w:val="0"/>
              <w:bidi w:val="0"/>
              <w:snapToGrid w:val="0"/>
              <w:spacing w:before="77" w:beforeLines="20" w:line="360" w:lineRule="auto"/>
              <w:ind w:left="0" w:leftChars="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w:t>
            </w:r>
          </w:p>
        </w:tc>
        <w:tc>
          <w:tcPr>
            <w:tcW w:w="5382" w:type="dxa"/>
            <w:vAlign w:val="center"/>
          </w:tcPr>
          <w:p w14:paraId="62FE30F2">
            <w:pPr>
              <w:pageBreakBefore w:val="0"/>
              <w:wordWrap/>
              <w:topLinePunct w:val="0"/>
              <w:bidi w:val="0"/>
              <w:snapToGrid w:val="0"/>
              <w:spacing w:before="77" w:beforeLines="20" w:line="360" w:lineRule="auto"/>
              <w:ind w:left="0" w:leftChars="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法定代表人身份证明及授权委托书有效，符合竞争性比选文件规定的格式，签署或盖章齐全。</w:t>
            </w:r>
          </w:p>
        </w:tc>
      </w:tr>
      <w:tr w14:paraId="1293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71" w:type="dxa"/>
            <w:vMerge w:val="continue"/>
            <w:vAlign w:val="center"/>
          </w:tcPr>
          <w:p w14:paraId="0271A3A8">
            <w:pPr>
              <w:pageBreakBefore w:val="0"/>
              <w:wordWrap/>
              <w:topLinePunct w:val="0"/>
              <w:bidi w:val="0"/>
              <w:snapToGrid w:val="0"/>
              <w:spacing w:before="77" w:beforeLines="20" w:line="360" w:lineRule="auto"/>
              <w:ind w:left="0" w:leftChars="0" w:right="0" w:firstLine="420" w:firstLineChars="200"/>
              <w:jc w:val="center"/>
              <w:textAlignment w:val="auto"/>
              <w:rPr>
                <w:rFonts w:hint="eastAsia" w:ascii="宋体" w:hAnsi="宋体" w:eastAsia="宋体" w:cs="宋体"/>
                <w:color w:val="auto"/>
                <w:kern w:val="0"/>
                <w:sz w:val="21"/>
                <w:szCs w:val="21"/>
                <w:highlight w:val="none"/>
              </w:rPr>
            </w:pPr>
          </w:p>
        </w:tc>
        <w:tc>
          <w:tcPr>
            <w:tcW w:w="1552" w:type="dxa"/>
            <w:vMerge w:val="continue"/>
            <w:vAlign w:val="center"/>
          </w:tcPr>
          <w:p w14:paraId="207464FB">
            <w:pPr>
              <w:pageBreakBefore w:val="0"/>
              <w:wordWrap/>
              <w:topLinePunct w:val="0"/>
              <w:bidi w:val="0"/>
              <w:snapToGrid w:val="0"/>
              <w:spacing w:before="77" w:beforeLines="20" w:line="360" w:lineRule="auto"/>
              <w:ind w:left="0" w:leftChars="0" w:right="0" w:firstLine="420" w:firstLineChars="200"/>
              <w:textAlignment w:val="auto"/>
              <w:rPr>
                <w:rFonts w:hint="eastAsia" w:ascii="宋体" w:hAnsi="宋体" w:eastAsia="宋体" w:cs="宋体"/>
                <w:color w:val="auto"/>
                <w:kern w:val="0"/>
                <w:sz w:val="21"/>
                <w:szCs w:val="21"/>
                <w:highlight w:val="none"/>
              </w:rPr>
            </w:pPr>
          </w:p>
        </w:tc>
        <w:tc>
          <w:tcPr>
            <w:tcW w:w="1974" w:type="dxa"/>
            <w:vAlign w:val="center"/>
          </w:tcPr>
          <w:p w14:paraId="3FD00DC8">
            <w:pPr>
              <w:pageBreakBefore w:val="0"/>
              <w:wordWrap/>
              <w:topLinePunct w:val="0"/>
              <w:bidi w:val="0"/>
              <w:snapToGrid w:val="0"/>
              <w:spacing w:before="77" w:beforeLines="20" w:line="360" w:lineRule="auto"/>
              <w:ind w:left="0" w:leftChars="0" w:right="0"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c>
          <w:tcPr>
            <w:tcW w:w="5382" w:type="dxa"/>
            <w:vAlign w:val="center"/>
          </w:tcPr>
          <w:p w14:paraId="45F5B56F">
            <w:pPr>
              <w:pageBreakBefore w:val="0"/>
              <w:wordWrap/>
              <w:topLinePunct w:val="0"/>
              <w:bidi w:val="0"/>
              <w:snapToGrid w:val="0"/>
              <w:spacing w:before="77" w:beforeLines="20" w:line="360" w:lineRule="auto"/>
              <w:ind w:left="0" w:leftChars="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每个包只能有一个</w:t>
            </w:r>
            <w:r>
              <w:rPr>
                <w:rFonts w:hint="eastAsia" w:ascii="宋体" w:hAnsi="宋体" w:eastAsia="宋体" w:cs="宋体"/>
                <w:color w:val="auto"/>
                <w:kern w:val="0"/>
                <w:sz w:val="21"/>
                <w:szCs w:val="21"/>
                <w:highlight w:val="none"/>
              </w:rPr>
              <w:t>响应</w:t>
            </w:r>
            <w:r>
              <w:rPr>
                <w:rFonts w:hint="eastAsia" w:ascii="宋体" w:hAnsi="宋体" w:eastAsia="宋体" w:cs="宋体"/>
                <w:color w:val="auto"/>
                <w:kern w:val="0"/>
                <w:sz w:val="21"/>
                <w:szCs w:val="21"/>
                <w:highlight w:val="none"/>
                <w:lang w:val="zh-CN"/>
              </w:rPr>
              <w:t>方案。</w:t>
            </w:r>
          </w:p>
        </w:tc>
      </w:tr>
      <w:tr w14:paraId="0DE4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71" w:type="dxa"/>
            <w:vMerge w:val="continue"/>
            <w:vAlign w:val="center"/>
          </w:tcPr>
          <w:p w14:paraId="607418F6">
            <w:pPr>
              <w:pageBreakBefore w:val="0"/>
              <w:wordWrap/>
              <w:topLinePunct w:val="0"/>
              <w:bidi w:val="0"/>
              <w:snapToGrid w:val="0"/>
              <w:spacing w:before="77" w:beforeLines="20" w:line="360" w:lineRule="auto"/>
              <w:ind w:left="0" w:leftChars="0" w:right="0" w:firstLine="420" w:firstLineChars="200"/>
              <w:jc w:val="center"/>
              <w:textAlignment w:val="auto"/>
              <w:rPr>
                <w:rFonts w:hint="eastAsia" w:ascii="宋体" w:hAnsi="宋体" w:eastAsia="宋体" w:cs="宋体"/>
                <w:color w:val="auto"/>
                <w:kern w:val="0"/>
                <w:sz w:val="21"/>
                <w:szCs w:val="21"/>
                <w:highlight w:val="none"/>
              </w:rPr>
            </w:pPr>
          </w:p>
        </w:tc>
        <w:tc>
          <w:tcPr>
            <w:tcW w:w="1552" w:type="dxa"/>
            <w:vMerge w:val="continue"/>
            <w:vAlign w:val="center"/>
          </w:tcPr>
          <w:p w14:paraId="2F6DC457">
            <w:pPr>
              <w:pageBreakBefore w:val="0"/>
              <w:wordWrap/>
              <w:topLinePunct w:val="0"/>
              <w:bidi w:val="0"/>
              <w:snapToGrid w:val="0"/>
              <w:spacing w:before="77" w:beforeLines="20" w:line="360" w:lineRule="auto"/>
              <w:ind w:left="0" w:leftChars="0" w:right="0" w:firstLine="420" w:firstLineChars="200"/>
              <w:textAlignment w:val="auto"/>
              <w:rPr>
                <w:rFonts w:hint="eastAsia" w:ascii="宋体" w:hAnsi="宋体" w:eastAsia="宋体" w:cs="宋体"/>
                <w:color w:val="auto"/>
                <w:kern w:val="0"/>
                <w:sz w:val="21"/>
                <w:szCs w:val="21"/>
                <w:highlight w:val="none"/>
              </w:rPr>
            </w:pPr>
          </w:p>
        </w:tc>
        <w:tc>
          <w:tcPr>
            <w:tcW w:w="1974" w:type="dxa"/>
            <w:vAlign w:val="center"/>
          </w:tcPr>
          <w:p w14:paraId="6E6D8B7D">
            <w:pPr>
              <w:pageBreakBefore w:val="0"/>
              <w:wordWrap/>
              <w:topLinePunct w:val="0"/>
              <w:bidi w:val="0"/>
              <w:snapToGrid w:val="0"/>
              <w:spacing w:before="77" w:beforeLines="20" w:line="360" w:lineRule="auto"/>
              <w:ind w:left="0" w:leftChars="0" w:right="0"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报价唯一</w:t>
            </w:r>
          </w:p>
        </w:tc>
        <w:tc>
          <w:tcPr>
            <w:tcW w:w="5382" w:type="dxa"/>
            <w:vAlign w:val="center"/>
          </w:tcPr>
          <w:p w14:paraId="4960CA7E">
            <w:pPr>
              <w:pageBreakBefore w:val="0"/>
              <w:wordWrap/>
              <w:topLinePunct w:val="0"/>
              <w:bidi w:val="0"/>
              <w:snapToGrid w:val="0"/>
              <w:spacing w:before="77" w:beforeLines="20" w:line="360" w:lineRule="auto"/>
              <w:ind w:left="0" w:leftChars="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只能在</w:t>
            </w:r>
            <w:r>
              <w:rPr>
                <w:rFonts w:hint="eastAsia" w:ascii="宋体" w:hAnsi="宋体" w:eastAsia="宋体" w:cs="宋体"/>
                <w:color w:val="auto"/>
                <w:kern w:val="0"/>
                <w:sz w:val="21"/>
                <w:szCs w:val="21"/>
                <w:highlight w:val="none"/>
              </w:rPr>
              <w:t>最高限价范围</w:t>
            </w:r>
            <w:r>
              <w:rPr>
                <w:rFonts w:hint="eastAsia" w:ascii="宋体" w:hAnsi="宋体" w:eastAsia="宋体" w:cs="宋体"/>
                <w:color w:val="auto"/>
                <w:kern w:val="0"/>
                <w:sz w:val="21"/>
                <w:szCs w:val="21"/>
                <w:highlight w:val="none"/>
                <w:lang w:val="zh-CN"/>
              </w:rPr>
              <w:t>内报价，</w:t>
            </w:r>
            <w:r>
              <w:rPr>
                <w:rFonts w:hint="eastAsia" w:ascii="宋体" w:hAnsi="宋体" w:eastAsia="宋体" w:cs="宋体"/>
                <w:color w:val="auto"/>
                <w:kern w:val="0"/>
                <w:sz w:val="21"/>
                <w:szCs w:val="21"/>
                <w:highlight w:val="none"/>
              </w:rPr>
              <w:t>只能有一个有效报价，不得提交选择性报价。</w:t>
            </w:r>
          </w:p>
        </w:tc>
      </w:tr>
      <w:tr w14:paraId="1055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671" w:type="dxa"/>
            <w:vAlign w:val="center"/>
          </w:tcPr>
          <w:p w14:paraId="5B91C547">
            <w:pPr>
              <w:pageBreakBefore w:val="0"/>
              <w:wordWrap/>
              <w:topLinePunct w:val="0"/>
              <w:bidi w:val="0"/>
              <w:snapToGrid w:val="0"/>
              <w:spacing w:before="77" w:beforeLines="20" w:line="360" w:lineRule="auto"/>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52" w:type="dxa"/>
            <w:vAlign w:val="center"/>
          </w:tcPr>
          <w:p w14:paraId="351B2520">
            <w:pPr>
              <w:pageBreakBefore w:val="0"/>
              <w:wordWrap/>
              <w:topLinePunct w:val="0"/>
              <w:bidi w:val="0"/>
              <w:snapToGrid w:val="0"/>
              <w:spacing w:before="77" w:beforeLines="20" w:line="360" w:lineRule="auto"/>
              <w:ind w:left="0" w:leftChars="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1974" w:type="dxa"/>
            <w:vAlign w:val="center"/>
          </w:tcPr>
          <w:p w14:paraId="663984CC">
            <w:pPr>
              <w:pageBreakBefore w:val="0"/>
              <w:wordWrap/>
              <w:topLinePunct w:val="0"/>
              <w:bidi w:val="0"/>
              <w:snapToGrid w:val="0"/>
              <w:spacing w:before="77" w:beforeLines="20" w:line="360" w:lineRule="auto"/>
              <w:ind w:left="0" w:leftChars="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w:t>
            </w:r>
            <w:r>
              <w:rPr>
                <w:rFonts w:hint="eastAsia" w:ascii="宋体" w:hAnsi="宋体" w:eastAsia="宋体" w:cs="宋体"/>
                <w:color w:val="auto"/>
                <w:kern w:val="0"/>
                <w:sz w:val="21"/>
                <w:szCs w:val="21"/>
                <w:highlight w:val="none"/>
                <w:lang w:val="zh-CN"/>
              </w:rPr>
              <w:t>份数</w:t>
            </w:r>
          </w:p>
        </w:tc>
        <w:tc>
          <w:tcPr>
            <w:tcW w:w="5382" w:type="dxa"/>
            <w:vAlign w:val="center"/>
          </w:tcPr>
          <w:p w14:paraId="47099665">
            <w:pPr>
              <w:pageBreakBefore w:val="0"/>
              <w:wordWrap/>
              <w:topLinePunct w:val="0"/>
              <w:bidi w:val="0"/>
              <w:snapToGrid w:val="0"/>
              <w:spacing w:before="77" w:beforeLines="20" w:line="360" w:lineRule="auto"/>
              <w:ind w:left="0" w:leftChars="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w:t>
            </w:r>
            <w:r>
              <w:rPr>
                <w:rFonts w:hint="eastAsia" w:ascii="宋体" w:hAnsi="宋体" w:eastAsia="宋体" w:cs="宋体"/>
                <w:color w:val="auto"/>
                <w:kern w:val="0"/>
                <w:sz w:val="21"/>
                <w:szCs w:val="21"/>
                <w:highlight w:val="none"/>
                <w:lang w:val="zh-CN"/>
              </w:rPr>
              <w:t>符合</w:t>
            </w:r>
            <w:r>
              <w:rPr>
                <w:rFonts w:hint="eastAsia" w:ascii="宋体" w:hAnsi="宋体" w:eastAsia="宋体" w:cs="宋体"/>
                <w:color w:val="auto"/>
                <w:kern w:val="0"/>
                <w:sz w:val="21"/>
                <w:szCs w:val="21"/>
                <w:highlight w:val="none"/>
              </w:rPr>
              <w:t>竞争性比选</w:t>
            </w:r>
            <w:r>
              <w:rPr>
                <w:rFonts w:hint="eastAsia" w:ascii="宋体" w:hAnsi="宋体" w:eastAsia="宋体" w:cs="宋体"/>
                <w:color w:val="auto"/>
                <w:kern w:val="0"/>
                <w:sz w:val="21"/>
                <w:szCs w:val="21"/>
                <w:highlight w:val="none"/>
                <w:lang w:val="zh-CN"/>
              </w:rPr>
              <w:t>文件要求。</w:t>
            </w:r>
          </w:p>
        </w:tc>
      </w:tr>
      <w:tr w14:paraId="6AC8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1" w:type="dxa"/>
            <w:vMerge w:val="restart"/>
            <w:vAlign w:val="center"/>
          </w:tcPr>
          <w:p w14:paraId="46E1E4BF">
            <w:pPr>
              <w:pageBreakBefore w:val="0"/>
              <w:wordWrap/>
              <w:topLinePunct w:val="0"/>
              <w:bidi w:val="0"/>
              <w:snapToGrid w:val="0"/>
              <w:spacing w:before="77" w:beforeLines="20" w:line="360" w:lineRule="auto"/>
              <w:ind w:left="0" w:leftChars="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52" w:type="dxa"/>
            <w:vMerge w:val="restart"/>
            <w:vAlign w:val="center"/>
          </w:tcPr>
          <w:p w14:paraId="4F8FBB5A">
            <w:pPr>
              <w:pageBreakBefore w:val="0"/>
              <w:wordWrap/>
              <w:topLinePunct w:val="0"/>
              <w:bidi w:val="0"/>
              <w:snapToGrid w:val="0"/>
              <w:spacing w:before="77" w:beforeLines="20" w:line="360" w:lineRule="auto"/>
              <w:ind w:left="0" w:leftChars="0" w:right="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rPr>
              <w:t>响应程度审查</w:t>
            </w:r>
          </w:p>
        </w:tc>
        <w:tc>
          <w:tcPr>
            <w:tcW w:w="1974" w:type="dxa"/>
            <w:vAlign w:val="center"/>
          </w:tcPr>
          <w:p w14:paraId="2095E5A5">
            <w:pPr>
              <w:pageBreakBefore w:val="0"/>
              <w:wordWrap/>
              <w:topLinePunct w:val="0"/>
              <w:bidi w:val="0"/>
              <w:snapToGrid w:val="0"/>
              <w:spacing w:before="77" w:beforeLines="20" w:line="360" w:lineRule="auto"/>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382" w:type="dxa"/>
            <w:vAlign w:val="center"/>
          </w:tcPr>
          <w:p w14:paraId="56E16B49">
            <w:pPr>
              <w:pageBreakBefore w:val="0"/>
              <w:wordWrap/>
              <w:topLinePunct w:val="0"/>
              <w:bidi w:val="0"/>
              <w:snapToGrid w:val="0"/>
              <w:spacing w:before="77" w:beforeLines="20" w:line="360" w:lineRule="auto"/>
              <w:ind w:left="0" w:leftChars="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竞争性比选文件第二篇、第三篇。</w:t>
            </w:r>
          </w:p>
        </w:tc>
      </w:tr>
      <w:tr w14:paraId="7B797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671" w:type="dxa"/>
            <w:vMerge w:val="continue"/>
            <w:vAlign w:val="center"/>
          </w:tcPr>
          <w:p w14:paraId="416167F4">
            <w:pPr>
              <w:pageBreakBefore w:val="0"/>
              <w:wordWrap/>
              <w:topLinePunct w:val="0"/>
              <w:bidi w:val="0"/>
              <w:snapToGrid w:val="0"/>
              <w:spacing w:before="77" w:beforeLines="20" w:line="360" w:lineRule="auto"/>
              <w:ind w:left="0" w:leftChars="0" w:right="0" w:firstLine="420" w:firstLineChars="200"/>
              <w:textAlignment w:val="auto"/>
              <w:rPr>
                <w:rFonts w:hint="eastAsia" w:ascii="宋体" w:hAnsi="宋体" w:eastAsia="宋体" w:cs="宋体"/>
                <w:color w:val="auto"/>
                <w:kern w:val="0"/>
                <w:sz w:val="21"/>
                <w:szCs w:val="21"/>
                <w:highlight w:val="none"/>
              </w:rPr>
            </w:pPr>
          </w:p>
        </w:tc>
        <w:tc>
          <w:tcPr>
            <w:tcW w:w="1552" w:type="dxa"/>
            <w:vMerge w:val="continue"/>
            <w:vAlign w:val="center"/>
          </w:tcPr>
          <w:p w14:paraId="1EA09C14">
            <w:pPr>
              <w:pageBreakBefore w:val="0"/>
              <w:wordWrap/>
              <w:topLinePunct w:val="0"/>
              <w:bidi w:val="0"/>
              <w:snapToGrid w:val="0"/>
              <w:spacing w:before="77" w:beforeLines="20" w:line="360" w:lineRule="auto"/>
              <w:ind w:left="0" w:leftChars="0" w:right="0" w:firstLine="420" w:firstLineChars="200"/>
              <w:textAlignment w:val="auto"/>
              <w:rPr>
                <w:rFonts w:hint="eastAsia" w:ascii="宋体" w:hAnsi="宋体" w:eastAsia="宋体" w:cs="宋体"/>
                <w:color w:val="auto"/>
                <w:kern w:val="0"/>
                <w:sz w:val="21"/>
                <w:szCs w:val="21"/>
                <w:highlight w:val="none"/>
                <w:lang w:val="zh-CN"/>
              </w:rPr>
            </w:pPr>
          </w:p>
        </w:tc>
        <w:tc>
          <w:tcPr>
            <w:tcW w:w="1974" w:type="dxa"/>
            <w:vAlign w:val="center"/>
          </w:tcPr>
          <w:p w14:paraId="4D43E2B3">
            <w:pPr>
              <w:pageBreakBefore w:val="0"/>
              <w:wordWrap/>
              <w:topLinePunct w:val="0"/>
              <w:bidi w:val="0"/>
              <w:snapToGrid w:val="0"/>
              <w:spacing w:before="77" w:beforeLines="20" w:line="360" w:lineRule="auto"/>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竞选有效期</w:t>
            </w:r>
          </w:p>
        </w:tc>
        <w:tc>
          <w:tcPr>
            <w:tcW w:w="5382" w:type="dxa"/>
            <w:vAlign w:val="center"/>
          </w:tcPr>
          <w:p w14:paraId="285A1BA7">
            <w:pPr>
              <w:pageBreakBefore w:val="0"/>
              <w:wordWrap/>
              <w:topLinePunct w:val="0"/>
              <w:bidi w:val="0"/>
              <w:snapToGrid w:val="0"/>
              <w:spacing w:before="77" w:beforeLines="20" w:line="360" w:lineRule="auto"/>
              <w:ind w:left="0" w:leftChars="0" w:right="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比选响应文件及有关承诺文件有效期为提交比选响应文件截止时间起90天。</w:t>
            </w:r>
          </w:p>
        </w:tc>
      </w:tr>
    </w:tbl>
    <w:p w14:paraId="710903B8">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比选小组在对比选响应文件的有效性、完整性和响应程度进行审查时，可以要求供应商对比选响应文件中含义不明确、同类问题表述不一致或者有明显文字和计算错误的内容等作出必要的澄清、说明或者更正。供应商的澄清、说明或者更正不得超出比选响应文件的范围或者改变比选响应文件的实质性内容。</w:t>
      </w:r>
    </w:p>
    <w:p w14:paraId="4613A2A6">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比选小组要求供应商澄清、说明或者更正比选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886BE93">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（五）在比选过程中比选的任何一方不得向他人透露与比选有关的服务资料、价格或其他信息。</w:t>
      </w:r>
    </w:p>
    <w:p w14:paraId="7857E0E9">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（六）在比选过程中，比选小组可以根据竞争性比选文件和比选情况实质性变动采购需求中的</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商务要求以及合同草案条款，但不得变动竞争性比选文件中的其他内容。实质性变动的内容，须经采购人代表确认。对竞争性比选文件作出的实质性变动是竞争性比选文件的有效组成部分，比选小组应当及时以书面形式同时通知所有参加比选的供应商。</w:t>
      </w:r>
    </w:p>
    <w:p w14:paraId="5F9AB7A7">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（七）供应商在比选时作出的所有书面承诺须由法定代表人（或其授权代表）或自然人（供应商为自然人）签署。</w:t>
      </w:r>
    </w:p>
    <w:p w14:paraId="277653CB">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比选小组采用综合评分法对供应商的比选响应文件和报价（含有效书面承诺）进行综合评分。综合评分法，是指比选响应文件满足竞争性比选文件全部实质性要求且按照评审因素的量化指标评审得分最高的供应商为成交候选供应商的评审方法。供应商总得分为价格、</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等评定因素分别按照相应权重值计算分项得分后相加，满分为100分。</w:t>
      </w:r>
    </w:p>
    <w:p w14:paraId="17D5D47B">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九）比选小组各成员独立对每个有效响应（通过资格性审查、符合性审查的供应商）的文件进行评价、打分，然后汇总每个供应商每项评分因素的得分，并根据综合评分情况按照评审得分由高到低顺序推荐3名以上成交候选供应商，并编写评审报告。若供应商的评审得分相同的，按照报价由低到高顺序排列。评审得分且报价相同的，按照</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指标优劣顺序排列推荐。</w:t>
      </w:r>
    </w:p>
    <w:p w14:paraId="59768720">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61" w:name="_Toc31889"/>
      <w:r>
        <w:rPr>
          <w:rFonts w:hint="eastAsia" w:ascii="宋体" w:hAnsi="宋体" w:eastAsia="宋体" w:cs="宋体"/>
          <w:color w:val="auto"/>
          <w:sz w:val="24"/>
          <w:szCs w:val="24"/>
          <w:highlight w:val="none"/>
        </w:rPr>
        <w:t>二、</w:t>
      </w:r>
      <w:bookmarkStart w:id="62" w:name="_Toc342913394"/>
      <w:bookmarkStart w:id="63" w:name="_Toc102227320"/>
      <w:r>
        <w:rPr>
          <w:rFonts w:hint="eastAsia" w:ascii="宋体" w:hAnsi="宋体" w:eastAsia="宋体" w:cs="宋体"/>
          <w:color w:val="auto"/>
          <w:sz w:val="24"/>
          <w:szCs w:val="24"/>
          <w:highlight w:val="none"/>
        </w:rPr>
        <w:t>评审标准</w:t>
      </w:r>
      <w:bookmarkEnd w:id="61"/>
    </w:p>
    <w:p w14:paraId="0B81E1B8">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（一）评分标准</w:t>
      </w:r>
    </w:p>
    <w:tbl>
      <w:tblPr>
        <w:tblStyle w:val="5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26"/>
        <w:gridCol w:w="1044"/>
        <w:gridCol w:w="5741"/>
        <w:gridCol w:w="1196"/>
      </w:tblGrid>
      <w:tr w14:paraId="1A4E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1" w:type="dxa"/>
            <w:noWrap w:val="0"/>
            <w:vAlign w:val="center"/>
          </w:tcPr>
          <w:p w14:paraId="0C07B316">
            <w:pPr>
              <w:keepNext w:val="0"/>
              <w:keepLines w:val="0"/>
              <w:pageBreakBefore w:val="0"/>
              <w:kinsoku/>
              <w:wordWrap/>
              <w:overflowPunct/>
              <w:topLinePunct w:val="0"/>
              <w:autoSpaceDE/>
              <w:autoSpaceDN/>
              <w:bidi w:val="0"/>
              <w:spacing w:before="77" w:beforeLines="20" w:line="36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026" w:type="dxa"/>
            <w:noWrap w:val="0"/>
            <w:vAlign w:val="center"/>
          </w:tcPr>
          <w:p w14:paraId="30734202">
            <w:pPr>
              <w:keepNext w:val="0"/>
              <w:keepLines w:val="0"/>
              <w:pageBreakBefore w:val="0"/>
              <w:kinsoku/>
              <w:wordWrap/>
              <w:overflowPunct/>
              <w:topLinePunct w:val="0"/>
              <w:autoSpaceDE/>
              <w:autoSpaceDN/>
              <w:bidi w:val="0"/>
              <w:spacing w:before="77" w:beforeLines="20" w:line="36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评分因素</w:t>
            </w:r>
          </w:p>
          <w:p w14:paraId="4334B763">
            <w:pPr>
              <w:keepNext w:val="0"/>
              <w:keepLines w:val="0"/>
              <w:pageBreakBefore w:val="0"/>
              <w:kinsoku/>
              <w:wordWrap/>
              <w:overflowPunct/>
              <w:topLinePunct w:val="0"/>
              <w:autoSpaceDE/>
              <w:autoSpaceDN/>
              <w:bidi w:val="0"/>
              <w:spacing w:before="77" w:beforeLines="20" w:line="36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及权重</w:t>
            </w:r>
          </w:p>
        </w:tc>
        <w:tc>
          <w:tcPr>
            <w:tcW w:w="1044" w:type="dxa"/>
            <w:noWrap w:val="0"/>
            <w:vAlign w:val="center"/>
          </w:tcPr>
          <w:p w14:paraId="7B3FA2DC">
            <w:pPr>
              <w:keepNext w:val="0"/>
              <w:keepLines w:val="0"/>
              <w:pageBreakBefore w:val="0"/>
              <w:kinsoku/>
              <w:wordWrap/>
              <w:overflowPunct/>
              <w:topLinePunct w:val="0"/>
              <w:autoSpaceDE/>
              <w:autoSpaceDN/>
              <w:bidi w:val="0"/>
              <w:spacing w:before="77" w:beforeLines="20" w:line="36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5741" w:type="dxa"/>
            <w:noWrap w:val="0"/>
            <w:vAlign w:val="center"/>
          </w:tcPr>
          <w:p w14:paraId="19F59BC6">
            <w:pPr>
              <w:keepNext w:val="0"/>
              <w:keepLines w:val="0"/>
              <w:pageBreakBefore w:val="0"/>
              <w:kinsoku/>
              <w:wordWrap/>
              <w:overflowPunct/>
              <w:topLinePunct w:val="0"/>
              <w:autoSpaceDE/>
              <w:autoSpaceDN/>
              <w:bidi w:val="0"/>
              <w:spacing w:before="77" w:beforeLines="20" w:line="36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1196" w:type="dxa"/>
            <w:noWrap w:val="0"/>
            <w:vAlign w:val="center"/>
          </w:tcPr>
          <w:p w14:paraId="328FA662">
            <w:pPr>
              <w:keepNext w:val="0"/>
              <w:keepLines w:val="0"/>
              <w:pageBreakBefore w:val="0"/>
              <w:kinsoku/>
              <w:wordWrap/>
              <w:overflowPunct/>
              <w:topLinePunct w:val="0"/>
              <w:autoSpaceDE/>
              <w:autoSpaceDN/>
              <w:bidi w:val="0"/>
              <w:spacing w:before="77" w:beforeLines="20" w:line="360" w:lineRule="auto"/>
              <w:ind w:left="0" w:leftChars="0" w:right="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w:t>
            </w:r>
          </w:p>
        </w:tc>
      </w:tr>
      <w:tr w14:paraId="6F0E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1" w:type="dxa"/>
            <w:noWrap w:val="0"/>
            <w:vAlign w:val="center"/>
          </w:tcPr>
          <w:p w14:paraId="56C278C2">
            <w:pPr>
              <w:keepNext w:val="0"/>
              <w:keepLines w:val="0"/>
              <w:pageBreakBefore w:val="0"/>
              <w:kinsoku/>
              <w:wordWrap/>
              <w:overflowPunct/>
              <w:topLinePunct w:val="0"/>
              <w:autoSpaceDE/>
              <w:autoSpaceDN/>
              <w:bidi w:val="0"/>
              <w:spacing w:before="77" w:beforeLines="20" w:line="360" w:lineRule="auto"/>
              <w:ind w:left="0" w:leftChars="0" w:right="0" w:firstLine="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26" w:type="dxa"/>
            <w:noWrap w:val="0"/>
            <w:vAlign w:val="center"/>
          </w:tcPr>
          <w:p w14:paraId="6390E728">
            <w:pPr>
              <w:keepNext w:val="0"/>
              <w:keepLines w:val="0"/>
              <w:pageBreakBefore w:val="0"/>
              <w:kinsoku/>
              <w:wordWrap/>
              <w:overflowPunct/>
              <w:topLinePunct w:val="0"/>
              <w:autoSpaceDE/>
              <w:autoSpaceDN/>
              <w:bidi w:val="0"/>
              <w:spacing w:before="77" w:beforeLines="20" w:line="360" w:lineRule="auto"/>
              <w:ind w:left="0" w:leftChars="0" w:right="0" w:firstLine="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p w14:paraId="70E5B0CF">
            <w:pPr>
              <w:keepNext w:val="0"/>
              <w:keepLines w:val="0"/>
              <w:pageBreakBefore w:val="0"/>
              <w:kinsoku/>
              <w:wordWrap/>
              <w:overflowPunct/>
              <w:topLinePunct w:val="0"/>
              <w:autoSpaceDE/>
              <w:autoSpaceDN/>
              <w:bidi w:val="0"/>
              <w:spacing w:before="77" w:beforeLines="20" w:line="360" w:lineRule="auto"/>
              <w:ind w:left="0" w:leftChars="0" w:right="0" w:firstLine="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1044" w:type="dxa"/>
            <w:noWrap w:val="0"/>
            <w:vAlign w:val="center"/>
          </w:tcPr>
          <w:p w14:paraId="45487BC4">
            <w:pPr>
              <w:keepNext w:val="0"/>
              <w:keepLines w:val="0"/>
              <w:pageBreakBefore w:val="0"/>
              <w:kinsoku/>
              <w:wordWrap/>
              <w:overflowPunct/>
              <w:topLinePunct w:val="0"/>
              <w:autoSpaceDE/>
              <w:autoSpaceDN/>
              <w:bidi w:val="0"/>
              <w:spacing w:before="77" w:beforeLines="20" w:line="360" w:lineRule="auto"/>
              <w:ind w:left="0" w:leftChars="0" w:right="0" w:firstLine="28"/>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5741" w:type="dxa"/>
            <w:noWrap w:val="0"/>
            <w:vAlign w:val="center"/>
          </w:tcPr>
          <w:p w14:paraId="1CAD8F74">
            <w:pPr>
              <w:keepNext w:val="0"/>
              <w:keepLines w:val="0"/>
              <w:pageBreakBefore w:val="0"/>
              <w:kinsoku/>
              <w:wordWrap/>
              <w:overflowPunct/>
              <w:topLinePunct w:val="0"/>
              <w:autoSpaceDE/>
              <w:autoSpaceDN/>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有效的投标</w:t>
            </w:r>
            <w:r>
              <w:rPr>
                <w:rFonts w:hint="eastAsia" w:ascii="宋体" w:hAnsi="宋体" w:eastAsia="宋体" w:cs="宋体"/>
                <w:color w:val="auto"/>
                <w:sz w:val="21"/>
                <w:szCs w:val="21"/>
                <w:highlight w:val="none"/>
                <w:lang w:val="en-US" w:eastAsia="zh-CN"/>
              </w:rPr>
              <w:t>总</w:t>
            </w:r>
            <w:r>
              <w:rPr>
                <w:rFonts w:hint="eastAsia" w:ascii="宋体" w:hAnsi="宋体" w:eastAsia="宋体" w:cs="宋体"/>
                <w:color w:val="auto"/>
                <w:sz w:val="21"/>
                <w:szCs w:val="21"/>
                <w:highlight w:val="none"/>
              </w:rPr>
              <w:t>报价中的最低价为评标基准价，其价格分为满分。其他投标人的价格分统一按照下列公式计算：</w:t>
            </w:r>
          </w:p>
          <w:p w14:paraId="5F134BF2">
            <w:pPr>
              <w:keepNext w:val="0"/>
              <w:keepLines w:val="0"/>
              <w:pageBreakBefore w:val="0"/>
              <w:kinsoku/>
              <w:wordWrap/>
              <w:overflowPunct/>
              <w:topLinePunct w:val="0"/>
              <w:autoSpaceDE/>
              <w:autoSpaceDN/>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投标报价得分＝（评标基准价/投标报价）×价格权重×100。</w:t>
            </w:r>
          </w:p>
        </w:tc>
        <w:tc>
          <w:tcPr>
            <w:tcW w:w="1196" w:type="dxa"/>
            <w:noWrap w:val="0"/>
            <w:vAlign w:val="center"/>
          </w:tcPr>
          <w:p w14:paraId="41269D23">
            <w:pPr>
              <w:keepNext w:val="0"/>
              <w:keepLines w:val="0"/>
              <w:pageBreakBefore w:val="0"/>
              <w:kinsoku/>
              <w:wordWrap/>
              <w:overflowPunct/>
              <w:topLinePunct w:val="0"/>
              <w:autoSpaceDE/>
              <w:autoSpaceDN/>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对小微企业的价格用扣除后的价格参与评审，详见“注：</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关于小微企业报价扣除比例说明”。</w:t>
            </w:r>
          </w:p>
        </w:tc>
      </w:tr>
      <w:tr w14:paraId="341E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1" w:type="dxa"/>
            <w:vMerge w:val="restart"/>
            <w:noWrap w:val="0"/>
            <w:vAlign w:val="center"/>
          </w:tcPr>
          <w:p w14:paraId="29511772">
            <w:pPr>
              <w:keepNext w:val="0"/>
              <w:keepLines w:val="0"/>
              <w:pageBreakBefore w:val="0"/>
              <w:kinsoku/>
              <w:wordWrap/>
              <w:overflowPunct/>
              <w:topLinePunct w:val="0"/>
              <w:autoSpaceDE/>
              <w:autoSpaceDN/>
              <w:bidi w:val="0"/>
              <w:spacing w:before="77" w:beforeLines="2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26" w:type="dxa"/>
            <w:vMerge w:val="restart"/>
            <w:noWrap w:val="0"/>
            <w:vAlign w:val="center"/>
          </w:tcPr>
          <w:p w14:paraId="39F9DAA1">
            <w:pPr>
              <w:keepNext w:val="0"/>
              <w:keepLines w:val="0"/>
              <w:pageBreakBefore w:val="0"/>
              <w:kinsoku/>
              <w:wordWrap/>
              <w:overflowPunct/>
              <w:topLinePunct w:val="0"/>
              <w:autoSpaceDE/>
              <w:autoSpaceDN/>
              <w:bidi w:val="0"/>
              <w:spacing w:before="77" w:beforeLines="20" w:line="360" w:lineRule="auto"/>
              <w:ind w:left="0" w:leftChars="0" w:right="0" w:firstLine="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36EC591F">
            <w:pPr>
              <w:keepNext w:val="0"/>
              <w:keepLines w:val="0"/>
              <w:pageBreakBefore w:val="0"/>
              <w:kinsoku/>
              <w:wordWrap/>
              <w:overflowPunct/>
              <w:topLinePunct w:val="0"/>
              <w:autoSpaceDE/>
              <w:autoSpaceDN/>
              <w:bidi w:val="0"/>
              <w:spacing w:before="77" w:beforeLines="20" w:line="360" w:lineRule="auto"/>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p>
        </w:tc>
        <w:tc>
          <w:tcPr>
            <w:tcW w:w="1044" w:type="dxa"/>
            <w:noWrap w:val="0"/>
            <w:vAlign w:val="center"/>
          </w:tcPr>
          <w:p w14:paraId="42D13E5F">
            <w:pPr>
              <w:pageBreakBefore w:val="0"/>
              <w:wordWrap/>
              <w:topLinePunct w:val="0"/>
              <w:bidi w:val="0"/>
              <w:spacing w:before="77" w:beforeLines="20" w:line="36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5741" w:type="dxa"/>
            <w:noWrap w:val="0"/>
            <w:vAlign w:val="center"/>
          </w:tcPr>
          <w:p w14:paraId="2768AFF2">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施工方案 </w:t>
            </w:r>
          </w:p>
          <w:p w14:paraId="5F8A3359">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行踏勘现场，结合现场条件特点，有针对性的编制施工方案，包括但不限于以下内容：施工总体布置合理、图示清晰、施工内容及工程实际情况编制、总体工程和各分部分项工程施工方案编制、结合工程特点提出切实可行的技术组织措施。</w:t>
            </w:r>
          </w:p>
          <w:p w14:paraId="7AB6337A">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方案内容不存在瑕疵得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0D6955DA">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方案内容存在1处瑕疵得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6055DAB7">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方案内容存在2处瑕疵得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2512DCD1">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方案内容存在3处及以上瑕疵得1分；</w:t>
            </w:r>
          </w:p>
          <w:p w14:paraId="4EC5523F">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未提供得0分。</w:t>
            </w:r>
          </w:p>
        </w:tc>
        <w:tc>
          <w:tcPr>
            <w:tcW w:w="1196" w:type="dxa"/>
            <w:vMerge w:val="restart"/>
            <w:noWrap w:val="0"/>
            <w:vAlign w:val="center"/>
          </w:tcPr>
          <w:p w14:paraId="2DF2B6EF">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本项内容中所称的“瑕疵”指以下任意一种情形：</w:t>
            </w:r>
          </w:p>
          <w:p w14:paraId="1EFB7825">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1）方案出现内容缺项、内容表述不完整、内容空泛、无具体实施方法或缺少关键分析点；</w:t>
            </w:r>
          </w:p>
          <w:p w14:paraId="07B7AF38">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2）方案内容表述前后矛盾、无连贯性或内容存在逻辑漏洞、常识错误；</w:t>
            </w:r>
          </w:p>
          <w:p w14:paraId="49ABD46A">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3）方案安排并不适用本项目特性或不利于本项目的目的实现或出现与本项目不相关的其他内容或非专门针对本项目制定；</w:t>
            </w:r>
          </w:p>
          <w:p w14:paraId="4ED22D30">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4）方案中提出的措施举措现有条件下不可能实现的。</w:t>
            </w:r>
          </w:p>
          <w:p w14:paraId="68EC5A9E">
            <w:pPr>
              <w:keepNext w:val="0"/>
              <w:keepLines w:val="0"/>
              <w:pageBreakBefore w:val="0"/>
              <w:kinsoku/>
              <w:wordWrap/>
              <w:overflowPunct/>
              <w:topLinePunct w:val="0"/>
              <w:autoSpaceDE/>
              <w:autoSpaceDN/>
              <w:bidi w:val="0"/>
              <w:spacing w:before="77" w:beforeLines="20" w:line="360" w:lineRule="auto"/>
              <w:ind w:left="0" w:leftChars="0" w:right="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说明:方案由</w:t>
            </w:r>
            <w:r>
              <w:rPr>
                <w:rFonts w:hint="eastAsia" w:ascii="宋体" w:hAnsi="宋体" w:cs="宋体"/>
                <w:color w:val="auto"/>
                <w:kern w:val="2"/>
                <w:sz w:val="21"/>
                <w:szCs w:val="21"/>
                <w:highlight w:val="none"/>
                <w:lang w:val="en-US" w:eastAsia="zh-CN"/>
              </w:rPr>
              <w:t>比选小组</w:t>
            </w:r>
            <w:r>
              <w:rPr>
                <w:rFonts w:hint="eastAsia" w:ascii="宋体" w:hAnsi="宋体" w:eastAsia="宋体" w:cs="宋体"/>
                <w:color w:val="auto"/>
                <w:kern w:val="2"/>
                <w:sz w:val="21"/>
                <w:szCs w:val="21"/>
                <w:highlight w:val="none"/>
              </w:rPr>
              <w:t>成员结合自身专业知识根据以上标准独立评审。</w:t>
            </w:r>
          </w:p>
        </w:tc>
      </w:tr>
      <w:tr w14:paraId="1C9C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jc w:val="center"/>
        </w:trPr>
        <w:tc>
          <w:tcPr>
            <w:tcW w:w="631" w:type="dxa"/>
            <w:vMerge w:val="continue"/>
            <w:noWrap w:val="0"/>
            <w:vAlign w:val="center"/>
          </w:tcPr>
          <w:p w14:paraId="6FBB4C61">
            <w:pPr>
              <w:keepNext w:val="0"/>
              <w:keepLines w:val="0"/>
              <w:pageBreakBefore w:val="0"/>
              <w:kinsoku/>
              <w:wordWrap/>
              <w:overflowPunct/>
              <w:topLinePunct w:val="0"/>
              <w:autoSpaceDE/>
              <w:autoSpaceDN/>
              <w:bidi w:val="0"/>
              <w:spacing w:before="77" w:beforeLines="20" w:line="360" w:lineRule="auto"/>
              <w:ind w:left="0" w:leftChars="0" w:right="0" w:firstLine="0"/>
              <w:jc w:val="left"/>
              <w:textAlignment w:val="auto"/>
              <w:rPr>
                <w:rFonts w:hint="eastAsia" w:ascii="宋体" w:hAnsi="宋体" w:eastAsia="宋体" w:cs="宋体"/>
                <w:color w:val="auto"/>
                <w:sz w:val="21"/>
                <w:szCs w:val="21"/>
                <w:highlight w:val="none"/>
              </w:rPr>
            </w:pPr>
          </w:p>
        </w:tc>
        <w:tc>
          <w:tcPr>
            <w:tcW w:w="1026" w:type="dxa"/>
            <w:vMerge w:val="continue"/>
            <w:noWrap w:val="0"/>
            <w:vAlign w:val="center"/>
          </w:tcPr>
          <w:p w14:paraId="3A00495D">
            <w:pPr>
              <w:keepNext w:val="0"/>
              <w:keepLines w:val="0"/>
              <w:pageBreakBefore w:val="0"/>
              <w:kinsoku/>
              <w:wordWrap/>
              <w:overflowPunct/>
              <w:topLinePunct w:val="0"/>
              <w:autoSpaceDE/>
              <w:autoSpaceDN/>
              <w:bidi w:val="0"/>
              <w:spacing w:before="77" w:beforeLines="20" w:line="360" w:lineRule="auto"/>
              <w:ind w:left="0" w:leftChars="0" w:right="0" w:firstLine="0"/>
              <w:jc w:val="left"/>
              <w:textAlignment w:val="auto"/>
              <w:rPr>
                <w:rFonts w:hint="eastAsia" w:ascii="宋体" w:hAnsi="宋体" w:eastAsia="宋体" w:cs="宋体"/>
                <w:color w:val="auto"/>
                <w:sz w:val="21"/>
                <w:szCs w:val="21"/>
                <w:highlight w:val="none"/>
              </w:rPr>
            </w:pPr>
          </w:p>
        </w:tc>
        <w:tc>
          <w:tcPr>
            <w:tcW w:w="1044" w:type="dxa"/>
            <w:noWrap w:val="0"/>
            <w:vAlign w:val="center"/>
          </w:tcPr>
          <w:p w14:paraId="28DCF502">
            <w:pPr>
              <w:pageBreakBefore w:val="0"/>
              <w:wordWrap/>
              <w:topLinePunct w:val="0"/>
              <w:bidi w:val="0"/>
              <w:spacing w:before="77" w:beforeLines="20" w:line="36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5741" w:type="dxa"/>
            <w:noWrap w:val="0"/>
            <w:vAlign w:val="center"/>
          </w:tcPr>
          <w:p w14:paraId="02CC1D78">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w:t>
            </w:r>
          </w:p>
          <w:p w14:paraId="191F4B28">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供应商应针对本项目制定详细的安全管理</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包括但不限于以下内容：安全管理机构职责、完整的安全生产管理制度、安全保障措施、作业事故处理流程。</w:t>
            </w:r>
          </w:p>
          <w:p w14:paraId="0EDDE5FA">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方案内容不存在瑕疵得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508E25C3">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方案内容存在1处瑕疵得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59D85A6E">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方案内容存在2处瑕疵得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06CBEDD7">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方案内容存在3处及以上瑕疵得1分；</w:t>
            </w:r>
          </w:p>
          <w:p w14:paraId="4303CBDF">
            <w:pPr>
              <w:pageBreakBefore w:val="0"/>
              <w:wordWrap/>
              <w:topLinePunct w:val="0"/>
              <w:bidi w:val="0"/>
              <w:spacing w:before="77" w:beforeLines="20" w:line="360" w:lineRule="auto"/>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未提供得0分。</w:t>
            </w:r>
          </w:p>
        </w:tc>
        <w:tc>
          <w:tcPr>
            <w:tcW w:w="1196" w:type="dxa"/>
            <w:vMerge w:val="continue"/>
            <w:noWrap w:val="0"/>
            <w:vAlign w:val="center"/>
          </w:tcPr>
          <w:p w14:paraId="0DDEC77F">
            <w:pPr>
              <w:keepNext w:val="0"/>
              <w:keepLines w:val="0"/>
              <w:pageBreakBefore w:val="0"/>
              <w:kinsoku/>
              <w:wordWrap/>
              <w:overflowPunct/>
              <w:topLinePunct w:val="0"/>
              <w:autoSpaceDE/>
              <w:autoSpaceDN/>
              <w:bidi w:val="0"/>
              <w:spacing w:before="77" w:beforeLines="20" w:line="360" w:lineRule="auto"/>
              <w:ind w:left="0" w:leftChars="0" w:right="0"/>
              <w:textAlignment w:val="auto"/>
              <w:rPr>
                <w:rFonts w:hint="eastAsia" w:ascii="宋体" w:hAnsi="宋体" w:eastAsia="宋体" w:cs="宋体"/>
                <w:color w:val="auto"/>
                <w:kern w:val="0"/>
                <w:sz w:val="21"/>
                <w:szCs w:val="21"/>
                <w:highlight w:val="none"/>
              </w:rPr>
            </w:pPr>
          </w:p>
        </w:tc>
      </w:tr>
      <w:tr w14:paraId="3D89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1" w:type="dxa"/>
            <w:vMerge w:val="continue"/>
            <w:noWrap w:val="0"/>
            <w:vAlign w:val="center"/>
          </w:tcPr>
          <w:p w14:paraId="1DD45693">
            <w:pPr>
              <w:keepNext w:val="0"/>
              <w:keepLines w:val="0"/>
              <w:pageBreakBefore w:val="0"/>
              <w:kinsoku/>
              <w:wordWrap/>
              <w:overflowPunct/>
              <w:topLinePunct w:val="0"/>
              <w:autoSpaceDE/>
              <w:autoSpaceDN/>
              <w:bidi w:val="0"/>
              <w:spacing w:before="77" w:beforeLines="20" w:line="360" w:lineRule="auto"/>
              <w:ind w:left="0" w:leftChars="0" w:right="0" w:firstLine="0"/>
              <w:jc w:val="left"/>
              <w:textAlignment w:val="auto"/>
              <w:rPr>
                <w:rFonts w:hint="eastAsia" w:ascii="宋体" w:hAnsi="宋体" w:eastAsia="宋体" w:cs="宋体"/>
                <w:color w:val="auto"/>
                <w:sz w:val="21"/>
                <w:szCs w:val="21"/>
                <w:highlight w:val="none"/>
              </w:rPr>
            </w:pPr>
          </w:p>
        </w:tc>
        <w:tc>
          <w:tcPr>
            <w:tcW w:w="1026" w:type="dxa"/>
            <w:vMerge w:val="continue"/>
            <w:noWrap w:val="0"/>
            <w:vAlign w:val="center"/>
          </w:tcPr>
          <w:p w14:paraId="3BD0BA13">
            <w:pPr>
              <w:keepNext w:val="0"/>
              <w:keepLines w:val="0"/>
              <w:pageBreakBefore w:val="0"/>
              <w:kinsoku/>
              <w:wordWrap/>
              <w:overflowPunct/>
              <w:topLinePunct w:val="0"/>
              <w:autoSpaceDE/>
              <w:autoSpaceDN/>
              <w:bidi w:val="0"/>
              <w:spacing w:before="77" w:beforeLines="20" w:line="360" w:lineRule="auto"/>
              <w:ind w:left="0" w:leftChars="0" w:right="0" w:firstLine="0"/>
              <w:jc w:val="left"/>
              <w:textAlignment w:val="auto"/>
              <w:rPr>
                <w:rFonts w:hint="eastAsia" w:ascii="宋体" w:hAnsi="宋体" w:eastAsia="宋体" w:cs="宋体"/>
                <w:color w:val="auto"/>
                <w:sz w:val="21"/>
                <w:szCs w:val="21"/>
                <w:highlight w:val="none"/>
              </w:rPr>
            </w:pPr>
          </w:p>
        </w:tc>
        <w:tc>
          <w:tcPr>
            <w:tcW w:w="1044" w:type="dxa"/>
            <w:noWrap w:val="0"/>
            <w:vAlign w:val="center"/>
          </w:tcPr>
          <w:p w14:paraId="5442616A">
            <w:pPr>
              <w:pageBreakBefore w:val="0"/>
              <w:wordWrap/>
              <w:topLinePunct w:val="0"/>
              <w:bidi w:val="0"/>
              <w:spacing w:before="77" w:beforeLines="20" w:line="36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5741" w:type="dxa"/>
            <w:noWrap w:val="0"/>
            <w:vAlign w:val="center"/>
          </w:tcPr>
          <w:p w14:paraId="231AB2DA">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应急抢险及突发事件处置预案：</w:t>
            </w:r>
          </w:p>
          <w:p w14:paraId="0A35657E">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供应商应针对本项目制定详细的</w:t>
            </w:r>
            <w:r>
              <w:rPr>
                <w:rFonts w:hint="eastAsia" w:ascii="宋体" w:hAnsi="宋体" w:eastAsia="宋体" w:cs="宋体"/>
                <w:color w:val="auto"/>
                <w:sz w:val="21"/>
                <w:szCs w:val="21"/>
                <w:highlight w:val="none"/>
              </w:rPr>
              <w:t>应急抢险及突发事件处置预案方案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包括但不限于以下内容：应急抢险组织机构职责、预警预防机制、应急响应方案、应急事件处置方案</w:t>
            </w:r>
            <w:r>
              <w:rPr>
                <w:rFonts w:hint="eastAsia" w:ascii="宋体" w:hAnsi="宋体" w:eastAsia="宋体" w:cs="宋体"/>
                <w:color w:val="auto"/>
                <w:sz w:val="21"/>
                <w:szCs w:val="21"/>
                <w:highlight w:val="none"/>
              </w:rPr>
              <w:t>。</w:t>
            </w:r>
          </w:p>
          <w:p w14:paraId="33D3E639">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方案内容不存在瑕疵得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522D3BB3">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方案内容存在1处瑕疵得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64680E74">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方案内容存在2处瑕疵得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0E2A5DEF">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方案内容存在3处及以上瑕疵得1分；</w:t>
            </w:r>
          </w:p>
          <w:p w14:paraId="476B3C41">
            <w:pPr>
              <w:pageBreakBefore w:val="0"/>
              <w:wordWrap/>
              <w:topLinePunct w:val="0"/>
              <w:bidi w:val="0"/>
              <w:spacing w:before="77" w:beforeLines="20" w:line="36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未提供得0分。</w:t>
            </w:r>
          </w:p>
        </w:tc>
        <w:tc>
          <w:tcPr>
            <w:tcW w:w="1196" w:type="dxa"/>
            <w:vMerge w:val="continue"/>
            <w:noWrap w:val="0"/>
            <w:vAlign w:val="center"/>
          </w:tcPr>
          <w:p w14:paraId="39F5EB4F">
            <w:pPr>
              <w:keepNext w:val="0"/>
              <w:keepLines w:val="0"/>
              <w:pageBreakBefore w:val="0"/>
              <w:kinsoku/>
              <w:wordWrap/>
              <w:overflowPunct/>
              <w:topLinePunct w:val="0"/>
              <w:autoSpaceDE/>
              <w:autoSpaceDN/>
              <w:bidi w:val="0"/>
              <w:spacing w:before="77" w:beforeLines="20" w:line="360" w:lineRule="auto"/>
              <w:ind w:left="0" w:leftChars="0" w:right="0"/>
              <w:textAlignment w:val="auto"/>
              <w:rPr>
                <w:rFonts w:hint="eastAsia" w:ascii="宋体" w:hAnsi="宋体" w:eastAsia="宋体" w:cs="宋体"/>
                <w:color w:val="auto"/>
                <w:kern w:val="0"/>
                <w:sz w:val="21"/>
                <w:szCs w:val="21"/>
                <w:highlight w:val="none"/>
              </w:rPr>
            </w:pPr>
          </w:p>
        </w:tc>
      </w:tr>
      <w:tr w14:paraId="5AA3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1" w:type="dxa"/>
            <w:vMerge w:val="continue"/>
            <w:noWrap w:val="0"/>
            <w:vAlign w:val="center"/>
          </w:tcPr>
          <w:p w14:paraId="4E3E75CD">
            <w:pPr>
              <w:keepNext w:val="0"/>
              <w:keepLines w:val="0"/>
              <w:pageBreakBefore w:val="0"/>
              <w:kinsoku/>
              <w:wordWrap/>
              <w:overflowPunct/>
              <w:topLinePunct w:val="0"/>
              <w:autoSpaceDE/>
              <w:autoSpaceDN/>
              <w:bidi w:val="0"/>
              <w:spacing w:before="77" w:beforeLines="20" w:line="360" w:lineRule="auto"/>
              <w:ind w:left="0" w:leftChars="0" w:right="0" w:firstLine="0"/>
              <w:jc w:val="left"/>
              <w:textAlignment w:val="auto"/>
              <w:rPr>
                <w:rFonts w:hint="eastAsia" w:ascii="宋体" w:hAnsi="宋体" w:eastAsia="宋体" w:cs="宋体"/>
                <w:color w:val="auto"/>
                <w:sz w:val="21"/>
                <w:szCs w:val="21"/>
                <w:highlight w:val="none"/>
              </w:rPr>
            </w:pPr>
          </w:p>
        </w:tc>
        <w:tc>
          <w:tcPr>
            <w:tcW w:w="1026" w:type="dxa"/>
            <w:vMerge w:val="continue"/>
            <w:noWrap w:val="0"/>
            <w:vAlign w:val="center"/>
          </w:tcPr>
          <w:p w14:paraId="633971FB">
            <w:pPr>
              <w:keepNext w:val="0"/>
              <w:keepLines w:val="0"/>
              <w:pageBreakBefore w:val="0"/>
              <w:kinsoku/>
              <w:wordWrap/>
              <w:overflowPunct/>
              <w:topLinePunct w:val="0"/>
              <w:autoSpaceDE/>
              <w:autoSpaceDN/>
              <w:bidi w:val="0"/>
              <w:spacing w:before="77" w:beforeLines="20" w:line="360" w:lineRule="auto"/>
              <w:ind w:left="0" w:leftChars="0" w:right="0" w:firstLine="0"/>
              <w:jc w:val="left"/>
              <w:textAlignment w:val="auto"/>
              <w:rPr>
                <w:rFonts w:hint="eastAsia" w:ascii="宋体" w:hAnsi="宋体" w:eastAsia="宋体" w:cs="宋体"/>
                <w:color w:val="auto"/>
                <w:sz w:val="21"/>
                <w:szCs w:val="21"/>
                <w:highlight w:val="none"/>
              </w:rPr>
            </w:pPr>
          </w:p>
        </w:tc>
        <w:tc>
          <w:tcPr>
            <w:tcW w:w="1044" w:type="dxa"/>
            <w:noWrap w:val="0"/>
            <w:vAlign w:val="center"/>
          </w:tcPr>
          <w:p w14:paraId="401EF21B">
            <w:pPr>
              <w:pageBreakBefore w:val="0"/>
              <w:wordWrap/>
              <w:topLinePunct w:val="0"/>
              <w:bidi w:val="0"/>
              <w:spacing w:before="77" w:beforeLines="20" w:line="36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5741" w:type="dxa"/>
            <w:noWrap w:val="0"/>
            <w:vAlign w:val="top"/>
          </w:tcPr>
          <w:p w14:paraId="700DE114">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现场组织管理</w:t>
            </w:r>
            <w:r>
              <w:rPr>
                <w:rFonts w:hint="eastAsia" w:ascii="宋体" w:hAnsi="宋体" w:eastAsia="宋体" w:cs="宋体"/>
                <w:color w:val="auto"/>
                <w:sz w:val="21"/>
                <w:szCs w:val="21"/>
                <w:highlight w:val="none"/>
                <w:lang w:val="en-US" w:eastAsia="zh-CN"/>
              </w:rPr>
              <w:t>与进度计划</w:t>
            </w:r>
            <w:r>
              <w:rPr>
                <w:rFonts w:hint="eastAsia" w:ascii="宋体" w:hAnsi="宋体" w:eastAsia="宋体" w:cs="宋体"/>
                <w:color w:val="auto"/>
                <w:sz w:val="21"/>
                <w:szCs w:val="21"/>
                <w:highlight w:val="none"/>
              </w:rPr>
              <w:t>：</w:t>
            </w:r>
          </w:p>
          <w:p w14:paraId="72F3EAF2">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供应商提供针对本项目的现场组织管理与进度计划方案，包括但不限于</w:t>
            </w:r>
            <w:r>
              <w:rPr>
                <w:rFonts w:hint="eastAsia" w:ascii="宋体" w:hAnsi="宋体" w:eastAsia="宋体" w:cs="宋体"/>
                <w:color w:val="auto"/>
                <w:sz w:val="21"/>
                <w:szCs w:val="21"/>
                <w:highlight w:val="none"/>
                <w:lang w:val="en-US" w:eastAsia="zh-CN"/>
              </w:rPr>
              <w:t>以下内容：现场组织管理机构职责、安装进度计划、组织管理方案。</w:t>
            </w:r>
          </w:p>
          <w:p w14:paraId="5496CF4E">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方案内容不存在瑕疵得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39156A1E">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方案内容存在1处瑕疵得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7C142403">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方案内容存在2处瑕疵得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668DD17F">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方案内容存在3处及以上瑕疵得1分；</w:t>
            </w:r>
          </w:p>
          <w:p w14:paraId="1DD9E2D9">
            <w:pPr>
              <w:pageBreakBefore w:val="0"/>
              <w:wordWrap/>
              <w:topLinePunct w:val="0"/>
              <w:bidi w:val="0"/>
              <w:spacing w:before="77" w:beforeLines="20" w:line="36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未提供得0分。</w:t>
            </w:r>
          </w:p>
        </w:tc>
        <w:tc>
          <w:tcPr>
            <w:tcW w:w="1196" w:type="dxa"/>
            <w:vMerge w:val="continue"/>
            <w:noWrap w:val="0"/>
            <w:vAlign w:val="center"/>
          </w:tcPr>
          <w:p w14:paraId="132149D7">
            <w:pPr>
              <w:keepNext w:val="0"/>
              <w:keepLines w:val="0"/>
              <w:pageBreakBefore w:val="0"/>
              <w:kinsoku/>
              <w:wordWrap/>
              <w:overflowPunct/>
              <w:topLinePunct w:val="0"/>
              <w:autoSpaceDE/>
              <w:autoSpaceDN/>
              <w:bidi w:val="0"/>
              <w:spacing w:before="77" w:beforeLines="20" w:line="360" w:lineRule="auto"/>
              <w:ind w:left="0" w:leftChars="0" w:right="0"/>
              <w:textAlignment w:val="auto"/>
              <w:rPr>
                <w:rFonts w:hint="eastAsia" w:ascii="宋体" w:hAnsi="宋体" w:eastAsia="宋体" w:cs="宋体"/>
                <w:color w:val="auto"/>
                <w:kern w:val="0"/>
                <w:sz w:val="21"/>
                <w:szCs w:val="21"/>
                <w:highlight w:val="none"/>
              </w:rPr>
            </w:pPr>
          </w:p>
        </w:tc>
      </w:tr>
      <w:tr w14:paraId="43FB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1" w:type="dxa"/>
            <w:vMerge w:val="continue"/>
            <w:noWrap w:val="0"/>
            <w:vAlign w:val="center"/>
          </w:tcPr>
          <w:p w14:paraId="484EF9CF">
            <w:pPr>
              <w:keepNext w:val="0"/>
              <w:keepLines w:val="0"/>
              <w:pageBreakBefore w:val="0"/>
              <w:kinsoku/>
              <w:wordWrap/>
              <w:overflowPunct/>
              <w:topLinePunct w:val="0"/>
              <w:autoSpaceDE/>
              <w:autoSpaceDN/>
              <w:bidi w:val="0"/>
              <w:spacing w:before="77" w:beforeLines="20" w:line="360" w:lineRule="auto"/>
              <w:ind w:left="0" w:leftChars="0" w:right="0" w:firstLine="0"/>
              <w:jc w:val="left"/>
              <w:textAlignment w:val="auto"/>
              <w:rPr>
                <w:rFonts w:hint="eastAsia" w:ascii="宋体" w:hAnsi="宋体" w:eastAsia="宋体" w:cs="宋体"/>
                <w:color w:val="auto"/>
                <w:sz w:val="21"/>
                <w:szCs w:val="21"/>
                <w:highlight w:val="none"/>
              </w:rPr>
            </w:pPr>
          </w:p>
        </w:tc>
        <w:tc>
          <w:tcPr>
            <w:tcW w:w="1026" w:type="dxa"/>
            <w:vMerge w:val="continue"/>
            <w:noWrap w:val="0"/>
            <w:vAlign w:val="center"/>
          </w:tcPr>
          <w:p w14:paraId="165EFA93">
            <w:pPr>
              <w:keepNext w:val="0"/>
              <w:keepLines w:val="0"/>
              <w:pageBreakBefore w:val="0"/>
              <w:kinsoku/>
              <w:wordWrap/>
              <w:overflowPunct/>
              <w:topLinePunct w:val="0"/>
              <w:autoSpaceDE/>
              <w:autoSpaceDN/>
              <w:bidi w:val="0"/>
              <w:spacing w:before="77" w:beforeLines="20" w:line="360" w:lineRule="auto"/>
              <w:ind w:left="0" w:leftChars="0" w:right="0" w:firstLine="0"/>
              <w:jc w:val="left"/>
              <w:textAlignment w:val="auto"/>
              <w:rPr>
                <w:rFonts w:hint="eastAsia" w:ascii="宋体" w:hAnsi="宋体" w:eastAsia="宋体" w:cs="宋体"/>
                <w:color w:val="auto"/>
                <w:sz w:val="21"/>
                <w:szCs w:val="21"/>
                <w:highlight w:val="none"/>
              </w:rPr>
            </w:pPr>
          </w:p>
        </w:tc>
        <w:tc>
          <w:tcPr>
            <w:tcW w:w="1044" w:type="dxa"/>
            <w:noWrap w:val="0"/>
            <w:vAlign w:val="center"/>
          </w:tcPr>
          <w:p w14:paraId="6132416B">
            <w:pPr>
              <w:pageBreakBefore w:val="0"/>
              <w:wordWrap/>
              <w:topLinePunct w:val="0"/>
              <w:bidi w:val="0"/>
              <w:spacing w:before="77" w:beforeLines="20" w:line="360" w:lineRule="auto"/>
              <w:ind w:left="0" w:leftChars="0" w:righ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5741" w:type="dxa"/>
            <w:noWrap w:val="0"/>
            <w:vAlign w:val="center"/>
          </w:tcPr>
          <w:p w14:paraId="4C54D646">
            <w:pPr>
              <w:pageBreakBefore w:val="0"/>
              <w:numPr>
                <w:ilvl w:val="-1"/>
                <w:numId w:val="0"/>
              </w:numPr>
              <w:wordWrap/>
              <w:topLinePunct w:val="0"/>
              <w:bidi w:val="0"/>
              <w:snapToGrid/>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质量保障方案</w:t>
            </w:r>
          </w:p>
          <w:p w14:paraId="2A193C9F">
            <w:pPr>
              <w:pageBreakBefore w:val="0"/>
              <w:numPr>
                <w:ilvl w:val="-1"/>
                <w:numId w:val="0"/>
              </w:numPr>
              <w:wordWrap/>
              <w:topLinePunct w:val="0"/>
              <w:bidi w:val="0"/>
              <w:snapToGrid/>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供应商提供针对本项目的质量保障方案，方案</w:t>
            </w:r>
            <w:r>
              <w:rPr>
                <w:rFonts w:hint="eastAsia" w:ascii="宋体" w:hAnsi="宋体" w:eastAsia="宋体" w:cs="宋体"/>
                <w:color w:val="auto"/>
                <w:sz w:val="21"/>
                <w:szCs w:val="21"/>
                <w:highlight w:val="none"/>
                <w:lang w:val="en-GB" w:eastAsia="zh-CN"/>
              </w:rPr>
              <w:t>包含不限于</w:t>
            </w:r>
            <w:r>
              <w:rPr>
                <w:rFonts w:hint="eastAsia" w:ascii="宋体" w:hAnsi="宋体" w:eastAsia="宋体" w:cs="宋体"/>
                <w:color w:val="auto"/>
                <w:sz w:val="21"/>
                <w:szCs w:val="21"/>
                <w:highlight w:val="none"/>
                <w:lang w:val="en-US" w:eastAsia="zh-CN"/>
              </w:rPr>
              <w:t>质量保障措施、安全保障措施、应急措施</w:t>
            </w:r>
            <w:r>
              <w:rPr>
                <w:rFonts w:hint="eastAsia" w:ascii="宋体" w:hAnsi="宋体" w:eastAsia="宋体" w:cs="宋体"/>
                <w:color w:val="auto"/>
                <w:sz w:val="21"/>
                <w:szCs w:val="21"/>
                <w:highlight w:val="none"/>
                <w:lang w:val="en-GB" w:eastAsia="zh-CN"/>
              </w:rPr>
              <w:t>等内容</w:t>
            </w:r>
            <w:r>
              <w:rPr>
                <w:rFonts w:hint="eastAsia" w:ascii="宋体" w:hAnsi="宋体" w:eastAsia="宋体" w:cs="宋体"/>
                <w:color w:val="auto"/>
                <w:sz w:val="21"/>
                <w:szCs w:val="21"/>
                <w:highlight w:val="none"/>
                <w:lang w:val="en-US" w:eastAsia="zh-CN"/>
              </w:rPr>
              <w:t>。</w:t>
            </w:r>
          </w:p>
          <w:p w14:paraId="6195D658">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方案内容不存在瑕疵得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p w14:paraId="7D4671B0">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方案内容存在1处瑕疵得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41F9DD91">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方案内容存在2处瑕疵得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14:paraId="24EE5DC6">
            <w:pPr>
              <w:pageBreakBefore w:val="0"/>
              <w:wordWrap/>
              <w:topLinePunct w:val="0"/>
              <w:bidi w:val="0"/>
              <w:spacing w:before="77" w:beforeLines="20" w:line="360" w:lineRule="auto"/>
              <w:ind w:left="0" w:leftChars="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方案内容存在3处及以上瑕疵得1分；</w:t>
            </w:r>
          </w:p>
          <w:p w14:paraId="0E67397A">
            <w:pPr>
              <w:pageBreakBefore w:val="0"/>
              <w:wordWrap/>
              <w:topLinePunct w:val="0"/>
              <w:bidi w:val="0"/>
              <w:spacing w:before="77" w:beforeLines="20" w:line="360" w:lineRule="auto"/>
              <w:ind w:left="0" w:leftChars="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未提供得0分。</w:t>
            </w:r>
          </w:p>
        </w:tc>
        <w:tc>
          <w:tcPr>
            <w:tcW w:w="1196" w:type="dxa"/>
            <w:vMerge w:val="continue"/>
            <w:noWrap w:val="0"/>
            <w:vAlign w:val="center"/>
          </w:tcPr>
          <w:p w14:paraId="6559447A">
            <w:pPr>
              <w:keepNext w:val="0"/>
              <w:keepLines w:val="0"/>
              <w:pageBreakBefore w:val="0"/>
              <w:kinsoku/>
              <w:wordWrap/>
              <w:overflowPunct/>
              <w:topLinePunct w:val="0"/>
              <w:autoSpaceDE/>
              <w:autoSpaceDN/>
              <w:bidi w:val="0"/>
              <w:spacing w:before="77" w:beforeLines="20" w:line="360" w:lineRule="auto"/>
              <w:ind w:left="0" w:leftChars="0" w:right="0"/>
              <w:textAlignment w:val="auto"/>
              <w:rPr>
                <w:rFonts w:hint="eastAsia" w:ascii="宋体" w:hAnsi="宋体" w:eastAsia="宋体" w:cs="宋体"/>
                <w:color w:val="auto"/>
                <w:kern w:val="0"/>
                <w:sz w:val="21"/>
                <w:szCs w:val="21"/>
                <w:highlight w:val="none"/>
              </w:rPr>
            </w:pPr>
          </w:p>
        </w:tc>
      </w:tr>
    </w:tbl>
    <w:p w14:paraId="17A6CC13">
      <w:pPr>
        <w:pageBreakBefore w:val="0"/>
        <w:wordWrap/>
        <w:topLinePunct w:val="0"/>
        <w:bidi w:val="0"/>
        <w:snapToGrid w:val="0"/>
        <w:spacing w:before="77" w:beforeLines="20" w:line="360" w:lineRule="auto"/>
        <w:ind w:left="0" w:leftChars="0" w:right="0" w:firstLine="465"/>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w:t>
      </w:r>
      <w:bookmarkStart w:id="64" w:name="_Toc31747"/>
      <w:bookmarkStart w:id="65" w:name="_Toc21473"/>
      <w:r>
        <w:rPr>
          <w:rFonts w:hint="eastAsia" w:ascii="宋体" w:hAnsi="宋体" w:cs="宋体"/>
          <w:b/>
          <w:bCs/>
          <w:color w:val="auto"/>
          <w:kern w:val="0"/>
          <w:sz w:val="24"/>
          <w:szCs w:val="24"/>
          <w:highlight w:val="none"/>
          <w:lang w:val="en-US" w:eastAsia="zh-CN"/>
        </w:rPr>
        <w:t>1、</w:t>
      </w:r>
      <w:bookmarkStart w:id="66" w:name="_Toc8631"/>
      <w:bookmarkStart w:id="67" w:name="_Toc31735"/>
      <w:r>
        <w:rPr>
          <w:rFonts w:hint="eastAsia" w:ascii="宋体" w:hAnsi="宋体" w:eastAsia="宋体" w:cs="宋体"/>
          <w:b/>
          <w:bCs/>
          <w:color w:val="auto"/>
          <w:kern w:val="2"/>
          <w:sz w:val="24"/>
          <w:szCs w:val="24"/>
          <w:highlight w:val="none"/>
          <w:lang w:val="en-US" w:eastAsia="zh-CN" w:bidi="ar-SA"/>
        </w:rPr>
        <w:t>供应商投标总报价或者部分单项报价低于本项目最高限价的85%时，应提供报价合理性说明，并提供必要的证明材料。供应商提供的说明不得降低或者改变原设计方案、技术工艺、施工标准，不得影响项目的质量、安全、工期、结算等正常履约。供应商投标总报价或者部分单项报价低于本项目最高限价的85%时，供应商未提供报价合理性说明或者提供的说明不能证明其报价合理性的，由比选小组作无效响应处理。</w:t>
      </w:r>
    </w:p>
    <w:bookmarkEnd w:id="64"/>
    <w:bookmarkEnd w:id="65"/>
    <w:bookmarkEnd w:id="66"/>
    <w:bookmarkEnd w:id="67"/>
    <w:p w14:paraId="236D0096">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关于小微企业报价扣除比例说明</w:t>
      </w:r>
    </w:p>
    <w:p w14:paraId="35CF6DC7">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（1）本项目专门面向中小微企业采购，不再执行报价扣除。</w:t>
      </w:r>
    </w:p>
    <w:p w14:paraId="46CB0FA7">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rPr>
      </w:pPr>
      <w:r>
        <w:rPr>
          <w:rFonts w:hint="eastAsia" w:ascii="宋体" w:hAnsi="宋体" w:eastAsia="宋体" w:cs="宋体"/>
          <w:color w:val="auto"/>
          <w:kern w:val="0"/>
          <w:sz w:val="24"/>
          <w:szCs w:val="24"/>
          <w:highlight w:val="none"/>
        </w:rPr>
        <w:t>（2）监狱企业、残疾人福利性单位视同小型、微型企业。</w:t>
      </w:r>
    </w:p>
    <w:p w14:paraId="0CD57D02">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68" w:name="_Toc11276"/>
      <w:r>
        <w:rPr>
          <w:rFonts w:hint="eastAsia" w:ascii="宋体" w:hAnsi="宋体" w:eastAsia="宋体" w:cs="宋体"/>
          <w:color w:val="auto"/>
          <w:sz w:val="24"/>
          <w:szCs w:val="24"/>
          <w:highlight w:val="none"/>
        </w:rPr>
        <w:t>三、无效响应</w:t>
      </w:r>
      <w:bookmarkEnd w:id="68"/>
    </w:p>
    <w:p w14:paraId="3367FC96">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供应商发生以下条款情况之一者，视为无效响应，其比选响应文件将被拒绝：</w:t>
      </w:r>
    </w:p>
    <w:p w14:paraId="1B271170">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（一）供应商不符合规定的资格条件的；</w:t>
      </w:r>
    </w:p>
    <w:p w14:paraId="3AAC5A16">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）供应商所提交的比选响应文件不按“第七篇比选响应文件编制要求”要求签署或盖章；</w:t>
      </w:r>
    </w:p>
    <w:p w14:paraId="6C702B85">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）供应商的报价超过最高限价的；</w:t>
      </w:r>
    </w:p>
    <w:p w14:paraId="5E2E687B">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）法定代表人为同一个人的两个及两个以上法人，母公司、全资子公司及其控股公司，在同一包采购中同时参与比选；</w:t>
      </w:r>
    </w:p>
    <w:p w14:paraId="4D1376EF">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）单位负责人为同一人或者存在直接控股、管理关系的不同供应商，参加同一合同项下的政府采购活动的；</w:t>
      </w:r>
    </w:p>
    <w:p w14:paraId="4B0641BC">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）为采购项目提供整体设计、规范编制或者项目管理、监理、检测等服务的供应商，再参加该采购项目的其他采购活动；</w:t>
      </w:r>
    </w:p>
    <w:p w14:paraId="16A51322">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）供应商比选有效期不满足竞争性比选文件要求的；</w:t>
      </w:r>
    </w:p>
    <w:p w14:paraId="4ED00259">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八</w:t>
      </w:r>
      <w:r>
        <w:rPr>
          <w:rFonts w:hint="eastAsia" w:ascii="宋体" w:hAnsi="宋体" w:eastAsia="宋体" w:cs="宋体"/>
          <w:color w:val="auto"/>
          <w:sz w:val="24"/>
          <w:szCs w:val="24"/>
          <w:highlight w:val="none"/>
        </w:rPr>
        <w:t>）供应商比选响应文件内容有与国家现行法律法规相违背的内容，或附有采购人无法接受的条件；</w:t>
      </w:r>
    </w:p>
    <w:p w14:paraId="407EA80E">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）供应商以联合体形式参与比选的；</w:t>
      </w:r>
    </w:p>
    <w:p w14:paraId="5D2356A2">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（十）供应商进行合同分包的；</w:t>
      </w:r>
    </w:p>
    <w:p w14:paraId="1B4FCDA6">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（十</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）供应商被列入失信被执行人、重大税收违法案件当事人名单、政府采购严重违法失信行为记录名单及其他不符合《中华人民共和国政府采购法》第二十二条规定条件的。</w:t>
      </w:r>
    </w:p>
    <w:p w14:paraId="20714FD5">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69" w:name="_Toc32356"/>
      <w:r>
        <w:rPr>
          <w:rFonts w:hint="eastAsia" w:ascii="宋体" w:hAnsi="宋体" w:eastAsia="宋体" w:cs="宋体"/>
          <w:color w:val="auto"/>
          <w:sz w:val="24"/>
          <w:szCs w:val="24"/>
          <w:highlight w:val="none"/>
        </w:rPr>
        <w:t>四、</w:t>
      </w:r>
      <w:bookmarkEnd w:id="62"/>
      <w:bookmarkEnd w:id="63"/>
      <w:r>
        <w:rPr>
          <w:rFonts w:hint="eastAsia" w:ascii="宋体" w:hAnsi="宋体" w:eastAsia="宋体" w:cs="宋体"/>
          <w:color w:val="auto"/>
          <w:sz w:val="24"/>
          <w:szCs w:val="24"/>
          <w:highlight w:val="none"/>
        </w:rPr>
        <w:t>采购终止</w:t>
      </w:r>
      <w:bookmarkEnd w:id="69"/>
    </w:p>
    <w:p w14:paraId="36420D4E">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出现下列情形之一的，采购人或者采购代理机构应当终止竞争性比选采购活动，发布项目终止公告并说明原因，重新开展采购活动：</w:t>
      </w:r>
    </w:p>
    <w:p w14:paraId="3BCDEC2A">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（一）因情况变化，不再符合规定的竞争性比选采购方式适用情形的；</w:t>
      </w:r>
    </w:p>
    <w:p w14:paraId="7E0159BC">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477E5448">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（三）在采购过程中符合要求的供应商或者报价未超过最高限价的供应商不足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w:t>
      </w:r>
      <w:bookmarkStart w:id="70" w:name="_Toc102227313"/>
      <w:bookmarkStart w:id="71" w:name="_Toc25083"/>
      <w:bookmarkStart w:id="72" w:name="_Toc12789059"/>
      <w:bookmarkStart w:id="73" w:name="_Toc11641055"/>
    </w:p>
    <w:p w14:paraId="0D108272">
      <w:pPr>
        <w:pStyle w:val="3"/>
        <w:pageBreakBefore w:val="0"/>
        <w:wordWrap/>
        <w:topLinePunct w:val="0"/>
        <w:bidi w:val="0"/>
        <w:spacing w:before="77" w:beforeLines="20" w:line="360" w:lineRule="auto"/>
        <w:ind w:left="0" w:leftChars="0" w:right="0"/>
        <w:jc w:val="center"/>
        <w:textAlignment w:val="auto"/>
        <w:rPr>
          <w:rFonts w:hint="eastAsia" w:ascii="宋体" w:hAnsi="宋体" w:eastAsia="宋体" w:cs="宋体"/>
          <w:b w:val="0"/>
          <w:color w:val="auto"/>
          <w:szCs w:val="30"/>
          <w:highlight w:val="none"/>
        </w:rPr>
      </w:pPr>
      <w:r>
        <w:rPr>
          <w:rFonts w:hint="eastAsia" w:ascii="宋体" w:hAnsi="宋体" w:eastAsia="宋体" w:cs="宋体"/>
          <w:b w:val="0"/>
          <w:color w:val="auto"/>
          <w:sz w:val="36"/>
          <w:szCs w:val="30"/>
          <w:highlight w:val="none"/>
        </w:rPr>
        <w:br w:type="page"/>
      </w:r>
      <w:bookmarkStart w:id="74" w:name="_Toc11315"/>
      <w:r>
        <w:rPr>
          <w:rFonts w:hint="eastAsia" w:ascii="宋体" w:hAnsi="宋体" w:eastAsia="宋体" w:cs="宋体"/>
          <w:b w:val="0"/>
          <w:color w:val="auto"/>
          <w:sz w:val="36"/>
          <w:szCs w:val="30"/>
          <w:highlight w:val="none"/>
        </w:rPr>
        <w:t>第五篇  供应商须知</w:t>
      </w:r>
      <w:bookmarkEnd w:id="70"/>
      <w:bookmarkEnd w:id="71"/>
      <w:bookmarkEnd w:id="74"/>
    </w:p>
    <w:p w14:paraId="7525F7A3">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75" w:name="_Toc9003"/>
      <w:bookmarkStart w:id="76" w:name="_Toc342913389"/>
      <w:bookmarkStart w:id="77" w:name="_Toc7854"/>
      <w:r>
        <w:rPr>
          <w:rFonts w:hint="eastAsia" w:ascii="宋体" w:hAnsi="宋体" w:eastAsia="宋体" w:cs="宋体"/>
          <w:color w:val="auto"/>
          <w:sz w:val="24"/>
          <w:szCs w:val="24"/>
          <w:highlight w:val="none"/>
        </w:rPr>
        <w:t>一、比选费用</w:t>
      </w:r>
      <w:bookmarkEnd w:id="75"/>
      <w:bookmarkEnd w:id="76"/>
      <w:bookmarkEnd w:id="77"/>
    </w:p>
    <w:p w14:paraId="4DEB358C">
      <w:pPr>
        <w:pStyle w:val="115"/>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参与比选的供应商应承担其编制比选响应文件与递交比选响应文件所涉及的一切费用，不论比选结果如何，采购人和采购代理机构在任何情况下无义务也无责任承担这些费用。</w:t>
      </w:r>
    </w:p>
    <w:p w14:paraId="5F4F0D94">
      <w:pPr>
        <w:pStyle w:val="4"/>
        <w:pageBreakBefore w:val="0"/>
        <w:tabs>
          <w:tab w:val="left" w:pos="2640"/>
        </w:tabs>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78" w:name="_Toc21556"/>
      <w:bookmarkStart w:id="79" w:name="_Toc19556"/>
      <w:bookmarkStart w:id="80" w:name="_Toc342913391"/>
      <w:r>
        <w:rPr>
          <w:rFonts w:hint="eastAsia" w:ascii="宋体" w:hAnsi="宋体" w:eastAsia="宋体" w:cs="宋体"/>
          <w:color w:val="auto"/>
          <w:sz w:val="24"/>
          <w:szCs w:val="24"/>
          <w:highlight w:val="none"/>
        </w:rPr>
        <w:t>二、竞争性比选文件</w:t>
      </w:r>
      <w:bookmarkEnd w:id="78"/>
      <w:bookmarkEnd w:id="79"/>
      <w:bookmarkEnd w:id="80"/>
    </w:p>
    <w:p w14:paraId="3C008764">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（一）竞争性比选文件由采购邀请书、项目</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需求、项目商务需求、竞选程序及方法、评审标准、无效响应和采购终止、供应商须知、政府采购合同、比选响应文件编制要求七部分组成。</w:t>
      </w:r>
    </w:p>
    <w:p w14:paraId="7D307FF8">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（二）采购人（或采购代理机构）所作的一切有效的书面通知、修改及补充，都是竞争性比选文件不可分割的部分。</w:t>
      </w:r>
    </w:p>
    <w:p w14:paraId="4BB5A712">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bookmarkStart w:id="81" w:name="_Toc318159349"/>
      <w:bookmarkStart w:id="82" w:name="_Toc318159780"/>
      <w:bookmarkStart w:id="83" w:name="_Toc318166429"/>
      <w:bookmarkStart w:id="84" w:name="_Toc318159160"/>
      <w:r>
        <w:rPr>
          <w:rFonts w:hint="eastAsia" w:ascii="宋体" w:hAnsi="宋体" w:eastAsia="宋体" w:cs="宋体"/>
          <w:color w:val="auto"/>
          <w:sz w:val="24"/>
          <w:szCs w:val="24"/>
          <w:highlight w:val="none"/>
        </w:rPr>
        <w:t>（三）竞争性比选文件的解释</w:t>
      </w:r>
    </w:p>
    <w:p w14:paraId="55010938">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对竞争性比选文件有疑问，必须以书面形式在提交比选响应文件截止时间3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p>
    <w:p w14:paraId="7922DF1C">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（四）本竞争性比选文件中，比选小组根据与供应商进行比选可能实质性变动的内容为竞争性比选文件第二、三、六篇全部内容。</w:t>
      </w:r>
    </w:p>
    <w:p w14:paraId="26636ED5">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（五）评审的依据为竞争性比选文件和比选响应文件（含有效的书面承诺）。比选小组判断比选响应文件对竞争性比选文件的响应，仅基于比选响应文件本身而不靠外部证据。</w:t>
      </w:r>
    </w:p>
    <w:bookmarkEnd w:id="81"/>
    <w:bookmarkEnd w:id="82"/>
    <w:bookmarkEnd w:id="83"/>
    <w:bookmarkEnd w:id="84"/>
    <w:p w14:paraId="15BD3CD2">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85" w:name="_Toc179714297"/>
      <w:bookmarkStart w:id="86" w:name="_Toc102227318"/>
      <w:bookmarkStart w:id="87" w:name="_Toc27595"/>
      <w:bookmarkStart w:id="88" w:name="_Toc342913392"/>
      <w:bookmarkStart w:id="89" w:name="_Toc10316"/>
      <w:r>
        <w:rPr>
          <w:rFonts w:hint="eastAsia" w:ascii="宋体" w:hAnsi="宋体" w:eastAsia="宋体" w:cs="宋体"/>
          <w:color w:val="auto"/>
          <w:sz w:val="24"/>
          <w:szCs w:val="24"/>
          <w:highlight w:val="none"/>
        </w:rPr>
        <w:t>三、比选要求</w:t>
      </w:r>
      <w:bookmarkEnd w:id="85"/>
      <w:bookmarkEnd w:id="86"/>
      <w:bookmarkEnd w:id="87"/>
      <w:bookmarkEnd w:id="88"/>
      <w:bookmarkEnd w:id="89"/>
    </w:p>
    <w:p w14:paraId="3110A008">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（一）比选响应文件</w:t>
      </w:r>
    </w:p>
    <w:p w14:paraId="031CDD9C">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1、供应商应当按照竞争性比选文件的要求编制比选响应文件，并对竞争性比选文件提出的要求和条件作出实质性响应，比选响应文件原则上采用软面订本，同时应编制完整的页码、目录。</w:t>
      </w:r>
    </w:p>
    <w:p w14:paraId="7DE473FE">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2、比选响应文件组成</w:t>
      </w:r>
    </w:p>
    <w:p w14:paraId="359AC200">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比选响应文件由第七篇“比选响应文件编制要求”规定的部分和供应商所作的一切有效补充、修改和承诺等文件组成，供应商应按照第七篇“比选响应文件编制要求”规定的目录顺序组织编写和装订，也可在基本格式基础上对表格进行扩展，未规定格式的由供应商自定格式。</w:t>
      </w:r>
    </w:p>
    <w:p w14:paraId="53BE1799">
      <w:pPr>
        <w:pageBreakBefore w:val="0"/>
        <w:numPr>
          <w:ilvl w:val="0"/>
          <w:numId w:val="16"/>
        </w:numPr>
        <w:wordWrap/>
        <w:topLinePunct w:val="0"/>
        <w:bidi w:val="0"/>
        <w:spacing w:before="77" w:beforeLines="20" w:line="360" w:lineRule="auto"/>
        <w:ind w:left="0" w:leftChars="0" w:right="0" w:firstLine="48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w:t>
      </w:r>
    </w:p>
    <w:p w14:paraId="79E419A3">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本项目不接受联合体参与比选。</w:t>
      </w:r>
    </w:p>
    <w:p w14:paraId="79AFCE8A">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（三）比选有效期：比选响应文件及有关承诺文件有效期为提交比选响应文件截止时间起90天。</w:t>
      </w:r>
    </w:p>
    <w:p w14:paraId="1CA33C50">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bookmarkStart w:id="90" w:name="_Toc22541"/>
      <w:r>
        <w:rPr>
          <w:rFonts w:hint="eastAsia" w:ascii="宋体" w:hAnsi="宋体" w:eastAsia="宋体" w:cs="宋体"/>
          <w:color w:val="auto"/>
          <w:sz w:val="24"/>
          <w:szCs w:val="24"/>
          <w:highlight w:val="none"/>
        </w:rPr>
        <w:t>（四）修正错误</w:t>
      </w:r>
    </w:p>
    <w:p w14:paraId="3D0EEC23">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1、若供应商所递交的比选响应文件或最后报价中的价格出现大写金额和小写金额不一致的错误，以大写金额修正为准。</w:t>
      </w:r>
    </w:p>
    <w:p w14:paraId="03B9B126">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2.若供应商所上传的响应文件中报价函价格与“行采家”网站（https://www.gec123.com/）所填报的价格不一致，以“行采家”网站（https://www.gec123.com/）所填报的价格为准。</w:t>
      </w:r>
    </w:p>
    <w:p w14:paraId="5AE804E6">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比选小组</w:t>
      </w:r>
      <w:r>
        <w:rPr>
          <w:rFonts w:hint="eastAsia" w:ascii="宋体" w:hAnsi="宋体" w:eastAsia="宋体" w:cs="宋体"/>
          <w:color w:val="auto"/>
          <w:sz w:val="24"/>
          <w:szCs w:val="24"/>
          <w:highlight w:val="none"/>
        </w:rPr>
        <w:t>按上述修正错误的原则及方法修正供应商的报价，供应商须默认上述修正方式，修正后的报价对供应商具有约束作用。如果供应商不接受修正后的价格，将失去成为</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的资格。</w:t>
      </w:r>
    </w:p>
    <w:p w14:paraId="12285AD6">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（五）提交比选响应文件的份数和签署</w:t>
      </w:r>
    </w:p>
    <w:p w14:paraId="27A6D010">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供应商线上报名、报价时需上传盖章后完整的响应文件电子文档一份。</w:t>
      </w:r>
    </w:p>
    <w:p w14:paraId="7AE5715F">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.在响应文件中，网上</w:t>
      </w:r>
      <w:r>
        <w:rPr>
          <w:rFonts w:hint="eastAsia" w:ascii="宋体" w:hAnsi="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文件第七篇响应文件编制要求中规定签字、盖章的地方必须按其规定签字、盖章。</w:t>
      </w:r>
    </w:p>
    <w:p w14:paraId="03EB1577">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.电报、电话、传真形式的响应文件概不接受。</w:t>
      </w:r>
    </w:p>
    <w:p w14:paraId="0E73FC12">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（六）比选响应文件的递交</w:t>
      </w:r>
    </w:p>
    <w:p w14:paraId="48D21D09">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线上报名：响应文件的电子文档应在有效报名时间段内，通过系统在线提交。</w:t>
      </w:r>
    </w:p>
    <w:p w14:paraId="729ED57E">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91" w:name="_Toc31165"/>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的确认和变更</w:t>
      </w:r>
      <w:bookmarkEnd w:id="90"/>
      <w:bookmarkEnd w:id="91"/>
    </w:p>
    <w:p w14:paraId="59D2DB4B">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（一）中选人的确认</w:t>
      </w:r>
    </w:p>
    <w:p w14:paraId="73C90494">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采购代理机构应当在评审结束后2个工作日内将评审报告送采购人确认。采购人应当在收到评审报告后5个工作日内，在评审报告确定的中选候选人名单中按顺序确定中选人。采购人逾期未确定</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且不提出异议的，视为确定评审报告提出的排序第一的供应商为中选人。</w:t>
      </w:r>
    </w:p>
    <w:p w14:paraId="37862B99">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（二）中选人的变更</w:t>
      </w:r>
    </w:p>
    <w:p w14:paraId="5FE5D629">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中选人拒绝与采购人签订合同的，采购人可以按照评标报告推荐的中选人顺序，确定排名下一位的候选人为</w:t>
      </w:r>
      <w:r>
        <w:rPr>
          <w:rFonts w:hint="eastAsia" w:ascii="宋体" w:hAnsi="宋体" w:eastAsia="宋体" w:cs="宋体"/>
          <w:color w:val="auto"/>
          <w:sz w:val="24"/>
          <w:szCs w:val="24"/>
          <w:highlight w:val="none"/>
        </w:rPr>
        <w:t>中选人</w:t>
      </w:r>
      <w:r>
        <w:rPr>
          <w:rFonts w:hint="eastAsia" w:ascii="宋体" w:hAnsi="宋体" w:eastAsia="宋体" w:cs="宋体"/>
          <w:color w:val="auto"/>
          <w:sz w:val="24"/>
          <w:highlight w:val="none"/>
        </w:rPr>
        <w:t>，也可以重新开展采购活动。</w:t>
      </w:r>
    </w:p>
    <w:p w14:paraId="48070632">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92" w:name="_Toc342913395"/>
      <w:bookmarkStart w:id="93" w:name="_Toc102227321"/>
      <w:bookmarkStart w:id="94" w:name="_Toc32316"/>
      <w:bookmarkStart w:id="95" w:name="_Toc8404"/>
      <w:r>
        <w:rPr>
          <w:rFonts w:hint="eastAsia" w:ascii="宋体" w:hAnsi="宋体" w:eastAsia="宋体" w:cs="宋体"/>
          <w:color w:val="auto"/>
          <w:sz w:val="24"/>
          <w:szCs w:val="24"/>
          <w:highlight w:val="none"/>
        </w:rPr>
        <w:t>五、成交通知</w:t>
      </w:r>
      <w:bookmarkEnd w:id="92"/>
      <w:bookmarkEnd w:id="93"/>
      <w:bookmarkEnd w:id="94"/>
      <w:bookmarkEnd w:id="95"/>
    </w:p>
    <w:p w14:paraId="426AB671">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（一）采购代理机构将在重庆市“行采家”平台（http://www.gec123.com）上发布成交结果公告。</w:t>
      </w:r>
    </w:p>
    <w:p w14:paraId="279F1B4F">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（二）结果公告发出同时，采购代理机构将以书面形式发出《中选通知书》。《中选通知书》一经发出即发生法律效力。</w:t>
      </w:r>
    </w:p>
    <w:p w14:paraId="0DF7C8E0">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（三）《中选通知书》将作为签订合同的依据。</w:t>
      </w:r>
    </w:p>
    <w:p w14:paraId="4EC24E5F">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96" w:name="_Toc7994"/>
      <w:bookmarkStart w:id="97" w:name="_Toc5898"/>
      <w:r>
        <w:rPr>
          <w:rFonts w:hint="eastAsia" w:ascii="宋体" w:hAnsi="宋体" w:eastAsia="宋体" w:cs="宋体"/>
          <w:color w:val="auto"/>
          <w:sz w:val="24"/>
          <w:szCs w:val="24"/>
          <w:highlight w:val="none"/>
        </w:rPr>
        <w:t>六、关于质疑</w:t>
      </w:r>
      <w:bookmarkEnd w:id="96"/>
      <w:bookmarkEnd w:id="97"/>
    </w:p>
    <w:p w14:paraId="66551B32">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6946DBFC">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供应商认为采购文件、采购过程和成交结果使自己的权益受到伤害的，可向采购人或采购代理机构以书面形式提出质疑。</w:t>
      </w:r>
    </w:p>
    <w:p w14:paraId="22F9BB27">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提出质疑的应当是参与所质疑项目采购活动的供应商。 </w:t>
      </w:r>
    </w:p>
    <w:p w14:paraId="0C68AA96">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36689A00">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682FC675">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1.2供应商提出质疑应当提交质疑函和必要的证明材料，质疑函应当包括下列内容：</w:t>
      </w:r>
    </w:p>
    <w:p w14:paraId="373C9253">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1.2.1供应商的姓名或者名称、地址、邮编、联系人及联系电话；</w:t>
      </w:r>
    </w:p>
    <w:p w14:paraId="6C96A198">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1.2.2质疑项目的名称、项目编号；</w:t>
      </w:r>
    </w:p>
    <w:p w14:paraId="19B3CC4D">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1.2.3具体、明确的质疑事项和与质疑事项相关的请求；</w:t>
      </w:r>
    </w:p>
    <w:p w14:paraId="29D5659E">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1.2.4事实依据；</w:t>
      </w:r>
    </w:p>
    <w:p w14:paraId="4842B802">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1.2.5必要的法律依据；</w:t>
      </w:r>
    </w:p>
    <w:p w14:paraId="67F7CE3F">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1.2.6提出质疑的日期；</w:t>
      </w:r>
    </w:p>
    <w:p w14:paraId="52A1E0D4">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1.2.7营业执照（或事业单位法人证书，或个体工商户营业执照或有效的自然人身份证明）复印件；</w:t>
      </w:r>
    </w:p>
    <w:p w14:paraId="1DC360F7">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1.2.8法定代表人授权委托书原件、法定代表人身份证复印件和其授权代表的身份证复印件（供应商为自然人的提供自然人身份证复印件）；</w:t>
      </w:r>
    </w:p>
    <w:p w14:paraId="5633D97F">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359E7F51">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08BB2A94">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采购人、采购代理机构应当在收到供应商的书面质疑后七个工作日内作出答复，并以书面形式通知质疑供应商和其他有关供应商。</w:t>
      </w:r>
    </w:p>
    <w:p w14:paraId="00DCD231">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6CBF7849">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3.1供应商应按照《政府采购质疑和投诉办法》（财政部令第94号）及相关法律法规要求，在法定质疑期内一次性提出针对同一采购程序环节的质疑。</w:t>
      </w:r>
    </w:p>
    <w:p w14:paraId="6192A822">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20D68B64">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98" w:name="_Toc5943"/>
      <w:bookmarkStart w:id="99" w:name="_Toc9727"/>
      <w:r>
        <w:rPr>
          <w:rFonts w:hint="eastAsia" w:ascii="宋体" w:hAnsi="宋体" w:eastAsia="宋体" w:cs="宋体"/>
          <w:color w:val="auto"/>
          <w:sz w:val="24"/>
          <w:szCs w:val="24"/>
          <w:highlight w:val="none"/>
        </w:rPr>
        <w:t>七、采购代理服务费</w:t>
      </w:r>
      <w:bookmarkEnd w:id="98"/>
      <w:bookmarkEnd w:id="99"/>
    </w:p>
    <w:p w14:paraId="144AEC39">
      <w:pPr>
        <w:pageBreakBefore w:val="0"/>
        <w:wordWrap/>
        <w:topLinePunct w:val="0"/>
        <w:bidi w:val="0"/>
        <w:spacing w:before="77" w:beforeLines="20" w:line="360" w:lineRule="auto"/>
        <w:ind w:left="0" w:leftChars="0" w:right="0" w:firstLine="360" w:firstLineChars="150"/>
        <w:textAlignment w:val="auto"/>
        <w:rPr>
          <w:rFonts w:hint="eastAsia" w:ascii="宋体" w:hAnsi="宋体" w:eastAsia="宋体" w:cs="宋体"/>
          <w:color w:val="auto"/>
          <w:sz w:val="24"/>
          <w:szCs w:val="24"/>
          <w:highlight w:val="none"/>
        </w:rPr>
      </w:pPr>
      <w:bookmarkStart w:id="100" w:name="_Toc102227322"/>
      <w:bookmarkStart w:id="101" w:name="_Toc342913396"/>
      <w:bookmarkStart w:id="102" w:name="_Toc3328"/>
      <w:r>
        <w:rPr>
          <w:rFonts w:hint="eastAsia" w:ascii="宋体" w:hAnsi="宋体" w:eastAsia="宋体" w:cs="宋体"/>
          <w:color w:val="auto"/>
          <w:sz w:val="24"/>
          <w:szCs w:val="24"/>
          <w:highlight w:val="none"/>
        </w:rPr>
        <w:t>比选代理服务费的支付：以中选通知书载明的中选金额为基数，按“计价格【2002】1980号”等国家有关文件规定中“工程类下浮</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%计取本项目代理服务费，</w:t>
      </w:r>
      <w:r>
        <w:rPr>
          <w:rFonts w:hint="eastAsia" w:ascii="宋体" w:hAnsi="宋体" w:eastAsia="宋体" w:cs="宋体"/>
          <w:color w:val="auto"/>
          <w:spacing w:val="0"/>
          <w:sz w:val="24"/>
          <w:szCs w:val="24"/>
          <w:lang w:val="en-US" w:eastAsia="zh-CN"/>
        </w:rPr>
        <w:t>暂定代理费：3</w:t>
      </w:r>
      <w:r>
        <w:rPr>
          <w:rFonts w:hint="eastAsia" w:ascii="宋体" w:hAnsi="宋体" w:cs="宋体"/>
          <w:color w:val="auto"/>
          <w:spacing w:val="0"/>
          <w:sz w:val="24"/>
          <w:szCs w:val="24"/>
          <w:lang w:val="en-US" w:eastAsia="zh-CN"/>
        </w:rPr>
        <w:t>852.00</w:t>
      </w:r>
      <w:r>
        <w:rPr>
          <w:rFonts w:hint="eastAsia" w:ascii="宋体" w:hAnsi="宋体" w:eastAsia="宋体" w:cs="宋体"/>
          <w:color w:val="auto"/>
          <w:spacing w:val="0"/>
          <w:sz w:val="24"/>
          <w:szCs w:val="24"/>
          <w:lang w:val="en-US" w:eastAsia="zh-CN"/>
        </w:rPr>
        <w:t>元，</w:t>
      </w:r>
      <w:r>
        <w:rPr>
          <w:rFonts w:hint="eastAsia" w:ascii="宋体" w:hAnsi="宋体" w:eastAsia="宋体" w:cs="宋体"/>
          <w:color w:val="auto"/>
          <w:spacing w:val="0"/>
          <w:sz w:val="24"/>
          <w:szCs w:val="24"/>
        </w:rPr>
        <w:t>不足3000元时按3000元计取</w:t>
      </w:r>
      <w:r>
        <w:rPr>
          <w:rFonts w:hint="eastAsia" w:ascii="宋体" w:hAnsi="宋体" w:eastAsia="宋体" w:cs="宋体"/>
          <w:color w:val="auto"/>
          <w:sz w:val="24"/>
          <w:szCs w:val="24"/>
          <w:highlight w:val="none"/>
        </w:rPr>
        <w:t>。由中</w:t>
      </w:r>
      <w:r>
        <w:rPr>
          <w:rFonts w:hint="eastAsia" w:ascii="宋体" w:hAnsi="宋体" w:eastAsia="宋体" w:cs="宋体"/>
          <w:color w:val="auto"/>
          <w:sz w:val="24"/>
          <w:szCs w:val="24"/>
          <w:highlight w:val="none"/>
          <w:lang w:eastAsia="zh-CN"/>
        </w:rPr>
        <w:t>选</w:t>
      </w:r>
      <w:r>
        <w:rPr>
          <w:rFonts w:hint="eastAsia" w:ascii="宋体" w:hAnsi="宋体" w:eastAsia="宋体" w:cs="宋体"/>
          <w:color w:val="auto"/>
          <w:sz w:val="24"/>
          <w:szCs w:val="24"/>
          <w:highlight w:val="none"/>
        </w:rPr>
        <w:t>单位在领取成交通知书时一次性向代理公司支付。</w:t>
      </w:r>
    </w:p>
    <w:p w14:paraId="2662A265">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lang w:val="en-US" w:eastAsia="zh-CN"/>
        </w:rPr>
      </w:pPr>
      <w:bookmarkStart w:id="103" w:name="_Toc13542"/>
      <w:r>
        <w:rPr>
          <w:rFonts w:hint="eastAsia" w:ascii="宋体" w:hAnsi="宋体" w:eastAsia="宋体" w:cs="宋体"/>
          <w:color w:val="auto"/>
          <w:sz w:val="24"/>
          <w:szCs w:val="24"/>
          <w:highlight w:val="none"/>
          <w:lang w:val="en-US" w:eastAsia="zh-CN"/>
        </w:rPr>
        <w:t>八、</w:t>
      </w:r>
      <w:bookmarkStart w:id="104" w:name="OLE_LINK3"/>
      <w:r>
        <w:rPr>
          <w:rFonts w:hint="eastAsia" w:ascii="宋体" w:hAnsi="宋体" w:eastAsia="宋体" w:cs="宋体"/>
          <w:color w:val="auto"/>
          <w:sz w:val="24"/>
          <w:szCs w:val="24"/>
          <w:highlight w:val="none"/>
          <w:lang w:val="en-US" w:eastAsia="zh-CN"/>
        </w:rPr>
        <w:t>平台服务费</w:t>
      </w:r>
      <w:bookmarkEnd w:id="103"/>
      <w:bookmarkEnd w:id="104"/>
    </w:p>
    <w:p w14:paraId="4CED9AC0">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本项目行采家平台对中选人收取3‰的的平台服务费，具体缴纳方式请咨询行采家平台，咨询电话：023-88158017。</w:t>
      </w:r>
    </w:p>
    <w:p w14:paraId="55270485">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105" w:name="_Toc15674"/>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、签订</w:t>
      </w:r>
      <w:bookmarkEnd w:id="100"/>
      <w:r>
        <w:rPr>
          <w:rFonts w:hint="eastAsia" w:ascii="宋体" w:hAnsi="宋体" w:eastAsia="宋体" w:cs="宋体"/>
          <w:color w:val="auto"/>
          <w:sz w:val="24"/>
          <w:szCs w:val="24"/>
          <w:highlight w:val="none"/>
        </w:rPr>
        <w:t>合同</w:t>
      </w:r>
      <w:bookmarkEnd w:id="101"/>
      <w:bookmarkEnd w:id="102"/>
      <w:bookmarkEnd w:id="105"/>
    </w:p>
    <w:p w14:paraId="4BA40F97">
      <w:pPr>
        <w:pageBreakBefore w:val="0"/>
        <w:wordWrap/>
        <w:topLinePunct w:val="0"/>
        <w:bidi w:val="0"/>
        <w:spacing w:before="77" w:beforeLines="20" w:line="360" w:lineRule="auto"/>
        <w:ind w:left="0" w:leftChars="0" w:righ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（一）采购人原则上应在成交通知书发出之日起</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十日内和</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签订采购合同，无正当理由不得拒绝或拖延合同签订。所签订的合同不得对竞争性比选文件和供应商的比选响应文件作实质性修改。其他未尽事宜由采购人和</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在采购合同中详细约定。</w:t>
      </w:r>
    </w:p>
    <w:p w14:paraId="221231FA">
      <w:pPr>
        <w:pageBreakBefore w:val="0"/>
        <w:wordWrap/>
        <w:topLinePunct w:val="0"/>
        <w:bidi w:val="0"/>
        <w:spacing w:before="77" w:beforeLines="20" w:line="360" w:lineRule="auto"/>
        <w:ind w:left="0" w:leftChars="0" w:righ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（二）竞争性比选文件、供应商的比选响应文件及澄清文件等，均为签订采购合同的依据。</w:t>
      </w:r>
    </w:p>
    <w:p w14:paraId="6B41F640">
      <w:pPr>
        <w:pageBreakBefore w:val="0"/>
        <w:wordWrap/>
        <w:topLinePunct w:val="0"/>
        <w:bidi w:val="0"/>
        <w:spacing w:before="77" w:beforeLines="20" w:line="360" w:lineRule="auto"/>
        <w:ind w:left="0" w:leftChars="0" w:righ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11A113AF">
      <w:pPr>
        <w:pageBreakBefore w:val="0"/>
        <w:wordWrap/>
        <w:topLinePunct w:val="0"/>
        <w:bidi w:val="0"/>
        <w:spacing w:before="77" w:beforeLines="20" w:line="360" w:lineRule="auto"/>
        <w:ind w:left="0" w:leftChars="0" w:right="0"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2175F46E">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69167C4A">
      <w:pPr>
        <w:pStyle w:val="4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bookmarkEnd w:id="72"/>
    <w:bookmarkEnd w:id="73"/>
    <w:p w14:paraId="7AD23220">
      <w:pPr>
        <w:pStyle w:val="3"/>
        <w:pageBreakBefore w:val="0"/>
        <w:numPr>
          <w:ilvl w:val="0"/>
          <w:numId w:val="0"/>
        </w:numPr>
        <w:wordWrap/>
        <w:topLinePunct w:val="0"/>
        <w:bidi w:val="0"/>
        <w:spacing w:before="77" w:beforeLines="20" w:line="360" w:lineRule="auto"/>
        <w:ind w:right="0" w:rightChars="0" w:firstLine="3240" w:firstLineChars="900"/>
        <w:jc w:val="both"/>
        <w:textAlignment w:val="auto"/>
        <w:rPr>
          <w:rFonts w:hint="eastAsia" w:ascii="宋体" w:hAnsi="宋体" w:eastAsia="宋体" w:cs="宋体"/>
          <w:b w:val="0"/>
          <w:bCs/>
          <w:color w:val="auto"/>
          <w:sz w:val="36"/>
          <w:szCs w:val="30"/>
          <w:highlight w:val="none"/>
        </w:rPr>
      </w:pPr>
      <w:bookmarkStart w:id="106" w:name="_Hlt41879464"/>
      <w:bookmarkEnd w:id="106"/>
      <w:bookmarkStart w:id="107" w:name="_Toc28084"/>
      <w:bookmarkStart w:id="108" w:name="_Toc505262417"/>
      <w:bookmarkStart w:id="109" w:name="_Toc12789072"/>
      <w:r>
        <w:rPr>
          <w:rFonts w:hint="eastAsia" w:ascii="宋体" w:hAnsi="宋体" w:eastAsia="宋体" w:cs="宋体"/>
          <w:b w:val="0"/>
          <w:bCs/>
          <w:color w:val="auto"/>
          <w:sz w:val="36"/>
          <w:szCs w:val="30"/>
          <w:highlight w:val="none"/>
        </w:rPr>
        <w:br w:type="page"/>
      </w:r>
      <w:bookmarkEnd w:id="107"/>
      <w:bookmarkEnd w:id="108"/>
      <w:bookmarkStart w:id="110" w:name="_Toc211"/>
      <w:r>
        <w:rPr>
          <w:rFonts w:hint="eastAsia" w:ascii="宋体" w:hAnsi="宋体" w:eastAsia="宋体" w:cs="宋体"/>
          <w:b w:val="0"/>
          <w:bCs/>
          <w:color w:val="auto"/>
          <w:sz w:val="36"/>
          <w:szCs w:val="30"/>
          <w:highlight w:val="none"/>
          <w:lang w:eastAsia="zh-CN"/>
        </w:rPr>
        <w:t>第六章</w:t>
      </w:r>
      <w:r>
        <w:rPr>
          <w:rFonts w:hint="eastAsia" w:ascii="宋体" w:hAnsi="宋体" w:eastAsia="宋体" w:cs="宋体"/>
          <w:b w:val="0"/>
          <w:bCs/>
          <w:color w:val="auto"/>
          <w:sz w:val="36"/>
          <w:szCs w:val="30"/>
          <w:highlight w:val="none"/>
        </w:rPr>
        <w:t xml:space="preserve"> </w:t>
      </w:r>
      <w:bookmarkStart w:id="111" w:name="_Toc26902"/>
      <w:r>
        <w:rPr>
          <w:rFonts w:hint="eastAsia" w:ascii="宋体" w:hAnsi="宋体" w:eastAsia="宋体" w:cs="宋体"/>
          <w:b w:val="0"/>
          <w:bCs/>
          <w:color w:val="auto"/>
          <w:sz w:val="36"/>
          <w:szCs w:val="30"/>
          <w:highlight w:val="none"/>
        </w:rPr>
        <w:t>采购合同</w:t>
      </w:r>
      <w:bookmarkEnd w:id="110"/>
      <w:bookmarkEnd w:id="111"/>
    </w:p>
    <w:p w14:paraId="3E3B91F5">
      <w:pPr>
        <w:pageBreakBefore w:val="0"/>
        <w:wordWrap/>
        <w:topLinePunct w:val="0"/>
        <w:bidi w:val="0"/>
        <w:snapToGrid w:val="0"/>
        <w:spacing w:before="77" w:beforeLines="20" w:line="360" w:lineRule="auto"/>
        <w:ind w:left="0" w:leftChars="0" w:right="0"/>
        <w:jc w:val="center"/>
        <w:textAlignment w:val="auto"/>
        <w:rPr>
          <w:rFonts w:hint="eastAsia" w:ascii="宋体" w:hAnsi="宋体" w:cs="宋体"/>
          <w:b/>
          <w:bCs/>
          <w:color w:val="auto"/>
          <w:sz w:val="28"/>
          <w:szCs w:val="28"/>
        </w:rPr>
      </w:pPr>
      <w:r>
        <w:rPr>
          <w:rFonts w:hint="eastAsia" w:ascii="宋体" w:hAnsi="宋体" w:cs="宋体"/>
          <w:b/>
          <w:bCs/>
          <w:color w:val="auto"/>
          <w:spacing w:val="-14"/>
          <w:sz w:val="28"/>
          <w:szCs w:val="28"/>
        </w:rPr>
        <w:t>（此为</w:t>
      </w:r>
      <w:r>
        <w:rPr>
          <w:rFonts w:hint="eastAsia" w:ascii="宋体" w:hAnsi="宋体" w:cs="宋体"/>
          <w:b/>
          <w:bCs/>
          <w:color w:val="auto"/>
          <w:spacing w:val="-14"/>
          <w:sz w:val="28"/>
          <w:szCs w:val="28"/>
          <w:lang w:val="en-US" w:eastAsia="zh-CN"/>
        </w:rPr>
        <w:t>范本合同</w:t>
      </w:r>
      <w:r>
        <w:rPr>
          <w:rFonts w:hint="eastAsia" w:ascii="宋体" w:hAnsi="宋体" w:cs="宋体"/>
          <w:b/>
          <w:bCs/>
          <w:color w:val="auto"/>
          <w:spacing w:val="-14"/>
          <w:sz w:val="28"/>
          <w:szCs w:val="28"/>
        </w:rPr>
        <w:t>，最终以双方约定</w:t>
      </w:r>
      <w:r>
        <w:rPr>
          <w:rFonts w:hint="eastAsia" w:ascii="宋体" w:hAnsi="宋体" w:cs="宋体"/>
          <w:b/>
          <w:bCs/>
          <w:color w:val="auto"/>
          <w:spacing w:val="-14"/>
          <w:sz w:val="28"/>
          <w:szCs w:val="28"/>
          <w:lang w:val="en-US" w:eastAsia="zh-CN"/>
        </w:rPr>
        <w:t>签订</w:t>
      </w:r>
      <w:r>
        <w:rPr>
          <w:rFonts w:hint="eastAsia" w:ascii="宋体" w:hAnsi="宋体" w:cs="宋体"/>
          <w:b/>
          <w:bCs/>
          <w:color w:val="auto"/>
          <w:spacing w:val="-14"/>
          <w:sz w:val="28"/>
          <w:szCs w:val="28"/>
        </w:rPr>
        <w:t>为准）</w:t>
      </w:r>
    </w:p>
    <w:p w14:paraId="77E39020">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（项目编号：     ）</w:t>
      </w:r>
    </w:p>
    <w:p w14:paraId="373ED3F4">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甲方（需方）：___________________________      计价单位：____________</w:t>
      </w:r>
    </w:p>
    <w:p w14:paraId="26C1D3C9">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乙方（供方）：___________________________      计量单位：_____________</w:t>
      </w:r>
    </w:p>
    <w:p w14:paraId="1695C6FD">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经双方协商一致，达成以下购销合同：</w:t>
      </w:r>
    </w:p>
    <w:tbl>
      <w:tblPr>
        <w:tblStyle w:val="5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711"/>
        <w:gridCol w:w="587"/>
        <w:gridCol w:w="1134"/>
        <w:gridCol w:w="1559"/>
        <w:gridCol w:w="1567"/>
        <w:gridCol w:w="15"/>
      </w:tblGrid>
      <w:tr w14:paraId="16C5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00F2ED47">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741" w:type="dxa"/>
            <w:vAlign w:val="center"/>
          </w:tcPr>
          <w:p w14:paraId="58FC4C4F">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相关信息</w:t>
            </w:r>
          </w:p>
        </w:tc>
        <w:tc>
          <w:tcPr>
            <w:tcW w:w="984" w:type="dxa"/>
            <w:vAlign w:val="center"/>
          </w:tcPr>
          <w:p w14:paraId="7C7A6FB8">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vAlign w:val="center"/>
          </w:tcPr>
          <w:p w14:paraId="43977AB3">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tc>
        <w:tc>
          <w:tcPr>
            <w:tcW w:w="1134" w:type="dxa"/>
            <w:vAlign w:val="center"/>
          </w:tcPr>
          <w:p w14:paraId="09B07DC4">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559" w:type="dxa"/>
            <w:vAlign w:val="center"/>
          </w:tcPr>
          <w:p w14:paraId="0CDCBAC3">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工</w:t>
            </w:r>
            <w:r>
              <w:rPr>
                <w:rFonts w:hint="eastAsia" w:ascii="宋体" w:hAnsi="宋体" w:eastAsia="宋体" w:cs="宋体"/>
                <w:color w:val="auto"/>
                <w:sz w:val="21"/>
                <w:szCs w:val="21"/>
                <w:highlight w:val="none"/>
              </w:rPr>
              <w:t>期</w:t>
            </w:r>
          </w:p>
        </w:tc>
        <w:tc>
          <w:tcPr>
            <w:tcW w:w="1567" w:type="dxa"/>
            <w:vAlign w:val="center"/>
          </w:tcPr>
          <w:p w14:paraId="6CFB29B5">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施工</w:t>
            </w:r>
            <w:r>
              <w:rPr>
                <w:rFonts w:hint="eastAsia" w:ascii="宋体" w:hAnsi="宋体" w:eastAsia="宋体" w:cs="宋体"/>
                <w:color w:val="auto"/>
                <w:sz w:val="21"/>
                <w:szCs w:val="21"/>
                <w:highlight w:val="none"/>
              </w:rPr>
              <w:t>地点</w:t>
            </w:r>
          </w:p>
        </w:tc>
      </w:tr>
      <w:tr w14:paraId="0F14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F910C44">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741" w:type="dxa"/>
            <w:vAlign w:val="center"/>
          </w:tcPr>
          <w:p w14:paraId="62674ADE">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984" w:type="dxa"/>
            <w:vAlign w:val="center"/>
          </w:tcPr>
          <w:p w14:paraId="6DA94199">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298" w:type="dxa"/>
            <w:gridSpan w:val="2"/>
            <w:vAlign w:val="center"/>
          </w:tcPr>
          <w:p w14:paraId="4F9AB9E2">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134" w:type="dxa"/>
            <w:vAlign w:val="center"/>
          </w:tcPr>
          <w:p w14:paraId="2DA0347A">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559" w:type="dxa"/>
            <w:vAlign w:val="center"/>
          </w:tcPr>
          <w:p w14:paraId="67F57FE0">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567" w:type="dxa"/>
            <w:vAlign w:val="center"/>
          </w:tcPr>
          <w:p w14:paraId="18FF6D76">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r>
      <w:tr w14:paraId="76F4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68CFB3E">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741" w:type="dxa"/>
            <w:vAlign w:val="center"/>
          </w:tcPr>
          <w:p w14:paraId="0BE35200">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984" w:type="dxa"/>
            <w:vAlign w:val="center"/>
          </w:tcPr>
          <w:p w14:paraId="68DFBE45">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298" w:type="dxa"/>
            <w:gridSpan w:val="2"/>
            <w:vAlign w:val="center"/>
          </w:tcPr>
          <w:p w14:paraId="7B97781F">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134" w:type="dxa"/>
            <w:vAlign w:val="center"/>
          </w:tcPr>
          <w:p w14:paraId="02E3D890">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559" w:type="dxa"/>
            <w:vAlign w:val="center"/>
          </w:tcPr>
          <w:p w14:paraId="79DEBA9E">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567" w:type="dxa"/>
            <w:vAlign w:val="center"/>
          </w:tcPr>
          <w:p w14:paraId="315E57DB">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r>
      <w:tr w14:paraId="2CD9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2F49B5B">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741" w:type="dxa"/>
            <w:vAlign w:val="center"/>
          </w:tcPr>
          <w:p w14:paraId="6C434E9F">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984" w:type="dxa"/>
            <w:vAlign w:val="center"/>
          </w:tcPr>
          <w:p w14:paraId="3FF4802C">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298" w:type="dxa"/>
            <w:gridSpan w:val="2"/>
            <w:vAlign w:val="center"/>
          </w:tcPr>
          <w:p w14:paraId="644BDAA9">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134" w:type="dxa"/>
            <w:vAlign w:val="center"/>
          </w:tcPr>
          <w:p w14:paraId="64E8B124">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559" w:type="dxa"/>
            <w:vAlign w:val="center"/>
          </w:tcPr>
          <w:p w14:paraId="48D3ACFB">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567" w:type="dxa"/>
            <w:vAlign w:val="center"/>
          </w:tcPr>
          <w:p w14:paraId="5614505B">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r>
      <w:tr w14:paraId="273D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F0A3066">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741" w:type="dxa"/>
            <w:vAlign w:val="center"/>
          </w:tcPr>
          <w:p w14:paraId="304E55C5">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984" w:type="dxa"/>
            <w:vAlign w:val="center"/>
          </w:tcPr>
          <w:p w14:paraId="370CA269">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298" w:type="dxa"/>
            <w:gridSpan w:val="2"/>
            <w:vAlign w:val="center"/>
          </w:tcPr>
          <w:p w14:paraId="048AAFA3">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134" w:type="dxa"/>
            <w:vAlign w:val="center"/>
          </w:tcPr>
          <w:p w14:paraId="2C7172FF">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559" w:type="dxa"/>
            <w:vAlign w:val="center"/>
          </w:tcPr>
          <w:p w14:paraId="66AAE3D5">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567" w:type="dxa"/>
            <w:vAlign w:val="center"/>
          </w:tcPr>
          <w:p w14:paraId="7D8D8363">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r>
      <w:tr w14:paraId="551B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C5091CC">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741" w:type="dxa"/>
            <w:vAlign w:val="center"/>
          </w:tcPr>
          <w:p w14:paraId="676E7D0E">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984" w:type="dxa"/>
            <w:vAlign w:val="center"/>
          </w:tcPr>
          <w:p w14:paraId="5D945A70">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298" w:type="dxa"/>
            <w:gridSpan w:val="2"/>
            <w:vAlign w:val="center"/>
          </w:tcPr>
          <w:p w14:paraId="52A47F04">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134" w:type="dxa"/>
            <w:vAlign w:val="center"/>
          </w:tcPr>
          <w:p w14:paraId="159CEB99">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559" w:type="dxa"/>
            <w:vAlign w:val="center"/>
          </w:tcPr>
          <w:p w14:paraId="2FEEC117">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567" w:type="dxa"/>
            <w:vAlign w:val="center"/>
          </w:tcPr>
          <w:p w14:paraId="3EE5C5CE">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r>
      <w:tr w14:paraId="3337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B16EA13">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741" w:type="dxa"/>
            <w:vAlign w:val="center"/>
          </w:tcPr>
          <w:p w14:paraId="19729618">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984" w:type="dxa"/>
            <w:vAlign w:val="center"/>
          </w:tcPr>
          <w:p w14:paraId="2C8ECDDB">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298" w:type="dxa"/>
            <w:gridSpan w:val="2"/>
            <w:vAlign w:val="center"/>
          </w:tcPr>
          <w:p w14:paraId="1E0E311E">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134" w:type="dxa"/>
            <w:vAlign w:val="center"/>
          </w:tcPr>
          <w:p w14:paraId="2328EECF">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559" w:type="dxa"/>
            <w:vAlign w:val="center"/>
          </w:tcPr>
          <w:p w14:paraId="2BE485CB">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567" w:type="dxa"/>
            <w:vAlign w:val="center"/>
          </w:tcPr>
          <w:p w14:paraId="2B740E85">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r>
      <w:tr w14:paraId="1646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2B2F46A">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741" w:type="dxa"/>
            <w:vAlign w:val="center"/>
          </w:tcPr>
          <w:p w14:paraId="7B497849">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984" w:type="dxa"/>
            <w:vAlign w:val="center"/>
          </w:tcPr>
          <w:p w14:paraId="53A10405">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298" w:type="dxa"/>
            <w:gridSpan w:val="2"/>
            <w:vAlign w:val="center"/>
          </w:tcPr>
          <w:p w14:paraId="6E8BAA8D">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134" w:type="dxa"/>
            <w:vAlign w:val="center"/>
          </w:tcPr>
          <w:p w14:paraId="1AE2FD07">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559" w:type="dxa"/>
            <w:vAlign w:val="center"/>
          </w:tcPr>
          <w:p w14:paraId="0F7913C9">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567" w:type="dxa"/>
            <w:vAlign w:val="center"/>
          </w:tcPr>
          <w:p w14:paraId="3D269DB2">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r>
      <w:tr w14:paraId="697F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BB9D6F0">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741" w:type="dxa"/>
            <w:vAlign w:val="center"/>
          </w:tcPr>
          <w:p w14:paraId="7E9B60E5">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984" w:type="dxa"/>
            <w:vAlign w:val="center"/>
          </w:tcPr>
          <w:p w14:paraId="57D8A453">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298" w:type="dxa"/>
            <w:gridSpan w:val="2"/>
            <w:vAlign w:val="center"/>
          </w:tcPr>
          <w:p w14:paraId="1C717D48">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134" w:type="dxa"/>
            <w:vAlign w:val="center"/>
          </w:tcPr>
          <w:p w14:paraId="2C49E4B9">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559" w:type="dxa"/>
            <w:vAlign w:val="center"/>
          </w:tcPr>
          <w:p w14:paraId="133F6CFE">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c>
          <w:tcPr>
            <w:tcW w:w="1567" w:type="dxa"/>
            <w:vAlign w:val="center"/>
          </w:tcPr>
          <w:p w14:paraId="13D9A8D6">
            <w:pPr>
              <w:pageBreakBefore w:val="0"/>
              <w:wordWrap/>
              <w:topLinePunct w:val="0"/>
              <w:bidi w:val="0"/>
              <w:spacing w:before="77" w:beforeLines="20" w:line="360" w:lineRule="auto"/>
              <w:ind w:left="0" w:leftChars="0" w:right="0"/>
              <w:jc w:val="center"/>
              <w:textAlignment w:val="auto"/>
              <w:rPr>
                <w:rFonts w:hint="eastAsia" w:ascii="宋体" w:hAnsi="宋体" w:eastAsia="宋体" w:cs="宋体"/>
                <w:color w:val="auto"/>
                <w:sz w:val="21"/>
                <w:szCs w:val="21"/>
                <w:highlight w:val="none"/>
              </w:rPr>
            </w:pPr>
          </w:p>
        </w:tc>
      </w:tr>
      <w:tr w14:paraId="705E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0EEA0FD5">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合计人民币（小写）：</w:t>
            </w:r>
          </w:p>
        </w:tc>
      </w:tr>
      <w:tr w14:paraId="38D2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0F1D7AC1">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合计人民币（大写）：</w:t>
            </w:r>
          </w:p>
        </w:tc>
      </w:tr>
      <w:tr w14:paraId="1D0E5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3CC9DD45">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要求</w:t>
            </w:r>
          </w:p>
        </w:tc>
      </w:tr>
      <w:tr w14:paraId="2E371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267560C6">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二、考核方式</w:t>
            </w:r>
          </w:p>
        </w:tc>
      </w:tr>
      <w:tr w14:paraId="1A16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1F789EED">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21FAA8D6">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p>
        </w:tc>
      </w:tr>
      <w:tr w14:paraId="16C9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11BC6553">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48293029">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按《中华人民共和国民法典》、《政府采购法》执行，或按双方约定。</w:t>
            </w:r>
          </w:p>
        </w:tc>
      </w:tr>
      <w:tr w14:paraId="477E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5A6380A8">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7231F67C">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1.采购文件及其补遗文件、响应文件和承诺是本合同不可分割的部分。</w:t>
            </w:r>
          </w:p>
          <w:p w14:paraId="121680CF">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2.本合同如发生争议由双方协商解决，协商不成向需方所在人民法院提请诉讼。</w:t>
            </w:r>
          </w:p>
          <w:p w14:paraId="6651060F">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3.本合同一式__份， 需方__份，供方__份，具同等法律效力。</w:t>
            </w:r>
          </w:p>
          <w:p w14:paraId="20B9018D">
            <w:pPr>
              <w:pStyle w:val="32"/>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tc>
      </w:tr>
      <w:tr w14:paraId="1A31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trPr>
        <w:tc>
          <w:tcPr>
            <w:tcW w:w="4766" w:type="dxa"/>
            <w:gridSpan w:val="4"/>
          </w:tcPr>
          <w:p w14:paraId="76AF5FFB">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需方：</w:t>
            </w:r>
          </w:p>
          <w:p w14:paraId="3CB419D2">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2ABB00D4">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796DEA02">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4862" w:type="dxa"/>
            <w:gridSpan w:val="5"/>
          </w:tcPr>
          <w:p w14:paraId="50A61025">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供方：</w:t>
            </w:r>
          </w:p>
          <w:p w14:paraId="77A4B16E">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22EB2B56">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0F4C9DD3">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243B2399">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222B2C05">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312830E6">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p w14:paraId="30E06850">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6A23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106F50CA">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06446B4F">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p>
          <w:p w14:paraId="1C5A9254">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p>
        </w:tc>
      </w:tr>
    </w:tbl>
    <w:p w14:paraId="568C44A8">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sectPr>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color w:val="auto"/>
          <w:sz w:val="24"/>
          <w:highlight w:val="none"/>
        </w:rPr>
        <w:t>签约时间：           年   月   日      签约地点：</w:t>
      </w:r>
    </w:p>
    <w:p w14:paraId="34FF602E">
      <w:pPr>
        <w:pStyle w:val="3"/>
        <w:pageBreakBefore w:val="0"/>
        <w:wordWrap/>
        <w:topLinePunct w:val="0"/>
        <w:bidi w:val="0"/>
        <w:spacing w:before="77" w:beforeLines="20" w:line="360" w:lineRule="auto"/>
        <w:ind w:left="0" w:leftChars="0" w:right="0"/>
        <w:jc w:val="center"/>
        <w:textAlignment w:val="auto"/>
        <w:rPr>
          <w:rFonts w:hint="eastAsia" w:ascii="宋体" w:hAnsi="宋体" w:eastAsia="宋体" w:cs="宋体"/>
          <w:b w:val="0"/>
          <w:color w:val="auto"/>
          <w:sz w:val="36"/>
          <w:szCs w:val="30"/>
          <w:highlight w:val="none"/>
        </w:rPr>
      </w:pPr>
      <w:bookmarkStart w:id="112" w:name="_Toc11052"/>
      <w:r>
        <w:rPr>
          <w:rFonts w:hint="eastAsia" w:ascii="宋体" w:hAnsi="宋体" w:eastAsia="宋体" w:cs="宋体"/>
          <w:b w:val="0"/>
          <w:color w:val="auto"/>
          <w:sz w:val="36"/>
          <w:szCs w:val="30"/>
          <w:highlight w:val="none"/>
        </w:rPr>
        <w:t xml:space="preserve">第七篇  </w:t>
      </w:r>
      <w:bookmarkEnd w:id="109"/>
      <w:r>
        <w:rPr>
          <w:rFonts w:hint="eastAsia" w:ascii="宋体" w:hAnsi="宋体" w:eastAsia="宋体" w:cs="宋体"/>
          <w:b w:val="0"/>
          <w:color w:val="auto"/>
          <w:sz w:val="36"/>
          <w:szCs w:val="30"/>
          <w:highlight w:val="none"/>
        </w:rPr>
        <w:t>比选响应文件编制要求</w:t>
      </w:r>
      <w:bookmarkEnd w:id="112"/>
    </w:p>
    <w:p w14:paraId="0405B967">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一、经济部分</w:t>
      </w:r>
    </w:p>
    <w:p w14:paraId="5F93613B">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（一）竞争性比选报价函</w:t>
      </w:r>
    </w:p>
    <w:p w14:paraId="41C2C237">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工程量清单</w:t>
      </w:r>
    </w:p>
    <w:p w14:paraId="4D954452">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部分</w:t>
      </w:r>
    </w:p>
    <w:p w14:paraId="093BC350">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响应偏离表</w:t>
      </w:r>
    </w:p>
    <w:p w14:paraId="33B23431">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（二）技术方案</w:t>
      </w:r>
    </w:p>
    <w:p w14:paraId="3E4BC0B2">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bookmarkStart w:id="113" w:name="OLE_LINK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）其他资料（格式自定）</w:t>
      </w:r>
    </w:p>
    <w:bookmarkEnd w:id="113"/>
    <w:p w14:paraId="5021DACA">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4735D4C7">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660D7FB5">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其它商务部分相关资料</w:t>
      </w:r>
    </w:p>
    <w:p w14:paraId="213E1772">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）其它优惠服务承诺（格式自定）</w:t>
      </w:r>
    </w:p>
    <w:p w14:paraId="12166D96">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0A60317A">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2353715D">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0FE33585">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50D634C1">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（四）基本资格条件承诺函（格式）</w:t>
      </w:r>
    </w:p>
    <w:p w14:paraId="47C75180">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bookmarkStart w:id="114" w:name="_Toc313888360"/>
      <w:bookmarkStart w:id="115" w:name="_Toc342913419"/>
      <w:bookmarkStart w:id="116" w:name="_Toc313008356"/>
      <w:bookmarkStart w:id="117" w:name="_Toc283382454"/>
      <w:bookmarkStart w:id="118" w:name="_Toc12789073"/>
      <w:r>
        <w:rPr>
          <w:rFonts w:hint="eastAsia" w:ascii="宋体" w:hAnsi="宋体" w:eastAsia="宋体" w:cs="宋体"/>
          <w:color w:val="auto"/>
          <w:sz w:val="24"/>
          <w:szCs w:val="24"/>
          <w:highlight w:val="none"/>
        </w:rPr>
        <w:t>（五）特定资格条件证书或证明文件</w:t>
      </w:r>
    </w:p>
    <w:p w14:paraId="140BC6DF">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五、其他资料</w:t>
      </w:r>
    </w:p>
    <w:p w14:paraId="086AD819">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中小企业声明函、监狱企业证明文件、残疾人福利性单位声明函</w:t>
      </w:r>
    </w:p>
    <w:p w14:paraId="18A5C8A0">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）其他与项目有关的资料</w:t>
      </w:r>
    </w:p>
    <w:p w14:paraId="43F7F4A4">
      <w:pPr>
        <w:pStyle w:val="69"/>
        <w:pageBreakBefore w:val="0"/>
        <w:wordWrap/>
        <w:topLinePunct w:val="0"/>
        <w:bidi w:val="0"/>
        <w:spacing w:before="77" w:beforeLines="20" w:line="360" w:lineRule="auto"/>
        <w:ind w:left="0" w:leftChars="0" w:right="0"/>
        <w:textAlignment w:val="auto"/>
        <w:rPr>
          <w:rFonts w:hint="eastAsia" w:ascii="宋体" w:hAnsi="宋体" w:eastAsia="宋体" w:cs="宋体"/>
          <w:color w:val="auto"/>
          <w:szCs w:val="24"/>
          <w:highlight w:val="none"/>
        </w:rPr>
      </w:pPr>
    </w:p>
    <w:p w14:paraId="3492CDD1">
      <w:pPr>
        <w:pStyle w:val="69"/>
        <w:pageBreakBefore w:val="0"/>
        <w:wordWrap/>
        <w:topLinePunct w:val="0"/>
        <w:bidi w:val="0"/>
        <w:spacing w:before="77" w:beforeLines="20" w:line="360" w:lineRule="auto"/>
        <w:ind w:left="0" w:leftChars="0" w:right="0"/>
        <w:textAlignment w:val="auto"/>
        <w:rPr>
          <w:rFonts w:hint="eastAsia" w:ascii="宋体" w:hAnsi="宋体" w:eastAsia="宋体" w:cs="宋体"/>
          <w:color w:val="auto"/>
          <w:szCs w:val="24"/>
          <w:highlight w:val="none"/>
        </w:rPr>
      </w:pPr>
    </w:p>
    <w:p w14:paraId="19CDA588">
      <w:pPr>
        <w:pStyle w:val="69"/>
        <w:pageBreakBefore w:val="0"/>
        <w:wordWrap/>
        <w:topLinePunct w:val="0"/>
        <w:bidi w:val="0"/>
        <w:spacing w:before="77" w:beforeLines="20" w:line="360" w:lineRule="auto"/>
        <w:ind w:left="0" w:leftChars="0" w:right="0"/>
        <w:textAlignment w:val="auto"/>
        <w:rPr>
          <w:rFonts w:hint="eastAsia" w:ascii="宋体" w:hAnsi="宋体" w:eastAsia="宋体" w:cs="宋体"/>
          <w:color w:val="auto"/>
          <w:szCs w:val="24"/>
          <w:highlight w:val="none"/>
        </w:rPr>
      </w:pPr>
    </w:p>
    <w:p w14:paraId="4AB09540">
      <w:pPr>
        <w:pStyle w:val="69"/>
        <w:pageBreakBefore w:val="0"/>
        <w:wordWrap/>
        <w:topLinePunct w:val="0"/>
        <w:bidi w:val="0"/>
        <w:spacing w:before="77" w:beforeLines="20" w:line="360" w:lineRule="auto"/>
        <w:ind w:left="0" w:leftChars="0" w:right="0"/>
        <w:textAlignment w:val="auto"/>
        <w:rPr>
          <w:rFonts w:hint="eastAsia" w:ascii="宋体" w:hAnsi="宋体" w:eastAsia="宋体" w:cs="宋体"/>
          <w:color w:val="auto"/>
          <w:szCs w:val="24"/>
          <w:highlight w:val="none"/>
        </w:rPr>
      </w:pPr>
    </w:p>
    <w:p w14:paraId="361326AC">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273917C9">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119" w:name="_Toc5978"/>
      <w:r>
        <w:rPr>
          <w:rFonts w:hint="eastAsia" w:ascii="宋体" w:hAnsi="宋体" w:eastAsia="宋体" w:cs="宋体"/>
          <w:color w:val="auto"/>
          <w:sz w:val="24"/>
          <w:szCs w:val="24"/>
          <w:highlight w:val="none"/>
        </w:rPr>
        <w:t>一、经济部分</w:t>
      </w:r>
      <w:bookmarkEnd w:id="114"/>
      <w:bookmarkEnd w:id="115"/>
      <w:bookmarkEnd w:id="116"/>
      <w:bookmarkEnd w:id="119"/>
    </w:p>
    <w:bookmarkEnd w:id="117"/>
    <w:bookmarkEnd w:id="118"/>
    <w:p w14:paraId="1AA890A9">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（一）竞争性比选报价函</w:t>
      </w:r>
    </w:p>
    <w:p w14:paraId="1DC0FBD1">
      <w:pPr>
        <w:pageBreakBefore w:val="0"/>
        <w:tabs>
          <w:tab w:val="left" w:pos="6300"/>
        </w:tabs>
        <w:wordWrap/>
        <w:topLinePunct w:val="0"/>
        <w:bidi w:val="0"/>
        <w:snapToGrid w:val="0"/>
        <w:spacing w:before="77" w:beforeLines="20" w:line="360" w:lineRule="auto"/>
        <w:ind w:left="0" w:leftChars="0" w:right="0"/>
        <w:jc w:val="center"/>
        <w:textAlignment w:val="auto"/>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竞争性比选报价函</w:t>
      </w:r>
    </w:p>
    <w:p w14:paraId="31C41B40">
      <w:pPr>
        <w:pageBreakBefore w:val="0"/>
        <w:tabs>
          <w:tab w:val="left" w:pos="6300"/>
        </w:tabs>
        <w:wordWrap/>
        <w:topLinePunct w:val="0"/>
        <w:bidi w:val="0"/>
        <w:snapToGrid w:val="0"/>
        <w:spacing w:before="77" w:beforeLines="2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（采购代理机构名称）</w:t>
      </w:r>
      <w:r>
        <w:rPr>
          <w:rFonts w:hint="eastAsia" w:ascii="宋体" w:hAnsi="宋体" w:eastAsia="宋体" w:cs="宋体"/>
          <w:color w:val="auto"/>
          <w:sz w:val="24"/>
          <w:szCs w:val="24"/>
          <w:highlight w:val="none"/>
        </w:rPr>
        <w:t>：</w:t>
      </w:r>
    </w:p>
    <w:p w14:paraId="6643E398">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我方收到____________________________（项目名称）及_____________（项目编号）的竞争性比选文件，经详细研究，决定参加该项目的比选。</w:t>
      </w:r>
    </w:p>
    <w:p w14:paraId="380022B7">
      <w:pPr>
        <w:pageBreakBefore w:val="0"/>
        <w:tabs>
          <w:tab w:val="left" w:pos="6300"/>
        </w:tabs>
        <w:wordWrap/>
        <w:topLinePunct w:val="0"/>
        <w:bidi w:val="0"/>
        <w:snapToGrid w:val="0"/>
        <w:spacing w:before="77" w:beforeLines="20" w:line="360" w:lineRule="auto"/>
        <w:ind w:left="0" w:leftChars="0" w:right="0" w:firstLine="458" w:firstLineChars="191"/>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1、愿意按照竞争性比选文件中的一切要求，提供本项目的</w:t>
      </w:r>
      <w:r>
        <w:rPr>
          <w:rFonts w:hint="eastAsia" w:ascii="宋体" w:hAnsi="宋体" w:cs="宋体"/>
          <w:color w:val="auto"/>
          <w:sz w:val="24"/>
          <w:szCs w:val="24"/>
          <w:highlight w:val="none"/>
          <w:lang w:eastAsia="zh-CN"/>
        </w:rPr>
        <w:t>施工</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；人民币小写</w:t>
      </w:r>
      <w:r>
        <w:rPr>
          <w:rFonts w:hint="eastAsia" w:ascii="宋体" w:hAnsi="宋体" w:eastAsia="宋体" w:cs="宋体"/>
          <w:color w:val="auto"/>
          <w:sz w:val="24"/>
          <w:szCs w:val="24"/>
          <w:highlight w:val="none"/>
          <w:u w:val="single"/>
        </w:rPr>
        <w:t>：    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（其中安全文明施工费暂定金额为：</w:t>
      </w:r>
      <w:r>
        <w:rPr>
          <w:rFonts w:hint="eastAsia" w:ascii="宋体" w:hAnsi="宋体" w:eastAsia="宋体" w:cs="宋体"/>
          <w:color w:val="auto"/>
          <w:sz w:val="24"/>
          <w:szCs w:val="24"/>
          <w:highlight w:val="none"/>
          <w:u w:val="single"/>
          <w:lang w:val="en-US" w:eastAsia="zh-CN"/>
        </w:rPr>
        <w:t xml:space="preserve">       元</w:t>
      </w:r>
      <w:r>
        <w:rPr>
          <w:rFonts w:hint="eastAsia" w:ascii="宋体" w:hAnsi="宋体" w:eastAsia="宋体" w:cs="宋体"/>
          <w:color w:val="auto"/>
          <w:sz w:val="24"/>
          <w:szCs w:val="24"/>
          <w:highlight w:val="none"/>
          <w:lang w:val="en-US" w:eastAsia="zh-CN"/>
        </w:rPr>
        <w:t>）</w:t>
      </w:r>
    </w:p>
    <w:p w14:paraId="4B813606">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2、我方现提交的比选响应文件为：响应文件电子文档壹份。</w:t>
      </w:r>
    </w:p>
    <w:p w14:paraId="6D4BE6FD">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3、我方承诺：本次比选的有效期为提交比选响应文件截止时间起90天。</w:t>
      </w:r>
    </w:p>
    <w:p w14:paraId="7B47F15A">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4、我方完全理解和接受贵方竞争性比选文件的一切规定和要求及评审办法。</w:t>
      </w:r>
    </w:p>
    <w:p w14:paraId="7CA77EFC">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5、在整个竞争性比选过程中，我方若有违规行为，接受按照《中华人民共和国政府采购法》及其实施条例等规定给予惩罚。</w:t>
      </w:r>
    </w:p>
    <w:p w14:paraId="0CC92AB9">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，将按照最终比选结果签订合同，并且严格履行合同义务。本承诺函将成为合同不可分割的一部分，与合同具有同等的法律效力。</w:t>
      </w:r>
    </w:p>
    <w:p w14:paraId="55BBBF09">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7、我方理解，最低报价不是成交的唯一条件</w:t>
      </w:r>
      <w:r>
        <w:rPr>
          <w:rFonts w:hint="eastAsia" w:ascii="宋体" w:hAnsi="宋体" w:eastAsia="宋体" w:cs="宋体"/>
          <w:color w:val="auto"/>
          <w:sz w:val="24"/>
          <w:szCs w:val="28"/>
          <w:highlight w:val="none"/>
        </w:rPr>
        <w:t>。</w:t>
      </w:r>
    </w:p>
    <w:p w14:paraId="7B9F2DB8">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8、我方同意按竞争性比选文件规定如果我方成为</w:t>
      </w:r>
      <w:r>
        <w:rPr>
          <w:rFonts w:hint="eastAsia" w:ascii="宋体" w:hAnsi="宋体" w:eastAsia="宋体" w:cs="宋体"/>
          <w:color w:val="auto"/>
          <w:sz w:val="24"/>
          <w:szCs w:val="24"/>
          <w:highlight w:val="none"/>
          <w:lang w:eastAsia="zh-CN"/>
        </w:rPr>
        <w:t>中选人</w:t>
      </w:r>
      <w:r>
        <w:rPr>
          <w:rFonts w:hint="eastAsia" w:ascii="宋体" w:hAnsi="宋体" w:eastAsia="宋体" w:cs="宋体"/>
          <w:color w:val="auto"/>
          <w:sz w:val="24"/>
          <w:szCs w:val="24"/>
          <w:highlight w:val="none"/>
        </w:rPr>
        <w:t>，保证在接到成交通知书后，向采购代理机构交纳竞争性比选文件规定的采购代理服务费</w:t>
      </w:r>
      <w:r>
        <w:rPr>
          <w:rFonts w:hint="eastAsia" w:ascii="宋体" w:hAnsi="宋体" w:cs="宋体"/>
          <w:color w:val="auto"/>
          <w:sz w:val="24"/>
          <w:szCs w:val="24"/>
          <w:highlight w:val="none"/>
          <w:lang w:val="en-US" w:eastAsia="zh-CN"/>
        </w:rPr>
        <w:t>和平台服务费</w:t>
      </w:r>
      <w:bookmarkStart w:id="139" w:name="_GoBack"/>
      <w:bookmarkEnd w:id="139"/>
      <w:r>
        <w:rPr>
          <w:rFonts w:hint="eastAsia" w:ascii="宋体" w:hAnsi="宋体" w:eastAsia="宋体" w:cs="宋体"/>
          <w:color w:val="auto"/>
          <w:sz w:val="24"/>
          <w:szCs w:val="24"/>
          <w:highlight w:val="none"/>
        </w:rPr>
        <w:t>。</w:t>
      </w:r>
    </w:p>
    <w:p w14:paraId="3FF6D0CB">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05AC0CDE">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p>
    <w:p w14:paraId="399CB940">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供应商（公章）或自然人签署：</w:t>
      </w:r>
    </w:p>
    <w:p w14:paraId="3E0481B3">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10590B69">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49855A93">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4945A427">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41F66A4B">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w:t>
      </w:r>
    </w:p>
    <w:p w14:paraId="2BF345A6">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670A1F06">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sectPr>
          <w:headerReference r:id="rId10" w:type="default"/>
          <w:footerReference r:id="rId11" w:type="default"/>
          <w:pgSz w:w="11907" w:h="16840"/>
          <w:pgMar w:top="1134" w:right="1191" w:bottom="1134" w:left="1304" w:header="851" w:footer="992" w:gutter="0"/>
          <w:pgNumType w:fmt="numberInDash"/>
          <w:cols w:space="720" w:num="1"/>
          <w:docGrid w:linePitch="380" w:charSpace="-5735"/>
        </w:sectPr>
      </w:pPr>
    </w:p>
    <w:p w14:paraId="6A54E7FC">
      <w:pPr>
        <w:pageBreakBefore w:val="0"/>
        <w:wordWrap/>
        <w:topLinePunct w:val="0"/>
        <w:bidi w:val="0"/>
        <w:adjustRightInd w:val="0"/>
        <w:snapToGrid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rPr>
      </w:pPr>
      <w:bookmarkStart w:id="120" w:name="_Toc342913420"/>
      <w:bookmarkStart w:id="121" w:name="_Toc313008357"/>
      <w:bookmarkStart w:id="122" w:name="_Toc313888361"/>
    </w:p>
    <w:p w14:paraId="0DDEA20A">
      <w:pPr>
        <w:pageBreakBefore w:val="0"/>
        <w:wordWrap/>
        <w:topLinePunct w:val="0"/>
        <w:bidi w:val="0"/>
        <w:adjustRightInd w:val="0"/>
        <w:snapToGrid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工程量清单</w:t>
      </w:r>
    </w:p>
    <w:p w14:paraId="4E091D75">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695D0D0F">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24CE95A6">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2117FAE5">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2E52E78F">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721F7C82">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7B2A7CE6">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133F61CE">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574C4476">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rPr>
      </w:pPr>
    </w:p>
    <w:p w14:paraId="220E411C">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78F90D88">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608F8480">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6792AB9E">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rPr>
      </w:pPr>
    </w:p>
    <w:p w14:paraId="5F746B03">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64385A4A">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25C5E9B0">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5A9BF308">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7BF7D23A">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6DE2FA9E">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6737E898">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6D66875D">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59FF4C82">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68B43A3B">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41414B1B">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7E035DB4">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6DFC3D20">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123" w:name="_Toc28972"/>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部分</w:t>
      </w:r>
      <w:bookmarkEnd w:id="120"/>
      <w:bookmarkEnd w:id="121"/>
      <w:bookmarkEnd w:id="122"/>
      <w:bookmarkEnd w:id="123"/>
    </w:p>
    <w:p w14:paraId="38BD28DF">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响应偏离表</w:t>
      </w:r>
    </w:p>
    <w:p w14:paraId="2AC24FB3">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18065B94">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项目名称</w:t>
      </w:r>
      <w:r>
        <w:rPr>
          <w:rFonts w:hint="eastAsia" w:ascii="宋体" w:hAnsi="宋体" w:eastAsia="宋体" w:cs="宋体"/>
          <w:color w:val="auto"/>
          <w:sz w:val="24"/>
          <w:szCs w:val="24"/>
          <w:highlight w:val="none"/>
        </w:rPr>
        <w:t>：</w:t>
      </w:r>
    </w:p>
    <w:tbl>
      <w:tblPr>
        <w:tblStyle w:val="5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77838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4DA02A05">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67" w:type="dxa"/>
            <w:vAlign w:val="center"/>
          </w:tcPr>
          <w:p w14:paraId="4B3FD130">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3081" w:type="dxa"/>
            <w:vAlign w:val="center"/>
          </w:tcPr>
          <w:p w14:paraId="68A7FE4F">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09" w:type="dxa"/>
            <w:vAlign w:val="center"/>
          </w:tcPr>
          <w:p w14:paraId="1D886A5F">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74FB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59DD58D">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2967" w:type="dxa"/>
            <w:vAlign w:val="center"/>
          </w:tcPr>
          <w:p w14:paraId="53B5A2AA">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3081" w:type="dxa"/>
            <w:vAlign w:val="center"/>
          </w:tcPr>
          <w:p w14:paraId="18325D23">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1"/>
                <w:szCs w:val="21"/>
                <w:highlight w:val="none"/>
              </w:rPr>
            </w:pPr>
          </w:p>
        </w:tc>
        <w:tc>
          <w:tcPr>
            <w:tcW w:w="2309" w:type="dxa"/>
            <w:vAlign w:val="center"/>
          </w:tcPr>
          <w:p w14:paraId="0F241E59">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r>
      <w:tr w14:paraId="2947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F562D24">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2967" w:type="dxa"/>
            <w:vAlign w:val="center"/>
          </w:tcPr>
          <w:p w14:paraId="51CFF9C2">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3081" w:type="dxa"/>
            <w:vAlign w:val="center"/>
          </w:tcPr>
          <w:p w14:paraId="52DA8708">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2309" w:type="dxa"/>
            <w:vAlign w:val="center"/>
          </w:tcPr>
          <w:p w14:paraId="6B8377CA">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r>
      <w:tr w14:paraId="29B7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962C569">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2967" w:type="dxa"/>
            <w:vAlign w:val="center"/>
          </w:tcPr>
          <w:p w14:paraId="31A8E990">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3081" w:type="dxa"/>
            <w:vAlign w:val="center"/>
          </w:tcPr>
          <w:p w14:paraId="00121B3A">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2309" w:type="dxa"/>
            <w:vAlign w:val="center"/>
          </w:tcPr>
          <w:p w14:paraId="210CFC20">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r>
      <w:tr w14:paraId="1F88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581CF83">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2967" w:type="dxa"/>
            <w:vAlign w:val="center"/>
          </w:tcPr>
          <w:p w14:paraId="0AD8EBBD">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3081" w:type="dxa"/>
            <w:vAlign w:val="center"/>
          </w:tcPr>
          <w:p w14:paraId="57DD7720">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2309" w:type="dxa"/>
            <w:vAlign w:val="center"/>
          </w:tcPr>
          <w:p w14:paraId="70358F6E">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r>
      <w:tr w14:paraId="7075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C9CED43">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2967" w:type="dxa"/>
            <w:vAlign w:val="center"/>
          </w:tcPr>
          <w:p w14:paraId="22CC3EA5">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3081" w:type="dxa"/>
            <w:vAlign w:val="center"/>
          </w:tcPr>
          <w:p w14:paraId="21F91562">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2309" w:type="dxa"/>
            <w:vAlign w:val="center"/>
          </w:tcPr>
          <w:p w14:paraId="2CF928EE">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r>
      <w:tr w14:paraId="3142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F8152BF">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2967" w:type="dxa"/>
            <w:vAlign w:val="center"/>
          </w:tcPr>
          <w:p w14:paraId="542F8029">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3081" w:type="dxa"/>
            <w:vAlign w:val="center"/>
          </w:tcPr>
          <w:p w14:paraId="7BDDF3E4">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2309" w:type="dxa"/>
            <w:vAlign w:val="center"/>
          </w:tcPr>
          <w:p w14:paraId="1E5A72DE">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r>
      <w:tr w14:paraId="317B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16C2B10A">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2967" w:type="dxa"/>
            <w:vAlign w:val="center"/>
          </w:tcPr>
          <w:p w14:paraId="5721FEF0">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3081" w:type="dxa"/>
            <w:vAlign w:val="center"/>
          </w:tcPr>
          <w:p w14:paraId="4845B939">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2309" w:type="dxa"/>
            <w:vAlign w:val="center"/>
          </w:tcPr>
          <w:p w14:paraId="4EE4C3A2">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r>
      <w:tr w14:paraId="550E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79CD471C">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2967" w:type="dxa"/>
            <w:vAlign w:val="center"/>
          </w:tcPr>
          <w:p w14:paraId="0F222D5E">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3081" w:type="dxa"/>
            <w:vAlign w:val="center"/>
          </w:tcPr>
          <w:p w14:paraId="6CF5D4B9">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c>
          <w:tcPr>
            <w:tcW w:w="2309" w:type="dxa"/>
            <w:vAlign w:val="center"/>
          </w:tcPr>
          <w:p w14:paraId="15AD4718">
            <w:pPr>
              <w:pageBreakBefore w:val="0"/>
              <w:wordWrap/>
              <w:topLinePunct w:val="0"/>
              <w:bidi w:val="0"/>
              <w:spacing w:before="77" w:beforeLines="20" w:line="360" w:lineRule="auto"/>
              <w:ind w:left="0" w:leftChars="0" w:right="0" w:firstLine="525" w:firstLineChars="250"/>
              <w:textAlignment w:val="auto"/>
              <w:rPr>
                <w:rFonts w:hint="eastAsia" w:ascii="宋体" w:hAnsi="宋体" w:eastAsia="宋体" w:cs="宋体"/>
                <w:color w:val="auto"/>
                <w:sz w:val="21"/>
                <w:szCs w:val="21"/>
                <w:highlight w:val="none"/>
              </w:rPr>
            </w:pPr>
          </w:p>
        </w:tc>
      </w:tr>
    </w:tbl>
    <w:p w14:paraId="2C0C0233">
      <w:pPr>
        <w:pageBreakBefore w:val="0"/>
        <w:wordWrap/>
        <w:topLinePunct w:val="0"/>
        <w:bidi w:val="0"/>
        <w:spacing w:before="77" w:beforeLines="20" w:line="360" w:lineRule="auto"/>
        <w:ind w:left="0" w:leftChars="0" w:right="0" w:firstLine="600" w:firstLineChars="25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42123C73">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（供应商公章）                            （签署或盖章）</w:t>
      </w:r>
    </w:p>
    <w:p w14:paraId="4AC36D44">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bookmarkStart w:id="124" w:name="_Toc313888362"/>
      <w:bookmarkStart w:id="125" w:name="_Toc342913421"/>
      <w:bookmarkStart w:id="126" w:name="_Toc313008358"/>
    </w:p>
    <w:p w14:paraId="5117A33B">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EA5A986">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1.本表即为对本项目“第二篇 项目</w:t>
      </w:r>
      <w:r>
        <w:rPr>
          <w:rFonts w:hint="eastAsia" w:ascii="宋体" w:hAnsi="宋体" w:eastAsia="宋体" w:cs="宋体"/>
          <w:color w:val="auto"/>
          <w:sz w:val="24"/>
          <w:highlight w:val="none"/>
          <w:lang w:val="en-US" w:eastAsia="zh-CN"/>
        </w:rPr>
        <w:t>技术</w:t>
      </w:r>
      <w:r>
        <w:rPr>
          <w:rFonts w:hint="eastAsia" w:ascii="宋体" w:hAnsi="宋体" w:eastAsia="宋体" w:cs="宋体"/>
          <w:color w:val="auto"/>
          <w:sz w:val="24"/>
          <w:highlight w:val="none"/>
        </w:rPr>
        <w:t>需求”中所列条款进行比较和响应；</w:t>
      </w:r>
    </w:p>
    <w:p w14:paraId="74C43D59">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2.该表必须按照</w:t>
      </w:r>
      <w:r>
        <w:rPr>
          <w:rFonts w:hint="eastAsia" w:ascii="宋体" w:hAnsi="宋体" w:eastAsia="宋体" w:cs="宋体"/>
          <w:color w:val="auto"/>
          <w:sz w:val="24"/>
          <w:highlight w:val="none"/>
          <w:lang w:val="en-US" w:eastAsia="zh-CN"/>
        </w:rPr>
        <w:t>竞争性比选</w:t>
      </w:r>
      <w:r>
        <w:rPr>
          <w:rFonts w:hint="eastAsia" w:ascii="宋体" w:hAnsi="宋体" w:eastAsia="宋体" w:cs="宋体"/>
          <w:color w:val="auto"/>
          <w:sz w:val="24"/>
          <w:highlight w:val="none"/>
        </w:rPr>
        <w:t>要求逐条如实填写，“响应情况”栏需逐条填写具体内容，并在“差异说明”项填写正偏离或负偏离，完全符合的填写“无差异”，如“响应情况”栏未填写具体内容或与“采购项目技术要求”要求的内容不完全一致，则该供应商不能通过本项目的符合性审查。如“响应情况”栏具体内容和“采购</w:t>
      </w:r>
      <w:r>
        <w:rPr>
          <w:rFonts w:hint="eastAsia" w:ascii="宋体" w:hAnsi="宋体" w:eastAsia="宋体" w:cs="宋体"/>
          <w:color w:val="auto"/>
          <w:sz w:val="24"/>
          <w:highlight w:val="none"/>
          <w:lang w:val="en-US" w:eastAsia="zh-CN"/>
        </w:rPr>
        <w:t>需求</w:t>
      </w:r>
      <w:r>
        <w:rPr>
          <w:rFonts w:hint="eastAsia" w:ascii="宋体" w:hAnsi="宋体" w:eastAsia="宋体" w:cs="宋体"/>
          <w:color w:val="auto"/>
          <w:sz w:val="24"/>
          <w:highlight w:val="none"/>
        </w:rPr>
        <w:t>”栏具体内容一致但“差异说明”栏未填写则视为无差异。</w:t>
      </w:r>
    </w:p>
    <w:p w14:paraId="4E307DE0">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3.该表可扩展。</w:t>
      </w:r>
    </w:p>
    <w:p w14:paraId="0E2E9525">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4.相关证明材料后附。（格式自定）</w:t>
      </w:r>
    </w:p>
    <w:p w14:paraId="5539BC3F">
      <w:pPr>
        <w:pageBreakBefore w:val="0"/>
        <w:wordWrap/>
        <w:topLinePunct w:val="0"/>
        <w:bidi w:val="0"/>
        <w:spacing w:before="77" w:beforeLines="20" w:line="360" w:lineRule="auto"/>
        <w:ind w:left="0" w:leftChars="0" w:right="0"/>
        <w:textAlignment w:val="auto"/>
        <w:rPr>
          <w:rFonts w:hint="eastAsia" w:ascii="宋体" w:hAnsi="宋体" w:eastAsia="宋体" w:cs="宋体"/>
          <w:bCs/>
          <w:color w:val="auto"/>
          <w:sz w:val="24"/>
          <w:szCs w:val="24"/>
          <w:highlight w:val="none"/>
        </w:rPr>
      </w:pPr>
    </w:p>
    <w:p w14:paraId="4F4FF4F6">
      <w:pPr>
        <w:pageBreakBefore w:val="0"/>
        <w:wordWrap/>
        <w:topLinePunct w:val="0"/>
        <w:bidi w:val="0"/>
        <w:spacing w:before="77" w:beforeLines="20" w:line="360" w:lineRule="auto"/>
        <w:ind w:left="0" w:leftChars="0" w:right="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14:paraId="2ECCEB73">
      <w:pPr>
        <w:pageBreakBefore w:val="0"/>
        <w:numPr>
          <w:ilvl w:val="0"/>
          <w:numId w:val="0"/>
        </w:numPr>
        <w:wordWrap/>
        <w:topLinePunct w:val="0"/>
        <w:bidi w:val="0"/>
        <w:spacing w:before="77" w:beforeLines="20" w:line="360" w:lineRule="auto"/>
        <w:ind w:left="0" w:leftChars="0" w:right="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（二）技术方案</w:t>
      </w:r>
    </w:p>
    <w:p w14:paraId="63471634">
      <w:pPr>
        <w:pageBreakBefore w:val="0"/>
        <w:numPr>
          <w:ilvl w:val="0"/>
          <w:numId w:val="0"/>
        </w:numPr>
        <w:wordWrap/>
        <w:topLinePunct w:val="0"/>
        <w:bidi w:val="0"/>
        <w:spacing w:before="77" w:beforeLines="20" w:line="360" w:lineRule="auto"/>
        <w:ind w:left="0" w:leftChars="0" w:right="0" w:firstLine="480" w:firstLineChars="200"/>
        <w:textAlignment w:val="auto"/>
        <w:rPr>
          <w:rFonts w:hint="eastAsia" w:ascii="宋体" w:hAnsi="宋体" w:eastAsia="宋体" w:cs="宋体"/>
          <w:bCs/>
          <w:color w:val="auto"/>
          <w:sz w:val="24"/>
          <w:szCs w:val="24"/>
          <w:highlight w:val="none"/>
          <w:lang w:val="en-US" w:eastAsia="zh-CN"/>
        </w:rPr>
      </w:pPr>
      <w:bookmarkStart w:id="127" w:name="OLE_LINK4"/>
      <w:r>
        <w:rPr>
          <w:rFonts w:hint="eastAsia" w:ascii="宋体" w:hAnsi="宋体" w:eastAsia="宋体" w:cs="宋体"/>
          <w:bCs/>
          <w:color w:val="auto"/>
          <w:sz w:val="24"/>
          <w:szCs w:val="24"/>
          <w:highlight w:val="none"/>
          <w:lang w:val="en-US" w:eastAsia="zh-CN"/>
        </w:rPr>
        <w:t>供应商可根据竞争性比选文件“第四篇 比选程序及方法、评审标准、无效响应和采购终止→评审标准→技术部分”中的要求提供。</w:t>
      </w:r>
    </w:p>
    <w:bookmarkEnd w:id="127"/>
    <w:p w14:paraId="6F8663CF">
      <w:pPr>
        <w:pStyle w:val="7"/>
        <w:pageBreakBefore w:val="0"/>
        <w:numPr>
          <w:ilvl w:val="0"/>
          <w:numId w:val="0"/>
        </w:numPr>
        <w:wordWrap/>
        <w:topLinePunct w:val="0"/>
        <w:bidi w:val="0"/>
        <w:spacing w:before="77" w:beforeLines="20" w:line="360" w:lineRule="auto"/>
        <w:ind w:left="0" w:leftChars="0" w:right="0"/>
        <w:textAlignment w:val="auto"/>
        <w:rPr>
          <w:rFonts w:hint="eastAsia" w:ascii="宋体" w:hAnsi="宋体" w:eastAsia="宋体" w:cs="宋体"/>
          <w:color w:val="auto"/>
          <w:lang w:val="en-US" w:eastAsia="zh-CN"/>
        </w:rPr>
      </w:pPr>
    </w:p>
    <w:p w14:paraId="5AAF47E0">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6EEABC00">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3B95CB25">
      <w:pPr>
        <w:pStyle w:val="44"/>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71DB962C">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53FEE3AD">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4C4515A2">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35C8BBC2">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5057CE8C">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09CECF27">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756FE3B2">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1ADD517A">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149DAC41">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525BACC0">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4C80D931">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728468F4">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6833B193">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2EE3C9F1">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1478308F">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6597B11C">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4A19221E">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18B1C442">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52E76D8F">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71D4C31C">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2E8D335B">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）其他资料（格式自定）</w:t>
      </w:r>
    </w:p>
    <w:p w14:paraId="4057B154">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rPr>
      </w:pPr>
    </w:p>
    <w:p w14:paraId="7D8B4C71">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5CAE287E">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048A7163">
      <w:pPr>
        <w:pStyle w:val="44"/>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14F2CAAE">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38900622">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6295C85D">
      <w:pPr>
        <w:pStyle w:val="44"/>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48119DA3">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1191BF91">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7ADFCA32">
      <w:pPr>
        <w:pStyle w:val="44"/>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63F3E2BD">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50973CFA">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3FAD6A6F">
      <w:pPr>
        <w:pStyle w:val="44"/>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2192C63A">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1B9628F9">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1C6E3082">
      <w:pPr>
        <w:pStyle w:val="44"/>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168994A5">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437CB4CA">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147397D8">
      <w:pPr>
        <w:pStyle w:val="44"/>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3AB47EB4">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50FA05ED">
      <w:pPr>
        <w:pStyle w:val="22"/>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7099E1D1">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p>
    <w:p w14:paraId="5342275F">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bookmarkStart w:id="128" w:name="_Toc10132"/>
      <w:r>
        <w:rPr>
          <w:rFonts w:hint="eastAsia" w:ascii="宋体" w:hAnsi="宋体" w:eastAsia="宋体" w:cs="宋体"/>
          <w:color w:val="auto"/>
          <w:sz w:val="24"/>
          <w:szCs w:val="24"/>
          <w:highlight w:val="none"/>
        </w:rPr>
        <w:t>三、商务部分</w:t>
      </w:r>
      <w:bookmarkEnd w:id="124"/>
      <w:bookmarkEnd w:id="125"/>
      <w:bookmarkEnd w:id="126"/>
      <w:bookmarkEnd w:id="128"/>
    </w:p>
    <w:p w14:paraId="2C18A054">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bookmarkStart w:id="129" w:name="_Toc283382459"/>
      <w:r>
        <w:rPr>
          <w:rFonts w:hint="eastAsia" w:ascii="宋体" w:hAnsi="宋体" w:eastAsia="宋体" w:cs="宋体"/>
          <w:color w:val="auto"/>
          <w:sz w:val="24"/>
          <w:szCs w:val="24"/>
          <w:highlight w:val="none"/>
        </w:rPr>
        <w:t>商务响应偏离表</w:t>
      </w:r>
    </w:p>
    <w:p w14:paraId="7E1E1972">
      <w:pPr>
        <w:pStyle w:val="32"/>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78968BA0">
      <w:pPr>
        <w:pStyle w:val="32"/>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highlight w:val="none"/>
        </w:rPr>
      </w:pPr>
      <w:r>
        <w:rPr>
          <w:rFonts w:hint="eastAsia" w:ascii="宋体" w:hAnsi="宋体" w:cs="宋体"/>
          <w:color w:val="auto"/>
          <w:sz w:val="24"/>
          <w:highlight w:val="none"/>
          <w:lang w:eastAsia="zh-CN"/>
        </w:rPr>
        <w:t>项目名称</w:t>
      </w:r>
      <w:r>
        <w:rPr>
          <w:rFonts w:hint="eastAsia" w:ascii="宋体" w:hAnsi="宋体" w:eastAsia="宋体" w:cs="宋体"/>
          <w:color w:val="auto"/>
          <w:sz w:val="24"/>
          <w:highlight w:val="none"/>
        </w:rPr>
        <w:t>：</w:t>
      </w:r>
    </w:p>
    <w:tbl>
      <w:tblPr>
        <w:tblStyle w:val="5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A21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A242B24">
            <w:pPr>
              <w:pageBreakBefore w:val="0"/>
              <w:wordWrap/>
              <w:topLinePunct w:val="0"/>
              <w:bidi w:val="0"/>
              <w:snapToGrid w:val="0"/>
              <w:spacing w:before="77" w:beforeLines="20" w:line="360" w:lineRule="auto"/>
              <w:ind w:left="0" w:leftChars="0" w:right="0" w:firstLine="46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179" w:type="dxa"/>
            <w:vAlign w:val="center"/>
          </w:tcPr>
          <w:p w14:paraId="0911C316">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比选项目商务需求</w:t>
            </w:r>
          </w:p>
        </w:tc>
        <w:tc>
          <w:tcPr>
            <w:tcW w:w="2434" w:type="dxa"/>
            <w:vAlign w:val="center"/>
          </w:tcPr>
          <w:p w14:paraId="360BEAFD">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2355" w:type="dxa"/>
            <w:vAlign w:val="center"/>
          </w:tcPr>
          <w:p w14:paraId="64AD9B86">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差异说明</w:t>
            </w:r>
          </w:p>
        </w:tc>
      </w:tr>
      <w:tr w14:paraId="5521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510" w:type="dxa"/>
            <w:vAlign w:val="center"/>
          </w:tcPr>
          <w:p w14:paraId="0368690B">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3179" w:type="dxa"/>
            <w:vAlign w:val="center"/>
          </w:tcPr>
          <w:p w14:paraId="224B06C7">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2434" w:type="dxa"/>
            <w:vAlign w:val="center"/>
          </w:tcPr>
          <w:p w14:paraId="7C424490">
            <w:pPr>
              <w:pageBreakBefore w:val="0"/>
              <w:tabs>
                <w:tab w:val="left" w:pos="6300"/>
              </w:tabs>
              <w:wordWrap/>
              <w:topLinePunct w:val="0"/>
              <w:bidi w:val="0"/>
              <w:snapToGrid w:val="0"/>
              <w:spacing w:before="77" w:beforeLines="20" w:line="360" w:lineRule="auto"/>
              <w:ind w:left="0" w:leftChars="0" w:right="0"/>
              <w:textAlignment w:val="auto"/>
              <w:outlineLvl w:val="0"/>
              <w:rPr>
                <w:rFonts w:hint="eastAsia" w:ascii="宋体" w:hAnsi="宋体" w:eastAsia="宋体" w:cs="宋体"/>
                <w:color w:val="auto"/>
                <w:sz w:val="21"/>
                <w:szCs w:val="21"/>
                <w:highlight w:val="none"/>
              </w:rPr>
            </w:pPr>
          </w:p>
        </w:tc>
        <w:tc>
          <w:tcPr>
            <w:tcW w:w="2355" w:type="dxa"/>
            <w:vAlign w:val="center"/>
          </w:tcPr>
          <w:p w14:paraId="09D462E2">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r>
      <w:tr w14:paraId="1368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01D8EAC">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3179" w:type="dxa"/>
            <w:vAlign w:val="center"/>
          </w:tcPr>
          <w:p w14:paraId="0F5F5257">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2434" w:type="dxa"/>
            <w:vAlign w:val="center"/>
          </w:tcPr>
          <w:p w14:paraId="016CDBFA">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2355" w:type="dxa"/>
            <w:vAlign w:val="center"/>
          </w:tcPr>
          <w:p w14:paraId="3654C2F6">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r>
      <w:tr w14:paraId="49A0E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1052F91">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3179" w:type="dxa"/>
            <w:vAlign w:val="center"/>
          </w:tcPr>
          <w:p w14:paraId="13BE9694">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2434" w:type="dxa"/>
            <w:vAlign w:val="center"/>
          </w:tcPr>
          <w:p w14:paraId="7B9CDE30">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2355" w:type="dxa"/>
            <w:vAlign w:val="center"/>
          </w:tcPr>
          <w:p w14:paraId="3CA42791">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r>
      <w:tr w14:paraId="0D23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80F72C8">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3179" w:type="dxa"/>
            <w:vAlign w:val="center"/>
          </w:tcPr>
          <w:p w14:paraId="0D73E1C3">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2434" w:type="dxa"/>
            <w:vAlign w:val="center"/>
          </w:tcPr>
          <w:p w14:paraId="4366646E">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2355" w:type="dxa"/>
            <w:vAlign w:val="center"/>
          </w:tcPr>
          <w:p w14:paraId="185F9BDD">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r>
      <w:tr w14:paraId="70B6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EC383B5">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3179" w:type="dxa"/>
            <w:vAlign w:val="center"/>
          </w:tcPr>
          <w:p w14:paraId="7AD09550">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2434" w:type="dxa"/>
            <w:vAlign w:val="center"/>
          </w:tcPr>
          <w:p w14:paraId="3F6DCE60">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2355" w:type="dxa"/>
            <w:vAlign w:val="center"/>
          </w:tcPr>
          <w:p w14:paraId="7D41BC70">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r>
      <w:tr w14:paraId="60150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4E4BD7B">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3179" w:type="dxa"/>
            <w:vAlign w:val="center"/>
          </w:tcPr>
          <w:p w14:paraId="01F473C1">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2434" w:type="dxa"/>
            <w:vAlign w:val="center"/>
          </w:tcPr>
          <w:p w14:paraId="78DACBB1">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2355" w:type="dxa"/>
            <w:vAlign w:val="center"/>
          </w:tcPr>
          <w:p w14:paraId="4D652288">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r>
      <w:tr w14:paraId="1C66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3112578">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3179" w:type="dxa"/>
            <w:vAlign w:val="center"/>
          </w:tcPr>
          <w:p w14:paraId="157A5411">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2434" w:type="dxa"/>
            <w:vAlign w:val="center"/>
          </w:tcPr>
          <w:p w14:paraId="24E48B66">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2355" w:type="dxa"/>
            <w:vAlign w:val="center"/>
          </w:tcPr>
          <w:p w14:paraId="692153E6">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r>
      <w:tr w14:paraId="5895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61AA34">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3179" w:type="dxa"/>
            <w:vAlign w:val="center"/>
          </w:tcPr>
          <w:p w14:paraId="703CC972">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2434" w:type="dxa"/>
            <w:vAlign w:val="center"/>
          </w:tcPr>
          <w:p w14:paraId="4A8FE400">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c>
          <w:tcPr>
            <w:tcW w:w="2355" w:type="dxa"/>
            <w:vAlign w:val="center"/>
          </w:tcPr>
          <w:p w14:paraId="78D125C2">
            <w:pPr>
              <w:pageBreakBefore w:val="0"/>
              <w:tabs>
                <w:tab w:val="left" w:pos="6300"/>
              </w:tabs>
              <w:wordWrap/>
              <w:topLinePunct w:val="0"/>
              <w:bidi w:val="0"/>
              <w:snapToGrid w:val="0"/>
              <w:spacing w:before="77" w:beforeLines="20" w:line="360" w:lineRule="auto"/>
              <w:ind w:left="0" w:leftChars="0" w:right="0"/>
              <w:jc w:val="center"/>
              <w:textAlignment w:val="auto"/>
              <w:outlineLvl w:val="0"/>
              <w:rPr>
                <w:rFonts w:hint="eastAsia" w:ascii="宋体" w:hAnsi="宋体" w:eastAsia="宋体" w:cs="宋体"/>
                <w:color w:val="auto"/>
                <w:sz w:val="21"/>
                <w:szCs w:val="21"/>
                <w:highlight w:val="none"/>
              </w:rPr>
            </w:pPr>
          </w:p>
        </w:tc>
      </w:tr>
    </w:tbl>
    <w:p w14:paraId="22456A6E">
      <w:pPr>
        <w:pageBreakBefore w:val="0"/>
        <w:wordWrap/>
        <w:topLinePunct w:val="0"/>
        <w:bidi w:val="0"/>
        <w:spacing w:before="77" w:beforeLines="20" w:line="360" w:lineRule="auto"/>
        <w:ind w:left="0" w:leftChars="0" w:right="0" w:firstLine="600" w:firstLineChars="25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法定代表人（或其授权代表）或自然人：</w:t>
      </w:r>
    </w:p>
    <w:p w14:paraId="28BFEE2F">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 xml:space="preserve">    （供应商公章）                                 （签署或盖章）</w:t>
      </w:r>
    </w:p>
    <w:p w14:paraId="2B4B12E6">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 xml:space="preserve">                                            年     月     日</w:t>
      </w:r>
    </w:p>
    <w:p w14:paraId="1060ED3C">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6924507">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1.本表即为对本项目“第三篇 项目商务</w:t>
      </w:r>
      <w:r>
        <w:rPr>
          <w:rFonts w:hint="eastAsia" w:ascii="宋体" w:hAnsi="宋体" w:eastAsia="宋体" w:cs="宋体"/>
          <w:color w:val="auto"/>
          <w:sz w:val="24"/>
          <w:highlight w:val="none"/>
          <w:lang w:val="en-US" w:eastAsia="zh-CN"/>
        </w:rPr>
        <w:t>需求</w:t>
      </w:r>
      <w:r>
        <w:rPr>
          <w:rFonts w:hint="eastAsia" w:ascii="宋体" w:hAnsi="宋体" w:eastAsia="宋体" w:cs="宋体"/>
          <w:color w:val="auto"/>
          <w:sz w:val="24"/>
          <w:highlight w:val="none"/>
        </w:rPr>
        <w:t>”中所列条款进行比较和响应；</w:t>
      </w:r>
    </w:p>
    <w:p w14:paraId="02000534">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2.该表必须按照</w:t>
      </w:r>
      <w:r>
        <w:rPr>
          <w:rFonts w:hint="eastAsia" w:ascii="宋体" w:hAnsi="宋体" w:eastAsia="宋体" w:cs="宋体"/>
          <w:color w:val="auto"/>
          <w:sz w:val="24"/>
          <w:highlight w:val="none"/>
          <w:lang w:val="en-US" w:eastAsia="zh-CN"/>
        </w:rPr>
        <w:t>竞争性比选文件</w:t>
      </w:r>
      <w:r>
        <w:rPr>
          <w:rFonts w:hint="eastAsia" w:ascii="宋体" w:hAnsi="宋体" w:eastAsia="宋体" w:cs="宋体"/>
          <w:color w:val="auto"/>
          <w:sz w:val="24"/>
          <w:highlight w:val="none"/>
        </w:rPr>
        <w:t>要求逐条如实填写，“响应情况”栏需逐条填写具体内容，并在“差异说明”项填写正偏离或负偏离，完全符合的填写“无差异”，如“响应情况”栏未填写具体内容或与“采购项目商务要求”要求的内容不完全一致，则该供应商不能通过本项目的符合性审查。如“响应情况”栏具体内容和“采购</w:t>
      </w:r>
      <w:r>
        <w:rPr>
          <w:rFonts w:hint="eastAsia" w:ascii="宋体" w:hAnsi="宋体" w:eastAsia="宋体" w:cs="宋体"/>
          <w:color w:val="auto"/>
          <w:sz w:val="24"/>
          <w:highlight w:val="none"/>
          <w:lang w:val="en-US" w:eastAsia="zh-CN"/>
        </w:rPr>
        <w:t>需求</w:t>
      </w:r>
      <w:r>
        <w:rPr>
          <w:rFonts w:hint="eastAsia" w:ascii="宋体" w:hAnsi="宋体" w:eastAsia="宋体" w:cs="宋体"/>
          <w:color w:val="auto"/>
          <w:sz w:val="24"/>
          <w:highlight w:val="none"/>
        </w:rPr>
        <w:t>”栏具体内容一致但“差异说明”栏未填写则视为无差异。</w:t>
      </w:r>
    </w:p>
    <w:p w14:paraId="52B0688E">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3.该表可扩展。</w:t>
      </w:r>
    </w:p>
    <w:p w14:paraId="608DEEDB">
      <w:pPr>
        <w:pageBreakBefore w:val="0"/>
        <w:wordWrap/>
        <w:topLinePunct w:val="0"/>
        <w:bidi w:val="0"/>
        <w:spacing w:before="77" w:beforeLines="20" w:line="360" w:lineRule="auto"/>
        <w:ind w:left="0" w:leftChars="0" w:right="0" w:firstLine="560" w:firstLineChars="200"/>
        <w:textAlignment w:val="auto"/>
        <w:rPr>
          <w:rFonts w:hint="eastAsia" w:ascii="宋体" w:hAnsi="宋体" w:eastAsia="宋体" w:cs="宋体"/>
          <w:color w:val="auto"/>
          <w:highlight w:val="none"/>
        </w:rPr>
      </w:pPr>
    </w:p>
    <w:p w14:paraId="122473AA">
      <w:pPr>
        <w:pageBreakBefore w:val="0"/>
        <w:wordWrap/>
        <w:topLinePunct w:val="0"/>
        <w:bidi w:val="0"/>
        <w:spacing w:before="77" w:beforeLines="20" w:line="360" w:lineRule="auto"/>
        <w:ind w:left="0" w:leftChars="0" w:right="0" w:firstLine="560" w:firstLineChars="200"/>
        <w:textAlignment w:val="auto"/>
        <w:rPr>
          <w:rFonts w:hint="eastAsia" w:ascii="宋体" w:hAnsi="宋体" w:eastAsia="宋体" w:cs="宋体"/>
          <w:color w:val="auto"/>
          <w:highlight w:val="none"/>
        </w:rPr>
      </w:pPr>
    </w:p>
    <w:p w14:paraId="264DE493">
      <w:pPr>
        <w:pageBreakBefore w:val="0"/>
        <w:wordWrap/>
        <w:topLinePunct w:val="0"/>
        <w:bidi w:val="0"/>
        <w:spacing w:before="77" w:beforeLines="20" w:line="360" w:lineRule="auto"/>
        <w:ind w:left="0" w:leftChars="0" w:right="0" w:firstLine="560" w:firstLineChars="200"/>
        <w:textAlignment w:val="auto"/>
        <w:rPr>
          <w:rFonts w:hint="eastAsia" w:ascii="宋体" w:hAnsi="宋体" w:eastAsia="宋体" w:cs="宋体"/>
          <w:color w:val="auto"/>
          <w:highlight w:val="none"/>
        </w:rPr>
      </w:pPr>
    </w:p>
    <w:p w14:paraId="51BA65D3">
      <w:pPr>
        <w:keepNext w:val="0"/>
        <w:keepLines w:val="0"/>
        <w:pageBreakBefore w:val="0"/>
        <w:widowControl w:val="0"/>
        <w:tabs>
          <w:tab w:val="left" w:pos="6300"/>
        </w:tabs>
        <w:kinsoku/>
        <w:wordWrap/>
        <w:overflowPunct/>
        <w:topLinePunct w:val="0"/>
        <w:autoSpaceDE/>
        <w:autoSpaceDN/>
        <w:bidi w:val="0"/>
        <w:adjustRightInd/>
        <w:snapToGrid w:val="0"/>
        <w:spacing w:before="77" w:beforeLines="20" w:line="360" w:lineRule="auto"/>
        <w:ind w:left="0" w:leftChars="0" w:right="0" w:firstLine="480" w:firstLineChars="200"/>
        <w:jc w:val="center"/>
        <w:textAlignment w:val="auto"/>
        <w:outlineLvl w:val="0"/>
        <w:rPr>
          <w:rFonts w:hint="eastAsia" w:ascii="宋体" w:hAnsi="宋体" w:eastAsia="宋体" w:cs="宋体"/>
          <w:color w:val="auto"/>
          <w:sz w:val="24"/>
          <w:szCs w:val="24"/>
          <w:highlight w:val="none"/>
        </w:rPr>
      </w:pPr>
      <w:bookmarkStart w:id="130" w:name="_Toc66865980"/>
      <w:r>
        <w:rPr>
          <w:rFonts w:hint="eastAsia" w:ascii="宋体" w:hAnsi="宋体" w:eastAsia="宋体" w:cs="宋体"/>
          <w:color w:val="auto"/>
          <w:sz w:val="24"/>
          <w:szCs w:val="24"/>
          <w:highlight w:val="none"/>
        </w:rPr>
        <w:t>承诺书</w:t>
      </w:r>
      <w:bookmarkEnd w:id="130"/>
    </w:p>
    <w:p w14:paraId="54A96718">
      <w:pPr>
        <w:pageBreakBefore w:val="0"/>
        <w:wordWrap/>
        <w:topLinePunct w:val="0"/>
        <w:bidi w:val="0"/>
        <w:snapToGrid w:val="0"/>
        <w:spacing w:before="77" w:beforeLines="20" w:line="360" w:lineRule="auto"/>
        <w:ind w:left="0" w:leftChars="0" w:right="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        （采购人名称）</w:t>
      </w:r>
      <w:r>
        <w:rPr>
          <w:rFonts w:hint="eastAsia" w:ascii="宋体" w:hAnsi="宋体" w:eastAsia="宋体" w:cs="宋体"/>
          <w:color w:val="auto"/>
          <w:sz w:val="24"/>
          <w:szCs w:val="24"/>
          <w:highlight w:val="none"/>
        </w:rPr>
        <w:t>：</w:t>
      </w:r>
    </w:p>
    <w:p w14:paraId="039DFCA5">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（供应商名称）</w:t>
      </w:r>
      <w:r>
        <w:rPr>
          <w:rFonts w:hint="eastAsia" w:ascii="宋体" w:hAnsi="宋体" w:eastAsia="宋体" w:cs="宋体"/>
          <w:color w:val="auto"/>
          <w:sz w:val="24"/>
          <w:szCs w:val="24"/>
          <w:highlight w:val="none"/>
        </w:rPr>
        <w:t>参加了贵单位</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的投标，自愿作出以下承诺：</w:t>
      </w:r>
    </w:p>
    <w:p w14:paraId="073E6C49">
      <w:pPr>
        <w:keepNext w:val="0"/>
        <w:keepLines w:val="0"/>
        <w:pageBreakBefore w:val="0"/>
        <w:widowControl w:val="0"/>
        <w:tabs>
          <w:tab w:val="left" w:pos="6300"/>
        </w:tabs>
        <w:kinsoku/>
        <w:wordWrap/>
        <w:overflowPunct/>
        <w:topLinePunct w:val="0"/>
        <w:autoSpaceDE/>
        <w:autoSpaceDN/>
        <w:bidi w:val="0"/>
        <w:adjustRightInd/>
        <w:snapToGrid w:val="0"/>
        <w:spacing w:before="77" w:beforeLines="20" w:line="360" w:lineRule="auto"/>
        <w:ind w:left="0" w:leftChars="0" w:right="0" w:firstLine="480" w:firstLineChars="200"/>
        <w:jc w:val="left"/>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已标价工程量清单符合“工程量清单”给出的范围及数量，采购文件中规定工程量清单不允许修改的内容不得修改，每项工程量清单综合单价报价不得高于对应工程量清单综合单价招标控制价。你公司可在合同签订前对我公司已标价工程量清单进行清标。若发现我公司的工程量清单综合单价报价超过招标时给出的工程量清单综合单价招标控制价的，在工程结算时你单位以发出的工程量清单综合单价招标控制价为基础，按照我公司的中标总报价与本工程的总价招标控制价的下浮比例进行同比例下调，我公司无条件接受，否则按我公司违约处理。</w:t>
      </w:r>
    </w:p>
    <w:p w14:paraId="3FD328D0">
      <w:pPr>
        <w:pageBreakBefore w:val="0"/>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5A8A9526">
      <w:pPr>
        <w:pageBreakBefore w:val="0"/>
        <w:tabs>
          <w:tab w:val="left" w:pos="4200"/>
          <w:tab w:val="left" w:pos="4620"/>
        </w:tabs>
        <w:wordWrap/>
        <w:topLinePunct w:val="0"/>
        <w:autoSpaceDE w:val="0"/>
        <w:autoSpaceDN w:val="0"/>
        <w:bidi w:val="0"/>
        <w:adjustRightInd w:val="0"/>
        <w:snapToGrid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highlight w:val="none"/>
        </w:rPr>
      </w:pPr>
    </w:p>
    <w:p w14:paraId="4DF6E714">
      <w:pPr>
        <w:pageBreakBefore w:val="0"/>
        <w:tabs>
          <w:tab w:val="left" w:pos="4200"/>
          <w:tab w:val="left" w:pos="4620"/>
        </w:tabs>
        <w:wordWrap/>
        <w:topLinePunct w:val="0"/>
        <w:autoSpaceDE w:val="0"/>
        <w:autoSpaceDN w:val="0"/>
        <w:bidi w:val="0"/>
        <w:adjustRightInd w:val="0"/>
        <w:snapToGrid w:val="0"/>
        <w:spacing w:before="77" w:beforeLines="20" w:line="360" w:lineRule="auto"/>
        <w:ind w:left="0" w:leftChars="0" w:right="0" w:firstLine="480" w:firstLineChars="200"/>
        <w:jc w:val="righ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  应  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（供应商公章）</w:t>
      </w:r>
    </w:p>
    <w:p w14:paraId="0629CB17">
      <w:pPr>
        <w:pageBreakBefore w:val="0"/>
        <w:tabs>
          <w:tab w:val="left" w:pos="6300"/>
        </w:tabs>
        <w:wordWrap/>
        <w:topLinePunct w:val="0"/>
        <w:autoSpaceDE w:val="0"/>
        <w:autoSpaceDN w:val="0"/>
        <w:bidi w:val="0"/>
        <w:adjustRightInd w:val="0"/>
        <w:snapToGrid w:val="0"/>
        <w:spacing w:before="77" w:beforeLines="20" w:line="360" w:lineRule="auto"/>
        <w:ind w:left="0" w:leftChars="0" w:right="0" w:firstLine="480" w:firstLineChars="200"/>
        <w:jc w:val="righ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（签字或盖章）</w:t>
      </w:r>
    </w:p>
    <w:p w14:paraId="0C0FC477">
      <w:pPr>
        <w:pageBreakBefore w:val="0"/>
        <w:wordWrap/>
        <w:topLinePunct w:val="0"/>
        <w:bidi w:val="0"/>
        <w:spacing w:before="77" w:beforeLines="20" w:line="360" w:lineRule="auto"/>
        <w:ind w:left="0" w:leftChars="0" w:right="0"/>
        <w:jc w:val="righ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日</w:t>
      </w:r>
    </w:p>
    <w:p w14:paraId="70904B0E">
      <w:pPr>
        <w:pageBreakBefore w:val="0"/>
        <w:wordWrap/>
        <w:topLinePunct w:val="0"/>
        <w:bidi w:val="0"/>
        <w:spacing w:before="77" w:beforeLines="20" w:line="360" w:lineRule="auto"/>
        <w:ind w:left="0" w:leftChars="0" w:right="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highlight w:val="none"/>
        </w:rPr>
        <w:br w:type="page"/>
      </w:r>
      <w:r>
        <w:rPr>
          <w:rFonts w:hint="eastAsia" w:ascii="宋体" w:hAnsi="宋体" w:eastAsia="宋体" w:cs="宋体"/>
          <w:color w:val="auto"/>
          <w:sz w:val="24"/>
          <w:szCs w:val="24"/>
          <w:highlight w:val="none"/>
        </w:rPr>
        <w:t>（二）</w:t>
      </w:r>
      <w:bookmarkStart w:id="131" w:name="OLE_LINK6"/>
      <w:r>
        <w:rPr>
          <w:rFonts w:hint="eastAsia" w:ascii="宋体" w:hAnsi="宋体" w:eastAsia="宋体" w:cs="宋体"/>
          <w:bCs/>
          <w:color w:val="auto"/>
          <w:sz w:val="24"/>
          <w:szCs w:val="24"/>
          <w:highlight w:val="none"/>
          <w:lang w:val="en-US" w:eastAsia="zh-CN"/>
        </w:rPr>
        <w:t>其它商务部分相关资料</w:t>
      </w:r>
    </w:p>
    <w:bookmarkEnd w:id="131"/>
    <w:p w14:paraId="3520882E">
      <w:pPr>
        <w:pageBreakBefore w:val="0"/>
        <w:numPr>
          <w:ilvl w:val="0"/>
          <w:numId w:val="0"/>
        </w:numPr>
        <w:wordWrap/>
        <w:topLinePunct w:val="0"/>
        <w:bidi w:val="0"/>
        <w:spacing w:before="77" w:beforeLines="20" w:line="360" w:lineRule="auto"/>
        <w:ind w:left="0" w:leftChars="0" w:right="0"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供应商可根据竞争性比选文件“第四篇 比选程序及方法、评审标准、无效响应和采购终止→评审标准→商务部分”中的要求提供。</w:t>
      </w:r>
    </w:p>
    <w:p w14:paraId="35A47483">
      <w:pPr>
        <w:pStyle w:val="7"/>
        <w:pageBreakBefore w:val="0"/>
        <w:wordWrap/>
        <w:topLinePunct w:val="0"/>
        <w:bidi w:val="0"/>
        <w:spacing w:before="77" w:beforeLines="20" w:line="360" w:lineRule="auto"/>
        <w:ind w:left="0" w:leftChars="0" w:right="0"/>
        <w:textAlignment w:val="auto"/>
        <w:rPr>
          <w:rFonts w:hint="eastAsia" w:ascii="宋体" w:hAnsi="宋体" w:eastAsia="宋体" w:cs="宋体"/>
          <w:color w:val="auto"/>
          <w:lang w:val="en-US" w:eastAsia="zh-CN"/>
        </w:rPr>
      </w:pPr>
    </w:p>
    <w:p w14:paraId="2E13F36B">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08E8C4F3">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15771A56">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0590EF40">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63A6F2B9">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3AB8A493">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0D4B34F5">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1BD46591">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67C8AA13">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7EEA7920">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7BD804DD">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0E90931D">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6D0A31CB">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77C702B4">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767DEDCE">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5B83E134">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379192DE">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134E97D7">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6361B8A9">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5828D053">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15AA8583">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17DBBF85">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48D807FC">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4F0D8A98">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1CB96CBF">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02244A22">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其它优惠承诺（格式自定）</w:t>
      </w:r>
    </w:p>
    <w:p w14:paraId="59F6BB74">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1D726AEF">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429B8E17">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011CDB54">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1CCE594B">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09BBC29C">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6B855BE0">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2726DC72">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78984D44">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64E14DD5">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15BC611F">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6A0933D4">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29E394B4">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50DD50F9">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0EAF4002">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43873717">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4FA64695">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7287D17A">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47DF6834">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7D655C85">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0E2208C6">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5322BE89">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4676E280">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7D75A087">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407F5B53">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4E484FE7">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0409794F">
      <w:pPr>
        <w:pageBreakBefore w:val="0"/>
        <w:wordWrap/>
        <w:topLinePunct w:val="0"/>
        <w:bidi w:val="0"/>
        <w:spacing w:before="77" w:beforeLines="20" w:line="360" w:lineRule="auto"/>
        <w:ind w:right="0"/>
        <w:textAlignment w:val="auto"/>
        <w:rPr>
          <w:rFonts w:hint="eastAsia" w:ascii="宋体" w:hAnsi="宋体" w:eastAsia="宋体" w:cs="宋体"/>
          <w:color w:val="auto"/>
          <w:sz w:val="24"/>
          <w:szCs w:val="24"/>
          <w:highlight w:val="none"/>
        </w:rPr>
      </w:pPr>
    </w:p>
    <w:bookmarkEnd w:id="129"/>
    <w:p w14:paraId="5C6CFECC">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bookmarkStart w:id="132" w:name="_Toc342913422"/>
      <w:bookmarkStart w:id="133" w:name="_Toc313008359"/>
      <w:bookmarkStart w:id="134" w:name="_Toc313888363"/>
      <w:bookmarkStart w:id="135" w:name="_Toc7152"/>
      <w:r>
        <w:rPr>
          <w:rFonts w:hint="eastAsia" w:ascii="宋体" w:hAnsi="宋体" w:eastAsia="宋体" w:cs="宋体"/>
          <w:color w:val="auto"/>
          <w:sz w:val="24"/>
          <w:szCs w:val="24"/>
          <w:highlight w:val="none"/>
        </w:rPr>
        <w:t>四、资格条件及其他</w:t>
      </w:r>
      <w:bookmarkEnd w:id="132"/>
      <w:bookmarkEnd w:id="133"/>
      <w:bookmarkEnd w:id="134"/>
      <w:bookmarkEnd w:id="135"/>
    </w:p>
    <w:p w14:paraId="6ECD9641">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（一）法人营业执照（副本）或事业单位法人证书（副本）或个体工商户营业执照或有效的自然人身份证明或社会团体法人登记证书复印件</w:t>
      </w:r>
    </w:p>
    <w:p w14:paraId="473601E9">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p>
    <w:p w14:paraId="5633075D">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highlight w:val="none"/>
        </w:rPr>
      </w:pPr>
    </w:p>
    <w:p w14:paraId="7007A3F9">
      <w:pPr>
        <w:pageBreakBefore w:val="0"/>
        <w:widowControl/>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3BF645D7">
      <w:pPr>
        <w:pageBreakBefore w:val="0"/>
        <w:widowControl/>
        <w:wordWrap/>
        <w:topLinePunct w:val="0"/>
        <w:bidi w:val="0"/>
        <w:spacing w:before="77" w:beforeLines="20" w:line="360" w:lineRule="auto"/>
        <w:ind w:left="0" w:leftChars="0" w:right="0" w:firstLine="56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Cs w:val="28"/>
          <w:highlight w:val="none"/>
        </w:rPr>
        <w:br w:type="page"/>
      </w:r>
      <w:r>
        <w:rPr>
          <w:rFonts w:hint="eastAsia" w:ascii="宋体" w:hAnsi="宋体" w:eastAsia="宋体" w:cs="宋体"/>
          <w:color w:val="auto"/>
          <w:szCs w:val="28"/>
          <w:highlight w:val="none"/>
        </w:rPr>
        <w:t>（二）法定代表人身份证明书（格式）</w:t>
      </w:r>
    </w:p>
    <w:p w14:paraId="0F5C614F">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p>
    <w:p w14:paraId="0E890A54">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14:paraId="4D93955E">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p>
    <w:p w14:paraId="534DB733">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2328CFF1">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（法定代表人姓名）在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（职务名称）职务，是（供应商名称）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14:paraId="5694A427">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p>
    <w:p w14:paraId="593B83F1">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2C293EE5">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p>
    <w:p w14:paraId="467622C4">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p>
    <w:p w14:paraId="2AA21474">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p>
    <w:p w14:paraId="1E6C155B">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5E6D605E">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p>
    <w:p w14:paraId="562ADA5D">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65FCBDF1">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法定代表人电话：XXXXXXX      电子邮箱：XXXXXX@XXXXX（若授权他人办理并签署比选响应文件的可不填写）</w:t>
      </w:r>
    </w:p>
    <w:p w14:paraId="16B5FC07">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（附：法定代表人身份证正反面复印件）</w:t>
      </w:r>
    </w:p>
    <w:p w14:paraId="7E87480F">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p>
    <w:p w14:paraId="13387A80">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p>
    <w:p w14:paraId="60C5AFF0">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highlight w:val="none"/>
        </w:rPr>
      </w:pPr>
    </w:p>
    <w:p w14:paraId="7E2AACC5">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highlight w:val="none"/>
        </w:rPr>
      </w:pPr>
    </w:p>
    <w:p w14:paraId="023C3CAA">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highlight w:val="none"/>
        </w:rPr>
      </w:pPr>
    </w:p>
    <w:p w14:paraId="0BAEB751">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highlight w:val="none"/>
        </w:rPr>
      </w:pPr>
    </w:p>
    <w:p w14:paraId="32D4ECB6">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highlight w:val="none"/>
        </w:rPr>
      </w:pPr>
    </w:p>
    <w:p w14:paraId="35F9BEB8">
      <w:pPr>
        <w:pageBreakBefore w:val="0"/>
        <w:tabs>
          <w:tab w:val="left" w:pos="6300"/>
        </w:tabs>
        <w:wordWrap/>
        <w:topLinePunct w:val="0"/>
        <w:bidi w:val="0"/>
        <w:snapToGrid w:val="0"/>
        <w:spacing w:before="77" w:beforeLines="20" w:line="360" w:lineRule="auto"/>
        <w:ind w:left="0" w:leftChars="0" w:right="0" w:firstLine="57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highlight w:val="none"/>
        </w:rPr>
        <w:t>（三）法定代表人授权委托书（格式）</w:t>
      </w:r>
    </w:p>
    <w:p w14:paraId="3FFD34D2">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42A5F30">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项目名称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411CD29A">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highlight w:val="none"/>
        </w:rPr>
      </w:pPr>
    </w:p>
    <w:p w14:paraId="225B2B13">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（采购代理机构名称）：</w:t>
      </w:r>
    </w:p>
    <w:p w14:paraId="5671CFF3">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（被授权人姓名及身份证代码）代表我单位全权办理上述项目的比选、签约等具体工作，并签署全部有关文件、协议及合同。</w:t>
      </w:r>
    </w:p>
    <w:p w14:paraId="7FB4CC12">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我单位对被授权人的签署负全部责任。</w:t>
      </w:r>
    </w:p>
    <w:p w14:paraId="3FBC4894">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在撤销授权的书面通知以前，本授权书一直有效。被授权人在授权书有效期内签署的所有文件不因授权的撤销而失效。</w:t>
      </w:r>
    </w:p>
    <w:p w14:paraId="1E50C751">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highlight w:val="none"/>
        </w:rPr>
      </w:pPr>
    </w:p>
    <w:p w14:paraId="3D943CFA">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highlight w:val="none"/>
        </w:rPr>
      </w:pPr>
    </w:p>
    <w:p w14:paraId="41DB91C3">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306AA53B">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（签署或盖章）                                （签署或盖章）</w:t>
      </w:r>
    </w:p>
    <w:p w14:paraId="7E353355">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8"/>
          <w:highlight w:val="none"/>
        </w:rPr>
      </w:pPr>
    </w:p>
    <w:p w14:paraId="0665E595">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highlight w:val="none"/>
        </w:rPr>
      </w:pPr>
    </w:p>
    <w:p w14:paraId="6B529CB5">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1292E730">
      <w:pPr>
        <w:pageBreakBefore w:val="0"/>
        <w:tabs>
          <w:tab w:val="left" w:pos="6300"/>
        </w:tabs>
        <w:wordWrap/>
        <w:topLinePunct w:val="0"/>
        <w:bidi w:val="0"/>
        <w:snapToGrid w:val="0"/>
        <w:spacing w:before="77" w:beforeLines="20" w:line="360" w:lineRule="auto"/>
        <w:ind w:left="0" w:leftChars="0" w:right="0" w:firstLine="57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（供应商公章）</w:t>
      </w:r>
    </w:p>
    <w:p w14:paraId="70D6E341">
      <w:pPr>
        <w:pageBreakBefore w:val="0"/>
        <w:tabs>
          <w:tab w:val="left" w:pos="6300"/>
        </w:tabs>
        <w:wordWrap/>
        <w:topLinePunct w:val="0"/>
        <w:bidi w:val="0"/>
        <w:snapToGrid w:val="0"/>
        <w:spacing w:before="77" w:beforeLines="20" w:line="360" w:lineRule="auto"/>
        <w:ind w:left="0" w:leftChars="0" w:right="0" w:firstLine="57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26C11696">
      <w:pPr>
        <w:pageBreakBefore w:val="0"/>
        <w:tabs>
          <w:tab w:val="left" w:pos="6300"/>
        </w:tabs>
        <w:wordWrap/>
        <w:topLinePunct w:val="0"/>
        <w:bidi w:val="0"/>
        <w:snapToGrid w:val="0"/>
        <w:spacing w:before="77" w:beforeLines="20" w:line="360" w:lineRule="auto"/>
        <w:ind w:left="0" w:leftChars="0" w:right="0" w:firstLine="57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被授权人电话：XXXXXXX     电子邮箱：XXXXXX@XXXXX（若法定代表人办理并签署比选响应文件的可不填写）</w:t>
      </w:r>
    </w:p>
    <w:p w14:paraId="335750AC">
      <w:pPr>
        <w:pageBreakBefore w:val="0"/>
        <w:tabs>
          <w:tab w:val="left" w:pos="6300"/>
        </w:tabs>
        <w:wordWrap/>
        <w:topLinePunct w:val="0"/>
        <w:bidi w:val="0"/>
        <w:snapToGrid w:val="0"/>
        <w:spacing w:before="77" w:beforeLines="20" w:line="360" w:lineRule="auto"/>
        <w:ind w:left="0" w:leftChars="0" w:right="0" w:firstLine="570"/>
        <w:jc w:val="left"/>
        <w:textAlignment w:val="auto"/>
        <w:rPr>
          <w:rFonts w:hint="eastAsia" w:ascii="宋体" w:hAnsi="宋体" w:eastAsia="宋体" w:cs="宋体"/>
          <w:color w:val="auto"/>
          <w:sz w:val="24"/>
          <w:highlight w:val="none"/>
        </w:rPr>
      </w:pPr>
    </w:p>
    <w:p w14:paraId="5AE1A4C9">
      <w:pPr>
        <w:pageBreakBefore w:val="0"/>
        <w:tabs>
          <w:tab w:val="left" w:pos="6300"/>
        </w:tabs>
        <w:wordWrap/>
        <w:topLinePunct w:val="0"/>
        <w:bidi w:val="0"/>
        <w:snapToGrid w:val="0"/>
        <w:spacing w:before="77" w:beforeLines="20" w:line="360" w:lineRule="auto"/>
        <w:ind w:left="0" w:leftChars="0" w:right="0" w:firstLine="57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868CF6E">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1.若为法定代表人办理并签署比选响应文件的，不提供此文件。</w:t>
      </w:r>
    </w:p>
    <w:p w14:paraId="37E8CD88">
      <w:pPr>
        <w:pageBreakBefore w:val="0"/>
        <w:tabs>
          <w:tab w:val="left" w:pos="6300"/>
        </w:tabs>
        <w:wordWrap/>
        <w:topLinePunct w:val="0"/>
        <w:bidi w:val="0"/>
        <w:snapToGrid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br w:type="column"/>
      </w:r>
      <w:r>
        <w:rPr>
          <w:rFonts w:hint="eastAsia" w:ascii="宋体" w:hAnsi="宋体" w:eastAsia="宋体" w:cs="宋体"/>
          <w:color w:val="auto"/>
          <w:highlight w:val="none"/>
        </w:rPr>
        <w:t xml:space="preserve">  （四）基本资格条件承诺函</w:t>
      </w:r>
    </w:p>
    <w:p w14:paraId="16256CD4">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12C5A396">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5BE1F582">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24"/>
          <w:szCs w:val="24"/>
          <w:highlight w:val="none"/>
        </w:rPr>
      </w:pPr>
    </w:p>
    <w:p w14:paraId="76244827">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（采购代理机构名称）：</w:t>
      </w:r>
    </w:p>
    <w:p w14:paraId="6B16A60D">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（供应商名称）郑重承诺：</w:t>
      </w:r>
    </w:p>
    <w:p w14:paraId="58362F27">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330159DF">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3CF53DF3">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基本资格条件。</w:t>
      </w:r>
    </w:p>
    <w:p w14:paraId="3D8B1EF7">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168B089B">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174B395A">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4"/>
          <w:highlight w:val="none"/>
        </w:rPr>
      </w:pPr>
    </w:p>
    <w:p w14:paraId="7AC20442">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32"/>
          <w:szCs w:val="22"/>
          <w:highlight w:val="none"/>
        </w:rPr>
      </w:pPr>
    </w:p>
    <w:p w14:paraId="5EE7E6F6">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32"/>
          <w:szCs w:val="22"/>
          <w:highlight w:val="none"/>
        </w:rPr>
      </w:pPr>
    </w:p>
    <w:p w14:paraId="32EAD834">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32"/>
          <w:szCs w:val="22"/>
          <w:highlight w:val="none"/>
        </w:rPr>
      </w:pPr>
    </w:p>
    <w:p w14:paraId="04550FE5">
      <w:pPr>
        <w:pageBreakBefore w:val="0"/>
        <w:tabs>
          <w:tab w:val="left" w:pos="6300"/>
        </w:tabs>
        <w:wordWrap/>
        <w:topLinePunct w:val="0"/>
        <w:bidi w:val="0"/>
        <w:snapToGrid w:val="0"/>
        <w:spacing w:before="77" w:beforeLines="20" w:line="360" w:lineRule="auto"/>
        <w:ind w:left="0" w:leftChars="0" w:right="0" w:firstLine="570"/>
        <w:textAlignment w:val="auto"/>
        <w:rPr>
          <w:rFonts w:hint="eastAsia" w:ascii="宋体" w:hAnsi="宋体" w:eastAsia="宋体" w:cs="宋体"/>
          <w:color w:val="auto"/>
          <w:sz w:val="32"/>
          <w:szCs w:val="22"/>
          <w:highlight w:val="none"/>
        </w:rPr>
      </w:pPr>
    </w:p>
    <w:p w14:paraId="01AA70DF">
      <w:pPr>
        <w:pageBreakBefore w:val="0"/>
        <w:tabs>
          <w:tab w:val="left" w:pos="6300"/>
        </w:tabs>
        <w:wordWrap/>
        <w:topLinePunct w:val="0"/>
        <w:bidi w:val="0"/>
        <w:snapToGrid w:val="0"/>
        <w:spacing w:before="77" w:beforeLines="20" w:line="360" w:lineRule="auto"/>
        <w:ind w:left="0" w:leftChars="0" w:right="0" w:firstLine="57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（供应商公章）</w:t>
      </w:r>
    </w:p>
    <w:p w14:paraId="694BE415">
      <w:pPr>
        <w:pageBreakBefore w:val="0"/>
        <w:tabs>
          <w:tab w:val="left" w:pos="6300"/>
        </w:tabs>
        <w:wordWrap/>
        <w:topLinePunct w:val="0"/>
        <w:bidi w:val="0"/>
        <w:snapToGrid w:val="0"/>
        <w:spacing w:before="77" w:beforeLines="20" w:line="360" w:lineRule="auto"/>
        <w:ind w:left="0" w:leftChars="0" w:right="0" w:firstLine="6480" w:firstLineChars="27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年   月   日</w:t>
      </w:r>
    </w:p>
    <w:p w14:paraId="5DFC650C">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p>
    <w:p w14:paraId="54C51ED9">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136" w:name="_Toc14422"/>
      <w:r>
        <w:rPr>
          <w:rFonts w:hint="eastAsia" w:ascii="宋体" w:hAnsi="宋体" w:eastAsia="宋体" w:cs="宋体"/>
          <w:color w:val="auto"/>
          <w:sz w:val="24"/>
          <w:szCs w:val="24"/>
          <w:highlight w:val="none"/>
        </w:rPr>
        <w:t>（五）特定资格条件证书或证明文件</w:t>
      </w:r>
    </w:p>
    <w:p w14:paraId="20D49CEC">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highlight w:val="none"/>
        </w:rPr>
      </w:pPr>
      <w:r>
        <w:rPr>
          <w:rFonts w:hint="eastAsia" w:ascii="宋体" w:hAnsi="宋体" w:eastAsia="宋体" w:cs="宋体"/>
          <w:bCs/>
          <w:color w:val="auto"/>
          <w:sz w:val="24"/>
          <w:szCs w:val="24"/>
          <w:highlight w:val="none"/>
        </w:rPr>
        <w:br w:type="page"/>
      </w:r>
      <w:bookmarkEnd w:id="136"/>
      <w:bookmarkStart w:id="137" w:name="_Toc3732"/>
      <w:r>
        <w:rPr>
          <w:rFonts w:hint="eastAsia" w:ascii="宋体" w:hAnsi="宋体" w:eastAsia="宋体" w:cs="宋体"/>
          <w:color w:val="auto"/>
          <w:sz w:val="24"/>
          <w:szCs w:val="24"/>
          <w:highlight w:val="none"/>
        </w:rPr>
        <w:t>五、其他资料</w:t>
      </w:r>
      <w:bookmarkEnd w:id="137"/>
    </w:p>
    <w:p w14:paraId="137C9A4E">
      <w:pPr>
        <w:pageBreakBefore w:val="0"/>
        <w:widowControl/>
        <w:wordWrap/>
        <w:overflowPunct w:val="0"/>
        <w:topLinePunct w:val="0"/>
        <w:bidi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rPr>
      </w:pPr>
      <w:bookmarkStart w:id="138" w:name="OLE_LINK7"/>
      <w:r>
        <w:rPr>
          <w:rFonts w:hint="eastAsia" w:ascii="宋体" w:hAnsi="宋体" w:eastAsia="宋体" w:cs="宋体"/>
          <w:color w:val="auto"/>
          <w:sz w:val="24"/>
          <w:szCs w:val="24"/>
        </w:rPr>
        <w:t>（一）中小企业声明函、监狱企业证明文件、残疾人福利性单位声明函</w:t>
      </w:r>
    </w:p>
    <w:bookmarkEnd w:id="138"/>
    <w:p w14:paraId="54AEF966">
      <w:pPr>
        <w:pageBreakBefore w:val="0"/>
        <w:tabs>
          <w:tab w:val="left" w:pos="6300"/>
        </w:tabs>
        <w:wordWrap/>
        <w:topLinePunct w:val="0"/>
        <w:bidi w:val="0"/>
        <w:snapToGrid w:val="0"/>
        <w:spacing w:before="77" w:beforeLines="20" w:line="360" w:lineRule="auto"/>
        <w:ind w:left="0" w:leftChars="0" w:right="0"/>
        <w:jc w:val="center"/>
        <w:textAlignment w:val="auto"/>
        <w:rPr>
          <w:rFonts w:hint="eastAsia" w:ascii="宋体" w:hAnsi="宋体" w:eastAsia="宋体" w:cs="宋体"/>
          <w:color w:val="auto"/>
        </w:rPr>
      </w:pPr>
      <w:r>
        <w:rPr>
          <w:rFonts w:hint="eastAsia" w:ascii="宋体" w:hAnsi="宋体" w:eastAsia="宋体" w:cs="宋体"/>
          <w:color w:val="auto"/>
        </w:rPr>
        <w:t>中小企业声明函（工程类）</w:t>
      </w:r>
    </w:p>
    <w:p w14:paraId="5473CDE7">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本公司郑重声明，根据《政府采购促进中小企业发展管理办法》（</w:t>
      </w:r>
      <w:r>
        <w:rPr>
          <w:rFonts w:hint="eastAsia" w:ascii="宋体" w:hAnsi="宋体" w:eastAsia="宋体" w:cs="宋体"/>
          <w:color w:val="auto"/>
          <w:sz w:val="24"/>
          <w:szCs w:val="24"/>
        </w:rPr>
        <w:t>财库〔2020〕46号</w:t>
      </w:r>
      <w:r>
        <w:rPr>
          <w:rFonts w:hint="eastAsia" w:ascii="宋体" w:hAnsi="宋体" w:eastAsia="宋体" w:cs="宋体"/>
          <w:color w:val="auto"/>
          <w:sz w:val="24"/>
          <w:szCs w:val="28"/>
        </w:rPr>
        <w:t>）的规定，本公司参加</w:t>
      </w:r>
      <w:r>
        <w:rPr>
          <w:rFonts w:hint="eastAsia" w:ascii="宋体" w:hAnsi="宋体" w:eastAsia="宋体" w:cs="宋体"/>
          <w:i/>
          <w:color w:val="auto"/>
          <w:sz w:val="24"/>
          <w:szCs w:val="28"/>
          <w:u w:val="single"/>
        </w:rPr>
        <w:t>（单位名称）</w:t>
      </w:r>
      <w:r>
        <w:rPr>
          <w:rFonts w:hint="eastAsia" w:ascii="宋体" w:hAnsi="宋体" w:eastAsia="宋体" w:cs="宋体"/>
          <w:color w:val="auto"/>
          <w:sz w:val="24"/>
          <w:szCs w:val="28"/>
        </w:rPr>
        <w:t>的</w:t>
      </w:r>
      <w:r>
        <w:rPr>
          <w:rFonts w:hint="eastAsia" w:ascii="宋体" w:hAnsi="宋体" w:eastAsia="宋体" w:cs="宋体"/>
          <w:i/>
          <w:color w:val="auto"/>
          <w:sz w:val="24"/>
          <w:szCs w:val="28"/>
          <w:u w:val="single"/>
        </w:rPr>
        <w:t>（项目名称）</w:t>
      </w:r>
      <w:r>
        <w:rPr>
          <w:rFonts w:hint="eastAsia" w:ascii="宋体" w:hAnsi="宋体" w:eastAsia="宋体" w:cs="宋体"/>
          <w:color w:val="auto"/>
          <w:sz w:val="24"/>
          <w:szCs w:val="28"/>
        </w:rPr>
        <w:t>采购活动，工程的施工单位全部为符合政策要求的中小企业。相关企业的具体情况如下：</w:t>
      </w:r>
    </w:p>
    <w:p w14:paraId="42EC4C21">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1.</w:t>
      </w:r>
      <w:r>
        <w:rPr>
          <w:rFonts w:hint="eastAsia" w:ascii="宋体" w:hAnsi="宋体" w:eastAsia="宋体" w:cs="宋体"/>
          <w:i/>
          <w:color w:val="auto"/>
          <w:sz w:val="24"/>
          <w:szCs w:val="28"/>
          <w:u w:val="single"/>
        </w:rPr>
        <w:t>（标的名称）</w:t>
      </w:r>
      <w:r>
        <w:rPr>
          <w:rFonts w:hint="eastAsia" w:ascii="宋体" w:hAnsi="宋体" w:eastAsia="宋体" w:cs="宋体"/>
          <w:color w:val="auto"/>
          <w:sz w:val="24"/>
          <w:szCs w:val="28"/>
        </w:rPr>
        <w:t>，属于</w:t>
      </w:r>
      <w:r>
        <w:rPr>
          <w:rFonts w:hint="eastAsia" w:ascii="宋体" w:hAnsi="宋体" w:eastAsia="宋体" w:cs="宋体"/>
          <w:i/>
          <w:color w:val="auto"/>
          <w:sz w:val="24"/>
          <w:szCs w:val="28"/>
          <w:u w:val="single"/>
        </w:rPr>
        <w:t>（采购文件中明确的所属行业）</w:t>
      </w:r>
      <w:r>
        <w:rPr>
          <w:rFonts w:hint="eastAsia" w:ascii="宋体" w:hAnsi="宋体" w:eastAsia="宋体" w:cs="宋体"/>
          <w:color w:val="auto"/>
          <w:sz w:val="24"/>
          <w:szCs w:val="28"/>
        </w:rPr>
        <w:t>；承建企业为</w:t>
      </w:r>
      <w:r>
        <w:rPr>
          <w:rFonts w:hint="eastAsia" w:ascii="宋体" w:hAnsi="宋体" w:eastAsia="宋体" w:cs="宋体"/>
          <w:i/>
          <w:color w:val="auto"/>
          <w:sz w:val="24"/>
          <w:szCs w:val="28"/>
          <w:u w:val="single"/>
        </w:rPr>
        <w:t>（企业名称）</w:t>
      </w:r>
      <w:r>
        <w:rPr>
          <w:rFonts w:hint="eastAsia" w:ascii="宋体" w:hAnsi="宋体" w:eastAsia="宋体" w:cs="宋体"/>
          <w:color w:val="auto"/>
          <w:sz w:val="24"/>
          <w:szCs w:val="28"/>
        </w:rPr>
        <w:t>，从业人员</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人，营业收入为</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万元，资产总额为</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万元，属于</w:t>
      </w:r>
      <w:r>
        <w:rPr>
          <w:rFonts w:hint="eastAsia" w:ascii="宋体" w:hAnsi="宋体" w:eastAsia="宋体" w:cs="宋体"/>
          <w:i/>
          <w:color w:val="auto"/>
          <w:sz w:val="24"/>
          <w:szCs w:val="28"/>
          <w:u w:val="single"/>
        </w:rPr>
        <w:t>（中型企业、小型企业、微型企业）</w:t>
      </w:r>
      <w:r>
        <w:rPr>
          <w:rFonts w:hint="eastAsia" w:ascii="宋体" w:hAnsi="宋体" w:eastAsia="宋体" w:cs="宋体"/>
          <w:color w:val="auto"/>
          <w:sz w:val="24"/>
          <w:szCs w:val="28"/>
        </w:rPr>
        <w:t>；</w:t>
      </w:r>
    </w:p>
    <w:p w14:paraId="1A77B87B">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2.</w:t>
      </w:r>
      <w:r>
        <w:rPr>
          <w:rFonts w:hint="eastAsia" w:ascii="宋体" w:hAnsi="宋体" w:eastAsia="宋体" w:cs="宋体"/>
          <w:i/>
          <w:color w:val="auto"/>
          <w:sz w:val="24"/>
          <w:szCs w:val="28"/>
          <w:u w:val="single"/>
        </w:rPr>
        <w:t xml:space="preserve"> （标的名称）</w:t>
      </w:r>
      <w:r>
        <w:rPr>
          <w:rFonts w:hint="eastAsia" w:ascii="宋体" w:hAnsi="宋体" w:eastAsia="宋体" w:cs="宋体"/>
          <w:color w:val="auto"/>
          <w:sz w:val="24"/>
          <w:szCs w:val="28"/>
        </w:rPr>
        <w:t>，属于</w:t>
      </w:r>
      <w:r>
        <w:rPr>
          <w:rFonts w:hint="eastAsia" w:ascii="宋体" w:hAnsi="宋体" w:eastAsia="宋体" w:cs="宋体"/>
          <w:i/>
          <w:color w:val="auto"/>
          <w:sz w:val="24"/>
          <w:szCs w:val="28"/>
          <w:u w:val="single"/>
        </w:rPr>
        <w:t>（采购文件中明确的所属行业）</w:t>
      </w:r>
      <w:r>
        <w:rPr>
          <w:rFonts w:hint="eastAsia" w:ascii="宋体" w:hAnsi="宋体" w:eastAsia="宋体" w:cs="宋体"/>
          <w:color w:val="auto"/>
          <w:sz w:val="24"/>
          <w:szCs w:val="28"/>
        </w:rPr>
        <w:t>；承建企业为</w:t>
      </w:r>
      <w:r>
        <w:rPr>
          <w:rFonts w:hint="eastAsia" w:ascii="宋体" w:hAnsi="宋体" w:eastAsia="宋体" w:cs="宋体"/>
          <w:i/>
          <w:color w:val="auto"/>
          <w:sz w:val="24"/>
          <w:szCs w:val="28"/>
          <w:u w:val="single"/>
        </w:rPr>
        <w:t>（企业名称）</w:t>
      </w:r>
      <w:r>
        <w:rPr>
          <w:rFonts w:hint="eastAsia" w:ascii="宋体" w:hAnsi="宋体" w:eastAsia="宋体" w:cs="宋体"/>
          <w:color w:val="auto"/>
          <w:sz w:val="24"/>
          <w:szCs w:val="28"/>
        </w:rPr>
        <w:t>，从业人员</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人，营业收入为</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万元，资产总额为</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万元，属于</w:t>
      </w:r>
      <w:r>
        <w:rPr>
          <w:rFonts w:hint="eastAsia" w:ascii="宋体" w:hAnsi="宋体" w:eastAsia="宋体" w:cs="宋体"/>
          <w:i/>
          <w:color w:val="auto"/>
          <w:sz w:val="24"/>
          <w:szCs w:val="28"/>
          <w:u w:val="single"/>
        </w:rPr>
        <w:t>（中型企业、小型企业、微型企业）</w:t>
      </w:r>
      <w:r>
        <w:rPr>
          <w:rFonts w:hint="eastAsia" w:ascii="宋体" w:hAnsi="宋体" w:eastAsia="宋体" w:cs="宋体"/>
          <w:color w:val="auto"/>
          <w:sz w:val="24"/>
          <w:szCs w:val="28"/>
        </w:rPr>
        <w:t>；</w:t>
      </w:r>
    </w:p>
    <w:p w14:paraId="3ACD4E25">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w:t>
      </w:r>
    </w:p>
    <w:p w14:paraId="2A185EA6">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以上企业，不属于大企业的分支机构，不存在控股股东为大企业的情形，也不存在与大企业的负责人为同一人的情形。</w:t>
      </w:r>
    </w:p>
    <w:p w14:paraId="794AA350">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本企业对上述声明内容的真实性负责。如有虚假，将依法承担相应责任。</w:t>
      </w:r>
    </w:p>
    <w:p w14:paraId="3D838E23">
      <w:pPr>
        <w:pageBreakBefore w:val="0"/>
        <w:tabs>
          <w:tab w:val="left" w:pos="6300"/>
        </w:tabs>
        <w:wordWrap/>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 xml:space="preserve">                                                    </w:t>
      </w:r>
    </w:p>
    <w:p w14:paraId="47BB823C">
      <w:pPr>
        <w:pageBreakBefore w:val="0"/>
        <w:tabs>
          <w:tab w:val="left" w:pos="6300"/>
        </w:tabs>
        <w:wordWrap/>
        <w:topLinePunct w:val="0"/>
        <w:bidi w:val="0"/>
        <w:snapToGrid w:val="0"/>
        <w:spacing w:before="77" w:beforeLines="20" w:line="360" w:lineRule="auto"/>
        <w:ind w:left="0" w:leftChars="0" w:right="0" w:firstLine="6120" w:firstLineChars="255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 xml:space="preserve">企业名称（盖章）： </w:t>
      </w:r>
    </w:p>
    <w:p w14:paraId="53A5C72A">
      <w:pPr>
        <w:pageBreakBefore w:val="0"/>
        <w:tabs>
          <w:tab w:val="left" w:pos="6300"/>
        </w:tabs>
        <w:wordWrap/>
        <w:topLinePunct w:val="0"/>
        <w:bidi w:val="0"/>
        <w:snapToGrid w:val="0"/>
        <w:spacing w:before="77" w:beforeLines="20" w:line="360" w:lineRule="auto"/>
        <w:ind w:left="0" w:leftChars="0" w:right="0" w:firstLine="6120" w:firstLineChars="2550"/>
        <w:textAlignment w:val="auto"/>
        <w:rPr>
          <w:rFonts w:hint="eastAsia" w:ascii="宋体" w:hAnsi="宋体" w:eastAsia="宋体" w:cs="宋体"/>
          <w:color w:val="auto"/>
          <w:sz w:val="24"/>
          <w:szCs w:val="28"/>
        </w:rPr>
      </w:pPr>
      <w:r>
        <w:rPr>
          <w:rFonts w:hint="eastAsia" w:ascii="宋体" w:hAnsi="宋体" w:eastAsia="宋体" w:cs="宋体"/>
          <w:color w:val="auto"/>
          <w:sz w:val="24"/>
          <w:szCs w:val="28"/>
        </w:rPr>
        <w:t>日期：</w:t>
      </w:r>
    </w:p>
    <w:p w14:paraId="28C004C6">
      <w:pPr>
        <w:pageBreakBefore w:val="0"/>
        <w:tabs>
          <w:tab w:val="left" w:pos="6300"/>
        </w:tabs>
        <w:wordWrap/>
        <w:topLinePunct w:val="0"/>
        <w:bidi w:val="0"/>
        <w:snapToGrid w:val="0"/>
        <w:spacing w:before="77" w:beforeLines="20" w:line="360" w:lineRule="auto"/>
        <w:ind w:left="0" w:leftChars="0" w:right="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填写时应注意以下事项：</w:t>
      </w:r>
    </w:p>
    <w:p w14:paraId="283704D4">
      <w:pPr>
        <w:pageBreakBefore w:val="0"/>
        <w:tabs>
          <w:tab w:val="left" w:pos="6300"/>
        </w:tabs>
        <w:wordWrap/>
        <w:topLinePunct w:val="0"/>
        <w:bidi w:val="0"/>
        <w:snapToGrid w:val="0"/>
        <w:spacing w:before="77" w:beforeLines="20" w:line="360" w:lineRule="auto"/>
        <w:ind w:left="0" w:leftChars="0" w:right="0"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1.从业人员、营业收入、资产总额填报上一年度数据，无上一年度数据的新成立企业可不填报。</w:t>
      </w:r>
    </w:p>
    <w:p w14:paraId="412411EB">
      <w:pPr>
        <w:pageBreakBefore w:val="0"/>
        <w:tabs>
          <w:tab w:val="left" w:pos="6300"/>
        </w:tabs>
        <w:wordWrap/>
        <w:topLinePunct w:val="0"/>
        <w:bidi w:val="0"/>
        <w:snapToGrid w:val="0"/>
        <w:spacing w:before="77" w:beforeLines="20" w:line="360" w:lineRule="auto"/>
        <w:ind w:left="0" w:leftChars="0" w:right="0"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2.中小企业应当按照《中小企业划型标准规定》（工信部联企业〔2011〕300号），如实填写并提交《中小企业声明函》。</w:t>
      </w:r>
    </w:p>
    <w:p w14:paraId="4C597A34">
      <w:pPr>
        <w:pageBreakBefore w:val="0"/>
        <w:tabs>
          <w:tab w:val="left" w:pos="6300"/>
        </w:tabs>
        <w:wordWrap/>
        <w:topLinePunct w:val="0"/>
        <w:bidi w:val="0"/>
        <w:snapToGrid w:val="0"/>
        <w:spacing w:before="77" w:beforeLines="20" w:line="360" w:lineRule="auto"/>
        <w:ind w:left="0" w:leftChars="0" w:right="0"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3.供应商填写《中小企业声明函》中所属行业时，应与采购文件第一篇“采购标的对应的中小企业划分标准所属行业”中填写的所属行业一致。</w:t>
      </w:r>
    </w:p>
    <w:p w14:paraId="2716967C">
      <w:pPr>
        <w:pageBreakBefore w:val="0"/>
        <w:tabs>
          <w:tab w:val="left" w:pos="6300"/>
        </w:tabs>
        <w:wordWrap/>
        <w:topLinePunct w:val="0"/>
        <w:bidi w:val="0"/>
        <w:snapToGrid w:val="0"/>
        <w:spacing w:before="77" w:beforeLines="20" w:line="360" w:lineRule="auto"/>
        <w:ind w:left="0" w:leftChars="0" w:right="0" w:firstLine="420" w:firstLineChars="20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4.本声明函“企业名称（盖章）”处为供应商盖章。</w:t>
      </w:r>
    </w:p>
    <w:p w14:paraId="43475578">
      <w:pPr>
        <w:pageBreakBefore w:val="0"/>
        <w:tabs>
          <w:tab w:val="left" w:pos="6300"/>
        </w:tabs>
        <w:wordWrap/>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注：各行业划型标准：</w:t>
      </w:r>
    </w:p>
    <w:p w14:paraId="4F5F24A8">
      <w:pPr>
        <w:pageBreakBefore w:val="0"/>
        <w:tabs>
          <w:tab w:val="left" w:pos="6300"/>
        </w:tabs>
        <w:wordWrap/>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（一）农、林、牧、渔业。营业收入20000万元以下的为中小微型企业。其中，营业收入500万元及以上的为中型企业，营业收入50万元及以上的为小型企业，营业收入50万元以下的为微型企业。</w:t>
      </w:r>
    </w:p>
    <w:p w14:paraId="5106934E">
      <w:pPr>
        <w:pageBreakBefore w:val="0"/>
        <w:tabs>
          <w:tab w:val="left" w:pos="6300"/>
        </w:tabs>
        <w:wordWrap/>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8D89CE6">
      <w:pPr>
        <w:pageBreakBefore w:val="0"/>
        <w:tabs>
          <w:tab w:val="left" w:pos="6300"/>
        </w:tabs>
        <w:wordWrap/>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95E6C5E">
      <w:pPr>
        <w:pageBreakBefore w:val="0"/>
        <w:tabs>
          <w:tab w:val="left" w:pos="6300"/>
        </w:tabs>
        <w:wordWrap/>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D1A3F5E">
      <w:pPr>
        <w:pageBreakBefore w:val="0"/>
        <w:tabs>
          <w:tab w:val="left" w:pos="6300"/>
        </w:tabs>
        <w:wordWrap/>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5043633">
      <w:pPr>
        <w:pageBreakBefore w:val="0"/>
        <w:tabs>
          <w:tab w:val="left" w:pos="6300"/>
        </w:tabs>
        <w:wordWrap/>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351B845">
      <w:pPr>
        <w:pageBreakBefore w:val="0"/>
        <w:tabs>
          <w:tab w:val="left" w:pos="6300"/>
        </w:tabs>
        <w:wordWrap/>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09A4B51">
      <w:pPr>
        <w:pageBreakBefore w:val="0"/>
        <w:tabs>
          <w:tab w:val="left" w:pos="6300"/>
        </w:tabs>
        <w:wordWrap/>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13ED0D6">
      <w:pPr>
        <w:pageBreakBefore w:val="0"/>
        <w:tabs>
          <w:tab w:val="left" w:pos="6300"/>
        </w:tabs>
        <w:wordWrap/>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BB94591">
      <w:pPr>
        <w:pageBreakBefore w:val="0"/>
        <w:tabs>
          <w:tab w:val="left" w:pos="6300"/>
        </w:tabs>
        <w:wordWrap/>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6108EF1">
      <w:pPr>
        <w:pageBreakBefore w:val="0"/>
        <w:tabs>
          <w:tab w:val="left" w:pos="6300"/>
        </w:tabs>
        <w:wordWrap/>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73A5406">
      <w:pPr>
        <w:pageBreakBefore w:val="0"/>
        <w:tabs>
          <w:tab w:val="left" w:pos="6300"/>
        </w:tabs>
        <w:wordWrap/>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863F7FB">
      <w:pPr>
        <w:pageBreakBefore w:val="0"/>
        <w:tabs>
          <w:tab w:val="left" w:pos="6300"/>
        </w:tabs>
        <w:wordWrap/>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717C5CF">
      <w:pPr>
        <w:pageBreakBefore w:val="0"/>
        <w:tabs>
          <w:tab w:val="left" w:pos="6300"/>
        </w:tabs>
        <w:wordWrap/>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ED31699">
      <w:pPr>
        <w:pageBreakBefore w:val="0"/>
        <w:tabs>
          <w:tab w:val="left" w:pos="6300"/>
        </w:tabs>
        <w:wordWrap/>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0B66239">
      <w:pPr>
        <w:pageBreakBefore w:val="0"/>
        <w:tabs>
          <w:tab w:val="left" w:pos="6300"/>
        </w:tabs>
        <w:wordWrap/>
        <w:overflowPunct w:val="0"/>
        <w:topLinePunct w:val="0"/>
        <w:bidi w:val="0"/>
        <w:snapToGrid w:val="0"/>
        <w:spacing w:before="77" w:beforeLines="20" w:line="360" w:lineRule="auto"/>
        <w:ind w:left="0" w:leftChars="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（十六）其他未列明行业。从业人员300人以下的为中小微型企业。其中，从业人员100人及以上的为中型企业；从业人员10人及以上的为小型企业；从业人员10人以下的为微型企业。</w:t>
      </w:r>
    </w:p>
    <w:p w14:paraId="7B03F8D9">
      <w:pPr>
        <w:pageBreakBefore w:val="0"/>
        <w:tabs>
          <w:tab w:val="left" w:pos="6300"/>
        </w:tabs>
        <w:wordWrap/>
        <w:overflowPunct w:val="0"/>
        <w:topLinePunct w:val="0"/>
        <w:bidi w:val="0"/>
        <w:snapToGrid w:val="0"/>
        <w:spacing w:before="77" w:beforeLines="20" w:line="360" w:lineRule="auto"/>
        <w:ind w:left="0" w:leftChars="0" w:right="0" w:firstLine="560" w:firstLineChars="200"/>
        <w:jc w:val="center"/>
        <w:textAlignment w:val="auto"/>
        <w:rPr>
          <w:rFonts w:hint="eastAsia" w:ascii="宋体" w:hAnsi="宋体" w:eastAsia="宋体" w:cs="宋体"/>
          <w:color w:val="auto"/>
          <w:szCs w:val="28"/>
        </w:rPr>
      </w:pPr>
      <w:r>
        <w:rPr>
          <w:rFonts w:hint="eastAsia" w:ascii="宋体" w:hAnsi="宋体" w:eastAsia="宋体" w:cs="宋体"/>
          <w:color w:val="auto"/>
        </w:rPr>
        <w:br w:type="page"/>
      </w:r>
      <w:r>
        <w:rPr>
          <w:rFonts w:hint="eastAsia" w:ascii="宋体" w:hAnsi="宋体" w:eastAsia="宋体" w:cs="宋体"/>
          <w:color w:val="auto"/>
          <w:szCs w:val="28"/>
        </w:rPr>
        <w:t>监狱企业证明文件</w:t>
      </w:r>
    </w:p>
    <w:p w14:paraId="4C2ADA48">
      <w:pPr>
        <w:pageBreakBefore w:val="0"/>
        <w:tabs>
          <w:tab w:val="left" w:pos="6300"/>
        </w:tabs>
        <w:wordWrap/>
        <w:overflowPunct w:val="0"/>
        <w:topLinePunct w:val="0"/>
        <w:bidi w:val="0"/>
        <w:snapToGrid w:val="0"/>
        <w:spacing w:before="77" w:beforeLines="20" w:line="360" w:lineRule="auto"/>
        <w:ind w:left="0" w:leftChars="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以省级以上监狱管理局、戒毒管理局（含新疆生产建设兵团）出具的属于监狱企业的证明文件为准。</w:t>
      </w:r>
    </w:p>
    <w:p w14:paraId="26895D61">
      <w:pPr>
        <w:pageBreakBefore w:val="0"/>
        <w:tabs>
          <w:tab w:val="left" w:pos="6300"/>
        </w:tabs>
        <w:wordWrap/>
        <w:overflowPunct w:val="0"/>
        <w:topLinePunct w:val="0"/>
        <w:bidi w:val="0"/>
        <w:snapToGrid w:val="0"/>
        <w:spacing w:before="77" w:beforeLines="20" w:line="360" w:lineRule="auto"/>
        <w:ind w:left="0" w:leftChars="0" w:right="0" w:firstLine="560" w:firstLineChars="200"/>
        <w:jc w:val="center"/>
        <w:textAlignment w:val="auto"/>
        <w:rPr>
          <w:rFonts w:hint="eastAsia" w:ascii="宋体" w:hAnsi="宋体" w:eastAsia="宋体" w:cs="宋体"/>
          <w:color w:val="auto"/>
          <w:szCs w:val="28"/>
        </w:rPr>
      </w:pPr>
      <w:r>
        <w:rPr>
          <w:rFonts w:hint="eastAsia" w:ascii="宋体" w:hAnsi="宋体" w:eastAsia="宋体" w:cs="宋体"/>
          <w:color w:val="auto"/>
        </w:rPr>
        <w:br w:type="page"/>
      </w:r>
      <w:r>
        <w:rPr>
          <w:rFonts w:hint="eastAsia" w:ascii="宋体" w:hAnsi="宋体" w:eastAsia="宋体" w:cs="宋体"/>
          <w:color w:val="auto"/>
          <w:szCs w:val="28"/>
        </w:rPr>
        <w:t>残疾人福利性单位声明函</w:t>
      </w:r>
    </w:p>
    <w:p w14:paraId="0D83EB87">
      <w:pPr>
        <w:pageBreakBefore w:val="0"/>
        <w:tabs>
          <w:tab w:val="left" w:pos="6300"/>
        </w:tabs>
        <w:wordWrap/>
        <w:overflowPunct w:val="0"/>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7987CB">
      <w:pPr>
        <w:pageBreakBefore w:val="0"/>
        <w:tabs>
          <w:tab w:val="left" w:pos="6300"/>
        </w:tabs>
        <w:wordWrap/>
        <w:overflowPunct w:val="0"/>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14:paraId="016DAB36">
      <w:pPr>
        <w:pageBreakBefore w:val="0"/>
        <w:tabs>
          <w:tab w:val="left" w:pos="6300"/>
        </w:tabs>
        <w:wordWrap/>
        <w:overflowPunct w:val="0"/>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rPr>
      </w:pPr>
    </w:p>
    <w:p w14:paraId="44F5444C">
      <w:pPr>
        <w:pageBreakBefore w:val="0"/>
        <w:tabs>
          <w:tab w:val="left" w:pos="6300"/>
        </w:tabs>
        <w:wordWrap/>
        <w:overflowPunct w:val="0"/>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rPr>
      </w:pPr>
    </w:p>
    <w:p w14:paraId="234D9899">
      <w:pPr>
        <w:pageBreakBefore w:val="0"/>
        <w:tabs>
          <w:tab w:val="left" w:pos="6300"/>
        </w:tabs>
        <w:wordWrap/>
        <w:overflowPunct w:val="0"/>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rPr>
      </w:pPr>
    </w:p>
    <w:p w14:paraId="2CA59FFF">
      <w:pPr>
        <w:pageBreakBefore w:val="0"/>
        <w:tabs>
          <w:tab w:val="left" w:pos="6300"/>
        </w:tabs>
        <w:wordWrap/>
        <w:overflowPunct w:val="0"/>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rPr>
      </w:pPr>
    </w:p>
    <w:p w14:paraId="644E1235">
      <w:pPr>
        <w:pageBreakBefore w:val="0"/>
        <w:tabs>
          <w:tab w:val="left" w:pos="6300"/>
        </w:tabs>
        <w:wordWrap/>
        <w:overflowPunct w:val="0"/>
        <w:topLinePunct w:val="0"/>
        <w:bidi w:val="0"/>
        <w:snapToGrid w:val="0"/>
        <w:spacing w:before="77" w:beforeLines="20" w:line="360" w:lineRule="auto"/>
        <w:ind w:left="0" w:leftChars="0" w:right="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                                                供应商名称（盖章）：</w:t>
      </w:r>
    </w:p>
    <w:p w14:paraId="36C9C2BA">
      <w:pPr>
        <w:pageBreakBefore w:val="0"/>
        <w:tabs>
          <w:tab w:val="left" w:pos="6300"/>
        </w:tabs>
        <w:wordWrap/>
        <w:overflowPunct w:val="0"/>
        <w:topLinePunct w:val="0"/>
        <w:bidi w:val="0"/>
        <w:snapToGrid w:val="0"/>
        <w:spacing w:before="77" w:beforeLines="20" w:line="360" w:lineRule="auto"/>
        <w:ind w:left="0" w:leftChars="0" w:right="0" w:firstLine="480" w:firstLineChars="20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                                                  日  期：</w:t>
      </w:r>
    </w:p>
    <w:p w14:paraId="5CB2F229">
      <w:pPr>
        <w:pageBreakBefore w:val="0"/>
        <w:tabs>
          <w:tab w:val="left" w:pos="6300"/>
        </w:tabs>
        <w:wordWrap/>
        <w:overflowPunct w:val="0"/>
        <w:topLinePunct w:val="0"/>
        <w:bidi w:val="0"/>
        <w:snapToGrid w:val="0"/>
        <w:spacing w:before="77" w:beforeLines="20" w:line="360" w:lineRule="auto"/>
        <w:ind w:left="0" w:leftChars="0" w:right="0" w:firstLine="480" w:firstLineChars="200"/>
        <w:jc w:val="left"/>
        <w:textAlignment w:val="auto"/>
        <w:rPr>
          <w:rFonts w:hint="eastAsia" w:ascii="宋体" w:hAnsi="宋体" w:eastAsia="宋体" w:cs="宋体"/>
          <w:color w:val="auto"/>
          <w:sz w:val="24"/>
        </w:rPr>
      </w:pPr>
    </w:p>
    <w:p w14:paraId="091808BF">
      <w:pPr>
        <w:pStyle w:val="4"/>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lang w:eastAsia="zh-CN"/>
        </w:rPr>
      </w:pPr>
    </w:p>
    <w:p w14:paraId="0C09BDCD">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rPr>
      </w:pPr>
    </w:p>
    <w:p w14:paraId="31A64B42">
      <w:pPr>
        <w:pageBreakBefore w:val="0"/>
        <w:tabs>
          <w:tab w:val="left" w:pos="6300"/>
        </w:tabs>
        <w:wordWrap/>
        <w:topLinePunct w:val="0"/>
        <w:bidi w:val="0"/>
        <w:snapToGrid w:val="0"/>
        <w:spacing w:before="77" w:beforeLines="20" w:line="360" w:lineRule="auto"/>
        <w:ind w:left="0" w:leftChars="0" w:right="0" w:firstLine="570"/>
        <w:jc w:val="left"/>
        <w:textAlignment w:val="auto"/>
        <w:rPr>
          <w:rFonts w:hint="eastAsia" w:ascii="宋体" w:hAnsi="宋体" w:eastAsia="宋体" w:cs="宋体"/>
          <w:color w:val="auto"/>
        </w:rPr>
      </w:pPr>
      <w:r>
        <w:rPr>
          <w:rFonts w:hint="eastAsia" w:ascii="宋体" w:hAnsi="宋体" w:eastAsia="宋体" w:cs="宋体"/>
          <w:color w:val="auto"/>
          <w:kern w:val="0"/>
          <w:sz w:val="24"/>
        </w:rPr>
        <w:t>若中标人为残疾人福利性单位的，将在结果公告时公告其《残疾人福利性单位声明函》。</w:t>
      </w:r>
    </w:p>
    <w:p w14:paraId="4B597960">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rPr>
      </w:pPr>
    </w:p>
    <w:p w14:paraId="553C5A80">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rPr>
      </w:pPr>
    </w:p>
    <w:p w14:paraId="450217FE">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rPr>
      </w:pPr>
    </w:p>
    <w:p w14:paraId="7562CFAC">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rPr>
      </w:pPr>
    </w:p>
    <w:p w14:paraId="0DE784D2">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rPr>
      </w:pPr>
    </w:p>
    <w:p w14:paraId="2B4AF99B">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rPr>
      </w:pPr>
    </w:p>
    <w:p w14:paraId="23598DC4">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rPr>
      </w:pPr>
    </w:p>
    <w:p w14:paraId="272FE6B7">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rPr>
      </w:pPr>
    </w:p>
    <w:p w14:paraId="4C64B3D7">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rPr>
      </w:pPr>
    </w:p>
    <w:p w14:paraId="07F1D8DF">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sz w:val="24"/>
          <w:szCs w:val="24"/>
        </w:rPr>
      </w:pPr>
    </w:p>
    <w:p w14:paraId="397DF283">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rPr>
      </w:pPr>
    </w:p>
    <w:p w14:paraId="4A58FD5E">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（二）其他与项目有关的资料（自附）。</w:t>
      </w:r>
    </w:p>
    <w:p w14:paraId="2793E6D5">
      <w:pPr>
        <w:pageBreakBefore w:val="0"/>
        <w:wordWrap/>
        <w:topLinePunct w:val="0"/>
        <w:bidi w:val="0"/>
        <w:spacing w:before="77" w:beforeLines="20" w:line="360" w:lineRule="auto"/>
        <w:ind w:left="0" w:leftChars="0" w:right="0" w:firstLine="480" w:firstLineChars="200"/>
        <w:textAlignment w:val="auto"/>
        <w:rPr>
          <w:rFonts w:hint="eastAsia" w:ascii="宋体" w:hAnsi="宋体" w:eastAsia="宋体" w:cs="宋体"/>
          <w:color w:val="auto"/>
          <w:sz w:val="24"/>
          <w:szCs w:val="24"/>
        </w:rPr>
      </w:pPr>
    </w:p>
    <w:p w14:paraId="63967A9B">
      <w:pPr>
        <w:pageBreakBefore w:val="0"/>
        <w:wordWrap/>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rPr>
      </w:pPr>
    </w:p>
    <w:p w14:paraId="2DE9C20D">
      <w:pPr>
        <w:pageBreakBefore w:val="0"/>
        <w:wordWrap/>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rPr>
      </w:pPr>
    </w:p>
    <w:p w14:paraId="5491E61A">
      <w:pPr>
        <w:pageBreakBefore w:val="0"/>
        <w:wordWrap/>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rPr>
      </w:pPr>
    </w:p>
    <w:p w14:paraId="5388F2AA">
      <w:pPr>
        <w:pageBreakBefore w:val="0"/>
        <w:wordWrap/>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rPr>
      </w:pPr>
    </w:p>
    <w:p w14:paraId="06D2221F">
      <w:pPr>
        <w:pageBreakBefore w:val="0"/>
        <w:wordWrap/>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rPr>
      </w:pPr>
    </w:p>
    <w:p w14:paraId="2635CEE5">
      <w:pPr>
        <w:pageBreakBefore w:val="0"/>
        <w:wordWrap/>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rPr>
      </w:pPr>
    </w:p>
    <w:p w14:paraId="45583D82">
      <w:pPr>
        <w:pageBreakBefore w:val="0"/>
        <w:wordWrap/>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rPr>
      </w:pPr>
    </w:p>
    <w:p w14:paraId="441E3CC1">
      <w:pPr>
        <w:pageBreakBefore w:val="0"/>
        <w:wordWrap/>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rPr>
      </w:pPr>
    </w:p>
    <w:p w14:paraId="35F708A0">
      <w:pPr>
        <w:pageBreakBefore w:val="0"/>
        <w:wordWrap/>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rPr>
      </w:pPr>
    </w:p>
    <w:p w14:paraId="4CE35FF3">
      <w:pPr>
        <w:pageBreakBefore w:val="0"/>
        <w:wordWrap/>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rPr>
      </w:pPr>
    </w:p>
    <w:p w14:paraId="0007151C">
      <w:pPr>
        <w:pageBreakBefore w:val="0"/>
        <w:wordWrap/>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rPr>
      </w:pPr>
    </w:p>
    <w:p w14:paraId="7A5F959F">
      <w:pPr>
        <w:pageBreakBefore w:val="0"/>
        <w:wordWrap/>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rPr>
      </w:pPr>
    </w:p>
    <w:p w14:paraId="3478CFF3">
      <w:pPr>
        <w:pageBreakBefore w:val="0"/>
        <w:wordWrap/>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rPr>
      </w:pPr>
    </w:p>
    <w:p w14:paraId="3FA3B267">
      <w:pPr>
        <w:pageBreakBefore w:val="0"/>
        <w:wordWrap/>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rPr>
      </w:pPr>
    </w:p>
    <w:p w14:paraId="4E82E0DB">
      <w:pPr>
        <w:pageBreakBefore w:val="0"/>
        <w:wordWrap/>
        <w:topLinePunct w:val="0"/>
        <w:bidi w:val="0"/>
        <w:spacing w:before="77" w:beforeLines="20" w:line="360" w:lineRule="auto"/>
        <w:ind w:left="0" w:leftChars="0" w:right="0" w:firstLine="480" w:firstLineChars="200"/>
        <w:jc w:val="center"/>
        <w:textAlignment w:val="auto"/>
        <w:rPr>
          <w:rFonts w:hint="eastAsia" w:ascii="宋体" w:hAnsi="宋体" w:eastAsia="宋体" w:cs="宋体"/>
          <w:color w:val="auto"/>
          <w:sz w:val="24"/>
          <w:szCs w:val="24"/>
        </w:rPr>
      </w:pPr>
    </w:p>
    <w:p w14:paraId="0EE78599">
      <w:pPr>
        <w:pageBreakBefore w:val="0"/>
        <w:wordWrap/>
        <w:topLinePunct w:val="0"/>
        <w:bidi w:val="0"/>
        <w:spacing w:before="77" w:beforeLines="20" w:line="360" w:lineRule="auto"/>
        <w:ind w:left="0" w:leftChars="0" w:right="0" w:firstLine="480" w:firstLineChars="200"/>
        <w:jc w:val="center"/>
        <w:textAlignment w:val="auto"/>
        <w:outlineLvl w:val="0"/>
        <w:rPr>
          <w:rFonts w:hint="eastAsia" w:ascii="宋体" w:hAnsi="宋体" w:eastAsia="宋体" w:cs="宋体"/>
          <w:color w:val="auto"/>
        </w:rPr>
      </w:pPr>
      <w:r>
        <w:rPr>
          <w:rFonts w:hint="eastAsia" w:ascii="宋体" w:hAnsi="宋体" w:eastAsia="宋体" w:cs="宋体"/>
          <w:color w:val="auto"/>
          <w:sz w:val="24"/>
          <w:szCs w:val="24"/>
        </w:rPr>
        <w:t>（结束）</w:t>
      </w:r>
    </w:p>
    <w:p w14:paraId="35C28DED">
      <w:pPr>
        <w:pageBreakBefore w:val="0"/>
        <w:wordWrap/>
        <w:topLinePunct w:val="0"/>
        <w:bidi w:val="0"/>
        <w:spacing w:before="77" w:beforeLines="20" w:line="360" w:lineRule="auto"/>
        <w:ind w:left="0" w:leftChars="0" w:right="0"/>
        <w:textAlignment w:val="auto"/>
        <w:rPr>
          <w:rFonts w:hint="eastAsia" w:ascii="宋体" w:hAnsi="宋体" w:eastAsia="宋体" w:cs="宋体"/>
          <w:color w:val="auto"/>
        </w:rPr>
      </w:pPr>
    </w:p>
    <w:p w14:paraId="51342418">
      <w:pPr>
        <w:pageBreakBefore w:val="0"/>
        <w:wordWrap/>
        <w:topLinePunct w:val="0"/>
        <w:bidi w:val="0"/>
        <w:spacing w:before="77" w:beforeLines="20" w:line="360" w:lineRule="auto"/>
        <w:ind w:left="0" w:leftChars="0" w:right="0" w:firstLine="560" w:firstLineChars="200"/>
        <w:jc w:val="center"/>
        <w:textAlignment w:val="auto"/>
        <w:rPr>
          <w:rFonts w:hint="eastAsia" w:ascii="宋体" w:hAnsi="宋体" w:eastAsia="宋体" w:cs="宋体"/>
          <w:color w:val="auto"/>
          <w:highlight w:val="none"/>
        </w:rPr>
      </w:pPr>
    </w:p>
    <w:sectPr>
      <w:headerReference r:id="rId12" w:type="default"/>
      <w:foot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embedRegular r:id="rId1" w:fontKey="{7407D22E-A4CF-46D9-B60F-3B2B75500BB5}"/>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2" w:fontKey="{0ABA37F5-6559-4483-9F8E-3C4EF996E4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45B63">
    <w:pPr>
      <w:pStyle w:val="35"/>
      <w:framePr w:wrap="around" w:vAnchor="text" w:hAnchor="margin" w:xAlign="center" w:y="1"/>
      <w:jc w:val="center"/>
      <w:rPr>
        <w:rStyle w:val="62"/>
        <w:rFonts w:ascii="宋体"/>
        <w:szCs w:val="18"/>
      </w:rPr>
    </w:pPr>
    <w:r>
      <w:rPr>
        <w:rFonts w:ascii="宋体"/>
        <w:szCs w:val="18"/>
      </w:rPr>
      <w:fldChar w:fldCharType="begin"/>
    </w:r>
    <w:r>
      <w:rPr>
        <w:rStyle w:val="62"/>
        <w:rFonts w:ascii="宋体"/>
        <w:szCs w:val="18"/>
      </w:rPr>
      <w:instrText xml:space="preserve">PAGE  </w:instrText>
    </w:r>
    <w:r>
      <w:rPr>
        <w:rFonts w:ascii="宋体"/>
        <w:szCs w:val="18"/>
      </w:rPr>
      <w:fldChar w:fldCharType="separate"/>
    </w:r>
    <w:r>
      <w:rPr>
        <w:rStyle w:val="62"/>
        <w:rFonts w:ascii="宋体"/>
        <w:szCs w:val="18"/>
      </w:rPr>
      <w:t>- 4 -</w:t>
    </w:r>
    <w:r>
      <w:rPr>
        <w:rFonts w:ascii="宋体"/>
        <w:szCs w:val="18"/>
      </w:rPr>
      <w:fldChar w:fldCharType="end"/>
    </w:r>
  </w:p>
  <w:p w14:paraId="3C91AF87">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7C97">
    <w:pPr>
      <w:pStyle w:val="35"/>
      <w:framePr w:wrap="around" w:vAnchor="text" w:hAnchor="margin" w:xAlign="center" w:y="1"/>
      <w:rPr>
        <w:rStyle w:val="62"/>
      </w:rPr>
    </w:pPr>
    <w:r>
      <w:fldChar w:fldCharType="begin"/>
    </w:r>
    <w:r>
      <w:rPr>
        <w:rStyle w:val="62"/>
      </w:rPr>
      <w:instrText xml:space="preserve">PAGE  </w:instrText>
    </w:r>
    <w:r>
      <w:fldChar w:fldCharType="end"/>
    </w:r>
  </w:p>
  <w:p w14:paraId="5C916F37">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83F1D">
    <w:pPr>
      <w:pStyle w:val="35"/>
      <w:framePr w:wrap="around" w:vAnchor="text" w:hAnchor="margin" w:xAlign="center" w:y="1"/>
      <w:rPr>
        <w:rStyle w:val="62"/>
      </w:rPr>
    </w:pPr>
  </w:p>
  <w:p w14:paraId="4A9A2BCD">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AD1B7">
    <w:pPr>
      <w:pStyle w:val="35"/>
      <w:jc w:val="center"/>
      <w:rPr>
        <w:rFonts w:ascii="宋体" w:hAnsi="宋体"/>
        <w:szCs w:val="18"/>
      </w:rPr>
    </w:pPr>
    <w:r>
      <w:rPr>
        <w:rFonts w:ascii="宋体" w:hAnsi="宋体"/>
        <w:szCs w:val="18"/>
      </w:rPr>
      <w:fldChar w:fldCharType="begin"/>
    </w:r>
    <w:r>
      <w:rPr>
        <w:rStyle w:val="62"/>
        <w:rFonts w:ascii="宋体" w:hAnsi="宋体"/>
        <w:szCs w:val="18"/>
      </w:rPr>
      <w:instrText xml:space="preserve"> PAGE </w:instrText>
    </w:r>
    <w:r>
      <w:rPr>
        <w:rFonts w:ascii="宋体" w:hAnsi="宋体"/>
        <w:szCs w:val="18"/>
      </w:rPr>
      <w:fldChar w:fldCharType="separate"/>
    </w:r>
    <w:r>
      <w:rPr>
        <w:rStyle w:val="62"/>
        <w:rFonts w:ascii="宋体" w:hAnsi="宋体"/>
        <w:szCs w:val="18"/>
      </w:rPr>
      <w:t>- 13 -</w:t>
    </w:r>
    <w:r>
      <w:rPr>
        <w:rFonts w:ascii="宋体" w:hAnsi="宋体"/>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98572">
    <w:pPr>
      <w:pStyle w:val="35"/>
      <w:jc w:val="center"/>
      <w:rPr>
        <w:rFonts w:ascii="宋体" w:hAnsi="宋体"/>
        <w:szCs w:val="18"/>
      </w:rPr>
    </w:pPr>
    <w:r>
      <w:rPr>
        <w:rFonts w:ascii="宋体" w:hAnsi="宋体"/>
        <w:szCs w:val="18"/>
      </w:rPr>
      <w:fldChar w:fldCharType="begin"/>
    </w:r>
    <w:r>
      <w:rPr>
        <w:rStyle w:val="62"/>
        <w:rFonts w:ascii="宋体" w:hAnsi="宋体"/>
        <w:szCs w:val="18"/>
      </w:rPr>
      <w:instrText xml:space="preserve"> PAGE </w:instrText>
    </w:r>
    <w:r>
      <w:rPr>
        <w:rFonts w:ascii="宋体" w:hAnsi="宋体"/>
        <w:szCs w:val="18"/>
      </w:rPr>
      <w:fldChar w:fldCharType="separate"/>
    </w:r>
    <w:r>
      <w:rPr>
        <w:rStyle w:val="62"/>
        <w:rFonts w:ascii="宋体" w:hAnsi="宋体"/>
        <w:szCs w:val="18"/>
      </w:rPr>
      <w:t>- 22 -</w:t>
    </w:r>
    <w:r>
      <w:rPr>
        <w:rFonts w:ascii="宋体" w:hAnsi="宋体"/>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DD41C">
    <w:pPr>
      <w:pStyle w:val="35"/>
      <w:jc w:val="center"/>
      <w:rPr>
        <w:rFonts w:ascii="宋体" w:hAnsi="宋体"/>
        <w:szCs w:val="18"/>
      </w:rPr>
    </w:pPr>
    <w:r>
      <w:rPr>
        <w:rFonts w:ascii="宋体" w:hAnsi="宋体"/>
        <w:szCs w:val="18"/>
      </w:rPr>
      <w:fldChar w:fldCharType="begin"/>
    </w:r>
    <w:r>
      <w:rPr>
        <w:rStyle w:val="62"/>
        <w:rFonts w:ascii="宋体" w:hAnsi="宋体"/>
        <w:szCs w:val="18"/>
      </w:rPr>
      <w:instrText xml:space="preserve"> PAGE </w:instrText>
    </w:r>
    <w:r>
      <w:rPr>
        <w:rFonts w:ascii="宋体" w:hAnsi="宋体"/>
        <w:szCs w:val="18"/>
      </w:rPr>
      <w:fldChar w:fldCharType="separate"/>
    </w:r>
    <w:r>
      <w:rPr>
        <w:rStyle w:val="62"/>
        <w:rFonts w:ascii="宋体" w:hAnsi="宋体"/>
        <w:szCs w:val="18"/>
      </w:rPr>
      <w:t>- 33 -</w:t>
    </w:r>
    <w:r>
      <w:rPr>
        <w:rFonts w:ascii="宋体" w:hAnsi="宋体"/>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763C1">
    <w:pPr>
      <w:pStyle w:val="36"/>
      <w:jc w:val="both"/>
      <w:rPr>
        <w:rFonts w:ascii="微软雅黑" w:hAnsi="微软雅黑" w:eastAsia="微软雅黑" w:cs="微软雅黑"/>
        <w:sz w:val="21"/>
        <w:szCs w:val="21"/>
      </w:rPr>
    </w:pPr>
    <w:r>
      <w:rPr>
        <w:rFonts w:hint="eastAsia" w:ascii="微软雅黑" w:hAnsi="微软雅黑" w:eastAsia="微软雅黑" w:cs="微软雅黑"/>
        <w:sz w:val="21"/>
        <w:szCs w:val="21"/>
        <w:lang w:val="en-US" w:eastAsia="zh-CN"/>
      </w:rPr>
      <w:t>重庆瑞盛工程咨询有限公司</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00FA3">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587D1">
    <w:pPr>
      <w:pStyle w:val="36"/>
      <w:jc w:val="both"/>
      <w:rPr>
        <w:rFonts w:ascii="方正仿宋_GBK" w:eastAsia="方正仿宋_GBK"/>
        <w:sz w:val="21"/>
        <w:szCs w:val="21"/>
      </w:rPr>
    </w:pPr>
    <w:r>
      <w:rPr>
        <w:rFonts w:hint="eastAsia" w:ascii="方正仿宋_GBK" w:eastAsia="方正仿宋_GBK"/>
        <w:sz w:val="21"/>
        <w:szCs w:val="21"/>
      </w:rPr>
      <w:t xml:space="preserve"> </w:t>
    </w:r>
    <w:r>
      <w:rPr>
        <w:rFonts w:hint="eastAsia" w:ascii="方正仿宋_GBK" w:eastAsia="方正仿宋_GBK"/>
        <w:sz w:val="21"/>
        <w:szCs w:val="21"/>
        <w:lang w:val="en-US" w:eastAsia="zh-CN"/>
      </w:rPr>
      <w:t>重庆瑞盛工程咨询有限公司</w:t>
    </w:r>
    <w:r>
      <w:rPr>
        <w:rFonts w:hint="eastAsia" w:ascii="方正仿宋_GBK" w:eastAsia="方正仿宋_GBK"/>
        <w:sz w:val="21"/>
        <w:szCs w:val="21"/>
      </w:rPr>
      <w:t xml:space="preserve">                      </w:t>
    </w:r>
    <w:r>
      <w:rPr>
        <w:rFonts w:hint="eastAsia" w:ascii="方正仿宋_GBK" w:eastAsia="方正仿宋_GBK"/>
        <w:sz w:val="21"/>
        <w:szCs w:val="21"/>
        <w:lang w:val="en-US" w:eastAsia="zh-CN"/>
      </w:rPr>
      <w:t xml:space="preserve">      </w:t>
    </w:r>
    <w:r>
      <w:rPr>
        <w:rFonts w:hint="eastAsia" w:ascii="方正仿宋_GBK" w:eastAsia="方正仿宋_GBK"/>
        <w:sz w:val="21"/>
        <w:szCs w:val="21"/>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1C799">
    <w:pPr>
      <w:pStyle w:val="36"/>
      <w:jc w:val="both"/>
    </w:pPr>
    <w:r>
      <w:rPr>
        <w:rFonts w:hint="eastAsia" w:ascii="微软雅黑" w:hAnsi="微软雅黑" w:eastAsia="微软雅黑" w:cs="微软雅黑"/>
        <w:sz w:val="21"/>
        <w:szCs w:val="21"/>
        <w:lang w:val="en-US" w:eastAsia="zh-CN"/>
      </w:rPr>
      <w:t>重庆瑞盛工程咨询有限公司</w:t>
    </w:r>
    <w:r>
      <w:rPr>
        <w:rFonts w:hint="eastAsia" w:ascii="微软雅黑" w:hAnsi="微软雅黑" w:eastAsia="微软雅黑" w:cs="微软雅黑"/>
        <w:sz w:val="21"/>
        <w:szCs w:val="21"/>
      </w:rPr>
      <w:t xml:space="preserve">   </w:t>
    </w:r>
    <w:r>
      <w:rPr>
        <w:rFonts w:hint="eastAsia" w:ascii="微软雅黑" w:hAnsi="微软雅黑" w:eastAsia="微软雅黑" w:cs="微软雅黑"/>
        <w:sz w:val="21"/>
        <w:szCs w:val="21"/>
        <w:lang w:val="en-US" w:eastAsia="zh-CN"/>
      </w:rPr>
      <w:t xml:space="preserve">   </w:t>
    </w:r>
    <w:r>
      <w:rPr>
        <w:rFonts w:hint="eastAsia" w:ascii="微软雅黑" w:hAnsi="微软雅黑" w:eastAsia="微软雅黑" w:cs="微软雅黑"/>
        <w:sz w:val="21"/>
        <w:szCs w:val="21"/>
      </w:rPr>
      <w:t xml:space="preserve">                               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A27F8">
    <w:pPr>
      <w:pStyle w:val="36"/>
      <w:tabs>
        <w:tab w:val="right" w:pos="9540"/>
        <w:tab w:val="clear" w:pos="8306"/>
      </w:tabs>
      <w:ind w:right="-126" w:rightChars="-45"/>
      <w:jc w:val="left"/>
      <w:rPr>
        <w:rFonts w:ascii="方正仿宋_GBK" w:eastAsia="方正仿宋_GBK"/>
        <w:sz w:val="21"/>
        <w:szCs w:val="21"/>
      </w:rPr>
    </w:pPr>
    <w:r>
      <w:rPr>
        <w:rFonts w:hint="eastAsia" w:ascii="微软雅黑" w:hAnsi="微软雅黑" w:eastAsia="微软雅黑" w:cs="微软雅黑"/>
        <w:sz w:val="21"/>
        <w:szCs w:val="21"/>
        <w:lang w:val="en-US" w:eastAsia="zh-CN"/>
      </w:rPr>
      <w:t>重庆瑞盛工程咨询有限公司</w:t>
    </w:r>
    <w:r>
      <w:rPr>
        <w:rFonts w:hint="eastAsia" w:ascii="微软雅黑" w:hAnsi="微软雅黑" w:eastAsia="微软雅黑" w:cs="微软雅黑"/>
        <w:sz w:val="21"/>
        <w:szCs w:val="21"/>
      </w:rPr>
      <w:t xml:space="preserve">                                      竞争性比选文件    </w:t>
    </w: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96670"/>
    <w:multiLevelType w:val="singleLevel"/>
    <w:tmpl w:val="97296670"/>
    <w:lvl w:ilvl="0" w:tentative="0">
      <w:start w:val="5"/>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10"/>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4"/>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4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8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1"/>
    <w:multiLevelType w:val="multilevel"/>
    <w:tmpl w:val="00000011"/>
    <w:lvl w:ilvl="0" w:tentative="0">
      <w:start w:val="1"/>
      <w:numFmt w:val="decimal"/>
      <w:pStyle w:val="20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1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124"/>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3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8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4174BBBA"/>
    <w:multiLevelType w:val="singleLevel"/>
    <w:tmpl w:val="4174BBBA"/>
    <w:lvl w:ilvl="0" w:tentative="0">
      <w:start w:val="2"/>
      <w:numFmt w:val="chineseCounting"/>
      <w:suff w:val="nothing"/>
      <w:lvlText w:val="（%1）"/>
      <w:lvlJc w:val="left"/>
      <w:pPr>
        <w:ind w:left="273"/>
      </w:pPr>
      <w:rPr>
        <w:rFonts w:hint="eastAsia"/>
      </w:rPr>
    </w:lvl>
  </w:abstractNum>
  <w:abstractNum w:abstractNumId="14">
    <w:nsid w:val="6A2E0F70"/>
    <w:multiLevelType w:val="singleLevel"/>
    <w:tmpl w:val="6A2E0F70"/>
    <w:lvl w:ilvl="0" w:tentative="0">
      <w:start w:val="2"/>
      <w:numFmt w:val="chineseCounting"/>
      <w:suff w:val="nothing"/>
      <w:lvlText w:val="%1、"/>
      <w:lvlJc w:val="left"/>
      <w:rPr>
        <w:rFonts w:hint="eastAsia"/>
      </w:rPr>
    </w:lvl>
  </w:abstractNum>
  <w:abstractNum w:abstractNumId="15">
    <w:nsid w:val="6C80D529"/>
    <w:multiLevelType w:val="singleLevel"/>
    <w:tmpl w:val="6C80D529"/>
    <w:lvl w:ilvl="0" w:tentative="0">
      <w:start w:val="2"/>
      <w:numFmt w:val="chineseCounting"/>
      <w:suff w:val="space"/>
      <w:lvlText w:val="第%1篇"/>
      <w:lvlJc w:val="left"/>
      <w:rPr>
        <w:rFonts w:hint="eastAsia"/>
      </w:rPr>
    </w:lvl>
  </w:abstractNum>
  <w:num w:numId="1">
    <w:abstractNumId w:val="8"/>
  </w:num>
  <w:num w:numId="2">
    <w:abstractNumId w:val="4"/>
  </w:num>
  <w:num w:numId="3">
    <w:abstractNumId w:val="9"/>
  </w:num>
  <w:num w:numId="4">
    <w:abstractNumId w:val="12"/>
  </w:num>
  <w:num w:numId="5">
    <w:abstractNumId w:val="5"/>
  </w:num>
  <w:num w:numId="6">
    <w:abstractNumId w:val="1"/>
  </w:num>
  <w:num w:numId="7">
    <w:abstractNumId w:val="10"/>
  </w:num>
  <w:num w:numId="8">
    <w:abstractNumId w:val="11"/>
  </w:num>
  <w:num w:numId="9">
    <w:abstractNumId w:val="2"/>
  </w:num>
  <w:num w:numId="10">
    <w:abstractNumId w:val="3"/>
  </w:num>
  <w:num w:numId="11">
    <w:abstractNumId w:val="6"/>
  </w:num>
  <w:num w:numId="12">
    <w:abstractNumId w:val="7"/>
  </w:num>
  <w:num w:numId="13">
    <w:abstractNumId w:val="14"/>
  </w:num>
  <w:num w:numId="14">
    <w:abstractNumId w:val="15"/>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MTQ2MTAwZGQ5OTBmN2QzMGI1NDM3YmIwZTIzMzAifQ=="/>
    <w:docVar w:name="KSO_WPS_MARK_KEY" w:val="9bb5cd56-e203-4f53-8412-e7434c91854d"/>
  </w:docVars>
  <w:rsids>
    <w:rsidRoot w:val="00AD6555"/>
    <w:rsid w:val="0000250D"/>
    <w:rsid w:val="000508B2"/>
    <w:rsid w:val="002237B5"/>
    <w:rsid w:val="00284225"/>
    <w:rsid w:val="00322D07"/>
    <w:rsid w:val="003B67E0"/>
    <w:rsid w:val="005248D6"/>
    <w:rsid w:val="005641E9"/>
    <w:rsid w:val="00604CBF"/>
    <w:rsid w:val="00672BD0"/>
    <w:rsid w:val="009F2E6D"/>
    <w:rsid w:val="00A566D5"/>
    <w:rsid w:val="00A87BC2"/>
    <w:rsid w:val="00AD6555"/>
    <w:rsid w:val="00BE63FD"/>
    <w:rsid w:val="00C7675D"/>
    <w:rsid w:val="00C84172"/>
    <w:rsid w:val="00D638EE"/>
    <w:rsid w:val="00E80370"/>
    <w:rsid w:val="00E8292B"/>
    <w:rsid w:val="0101784D"/>
    <w:rsid w:val="01203FAE"/>
    <w:rsid w:val="01311D17"/>
    <w:rsid w:val="015754F6"/>
    <w:rsid w:val="01CE13E2"/>
    <w:rsid w:val="01CF32DE"/>
    <w:rsid w:val="022950E4"/>
    <w:rsid w:val="0236643E"/>
    <w:rsid w:val="02535CBD"/>
    <w:rsid w:val="026252A3"/>
    <w:rsid w:val="02954528"/>
    <w:rsid w:val="02B250DA"/>
    <w:rsid w:val="02BC7D06"/>
    <w:rsid w:val="031C07A5"/>
    <w:rsid w:val="03212322"/>
    <w:rsid w:val="03AA7B5F"/>
    <w:rsid w:val="04003C23"/>
    <w:rsid w:val="04277401"/>
    <w:rsid w:val="044B7594"/>
    <w:rsid w:val="046E5030"/>
    <w:rsid w:val="04BF588C"/>
    <w:rsid w:val="05697348"/>
    <w:rsid w:val="057C09BB"/>
    <w:rsid w:val="057D74BA"/>
    <w:rsid w:val="059554A6"/>
    <w:rsid w:val="05A20237"/>
    <w:rsid w:val="05A52CD4"/>
    <w:rsid w:val="05E530D0"/>
    <w:rsid w:val="060A6FDB"/>
    <w:rsid w:val="06112117"/>
    <w:rsid w:val="061F3966"/>
    <w:rsid w:val="062736E9"/>
    <w:rsid w:val="0644429B"/>
    <w:rsid w:val="065B3392"/>
    <w:rsid w:val="06652463"/>
    <w:rsid w:val="06A75F6A"/>
    <w:rsid w:val="06C30126"/>
    <w:rsid w:val="06D05B2E"/>
    <w:rsid w:val="070E2AFA"/>
    <w:rsid w:val="072E57F1"/>
    <w:rsid w:val="07464042"/>
    <w:rsid w:val="076F5347"/>
    <w:rsid w:val="07944DAE"/>
    <w:rsid w:val="07E21FBD"/>
    <w:rsid w:val="07F129BC"/>
    <w:rsid w:val="08112E56"/>
    <w:rsid w:val="083B347B"/>
    <w:rsid w:val="083E11BD"/>
    <w:rsid w:val="08406CE4"/>
    <w:rsid w:val="08DA0EE6"/>
    <w:rsid w:val="08F8136C"/>
    <w:rsid w:val="09371E95"/>
    <w:rsid w:val="093A1985"/>
    <w:rsid w:val="09644C54"/>
    <w:rsid w:val="09AC7EDB"/>
    <w:rsid w:val="0A30366A"/>
    <w:rsid w:val="0A8E1FE3"/>
    <w:rsid w:val="0AA30F98"/>
    <w:rsid w:val="0B291CB1"/>
    <w:rsid w:val="0B2C354F"/>
    <w:rsid w:val="0B68215D"/>
    <w:rsid w:val="0BA47589"/>
    <w:rsid w:val="0BBA6759"/>
    <w:rsid w:val="0BE300B2"/>
    <w:rsid w:val="0BFA364D"/>
    <w:rsid w:val="0C4B63BD"/>
    <w:rsid w:val="0C564B47"/>
    <w:rsid w:val="0C5E3BDC"/>
    <w:rsid w:val="0CAC4948"/>
    <w:rsid w:val="0CE91A4F"/>
    <w:rsid w:val="0D483549"/>
    <w:rsid w:val="0D485133"/>
    <w:rsid w:val="0D8920C3"/>
    <w:rsid w:val="0DB5782C"/>
    <w:rsid w:val="0DE50A13"/>
    <w:rsid w:val="0E040D1F"/>
    <w:rsid w:val="0E370B89"/>
    <w:rsid w:val="0E590AFF"/>
    <w:rsid w:val="0E653000"/>
    <w:rsid w:val="0E811A30"/>
    <w:rsid w:val="0EBB70C4"/>
    <w:rsid w:val="0ECC34EE"/>
    <w:rsid w:val="0EE77383"/>
    <w:rsid w:val="0EF7007A"/>
    <w:rsid w:val="0F0547E3"/>
    <w:rsid w:val="0F1B4006"/>
    <w:rsid w:val="0F550869"/>
    <w:rsid w:val="0FBF2BE4"/>
    <w:rsid w:val="0FE443F8"/>
    <w:rsid w:val="101F3682"/>
    <w:rsid w:val="10245B94"/>
    <w:rsid w:val="102869DB"/>
    <w:rsid w:val="10362DC0"/>
    <w:rsid w:val="105E064F"/>
    <w:rsid w:val="10973B61"/>
    <w:rsid w:val="109D1177"/>
    <w:rsid w:val="10B93AD7"/>
    <w:rsid w:val="11034D52"/>
    <w:rsid w:val="111156C1"/>
    <w:rsid w:val="11166833"/>
    <w:rsid w:val="11381C13"/>
    <w:rsid w:val="11423ACC"/>
    <w:rsid w:val="11D109F5"/>
    <w:rsid w:val="11FD0D8A"/>
    <w:rsid w:val="122972FC"/>
    <w:rsid w:val="125814EE"/>
    <w:rsid w:val="12C47920"/>
    <w:rsid w:val="12C82283"/>
    <w:rsid w:val="12CA5B28"/>
    <w:rsid w:val="12E0534B"/>
    <w:rsid w:val="12ED1816"/>
    <w:rsid w:val="13053004"/>
    <w:rsid w:val="1399374C"/>
    <w:rsid w:val="13B24572"/>
    <w:rsid w:val="13CC2B41"/>
    <w:rsid w:val="14076907"/>
    <w:rsid w:val="140D6614"/>
    <w:rsid w:val="14C12F5A"/>
    <w:rsid w:val="14C30E98"/>
    <w:rsid w:val="14C71B8E"/>
    <w:rsid w:val="15064E11"/>
    <w:rsid w:val="156F29B6"/>
    <w:rsid w:val="156F5D50"/>
    <w:rsid w:val="159266A5"/>
    <w:rsid w:val="15BC1451"/>
    <w:rsid w:val="15DA2525"/>
    <w:rsid w:val="15E909BB"/>
    <w:rsid w:val="15FF1F8C"/>
    <w:rsid w:val="161A6585"/>
    <w:rsid w:val="16346CC5"/>
    <w:rsid w:val="1640094D"/>
    <w:rsid w:val="16640041"/>
    <w:rsid w:val="166817B1"/>
    <w:rsid w:val="16B234A2"/>
    <w:rsid w:val="16BE59A3"/>
    <w:rsid w:val="16CD3E38"/>
    <w:rsid w:val="16D056D6"/>
    <w:rsid w:val="17190E2C"/>
    <w:rsid w:val="174165D4"/>
    <w:rsid w:val="17640189"/>
    <w:rsid w:val="179D1A5D"/>
    <w:rsid w:val="187D53EA"/>
    <w:rsid w:val="19836A30"/>
    <w:rsid w:val="1991739F"/>
    <w:rsid w:val="19A57167"/>
    <w:rsid w:val="19C72DC1"/>
    <w:rsid w:val="19F459F1"/>
    <w:rsid w:val="1A824F3A"/>
    <w:rsid w:val="1A8E7D82"/>
    <w:rsid w:val="1A954C6D"/>
    <w:rsid w:val="1AC9700C"/>
    <w:rsid w:val="1AE41750"/>
    <w:rsid w:val="1B105EC8"/>
    <w:rsid w:val="1B2E0C1E"/>
    <w:rsid w:val="1B440441"/>
    <w:rsid w:val="1B7A20B5"/>
    <w:rsid w:val="1B9B4505"/>
    <w:rsid w:val="1C2D5EB5"/>
    <w:rsid w:val="1C784846"/>
    <w:rsid w:val="1C7B4336"/>
    <w:rsid w:val="1CA13D9D"/>
    <w:rsid w:val="1CB735C0"/>
    <w:rsid w:val="1D01483C"/>
    <w:rsid w:val="1D1E53EE"/>
    <w:rsid w:val="1D62374A"/>
    <w:rsid w:val="1D8316F5"/>
    <w:rsid w:val="1D9A6164"/>
    <w:rsid w:val="1DC1221D"/>
    <w:rsid w:val="1DCB6BF8"/>
    <w:rsid w:val="1DD0420E"/>
    <w:rsid w:val="1E01086B"/>
    <w:rsid w:val="1E6F3A27"/>
    <w:rsid w:val="1E8A6AB3"/>
    <w:rsid w:val="1ECA6EAF"/>
    <w:rsid w:val="1F1E6718"/>
    <w:rsid w:val="1F446C62"/>
    <w:rsid w:val="1F59095F"/>
    <w:rsid w:val="1F674366"/>
    <w:rsid w:val="1F6B68E4"/>
    <w:rsid w:val="1F8126DF"/>
    <w:rsid w:val="20191E9C"/>
    <w:rsid w:val="20955963"/>
    <w:rsid w:val="20A319DB"/>
    <w:rsid w:val="20AA343C"/>
    <w:rsid w:val="20AA6F98"/>
    <w:rsid w:val="210E5779"/>
    <w:rsid w:val="218A38D3"/>
    <w:rsid w:val="22260BD6"/>
    <w:rsid w:val="222D1C2F"/>
    <w:rsid w:val="22462CF1"/>
    <w:rsid w:val="224A27E1"/>
    <w:rsid w:val="22A55C69"/>
    <w:rsid w:val="22AA7723"/>
    <w:rsid w:val="22CF718A"/>
    <w:rsid w:val="22EE0D5B"/>
    <w:rsid w:val="230961F8"/>
    <w:rsid w:val="23CD53B3"/>
    <w:rsid w:val="23D305B4"/>
    <w:rsid w:val="23DA5DE6"/>
    <w:rsid w:val="241035B6"/>
    <w:rsid w:val="241E2177"/>
    <w:rsid w:val="247973AD"/>
    <w:rsid w:val="24C3687B"/>
    <w:rsid w:val="24C745BD"/>
    <w:rsid w:val="24C91627"/>
    <w:rsid w:val="24D252AE"/>
    <w:rsid w:val="24DD5D8A"/>
    <w:rsid w:val="24F86524"/>
    <w:rsid w:val="255120D8"/>
    <w:rsid w:val="25653845"/>
    <w:rsid w:val="25893620"/>
    <w:rsid w:val="25956469"/>
    <w:rsid w:val="25B032A3"/>
    <w:rsid w:val="25B05051"/>
    <w:rsid w:val="25E44CFA"/>
    <w:rsid w:val="26213A5D"/>
    <w:rsid w:val="26262B41"/>
    <w:rsid w:val="268B161A"/>
    <w:rsid w:val="26BF1237"/>
    <w:rsid w:val="26E627F9"/>
    <w:rsid w:val="27280C17"/>
    <w:rsid w:val="274243CE"/>
    <w:rsid w:val="274E1770"/>
    <w:rsid w:val="27982240"/>
    <w:rsid w:val="27A504B9"/>
    <w:rsid w:val="27AE55C0"/>
    <w:rsid w:val="27AF0600"/>
    <w:rsid w:val="27C84BBE"/>
    <w:rsid w:val="27E965F8"/>
    <w:rsid w:val="28034902"/>
    <w:rsid w:val="283A32F8"/>
    <w:rsid w:val="285C326E"/>
    <w:rsid w:val="28893937"/>
    <w:rsid w:val="288A1B89"/>
    <w:rsid w:val="28B22E8E"/>
    <w:rsid w:val="28B5472C"/>
    <w:rsid w:val="28BA1D43"/>
    <w:rsid w:val="29057462"/>
    <w:rsid w:val="293E2974"/>
    <w:rsid w:val="294066EC"/>
    <w:rsid w:val="299A7C74"/>
    <w:rsid w:val="29E15E23"/>
    <w:rsid w:val="2A1F27A5"/>
    <w:rsid w:val="2A930A9D"/>
    <w:rsid w:val="2A9767DF"/>
    <w:rsid w:val="2AA809EC"/>
    <w:rsid w:val="2ACB46DB"/>
    <w:rsid w:val="2AEF7BFC"/>
    <w:rsid w:val="2AFC6642"/>
    <w:rsid w:val="2B2D22CA"/>
    <w:rsid w:val="2B807273"/>
    <w:rsid w:val="2C863C57"/>
    <w:rsid w:val="2CA0316D"/>
    <w:rsid w:val="2CF72DFA"/>
    <w:rsid w:val="2D0A773C"/>
    <w:rsid w:val="2D2724F0"/>
    <w:rsid w:val="2D6055AE"/>
    <w:rsid w:val="2D7050C6"/>
    <w:rsid w:val="2D7C1CBC"/>
    <w:rsid w:val="2DB43204"/>
    <w:rsid w:val="2DBD030B"/>
    <w:rsid w:val="2E00469C"/>
    <w:rsid w:val="2E0B376C"/>
    <w:rsid w:val="2E870919"/>
    <w:rsid w:val="2F0A3A24"/>
    <w:rsid w:val="2F252240"/>
    <w:rsid w:val="2F265519"/>
    <w:rsid w:val="2F3A598B"/>
    <w:rsid w:val="2F427D4F"/>
    <w:rsid w:val="2F5922B5"/>
    <w:rsid w:val="2F5E167A"/>
    <w:rsid w:val="2F880DEC"/>
    <w:rsid w:val="2FB318C4"/>
    <w:rsid w:val="2FD52D2D"/>
    <w:rsid w:val="2FD63906"/>
    <w:rsid w:val="2FD965E9"/>
    <w:rsid w:val="3011493E"/>
    <w:rsid w:val="301B57BD"/>
    <w:rsid w:val="307F4394"/>
    <w:rsid w:val="30C96FC7"/>
    <w:rsid w:val="30E97669"/>
    <w:rsid w:val="311A3CC6"/>
    <w:rsid w:val="31321010"/>
    <w:rsid w:val="31462D0D"/>
    <w:rsid w:val="316A69FC"/>
    <w:rsid w:val="321B36E9"/>
    <w:rsid w:val="323B5CA2"/>
    <w:rsid w:val="324137D7"/>
    <w:rsid w:val="326F3B9E"/>
    <w:rsid w:val="328533C1"/>
    <w:rsid w:val="329D070B"/>
    <w:rsid w:val="32A41A99"/>
    <w:rsid w:val="32E7407C"/>
    <w:rsid w:val="331210F9"/>
    <w:rsid w:val="33430DC7"/>
    <w:rsid w:val="33951EF8"/>
    <w:rsid w:val="33DF7227"/>
    <w:rsid w:val="33E6500A"/>
    <w:rsid w:val="33FB1B8D"/>
    <w:rsid w:val="34270BD4"/>
    <w:rsid w:val="344C4197"/>
    <w:rsid w:val="3454129D"/>
    <w:rsid w:val="347100A1"/>
    <w:rsid w:val="35470E02"/>
    <w:rsid w:val="35A1044D"/>
    <w:rsid w:val="35C44201"/>
    <w:rsid w:val="35C97A69"/>
    <w:rsid w:val="35CC2918"/>
    <w:rsid w:val="35ED7BFB"/>
    <w:rsid w:val="360D204B"/>
    <w:rsid w:val="36883480"/>
    <w:rsid w:val="368E4F3A"/>
    <w:rsid w:val="36F34D9D"/>
    <w:rsid w:val="373A6E70"/>
    <w:rsid w:val="373F4992"/>
    <w:rsid w:val="37931EDE"/>
    <w:rsid w:val="37A75B88"/>
    <w:rsid w:val="37F0625A"/>
    <w:rsid w:val="382673F4"/>
    <w:rsid w:val="383B2EA0"/>
    <w:rsid w:val="38685317"/>
    <w:rsid w:val="386D560E"/>
    <w:rsid w:val="3872069F"/>
    <w:rsid w:val="38B92017"/>
    <w:rsid w:val="38F31085"/>
    <w:rsid w:val="391A2AB5"/>
    <w:rsid w:val="395F496C"/>
    <w:rsid w:val="396F1187"/>
    <w:rsid w:val="39B863C1"/>
    <w:rsid w:val="39BB687D"/>
    <w:rsid w:val="39D37108"/>
    <w:rsid w:val="39E84962"/>
    <w:rsid w:val="3A015A23"/>
    <w:rsid w:val="3A3556CD"/>
    <w:rsid w:val="3A494405"/>
    <w:rsid w:val="3A65608F"/>
    <w:rsid w:val="3A7B6D86"/>
    <w:rsid w:val="3AA60379"/>
    <w:rsid w:val="3AB42A96"/>
    <w:rsid w:val="3ABD5DEE"/>
    <w:rsid w:val="3AC4256A"/>
    <w:rsid w:val="3AF45588"/>
    <w:rsid w:val="3B2319C9"/>
    <w:rsid w:val="3B386E89"/>
    <w:rsid w:val="3B443E1A"/>
    <w:rsid w:val="3B4E4C98"/>
    <w:rsid w:val="3BB07701"/>
    <w:rsid w:val="3BFF5F92"/>
    <w:rsid w:val="3C125CC6"/>
    <w:rsid w:val="3C4C6089"/>
    <w:rsid w:val="3C7D6391"/>
    <w:rsid w:val="3CF87773"/>
    <w:rsid w:val="3D4A76E1"/>
    <w:rsid w:val="3DDC2A2F"/>
    <w:rsid w:val="3DE713D4"/>
    <w:rsid w:val="3DFA2EB5"/>
    <w:rsid w:val="3E021D6A"/>
    <w:rsid w:val="3E0E1FAB"/>
    <w:rsid w:val="3E2D5039"/>
    <w:rsid w:val="3EBC63BD"/>
    <w:rsid w:val="3EED1EE2"/>
    <w:rsid w:val="3EF52924"/>
    <w:rsid w:val="3F1A6D74"/>
    <w:rsid w:val="3F3643C1"/>
    <w:rsid w:val="3F381E75"/>
    <w:rsid w:val="3F593C0C"/>
    <w:rsid w:val="3FB452E6"/>
    <w:rsid w:val="3FCC6AD3"/>
    <w:rsid w:val="400603EC"/>
    <w:rsid w:val="400718BA"/>
    <w:rsid w:val="400B5E21"/>
    <w:rsid w:val="40316936"/>
    <w:rsid w:val="403B1563"/>
    <w:rsid w:val="40B27A77"/>
    <w:rsid w:val="40DF6392"/>
    <w:rsid w:val="4104731D"/>
    <w:rsid w:val="41432DC5"/>
    <w:rsid w:val="414A7CB0"/>
    <w:rsid w:val="426F37DA"/>
    <w:rsid w:val="428B4A24"/>
    <w:rsid w:val="43415F3E"/>
    <w:rsid w:val="43571FB5"/>
    <w:rsid w:val="438E0874"/>
    <w:rsid w:val="43A51B15"/>
    <w:rsid w:val="44254A04"/>
    <w:rsid w:val="44C71617"/>
    <w:rsid w:val="44DC3315"/>
    <w:rsid w:val="44F92119"/>
    <w:rsid w:val="44FF5255"/>
    <w:rsid w:val="45225871"/>
    <w:rsid w:val="4538034F"/>
    <w:rsid w:val="453E18DA"/>
    <w:rsid w:val="457810EA"/>
    <w:rsid w:val="45912351"/>
    <w:rsid w:val="45C476F1"/>
    <w:rsid w:val="460D5750"/>
    <w:rsid w:val="465313B5"/>
    <w:rsid w:val="465869CB"/>
    <w:rsid w:val="46794B93"/>
    <w:rsid w:val="468E063F"/>
    <w:rsid w:val="46A41C10"/>
    <w:rsid w:val="47291919"/>
    <w:rsid w:val="472965B9"/>
    <w:rsid w:val="47315DE9"/>
    <w:rsid w:val="47384CA5"/>
    <w:rsid w:val="47571378"/>
    <w:rsid w:val="475950F1"/>
    <w:rsid w:val="47596E9F"/>
    <w:rsid w:val="47C96CD1"/>
    <w:rsid w:val="47D76015"/>
    <w:rsid w:val="47F24BFD"/>
    <w:rsid w:val="47F55F40"/>
    <w:rsid w:val="482A083B"/>
    <w:rsid w:val="4871646A"/>
    <w:rsid w:val="48B56357"/>
    <w:rsid w:val="48B63E7D"/>
    <w:rsid w:val="48FF75D2"/>
    <w:rsid w:val="4910358D"/>
    <w:rsid w:val="49D56585"/>
    <w:rsid w:val="49DE5CE3"/>
    <w:rsid w:val="4A2512BA"/>
    <w:rsid w:val="4A4554B8"/>
    <w:rsid w:val="4A6A13C3"/>
    <w:rsid w:val="4A8866B7"/>
    <w:rsid w:val="4AD8457E"/>
    <w:rsid w:val="4AF60EA8"/>
    <w:rsid w:val="4B335C59"/>
    <w:rsid w:val="4B35552D"/>
    <w:rsid w:val="4B4A27CF"/>
    <w:rsid w:val="4B6E4EE3"/>
    <w:rsid w:val="4B835265"/>
    <w:rsid w:val="4B8D5369"/>
    <w:rsid w:val="4B95246F"/>
    <w:rsid w:val="4BA44460"/>
    <w:rsid w:val="4BFC604B"/>
    <w:rsid w:val="4C20166C"/>
    <w:rsid w:val="4C31041A"/>
    <w:rsid w:val="4C787DC7"/>
    <w:rsid w:val="4CB46925"/>
    <w:rsid w:val="4CB57442"/>
    <w:rsid w:val="4CCD3769"/>
    <w:rsid w:val="4CD07C03"/>
    <w:rsid w:val="4D3A1520"/>
    <w:rsid w:val="4D891B60"/>
    <w:rsid w:val="4D902EEE"/>
    <w:rsid w:val="4E233D62"/>
    <w:rsid w:val="4E4168DE"/>
    <w:rsid w:val="4E4B35E0"/>
    <w:rsid w:val="4EC5306C"/>
    <w:rsid w:val="4ECD746A"/>
    <w:rsid w:val="4ED96B17"/>
    <w:rsid w:val="4EE14D9C"/>
    <w:rsid w:val="4F416B96"/>
    <w:rsid w:val="4F7A18C8"/>
    <w:rsid w:val="50265D8C"/>
    <w:rsid w:val="504F3A20"/>
    <w:rsid w:val="505F4DFA"/>
    <w:rsid w:val="508B2FC8"/>
    <w:rsid w:val="50C25AB5"/>
    <w:rsid w:val="50E104DF"/>
    <w:rsid w:val="50FD6C50"/>
    <w:rsid w:val="510F4A72"/>
    <w:rsid w:val="513B5867"/>
    <w:rsid w:val="514F4E6E"/>
    <w:rsid w:val="515A1860"/>
    <w:rsid w:val="5196484B"/>
    <w:rsid w:val="51E41A5B"/>
    <w:rsid w:val="51E67581"/>
    <w:rsid w:val="52880638"/>
    <w:rsid w:val="528C4D2C"/>
    <w:rsid w:val="52BF3570"/>
    <w:rsid w:val="52ED493F"/>
    <w:rsid w:val="5314011E"/>
    <w:rsid w:val="532540D9"/>
    <w:rsid w:val="53262237"/>
    <w:rsid w:val="534E1882"/>
    <w:rsid w:val="53650979"/>
    <w:rsid w:val="5373753A"/>
    <w:rsid w:val="538053AC"/>
    <w:rsid w:val="53A45945"/>
    <w:rsid w:val="53B536AF"/>
    <w:rsid w:val="53F131C4"/>
    <w:rsid w:val="541D1254"/>
    <w:rsid w:val="54295E4B"/>
    <w:rsid w:val="5431081B"/>
    <w:rsid w:val="5479292E"/>
    <w:rsid w:val="54AC5365"/>
    <w:rsid w:val="54B34F8E"/>
    <w:rsid w:val="54D44008"/>
    <w:rsid w:val="54EB4EAE"/>
    <w:rsid w:val="54F621D1"/>
    <w:rsid w:val="5519761B"/>
    <w:rsid w:val="55361BCF"/>
    <w:rsid w:val="559317CE"/>
    <w:rsid w:val="560721BC"/>
    <w:rsid w:val="566B62A7"/>
    <w:rsid w:val="566E5D97"/>
    <w:rsid w:val="56806A89"/>
    <w:rsid w:val="56AA6834"/>
    <w:rsid w:val="573A49B9"/>
    <w:rsid w:val="57430FD1"/>
    <w:rsid w:val="57476D14"/>
    <w:rsid w:val="577A1D28"/>
    <w:rsid w:val="578804BF"/>
    <w:rsid w:val="57B123DF"/>
    <w:rsid w:val="57C2639A"/>
    <w:rsid w:val="57E23B49"/>
    <w:rsid w:val="58403763"/>
    <w:rsid w:val="584E5E80"/>
    <w:rsid w:val="586B4C84"/>
    <w:rsid w:val="58920E9B"/>
    <w:rsid w:val="58B72302"/>
    <w:rsid w:val="58F509F1"/>
    <w:rsid w:val="59575208"/>
    <w:rsid w:val="59822C3D"/>
    <w:rsid w:val="59AC7302"/>
    <w:rsid w:val="59D2488F"/>
    <w:rsid w:val="5A117165"/>
    <w:rsid w:val="5A4F5EDF"/>
    <w:rsid w:val="5A5654C0"/>
    <w:rsid w:val="5A5A0B0C"/>
    <w:rsid w:val="5A755946"/>
    <w:rsid w:val="5AAB1367"/>
    <w:rsid w:val="5AC73CC7"/>
    <w:rsid w:val="5B0867BA"/>
    <w:rsid w:val="5B3E21DC"/>
    <w:rsid w:val="5B95324D"/>
    <w:rsid w:val="5BC528FD"/>
    <w:rsid w:val="5C0F3B78"/>
    <w:rsid w:val="5C11487C"/>
    <w:rsid w:val="5C136C9F"/>
    <w:rsid w:val="5C2238AB"/>
    <w:rsid w:val="5C2905F5"/>
    <w:rsid w:val="5C473312"/>
    <w:rsid w:val="5C534020"/>
    <w:rsid w:val="5C593045"/>
    <w:rsid w:val="5C6F4617"/>
    <w:rsid w:val="5C8A1451"/>
    <w:rsid w:val="5CB32755"/>
    <w:rsid w:val="5CFA5270"/>
    <w:rsid w:val="5D0631CD"/>
    <w:rsid w:val="5D0632D4"/>
    <w:rsid w:val="5DFB43B4"/>
    <w:rsid w:val="5E5E2B95"/>
    <w:rsid w:val="5E8343A9"/>
    <w:rsid w:val="5EA93E10"/>
    <w:rsid w:val="5EBF1885"/>
    <w:rsid w:val="5EE016F9"/>
    <w:rsid w:val="5EEC01A1"/>
    <w:rsid w:val="5EF57055"/>
    <w:rsid w:val="5F096FA4"/>
    <w:rsid w:val="5F3538F6"/>
    <w:rsid w:val="5F506981"/>
    <w:rsid w:val="5FC5111D"/>
    <w:rsid w:val="5FDA449D"/>
    <w:rsid w:val="600271B8"/>
    <w:rsid w:val="60251BBC"/>
    <w:rsid w:val="602A2D2E"/>
    <w:rsid w:val="606E3563"/>
    <w:rsid w:val="606F04F2"/>
    <w:rsid w:val="607641C6"/>
    <w:rsid w:val="60956D42"/>
    <w:rsid w:val="611D6D37"/>
    <w:rsid w:val="61895274"/>
    <w:rsid w:val="618B6E1B"/>
    <w:rsid w:val="618D5FA9"/>
    <w:rsid w:val="61B96A60"/>
    <w:rsid w:val="61E433B1"/>
    <w:rsid w:val="62465E1A"/>
    <w:rsid w:val="627666FF"/>
    <w:rsid w:val="627A3F06"/>
    <w:rsid w:val="62BE2DC2"/>
    <w:rsid w:val="63133F4E"/>
    <w:rsid w:val="637E4A58"/>
    <w:rsid w:val="63AE3C76"/>
    <w:rsid w:val="63B514A9"/>
    <w:rsid w:val="63EC61B5"/>
    <w:rsid w:val="64122457"/>
    <w:rsid w:val="64520AA6"/>
    <w:rsid w:val="645E38EF"/>
    <w:rsid w:val="647D3D73"/>
    <w:rsid w:val="651D143A"/>
    <w:rsid w:val="652F4B18"/>
    <w:rsid w:val="65711400"/>
    <w:rsid w:val="65876E75"/>
    <w:rsid w:val="66287D10"/>
    <w:rsid w:val="66370F48"/>
    <w:rsid w:val="665A1E94"/>
    <w:rsid w:val="66620058"/>
    <w:rsid w:val="666A0329"/>
    <w:rsid w:val="66772A46"/>
    <w:rsid w:val="668F1B3D"/>
    <w:rsid w:val="66A3383B"/>
    <w:rsid w:val="66CA0DC7"/>
    <w:rsid w:val="66DE4873"/>
    <w:rsid w:val="66F945B8"/>
    <w:rsid w:val="670E33AA"/>
    <w:rsid w:val="67206C39"/>
    <w:rsid w:val="677725E9"/>
    <w:rsid w:val="67B657F0"/>
    <w:rsid w:val="67BA0E3C"/>
    <w:rsid w:val="67C24194"/>
    <w:rsid w:val="67E60798"/>
    <w:rsid w:val="68296001"/>
    <w:rsid w:val="683706DE"/>
    <w:rsid w:val="687E630D"/>
    <w:rsid w:val="689F0032"/>
    <w:rsid w:val="68AA5354"/>
    <w:rsid w:val="69110F2F"/>
    <w:rsid w:val="69535369"/>
    <w:rsid w:val="69B144C0"/>
    <w:rsid w:val="69C91167"/>
    <w:rsid w:val="69F525FF"/>
    <w:rsid w:val="6A2C71C8"/>
    <w:rsid w:val="6A590DE0"/>
    <w:rsid w:val="6A6E5F0E"/>
    <w:rsid w:val="6AC5495F"/>
    <w:rsid w:val="6AC54E80"/>
    <w:rsid w:val="6AF91C7B"/>
    <w:rsid w:val="6B454EC0"/>
    <w:rsid w:val="6B5A277D"/>
    <w:rsid w:val="6B9366A6"/>
    <w:rsid w:val="6C0905E4"/>
    <w:rsid w:val="6C111246"/>
    <w:rsid w:val="6C136D6D"/>
    <w:rsid w:val="6C4C7025"/>
    <w:rsid w:val="6C523D39"/>
    <w:rsid w:val="6C661592"/>
    <w:rsid w:val="6C983716"/>
    <w:rsid w:val="6CD24E7A"/>
    <w:rsid w:val="6D0E5786"/>
    <w:rsid w:val="6D154D66"/>
    <w:rsid w:val="6D34343E"/>
    <w:rsid w:val="6D567859"/>
    <w:rsid w:val="6D8141AA"/>
    <w:rsid w:val="6DC81DD9"/>
    <w:rsid w:val="6E7004A6"/>
    <w:rsid w:val="6E7F4B8D"/>
    <w:rsid w:val="6E985C4F"/>
    <w:rsid w:val="6EA42846"/>
    <w:rsid w:val="6ED22F0F"/>
    <w:rsid w:val="6F20257D"/>
    <w:rsid w:val="6F2325A4"/>
    <w:rsid w:val="6F855772"/>
    <w:rsid w:val="6F8B1310"/>
    <w:rsid w:val="6FCA1E38"/>
    <w:rsid w:val="701632CF"/>
    <w:rsid w:val="70707D6D"/>
    <w:rsid w:val="707133B5"/>
    <w:rsid w:val="70B5413B"/>
    <w:rsid w:val="70BD374B"/>
    <w:rsid w:val="70D80585"/>
    <w:rsid w:val="70DF36C1"/>
    <w:rsid w:val="722F0678"/>
    <w:rsid w:val="724130A1"/>
    <w:rsid w:val="729055BB"/>
    <w:rsid w:val="72A5093A"/>
    <w:rsid w:val="730C2768"/>
    <w:rsid w:val="7318735E"/>
    <w:rsid w:val="731A30D6"/>
    <w:rsid w:val="735C724B"/>
    <w:rsid w:val="73633178"/>
    <w:rsid w:val="73661E78"/>
    <w:rsid w:val="73AB01D2"/>
    <w:rsid w:val="73AC205D"/>
    <w:rsid w:val="74122000"/>
    <w:rsid w:val="74276963"/>
    <w:rsid w:val="743C0E2B"/>
    <w:rsid w:val="745148D6"/>
    <w:rsid w:val="748A428C"/>
    <w:rsid w:val="749D3FBF"/>
    <w:rsid w:val="74AB21EA"/>
    <w:rsid w:val="75134281"/>
    <w:rsid w:val="75382A08"/>
    <w:rsid w:val="754838A8"/>
    <w:rsid w:val="75524DAA"/>
    <w:rsid w:val="7553467E"/>
    <w:rsid w:val="755569A2"/>
    <w:rsid w:val="75A6747A"/>
    <w:rsid w:val="75E1398E"/>
    <w:rsid w:val="75E17EDC"/>
    <w:rsid w:val="75E91581"/>
    <w:rsid w:val="75F53987"/>
    <w:rsid w:val="75FB1DE0"/>
    <w:rsid w:val="75FE0A8D"/>
    <w:rsid w:val="762304F4"/>
    <w:rsid w:val="762340CF"/>
    <w:rsid w:val="76911902"/>
    <w:rsid w:val="76946CFC"/>
    <w:rsid w:val="77045D62"/>
    <w:rsid w:val="7772528F"/>
    <w:rsid w:val="77C35AEB"/>
    <w:rsid w:val="77C41863"/>
    <w:rsid w:val="77DF1377"/>
    <w:rsid w:val="77F55EC0"/>
    <w:rsid w:val="77FE2FC7"/>
    <w:rsid w:val="77FE6B23"/>
    <w:rsid w:val="78267E28"/>
    <w:rsid w:val="782D7408"/>
    <w:rsid w:val="78C7160B"/>
    <w:rsid w:val="78F61EF0"/>
    <w:rsid w:val="791D747D"/>
    <w:rsid w:val="792151BF"/>
    <w:rsid w:val="79DD6C0C"/>
    <w:rsid w:val="7A097A01"/>
    <w:rsid w:val="7A0D129F"/>
    <w:rsid w:val="7A146AD1"/>
    <w:rsid w:val="7A1C14E2"/>
    <w:rsid w:val="7A5275FA"/>
    <w:rsid w:val="7A6730A5"/>
    <w:rsid w:val="7A6D61E2"/>
    <w:rsid w:val="7AB772F5"/>
    <w:rsid w:val="7ABC4A73"/>
    <w:rsid w:val="7ABE2599"/>
    <w:rsid w:val="7B0F1047"/>
    <w:rsid w:val="7B234AF2"/>
    <w:rsid w:val="7B476A33"/>
    <w:rsid w:val="7B7535A0"/>
    <w:rsid w:val="7BC24BB7"/>
    <w:rsid w:val="7BD858DD"/>
    <w:rsid w:val="7BF32717"/>
    <w:rsid w:val="7BF73FB5"/>
    <w:rsid w:val="7C030BAC"/>
    <w:rsid w:val="7C3252ED"/>
    <w:rsid w:val="7CB9333B"/>
    <w:rsid w:val="7CF16C56"/>
    <w:rsid w:val="7D0A271C"/>
    <w:rsid w:val="7D2012E9"/>
    <w:rsid w:val="7D2D6B0F"/>
    <w:rsid w:val="7D4C6582"/>
    <w:rsid w:val="7D853842"/>
    <w:rsid w:val="7DD00F61"/>
    <w:rsid w:val="7E161402"/>
    <w:rsid w:val="7E1F3226"/>
    <w:rsid w:val="7E2211EB"/>
    <w:rsid w:val="7E484F9C"/>
    <w:rsid w:val="7E5D031B"/>
    <w:rsid w:val="7E70004F"/>
    <w:rsid w:val="7F0A2251"/>
    <w:rsid w:val="7F477001"/>
    <w:rsid w:val="7F4E2EC5"/>
    <w:rsid w:val="7F5E42E0"/>
    <w:rsid w:val="7F5F07EF"/>
    <w:rsid w:val="7F6B3D75"/>
    <w:rsid w:val="7F875650"/>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qFormat="1" w:unhideWhenUsed="0" w:uiPriority="0" w:semiHidden="0" w:name="index 7"/>
    <w:lsdException w:uiPriority="0" w:name="index 8"/>
    <w:lsdException w:qFormat="1"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qFormat="1" w:unhideWhenUsed="0" w:uiPriority="0" w:semiHidden="0" w:name="toa heading"/>
    <w:lsdException w:uiPriority="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0"/>
    <w:qFormat/>
    <w:uiPriority w:val="0"/>
    <w:pPr>
      <w:keepNext/>
      <w:keepLines/>
      <w:spacing w:line="413" w:lineRule="auto"/>
      <w:outlineLvl w:val="1"/>
    </w:pPr>
    <w:rPr>
      <w:rFonts w:ascii="Arial" w:hAnsi="Arial" w:eastAsia="黑体"/>
      <w:b/>
      <w:sz w:val="32"/>
    </w:rPr>
  </w:style>
  <w:style w:type="paragraph" w:styleId="4">
    <w:name w:val="heading 3"/>
    <w:basedOn w:val="1"/>
    <w:next w:val="1"/>
    <w:link w:val="71"/>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rPr>
      <w:rFonts w:ascii="Arial" w:hAnsi="Arial"/>
      <w:sz w:val="24"/>
    </w:rPr>
  </w:style>
  <w:style w:type="paragraph" w:styleId="19">
    <w:name w:val="annotation text"/>
    <w:basedOn w:val="1"/>
    <w:link w:val="72"/>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73"/>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4"/>
    <w:qFormat/>
    <w:uiPriority w:val="0"/>
  </w:style>
  <w:style w:type="paragraph" w:styleId="33">
    <w:name w:val="Body Text Indent 2"/>
    <w:basedOn w:val="1"/>
    <w:link w:val="75"/>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6"/>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index 7"/>
    <w:basedOn w:val="1"/>
    <w:next w:val="1"/>
    <w:qFormat/>
    <w:uiPriority w:val="0"/>
    <w:pPr>
      <w:ind w:left="2520"/>
    </w:pPr>
  </w:style>
  <w:style w:type="paragraph" w:styleId="45">
    <w:name w:val="index 9"/>
    <w:basedOn w:val="1"/>
    <w:next w:val="1"/>
    <w:qFormat/>
    <w:uiPriority w:val="0"/>
    <w:pPr>
      <w:ind w:left="1600" w:leftChars="1600"/>
    </w:p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39"/>
    <w:pPr>
      <w:ind w:left="420" w:leftChars="200"/>
    </w:pPr>
  </w:style>
  <w:style w:type="paragraph" w:styleId="48">
    <w:name w:val="toc 9"/>
    <w:basedOn w:val="1"/>
    <w:next w:val="1"/>
    <w:qFormat/>
    <w:uiPriority w:val="0"/>
    <w:pPr>
      <w:ind w:left="3360" w:leftChars="1600"/>
    </w:pPr>
  </w:style>
  <w:style w:type="paragraph" w:styleId="49">
    <w:name w:val="Body Text 2"/>
    <w:basedOn w:val="1"/>
    <w:next w:val="43"/>
    <w:qFormat/>
    <w:uiPriority w:val="0"/>
    <w:pPr>
      <w:adjustRightInd w:val="0"/>
      <w:snapToGrid w:val="0"/>
      <w:spacing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line="360" w:lineRule="auto"/>
      <w:ind w:left="840" w:leftChars="400"/>
    </w:pPr>
    <w:rPr>
      <w:sz w:val="24"/>
    </w:rPr>
  </w:style>
  <w:style w:type="paragraph" w:styleId="52">
    <w:name w:val="Normal (Web)"/>
    <w:basedOn w:val="1"/>
    <w:qFormat/>
    <w:uiPriority w:val="0"/>
    <w:pPr>
      <w:widowControl/>
      <w:spacing w:beforeAutospacing="1" w:afterAutospacing="1"/>
      <w:jc w:val="left"/>
    </w:pPr>
    <w:rPr>
      <w:rFonts w:ascii="宋体" w:hAnsi="宋体"/>
      <w:kern w:val="0"/>
      <w:sz w:val="24"/>
    </w:rPr>
  </w:style>
  <w:style w:type="paragraph" w:styleId="53">
    <w:name w:val="List Continue 3"/>
    <w:basedOn w:val="1"/>
    <w:qFormat/>
    <w:uiPriority w:val="0"/>
    <w:pPr>
      <w:adjustRightInd w:val="0"/>
      <w:snapToGrid w:val="0"/>
      <w:spacing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next w:val="1"/>
    <w:qFormat/>
    <w:uiPriority w:val="0"/>
    <w:pPr>
      <w:widowControl/>
      <w:spacing w:line="360" w:lineRule="auto"/>
      <w:jc w:val="center"/>
    </w:pPr>
    <w:rPr>
      <w:rFonts w:ascii="Arial" w:hAnsi="Arial"/>
      <w:b/>
      <w:smallCaps/>
      <w:kern w:val="28"/>
      <w:sz w:val="36"/>
      <w:lang w:eastAsia="en-US"/>
    </w:rPr>
  </w:style>
  <w:style w:type="paragraph" w:styleId="56">
    <w:name w:val="annotation subject"/>
    <w:basedOn w:val="19"/>
    <w:next w:val="19"/>
    <w:link w:val="77"/>
    <w:qFormat/>
    <w:uiPriority w:val="0"/>
    <w:pPr>
      <w:adjustRightInd/>
      <w:spacing w:line="240" w:lineRule="auto"/>
      <w:textAlignment w:val="auto"/>
    </w:pPr>
  </w:style>
  <w:style w:type="paragraph" w:styleId="57">
    <w:name w:val="Body Text First Indent"/>
    <w:basedOn w:val="22"/>
    <w:qFormat/>
    <w:uiPriority w:val="0"/>
    <w:pPr>
      <w:spacing w:line="360" w:lineRule="auto"/>
      <w:ind w:firstLine="420"/>
    </w:pPr>
    <w:rPr>
      <w:rFonts w:ascii="宋体" w:hAnsi="宋体"/>
      <w:sz w:val="24"/>
    </w:rPr>
  </w:style>
  <w:style w:type="paragraph" w:styleId="58">
    <w:name w:val="Body Text First Indent 2"/>
    <w:basedOn w:val="23"/>
    <w:link w:val="78"/>
    <w:qFormat/>
    <w:uiPriority w:val="0"/>
    <w:pPr>
      <w:spacing w:line="240" w:lineRule="auto"/>
      <w:ind w:left="420" w:leftChars="200" w:firstLine="420" w:firstLineChars="200"/>
    </w:p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paragraph" w:customStyle="1" w:styleId="68">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69">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0">
    <w:name w:val="标题 2 Char"/>
    <w:link w:val="3"/>
    <w:qFormat/>
    <w:uiPriority w:val="0"/>
    <w:rPr>
      <w:rFonts w:ascii="Arial" w:hAnsi="Arial" w:eastAsia="黑体"/>
      <w:b/>
      <w:kern w:val="2"/>
      <w:sz w:val="32"/>
    </w:rPr>
  </w:style>
  <w:style w:type="character" w:customStyle="1" w:styleId="71">
    <w:name w:val="标题 3 Char"/>
    <w:link w:val="4"/>
    <w:qFormat/>
    <w:uiPriority w:val="0"/>
    <w:rPr>
      <w:rFonts w:eastAsia="宋体"/>
      <w:b/>
      <w:kern w:val="2"/>
      <w:sz w:val="32"/>
      <w:lang w:val="en-US" w:eastAsia="zh-CN"/>
    </w:rPr>
  </w:style>
  <w:style w:type="character" w:customStyle="1" w:styleId="72">
    <w:name w:val="批注文字 Char"/>
    <w:link w:val="19"/>
    <w:qFormat/>
    <w:uiPriority w:val="0"/>
    <w:rPr>
      <w:sz w:val="24"/>
    </w:rPr>
  </w:style>
  <w:style w:type="character" w:customStyle="1" w:styleId="73">
    <w:name w:val="正文文本缩进 Char"/>
    <w:link w:val="23"/>
    <w:qFormat/>
    <w:uiPriority w:val="0"/>
    <w:rPr>
      <w:kern w:val="2"/>
      <w:sz w:val="44"/>
    </w:rPr>
  </w:style>
  <w:style w:type="character" w:customStyle="1" w:styleId="74">
    <w:name w:val="日期 Char"/>
    <w:link w:val="32"/>
    <w:qFormat/>
    <w:uiPriority w:val="0"/>
    <w:rPr>
      <w:kern w:val="2"/>
      <w:sz w:val="28"/>
    </w:rPr>
  </w:style>
  <w:style w:type="character" w:customStyle="1" w:styleId="75">
    <w:name w:val="正文文本缩进 2 Char"/>
    <w:link w:val="33"/>
    <w:qFormat/>
    <w:uiPriority w:val="0"/>
    <w:rPr>
      <w:kern w:val="2"/>
      <w:sz w:val="28"/>
    </w:rPr>
  </w:style>
  <w:style w:type="character" w:customStyle="1" w:styleId="76">
    <w:name w:val="脚注文本 Char"/>
    <w:link w:val="40"/>
    <w:qFormat/>
    <w:uiPriority w:val="0"/>
    <w:rPr>
      <w:kern w:val="2"/>
      <w:sz w:val="18"/>
    </w:rPr>
  </w:style>
  <w:style w:type="character" w:customStyle="1" w:styleId="77">
    <w:name w:val="批注主题 Char"/>
    <w:basedOn w:val="72"/>
    <w:link w:val="56"/>
    <w:qFormat/>
    <w:uiPriority w:val="0"/>
    <w:rPr>
      <w:sz w:val="24"/>
    </w:rPr>
  </w:style>
  <w:style w:type="character" w:customStyle="1" w:styleId="78">
    <w:name w:val="正文首行缩进 2 Char"/>
    <w:basedOn w:val="73"/>
    <w:link w:val="58"/>
    <w:qFormat/>
    <w:uiPriority w:val="0"/>
    <w:rPr>
      <w:kern w:val="2"/>
      <w:sz w:val="44"/>
    </w:rPr>
  </w:style>
  <w:style w:type="paragraph" w:customStyle="1" w:styleId="7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80">
    <w:name w:val="标题 5（有编号）（绿盟科技）"/>
    <w:basedOn w:val="1"/>
    <w:next w:val="81"/>
    <w:qFormat/>
    <w:uiPriority w:val="0"/>
    <w:pPr>
      <w:keepNext/>
      <w:keepLines/>
      <w:numPr>
        <w:ilvl w:val="4"/>
        <w:numId w:val="4"/>
      </w:numPr>
      <w:spacing w:before="280" w:after="156" w:line="377" w:lineRule="auto"/>
      <w:jc w:val="left"/>
      <w:outlineLvl w:val="4"/>
    </w:pPr>
    <w:rPr>
      <w:rFonts w:ascii="Arial" w:hAnsi="Arial" w:eastAsia="黑体"/>
      <w:b/>
      <w:kern w:val="0"/>
      <w:sz w:val="24"/>
      <w:szCs w:val="28"/>
    </w:rPr>
  </w:style>
  <w:style w:type="paragraph" w:customStyle="1" w:styleId="8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82">
    <w:name w:val="Char2 Char Char Char Char Char Char"/>
    <w:basedOn w:val="1"/>
    <w:qFormat/>
    <w:uiPriority w:val="0"/>
    <w:rPr>
      <w:rFonts w:ascii="仿宋_GB2312"/>
      <w:b/>
      <w:sz w:val="30"/>
    </w:rPr>
  </w:style>
  <w:style w:type="paragraph" w:customStyle="1" w:styleId="83">
    <w:name w:val="样式1"/>
    <w:basedOn w:val="5"/>
    <w:qFormat/>
    <w:uiPriority w:val="0"/>
    <w:pPr>
      <w:tabs>
        <w:tab w:val="left" w:pos="720"/>
      </w:tabs>
      <w:spacing w:line="560" w:lineRule="atLeast"/>
      <w:ind w:left="420" w:hanging="420"/>
    </w:pPr>
  </w:style>
  <w:style w:type="paragraph" w:customStyle="1" w:styleId="84">
    <w:name w:val="表头样式"/>
    <w:basedOn w:val="1"/>
    <w:qFormat/>
    <w:uiPriority w:val="0"/>
    <w:pPr>
      <w:autoSpaceDE w:val="0"/>
      <w:autoSpaceDN w:val="0"/>
      <w:adjustRightInd w:val="0"/>
      <w:spacing w:line="360" w:lineRule="auto"/>
      <w:jc w:val="left"/>
    </w:pPr>
    <w:rPr>
      <w:b/>
      <w:kern w:val="0"/>
      <w:sz w:val="21"/>
    </w:rPr>
  </w:style>
  <w:style w:type="paragraph" w:customStyle="1" w:styleId="85">
    <w:name w:val="首行缩进"/>
    <w:basedOn w:val="1"/>
    <w:qFormat/>
    <w:uiPriority w:val="0"/>
    <w:pPr>
      <w:numPr>
        <w:ilvl w:val="0"/>
        <w:numId w:val="5"/>
      </w:numPr>
      <w:spacing w:line="360" w:lineRule="auto"/>
    </w:pPr>
    <w:rPr>
      <w:rFonts w:eastAsia="仿宋_GB2312"/>
    </w:rPr>
  </w:style>
  <w:style w:type="paragraph" w:customStyle="1" w:styleId="86">
    <w:name w:val="xl53"/>
    <w:basedOn w:val="1"/>
    <w:qFormat/>
    <w:uiPriority w:val="0"/>
    <w:pPr>
      <w:widowControl/>
      <w:pBdr>
        <w:left w:val="single" w:color="auto" w:sz="4" w:space="0"/>
        <w:bottom w:val="single" w:color="auto" w:sz="4" w:space="0"/>
      </w:pBdr>
      <w:spacing w:beforeAutospacing="1" w:afterAutospacing="1"/>
      <w:jc w:val="center"/>
      <w:textAlignment w:val="center"/>
    </w:pPr>
    <w:rPr>
      <w:rFonts w:ascii="宋体" w:hAnsi="宋体"/>
      <w:kern w:val="0"/>
      <w:sz w:val="24"/>
    </w:rPr>
  </w:style>
  <w:style w:type="paragraph" w:customStyle="1" w:styleId="87">
    <w:name w:val="关键词"/>
    <w:basedOn w:val="1"/>
    <w:next w:val="1"/>
    <w:qFormat/>
    <w:uiPriority w:val="0"/>
    <w:pPr>
      <w:spacing w:line="360" w:lineRule="auto"/>
    </w:pPr>
    <w:rPr>
      <w:rFonts w:eastAsia="黑体"/>
      <w:sz w:val="20"/>
    </w:rPr>
  </w:style>
  <w:style w:type="paragraph" w:customStyle="1" w:styleId="88">
    <w:name w:val="首行缩进 1"/>
    <w:basedOn w:val="1"/>
    <w:qFormat/>
    <w:uiPriority w:val="0"/>
    <w:pPr>
      <w:spacing w:line="360" w:lineRule="auto"/>
      <w:ind w:firstLine="200" w:firstLineChars="200"/>
    </w:pPr>
    <w:rPr>
      <w:sz w:val="24"/>
    </w:rPr>
  </w:style>
  <w:style w:type="paragraph" w:customStyle="1" w:styleId="89">
    <w:name w:val="Char1 Char Char Char"/>
    <w:basedOn w:val="1"/>
    <w:qFormat/>
    <w:uiPriority w:val="0"/>
    <w:rPr>
      <w:rFonts w:ascii="Tahoma" w:hAnsi="Tahoma"/>
      <w:sz w:val="24"/>
    </w:rPr>
  </w:style>
  <w:style w:type="paragraph" w:customStyle="1" w:styleId="90">
    <w:name w:val="样式 正文缩进正文（首行缩进两字）表正文正文非缩进特点标题4段1 + 首行缩进:  2 字符"/>
    <w:basedOn w:val="15"/>
    <w:qFormat/>
    <w:uiPriority w:val="0"/>
    <w:pPr>
      <w:ind w:firstLine="480" w:firstLineChars="200"/>
    </w:pPr>
  </w:style>
  <w:style w:type="paragraph" w:customStyle="1" w:styleId="91">
    <w:name w:val="Table Contents"/>
    <w:basedOn w:val="22"/>
    <w:qFormat/>
    <w:uiPriority w:val="0"/>
    <w:pPr>
      <w:suppressAutoHyphens/>
      <w:jc w:val="left"/>
    </w:pPr>
    <w:rPr>
      <w:rFonts w:ascii="Times New Roman" w:eastAsia="Times New Roman"/>
      <w:kern w:val="0"/>
      <w:sz w:val="24"/>
    </w:rPr>
  </w:style>
  <w:style w:type="paragraph" w:customStyle="1" w:styleId="92">
    <w:name w:val="正文字缩2字"/>
    <w:basedOn w:val="1"/>
    <w:qFormat/>
    <w:uiPriority w:val="0"/>
    <w:pPr>
      <w:spacing w:line="360" w:lineRule="auto"/>
      <w:ind w:left="200" w:leftChars="200" w:firstLine="200" w:firstLineChars="200"/>
    </w:pPr>
    <w:rPr>
      <w:sz w:val="24"/>
    </w:rPr>
  </w:style>
  <w:style w:type="paragraph" w:customStyle="1" w:styleId="93">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4">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95">
    <w:name w:val="摘要"/>
    <w:basedOn w:val="1"/>
    <w:next w:val="3"/>
    <w:qFormat/>
    <w:uiPriority w:val="0"/>
    <w:pPr>
      <w:spacing w:line="360" w:lineRule="auto"/>
    </w:pPr>
    <w:rPr>
      <w:rFonts w:eastAsia="黑体"/>
      <w:sz w:val="20"/>
    </w:rPr>
  </w:style>
  <w:style w:type="paragraph" w:customStyle="1" w:styleId="96">
    <w:name w:val="图例"/>
    <w:basedOn w:val="1"/>
    <w:qFormat/>
    <w:uiPriority w:val="0"/>
    <w:pPr>
      <w:spacing w:line="360" w:lineRule="auto"/>
      <w:jc w:val="center"/>
    </w:pPr>
    <w:rPr>
      <w:rFonts w:eastAsia="仿宋_GB2312"/>
      <w:b/>
      <w:sz w:val="24"/>
    </w:rPr>
  </w:style>
  <w:style w:type="paragraph" w:customStyle="1" w:styleId="97">
    <w:name w:val="样式1xz"/>
    <w:basedOn w:val="1"/>
    <w:qFormat/>
    <w:uiPriority w:val="0"/>
    <w:pPr>
      <w:tabs>
        <w:tab w:val="left" w:pos="1050"/>
        <w:tab w:val="right" w:leader="dot" w:pos="8296"/>
      </w:tabs>
    </w:pPr>
    <w:rPr>
      <w:caps/>
      <w:spacing w:val="20"/>
      <w:sz w:val="24"/>
    </w:rPr>
  </w:style>
  <w:style w:type="paragraph" w:customStyle="1" w:styleId="98">
    <w:name w:val="Char Char Char Char Char"/>
    <w:basedOn w:val="1"/>
    <w:qFormat/>
    <w:uiPriority w:val="0"/>
    <w:pPr>
      <w:tabs>
        <w:tab w:val="left" w:pos="425"/>
      </w:tabs>
      <w:ind w:left="1620" w:hanging="360"/>
    </w:pPr>
    <w:rPr>
      <w:rFonts w:ascii="Tahoma" w:hAnsi="Tahoma"/>
      <w:sz w:val="24"/>
    </w:rPr>
  </w:style>
  <w:style w:type="paragraph" w:customStyle="1" w:styleId="99">
    <w:name w:val="Char"/>
    <w:basedOn w:val="1"/>
    <w:qFormat/>
    <w:uiPriority w:val="0"/>
    <w:pPr>
      <w:spacing w:line="240" w:lineRule="atLeast"/>
      <w:ind w:left="420" w:firstLine="420"/>
    </w:pPr>
    <w:rPr>
      <w:kern w:val="0"/>
      <w:sz w:val="21"/>
    </w:rPr>
  </w:style>
  <w:style w:type="paragraph" w:customStyle="1" w:styleId="100">
    <w:name w:val="Char Char1 Char"/>
    <w:basedOn w:val="1"/>
    <w:qFormat/>
    <w:uiPriority w:val="0"/>
    <w:rPr>
      <w:rFonts w:ascii="Tahoma" w:hAnsi="Tahoma"/>
      <w:sz w:val="24"/>
      <w:szCs w:val="24"/>
    </w:rPr>
  </w:style>
  <w:style w:type="paragraph" w:customStyle="1" w:styleId="10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02">
    <w:name w:val="表格内文字"/>
    <w:basedOn w:val="30"/>
    <w:qFormat/>
    <w:uiPriority w:val="0"/>
    <w:pPr>
      <w:adjustRightInd w:val="0"/>
    </w:pPr>
    <w:rPr>
      <w:color w:val="000000"/>
      <w:lang w:val="en-GB"/>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正文文本缩进 21"/>
    <w:basedOn w:val="1"/>
    <w:qFormat/>
    <w:uiPriority w:val="0"/>
    <w:pPr>
      <w:adjustRightInd w:val="0"/>
      <w:ind w:firstLine="420"/>
      <w:textAlignment w:val="baseline"/>
    </w:pPr>
    <w:rPr>
      <w:sz w:val="24"/>
    </w:rPr>
  </w:style>
  <w:style w:type="paragraph" w:customStyle="1" w:styleId="10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06">
    <w:name w:val="编号正文"/>
    <w:basedOn w:val="107"/>
    <w:qFormat/>
    <w:uiPriority w:val="0"/>
    <w:pPr>
      <w:snapToGrid/>
      <w:spacing w:line="360" w:lineRule="auto"/>
      <w:ind w:left="1407" w:hanging="1047"/>
      <w:jc w:val="left"/>
    </w:pPr>
    <w:rPr>
      <w:rFonts w:eastAsia="仿宋_GB2312"/>
    </w:rPr>
  </w:style>
  <w:style w:type="paragraph" w:customStyle="1" w:styleId="10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08">
    <w:name w:val="文本框样式1"/>
    <w:basedOn w:val="1"/>
    <w:qFormat/>
    <w:uiPriority w:val="0"/>
    <w:pPr>
      <w:adjustRightInd w:val="0"/>
      <w:snapToGrid w:val="0"/>
      <w:spacing w:line="180" w:lineRule="exact"/>
      <w:jc w:val="center"/>
    </w:pPr>
    <w:rPr>
      <w:sz w:val="21"/>
    </w:rPr>
  </w:style>
  <w:style w:type="paragraph" w:customStyle="1" w:styleId="109">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10">
    <w:name w:val="Item Step in Tabl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111">
    <w:name w:val="正文（首行不缩进）"/>
    <w:basedOn w:val="1"/>
    <w:qFormat/>
    <w:uiPriority w:val="0"/>
    <w:pPr>
      <w:autoSpaceDE w:val="0"/>
      <w:autoSpaceDN w:val="0"/>
      <w:adjustRightInd w:val="0"/>
      <w:spacing w:line="360" w:lineRule="auto"/>
      <w:jc w:val="left"/>
    </w:pPr>
    <w:rPr>
      <w:kern w:val="0"/>
      <w:sz w:val="21"/>
    </w:rPr>
  </w:style>
  <w:style w:type="paragraph" w:customStyle="1" w:styleId="112">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3">
    <w:name w:val="_"/>
    <w:basedOn w:val="1"/>
    <w:qFormat/>
    <w:uiPriority w:val="0"/>
    <w:pPr>
      <w:adjustRightInd w:val="0"/>
      <w:spacing w:line="360" w:lineRule="auto"/>
      <w:ind w:left="480" w:firstLine="200" w:firstLineChars="200"/>
      <w:textAlignment w:val="baseline"/>
    </w:pPr>
    <w:rPr>
      <w:kern w:val="0"/>
      <w:sz w:val="24"/>
    </w:rPr>
  </w:style>
  <w:style w:type="paragraph" w:customStyle="1" w:styleId="114">
    <w:name w:val="附录3"/>
    <w:basedOn w:val="1"/>
    <w:next w:val="1"/>
    <w:qFormat/>
    <w:uiPriority w:val="0"/>
    <w:pPr>
      <w:tabs>
        <w:tab w:val="left" w:pos="851"/>
      </w:tabs>
      <w:ind w:left="425" w:hanging="425"/>
      <w:outlineLvl w:val="2"/>
    </w:pPr>
    <w:rPr>
      <w:rFonts w:eastAsia="黑体"/>
      <w:b/>
      <w:sz w:val="32"/>
    </w:rPr>
  </w:style>
  <w:style w:type="paragraph" w:customStyle="1" w:styleId="115">
    <w:name w:val="1"/>
    <w:basedOn w:val="1"/>
    <w:next w:val="30"/>
    <w:qFormat/>
    <w:uiPriority w:val="0"/>
    <w:rPr>
      <w:rFonts w:ascii="宋体" w:hAnsi="Courier New"/>
      <w:sz w:val="21"/>
    </w:rPr>
  </w:style>
  <w:style w:type="paragraph" w:customStyle="1" w:styleId="116">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117">
    <w:name w:val="段落正文"/>
    <w:basedOn w:val="1"/>
    <w:qFormat/>
    <w:uiPriority w:val="0"/>
    <w:pPr>
      <w:spacing w:beforeLines="50" w:line="360" w:lineRule="auto"/>
      <w:ind w:firstLine="200" w:firstLineChars="200"/>
    </w:pPr>
    <w:rPr>
      <w:spacing w:val="2"/>
      <w:sz w:val="24"/>
    </w:rPr>
  </w:style>
  <w:style w:type="paragraph" w:customStyle="1" w:styleId="118">
    <w:name w:val="IN Step"/>
    <w:basedOn w:val="1"/>
    <w:qFormat/>
    <w:uiPriority w:val="0"/>
    <w:pPr>
      <w:keepLines/>
      <w:widowControl/>
      <w:tabs>
        <w:tab w:val="left" w:pos="1134"/>
      </w:tabs>
      <w:spacing w:line="300" w:lineRule="auto"/>
      <w:ind w:left="1134" w:hanging="907"/>
      <w:outlineLvl w:val="8"/>
    </w:pPr>
    <w:rPr>
      <w:rFonts w:ascii="Arial" w:hAnsi="Arial"/>
      <w:kern w:val="0"/>
      <w:sz w:val="21"/>
    </w:rPr>
  </w:style>
  <w:style w:type="paragraph" w:customStyle="1" w:styleId="119">
    <w:name w:val="样式 标题 1章标题Heading 0Section HeadPIM 1H1h11st levell11H1..."/>
    <w:basedOn w:val="2"/>
    <w:qFormat/>
    <w:uiPriority w:val="0"/>
    <w:pPr>
      <w:keepLines/>
      <w:pageBreakBefore/>
      <w:tabs>
        <w:tab w:val="left" w:pos="432"/>
      </w:tabs>
      <w:autoSpaceDE w:val="0"/>
      <w:autoSpaceDN w:val="0"/>
      <w:adjustRightInd w:val="0"/>
      <w:spacing w:line="578" w:lineRule="atLeast"/>
      <w:textAlignment w:val="bottom"/>
    </w:pPr>
    <w:rPr>
      <w:rFonts w:hAnsi="宋体" w:eastAsia="黑体"/>
      <w:b/>
      <w:kern w:val="44"/>
      <w:sz w:val="36"/>
    </w:rPr>
  </w:style>
  <w:style w:type="paragraph" w:customStyle="1" w:styleId="120">
    <w:name w:val="表格文本"/>
    <w:qFormat/>
    <w:uiPriority w:val="0"/>
    <w:pPr>
      <w:tabs>
        <w:tab w:val="decimal" w:pos="0"/>
      </w:tabs>
    </w:pPr>
    <w:rPr>
      <w:rFonts w:ascii="Arial" w:hAnsi="Arial" w:eastAsia="宋体" w:cs="Times New Roman"/>
      <w:sz w:val="21"/>
      <w:lang w:val="en-US" w:eastAsia="zh-CN" w:bidi="ar-SA"/>
    </w:rPr>
  </w:style>
  <w:style w:type="paragraph" w:customStyle="1" w:styleId="121">
    <w:name w:val="内容标题"/>
    <w:basedOn w:val="17"/>
    <w:qFormat/>
    <w:uiPriority w:val="0"/>
    <w:rPr>
      <w:rFonts w:ascii="Tahoma" w:hAnsi="Tahoma"/>
      <w:sz w:val="24"/>
    </w:rPr>
  </w:style>
  <w:style w:type="paragraph" w:customStyle="1" w:styleId="122">
    <w:name w:val="Char Char Char Char Char Char Char"/>
    <w:basedOn w:val="17"/>
    <w:qFormat/>
    <w:uiPriority w:val="0"/>
    <w:rPr>
      <w:rFonts w:ascii="宋体" w:hAnsi="Tahoma"/>
    </w:rPr>
  </w:style>
  <w:style w:type="paragraph" w:customStyle="1" w:styleId="123">
    <w:name w:val="Title - Revision"/>
    <w:basedOn w:val="55"/>
    <w:qFormat/>
    <w:uiPriority w:val="0"/>
  </w:style>
  <w:style w:type="paragraph" w:customStyle="1" w:styleId="124">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5">
    <w:name w:val="简单回函地址"/>
    <w:basedOn w:val="1"/>
    <w:qFormat/>
    <w:uiPriority w:val="0"/>
    <w:pPr>
      <w:adjustRightInd w:val="0"/>
      <w:snapToGrid w:val="0"/>
      <w:spacing w:line="360" w:lineRule="auto"/>
    </w:pPr>
    <w:rPr>
      <w:sz w:val="24"/>
    </w:rPr>
  </w:style>
  <w:style w:type="paragraph" w:customStyle="1" w:styleId="126">
    <w:name w:val="Table Text Char Char Char"/>
    <w:link w:val="127"/>
    <w:qFormat/>
    <w:uiPriority w:val="0"/>
    <w:pPr>
      <w:snapToGrid w:val="0"/>
      <w:spacing w:before="80" w:after="80"/>
    </w:pPr>
    <w:rPr>
      <w:rFonts w:ascii="Arial" w:hAnsi="Arial" w:eastAsia="宋体" w:cs="Times New Roman"/>
      <w:kern w:val="2"/>
      <w:sz w:val="18"/>
      <w:lang w:val="en-US" w:eastAsia="zh-CN" w:bidi="ar-SA"/>
    </w:rPr>
  </w:style>
  <w:style w:type="character" w:customStyle="1" w:styleId="127">
    <w:name w:val="Table Text Char Char Char Char"/>
    <w:link w:val="126"/>
    <w:qFormat/>
    <w:uiPriority w:val="0"/>
    <w:rPr>
      <w:rFonts w:ascii="Arial" w:hAnsi="Arial"/>
      <w:kern w:val="2"/>
      <w:sz w:val="18"/>
      <w:lang w:val="en-US" w:eastAsia="zh-CN" w:bidi="ar-SA"/>
    </w:rPr>
  </w:style>
  <w:style w:type="paragraph" w:customStyle="1" w:styleId="128">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9">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3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31">
    <w:name w:val="文本1"/>
    <w:basedOn w:val="1"/>
    <w:qFormat/>
    <w:uiPriority w:val="0"/>
    <w:pPr>
      <w:adjustRightInd w:val="0"/>
      <w:spacing w:line="312" w:lineRule="atLeast"/>
      <w:jc w:val="center"/>
      <w:textAlignment w:val="baseline"/>
    </w:pPr>
    <w:rPr>
      <w:kern w:val="0"/>
      <w:sz w:val="18"/>
    </w:rPr>
  </w:style>
  <w:style w:type="paragraph" w:customStyle="1" w:styleId="132">
    <w:name w:val="文字"/>
    <w:basedOn w:val="1"/>
    <w:link w:val="133"/>
    <w:qFormat/>
    <w:uiPriority w:val="0"/>
    <w:pPr>
      <w:tabs>
        <w:tab w:val="left" w:pos="8520"/>
      </w:tabs>
      <w:spacing w:line="312" w:lineRule="auto"/>
      <w:ind w:right="-210" w:firstLine="556"/>
    </w:pPr>
    <w:rPr>
      <w:rFonts w:ascii="宋体"/>
    </w:rPr>
  </w:style>
  <w:style w:type="character" w:customStyle="1" w:styleId="133">
    <w:name w:val="文字 Char"/>
    <w:link w:val="132"/>
    <w:qFormat/>
    <w:uiPriority w:val="0"/>
    <w:rPr>
      <w:rFonts w:ascii="宋体"/>
      <w:kern w:val="2"/>
      <w:sz w:val="28"/>
    </w:rPr>
  </w:style>
  <w:style w:type="paragraph" w:customStyle="1" w:styleId="134">
    <w:name w:val="样式2"/>
    <w:basedOn w:val="5"/>
    <w:qFormat/>
    <w:uiPriority w:val="0"/>
    <w:pPr>
      <w:numPr>
        <w:ilvl w:val="0"/>
        <w:numId w:val="8"/>
      </w:numPr>
      <w:spacing w:line="400" w:lineRule="exact"/>
      <w:jc w:val="center"/>
      <w:outlineLvl w:val="0"/>
    </w:pPr>
    <w:rPr>
      <w:b w:val="0"/>
      <w:sz w:val="44"/>
    </w:rPr>
  </w:style>
  <w:style w:type="paragraph" w:customStyle="1" w:styleId="135">
    <w:name w:val="Note"/>
    <w:basedOn w:val="1"/>
    <w:qFormat/>
    <w:uiPriority w:val="0"/>
    <w:pPr>
      <w:pBdr>
        <w:top w:val="single" w:color="auto" w:sz="12" w:space="3"/>
        <w:bottom w:val="single" w:color="auto" w:sz="12" w:space="3"/>
      </w:pBdr>
      <w:spacing w:line="360" w:lineRule="auto"/>
    </w:pPr>
    <w:rPr>
      <w:sz w:val="24"/>
    </w:rPr>
  </w:style>
  <w:style w:type="paragraph" w:customStyle="1" w:styleId="136">
    <w:name w:val="正文表格"/>
    <w:basedOn w:val="1"/>
    <w:qFormat/>
    <w:uiPriority w:val="0"/>
    <w:pPr>
      <w:adjustRightInd w:val="0"/>
    </w:pPr>
    <w:rPr>
      <w:sz w:val="24"/>
    </w:rPr>
  </w:style>
  <w:style w:type="paragraph" w:customStyle="1" w:styleId="137">
    <w:name w:val="IN Feature"/>
    <w:next w:val="11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38">
    <w:name w:val="Char1"/>
    <w:basedOn w:val="1"/>
    <w:qFormat/>
    <w:uiPriority w:val="0"/>
    <w:rPr>
      <w:sz w:val="21"/>
    </w:rPr>
  </w:style>
  <w:style w:type="paragraph" w:customStyle="1" w:styleId="139">
    <w:name w:val="可研正文"/>
    <w:basedOn w:val="22"/>
    <w:qFormat/>
    <w:uiPriority w:val="0"/>
    <w:pPr>
      <w:adjustRightInd w:val="0"/>
      <w:snapToGrid w:val="0"/>
      <w:spacing w:line="440" w:lineRule="exact"/>
      <w:ind w:firstLine="567"/>
    </w:pPr>
    <w:rPr>
      <w:sz w:val="28"/>
    </w:rPr>
  </w:style>
  <w:style w:type="paragraph" w:customStyle="1" w:styleId="140">
    <w:name w:val="标题3——2"/>
    <w:basedOn w:val="4"/>
    <w:next w:val="57"/>
    <w:qFormat/>
    <w:uiPriority w:val="0"/>
    <w:pPr>
      <w:tabs>
        <w:tab w:val="left" w:pos="1280"/>
        <w:tab w:val="right" w:leader="dot" w:pos="8777"/>
      </w:tabs>
      <w:spacing w:beforeLines="100" w:line="240" w:lineRule="auto"/>
      <w:ind w:left="851" w:hanging="851"/>
      <w:outlineLvl w:val="9"/>
    </w:pPr>
    <w:rPr>
      <w:rFonts w:ascii="黑体" w:hAnsi="宋体" w:eastAsia="黑体"/>
      <w:sz w:val="30"/>
    </w:rPr>
  </w:style>
  <w:style w:type="paragraph" w:customStyle="1" w:styleId="14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2">
    <w:name w:val="样式 正文首行缩进 2 + 首行缩进:  2 字符"/>
    <w:basedOn w:val="1"/>
    <w:qFormat/>
    <w:uiPriority w:val="0"/>
    <w:pPr>
      <w:numPr>
        <w:ilvl w:val="0"/>
        <w:numId w:val="9"/>
      </w:numPr>
      <w:adjustRightInd w:val="0"/>
      <w:snapToGrid w:val="0"/>
      <w:spacing w:line="360" w:lineRule="auto"/>
    </w:pPr>
    <w:rPr>
      <w:rFonts w:ascii="Arial" w:hAnsi="Arial"/>
      <w:b/>
      <w:sz w:val="24"/>
    </w:rPr>
  </w:style>
  <w:style w:type="paragraph" w:customStyle="1" w:styleId="14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4">
    <w:name w:val="没有缩进（为图形使用）"/>
    <w:basedOn w:val="1"/>
    <w:qFormat/>
    <w:uiPriority w:val="0"/>
    <w:pPr>
      <w:spacing w:line="360" w:lineRule="auto"/>
    </w:pPr>
    <w:rPr>
      <w:sz w:val="24"/>
    </w:rPr>
  </w:style>
  <w:style w:type="paragraph" w:customStyle="1" w:styleId="145">
    <w:name w:val="Char Char Char"/>
    <w:basedOn w:val="1"/>
    <w:qFormat/>
    <w:uiPriority w:val="0"/>
    <w:rPr>
      <w:rFonts w:ascii="Tahoma" w:hAnsi="Tahoma"/>
      <w:sz w:val="24"/>
    </w:rPr>
  </w:style>
  <w:style w:type="paragraph" w:customStyle="1" w:styleId="146">
    <w:name w:val="表文字"/>
    <w:qFormat/>
    <w:uiPriority w:val="0"/>
    <w:rPr>
      <w:rFonts w:ascii="宋体" w:hAnsi="Calibri" w:eastAsia="宋体" w:cs="Times New Roman"/>
      <w:kern w:val="2"/>
      <w:lang w:val="en-US" w:eastAsia="zh-CN" w:bidi="ar-SA"/>
    </w:rPr>
  </w:style>
  <w:style w:type="paragraph" w:customStyle="1" w:styleId="147">
    <w:name w:val="Char Char Char1 Char Char Char Char Char Char Char Char Char Char Char Char Char"/>
    <w:basedOn w:val="1"/>
    <w:qFormat/>
    <w:uiPriority w:val="0"/>
    <w:pPr>
      <w:widowControl/>
      <w:spacing w:line="240" w:lineRule="exact"/>
      <w:jc w:val="left"/>
    </w:pPr>
    <w:rPr>
      <w:rFonts w:ascii="Verdana" w:hAnsi="Verdana"/>
      <w:kern w:val="0"/>
      <w:sz w:val="18"/>
      <w:lang w:eastAsia="en-US"/>
    </w:rPr>
  </w:style>
  <w:style w:type="paragraph" w:customStyle="1" w:styleId="148">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line="288" w:lineRule="auto"/>
      <w:ind w:left="144" w:right="144"/>
      <w:jc w:val="center"/>
    </w:pPr>
    <w:rPr>
      <w:b/>
      <w:i/>
      <w:sz w:val="24"/>
    </w:rPr>
  </w:style>
  <w:style w:type="paragraph" w:customStyle="1" w:styleId="149">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51">
    <w:name w:val="列表项目"/>
    <w:basedOn w:val="1"/>
    <w:qFormat/>
    <w:uiPriority w:val="0"/>
    <w:pPr>
      <w:tabs>
        <w:tab w:val="left" w:pos="420"/>
      </w:tabs>
      <w:spacing w:line="288" w:lineRule="auto"/>
      <w:ind w:left="840" w:leftChars="200" w:hanging="420" w:hangingChars="200"/>
    </w:pPr>
    <w:rPr>
      <w:sz w:val="21"/>
    </w:rPr>
  </w:style>
  <w:style w:type="paragraph" w:customStyle="1" w:styleId="152">
    <w:name w:val="二级列表"/>
    <w:basedOn w:val="117"/>
    <w:next w:val="117"/>
    <w:qFormat/>
    <w:uiPriority w:val="0"/>
    <w:pPr>
      <w:tabs>
        <w:tab w:val="left" w:pos="2120"/>
      </w:tabs>
      <w:ind w:firstLine="0" w:firstLineChars="0"/>
    </w:pPr>
    <w:rPr>
      <w:b/>
    </w:rPr>
  </w:style>
  <w:style w:type="paragraph" w:customStyle="1" w:styleId="153">
    <w:name w:val="Char Char14 Char Char"/>
    <w:basedOn w:val="1"/>
    <w:qFormat/>
    <w:uiPriority w:val="0"/>
    <w:rPr>
      <w:sz w:val="21"/>
      <w:szCs w:val="24"/>
    </w:rPr>
  </w:style>
  <w:style w:type="paragraph" w:customStyle="1" w:styleId="154">
    <w:name w:val="正文格式"/>
    <w:basedOn w:val="1"/>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55">
    <w:name w:val="Char2"/>
    <w:basedOn w:val="1"/>
    <w:qFormat/>
    <w:uiPriority w:val="0"/>
    <w:pPr>
      <w:spacing w:line="240" w:lineRule="atLeast"/>
      <w:ind w:left="420" w:firstLine="420"/>
    </w:pPr>
    <w:rPr>
      <w:kern w:val="0"/>
      <w:sz w:val="21"/>
    </w:rPr>
  </w:style>
  <w:style w:type="paragraph" w:customStyle="1" w:styleId="156">
    <w:name w:val="样式4"/>
    <w:basedOn w:val="5"/>
    <w:qFormat/>
    <w:uiPriority w:val="0"/>
    <w:pPr>
      <w:adjustRightInd w:val="0"/>
      <w:snapToGrid w:val="0"/>
    </w:pPr>
  </w:style>
  <w:style w:type="paragraph" w:customStyle="1" w:styleId="157">
    <w:name w:val="标书正文:  0.74 厘米"/>
    <w:basedOn w:val="1"/>
    <w:qFormat/>
    <w:uiPriority w:val="0"/>
    <w:pPr>
      <w:snapToGrid w:val="0"/>
      <w:spacing w:line="360" w:lineRule="auto"/>
      <w:ind w:firstLine="420"/>
    </w:pPr>
    <w:rPr>
      <w:sz w:val="24"/>
    </w:rPr>
  </w:style>
  <w:style w:type="paragraph" w:customStyle="1" w:styleId="15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59">
    <w:name w:val="af"/>
    <w:basedOn w:val="1"/>
    <w:qFormat/>
    <w:uiPriority w:val="0"/>
    <w:pPr>
      <w:widowControl/>
      <w:spacing w:line="300" w:lineRule="atLeast"/>
      <w:jc w:val="left"/>
    </w:pPr>
    <w:rPr>
      <w:rFonts w:ascii="宋体" w:hAnsi="宋体"/>
      <w:kern w:val="0"/>
      <w:sz w:val="18"/>
    </w:rPr>
  </w:style>
  <w:style w:type="paragraph" w:customStyle="1" w:styleId="16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61">
    <w:name w:val="Char Char Char Char"/>
    <w:basedOn w:val="1"/>
    <w:qFormat/>
    <w:uiPriority w:val="0"/>
    <w:pPr>
      <w:pageBreakBefore/>
      <w:widowControl/>
      <w:spacing w:line="240" w:lineRule="exact"/>
      <w:jc w:val="left"/>
    </w:pPr>
    <w:rPr>
      <w:rFonts w:ascii="Verdana" w:hAnsi="Verdana"/>
      <w:kern w:val="0"/>
      <w:sz w:val="20"/>
      <w:lang w:eastAsia="en-US"/>
    </w:rPr>
  </w:style>
  <w:style w:type="paragraph" w:customStyle="1" w:styleId="162">
    <w:name w:val="样式 样式 正文首行缩进 2 + 左  0 字符 + 首行缩进:  2.57 字符"/>
    <w:basedOn w:val="1"/>
    <w:next w:val="1"/>
    <w:qFormat/>
    <w:uiPriority w:val="0"/>
    <w:pPr>
      <w:adjustRightInd w:val="0"/>
      <w:snapToGrid w:val="0"/>
      <w:ind w:firstLine="540" w:firstLineChars="257"/>
    </w:pPr>
    <w:rPr>
      <w:sz w:val="21"/>
    </w:rPr>
  </w:style>
  <w:style w:type="paragraph" w:customStyle="1" w:styleId="163">
    <w:name w:val="标准正文"/>
    <w:basedOn w:val="23"/>
    <w:qFormat/>
    <w:uiPriority w:val="0"/>
    <w:pPr>
      <w:spacing w:line="360" w:lineRule="auto"/>
      <w:ind w:left="0" w:firstLine="482"/>
    </w:pPr>
    <w:rPr>
      <w:rFonts w:ascii="Arial" w:hAnsi="Arial"/>
      <w:sz w:val="24"/>
    </w:rPr>
  </w:style>
  <w:style w:type="paragraph" w:customStyle="1" w:styleId="164">
    <w:name w:val="章标题"/>
    <w:next w:val="1"/>
    <w:qFormat/>
    <w:uiPriority w:val="0"/>
    <w:pPr>
      <w:numPr>
        <w:ilvl w:val="1"/>
        <w:numId w:val="6"/>
      </w:numPr>
      <w:spacing w:beforeLines="50" w:afterLines="50"/>
      <w:ind w:left="0"/>
      <w:jc w:val="both"/>
      <w:outlineLvl w:val="1"/>
    </w:pPr>
    <w:rPr>
      <w:rFonts w:ascii="黑体" w:hAnsi="Calibri" w:eastAsia="黑体" w:cs="Times New Roman"/>
      <w:sz w:val="24"/>
      <w:lang w:val="en-US" w:eastAsia="zh-CN" w:bidi="ar-SA"/>
    </w:rPr>
  </w:style>
  <w:style w:type="paragraph" w:customStyle="1" w:styleId="165">
    <w:name w:val="二级条标题"/>
    <w:basedOn w:val="166"/>
    <w:next w:val="143"/>
    <w:qFormat/>
    <w:uiPriority w:val="0"/>
    <w:pPr>
      <w:ind w:left="840"/>
      <w:outlineLvl w:val="3"/>
    </w:pPr>
  </w:style>
  <w:style w:type="paragraph" w:customStyle="1" w:styleId="166">
    <w:name w:val="一级条标题"/>
    <w:basedOn w:val="164"/>
    <w:next w:val="143"/>
    <w:qFormat/>
    <w:uiPriority w:val="0"/>
    <w:pPr>
      <w:numPr>
        <w:ilvl w:val="0"/>
        <w:numId w:val="0"/>
      </w:numPr>
      <w:spacing w:beforeLines="0" w:afterLines="0"/>
      <w:ind w:left="525"/>
      <w:outlineLvl w:val="2"/>
    </w:pPr>
    <w:rPr>
      <w:sz w:val="21"/>
    </w:rPr>
  </w:style>
  <w:style w:type="paragraph" w:customStyle="1" w:styleId="16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68">
    <w:name w:val="标题无"/>
    <w:basedOn w:val="1"/>
    <w:qFormat/>
    <w:uiPriority w:val="0"/>
    <w:pPr>
      <w:spacing w:line="360" w:lineRule="auto"/>
    </w:pPr>
    <w:rPr>
      <w:sz w:val="24"/>
    </w:rPr>
  </w:style>
  <w:style w:type="paragraph" w:customStyle="1" w:styleId="16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70">
    <w:name w:val="xl23"/>
    <w:basedOn w:val="1"/>
    <w:qFormat/>
    <w:uiPriority w:val="0"/>
    <w:pPr>
      <w:widowControl/>
      <w:spacing w:beforeAutospacing="1" w:afterAutospacing="1" w:line="360" w:lineRule="auto"/>
      <w:textAlignment w:val="top"/>
    </w:pPr>
    <w:rPr>
      <w:kern w:val="0"/>
      <w:sz w:val="24"/>
    </w:rPr>
  </w:style>
  <w:style w:type="paragraph" w:customStyle="1" w:styleId="171">
    <w:name w:val="正文文本 21"/>
    <w:basedOn w:val="1"/>
    <w:qFormat/>
    <w:uiPriority w:val="0"/>
    <w:pPr>
      <w:adjustRightInd w:val="0"/>
      <w:spacing w:line="360" w:lineRule="auto"/>
      <w:ind w:firstLine="480"/>
      <w:textAlignment w:val="baseline"/>
    </w:pPr>
    <w:rPr>
      <w:sz w:val="24"/>
    </w:rPr>
  </w:style>
  <w:style w:type="paragraph" w:customStyle="1" w:styleId="17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3">
    <w:name w:val="表头文本"/>
    <w:qFormat/>
    <w:uiPriority w:val="0"/>
    <w:pPr>
      <w:jc w:val="center"/>
    </w:pPr>
    <w:rPr>
      <w:rFonts w:ascii="Arial" w:hAnsi="Arial" w:eastAsia="宋体" w:cs="Times New Roman"/>
      <w:b/>
      <w:sz w:val="21"/>
      <w:lang w:val="en-US" w:eastAsia="zh-CN" w:bidi="ar-SA"/>
    </w:rPr>
  </w:style>
  <w:style w:type="paragraph" w:customStyle="1" w:styleId="174">
    <w:name w:val="Char1 Char Char Char1"/>
    <w:basedOn w:val="1"/>
    <w:qFormat/>
    <w:uiPriority w:val="0"/>
    <w:rPr>
      <w:rFonts w:ascii="Tahoma" w:hAnsi="Tahoma"/>
      <w:sz w:val="30"/>
    </w:rPr>
  </w:style>
  <w:style w:type="paragraph" w:customStyle="1" w:styleId="175">
    <w:name w:val="Char Char Char Char Char Char Char1"/>
    <w:basedOn w:val="1"/>
    <w:qFormat/>
    <w:uiPriority w:val="0"/>
    <w:rPr>
      <w:rFonts w:ascii="Tahoma" w:hAnsi="Tahoma"/>
      <w:sz w:val="24"/>
    </w:rPr>
  </w:style>
  <w:style w:type="paragraph" w:customStyle="1" w:styleId="176">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7">
    <w:name w:val="_Style 159"/>
    <w:qFormat/>
    <w:uiPriority w:val="0"/>
    <w:rPr>
      <w:rFonts w:ascii="Calibri" w:hAnsi="Calibri" w:eastAsia="宋体" w:cs="Times New Roman"/>
      <w:kern w:val="2"/>
      <w:sz w:val="21"/>
      <w:lang w:val="en-US" w:eastAsia="zh-CN" w:bidi="ar-SA"/>
    </w:rPr>
  </w:style>
  <w:style w:type="paragraph" w:customStyle="1" w:styleId="178">
    <w:name w:val="样式 宋体 五号 行距: 单倍行距"/>
    <w:basedOn w:val="1"/>
    <w:qFormat/>
    <w:uiPriority w:val="0"/>
    <w:pPr>
      <w:adjustRightInd w:val="0"/>
      <w:jc w:val="left"/>
    </w:pPr>
    <w:rPr>
      <w:rFonts w:ascii="宋体" w:hAnsi="宋体"/>
      <w:kern w:val="0"/>
      <w:sz w:val="21"/>
    </w:rPr>
  </w:style>
  <w:style w:type="paragraph" w:customStyle="1" w:styleId="179">
    <w:name w:val="Table Text"/>
    <w:link w:val="180"/>
    <w:qFormat/>
    <w:uiPriority w:val="0"/>
    <w:pPr>
      <w:snapToGrid w:val="0"/>
      <w:spacing w:before="80" w:after="80"/>
    </w:pPr>
    <w:rPr>
      <w:rFonts w:ascii="Arial" w:hAnsi="Arial" w:eastAsia="宋体" w:cs="Times New Roman"/>
      <w:kern w:val="2"/>
      <w:sz w:val="18"/>
      <w:lang w:val="en-US" w:eastAsia="zh-CN" w:bidi="ar-SA"/>
    </w:rPr>
  </w:style>
  <w:style w:type="character" w:customStyle="1" w:styleId="180">
    <w:name w:val="Table Text Char"/>
    <w:link w:val="179"/>
    <w:qFormat/>
    <w:uiPriority w:val="0"/>
    <w:rPr>
      <w:rFonts w:ascii="Arial" w:hAnsi="Arial"/>
      <w:kern w:val="2"/>
      <w:sz w:val="18"/>
      <w:lang w:val="en-US" w:eastAsia="zh-CN" w:bidi="ar-SA"/>
    </w:rPr>
  </w:style>
  <w:style w:type="paragraph" w:customStyle="1" w:styleId="18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2">
    <w:name w:val="bt"/>
    <w:basedOn w:val="1"/>
    <w:next w:val="22"/>
    <w:qFormat/>
    <w:uiPriority w:val="0"/>
    <w:pPr>
      <w:overflowPunct w:val="0"/>
      <w:autoSpaceDE w:val="0"/>
      <w:autoSpaceDN w:val="0"/>
      <w:adjustRightInd w:val="0"/>
      <w:snapToGrid w:val="0"/>
      <w:spacing w:line="240" w:lineRule="atLeast"/>
      <w:ind w:left="2880" w:hanging="360"/>
      <w:textAlignment w:val="baseline"/>
    </w:pPr>
    <w:rPr>
      <w:rFonts w:ascii="宋体"/>
      <w:kern w:val="0"/>
      <w:sz w:val="20"/>
    </w:rPr>
  </w:style>
  <w:style w:type="paragraph" w:customStyle="1" w:styleId="183">
    <w:name w:val="正文 + 三号"/>
    <w:basedOn w:val="1"/>
    <w:qFormat/>
    <w:uiPriority w:val="0"/>
    <w:rPr>
      <w:sz w:val="21"/>
    </w:rPr>
  </w:style>
  <w:style w:type="paragraph" w:customStyle="1" w:styleId="184">
    <w:name w:val="默认段落字体 Para Char Char Char Char Char Char Char Char Char1 Char Char Char Char"/>
    <w:basedOn w:val="1"/>
    <w:qFormat/>
    <w:uiPriority w:val="0"/>
    <w:rPr>
      <w:rFonts w:ascii="Tahoma" w:hAnsi="Tahoma"/>
      <w:sz w:val="24"/>
    </w:rPr>
  </w:style>
  <w:style w:type="paragraph" w:customStyle="1" w:styleId="185">
    <w:name w:val="表号"/>
    <w:basedOn w:val="1"/>
    <w:qFormat/>
    <w:uiPriority w:val="0"/>
    <w:pPr>
      <w:numPr>
        <w:ilvl w:val="0"/>
        <w:numId w:val="10"/>
      </w:numPr>
      <w:tabs>
        <w:tab w:val="left" w:pos="648"/>
        <w:tab w:val="clear" w:pos="360"/>
      </w:tabs>
      <w:autoSpaceDE w:val="0"/>
      <w:autoSpaceDN w:val="0"/>
      <w:adjustRightInd w:val="0"/>
      <w:ind w:left="425" w:hanging="137"/>
      <w:jc w:val="center"/>
    </w:pPr>
    <w:rPr>
      <w:kern w:val="0"/>
      <w:sz w:val="21"/>
      <w:lang w:eastAsia="en-US"/>
    </w:rPr>
  </w:style>
  <w:style w:type="paragraph" w:customStyle="1" w:styleId="186">
    <w:name w:val="Title - Date"/>
    <w:basedOn w:val="55"/>
    <w:next w:val="1"/>
    <w:qFormat/>
    <w:uiPriority w:val="0"/>
    <w:rPr>
      <w:sz w:val="28"/>
    </w:rPr>
  </w:style>
  <w:style w:type="paragraph" w:customStyle="1" w:styleId="18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8">
    <w:name w:val="Char Char1 Char Char Char Char Char Char Char Char Char Char Char Char Char Char"/>
    <w:basedOn w:val="1"/>
    <w:qFormat/>
    <w:uiPriority w:val="0"/>
    <w:pPr>
      <w:widowControl/>
      <w:spacing w:line="240" w:lineRule="exact"/>
      <w:jc w:val="left"/>
    </w:pPr>
    <w:rPr>
      <w:rFonts w:ascii="Verdana" w:hAnsi="Verdana"/>
      <w:kern w:val="0"/>
      <w:sz w:val="20"/>
      <w:lang w:eastAsia="en-US"/>
    </w:rPr>
  </w:style>
  <w:style w:type="paragraph" w:customStyle="1" w:styleId="18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0">
    <w:name w:val="正文4"/>
    <w:basedOn w:val="1"/>
    <w:qFormat/>
    <w:uiPriority w:val="0"/>
    <w:pPr>
      <w:tabs>
        <w:tab w:val="left" w:pos="1275"/>
      </w:tabs>
      <w:spacing w:line="360" w:lineRule="auto"/>
      <w:ind w:left="820" w:leftChars="400" w:hanging="705"/>
    </w:pPr>
    <w:rPr>
      <w:sz w:val="24"/>
    </w:rPr>
  </w:style>
  <w:style w:type="paragraph" w:customStyle="1" w:styleId="191">
    <w:name w:val="文章正文"/>
    <w:basedOn w:val="1"/>
    <w:qFormat/>
    <w:uiPriority w:val="0"/>
    <w:pPr>
      <w:ind w:firstLine="560" w:firstLineChars="200"/>
    </w:pPr>
    <w:rPr>
      <w:rFonts w:ascii="仿宋_GB2312" w:hAnsi="宋体" w:eastAsia="仿宋_GB2312"/>
      <w:color w:val="000000"/>
    </w:rPr>
  </w:style>
  <w:style w:type="paragraph" w:customStyle="1" w:styleId="192">
    <w:name w:val="项目"/>
    <w:basedOn w:val="1"/>
    <w:qFormat/>
    <w:uiPriority w:val="0"/>
    <w:pPr>
      <w:tabs>
        <w:tab w:val="left" w:pos="1280"/>
      </w:tabs>
      <w:spacing w:line="360" w:lineRule="auto"/>
      <w:ind w:left="-7" w:firstLine="567"/>
      <w:jc w:val="left"/>
      <w:textAlignment w:val="baseline"/>
    </w:pPr>
    <w:rPr>
      <w:rFonts w:ascii="宋体"/>
      <w:kern w:val="0"/>
      <w:sz w:val="24"/>
    </w:rPr>
  </w:style>
  <w:style w:type="paragraph" w:customStyle="1" w:styleId="193">
    <w:name w:val="默认段落字体 Para Char Char Char Char Char Char Char"/>
    <w:basedOn w:val="1"/>
    <w:qFormat/>
    <w:uiPriority w:val="0"/>
    <w:rPr>
      <w:rFonts w:ascii="Tahoma" w:hAnsi="Tahoma"/>
      <w:sz w:val="24"/>
    </w:rPr>
  </w:style>
  <w:style w:type="paragraph" w:customStyle="1" w:styleId="194">
    <w:name w:val="样式 首行缩进:  0.74 厘米"/>
    <w:basedOn w:val="1"/>
    <w:qFormat/>
    <w:uiPriority w:val="0"/>
    <w:pPr>
      <w:spacing w:line="360" w:lineRule="auto"/>
      <w:ind w:firstLine="420"/>
    </w:pPr>
    <w:rPr>
      <w:sz w:val="24"/>
    </w:rPr>
  </w:style>
  <w:style w:type="paragraph" w:customStyle="1" w:styleId="19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96">
    <w:name w:val="Style Heading 3h3Heading 3 - oldLevel 3 HeadH3level_3PIM 3se..."/>
    <w:basedOn w:val="4"/>
    <w:qFormat/>
    <w:uiPriority w:val="0"/>
    <w:pPr>
      <w:tabs>
        <w:tab w:val="left" w:pos="709"/>
        <w:tab w:val="left" w:pos="1620"/>
      </w:tabs>
      <w:ind w:left="1620" w:hanging="360"/>
    </w:pPr>
  </w:style>
  <w:style w:type="paragraph" w:customStyle="1" w:styleId="197">
    <w:name w:val="图标"/>
    <w:basedOn w:val="1"/>
    <w:next w:val="1"/>
    <w:qFormat/>
    <w:uiPriority w:val="0"/>
    <w:pPr>
      <w:tabs>
        <w:tab w:val="left" w:pos="420"/>
        <w:tab w:val="left" w:pos="567"/>
        <w:tab w:val="left" w:pos="720"/>
      </w:tabs>
      <w:autoSpaceDE w:val="0"/>
      <w:autoSpaceDN w:val="0"/>
      <w:adjustRightInd w:val="0"/>
      <w:snapToGrid w:val="0"/>
      <w:spacing w:line="320" w:lineRule="atLeast"/>
      <w:ind w:left="420" w:hanging="420"/>
      <w:jc w:val="center"/>
      <w:textAlignment w:val="baseline"/>
    </w:pPr>
    <w:rPr>
      <w:rFonts w:eastAsia="仿宋_GB2312"/>
      <w:kern w:val="0"/>
      <w:sz w:val="24"/>
    </w:rPr>
  </w:style>
  <w:style w:type="paragraph" w:customStyle="1" w:styleId="198">
    <w:name w:val="正文1"/>
    <w:basedOn w:val="1"/>
    <w:qFormat/>
    <w:uiPriority w:val="0"/>
    <w:pPr>
      <w:spacing w:line="300" w:lineRule="auto"/>
      <w:ind w:firstLine="200" w:firstLineChars="200"/>
    </w:pPr>
    <w:rPr>
      <w:sz w:val="24"/>
    </w:rPr>
  </w:style>
  <w:style w:type="paragraph" w:customStyle="1" w:styleId="199">
    <w:name w:val="Char Char1"/>
    <w:basedOn w:val="1"/>
    <w:qFormat/>
    <w:uiPriority w:val="0"/>
    <w:pPr>
      <w:widowControl/>
      <w:spacing w:line="240" w:lineRule="exact"/>
      <w:jc w:val="left"/>
    </w:pPr>
    <w:rPr>
      <w:rFonts w:ascii="Verdana" w:hAnsi="Verdana"/>
      <w:kern w:val="0"/>
      <w:sz w:val="20"/>
      <w:lang w:eastAsia="en-US"/>
    </w:rPr>
  </w:style>
  <w:style w:type="paragraph" w:customStyle="1" w:styleId="200">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01">
    <w:name w:val="00"/>
    <w:basedOn w:val="1"/>
    <w:qFormat/>
    <w:uiPriority w:val="0"/>
    <w:pPr>
      <w:autoSpaceDE w:val="0"/>
      <w:autoSpaceDN w:val="0"/>
      <w:adjustRightInd w:val="0"/>
      <w:jc w:val="left"/>
    </w:pPr>
    <w:rPr>
      <w:rFonts w:ascii="黑体" w:eastAsia="黑体"/>
      <w:b/>
      <w:kern w:val="0"/>
      <w:sz w:val="20"/>
    </w:rPr>
  </w:style>
  <w:style w:type="paragraph" w:customStyle="1" w:styleId="202">
    <w:name w:val="Char Char Char Char Char Char1 Char"/>
    <w:basedOn w:val="1"/>
    <w:qFormat/>
    <w:uiPriority w:val="0"/>
    <w:pPr>
      <w:widowControl/>
      <w:spacing w:line="240" w:lineRule="exact"/>
      <w:jc w:val="left"/>
    </w:pPr>
    <w:rPr>
      <w:rFonts w:ascii="Verdana" w:hAnsi="Verdana"/>
      <w:kern w:val="0"/>
      <w:sz w:val="21"/>
      <w:lang w:eastAsia="en-US"/>
    </w:rPr>
  </w:style>
  <w:style w:type="paragraph" w:customStyle="1" w:styleId="203">
    <w:name w:val="xl27"/>
    <w:basedOn w:val="1"/>
    <w:qFormat/>
    <w:uiPriority w:val="0"/>
    <w:pPr>
      <w:widowControl/>
      <w:pBdr>
        <w:left w:val="single" w:color="auto" w:sz="8" w:space="0"/>
        <w:bottom w:val="single" w:color="auto" w:sz="4" w:space="0"/>
        <w:right w:val="single" w:color="auto" w:sz="4" w:space="0"/>
      </w:pBdr>
      <w:spacing w:beforeAutospacing="1" w:afterAutospacing="1"/>
      <w:jc w:val="center"/>
      <w:textAlignment w:val="center"/>
    </w:pPr>
    <w:rPr>
      <w:rFonts w:ascii="宋体" w:hAnsi="宋体"/>
      <w:kern w:val="0"/>
      <w:sz w:val="21"/>
    </w:rPr>
  </w:style>
  <w:style w:type="paragraph" w:customStyle="1" w:styleId="204">
    <w:name w:val="普通正文"/>
    <w:basedOn w:val="1"/>
    <w:qFormat/>
    <w:uiPriority w:val="0"/>
    <w:pPr>
      <w:adjustRightInd w:val="0"/>
      <w:spacing w:line="360" w:lineRule="auto"/>
      <w:ind w:firstLine="480"/>
      <w:jc w:val="left"/>
      <w:textAlignment w:val="baseline"/>
    </w:pPr>
    <w:rPr>
      <w:rFonts w:ascii="Arial" w:hAnsi="Arial"/>
      <w:kern w:val="0"/>
      <w:sz w:val="24"/>
    </w:rPr>
  </w:style>
  <w:style w:type="paragraph" w:customStyle="1" w:styleId="205">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06">
    <w:name w:val="样式 行距: 1.5 倍行距1"/>
    <w:basedOn w:val="1"/>
    <w:qFormat/>
    <w:uiPriority w:val="0"/>
    <w:pPr>
      <w:snapToGrid w:val="0"/>
    </w:pPr>
    <w:rPr>
      <w:sz w:val="21"/>
    </w:rPr>
  </w:style>
  <w:style w:type="paragraph" w:customStyle="1" w:styleId="207">
    <w:name w:val="样式3"/>
    <w:basedOn w:val="2"/>
    <w:next w:val="2"/>
    <w:qFormat/>
    <w:uiPriority w:val="0"/>
    <w:pPr>
      <w:keepLines/>
      <w:adjustRightInd w:val="0"/>
      <w:spacing w:line="576" w:lineRule="auto"/>
    </w:pPr>
    <w:rPr>
      <w:rFonts w:ascii="Times New Roman" w:eastAsia="黑体"/>
      <w:b/>
      <w:kern w:val="44"/>
      <w:sz w:val="44"/>
    </w:rPr>
  </w:style>
  <w:style w:type="paragraph" w:customStyle="1" w:styleId="208">
    <w:name w:val="图片文字"/>
    <w:basedOn w:val="1"/>
    <w:qFormat/>
    <w:uiPriority w:val="0"/>
    <w:pPr>
      <w:spacing w:line="240" w:lineRule="atLeast"/>
      <w:jc w:val="center"/>
    </w:pPr>
    <w:rPr>
      <w:sz w:val="21"/>
    </w:rPr>
  </w:style>
  <w:style w:type="paragraph" w:customStyle="1" w:styleId="209">
    <w:name w:val="Char Char Char Char Char Char Char Char Char Char Char Char Char Char Char Char"/>
    <w:basedOn w:val="1"/>
    <w:qFormat/>
    <w:uiPriority w:val="0"/>
    <w:pPr>
      <w:tabs>
        <w:tab w:val="left" w:pos="360"/>
      </w:tabs>
    </w:pPr>
    <w:rPr>
      <w:sz w:val="24"/>
    </w:rPr>
  </w:style>
  <w:style w:type="paragraph" w:customStyle="1" w:styleId="210">
    <w:name w:val="Item List"/>
    <w:qFormat/>
    <w:uiPriority w:val="0"/>
    <w:pPr>
      <w:numPr>
        <w:ilvl w:val="0"/>
        <w:numId w:val="12"/>
      </w:numPr>
      <w:spacing w:line="300" w:lineRule="auto"/>
      <w:jc w:val="both"/>
    </w:pPr>
    <w:rPr>
      <w:rFonts w:ascii="Arial" w:hAnsi="Arial" w:eastAsia="宋体" w:cs="Times New Roman"/>
      <w:sz w:val="21"/>
      <w:lang w:val="en-US" w:eastAsia="zh-CN" w:bidi="ar-SA"/>
    </w:rPr>
  </w:style>
  <w:style w:type="paragraph" w:customStyle="1" w:styleId="211">
    <w:name w:val="标题2"/>
    <w:basedOn w:val="3"/>
    <w:qFormat/>
    <w:uiPriority w:val="0"/>
    <w:pPr>
      <w:keepNext w:val="0"/>
      <w:keepLines w:val="0"/>
      <w:adjustRightInd w:val="0"/>
      <w:snapToGrid w:val="0"/>
      <w:spacing w:line="360" w:lineRule="auto"/>
      <w:ind w:firstLine="574" w:firstLineChars="196"/>
      <w:outlineLvl w:val="9"/>
    </w:pPr>
    <w:rPr>
      <w:rFonts w:ascii="宋体" w:hAnsi="宋体" w:eastAsia="宋体"/>
      <w:spacing w:val="6"/>
      <w:sz w:val="28"/>
      <w:u w:val="single"/>
    </w:rPr>
  </w:style>
  <w:style w:type="paragraph" w:customStyle="1" w:styleId="212">
    <w:name w:val="样式 标题 1 + 居中 段前: 6 磅 段后: 6 磅 行距: 1.5 倍行距"/>
    <w:basedOn w:val="2"/>
    <w:qFormat/>
    <w:uiPriority w:val="0"/>
    <w:pPr>
      <w:keepLines/>
      <w:adjustRightInd w:val="0"/>
      <w:spacing w:line="360" w:lineRule="auto"/>
      <w:jc w:val="center"/>
    </w:pPr>
    <w:rPr>
      <w:rFonts w:ascii="Times New Roman"/>
      <w:b/>
      <w:kern w:val="44"/>
      <w:sz w:val="32"/>
    </w:rPr>
  </w:style>
  <w:style w:type="paragraph" w:customStyle="1" w:styleId="213">
    <w:name w:val="Char Char 字元 字元 字元 Char Char Char Char"/>
    <w:basedOn w:val="1"/>
    <w:qFormat/>
    <w:uiPriority w:val="0"/>
    <w:pPr>
      <w:adjustRightInd w:val="0"/>
      <w:spacing w:line="360" w:lineRule="auto"/>
    </w:pPr>
    <w:rPr>
      <w:kern w:val="0"/>
      <w:sz w:val="24"/>
    </w:rPr>
  </w:style>
  <w:style w:type="paragraph" w:customStyle="1" w:styleId="214">
    <w:name w:val="tabletext"/>
    <w:basedOn w:val="1"/>
    <w:qFormat/>
    <w:uiPriority w:val="0"/>
    <w:pPr>
      <w:widowControl/>
      <w:spacing w:beforeAutospacing="1" w:afterAutospacing="1"/>
      <w:jc w:val="left"/>
    </w:pPr>
    <w:rPr>
      <w:rFonts w:ascii="宋体" w:hAnsi="宋体" w:cs="宋体"/>
      <w:kern w:val="0"/>
      <w:sz w:val="24"/>
      <w:szCs w:val="24"/>
    </w:rPr>
  </w:style>
  <w:style w:type="paragraph" w:customStyle="1" w:styleId="215">
    <w:name w:val="Char Char Char Char Char Char Char Char Char Char Char Char Char"/>
    <w:basedOn w:val="1"/>
    <w:qFormat/>
    <w:uiPriority w:val="0"/>
    <w:pPr>
      <w:widowControl/>
      <w:spacing w:line="240" w:lineRule="exact"/>
      <w:jc w:val="left"/>
    </w:pPr>
    <w:rPr>
      <w:rFonts w:ascii="Verdana" w:hAnsi="Verdana" w:eastAsia="仿宋_GB2312"/>
      <w:kern w:val="0"/>
      <w:sz w:val="24"/>
      <w:lang w:eastAsia="en-US"/>
    </w:rPr>
  </w:style>
  <w:style w:type="paragraph" w:customStyle="1" w:styleId="216">
    <w:name w:val="content"/>
    <w:basedOn w:val="1"/>
    <w:qFormat/>
    <w:uiPriority w:val="0"/>
    <w:pPr>
      <w:widowControl/>
      <w:spacing w:beforeAutospacing="1" w:afterAutospacing="1" w:line="280" w:lineRule="atLeast"/>
      <w:ind w:firstLine="375"/>
      <w:jc w:val="left"/>
    </w:pPr>
    <w:rPr>
      <w:rFonts w:ascii="宋体" w:hAnsi="宋体"/>
      <w:color w:val="000000"/>
      <w:kern w:val="0"/>
      <w:sz w:val="18"/>
    </w:rPr>
  </w:style>
  <w:style w:type="paragraph" w:customStyle="1" w:styleId="21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218">
    <w:name w:val="style1"/>
    <w:basedOn w:val="1"/>
    <w:qFormat/>
    <w:uiPriority w:val="0"/>
    <w:pPr>
      <w:widowControl/>
      <w:spacing w:beforeAutospacing="1" w:afterAutospacing="1"/>
      <w:jc w:val="left"/>
    </w:pPr>
    <w:rPr>
      <w:rFonts w:ascii="宋体" w:hAnsi="宋体"/>
      <w:kern w:val="0"/>
      <w:sz w:val="21"/>
    </w:rPr>
  </w:style>
  <w:style w:type="character" w:customStyle="1" w:styleId="219">
    <w:name w:val="Char Char3"/>
    <w:qFormat/>
    <w:uiPriority w:val="0"/>
    <w:rPr>
      <w:rFonts w:eastAsia="宋体"/>
      <w:kern w:val="2"/>
      <w:sz w:val="18"/>
      <w:lang w:val="en-US" w:eastAsia="zh-CN"/>
    </w:rPr>
  </w:style>
  <w:style w:type="character" w:customStyle="1" w:styleId="220">
    <w:name w:val="title_emph1"/>
    <w:qFormat/>
    <w:uiPriority w:val="0"/>
    <w:rPr>
      <w:rFonts w:hint="default" w:ascii="Arial" w:hAnsi="Arial"/>
      <w:b/>
      <w:sz w:val="20"/>
    </w:rPr>
  </w:style>
  <w:style w:type="character" w:customStyle="1" w:styleId="221">
    <w:name w:val="Char Char11"/>
    <w:qFormat/>
    <w:uiPriority w:val="0"/>
    <w:rPr>
      <w:rFonts w:ascii="宋体"/>
      <w:kern w:val="2"/>
      <w:sz w:val="28"/>
    </w:rPr>
  </w:style>
  <w:style w:type="character" w:customStyle="1" w:styleId="222">
    <w:name w:val="top-det1"/>
    <w:qFormat/>
    <w:uiPriority w:val="0"/>
    <w:rPr>
      <w:b/>
      <w:color w:val="000000"/>
    </w:rPr>
  </w:style>
  <w:style w:type="character" w:customStyle="1" w:styleId="223">
    <w:name w:val="font31"/>
    <w:qFormat/>
    <w:uiPriority w:val="0"/>
    <w:rPr>
      <w:rFonts w:hint="default" w:ascii="Times New Roman" w:hAnsi="Times New Roman" w:cs="Times New Roman"/>
      <w:color w:val="000000"/>
      <w:sz w:val="20"/>
      <w:szCs w:val="20"/>
      <w:u w:val="none"/>
    </w:rPr>
  </w:style>
  <w:style w:type="character" w:customStyle="1" w:styleId="224">
    <w:name w:val="Table Heading Char Char"/>
    <w:qFormat/>
    <w:uiPriority w:val="0"/>
    <w:rPr>
      <w:rFonts w:ascii="Arial" w:hAnsi="Arial" w:eastAsia="黑体"/>
      <w:kern w:val="2"/>
      <w:sz w:val="18"/>
      <w:lang w:val="en-US" w:eastAsia="zh-CN"/>
    </w:rPr>
  </w:style>
  <w:style w:type="character" w:customStyle="1" w:styleId="225">
    <w:name w:val="样式 宋体"/>
    <w:qFormat/>
    <w:uiPriority w:val="0"/>
    <w:rPr>
      <w:rFonts w:ascii="宋体" w:hAnsi="宋体" w:eastAsia="宋体"/>
      <w:sz w:val="28"/>
    </w:rPr>
  </w:style>
  <w:style w:type="character" w:customStyle="1" w:styleId="226">
    <w:name w:val="小 Char"/>
    <w:qFormat/>
    <w:uiPriority w:val="0"/>
    <w:rPr>
      <w:rFonts w:ascii="宋体" w:hAnsi="Courier New" w:eastAsia="宋体"/>
      <w:kern w:val="2"/>
      <w:sz w:val="21"/>
      <w:lang w:val="en-US" w:eastAsia="zh-CN" w:bidi="ar-SA"/>
    </w:rPr>
  </w:style>
  <w:style w:type="character" w:customStyle="1" w:styleId="227">
    <w:name w:val="Char Char6"/>
    <w:qFormat/>
    <w:uiPriority w:val="0"/>
    <w:rPr>
      <w:rFonts w:ascii="仿宋_GB2312" w:eastAsia="仿宋_GB2312"/>
      <w:kern w:val="2"/>
      <w:sz w:val="32"/>
    </w:rPr>
  </w:style>
  <w:style w:type="character" w:customStyle="1" w:styleId="228">
    <w:name w:val="Char Char7"/>
    <w:qFormat/>
    <w:uiPriority w:val="0"/>
    <w:rPr>
      <w:rFonts w:ascii="宋体" w:hAnsi="宋体" w:eastAsia="宋体"/>
      <w:kern w:val="2"/>
      <w:sz w:val="28"/>
    </w:rPr>
  </w:style>
  <w:style w:type="character" w:customStyle="1" w:styleId="229">
    <w:name w:val="font21"/>
    <w:qFormat/>
    <w:uiPriority w:val="0"/>
    <w:rPr>
      <w:rFonts w:hint="eastAsia" w:ascii="宋体" w:hAnsi="宋体" w:eastAsia="宋体" w:cs="宋体"/>
      <w:color w:val="000000"/>
      <w:sz w:val="20"/>
      <w:szCs w:val="20"/>
      <w:u w:val="none"/>
    </w:rPr>
  </w:style>
  <w:style w:type="character" w:customStyle="1" w:styleId="230">
    <w:name w:val="Char Char5"/>
    <w:qFormat/>
    <w:uiPriority w:val="0"/>
    <w:rPr>
      <w:rFonts w:ascii="Arial" w:hAnsi="Arial" w:eastAsia="宋体"/>
      <w:b/>
      <w:smallCaps/>
      <w:kern w:val="28"/>
      <w:sz w:val="36"/>
      <w:lang w:val="en-US" w:eastAsia="en-US"/>
    </w:rPr>
  </w:style>
  <w:style w:type="character" w:customStyle="1" w:styleId="231">
    <w:name w:val="未命名11"/>
    <w:qFormat/>
    <w:uiPriority w:val="0"/>
    <w:rPr>
      <w:color w:val="77FFFF"/>
      <w:sz w:val="24"/>
    </w:rPr>
  </w:style>
  <w:style w:type="character" w:customStyle="1" w:styleId="232">
    <w:name w:val="正文 + 三号 Char"/>
    <w:qFormat/>
    <w:uiPriority w:val="0"/>
    <w:rPr>
      <w:rFonts w:eastAsia="宋体"/>
      <w:kern w:val="2"/>
      <w:sz w:val="21"/>
      <w:lang w:val="en-US" w:eastAsia="zh-CN"/>
    </w:rPr>
  </w:style>
  <w:style w:type="character" w:customStyle="1" w:styleId="233">
    <w:name w:val="Char Char2"/>
    <w:qFormat/>
    <w:uiPriority w:val="0"/>
    <w:rPr>
      <w:rFonts w:eastAsia="宋体"/>
      <w:kern w:val="2"/>
      <w:sz w:val="18"/>
      <w:lang w:val="en-US" w:eastAsia="zh-CN"/>
    </w:rPr>
  </w:style>
  <w:style w:type="character" w:customStyle="1" w:styleId="234">
    <w:name w:val="H2 Char"/>
    <w:qFormat/>
    <w:uiPriority w:val="0"/>
    <w:rPr>
      <w:rFonts w:ascii="Arial" w:hAnsi="Arial" w:eastAsia="宋体"/>
      <w:kern w:val="2"/>
      <w:sz w:val="28"/>
      <w:lang w:val="en-US" w:eastAsia="zh-CN"/>
    </w:rPr>
  </w:style>
  <w:style w:type="character" w:customStyle="1" w:styleId="235">
    <w:name w:val="font1"/>
    <w:qFormat/>
    <w:uiPriority w:val="0"/>
    <w:rPr>
      <w:color w:val="000000"/>
      <w:sz w:val="18"/>
    </w:rPr>
  </w:style>
  <w:style w:type="character" w:customStyle="1" w:styleId="236">
    <w:name w:val="v151"/>
    <w:qFormat/>
    <w:uiPriority w:val="0"/>
    <w:rPr>
      <w:sz w:val="18"/>
    </w:rPr>
  </w:style>
  <w:style w:type="character" w:customStyle="1" w:styleId="237">
    <w:name w:val="Char Char"/>
    <w:qFormat/>
    <w:uiPriority w:val="0"/>
    <w:rPr>
      <w:rFonts w:ascii="宋体" w:hAnsi="宋体" w:eastAsia="宋体"/>
      <w:kern w:val="2"/>
      <w:sz w:val="24"/>
      <w:lang w:val="en-US" w:eastAsia="zh-CN" w:bidi="ar-SA"/>
    </w:rPr>
  </w:style>
  <w:style w:type="character" w:customStyle="1" w:styleId="238">
    <w:name w:val="crowed11"/>
    <w:qFormat/>
    <w:uiPriority w:val="0"/>
    <w:rPr>
      <w:rFonts w:hint="default" w:ascii="_x000B__x000C_" w:hAnsi="_x000B__x000C_"/>
      <w:sz w:val="24"/>
    </w:rPr>
  </w:style>
  <w:style w:type="character" w:customStyle="1" w:styleId="239">
    <w:name w:val="标书正文:  0.74 厘米 Char1"/>
    <w:qFormat/>
    <w:uiPriority w:val="0"/>
    <w:rPr>
      <w:rFonts w:eastAsia="宋体"/>
      <w:kern w:val="2"/>
      <w:sz w:val="24"/>
      <w:lang w:val="en-US" w:eastAsia="zh-CN"/>
    </w:rPr>
  </w:style>
  <w:style w:type="character" w:customStyle="1" w:styleId="240">
    <w:name w:val="Table Text Char1 Char"/>
    <w:qFormat/>
    <w:uiPriority w:val="0"/>
    <w:rPr>
      <w:rFonts w:ascii="Arial" w:hAnsi="Arial"/>
      <w:kern w:val="2"/>
      <w:sz w:val="18"/>
      <w:lang w:val="en-US" w:eastAsia="zh-CN" w:bidi="ar-SA"/>
    </w:rPr>
  </w:style>
  <w:style w:type="character" w:customStyle="1" w:styleId="241">
    <w:name w:val="Char Char4"/>
    <w:qFormat/>
    <w:uiPriority w:val="0"/>
    <w:rPr>
      <w:rFonts w:eastAsia="宋体"/>
      <w:b/>
      <w:kern w:val="2"/>
      <w:sz w:val="21"/>
      <w:lang w:val="en-US" w:eastAsia="zh-CN"/>
    </w:rPr>
  </w:style>
  <w:style w:type="character" w:customStyle="1" w:styleId="242">
    <w:name w:val="content-white1"/>
    <w:qFormat/>
    <w:uiPriority w:val="0"/>
    <w:rPr>
      <w:rFonts w:ascii="_x000B__x000C_" w:hAnsi="_x000B__x000C_"/>
      <w:color w:val="auto"/>
      <w:sz w:val="18"/>
      <w:u w:val="none"/>
    </w:rPr>
  </w:style>
  <w:style w:type="paragraph" w:customStyle="1" w:styleId="243">
    <w:name w:val="列出段落1"/>
    <w:basedOn w:val="1"/>
    <w:unhideWhenUsed/>
    <w:qFormat/>
    <w:uiPriority w:val="99"/>
    <w:pPr>
      <w:ind w:firstLine="420" w:firstLineChars="200"/>
    </w:pPr>
  </w:style>
  <w:style w:type="paragraph" w:customStyle="1" w:styleId="244">
    <w:name w:val="Table Paragraph"/>
    <w:basedOn w:val="1"/>
    <w:qFormat/>
    <w:uiPriority w:val="1"/>
    <w:pPr>
      <w:jc w:val="left"/>
    </w:pPr>
    <w:rPr>
      <w:kern w:val="0"/>
      <w:sz w:val="22"/>
      <w:szCs w:val="22"/>
      <w:lang w:eastAsia="en-US"/>
    </w:rPr>
  </w:style>
  <w:style w:type="character" w:customStyle="1" w:styleId="245">
    <w:name w:val="font11"/>
    <w:qFormat/>
    <w:uiPriority w:val="0"/>
    <w:rPr>
      <w:rFonts w:hint="eastAsia" w:ascii="等线" w:hAnsi="等线" w:eastAsia="等线" w:cs="等线"/>
      <w:color w:val="000000"/>
      <w:sz w:val="22"/>
      <w:szCs w:val="22"/>
      <w:u w:val="none"/>
    </w:rPr>
  </w:style>
  <w:style w:type="paragraph" w:customStyle="1" w:styleId="246">
    <w:name w:val="列出段落11"/>
    <w:basedOn w:val="1"/>
    <w:qFormat/>
    <w:uiPriority w:val="0"/>
    <w:pPr>
      <w:ind w:firstLine="420" w:firstLineChars="200"/>
    </w:pPr>
    <w:rPr>
      <w:szCs w:val="22"/>
    </w:rPr>
  </w:style>
  <w:style w:type="paragraph" w:customStyle="1" w:styleId="247">
    <w:name w:val="正文缩进1"/>
    <w:basedOn w:val="1"/>
    <w:qFormat/>
    <w:uiPriority w:val="0"/>
    <w:pPr>
      <w:snapToGrid w:val="0"/>
      <w:spacing w:line="360" w:lineRule="auto"/>
      <w:ind w:firstLine="420"/>
    </w:pPr>
    <w:rPr>
      <w:sz w:val="24"/>
    </w:rPr>
  </w:style>
  <w:style w:type="paragraph" w:customStyle="1" w:styleId="248">
    <w:name w:val="无间隔1"/>
    <w:qFormat/>
    <w:uiPriority w:val="1"/>
    <w:pPr>
      <w:jc w:val="both"/>
    </w:pPr>
    <w:rPr>
      <w:rFonts w:ascii="Times New Roman" w:hAnsi="Times New Roman" w:eastAsia="Times New Roman" w:cs="Times New Roman"/>
      <w:lang w:val="en-US" w:eastAsia="zh-CN" w:bidi="ar-SA"/>
    </w:rPr>
  </w:style>
  <w:style w:type="paragraph" w:customStyle="1" w:styleId="249">
    <w:name w:val="目录 11"/>
    <w:basedOn w:val="1"/>
    <w:next w:val="1"/>
    <w:qFormat/>
    <w:uiPriority w:val="39"/>
    <w:pPr>
      <w:tabs>
        <w:tab w:val="right" w:leader="dot" w:pos="8721"/>
      </w:tabs>
    </w:pPr>
    <w:rPr>
      <w:rFonts w:ascii="宋体" w:hAnsi="宋体" w:cs="宋体"/>
      <w:color w:val="FF0000"/>
      <w:sz w:val="21"/>
      <w:szCs w:val="21"/>
    </w:rPr>
  </w:style>
  <w:style w:type="paragraph" w:customStyle="1" w:styleId="250">
    <w:name w:val="列出段落5"/>
    <w:basedOn w:val="1"/>
    <w:qFormat/>
    <w:uiPriority w:val="99"/>
    <w:pPr>
      <w:ind w:firstLine="420" w:firstLineChars="200"/>
    </w:pPr>
  </w:style>
  <w:style w:type="paragraph" w:customStyle="1" w:styleId="251">
    <w:name w:val="表格内正文不缩进"/>
    <w:basedOn w:val="1"/>
    <w:qFormat/>
    <w:uiPriority w:val="0"/>
    <w:pPr>
      <w:widowControl/>
      <w:adjustRightInd w:val="0"/>
      <w:snapToGrid w:val="0"/>
      <w:jc w:val="center"/>
      <w:textAlignment w:val="center"/>
    </w:pPr>
    <w:rPr>
      <w:rFonts w:ascii="Times New Roman" w:hAnsi="Times New Roman" w:eastAsia="方正仿宋_GBK" w:cs="方正仿宋_GBK"/>
      <w:color w:val="000000"/>
      <w:kern w:val="0"/>
      <w:sz w:val="16"/>
      <w:szCs w:val="16"/>
      <w:u w:val="none"/>
      <w:lang w:bidi="ar"/>
    </w:rPr>
  </w:style>
  <w:style w:type="paragraph" w:customStyle="1" w:styleId="25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253">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50</Pages>
  <Words>23538</Words>
  <Characters>25071</Characters>
  <Lines>127</Lines>
  <Paragraphs>35</Paragraphs>
  <TotalTime>4</TotalTime>
  <ScaleCrop>false</ScaleCrop>
  <LinksUpToDate>false</LinksUpToDate>
  <CharactersWithSpaces>26501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2021-07-02T10:59:00Z</dcterms:created>
  <dc:creator>罗成</dc:creator>
  <cp:lastModifiedBy>王欣</cp:lastModifiedBy>
  <cp:lastPrinted>2019-03-04T15:20:00Z</cp:lastPrinted>
  <dcterms:modified xsi:type="dcterms:W3CDTF">2025-10-22T12:33:59Z</dcterms:modified>
  <dc:title>竞争性谈判文件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8D63E358B9EC471E81360608BED734EC_13</vt:lpwstr>
  </property>
  <property fmtid="{D5CDD505-2E9C-101B-9397-08002B2CF9AE}" pid="4" name="commondata">
    <vt:lpwstr>eyJoZGlkIjoiNDY5ZGIyYTg2YjExZDJiMzZkMDU1NTY3N2RkMGUxYTYifQ==</vt:lpwstr>
  </property>
  <property fmtid="{D5CDD505-2E9C-101B-9397-08002B2CF9AE}" pid="5" name="KSOTemplateDocerSaveRecord">
    <vt:lpwstr>eyJoZGlkIjoiZjYwNTI3NjdlOWVkMzdhNmZkMDE2Mjc4YTRlOWE4MWIiLCJ1c2VySWQiOiI4NzMzNjUxMTAifQ==</vt:lpwstr>
  </property>
</Properties>
</file>