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DA081D">
      <w:pPr>
        <w:jc w:val="center"/>
        <w:rPr>
          <w:rFonts w:ascii="黑体" w:hAnsi="黑体" w:eastAsia="黑体" w:cs="黑体"/>
          <w:b/>
          <w:bCs/>
          <w:color w:val="auto"/>
          <w:sz w:val="32"/>
          <w:szCs w:val="32"/>
          <w:highlight w:val="none"/>
          <w:lang w:val="en-US" w:bidi="ar-SA"/>
        </w:rPr>
      </w:pPr>
      <w:r>
        <w:rPr>
          <w:rFonts w:hint="eastAsia" w:ascii="方正小标宋_GBK" w:hAnsi="方正小标宋_GBK" w:eastAsia="方正小标宋_GBK" w:cs="方正小标宋_GBK"/>
          <w:color w:val="auto"/>
          <w:sz w:val="44"/>
          <w:szCs w:val="44"/>
          <w:highlight w:val="none"/>
          <w:lang w:val="en-US" w:eastAsia="zh-CN"/>
        </w:rPr>
        <w:t>江北区C01单元05街区003地块开发项目EPC总承包项目地方材料(干混砂浆)采购公开</w:t>
      </w:r>
      <w:r>
        <w:rPr>
          <w:rFonts w:hint="eastAsia" w:ascii="方正小标宋_GBK" w:hAnsi="方正小标宋_GBK" w:eastAsia="方正小标宋_GBK" w:cs="方正小标宋_GBK"/>
          <w:color w:val="auto"/>
          <w:sz w:val="44"/>
          <w:szCs w:val="44"/>
          <w:highlight w:val="none"/>
        </w:rPr>
        <w:t>比选公告</w:t>
      </w:r>
    </w:p>
    <w:p w14:paraId="6C1D6138">
      <w:pPr>
        <w:pStyle w:val="9"/>
        <w:spacing w:line="580" w:lineRule="exact"/>
        <w:jc w:val="left"/>
        <w:rPr>
          <w:rFonts w:ascii="黑体" w:hAnsi="黑体" w:eastAsia="黑体" w:cs="黑体"/>
          <w:b/>
          <w:bCs/>
          <w:color w:val="auto"/>
          <w:sz w:val="32"/>
          <w:szCs w:val="32"/>
          <w:highlight w:val="none"/>
          <w:lang w:val="en-US" w:bidi="ar-SA"/>
        </w:rPr>
      </w:pPr>
      <w:r>
        <w:rPr>
          <w:rFonts w:hint="eastAsia" w:ascii="黑体" w:hAnsi="黑体" w:eastAsia="黑体" w:cs="黑体"/>
          <w:b/>
          <w:bCs/>
          <w:color w:val="auto"/>
          <w:sz w:val="32"/>
          <w:szCs w:val="32"/>
          <w:highlight w:val="none"/>
          <w:lang w:val="en-US" w:bidi="ar-SA"/>
        </w:rPr>
        <w:t>各位潜在供应商：</w:t>
      </w:r>
    </w:p>
    <w:p w14:paraId="4864E70C">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重庆市江北区城市建设工程技术有限公司拟对</w:t>
      </w:r>
      <w:r>
        <w:rPr>
          <w:rFonts w:hint="eastAsia" w:ascii="方正仿宋_GBK" w:hAnsi="方正仿宋_GBK" w:eastAsia="方正仿宋_GBK" w:cs="方正仿宋_GBK"/>
          <w:color w:val="auto"/>
          <w:sz w:val="32"/>
          <w:szCs w:val="32"/>
          <w:highlight w:val="none"/>
          <w:lang w:val="en-US" w:eastAsia="zh-CN"/>
        </w:rPr>
        <w:t>江北区C01单元05街区003地块开发项目EPC总承包项目地方材料(干混砂浆)采购</w:t>
      </w:r>
      <w:r>
        <w:rPr>
          <w:rFonts w:hint="eastAsia" w:ascii="方正仿宋_GBK" w:hAnsi="方正仿宋_GBK" w:eastAsia="方正仿宋_GBK" w:cs="方正仿宋_GBK"/>
          <w:color w:val="auto"/>
          <w:sz w:val="32"/>
          <w:szCs w:val="32"/>
          <w:highlight w:val="none"/>
        </w:rPr>
        <w:t>进行</w:t>
      </w:r>
      <w:r>
        <w:rPr>
          <w:rFonts w:hint="eastAsia" w:ascii="方正仿宋_GBK" w:hAnsi="方正仿宋_GBK" w:eastAsia="方正仿宋_GBK" w:cs="方正仿宋_GBK"/>
          <w:color w:val="auto"/>
          <w:sz w:val="32"/>
          <w:szCs w:val="32"/>
          <w:highlight w:val="none"/>
          <w:lang w:val="en-US" w:eastAsia="zh-CN"/>
        </w:rPr>
        <w:t>公开</w:t>
      </w:r>
      <w:r>
        <w:rPr>
          <w:rFonts w:hint="eastAsia" w:ascii="方正仿宋_GBK" w:hAnsi="方正仿宋_GBK" w:eastAsia="方正仿宋_GBK" w:cs="方正仿宋_GBK"/>
          <w:color w:val="auto"/>
          <w:sz w:val="32"/>
          <w:szCs w:val="32"/>
          <w:highlight w:val="none"/>
        </w:rPr>
        <w:t>比选，</w:t>
      </w:r>
      <w:r>
        <w:rPr>
          <w:rFonts w:hint="eastAsia" w:ascii="方正仿宋_GBK" w:hAnsi="方正仿宋_GBK" w:eastAsia="方正仿宋_GBK" w:cs="方正仿宋_GBK"/>
          <w:color w:val="auto"/>
          <w:sz w:val="32"/>
          <w:szCs w:val="32"/>
          <w:highlight w:val="none"/>
          <w:lang w:val="en-US" w:eastAsia="zh-CN"/>
        </w:rPr>
        <w:t>凡</w:t>
      </w:r>
      <w:r>
        <w:rPr>
          <w:rFonts w:hint="eastAsia" w:ascii="方正仿宋_GBK" w:hAnsi="方正仿宋_GBK" w:eastAsia="方正仿宋_GBK" w:cs="方正仿宋_GBK"/>
          <w:color w:val="auto"/>
          <w:sz w:val="32"/>
          <w:szCs w:val="32"/>
          <w:highlight w:val="none"/>
        </w:rPr>
        <w:t>符合比选要求的相关单位</w:t>
      </w:r>
      <w:r>
        <w:rPr>
          <w:rFonts w:hint="eastAsia" w:ascii="方正仿宋_GBK" w:hAnsi="方正仿宋_GBK" w:eastAsia="方正仿宋_GBK" w:cs="方正仿宋_GBK"/>
          <w:color w:val="auto"/>
          <w:sz w:val="32"/>
          <w:szCs w:val="32"/>
          <w:highlight w:val="none"/>
          <w:lang w:eastAsia="zh-CN"/>
        </w:rPr>
        <w:t>均可</w:t>
      </w:r>
      <w:r>
        <w:rPr>
          <w:rFonts w:hint="eastAsia" w:ascii="方正仿宋_GBK" w:hAnsi="方正仿宋_GBK" w:eastAsia="方正仿宋_GBK" w:cs="方正仿宋_GBK"/>
          <w:color w:val="auto"/>
          <w:sz w:val="32"/>
          <w:szCs w:val="32"/>
          <w:highlight w:val="none"/>
        </w:rPr>
        <w:t>参加本次比选活动，具体要求如下：</w:t>
      </w:r>
    </w:p>
    <w:p w14:paraId="6E60EAD2">
      <w:pPr>
        <w:spacing w:line="580" w:lineRule="exact"/>
        <w:ind w:firstLine="643" w:firstLineChars="200"/>
        <w:rPr>
          <w:rFonts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rPr>
        <w:t>一、比选项目基本情况</w:t>
      </w:r>
    </w:p>
    <w:p w14:paraId="34ABF166">
      <w:pPr>
        <w:spacing w:line="580" w:lineRule="exact"/>
        <w:ind w:firstLine="640" w:firstLineChars="20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rPr>
        <w:t>1.比选项目名称</w:t>
      </w:r>
      <w:r>
        <w:rPr>
          <w:rFonts w:hint="eastAsia" w:ascii="方正仿宋_GBK" w:hAnsi="方正仿宋_GBK" w:eastAsia="方正仿宋_GBK" w:cs="方正仿宋_GBK"/>
          <w:color w:val="auto"/>
          <w:sz w:val="32"/>
          <w:szCs w:val="32"/>
          <w:highlight w:val="none"/>
          <w:lang w:eastAsia="zh-CN"/>
        </w:rPr>
        <w:t>：江北区C01单元05街区003地块开发项目EPC总承包项目地方材料(干混砂浆)采购</w:t>
      </w:r>
      <w:r>
        <w:rPr>
          <w:rFonts w:hint="eastAsia" w:ascii="方正仿宋_GBK" w:hAnsi="方正仿宋_GBK" w:eastAsia="方正仿宋_GBK" w:cs="方正仿宋_GBK"/>
          <w:color w:val="auto"/>
          <w:sz w:val="32"/>
          <w:szCs w:val="32"/>
          <w:highlight w:val="none"/>
          <w:lang w:val="en-US" w:eastAsia="zh-CN"/>
        </w:rPr>
        <w:t>。</w:t>
      </w:r>
    </w:p>
    <w:p w14:paraId="5EE3558C">
      <w:pPr>
        <w:spacing w:line="58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2.比选人：重庆市江北区城市建设工程技术有限公司（以下简称“江北建工”）。</w:t>
      </w:r>
    </w:p>
    <w:p w14:paraId="7B1F22D8">
      <w:pPr>
        <w:spacing w:line="58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3.资金来源：施工项目资金。</w:t>
      </w:r>
    </w:p>
    <w:p w14:paraId="7FE66968">
      <w:pPr>
        <w:spacing w:line="580" w:lineRule="exact"/>
        <w:ind w:firstLine="640" w:firstLineChars="200"/>
        <w:rPr>
          <w:rFonts w:hint="eastAsia" w:ascii="方正仿宋_GBK" w:hAnsi="方正仿宋_GBK" w:eastAsia="方正仿宋_GBK" w:cs="方正仿宋_GBK"/>
          <w:color w:val="auto"/>
          <w:sz w:val="32"/>
          <w:szCs w:val="32"/>
          <w:highlight w:val="none"/>
          <w:u w:val="single"/>
          <w:lang w:val="en-US" w:eastAsia="zh-CN"/>
        </w:rPr>
      </w:pPr>
      <w:r>
        <w:rPr>
          <w:rFonts w:hint="eastAsia" w:ascii="方正仿宋_GBK" w:hAnsi="方正仿宋_GBK" w:eastAsia="方正仿宋_GBK" w:cs="方正仿宋_GBK"/>
          <w:color w:val="auto"/>
          <w:sz w:val="32"/>
          <w:szCs w:val="32"/>
          <w:highlight w:val="none"/>
        </w:rPr>
        <w:t>4.比选编号：</w:t>
      </w:r>
      <w:r>
        <w:rPr>
          <w:rFonts w:hint="eastAsia" w:ascii="方正仿宋_GBK" w:hAnsi="方正仿宋_GBK" w:eastAsia="方正仿宋_GBK" w:cs="方正仿宋_GBK"/>
          <w:color w:val="auto"/>
          <w:sz w:val="32"/>
          <w:szCs w:val="32"/>
          <w:highlight w:val="none"/>
          <w:lang w:eastAsia="zh-CN"/>
        </w:rPr>
        <w:t>JBJG-CG-2025-013</w:t>
      </w:r>
    </w:p>
    <w:p w14:paraId="37C29EE5">
      <w:pPr>
        <w:spacing w:line="580" w:lineRule="exact"/>
        <w:ind w:firstLine="643" w:firstLineChars="200"/>
        <w:rPr>
          <w:rFonts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rPr>
        <w:t>二、比选范围及相关要求</w:t>
      </w:r>
    </w:p>
    <w:p w14:paraId="2CF3808D">
      <w:pPr>
        <w:spacing w:line="580" w:lineRule="exact"/>
        <w:ind w:firstLine="640" w:firstLineChars="20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1.</w:t>
      </w:r>
      <w:r>
        <w:rPr>
          <w:rFonts w:hint="eastAsia" w:ascii="方正仿宋_GBK" w:hAnsi="方正仿宋_GBK" w:eastAsia="方正仿宋_GBK" w:cs="方正仿宋_GBK"/>
          <w:color w:val="auto"/>
          <w:sz w:val="32"/>
          <w:szCs w:val="32"/>
          <w:highlight w:val="none"/>
        </w:rPr>
        <w:t>比选范围：</w:t>
      </w:r>
      <w:r>
        <w:rPr>
          <w:rFonts w:hint="default" w:ascii="方正仿宋_GBK" w:hAnsi="方正仿宋_GBK" w:eastAsia="方正仿宋_GBK" w:cs="方正仿宋_GBK"/>
          <w:color w:val="auto"/>
          <w:sz w:val="32"/>
          <w:szCs w:val="32"/>
          <w:highlight w:val="none"/>
          <w:lang w:val="en-US" w:eastAsia="zh-CN"/>
        </w:rPr>
        <w:t>江北区C01单元05街区003地块开发项目EPC总承包项目</w:t>
      </w:r>
      <w:r>
        <w:rPr>
          <w:rFonts w:hint="eastAsia" w:ascii="方正仿宋_GBK" w:hAnsi="方正仿宋_GBK" w:eastAsia="方正仿宋_GBK" w:cs="方正仿宋_GBK"/>
          <w:color w:val="auto"/>
          <w:sz w:val="32"/>
          <w:szCs w:val="32"/>
          <w:highlight w:val="none"/>
          <w:lang w:val="en-US" w:eastAsia="zh-CN"/>
        </w:rPr>
        <w:t>地方材料干混砂浆采购。</w:t>
      </w:r>
    </w:p>
    <w:p w14:paraId="22826464">
      <w:pPr>
        <w:spacing w:line="580" w:lineRule="exact"/>
        <w:ind w:firstLine="640" w:firstLineChars="20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2.供货期限：</w:t>
      </w:r>
      <w:r>
        <w:rPr>
          <w:rFonts w:hint="eastAsia" w:ascii="方正仿宋_GBK" w:hAnsi="方正仿宋_GBK" w:eastAsia="方正仿宋_GBK" w:cs="方正仿宋_GBK"/>
          <w:color w:val="auto"/>
          <w:sz w:val="32"/>
          <w:szCs w:val="32"/>
          <w:highlight w:val="none"/>
          <w:lang w:val="en-US" w:eastAsia="zh-CN"/>
        </w:rPr>
        <w:t>暂定729天。干混砂浆供货商应在接到甲方供货通知后48小时内按要求组织产品运输至甲方指定地点完成交付</w:t>
      </w:r>
      <w:r>
        <w:rPr>
          <w:rFonts w:hint="eastAsia" w:ascii="方正仿宋_GBK" w:hAnsi="方正仿宋_GBK" w:eastAsia="方正仿宋_GBK" w:cs="方正仿宋_GBK"/>
          <w:color w:val="auto"/>
          <w:sz w:val="32"/>
          <w:szCs w:val="32"/>
          <w:highlight w:val="none"/>
          <w:lang w:val="en-US" w:eastAsia="zh-CN"/>
        </w:rPr>
        <w:t>。</w:t>
      </w:r>
    </w:p>
    <w:p w14:paraId="74138BFB">
      <w:pPr>
        <w:spacing w:line="580" w:lineRule="exact"/>
        <w:ind w:firstLine="640" w:firstLineChars="200"/>
        <w:rPr>
          <w:rFonts w:hint="eastAsia" w:ascii="方正仿宋_GBK" w:hAnsi="方正仿宋_GBK" w:eastAsia="方正仿宋_GBK" w:cs="方正仿宋_GBK"/>
          <w:color w:val="auto"/>
          <w:sz w:val="32"/>
          <w:szCs w:val="32"/>
          <w:highlight w:val="none"/>
          <w:lang w:val="en-US" w:eastAsia="zh-CN"/>
        </w:rPr>
      </w:pPr>
      <w:r>
        <w:rPr>
          <w:rFonts w:hint="default" w:ascii="方正仿宋_GBK" w:hAnsi="方正仿宋_GBK" w:eastAsia="方正仿宋_GBK" w:cs="方正仿宋_GBK"/>
          <w:color w:val="auto"/>
          <w:sz w:val="32"/>
          <w:szCs w:val="32"/>
          <w:highlight w:val="none"/>
          <w:lang w:val="en-US" w:eastAsia="zh-CN"/>
        </w:rPr>
        <w:t>3.质量要求：满足国家及行业相关要求。</w:t>
      </w:r>
    </w:p>
    <w:p w14:paraId="50A45345">
      <w:pPr>
        <w:spacing w:line="580" w:lineRule="exact"/>
        <w:ind w:firstLine="640" w:firstLineChars="200"/>
        <w:rPr>
          <w:rFonts w:hint="default" w:ascii="方正仿宋_GBK" w:hAnsi="方正仿宋_GBK" w:eastAsia="方正仿宋_GBK" w:cs="方正仿宋_GBK"/>
          <w:color w:val="auto"/>
          <w:sz w:val="32"/>
          <w:szCs w:val="32"/>
          <w:highlight w:val="none"/>
          <w:lang w:val="en-US" w:eastAsia="zh-CN"/>
        </w:rPr>
      </w:pPr>
      <w:r>
        <w:rPr>
          <w:rFonts w:hint="default" w:ascii="方正仿宋_GBK" w:hAnsi="方正仿宋_GBK" w:eastAsia="方正仿宋_GBK" w:cs="方正仿宋_GBK"/>
          <w:color w:val="auto"/>
          <w:sz w:val="32"/>
          <w:szCs w:val="32"/>
          <w:highlight w:val="none"/>
          <w:lang w:val="en-US" w:eastAsia="zh-CN"/>
        </w:rPr>
        <w:t>4.供货地点：重庆市江北区大石坝街道辖区。</w:t>
      </w:r>
    </w:p>
    <w:p w14:paraId="059C9695">
      <w:pPr>
        <w:spacing w:line="580" w:lineRule="exact"/>
        <w:ind w:firstLine="640" w:firstLineChars="20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5.项目简介：江北区C01单元05街区003地块建设工程EPC总承包工程总建筑面积105448 平方米，地上 87947平方米，地下 17501 平方米。 地上共8栋楼，其中1至6号楼为住宅，S1，S2号楼为商业及配套物业用房及社区组织用房，设一层地下室，功能为机动车库、人防、设备用房、配套用房等。</w:t>
      </w:r>
      <w:r>
        <w:rPr>
          <w:rFonts w:hint="eastAsia" w:ascii="方正仿宋_GBK" w:hAnsi="方正仿宋_GBK" w:eastAsia="方正仿宋_GBK" w:cs="方正仿宋_GBK"/>
          <w:color w:val="auto"/>
          <w:sz w:val="32"/>
          <w:szCs w:val="32"/>
          <w:highlight w:val="none"/>
          <w:lang w:eastAsia="zh-CN"/>
        </w:rPr>
        <w:t>江北区C01单元05街区003地块开发项目EPC总承包项目地方材料(干混砂浆)采购</w:t>
      </w:r>
      <w:r>
        <w:rPr>
          <w:rFonts w:hint="eastAsia" w:ascii="方正仿宋_GBK" w:hAnsi="方正仿宋_GBK" w:eastAsia="方正仿宋_GBK" w:cs="方正仿宋_GBK"/>
          <w:color w:val="auto"/>
          <w:sz w:val="32"/>
          <w:szCs w:val="32"/>
          <w:highlight w:val="none"/>
          <w:lang w:val="en-US" w:eastAsia="zh-CN"/>
        </w:rPr>
        <w:t>暂定合同除税总价</w:t>
      </w:r>
      <w:r>
        <w:rPr>
          <w:rFonts w:hint="eastAsia" w:ascii="方正仿宋_GBK" w:hAnsi="方正仿宋_GBK" w:eastAsia="方正仿宋_GBK" w:cs="方正仿宋_GBK"/>
          <w:color w:val="auto"/>
          <w:sz w:val="32"/>
          <w:szCs w:val="32"/>
          <w:highlight w:val="none"/>
          <w:lang w:val="en-US" w:eastAsia="zh-CN"/>
        </w:rPr>
        <w:t>100</w:t>
      </w:r>
      <w:r>
        <w:rPr>
          <w:rFonts w:hint="eastAsia" w:ascii="方正仿宋_GBK" w:hAnsi="方正仿宋_GBK" w:eastAsia="方正仿宋_GBK" w:cs="方正仿宋_GBK"/>
          <w:color w:val="auto"/>
          <w:sz w:val="32"/>
          <w:szCs w:val="32"/>
          <w:highlight w:val="none"/>
          <w:lang w:val="en-US" w:eastAsia="zh-CN"/>
        </w:rPr>
        <w:t>万元，具体按项目实际需求采购。</w:t>
      </w:r>
    </w:p>
    <w:p w14:paraId="279F017B">
      <w:pPr>
        <w:spacing w:line="580" w:lineRule="exact"/>
        <w:ind w:firstLine="643" w:firstLineChars="200"/>
        <w:rPr>
          <w:rFonts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rPr>
        <w:t>三、</w:t>
      </w:r>
      <w:r>
        <w:rPr>
          <w:rFonts w:hint="eastAsia" w:ascii="黑体" w:hAnsi="黑体" w:eastAsia="黑体" w:cs="黑体"/>
          <w:b/>
          <w:bCs/>
          <w:color w:val="auto"/>
          <w:sz w:val="32"/>
          <w:szCs w:val="32"/>
          <w:highlight w:val="none"/>
          <w:lang w:val="en-US" w:eastAsia="zh-CN"/>
        </w:rPr>
        <w:t>供应商</w:t>
      </w:r>
      <w:r>
        <w:rPr>
          <w:rFonts w:hint="eastAsia" w:ascii="黑体" w:hAnsi="黑体" w:eastAsia="黑体" w:cs="黑体"/>
          <w:b/>
          <w:bCs/>
          <w:color w:val="auto"/>
          <w:sz w:val="32"/>
          <w:szCs w:val="32"/>
          <w:highlight w:val="none"/>
        </w:rPr>
        <w:t>资格要求</w:t>
      </w:r>
    </w:p>
    <w:p w14:paraId="62A24155">
      <w:pPr>
        <w:spacing w:line="580" w:lineRule="exact"/>
        <w:ind w:firstLine="640" w:firstLineChars="20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报名参加本次比选活动的供应商须具备营业执照并具有相应供货能力。</w:t>
      </w:r>
    </w:p>
    <w:p w14:paraId="2C94DA21">
      <w:pPr>
        <w:spacing w:line="580" w:lineRule="exact"/>
        <w:ind w:firstLine="643" w:firstLineChars="200"/>
        <w:rPr>
          <w:rFonts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rPr>
        <w:t>四、响应报价文件递交时间、地点、评选方式</w:t>
      </w:r>
    </w:p>
    <w:p w14:paraId="45B91ACC">
      <w:pPr>
        <w:pStyle w:val="9"/>
        <w:spacing w:line="58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1.报名及响应文件递交时间为</w:t>
      </w:r>
      <w:r>
        <w:rPr>
          <w:rFonts w:hint="eastAsia" w:ascii="方正仿宋_GBK" w:hAnsi="方正仿宋_GBK" w:eastAsia="方正仿宋_GBK" w:cs="方正仿宋_GBK"/>
          <w:color w:val="auto"/>
          <w:sz w:val="32"/>
          <w:szCs w:val="32"/>
          <w:highlight w:val="none"/>
          <w:u w:val="single"/>
          <w:lang w:val="en-US" w:eastAsia="zh-CN"/>
        </w:rPr>
        <w:t>2025</w:t>
      </w:r>
      <w:r>
        <w:rPr>
          <w:rFonts w:hint="eastAsia" w:ascii="方正仿宋_GBK" w:hAnsi="方正仿宋_GBK" w:eastAsia="方正仿宋_GBK" w:cs="方正仿宋_GBK"/>
          <w:color w:val="auto"/>
          <w:sz w:val="32"/>
          <w:szCs w:val="32"/>
          <w:highlight w:val="none"/>
        </w:rPr>
        <w:t>年</w:t>
      </w:r>
      <w:r>
        <w:rPr>
          <w:rFonts w:hint="eastAsia" w:ascii="方正仿宋_GBK" w:hAnsi="方正仿宋_GBK" w:eastAsia="方正仿宋_GBK" w:cs="方正仿宋_GBK"/>
          <w:color w:val="auto"/>
          <w:sz w:val="32"/>
          <w:szCs w:val="32"/>
          <w:highlight w:val="none"/>
          <w:u w:val="single"/>
          <w:lang w:val="en-US" w:eastAsia="zh-CN"/>
        </w:rPr>
        <w:t>12</w:t>
      </w:r>
      <w:r>
        <w:rPr>
          <w:rFonts w:hint="eastAsia" w:ascii="方正仿宋_GBK" w:hAnsi="方正仿宋_GBK" w:eastAsia="方正仿宋_GBK" w:cs="方正仿宋_GBK"/>
          <w:color w:val="auto"/>
          <w:sz w:val="32"/>
          <w:szCs w:val="32"/>
          <w:highlight w:val="none"/>
        </w:rPr>
        <w:t>月</w:t>
      </w:r>
      <w:r>
        <w:rPr>
          <w:rFonts w:hint="eastAsia" w:ascii="方正仿宋_GBK" w:hAnsi="方正仿宋_GBK" w:eastAsia="方正仿宋_GBK" w:cs="方正仿宋_GBK"/>
          <w:color w:val="auto"/>
          <w:sz w:val="32"/>
          <w:szCs w:val="32"/>
          <w:highlight w:val="none"/>
          <w:u w:val="single"/>
          <w:lang w:val="en-US" w:eastAsia="zh-CN"/>
        </w:rPr>
        <w:t>19</w:t>
      </w:r>
      <w:r>
        <w:rPr>
          <w:rFonts w:hint="eastAsia" w:ascii="方正仿宋_GBK" w:hAnsi="方正仿宋_GBK" w:eastAsia="方正仿宋_GBK" w:cs="方正仿宋_GBK"/>
          <w:color w:val="auto"/>
          <w:sz w:val="32"/>
          <w:szCs w:val="32"/>
          <w:highlight w:val="none"/>
        </w:rPr>
        <w:t>日</w:t>
      </w:r>
      <w:r>
        <w:rPr>
          <w:rFonts w:hint="eastAsia" w:ascii="方正仿宋_GBK" w:hAnsi="方正仿宋_GBK" w:eastAsia="方正仿宋_GBK" w:cs="方正仿宋_GBK"/>
          <w:color w:val="auto"/>
          <w:sz w:val="32"/>
          <w:szCs w:val="32"/>
          <w:highlight w:val="none"/>
          <w:u w:val="single"/>
          <w:lang w:val="en-US" w:eastAsia="zh-CN"/>
        </w:rPr>
        <w:t>18</w:t>
      </w:r>
      <w:r>
        <w:rPr>
          <w:rFonts w:hint="eastAsia" w:ascii="方正仿宋_GBK" w:hAnsi="方正仿宋_GBK" w:eastAsia="方正仿宋_GBK" w:cs="方正仿宋_GBK"/>
          <w:color w:val="auto"/>
          <w:sz w:val="32"/>
          <w:szCs w:val="32"/>
          <w:highlight w:val="none"/>
        </w:rPr>
        <w:t>时</w:t>
      </w:r>
      <w:r>
        <w:rPr>
          <w:rFonts w:hint="eastAsia" w:ascii="方正仿宋_GBK" w:hAnsi="方正仿宋_GBK" w:eastAsia="方正仿宋_GBK" w:cs="方正仿宋_GBK"/>
          <w:color w:val="auto"/>
          <w:sz w:val="32"/>
          <w:szCs w:val="32"/>
          <w:highlight w:val="none"/>
          <w:u w:val="single"/>
          <w:lang w:val="en-US" w:eastAsia="zh-CN"/>
        </w:rPr>
        <w:t>00</w:t>
      </w:r>
      <w:r>
        <w:rPr>
          <w:rFonts w:hint="eastAsia" w:ascii="方正仿宋_GBK" w:hAnsi="方正仿宋_GBK" w:eastAsia="方正仿宋_GBK" w:cs="方正仿宋_GBK"/>
          <w:color w:val="auto"/>
          <w:sz w:val="32"/>
          <w:szCs w:val="32"/>
          <w:highlight w:val="none"/>
        </w:rPr>
        <w:t>分至</w:t>
      </w:r>
      <w:r>
        <w:rPr>
          <w:rFonts w:hint="eastAsia" w:ascii="方正仿宋_GBK" w:hAnsi="方正仿宋_GBK" w:eastAsia="方正仿宋_GBK" w:cs="方正仿宋_GBK"/>
          <w:color w:val="auto"/>
          <w:sz w:val="32"/>
          <w:szCs w:val="32"/>
          <w:highlight w:val="none"/>
          <w:u w:val="single"/>
          <w:lang w:val="en-US" w:eastAsia="zh-CN"/>
        </w:rPr>
        <w:t xml:space="preserve">2025 </w:t>
      </w:r>
      <w:r>
        <w:rPr>
          <w:rFonts w:hint="eastAsia" w:ascii="方正仿宋_GBK" w:hAnsi="方正仿宋_GBK" w:eastAsia="方正仿宋_GBK" w:cs="方正仿宋_GBK"/>
          <w:color w:val="auto"/>
          <w:sz w:val="32"/>
          <w:szCs w:val="32"/>
          <w:highlight w:val="none"/>
        </w:rPr>
        <w:t>年</w:t>
      </w:r>
      <w:r>
        <w:rPr>
          <w:rFonts w:hint="eastAsia" w:ascii="方正仿宋_GBK" w:hAnsi="方正仿宋_GBK" w:eastAsia="方正仿宋_GBK" w:cs="方正仿宋_GBK"/>
          <w:color w:val="auto"/>
          <w:sz w:val="32"/>
          <w:szCs w:val="32"/>
          <w:highlight w:val="none"/>
          <w:u w:val="single"/>
          <w:lang w:val="en-US" w:eastAsia="zh-CN"/>
        </w:rPr>
        <w:t>12</w:t>
      </w:r>
      <w:r>
        <w:rPr>
          <w:rFonts w:hint="eastAsia" w:ascii="方正仿宋_GBK" w:hAnsi="方正仿宋_GBK" w:eastAsia="方正仿宋_GBK" w:cs="方正仿宋_GBK"/>
          <w:color w:val="auto"/>
          <w:sz w:val="32"/>
          <w:szCs w:val="32"/>
          <w:highlight w:val="none"/>
        </w:rPr>
        <w:t>月</w:t>
      </w:r>
      <w:r>
        <w:rPr>
          <w:rFonts w:hint="eastAsia" w:ascii="方正仿宋_GBK" w:hAnsi="方正仿宋_GBK" w:eastAsia="方正仿宋_GBK" w:cs="方正仿宋_GBK"/>
          <w:color w:val="auto"/>
          <w:sz w:val="32"/>
          <w:szCs w:val="32"/>
          <w:highlight w:val="none"/>
          <w:u w:val="single"/>
          <w:lang w:val="en-US" w:eastAsia="zh-CN"/>
        </w:rPr>
        <w:t>25</w:t>
      </w:r>
      <w:r>
        <w:rPr>
          <w:rFonts w:hint="eastAsia" w:ascii="方正仿宋_GBK" w:hAnsi="方正仿宋_GBK" w:eastAsia="方正仿宋_GBK" w:cs="方正仿宋_GBK"/>
          <w:color w:val="auto"/>
          <w:sz w:val="32"/>
          <w:szCs w:val="32"/>
          <w:highlight w:val="none"/>
        </w:rPr>
        <w:t>日</w:t>
      </w:r>
      <w:r>
        <w:rPr>
          <w:rFonts w:hint="eastAsia" w:ascii="方正仿宋_GBK" w:hAnsi="方正仿宋_GBK" w:eastAsia="方正仿宋_GBK" w:cs="方正仿宋_GBK"/>
          <w:color w:val="auto"/>
          <w:sz w:val="32"/>
          <w:szCs w:val="32"/>
          <w:highlight w:val="none"/>
          <w:u w:val="single"/>
          <w:lang w:val="en-US" w:eastAsia="zh-CN"/>
        </w:rPr>
        <w:t>15</w:t>
      </w:r>
      <w:r>
        <w:rPr>
          <w:rFonts w:hint="eastAsia" w:ascii="方正仿宋_GBK" w:hAnsi="方正仿宋_GBK" w:eastAsia="方正仿宋_GBK" w:cs="方正仿宋_GBK"/>
          <w:color w:val="auto"/>
          <w:sz w:val="32"/>
          <w:szCs w:val="32"/>
          <w:highlight w:val="none"/>
        </w:rPr>
        <w:t>时</w:t>
      </w:r>
      <w:r>
        <w:rPr>
          <w:rFonts w:hint="eastAsia" w:ascii="方正仿宋_GBK" w:hAnsi="方正仿宋_GBK" w:eastAsia="方正仿宋_GBK" w:cs="方正仿宋_GBK"/>
          <w:color w:val="auto"/>
          <w:sz w:val="32"/>
          <w:szCs w:val="32"/>
          <w:highlight w:val="none"/>
          <w:u w:val="single"/>
          <w:lang w:val="en-US" w:eastAsia="zh-CN"/>
        </w:rPr>
        <w:t>00</w:t>
      </w:r>
      <w:r>
        <w:rPr>
          <w:rFonts w:hint="eastAsia" w:ascii="方正仿宋_GBK" w:hAnsi="方正仿宋_GBK" w:eastAsia="方正仿宋_GBK" w:cs="方正仿宋_GBK"/>
          <w:color w:val="auto"/>
          <w:sz w:val="32"/>
          <w:szCs w:val="32"/>
          <w:highlight w:val="none"/>
        </w:rPr>
        <w:t>分，响应文件递交截止时间（即开标时间）为</w:t>
      </w:r>
      <w:r>
        <w:rPr>
          <w:rFonts w:hint="eastAsia" w:ascii="方正仿宋_GBK" w:hAnsi="方正仿宋_GBK" w:eastAsia="方正仿宋_GBK" w:cs="方正仿宋_GBK"/>
          <w:color w:val="auto"/>
          <w:sz w:val="32"/>
          <w:szCs w:val="32"/>
          <w:highlight w:val="none"/>
          <w:u w:val="single"/>
          <w:lang w:val="en-US" w:eastAsia="zh-CN"/>
        </w:rPr>
        <w:t xml:space="preserve">2025 </w:t>
      </w:r>
      <w:r>
        <w:rPr>
          <w:rFonts w:hint="eastAsia" w:ascii="方正仿宋_GBK" w:hAnsi="方正仿宋_GBK" w:eastAsia="方正仿宋_GBK" w:cs="方正仿宋_GBK"/>
          <w:color w:val="auto"/>
          <w:sz w:val="32"/>
          <w:szCs w:val="32"/>
          <w:highlight w:val="none"/>
        </w:rPr>
        <w:t>年</w:t>
      </w:r>
      <w:r>
        <w:rPr>
          <w:rFonts w:hint="eastAsia" w:ascii="方正仿宋_GBK" w:hAnsi="方正仿宋_GBK" w:eastAsia="方正仿宋_GBK" w:cs="方正仿宋_GBK"/>
          <w:color w:val="auto"/>
          <w:sz w:val="32"/>
          <w:szCs w:val="32"/>
          <w:highlight w:val="none"/>
          <w:u w:val="single"/>
          <w:lang w:val="en-US" w:eastAsia="zh-CN"/>
        </w:rPr>
        <w:t>12</w:t>
      </w:r>
      <w:r>
        <w:rPr>
          <w:rFonts w:hint="eastAsia" w:ascii="方正仿宋_GBK" w:hAnsi="方正仿宋_GBK" w:eastAsia="方正仿宋_GBK" w:cs="方正仿宋_GBK"/>
          <w:color w:val="auto"/>
          <w:sz w:val="32"/>
          <w:szCs w:val="32"/>
          <w:highlight w:val="none"/>
        </w:rPr>
        <w:t>月</w:t>
      </w:r>
      <w:r>
        <w:rPr>
          <w:rFonts w:hint="eastAsia" w:ascii="方正仿宋_GBK" w:hAnsi="方正仿宋_GBK" w:eastAsia="方正仿宋_GBK" w:cs="方正仿宋_GBK"/>
          <w:color w:val="auto"/>
          <w:sz w:val="32"/>
          <w:szCs w:val="32"/>
          <w:highlight w:val="none"/>
          <w:u w:val="single"/>
          <w:lang w:val="en-US" w:eastAsia="zh-CN"/>
        </w:rPr>
        <w:t>25</w:t>
      </w:r>
      <w:r>
        <w:rPr>
          <w:rFonts w:hint="eastAsia" w:ascii="方正仿宋_GBK" w:hAnsi="方正仿宋_GBK" w:eastAsia="方正仿宋_GBK" w:cs="方正仿宋_GBK"/>
          <w:color w:val="auto"/>
          <w:sz w:val="32"/>
          <w:szCs w:val="32"/>
          <w:highlight w:val="none"/>
        </w:rPr>
        <w:t>日</w:t>
      </w:r>
      <w:r>
        <w:rPr>
          <w:rFonts w:hint="eastAsia" w:ascii="方正仿宋_GBK" w:hAnsi="方正仿宋_GBK" w:eastAsia="方正仿宋_GBK" w:cs="方正仿宋_GBK"/>
          <w:color w:val="auto"/>
          <w:sz w:val="32"/>
          <w:szCs w:val="32"/>
          <w:highlight w:val="none"/>
          <w:u w:val="single"/>
          <w:lang w:val="en-US" w:eastAsia="zh-CN"/>
        </w:rPr>
        <w:t>15</w:t>
      </w:r>
      <w:r>
        <w:rPr>
          <w:rFonts w:hint="eastAsia" w:ascii="方正仿宋_GBK" w:hAnsi="方正仿宋_GBK" w:eastAsia="方正仿宋_GBK" w:cs="方正仿宋_GBK"/>
          <w:color w:val="auto"/>
          <w:sz w:val="32"/>
          <w:szCs w:val="32"/>
          <w:highlight w:val="none"/>
        </w:rPr>
        <w:t>时</w:t>
      </w:r>
      <w:r>
        <w:rPr>
          <w:rFonts w:hint="eastAsia" w:ascii="方正仿宋_GBK" w:hAnsi="方正仿宋_GBK" w:eastAsia="方正仿宋_GBK" w:cs="方正仿宋_GBK"/>
          <w:color w:val="auto"/>
          <w:sz w:val="32"/>
          <w:szCs w:val="32"/>
          <w:highlight w:val="none"/>
          <w:u w:val="single"/>
          <w:lang w:val="en-US" w:eastAsia="zh-CN"/>
        </w:rPr>
        <w:t>00</w:t>
      </w:r>
      <w:r>
        <w:rPr>
          <w:rFonts w:hint="eastAsia" w:ascii="方正仿宋_GBK" w:hAnsi="方正仿宋_GBK" w:eastAsia="方正仿宋_GBK" w:cs="方正仿宋_GBK"/>
          <w:color w:val="auto"/>
          <w:sz w:val="32"/>
          <w:szCs w:val="32"/>
          <w:highlight w:val="none"/>
        </w:rPr>
        <w:t>分</w:t>
      </w:r>
      <w:bookmarkStart w:id="0" w:name="_GoBack"/>
      <w:bookmarkEnd w:id="0"/>
      <w:r>
        <w:rPr>
          <w:rFonts w:hint="eastAsia" w:ascii="方正仿宋_GBK" w:hAnsi="方正仿宋_GBK" w:eastAsia="方正仿宋_GBK" w:cs="方正仿宋_GBK"/>
          <w:color w:val="auto"/>
          <w:sz w:val="32"/>
          <w:szCs w:val="32"/>
          <w:highlight w:val="none"/>
        </w:rPr>
        <w:t>。未送达或逾期送达的指定地点比选人将拒绝接收。</w:t>
      </w:r>
    </w:p>
    <w:p w14:paraId="3328D707">
      <w:pPr>
        <w:spacing w:line="580" w:lineRule="exact"/>
        <w:ind w:firstLine="640" w:firstLineChars="200"/>
        <w:rPr>
          <w:rFonts w:hint="eastAsia" w:ascii="方正仿宋_GBK" w:hAnsi="方正仿宋_GBK" w:eastAsia="方正仿宋_GBK" w:cs="方正仿宋_GBK"/>
          <w:color w:val="auto"/>
          <w:sz w:val="32"/>
          <w:szCs w:val="32"/>
          <w:highlight w:val="none"/>
          <w:lang w:eastAsia="zh-CN"/>
        </w:rPr>
      </w:pPr>
      <w:r>
        <w:rPr>
          <w:rFonts w:hint="eastAsia" w:ascii="方正仿宋_GBK" w:hAnsi="方正仿宋_GBK" w:eastAsia="方正仿宋_GBK" w:cs="方正仿宋_GBK"/>
          <w:color w:val="auto"/>
          <w:sz w:val="32"/>
          <w:szCs w:val="32"/>
          <w:highlight w:val="none"/>
        </w:rPr>
        <w:t>2.比选地点：采取线下比选方式，即比选截止日期前将比选文件按要求密封递交至江北建工（重庆市江北区永平门街14号金融城2号T3塔楼9楼）0919办公室，具体文件格式要求详见附件1《响应单位须知》</w:t>
      </w:r>
      <w:r>
        <w:rPr>
          <w:rFonts w:hint="eastAsia" w:ascii="方正仿宋_GBK" w:hAnsi="方正仿宋_GBK" w:eastAsia="方正仿宋_GBK" w:cs="方正仿宋_GBK"/>
          <w:color w:val="auto"/>
          <w:sz w:val="32"/>
          <w:szCs w:val="32"/>
          <w:highlight w:val="none"/>
          <w:lang w:eastAsia="zh-CN"/>
        </w:rPr>
        <w:t>。</w:t>
      </w:r>
    </w:p>
    <w:p w14:paraId="151BD7BE">
      <w:pPr>
        <w:pStyle w:val="2"/>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3.“</w:t>
      </w:r>
      <w:r>
        <w:rPr>
          <w:rFonts w:hint="eastAsia" w:ascii="方正仿宋_GBK" w:hAnsi="方正仿宋_GBK" w:eastAsia="方正仿宋_GBK" w:cs="方正仿宋_GBK"/>
          <w:color w:val="auto"/>
          <w:sz w:val="32"/>
          <w:szCs w:val="32"/>
          <w:highlight w:val="none"/>
          <w:lang w:val="en-US"/>
        </w:rPr>
        <w:t>合作商资源库</w:t>
      </w:r>
      <w:r>
        <w:rPr>
          <w:rFonts w:hint="eastAsia" w:ascii="方正仿宋_GBK" w:hAnsi="方正仿宋_GBK" w:eastAsia="方正仿宋_GBK" w:cs="方正仿宋_GBK"/>
          <w:color w:val="auto"/>
          <w:sz w:val="32"/>
          <w:szCs w:val="32"/>
          <w:highlight w:val="none"/>
          <w:lang w:val="en-US" w:eastAsia="zh-CN"/>
        </w:rPr>
        <w:t>”</w:t>
      </w:r>
      <w:r>
        <w:rPr>
          <w:rFonts w:hint="eastAsia" w:ascii="方正仿宋_GBK" w:hAnsi="方正仿宋_GBK" w:eastAsia="方正仿宋_GBK" w:cs="方正仿宋_GBK"/>
          <w:color w:val="auto"/>
          <w:sz w:val="32"/>
          <w:szCs w:val="32"/>
          <w:highlight w:val="none"/>
          <w:lang w:val="en-US" w:eastAsia="zh-CN"/>
        </w:rPr>
        <w:t>内供应商可直接报名参加本项目投标，无需缴纳投标保证金。</w:t>
      </w:r>
      <w:r>
        <w:rPr>
          <w:rFonts w:hint="eastAsia" w:ascii="方正仿宋_GBK" w:hAnsi="方正仿宋_GBK" w:eastAsia="方正仿宋_GBK" w:cs="方正仿宋_GBK"/>
          <w:color w:val="auto"/>
          <w:sz w:val="32"/>
          <w:szCs w:val="32"/>
          <w:highlight w:val="none"/>
          <w:lang w:val="en-US"/>
        </w:rPr>
        <w:t>非“合作商资源库”内的供应商若报名参与本次比选活动</w:t>
      </w:r>
      <w:r>
        <w:rPr>
          <w:rFonts w:hint="eastAsia" w:ascii="方正仿宋_GBK" w:hAnsi="方正仿宋_GBK" w:eastAsia="方正仿宋_GBK" w:cs="方正仿宋_GBK"/>
          <w:color w:val="auto"/>
          <w:sz w:val="32"/>
          <w:szCs w:val="32"/>
          <w:highlight w:val="none"/>
          <w:lang w:val="en-US" w:eastAsia="zh-CN"/>
        </w:rPr>
        <w:t>，须交纳1万元投标保证金，中标单位承诺中选后加入江北建工“合作商资源库”，将其中1万元投标保证金转成入库保证金，不足部分补缴，入库保证金为5万元；剩余未中标单位投标结束后无息退还投标保证金；若中标后不履行承诺，将没收投标保证金；若达不到入库条件，将无息退还投标保证金，取消中标资格。</w:t>
      </w:r>
    </w:p>
    <w:p w14:paraId="632F6DFB">
      <w:pPr>
        <w:pStyle w:val="2"/>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投标保证金银行账户信息：</w:t>
      </w:r>
    </w:p>
    <w:p w14:paraId="516920B2">
      <w:pPr>
        <w:pStyle w:val="2"/>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账户：重庆市江北区城市建设工程技术有限公司</w:t>
      </w:r>
    </w:p>
    <w:p w14:paraId="5562C733">
      <w:pPr>
        <w:pStyle w:val="2"/>
        <w:ind w:left="0" w:leftChars="0" w:firstLine="640" w:firstLineChars="20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开户行：重庆银行建新东路支行</w:t>
      </w:r>
    </w:p>
    <w:p w14:paraId="24A32DED">
      <w:pPr>
        <w:pStyle w:val="2"/>
        <w:ind w:left="0" w:leftChars="0" w:firstLine="640" w:firstLineChars="20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账号：240102029008402213</w:t>
      </w:r>
    </w:p>
    <w:p w14:paraId="283A9B9E">
      <w:pPr>
        <w:pStyle w:val="2"/>
        <w:ind w:left="0" w:leftChars="0" w:firstLine="640" w:firstLineChars="20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汇款或转账凭证上须注明信息简称：003地块干混砂浆采购投标保证金</w:t>
      </w:r>
    </w:p>
    <w:p w14:paraId="66755CE5">
      <w:pPr>
        <w:pStyle w:val="2"/>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加入江北建工“合作商资源库”，详见如下要求：</w:t>
      </w:r>
    </w:p>
    <w:p w14:paraId="6B8D2B9E">
      <w:pPr>
        <w:pStyle w:val="2"/>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（1）进入江北建工官方网站（网址：</w:t>
      </w:r>
      <w:r>
        <w:rPr>
          <w:rFonts w:hint="eastAsia" w:ascii="方正仿宋_GBK" w:hAnsi="方正仿宋_GBK" w:eastAsia="方正仿宋_GBK" w:cs="方正仿宋_GBK"/>
          <w:color w:val="auto"/>
          <w:sz w:val="32"/>
          <w:szCs w:val="32"/>
          <w:highlight w:val="none"/>
          <w:lang w:val="en-US" w:eastAsia="zh-CN"/>
        </w:rPr>
        <w:fldChar w:fldCharType="begin"/>
      </w:r>
      <w:r>
        <w:rPr>
          <w:rFonts w:hint="eastAsia" w:ascii="方正仿宋_GBK" w:hAnsi="方正仿宋_GBK" w:eastAsia="方正仿宋_GBK" w:cs="方正仿宋_GBK"/>
          <w:color w:val="auto"/>
          <w:sz w:val="32"/>
          <w:szCs w:val="32"/>
          <w:highlight w:val="none"/>
          <w:lang w:val="en-US" w:eastAsia="zh-CN"/>
        </w:rPr>
        <w:instrText xml:space="preserve"> HYPERLINK "http://www.cqjbct.com）公告中查看" </w:instrText>
      </w:r>
      <w:r>
        <w:rPr>
          <w:rFonts w:hint="eastAsia" w:ascii="方正仿宋_GBK" w:hAnsi="方正仿宋_GBK" w:eastAsia="方正仿宋_GBK" w:cs="方正仿宋_GBK"/>
          <w:color w:val="auto"/>
          <w:sz w:val="32"/>
          <w:szCs w:val="32"/>
          <w:highlight w:val="none"/>
          <w:lang w:val="en-US" w:eastAsia="zh-CN"/>
        </w:rPr>
        <w:fldChar w:fldCharType="separate"/>
      </w:r>
      <w:r>
        <w:rPr>
          <w:rFonts w:hint="eastAsia" w:ascii="方正仿宋_GBK" w:hAnsi="方正仿宋_GBK" w:eastAsia="方正仿宋_GBK" w:cs="方正仿宋_GBK"/>
          <w:color w:val="auto"/>
          <w:sz w:val="32"/>
          <w:szCs w:val="32"/>
          <w:highlight w:val="none"/>
          <w:lang w:val="zh-CN" w:eastAsia="zh-CN"/>
        </w:rPr>
        <w:t>https://cqjbct.com</w:t>
      </w:r>
      <w:r>
        <w:rPr>
          <w:rFonts w:hint="eastAsia" w:ascii="方正仿宋_GBK" w:hAnsi="方正仿宋_GBK" w:eastAsia="方正仿宋_GBK" w:cs="方正仿宋_GBK"/>
          <w:color w:val="auto"/>
          <w:sz w:val="32"/>
          <w:szCs w:val="32"/>
          <w:highlight w:val="none"/>
          <w:lang w:val="en-US" w:eastAsia="zh-CN"/>
        </w:rPr>
        <w:t>）公告中查看“重庆市江北区城市建设工程技术有限公司广泛征集合格合作商的公告”及下载“江北建工官网合作商入库注册说明”。</w:t>
      </w:r>
      <w:r>
        <w:rPr>
          <w:rFonts w:hint="eastAsia" w:ascii="方正仿宋_GBK" w:hAnsi="方正仿宋_GBK" w:eastAsia="方正仿宋_GBK" w:cs="方正仿宋_GBK"/>
          <w:color w:val="auto"/>
          <w:sz w:val="32"/>
          <w:szCs w:val="32"/>
          <w:highlight w:val="none"/>
          <w:lang w:val="en-US" w:eastAsia="zh-CN"/>
        </w:rPr>
        <w:fldChar w:fldCharType="end"/>
      </w:r>
    </w:p>
    <w:p w14:paraId="2A4A6C4B">
      <w:pPr>
        <w:pStyle w:val="2"/>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（2）根据上述的文件要求在本次比选采购合同签订前，完成入库资料提交并缴纳入库保证金（可由投标保证金转为入库保证金），入库初审将在供应商提交资料后的3个工作日内完成。</w:t>
      </w:r>
    </w:p>
    <w:p w14:paraId="3DCA598A">
      <w:pPr>
        <w:pStyle w:val="2"/>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（3）入库审核结果将通过江北建工官网发布，审核结果为“合格合作商”的单位即为入库单位。</w:t>
      </w:r>
    </w:p>
    <w:p w14:paraId="621F272A">
      <w:pPr>
        <w:spacing w:line="58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4</w:t>
      </w:r>
      <w:r>
        <w:rPr>
          <w:rFonts w:hint="eastAsia" w:ascii="方正仿宋_GBK" w:hAnsi="方正仿宋_GBK" w:eastAsia="方正仿宋_GBK" w:cs="方正仿宋_GBK"/>
          <w:color w:val="auto"/>
          <w:sz w:val="32"/>
          <w:szCs w:val="32"/>
          <w:highlight w:val="none"/>
        </w:rPr>
        <w:t>.响应文件递交方式：</w:t>
      </w:r>
    </w:p>
    <w:p w14:paraId="4603AF82">
      <w:pPr>
        <w:spacing w:line="58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（1）响应单位需按照本公告附件2《响应文件》填写，细微偏差由评选小组提出，响应单位澄清修正后作为响应文件组成部分，拒不修正做否决处理。重大偏差影响评标的按无效响应文件处理。</w:t>
      </w:r>
    </w:p>
    <w:p w14:paraId="3C507700">
      <w:pPr>
        <w:spacing w:line="580" w:lineRule="exact"/>
        <w:ind w:firstLine="640" w:firstLineChars="200"/>
        <w:rPr>
          <w:rFonts w:hint="eastAsia" w:ascii="方正仿宋_GBK" w:hAnsi="方正仿宋_GBK" w:eastAsia="方正仿宋_GBK" w:cs="方正仿宋_GBK"/>
          <w:color w:val="auto"/>
          <w:sz w:val="32"/>
          <w:szCs w:val="32"/>
          <w:highlight w:val="none"/>
          <w:lang w:eastAsia="zh-CN"/>
        </w:rPr>
      </w:pPr>
      <w:r>
        <w:rPr>
          <w:rFonts w:hint="eastAsia" w:ascii="方正仿宋_GBK" w:hAnsi="方正仿宋_GBK" w:eastAsia="方正仿宋_GBK" w:cs="方正仿宋_GBK"/>
          <w:color w:val="auto"/>
          <w:sz w:val="32"/>
          <w:szCs w:val="32"/>
          <w:highlight w:val="none"/>
        </w:rPr>
        <w:t>（2）请响应单位于响应文件递交截止时间前，按照附件2《响应文件》编制的比选文件，签字盖章齐全后</w:t>
      </w:r>
      <w:r>
        <w:rPr>
          <w:rFonts w:hint="eastAsia" w:ascii="方正仿宋_GBK" w:hAnsi="方正仿宋_GBK" w:eastAsia="方正仿宋_GBK" w:cs="方正仿宋_GBK"/>
          <w:color w:val="auto"/>
          <w:sz w:val="32"/>
          <w:szCs w:val="32"/>
          <w:highlight w:val="none"/>
          <w:lang w:val="en-US" w:eastAsia="zh-CN"/>
        </w:rPr>
        <w:t>密封</w:t>
      </w:r>
      <w:r>
        <w:rPr>
          <w:rFonts w:hint="eastAsia" w:ascii="方正仿宋_GBK" w:hAnsi="方正仿宋_GBK" w:eastAsia="方正仿宋_GBK" w:cs="方正仿宋_GBK"/>
          <w:color w:val="auto"/>
          <w:sz w:val="32"/>
          <w:szCs w:val="32"/>
          <w:highlight w:val="none"/>
        </w:rPr>
        <w:t>递交到比选人处</w:t>
      </w:r>
      <w:r>
        <w:rPr>
          <w:rFonts w:hint="eastAsia" w:ascii="方正仿宋_GBK" w:hAnsi="方正仿宋_GBK" w:eastAsia="方正仿宋_GBK" w:cs="方正仿宋_GBK"/>
          <w:color w:val="auto"/>
          <w:sz w:val="32"/>
          <w:szCs w:val="32"/>
          <w:highlight w:val="none"/>
          <w:lang w:eastAsia="zh-CN"/>
        </w:rPr>
        <w:t>。</w:t>
      </w:r>
    </w:p>
    <w:p w14:paraId="16FE09B6">
      <w:pPr>
        <w:pStyle w:val="9"/>
        <w:spacing w:line="580" w:lineRule="exact"/>
        <w:ind w:firstLine="640" w:firstLineChars="200"/>
        <w:rPr>
          <w:rFonts w:hint="eastAsia" w:ascii="方正仿宋_GBK" w:hAnsi="方正仿宋_GBK" w:eastAsia="方正仿宋_GBK" w:cs="方正仿宋_GBK"/>
          <w:color w:val="auto"/>
          <w:sz w:val="32"/>
          <w:szCs w:val="32"/>
          <w:highlight w:val="none"/>
          <w:lang w:eastAsia="zh-CN"/>
        </w:rPr>
      </w:pPr>
      <w:r>
        <w:rPr>
          <w:rFonts w:hint="eastAsia" w:ascii="方正仿宋_GBK" w:hAnsi="方正仿宋_GBK" w:eastAsia="方正仿宋_GBK" w:cs="方正仿宋_GBK"/>
          <w:color w:val="auto"/>
          <w:sz w:val="32"/>
          <w:szCs w:val="32"/>
          <w:highlight w:val="none"/>
          <w:lang w:val="en-US" w:eastAsia="zh-CN"/>
        </w:rPr>
        <w:t>5</w:t>
      </w:r>
      <w:r>
        <w:rPr>
          <w:rFonts w:hint="eastAsia" w:ascii="方正仿宋_GBK" w:hAnsi="方正仿宋_GBK" w:eastAsia="方正仿宋_GBK" w:cs="方正仿宋_GBK"/>
          <w:color w:val="auto"/>
          <w:sz w:val="32"/>
          <w:szCs w:val="32"/>
          <w:highlight w:val="none"/>
        </w:rPr>
        <w:t>.评标方式：本次比选评标为经评审的最低价评标法</w:t>
      </w:r>
      <w:r>
        <w:rPr>
          <w:rFonts w:hint="eastAsia" w:ascii="方正仿宋_GBK" w:hAnsi="方正仿宋_GBK" w:eastAsia="方正仿宋_GBK" w:cs="方正仿宋_GBK"/>
          <w:color w:val="auto"/>
          <w:sz w:val="32"/>
          <w:szCs w:val="32"/>
          <w:highlight w:val="none"/>
          <w:lang w:eastAsia="zh-CN"/>
        </w:rPr>
        <w:t>。</w:t>
      </w:r>
    </w:p>
    <w:p w14:paraId="045DCF67">
      <w:pPr>
        <w:spacing w:line="58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6</w:t>
      </w:r>
      <w:r>
        <w:rPr>
          <w:rFonts w:hint="eastAsia" w:ascii="方正仿宋_GBK" w:hAnsi="方正仿宋_GBK" w:eastAsia="方正仿宋_GBK" w:cs="方正仿宋_GBK"/>
          <w:color w:val="auto"/>
          <w:sz w:val="32"/>
          <w:szCs w:val="32"/>
          <w:highlight w:val="none"/>
        </w:rPr>
        <w:t>.结果公示：本次比选结束后，在江北建工官网</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highlight w:val="none"/>
          <w:lang w:val="zh-CN"/>
        </w:rPr>
        <w:t>行采家</w:t>
      </w:r>
      <w:r>
        <w:rPr>
          <w:rFonts w:hint="eastAsia" w:ascii="方正仿宋_GBK" w:hAnsi="方正仿宋_GBK" w:eastAsia="方正仿宋_GBK" w:cs="方正仿宋_GBK"/>
          <w:color w:val="auto"/>
          <w:sz w:val="32"/>
          <w:szCs w:val="32"/>
          <w:highlight w:val="none"/>
        </w:rPr>
        <w:t>网进行公示。</w:t>
      </w:r>
    </w:p>
    <w:p w14:paraId="0F0D2B20">
      <w:pPr>
        <w:spacing w:line="580" w:lineRule="exact"/>
        <w:ind w:firstLine="643" w:firstLineChars="200"/>
        <w:rPr>
          <w:rFonts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lang w:val="en-US" w:eastAsia="zh-CN"/>
        </w:rPr>
        <w:t>五</w:t>
      </w:r>
      <w:r>
        <w:rPr>
          <w:rFonts w:hint="eastAsia" w:ascii="黑体" w:hAnsi="黑体" w:eastAsia="黑体" w:cs="黑体"/>
          <w:b/>
          <w:bCs/>
          <w:color w:val="auto"/>
          <w:sz w:val="32"/>
          <w:szCs w:val="32"/>
          <w:highlight w:val="none"/>
        </w:rPr>
        <w:t>、合同支付方式</w:t>
      </w:r>
    </w:p>
    <w:p w14:paraId="75C91B55">
      <w:pPr>
        <w:spacing w:line="58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本项目合同支付方式详见附件4所述格式和实际签订的《</w:t>
      </w:r>
      <w:r>
        <w:rPr>
          <w:rFonts w:hint="eastAsia" w:ascii="方正仿宋_GBK" w:hAnsi="方正仿宋_GBK" w:eastAsia="方正仿宋_GBK" w:cs="方正仿宋_GBK"/>
          <w:color w:val="auto"/>
          <w:sz w:val="32"/>
          <w:szCs w:val="32"/>
          <w:highlight w:val="none"/>
          <w:lang w:val="en-US" w:eastAsia="zh-CN"/>
        </w:rPr>
        <w:t>江北区C01单元05街区003地块开发项目EPC总承包项目</w:t>
      </w:r>
      <w:r>
        <w:rPr>
          <w:rFonts w:hint="eastAsia" w:ascii="方正仿宋_GBK" w:hAnsi="方正仿宋_GBK" w:eastAsia="方正仿宋_GBK" w:cs="方正仿宋_GBK"/>
          <w:color w:val="auto"/>
          <w:sz w:val="32"/>
          <w:szCs w:val="32"/>
          <w:highlight w:val="none"/>
          <w:lang w:eastAsia="zh-CN"/>
        </w:rPr>
        <w:t>地方材料(干混砂浆)购销合同</w:t>
      </w:r>
      <w:r>
        <w:rPr>
          <w:rFonts w:hint="eastAsia" w:ascii="方正仿宋_GBK" w:hAnsi="方正仿宋_GBK" w:eastAsia="方正仿宋_GBK" w:cs="方正仿宋_GBK"/>
          <w:color w:val="auto"/>
          <w:sz w:val="32"/>
          <w:szCs w:val="32"/>
          <w:highlight w:val="none"/>
        </w:rPr>
        <w:t>》相关约定。</w:t>
      </w:r>
    </w:p>
    <w:p w14:paraId="113FFEA4">
      <w:pPr>
        <w:spacing w:line="580" w:lineRule="exact"/>
        <w:ind w:firstLine="643" w:firstLineChars="200"/>
        <w:rPr>
          <w:rFonts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lang w:val="en-US" w:eastAsia="zh-CN"/>
        </w:rPr>
        <w:t>六</w:t>
      </w:r>
      <w:r>
        <w:rPr>
          <w:rFonts w:hint="eastAsia" w:ascii="黑体" w:hAnsi="黑体" w:eastAsia="黑体" w:cs="黑体"/>
          <w:b/>
          <w:bCs/>
          <w:color w:val="auto"/>
          <w:sz w:val="32"/>
          <w:szCs w:val="32"/>
          <w:highlight w:val="none"/>
        </w:rPr>
        <w:t>、询问</w:t>
      </w:r>
    </w:p>
    <w:p w14:paraId="1D7B1FB1">
      <w:pPr>
        <w:spacing w:line="580" w:lineRule="exact"/>
        <w:ind w:firstLine="640" w:firstLineChars="200"/>
        <w:rPr>
          <w:rFonts w:ascii="仿宋" w:hAnsi="仿宋" w:eastAsia="仿宋" w:cs="仿宋"/>
          <w:color w:val="auto"/>
          <w:sz w:val="32"/>
          <w:szCs w:val="32"/>
          <w:highlight w:val="none"/>
        </w:rPr>
      </w:pPr>
      <w:r>
        <w:rPr>
          <w:rFonts w:hint="eastAsia" w:ascii="方正仿宋_GBK" w:hAnsi="方正仿宋_GBK" w:eastAsia="方正仿宋_GBK" w:cs="方正仿宋_GBK"/>
          <w:color w:val="auto"/>
          <w:sz w:val="32"/>
          <w:szCs w:val="32"/>
          <w:highlight w:val="none"/>
        </w:rPr>
        <w:t>各潜在响应单位对本次比选活动事项如有疑问的，可以向比选人提出询问，比选人将在</w:t>
      </w:r>
      <w:r>
        <w:rPr>
          <w:rFonts w:hint="eastAsia" w:ascii="方正仿宋_GBK" w:hAnsi="方正仿宋_GBK" w:eastAsia="方正仿宋_GBK" w:cs="方正仿宋_GBK"/>
          <w:color w:val="auto"/>
          <w:sz w:val="32"/>
          <w:szCs w:val="32"/>
          <w:highlight w:val="none"/>
          <w:lang w:val="en-US" w:eastAsia="zh-CN"/>
        </w:rPr>
        <w:t>1</w:t>
      </w:r>
      <w:r>
        <w:rPr>
          <w:rFonts w:hint="eastAsia" w:ascii="方正仿宋_GBK" w:hAnsi="方正仿宋_GBK" w:eastAsia="方正仿宋_GBK" w:cs="方正仿宋_GBK"/>
          <w:color w:val="auto"/>
          <w:sz w:val="32"/>
          <w:szCs w:val="32"/>
          <w:highlight w:val="none"/>
        </w:rPr>
        <w:t>个工作日内作出答复。</w:t>
      </w:r>
    </w:p>
    <w:p w14:paraId="32DA6439">
      <w:pPr>
        <w:spacing w:line="580" w:lineRule="exact"/>
        <w:ind w:firstLine="643" w:firstLineChars="200"/>
        <w:rPr>
          <w:rFonts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lang w:val="en-US" w:eastAsia="zh-CN"/>
        </w:rPr>
        <w:t>七</w:t>
      </w:r>
      <w:r>
        <w:rPr>
          <w:rFonts w:hint="eastAsia" w:ascii="黑体" w:hAnsi="黑体" w:eastAsia="黑体" w:cs="黑体"/>
          <w:b/>
          <w:bCs/>
          <w:color w:val="auto"/>
          <w:sz w:val="32"/>
          <w:szCs w:val="32"/>
          <w:highlight w:val="none"/>
        </w:rPr>
        <w:t>、发布媒介</w:t>
      </w:r>
    </w:p>
    <w:p w14:paraId="6E976052">
      <w:pPr>
        <w:spacing w:line="580" w:lineRule="exact"/>
        <w:ind w:firstLine="640" w:firstLineChars="200"/>
        <w:rPr>
          <w:rFonts w:ascii="仿宋" w:hAnsi="仿宋" w:eastAsia="仿宋" w:cs="仿宋"/>
          <w:color w:val="auto"/>
          <w:sz w:val="32"/>
          <w:szCs w:val="32"/>
          <w:highlight w:val="none"/>
        </w:rPr>
      </w:pPr>
      <w:r>
        <w:rPr>
          <w:rFonts w:hint="eastAsia" w:ascii="方正仿宋_GBK" w:hAnsi="方正仿宋_GBK" w:eastAsia="方正仿宋_GBK" w:cs="方正仿宋_GBK"/>
          <w:color w:val="auto"/>
          <w:sz w:val="32"/>
          <w:szCs w:val="32"/>
          <w:highlight w:val="none"/>
        </w:rPr>
        <w:t>本</w:t>
      </w:r>
      <w:r>
        <w:rPr>
          <w:rFonts w:hint="eastAsia" w:ascii="方正仿宋_GBK" w:hAnsi="方正仿宋_GBK" w:eastAsia="方正仿宋_GBK" w:cs="方正仿宋_GBK"/>
          <w:color w:val="auto"/>
          <w:sz w:val="32"/>
          <w:szCs w:val="32"/>
          <w:highlight w:val="none"/>
          <w:lang w:val="en-US" w:eastAsia="zh-CN"/>
        </w:rPr>
        <w:t>公开</w:t>
      </w:r>
      <w:r>
        <w:rPr>
          <w:rFonts w:hint="eastAsia" w:ascii="方正仿宋_GBK" w:hAnsi="方正仿宋_GBK" w:eastAsia="方正仿宋_GBK" w:cs="方正仿宋_GBK"/>
          <w:color w:val="auto"/>
          <w:sz w:val="32"/>
          <w:szCs w:val="32"/>
          <w:highlight w:val="none"/>
        </w:rPr>
        <w:t>比选公告</w:t>
      </w:r>
      <w:r>
        <w:rPr>
          <w:rFonts w:hint="eastAsia" w:ascii="方正仿宋_GBK" w:hAnsi="方正仿宋_GBK" w:eastAsia="方正仿宋_GBK" w:cs="方正仿宋_GBK"/>
          <w:color w:val="auto"/>
          <w:sz w:val="32"/>
          <w:szCs w:val="32"/>
          <w:highlight w:val="none"/>
          <w:lang w:val="en-US" w:eastAsia="zh-CN"/>
        </w:rPr>
        <w:t>在</w:t>
      </w:r>
      <w:r>
        <w:rPr>
          <w:rFonts w:hint="eastAsia" w:ascii="方正仿宋_GBK" w:hAnsi="方正仿宋_GBK" w:eastAsia="方正仿宋_GBK" w:cs="方正仿宋_GBK"/>
          <w:color w:val="auto"/>
          <w:sz w:val="32"/>
          <w:szCs w:val="32"/>
          <w:highlight w:val="none"/>
        </w:rPr>
        <w:t>江北建工官网（</w:t>
      </w:r>
      <w:r>
        <w:rPr>
          <w:rStyle w:val="19"/>
          <w:rFonts w:hint="eastAsia" w:ascii="方正仿宋_GBK" w:hAnsi="方正仿宋_GBK" w:eastAsia="方正仿宋_GBK" w:cs="方正仿宋_GBK"/>
          <w:color w:val="auto"/>
          <w:sz w:val="32"/>
          <w:szCs w:val="32"/>
          <w:highlight w:val="none"/>
          <w:u w:val="none"/>
        </w:rPr>
        <w:t>https://cqjbct.com</w:t>
      </w:r>
      <w:r>
        <w:rPr>
          <w:rFonts w:hint="eastAsia" w:ascii="方正仿宋_GBK" w:hAnsi="方正仿宋_GBK" w:eastAsia="方正仿宋_GBK" w:cs="方正仿宋_GBK"/>
          <w:color w:val="auto"/>
          <w:sz w:val="32"/>
          <w:szCs w:val="32"/>
          <w:highlight w:val="none"/>
        </w:rPr>
        <w:t>）</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highlight w:val="none"/>
          <w:lang w:val="zh-CN"/>
        </w:rPr>
        <w:t>行采家网（www.gec123.com）</w:t>
      </w:r>
      <w:r>
        <w:rPr>
          <w:rFonts w:hint="eastAsia" w:ascii="方正仿宋_GBK" w:hAnsi="方正仿宋_GBK" w:eastAsia="方正仿宋_GBK" w:cs="方正仿宋_GBK"/>
          <w:color w:val="auto"/>
          <w:sz w:val="32"/>
          <w:szCs w:val="32"/>
          <w:highlight w:val="none"/>
        </w:rPr>
        <w:t>发布</w:t>
      </w:r>
      <w:r>
        <w:rPr>
          <w:rFonts w:hint="eastAsia" w:ascii="仿宋" w:hAnsi="仿宋" w:eastAsia="仿宋" w:cs="仿宋"/>
          <w:color w:val="auto"/>
          <w:sz w:val="32"/>
          <w:szCs w:val="32"/>
          <w:highlight w:val="none"/>
        </w:rPr>
        <w:t>。</w:t>
      </w:r>
    </w:p>
    <w:p w14:paraId="6A397949">
      <w:pPr>
        <w:spacing w:line="580" w:lineRule="exact"/>
        <w:ind w:firstLine="643" w:firstLineChars="200"/>
        <w:rPr>
          <w:rFonts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lang w:val="en-US" w:eastAsia="zh-CN"/>
        </w:rPr>
        <w:t>八</w:t>
      </w:r>
      <w:r>
        <w:rPr>
          <w:rFonts w:hint="eastAsia" w:ascii="黑体" w:hAnsi="黑体" w:eastAsia="黑体" w:cs="黑体"/>
          <w:b/>
          <w:bCs/>
          <w:color w:val="auto"/>
          <w:sz w:val="32"/>
          <w:szCs w:val="32"/>
          <w:highlight w:val="none"/>
        </w:rPr>
        <w:t>．其他约定</w:t>
      </w:r>
    </w:p>
    <w:p w14:paraId="67C5FD37">
      <w:pPr>
        <w:spacing w:line="580" w:lineRule="exact"/>
        <w:ind w:firstLine="640" w:firstLineChars="200"/>
        <w:rPr>
          <w:rFonts w:ascii="黑体" w:hAnsi="黑体" w:eastAsia="黑体" w:cs="黑体"/>
          <w:color w:val="auto"/>
          <w:sz w:val="32"/>
          <w:szCs w:val="32"/>
          <w:highlight w:val="none"/>
        </w:rPr>
      </w:pPr>
      <w:r>
        <w:rPr>
          <w:rFonts w:hint="eastAsia" w:ascii="方正仿宋_GBK" w:hAnsi="方正仿宋_GBK" w:eastAsia="方正仿宋_GBK" w:cs="方正仿宋_GBK"/>
          <w:color w:val="auto"/>
          <w:sz w:val="32"/>
          <w:szCs w:val="32"/>
          <w:highlight w:val="none"/>
        </w:rPr>
        <w:t>本比选公告中未约定事项，以附件4《</w:t>
      </w:r>
      <w:r>
        <w:rPr>
          <w:rFonts w:hint="eastAsia" w:ascii="方正仿宋_GBK" w:hAnsi="方正仿宋_GBK" w:eastAsia="方正仿宋_GBK" w:cs="方正仿宋_GBK"/>
          <w:color w:val="auto"/>
          <w:sz w:val="32"/>
          <w:szCs w:val="32"/>
          <w:highlight w:val="none"/>
          <w:lang w:val="en-US" w:eastAsia="zh-CN"/>
        </w:rPr>
        <w:t>江北区C01单元05街区003地块开发项目EPC总承包项目</w:t>
      </w:r>
      <w:r>
        <w:rPr>
          <w:rFonts w:hint="eastAsia" w:ascii="方正仿宋_GBK" w:hAnsi="方正仿宋_GBK" w:eastAsia="方正仿宋_GBK" w:cs="方正仿宋_GBK"/>
          <w:color w:val="auto"/>
          <w:sz w:val="32"/>
          <w:szCs w:val="32"/>
          <w:highlight w:val="none"/>
          <w:lang w:eastAsia="zh-CN"/>
        </w:rPr>
        <w:t>地方材料(干混砂浆)购销合同</w:t>
      </w:r>
      <w:r>
        <w:rPr>
          <w:rFonts w:hint="eastAsia" w:ascii="方正仿宋_GBK" w:hAnsi="方正仿宋_GBK" w:eastAsia="方正仿宋_GBK" w:cs="方正仿宋_GBK"/>
          <w:color w:val="auto"/>
          <w:sz w:val="32"/>
          <w:szCs w:val="32"/>
          <w:highlight w:val="none"/>
        </w:rPr>
        <w:t>》中约定为准。</w:t>
      </w:r>
    </w:p>
    <w:p w14:paraId="1DC480D5">
      <w:pPr>
        <w:spacing w:line="580" w:lineRule="exact"/>
        <w:ind w:firstLine="643" w:firstLineChars="200"/>
        <w:rPr>
          <w:rFonts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lang w:val="en-US" w:eastAsia="zh-CN"/>
        </w:rPr>
        <w:t>十</w:t>
      </w:r>
      <w:r>
        <w:rPr>
          <w:rFonts w:hint="eastAsia" w:ascii="黑体" w:hAnsi="黑体" w:eastAsia="黑体" w:cs="黑体"/>
          <w:b/>
          <w:bCs/>
          <w:color w:val="auto"/>
          <w:sz w:val="32"/>
          <w:szCs w:val="32"/>
          <w:highlight w:val="none"/>
        </w:rPr>
        <w:t>、联系方式</w:t>
      </w:r>
    </w:p>
    <w:p w14:paraId="17CDE561">
      <w:pPr>
        <w:spacing w:line="58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比选人：重庆市江北区城市建设工程技术有限公司</w:t>
      </w:r>
    </w:p>
    <w:p w14:paraId="396A1AAF">
      <w:pPr>
        <w:spacing w:line="580" w:lineRule="exact"/>
        <w:ind w:firstLine="640" w:firstLineChars="200"/>
        <w:rPr>
          <w:rFonts w:hint="default"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rPr>
        <w:t>地址：重庆市江北区金融城2号</w:t>
      </w:r>
      <w:r>
        <w:rPr>
          <w:rFonts w:hint="eastAsia" w:ascii="方正仿宋_GBK" w:hAnsi="方正仿宋_GBK" w:eastAsia="方正仿宋_GBK" w:cs="方正仿宋_GBK"/>
          <w:color w:val="auto"/>
          <w:sz w:val="32"/>
          <w:szCs w:val="32"/>
          <w:highlight w:val="none"/>
          <w:lang w:val="en-US" w:eastAsia="zh-CN"/>
        </w:rPr>
        <w:t>T3</w:t>
      </w:r>
    </w:p>
    <w:p w14:paraId="01DAC3E2">
      <w:pPr>
        <w:spacing w:line="580" w:lineRule="exact"/>
        <w:ind w:firstLine="640" w:firstLineChars="200"/>
        <w:rPr>
          <w:rFonts w:hint="default"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rPr>
        <w:t>联系人：</w:t>
      </w:r>
      <w:r>
        <w:rPr>
          <w:rFonts w:hint="eastAsia" w:ascii="方正仿宋_GBK" w:hAnsi="方正仿宋_GBK" w:eastAsia="方正仿宋_GBK" w:cs="方正仿宋_GBK"/>
          <w:color w:val="auto"/>
          <w:sz w:val="32"/>
          <w:szCs w:val="32"/>
          <w:highlight w:val="none"/>
          <w:lang w:val="en-US" w:eastAsia="zh-CN"/>
        </w:rPr>
        <w:t>闫老师</w:t>
      </w:r>
    </w:p>
    <w:p w14:paraId="1A5677A2">
      <w:pPr>
        <w:spacing w:line="580" w:lineRule="exact"/>
        <w:ind w:firstLine="640" w:firstLineChars="200"/>
        <w:rPr>
          <w:rFonts w:hint="default" w:ascii="仿宋" w:hAnsi="仿宋" w:eastAsia="仿宋" w:cs="仿宋"/>
          <w:color w:val="auto"/>
          <w:sz w:val="32"/>
          <w:szCs w:val="32"/>
          <w:highlight w:val="none"/>
          <w:lang w:val="en-US"/>
        </w:rPr>
      </w:pPr>
      <w:r>
        <w:rPr>
          <w:rFonts w:hint="eastAsia" w:ascii="方正仿宋_GBK" w:hAnsi="方正仿宋_GBK" w:eastAsia="方正仿宋_GBK" w:cs="方正仿宋_GBK"/>
          <w:color w:val="auto"/>
          <w:sz w:val="32"/>
          <w:szCs w:val="32"/>
          <w:highlight w:val="none"/>
        </w:rPr>
        <w:t>联系电话：</w:t>
      </w:r>
      <w:r>
        <w:rPr>
          <w:rFonts w:hint="eastAsia" w:ascii="方正仿宋_GBK" w:hAnsi="方正仿宋_GBK" w:eastAsia="方正仿宋_GBK" w:cs="方正仿宋_GBK"/>
          <w:color w:val="auto"/>
          <w:sz w:val="32"/>
          <w:szCs w:val="32"/>
          <w:highlight w:val="none"/>
          <w:lang w:val="en-US" w:eastAsia="zh-CN"/>
        </w:rPr>
        <w:t>023-67701565</w:t>
      </w:r>
    </w:p>
    <w:p w14:paraId="42B3F864">
      <w:pPr>
        <w:spacing w:line="580" w:lineRule="exact"/>
        <w:ind w:firstLine="643" w:firstLineChars="200"/>
        <w:rPr>
          <w:rFonts w:ascii="方正仿宋_GBK" w:hAnsi="方正仿宋_GBK" w:eastAsia="方正仿宋_GBK" w:cs="方正仿宋_GBK"/>
          <w:color w:val="auto"/>
          <w:sz w:val="32"/>
          <w:szCs w:val="32"/>
          <w:highlight w:val="none"/>
        </w:rPr>
      </w:pPr>
      <w:r>
        <w:rPr>
          <w:rFonts w:hint="eastAsia" w:ascii="仿宋" w:hAnsi="仿宋" w:eastAsia="仿宋" w:cs="仿宋"/>
          <w:b/>
          <w:bCs/>
          <w:color w:val="auto"/>
          <w:sz w:val="32"/>
          <w:szCs w:val="32"/>
          <w:highlight w:val="none"/>
        </w:rPr>
        <w:t>附件：</w:t>
      </w:r>
      <w:r>
        <w:rPr>
          <w:rFonts w:hint="eastAsia" w:ascii="方正仿宋_GBK" w:hAnsi="方正仿宋_GBK" w:eastAsia="方正仿宋_GBK" w:cs="方正仿宋_GBK"/>
          <w:color w:val="auto"/>
          <w:sz w:val="32"/>
          <w:szCs w:val="32"/>
          <w:highlight w:val="none"/>
        </w:rPr>
        <w:t>1.《响应单位须知》</w:t>
      </w:r>
    </w:p>
    <w:p w14:paraId="2839891F">
      <w:pPr>
        <w:spacing w:line="580" w:lineRule="exact"/>
        <w:ind w:firstLine="1600" w:firstLineChars="5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2.《响应文件》</w:t>
      </w:r>
    </w:p>
    <w:p w14:paraId="1A1DEAF8">
      <w:pPr>
        <w:spacing w:line="580" w:lineRule="exact"/>
        <w:ind w:left="638" w:leftChars="304" w:firstLine="960" w:firstLineChars="3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3.《</w:t>
      </w:r>
      <w:r>
        <w:rPr>
          <w:rFonts w:hint="eastAsia" w:ascii="方正仿宋_GBK" w:hAnsi="方正仿宋_GBK" w:eastAsia="方正仿宋_GBK" w:cs="方正仿宋_GBK"/>
          <w:color w:val="auto"/>
          <w:sz w:val="32"/>
          <w:szCs w:val="32"/>
          <w:highlight w:val="none"/>
          <w:lang w:val="en-US" w:eastAsia="zh-CN"/>
        </w:rPr>
        <w:t>评标办法</w:t>
      </w:r>
      <w:r>
        <w:rPr>
          <w:rFonts w:hint="eastAsia" w:ascii="方正仿宋_GBK" w:hAnsi="方正仿宋_GBK" w:eastAsia="方正仿宋_GBK" w:cs="方正仿宋_GBK"/>
          <w:color w:val="auto"/>
          <w:sz w:val="32"/>
          <w:szCs w:val="32"/>
          <w:highlight w:val="none"/>
        </w:rPr>
        <w:t>》</w:t>
      </w:r>
    </w:p>
    <w:p w14:paraId="0C09E6B5">
      <w:pPr>
        <w:spacing w:line="580" w:lineRule="exact"/>
        <w:ind w:firstLine="1600" w:firstLineChars="500"/>
        <w:rPr>
          <w:rFonts w:hint="default"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rPr>
        <w:t>4.《</w:t>
      </w:r>
      <w:r>
        <w:rPr>
          <w:rFonts w:hint="eastAsia" w:ascii="方正仿宋_GBK" w:hAnsi="方正仿宋_GBK" w:eastAsia="方正仿宋_GBK" w:cs="方正仿宋_GBK"/>
          <w:color w:val="auto"/>
          <w:sz w:val="32"/>
          <w:szCs w:val="32"/>
          <w:highlight w:val="none"/>
          <w:lang w:val="en-US" w:eastAsia="zh-CN"/>
        </w:rPr>
        <w:t>江北区C01单元05街区003地块开发项目EPC总承包项目</w:t>
      </w:r>
      <w:r>
        <w:rPr>
          <w:rFonts w:hint="eastAsia" w:ascii="方正仿宋_GBK" w:hAnsi="方正仿宋_GBK" w:eastAsia="方正仿宋_GBK" w:cs="方正仿宋_GBK"/>
          <w:color w:val="auto"/>
          <w:sz w:val="32"/>
          <w:szCs w:val="32"/>
          <w:highlight w:val="none"/>
          <w:lang w:eastAsia="zh-CN"/>
        </w:rPr>
        <w:t>地方材料(干混砂浆)购销合同</w:t>
      </w:r>
      <w:r>
        <w:rPr>
          <w:rFonts w:hint="eastAsia" w:ascii="方正仿宋_GBK" w:hAnsi="方正仿宋_GBK" w:eastAsia="方正仿宋_GBK" w:cs="方正仿宋_GBK"/>
          <w:color w:val="auto"/>
          <w:sz w:val="32"/>
          <w:szCs w:val="32"/>
          <w:highlight w:val="none"/>
        </w:rPr>
        <w:t>》</w:t>
      </w:r>
    </w:p>
    <w:sectPr>
      <w:footerReference r:id="rId3" w:type="default"/>
      <w:pgSz w:w="11906" w:h="16838"/>
      <w:pgMar w:top="1417" w:right="1304" w:bottom="1644" w:left="1446"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MRID">
    <w:altName w:val="宋体"/>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9F69DE">
    <w:pPr>
      <w:pStyle w:val="10"/>
    </w:pPr>
  </w:p>
  <w:p w14:paraId="5C7D27BB">
    <w:pPr>
      <w:pStyle w:val="1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C6E400"/>
    <w:multiLevelType w:val="multilevel"/>
    <w:tmpl w:val="C0C6E400"/>
    <w:lvl w:ilvl="0" w:tentative="0">
      <w:start w:val="1"/>
      <w:numFmt w:val="decimal"/>
      <w:suff w:val="space"/>
      <w:lvlText w:val="%1"/>
      <w:lvlJc w:val="left"/>
      <w:pPr>
        <w:tabs>
          <w:tab w:val="left" w:pos="0"/>
        </w:tabs>
        <w:ind w:left="0" w:firstLine="0"/>
      </w:pPr>
      <w:rPr>
        <w:rFonts w:hint="default" w:ascii="仿宋_GB2312" w:hAnsi="仿宋_GB2312" w:eastAsia="仿宋_GB2312" w:cs="仿宋_GB2312"/>
        <w:b/>
        <w:bCs/>
        <w:sz w:val="28"/>
        <w:szCs w:val="28"/>
      </w:rPr>
    </w:lvl>
    <w:lvl w:ilvl="1" w:tentative="0">
      <w:start w:val="1"/>
      <w:numFmt w:val="decimal"/>
      <w:pStyle w:val="4"/>
      <w:suff w:val="space"/>
      <w:lvlText w:val="%1.%2"/>
      <w:lvlJc w:val="left"/>
      <w:pPr>
        <w:tabs>
          <w:tab w:val="left" w:pos="420"/>
        </w:tabs>
        <w:ind w:left="0" w:firstLine="0"/>
      </w:pPr>
      <w:rPr>
        <w:rFonts w:hint="default" w:ascii="仿宋_GB2312" w:hAnsi="仿宋_GB2312" w:eastAsia="仿宋_GB2312" w:cs="仿宋_GB2312"/>
        <w:bCs/>
        <w:sz w:val="28"/>
        <w:szCs w:val="28"/>
      </w:rPr>
    </w:lvl>
    <w:lvl w:ilvl="2" w:tentative="0">
      <w:start w:val="1"/>
      <w:numFmt w:val="decimal"/>
      <w:suff w:val="space"/>
      <w:lvlText w:val="%1.%2.%3"/>
      <w:lvlJc w:val="left"/>
      <w:pPr>
        <w:tabs>
          <w:tab w:val="left" w:pos="420"/>
        </w:tabs>
        <w:ind w:left="0" w:firstLine="0"/>
      </w:pPr>
      <w:rPr>
        <w:rFonts w:hint="default" w:ascii="仿宋_GB2312" w:hAnsi="仿宋_GB2312" w:eastAsia="仿宋_GB2312" w:cs="仿宋_GB2312"/>
        <w:b/>
        <w:bCs/>
        <w:sz w:val="28"/>
        <w:szCs w:val="28"/>
      </w:rPr>
    </w:lvl>
    <w:lvl w:ilvl="3" w:tentative="0">
      <w:start w:val="1"/>
      <w:numFmt w:val="decimal"/>
      <w:suff w:val="space"/>
      <w:lvlText w:val="(%4)"/>
      <w:lvlJc w:val="left"/>
      <w:pPr>
        <w:tabs>
          <w:tab w:val="left" w:pos="420"/>
        </w:tabs>
        <w:ind w:left="0" w:firstLine="0"/>
      </w:pPr>
      <w:rPr>
        <w:rFonts w:hint="default" w:ascii="仿宋_GB2312" w:hAnsi="仿宋_GB2312" w:eastAsia="仿宋_GB2312" w:cs="仿宋_GB2312"/>
        <w:b w:val="0"/>
        <w:bCs w:val="0"/>
        <w:i w:val="0"/>
        <w:iCs w:val="0"/>
        <w:sz w:val="28"/>
        <w:szCs w:val="28"/>
      </w:rPr>
    </w:lvl>
    <w:lvl w:ilvl="4" w:tentative="0">
      <w:start w:val="1"/>
      <w:numFmt w:val="decimal"/>
      <w:suff w:val="space"/>
      <w:lvlText w:val="%5)"/>
      <w:lvlJc w:val="left"/>
      <w:pPr>
        <w:tabs>
          <w:tab w:val="left" w:pos="420"/>
        </w:tabs>
        <w:ind w:left="0" w:firstLine="0"/>
      </w:pPr>
      <w:rPr>
        <w:rFonts w:hint="default" w:ascii="仿宋_GB2312" w:hAnsi="仿宋_GB2312" w:eastAsia="仿宋_GB2312" w:cs="仿宋_GB2312"/>
        <w:sz w:val="28"/>
        <w:szCs w:val="28"/>
      </w:rPr>
    </w:lvl>
    <w:lvl w:ilvl="5" w:tentative="0">
      <w:start w:val="1"/>
      <w:numFmt w:val="decimalEnclosedCircleChinese"/>
      <w:suff w:val="space"/>
      <w:lvlText w:val="%6"/>
      <w:lvlJc w:val="left"/>
      <w:pPr>
        <w:tabs>
          <w:tab w:val="left" w:pos="420"/>
        </w:tabs>
        <w:ind w:left="0" w:firstLine="0"/>
      </w:pPr>
      <w:rPr>
        <w:rFonts w:hint="eastAsia" w:ascii="仿宋_GB2312" w:hAnsi="仿宋_GB2312" w:eastAsia="仿宋_GB2312" w:cs="仿宋_GB2312"/>
        <w:sz w:val="28"/>
        <w:szCs w:val="28"/>
      </w:rPr>
    </w:lvl>
    <w:lvl w:ilvl="6" w:tentative="0">
      <w:start w:val="1"/>
      <w:numFmt w:val="lowerLetter"/>
      <w:suff w:val="space"/>
      <w:lvlText w:val="%7."/>
      <w:lvlJc w:val="left"/>
      <w:pPr>
        <w:tabs>
          <w:tab w:val="left" w:pos="420"/>
        </w:tabs>
        <w:ind w:left="0" w:firstLine="0"/>
      </w:pPr>
      <w:rPr>
        <w:rFonts w:hint="default" w:ascii="仿宋_GB2312" w:hAnsi="仿宋_GB2312" w:eastAsia="仿宋_GB2312" w:cs="仿宋_GB2312"/>
        <w:sz w:val="28"/>
        <w:szCs w:val="28"/>
      </w:rPr>
    </w:lvl>
    <w:lvl w:ilvl="7" w:tentative="0">
      <w:start w:val="1"/>
      <w:numFmt w:val="decimal"/>
      <w:lvlText w:val="%1.%2.%3.%4.%5.%6.%7.%8."/>
      <w:lvlJc w:val="left"/>
      <w:pPr>
        <w:tabs>
          <w:tab w:val="left" w:pos="420"/>
        </w:tabs>
        <w:ind w:left="1418" w:hanging="1418"/>
      </w:pPr>
      <w:rPr>
        <w:rFonts w:hint="default" w:ascii="宋体" w:hAnsi="宋体" w:eastAsia="宋体" w:cs="宋体"/>
      </w:rPr>
    </w:lvl>
    <w:lvl w:ilvl="8" w:tentative="0">
      <w:start w:val="1"/>
      <w:numFmt w:val="decimalEnclosedCircleChinese"/>
      <w:lvlText w:val="%1.%2.%3.%4.%5.%6.%7.%8.%9."/>
      <w:lvlJc w:val="left"/>
      <w:pPr>
        <w:tabs>
          <w:tab w:val="left" w:pos="420"/>
        </w:tabs>
        <w:ind w:left="1558" w:hanging="1558"/>
      </w:pPr>
      <w:rPr>
        <w:rFonts w:hint="eastAsia" w:ascii="宋体" w:hAnsi="宋体" w:eastAsia="宋体" w:cs="宋体"/>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2ZWI2NzJiYjFkMTNkYTYyNDY0MzgzYTVlZGY4OTkifQ=="/>
  </w:docVars>
  <w:rsids>
    <w:rsidRoot w:val="6C9821F2"/>
    <w:rsid w:val="000646DB"/>
    <w:rsid w:val="001522B8"/>
    <w:rsid w:val="001E6BE9"/>
    <w:rsid w:val="002C09EC"/>
    <w:rsid w:val="00397398"/>
    <w:rsid w:val="00401644"/>
    <w:rsid w:val="0068108B"/>
    <w:rsid w:val="006B3167"/>
    <w:rsid w:val="00846B6C"/>
    <w:rsid w:val="009A2CC1"/>
    <w:rsid w:val="00B60F76"/>
    <w:rsid w:val="00D42B17"/>
    <w:rsid w:val="010E7F32"/>
    <w:rsid w:val="01111A37"/>
    <w:rsid w:val="012D0479"/>
    <w:rsid w:val="013543D3"/>
    <w:rsid w:val="01901BA6"/>
    <w:rsid w:val="01A22C15"/>
    <w:rsid w:val="01B44676"/>
    <w:rsid w:val="01C42B8B"/>
    <w:rsid w:val="01CC6B9A"/>
    <w:rsid w:val="01D133CB"/>
    <w:rsid w:val="01DE1773"/>
    <w:rsid w:val="01DF79C5"/>
    <w:rsid w:val="01FF1E15"/>
    <w:rsid w:val="02034773"/>
    <w:rsid w:val="02112AE7"/>
    <w:rsid w:val="026C549F"/>
    <w:rsid w:val="02867E41"/>
    <w:rsid w:val="029A0A34"/>
    <w:rsid w:val="03290669"/>
    <w:rsid w:val="03305DE4"/>
    <w:rsid w:val="03A04F32"/>
    <w:rsid w:val="03C427B0"/>
    <w:rsid w:val="04021E3A"/>
    <w:rsid w:val="04367644"/>
    <w:rsid w:val="0466617C"/>
    <w:rsid w:val="046E6DDE"/>
    <w:rsid w:val="049A5E25"/>
    <w:rsid w:val="04A95AA1"/>
    <w:rsid w:val="04A96068"/>
    <w:rsid w:val="04B862AB"/>
    <w:rsid w:val="04CC4C57"/>
    <w:rsid w:val="054B35C3"/>
    <w:rsid w:val="0556079B"/>
    <w:rsid w:val="05810D93"/>
    <w:rsid w:val="05B47DED"/>
    <w:rsid w:val="05D610DF"/>
    <w:rsid w:val="05F56C1F"/>
    <w:rsid w:val="06190FCC"/>
    <w:rsid w:val="06862B05"/>
    <w:rsid w:val="06A116ED"/>
    <w:rsid w:val="06D64663"/>
    <w:rsid w:val="06E63E57"/>
    <w:rsid w:val="06EC048E"/>
    <w:rsid w:val="06FD4130"/>
    <w:rsid w:val="0701218C"/>
    <w:rsid w:val="07A03D22"/>
    <w:rsid w:val="0802440D"/>
    <w:rsid w:val="088E7A4F"/>
    <w:rsid w:val="08AB6853"/>
    <w:rsid w:val="08F77967"/>
    <w:rsid w:val="091A12E3"/>
    <w:rsid w:val="092C7268"/>
    <w:rsid w:val="09487AC8"/>
    <w:rsid w:val="09772BD9"/>
    <w:rsid w:val="097C1F9D"/>
    <w:rsid w:val="09972933"/>
    <w:rsid w:val="099B713D"/>
    <w:rsid w:val="09B74C61"/>
    <w:rsid w:val="0A1B71FD"/>
    <w:rsid w:val="0A206DCD"/>
    <w:rsid w:val="0A314B36"/>
    <w:rsid w:val="0A8A693C"/>
    <w:rsid w:val="0AA03A6A"/>
    <w:rsid w:val="0ADD5AEB"/>
    <w:rsid w:val="0B275F39"/>
    <w:rsid w:val="0B6574A7"/>
    <w:rsid w:val="0BD135C2"/>
    <w:rsid w:val="0BE525D1"/>
    <w:rsid w:val="0C231A13"/>
    <w:rsid w:val="0C6A2581"/>
    <w:rsid w:val="0C892FBC"/>
    <w:rsid w:val="0CDF7592"/>
    <w:rsid w:val="0D156991"/>
    <w:rsid w:val="0D2C5A88"/>
    <w:rsid w:val="0D556D8D"/>
    <w:rsid w:val="0D5B4B3D"/>
    <w:rsid w:val="0D662D48"/>
    <w:rsid w:val="0D7F0C1D"/>
    <w:rsid w:val="0DA90E87"/>
    <w:rsid w:val="0DC75758"/>
    <w:rsid w:val="0DD56120"/>
    <w:rsid w:val="0DFE1126"/>
    <w:rsid w:val="0E9D6C3E"/>
    <w:rsid w:val="0EB501A0"/>
    <w:rsid w:val="0ED4462A"/>
    <w:rsid w:val="0EDD0673"/>
    <w:rsid w:val="0EE506CA"/>
    <w:rsid w:val="0EFE7BB2"/>
    <w:rsid w:val="0F5A68DD"/>
    <w:rsid w:val="0F696B20"/>
    <w:rsid w:val="0F917E25"/>
    <w:rsid w:val="0F9821AD"/>
    <w:rsid w:val="10042CED"/>
    <w:rsid w:val="10125409"/>
    <w:rsid w:val="103A1754"/>
    <w:rsid w:val="103E47A4"/>
    <w:rsid w:val="1066093D"/>
    <w:rsid w:val="109E4EEF"/>
    <w:rsid w:val="10A15684"/>
    <w:rsid w:val="111C3791"/>
    <w:rsid w:val="1158509E"/>
    <w:rsid w:val="117A3266"/>
    <w:rsid w:val="118C28FD"/>
    <w:rsid w:val="119A7465"/>
    <w:rsid w:val="11D90AEC"/>
    <w:rsid w:val="11E10E84"/>
    <w:rsid w:val="122C5CEC"/>
    <w:rsid w:val="12940A25"/>
    <w:rsid w:val="12A460C1"/>
    <w:rsid w:val="12D05EBB"/>
    <w:rsid w:val="12D9471B"/>
    <w:rsid w:val="12FB7C2C"/>
    <w:rsid w:val="13631AD8"/>
    <w:rsid w:val="13C47D79"/>
    <w:rsid w:val="13E7095B"/>
    <w:rsid w:val="13F206C2"/>
    <w:rsid w:val="140432BB"/>
    <w:rsid w:val="14117DED"/>
    <w:rsid w:val="14312E7A"/>
    <w:rsid w:val="143D057B"/>
    <w:rsid w:val="146B7D21"/>
    <w:rsid w:val="148F07D0"/>
    <w:rsid w:val="14942891"/>
    <w:rsid w:val="149A59CD"/>
    <w:rsid w:val="156E30E2"/>
    <w:rsid w:val="157A6B2B"/>
    <w:rsid w:val="1598015F"/>
    <w:rsid w:val="16207344"/>
    <w:rsid w:val="166811C8"/>
    <w:rsid w:val="17207EF7"/>
    <w:rsid w:val="172406FB"/>
    <w:rsid w:val="173F55E3"/>
    <w:rsid w:val="176977CF"/>
    <w:rsid w:val="17C52AC2"/>
    <w:rsid w:val="17CE04FC"/>
    <w:rsid w:val="17E04DCE"/>
    <w:rsid w:val="18022D5B"/>
    <w:rsid w:val="1818283A"/>
    <w:rsid w:val="185145F5"/>
    <w:rsid w:val="18697B91"/>
    <w:rsid w:val="192104D9"/>
    <w:rsid w:val="193006AE"/>
    <w:rsid w:val="194D6053"/>
    <w:rsid w:val="19644D0B"/>
    <w:rsid w:val="19656981"/>
    <w:rsid w:val="1968536A"/>
    <w:rsid w:val="197131A1"/>
    <w:rsid w:val="1977008B"/>
    <w:rsid w:val="19D141F9"/>
    <w:rsid w:val="19DA31E2"/>
    <w:rsid w:val="19E43839"/>
    <w:rsid w:val="19E94ABE"/>
    <w:rsid w:val="19ED205E"/>
    <w:rsid w:val="19FA4386"/>
    <w:rsid w:val="1A154DE8"/>
    <w:rsid w:val="1A162EE6"/>
    <w:rsid w:val="1A6A1461"/>
    <w:rsid w:val="1AF45685"/>
    <w:rsid w:val="1B3B5531"/>
    <w:rsid w:val="1BB27AA1"/>
    <w:rsid w:val="1C6E047C"/>
    <w:rsid w:val="1CC23D13"/>
    <w:rsid w:val="1CCE0971"/>
    <w:rsid w:val="1D5C5F16"/>
    <w:rsid w:val="1DDB32DF"/>
    <w:rsid w:val="1DF63C75"/>
    <w:rsid w:val="1DFE74AB"/>
    <w:rsid w:val="1E4503C2"/>
    <w:rsid w:val="1E752927"/>
    <w:rsid w:val="1E7A2AF8"/>
    <w:rsid w:val="1F262635"/>
    <w:rsid w:val="1F44775E"/>
    <w:rsid w:val="1F6A2B6C"/>
    <w:rsid w:val="1F7A173D"/>
    <w:rsid w:val="1F947BE9"/>
    <w:rsid w:val="1F9E4161"/>
    <w:rsid w:val="1FAD2A59"/>
    <w:rsid w:val="1FED7557"/>
    <w:rsid w:val="2000239B"/>
    <w:rsid w:val="2031368A"/>
    <w:rsid w:val="20700618"/>
    <w:rsid w:val="20DD2ECA"/>
    <w:rsid w:val="213F5933"/>
    <w:rsid w:val="214B077B"/>
    <w:rsid w:val="218617B3"/>
    <w:rsid w:val="218A4F91"/>
    <w:rsid w:val="225B679C"/>
    <w:rsid w:val="227C4964"/>
    <w:rsid w:val="229B303C"/>
    <w:rsid w:val="22C04851"/>
    <w:rsid w:val="22CA3922"/>
    <w:rsid w:val="22F8048F"/>
    <w:rsid w:val="2378461C"/>
    <w:rsid w:val="23A507A9"/>
    <w:rsid w:val="23C7320E"/>
    <w:rsid w:val="23CB1FEB"/>
    <w:rsid w:val="23D26D24"/>
    <w:rsid w:val="24214650"/>
    <w:rsid w:val="242E1C8E"/>
    <w:rsid w:val="24970CC5"/>
    <w:rsid w:val="24CD0B4F"/>
    <w:rsid w:val="24DB3BC4"/>
    <w:rsid w:val="25714529"/>
    <w:rsid w:val="259D3570"/>
    <w:rsid w:val="25A93A08"/>
    <w:rsid w:val="25DA3E7C"/>
    <w:rsid w:val="25FF7D86"/>
    <w:rsid w:val="261C26E6"/>
    <w:rsid w:val="261E2B7C"/>
    <w:rsid w:val="263E5A22"/>
    <w:rsid w:val="267701FE"/>
    <w:rsid w:val="26CA2142"/>
    <w:rsid w:val="26CB1A16"/>
    <w:rsid w:val="26E67BAF"/>
    <w:rsid w:val="27483067"/>
    <w:rsid w:val="27564872"/>
    <w:rsid w:val="275814FC"/>
    <w:rsid w:val="27680DB7"/>
    <w:rsid w:val="276E6FA1"/>
    <w:rsid w:val="277B51EB"/>
    <w:rsid w:val="277F78D2"/>
    <w:rsid w:val="27897907"/>
    <w:rsid w:val="27BE325B"/>
    <w:rsid w:val="27E14A76"/>
    <w:rsid w:val="27E17743"/>
    <w:rsid w:val="27E36B98"/>
    <w:rsid w:val="28116C9A"/>
    <w:rsid w:val="28213FE4"/>
    <w:rsid w:val="28335AC5"/>
    <w:rsid w:val="284B4832"/>
    <w:rsid w:val="285E6FE6"/>
    <w:rsid w:val="28AD3B2B"/>
    <w:rsid w:val="28C66939"/>
    <w:rsid w:val="28D65E03"/>
    <w:rsid w:val="294E4E1C"/>
    <w:rsid w:val="29791BFE"/>
    <w:rsid w:val="29CC71C0"/>
    <w:rsid w:val="2A1536D4"/>
    <w:rsid w:val="2A443FBA"/>
    <w:rsid w:val="2A4D7312"/>
    <w:rsid w:val="2A862335"/>
    <w:rsid w:val="2AB41009"/>
    <w:rsid w:val="2AC70EF1"/>
    <w:rsid w:val="2AC739F8"/>
    <w:rsid w:val="2ADE622C"/>
    <w:rsid w:val="2B006133"/>
    <w:rsid w:val="2B033E75"/>
    <w:rsid w:val="2B0B7D38"/>
    <w:rsid w:val="2B14398C"/>
    <w:rsid w:val="2B485D2C"/>
    <w:rsid w:val="2B6640A7"/>
    <w:rsid w:val="2B7408CF"/>
    <w:rsid w:val="2BC018BE"/>
    <w:rsid w:val="2BC76C50"/>
    <w:rsid w:val="2BD63337"/>
    <w:rsid w:val="2BE23A8A"/>
    <w:rsid w:val="2BF44DCD"/>
    <w:rsid w:val="2C4402A1"/>
    <w:rsid w:val="2C7D37B3"/>
    <w:rsid w:val="2CAE6720"/>
    <w:rsid w:val="2CDE6947"/>
    <w:rsid w:val="2D232F0A"/>
    <w:rsid w:val="2D3671FB"/>
    <w:rsid w:val="2D4349FC"/>
    <w:rsid w:val="2D7E77E3"/>
    <w:rsid w:val="2D960FD0"/>
    <w:rsid w:val="2DA82AB1"/>
    <w:rsid w:val="2DD35D80"/>
    <w:rsid w:val="2E6E3CFB"/>
    <w:rsid w:val="2EB6231D"/>
    <w:rsid w:val="2EC35DF5"/>
    <w:rsid w:val="2ECC1AD7"/>
    <w:rsid w:val="2F153EF2"/>
    <w:rsid w:val="2F1A47E9"/>
    <w:rsid w:val="2F382953"/>
    <w:rsid w:val="2F391C13"/>
    <w:rsid w:val="2F7D2448"/>
    <w:rsid w:val="2FD656B4"/>
    <w:rsid w:val="2FEB7F68"/>
    <w:rsid w:val="300F0D51"/>
    <w:rsid w:val="30197A12"/>
    <w:rsid w:val="305B3C51"/>
    <w:rsid w:val="305D4027"/>
    <w:rsid w:val="30725B66"/>
    <w:rsid w:val="309D61D2"/>
    <w:rsid w:val="30F06C49"/>
    <w:rsid w:val="314B1164"/>
    <w:rsid w:val="31593372"/>
    <w:rsid w:val="315D07EA"/>
    <w:rsid w:val="3195334D"/>
    <w:rsid w:val="319770C5"/>
    <w:rsid w:val="31B61C41"/>
    <w:rsid w:val="31C0661C"/>
    <w:rsid w:val="31EB11BF"/>
    <w:rsid w:val="324B1493"/>
    <w:rsid w:val="32CC7242"/>
    <w:rsid w:val="334943EF"/>
    <w:rsid w:val="336B6A5B"/>
    <w:rsid w:val="337E77FB"/>
    <w:rsid w:val="33B71CA0"/>
    <w:rsid w:val="33BB353F"/>
    <w:rsid w:val="33C06DA7"/>
    <w:rsid w:val="33F4195A"/>
    <w:rsid w:val="33FA2993"/>
    <w:rsid w:val="33FA4420"/>
    <w:rsid w:val="3404582F"/>
    <w:rsid w:val="345F6F07"/>
    <w:rsid w:val="347436ED"/>
    <w:rsid w:val="347C3905"/>
    <w:rsid w:val="3502780C"/>
    <w:rsid w:val="350C7DCA"/>
    <w:rsid w:val="35405834"/>
    <w:rsid w:val="35AA7D7C"/>
    <w:rsid w:val="35CB1A33"/>
    <w:rsid w:val="36064AB9"/>
    <w:rsid w:val="36121410"/>
    <w:rsid w:val="36162CAE"/>
    <w:rsid w:val="363D46DF"/>
    <w:rsid w:val="367D0F7F"/>
    <w:rsid w:val="369B31B3"/>
    <w:rsid w:val="36F34D9D"/>
    <w:rsid w:val="37CC00F0"/>
    <w:rsid w:val="37FF5685"/>
    <w:rsid w:val="38402264"/>
    <w:rsid w:val="387E0FDF"/>
    <w:rsid w:val="38B62526"/>
    <w:rsid w:val="392A3916"/>
    <w:rsid w:val="396935D0"/>
    <w:rsid w:val="396D6D0A"/>
    <w:rsid w:val="39B747A8"/>
    <w:rsid w:val="39D013C6"/>
    <w:rsid w:val="39D35D6A"/>
    <w:rsid w:val="3A0D6176"/>
    <w:rsid w:val="3A1439A9"/>
    <w:rsid w:val="3AAF547F"/>
    <w:rsid w:val="3B3F2CA7"/>
    <w:rsid w:val="3B6C15C2"/>
    <w:rsid w:val="3B8C3A12"/>
    <w:rsid w:val="3C2E4FCB"/>
    <w:rsid w:val="3C2F4ACA"/>
    <w:rsid w:val="3C4020C3"/>
    <w:rsid w:val="3C406CD7"/>
    <w:rsid w:val="3C664263"/>
    <w:rsid w:val="3C6F7F3D"/>
    <w:rsid w:val="3CC50F8A"/>
    <w:rsid w:val="3CF479A2"/>
    <w:rsid w:val="3D066225"/>
    <w:rsid w:val="3D803103"/>
    <w:rsid w:val="3E25076D"/>
    <w:rsid w:val="3E43485C"/>
    <w:rsid w:val="3E43531B"/>
    <w:rsid w:val="3E595E2E"/>
    <w:rsid w:val="3E823B0A"/>
    <w:rsid w:val="3E9D2BE3"/>
    <w:rsid w:val="3EB47508"/>
    <w:rsid w:val="3ECB49D0"/>
    <w:rsid w:val="3ED731F7"/>
    <w:rsid w:val="3F040E0B"/>
    <w:rsid w:val="3F131CAA"/>
    <w:rsid w:val="3F2F52F3"/>
    <w:rsid w:val="3F340649"/>
    <w:rsid w:val="3F43263A"/>
    <w:rsid w:val="3FB83028"/>
    <w:rsid w:val="3FDD0D7F"/>
    <w:rsid w:val="3FE92C45"/>
    <w:rsid w:val="3FFA719D"/>
    <w:rsid w:val="403B1563"/>
    <w:rsid w:val="40692574"/>
    <w:rsid w:val="40723B2C"/>
    <w:rsid w:val="408B057A"/>
    <w:rsid w:val="417C4D58"/>
    <w:rsid w:val="41801BCC"/>
    <w:rsid w:val="41A251B4"/>
    <w:rsid w:val="41C93310"/>
    <w:rsid w:val="41E9396D"/>
    <w:rsid w:val="42312C1E"/>
    <w:rsid w:val="42734FE4"/>
    <w:rsid w:val="42AE426E"/>
    <w:rsid w:val="430957E5"/>
    <w:rsid w:val="431E13F4"/>
    <w:rsid w:val="432D3908"/>
    <w:rsid w:val="432F3601"/>
    <w:rsid w:val="434D47F1"/>
    <w:rsid w:val="435968D0"/>
    <w:rsid w:val="43C535B0"/>
    <w:rsid w:val="44354C47"/>
    <w:rsid w:val="448B3415"/>
    <w:rsid w:val="44BF6C07"/>
    <w:rsid w:val="44CD30D2"/>
    <w:rsid w:val="44E05736"/>
    <w:rsid w:val="45014B29"/>
    <w:rsid w:val="455D2644"/>
    <w:rsid w:val="45643572"/>
    <w:rsid w:val="45B97F30"/>
    <w:rsid w:val="45BE6EBE"/>
    <w:rsid w:val="45E85CE9"/>
    <w:rsid w:val="46251B21"/>
    <w:rsid w:val="468A0822"/>
    <w:rsid w:val="46B40328"/>
    <w:rsid w:val="46BB0D22"/>
    <w:rsid w:val="46C620D8"/>
    <w:rsid w:val="472B238D"/>
    <w:rsid w:val="472E597E"/>
    <w:rsid w:val="47A125F4"/>
    <w:rsid w:val="47F210A1"/>
    <w:rsid w:val="482A4397"/>
    <w:rsid w:val="484D604D"/>
    <w:rsid w:val="4857556E"/>
    <w:rsid w:val="48A26623"/>
    <w:rsid w:val="48B5058D"/>
    <w:rsid w:val="48BB7EDC"/>
    <w:rsid w:val="48C02DE0"/>
    <w:rsid w:val="49090450"/>
    <w:rsid w:val="49262DB0"/>
    <w:rsid w:val="49280EB8"/>
    <w:rsid w:val="494476DB"/>
    <w:rsid w:val="4947382C"/>
    <w:rsid w:val="494F67AB"/>
    <w:rsid w:val="49520049"/>
    <w:rsid w:val="498E0956"/>
    <w:rsid w:val="49932C9F"/>
    <w:rsid w:val="49AF0FF8"/>
    <w:rsid w:val="49F10BDF"/>
    <w:rsid w:val="4A2A40AD"/>
    <w:rsid w:val="4A6C513B"/>
    <w:rsid w:val="4A7D2D0F"/>
    <w:rsid w:val="4A7D750A"/>
    <w:rsid w:val="4AC14478"/>
    <w:rsid w:val="4B5300A9"/>
    <w:rsid w:val="4B6010D5"/>
    <w:rsid w:val="4BBE3774"/>
    <w:rsid w:val="4C07336D"/>
    <w:rsid w:val="4C4A5008"/>
    <w:rsid w:val="4C761876"/>
    <w:rsid w:val="4C7F7B6F"/>
    <w:rsid w:val="4CA24E44"/>
    <w:rsid w:val="4CE4545C"/>
    <w:rsid w:val="4CE511D4"/>
    <w:rsid w:val="4D063625"/>
    <w:rsid w:val="4D221AE1"/>
    <w:rsid w:val="4D4C2BF6"/>
    <w:rsid w:val="4D59294A"/>
    <w:rsid w:val="4D8602C2"/>
    <w:rsid w:val="4D8E7CE0"/>
    <w:rsid w:val="4DC64B9C"/>
    <w:rsid w:val="4DD0778F"/>
    <w:rsid w:val="4DFE6328"/>
    <w:rsid w:val="4E094026"/>
    <w:rsid w:val="4E2875CB"/>
    <w:rsid w:val="4E2B1E94"/>
    <w:rsid w:val="4E3917D8"/>
    <w:rsid w:val="4E8547F9"/>
    <w:rsid w:val="4EDF237F"/>
    <w:rsid w:val="4EEB0439"/>
    <w:rsid w:val="4F2664F9"/>
    <w:rsid w:val="4F701229"/>
    <w:rsid w:val="4F980F1A"/>
    <w:rsid w:val="4FE32667"/>
    <w:rsid w:val="501E3245"/>
    <w:rsid w:val="502764F4"/>
    <w:rsid w:val="506348EA"/>
    <w:rsid w:val="507C1E50"/>
    <w:rsid w:val="50D852D8"/>
    <w:rsid w:val="50EE7A22"/>
    <w:rsid w:val="510850A0"/>
    <w:rsid w:val="5145335E"/>
    <w:rsid w:val="5169643D"/>
    <w:rsid w:val="51740B8E"/>
    <w:rsid w:val="51C6271D"/>
    <w:rsid w:val="52143E14"/>
    <w:rsid w:val="52473FA8"/>
    <w:rsid w:val="52B07D66"/>
    <w:rsid w:val="52B72059"/>
    <w:rsid w:val="52FB1C9B"/>
    <w:rsid w:val="530355D2"/>
    <w:rsid w:val="5356410F"/>
    <w:rsid w:val="53586C66"/>
    <w:rsid w:val="54091C4C"/>
    <w:rsid w:val="5433575F"/>
    <w:rsid w:val="54444A33"/>
    <w:rsid w:val="548F2152"/>
    <w:rsid w:val="54EF499E"/>
    <w:rsid w:val="558427FF"/>
    <w:rsid w:val="558D53A8"/>
    <w:rsid w:val="55E77D6B"/>
    <w:rsid w:val="56212803"/>
    <w:rsid w:val="565D002E"/>
    <w:rsid w:val="56912051"/>
    <w:rsid w:val="56C03229"/>
    <w:rsid w:val="56C74A68"/>
    <w:rsid w:val="56CF068E"/>
    <w:rsid w:val="56D26326"/>
    <w:rsid w:val="57622C97"/>
    <w:rsid w:val="578D049F"/>
    <w:rsid w:val="57E41A4C"/>
    <w:rsid w:val="5814296E"/>
    <w:rsid w:val="581D5CC6"/>
    <w:rsid w:val="5827444F"/>
    <w:rsid w:val="58293C09"/>
    <w:rsid w:val="586C535A"/>
    <w:rsid w:val="589E2AD0"/>
    <w:rsid w:val="58BE1257"/>
    <w:rsid w:val="58EB7B73"/>
    <w:rsid w:val="5923730C"/>
    <w:rsid w:val="59605E6B"/>
    <w:rsid w:val="59B01F6B"/>
    <w:rsid w:val="59E00D5A"/>
    <w:rsid w:val="59E22D24"/>
    <w:rsid w:val="5A123341"/>
    <w:rsid w:val="5A3A490E"/>
    <w:rsid w:val="5A4F7C8D"/>
    <w:rsid w:val="5A5B03E6"/>
    <w:rsid w:val="5A5F6122"/>
    <w:rsid w:val="5A655703"/>
    <w:rsid w:val="5AB50438"/>
    <w:rsid w:val="5AC71F19"/>
    <w:rsid w:val="5AF80325"/>
    <w:rsid w:val="5B1911A2"/>
    <w:rsid w:val="5B1B3607"/>
    <w:rsid w:val="5B7678F9"/>
    <w:rsid w:val="5B914A01"/>
    <w:rsid w:val="5B925255"/>
    <w:rsid w:val="5BB408B2"/>
    <w:rsid w:val="5BBD246D"/>
    <w:rsid w:val="5C06742D"/>
    <w:rsid w:val="5CDA23D8"/>
    <w:rsid w:val="5CDB330A"/>
    <w:rsid w:val="5D5C19F4"/>
    <w:rsid w:val="5D602CB1"/>
    <w:rsid w:val="5DDE42E8"/>
    <w:rsid w:val="5DF9063C"/>
    <w:rsid w:val="5E033269"/>
    <w:rsid w:val="5E473A9D"/>
    <w:rsid w:val="5E4D73E2"/>
    <w:rsid w:val="5E702B23"/>
    <w:rsid w:val="5E875C48"/>
    <w:rsid w:val="5E912F6A"/>
    <w:rsid w:val="5F211C0A"/>
    <w:rsid w:val="5F9D6038"/>
    <w:rsid w:val="5FC829BC"/>
    <w:rsid w:val="5FE14364"/>
    <w:rsid w:val="5FF4730D"/>
    <w:rsid w:val="5FF7504F"/>
    <w:rsid w:val="605424A1"/>
    <w:rsid w:val="60820DBC"/>
    <w:rsid w:val="60AB18FF"/>
    <w:rsid w:val="617A5F38"/>
    <w:rsid w:val="61910A59"/>
    <w:rsid w:val="61F664CA"/>
    <w:rsid w:val="62562501"/>
    <w:rsid w:val="62817C7E"/>
    <w:rsid w:val="630C11C1"/>
    <w:rsid w:val="631877B6"/>
    <w:rsid w:val="63352116"/>
    <w:rsid w:val="633A3BD0"/>
    <w:rsid w:val="636E5628"/>
    <w:rsid w:val="63D47B81"/>
    <w:rsid w:val="641023D2"/>
    <w:rsid w:val="641F0A79"/>
    <w:rsid w:val="642A59F3"/>
    <w:rsid w:val="64842F74"/>
    <w:rsid w:val="651947B7"/>
    <w:rsid w:val="651C5DED"/>
    <w:rsid w:val="652D3191"/>
    <w:rsid w:val="65717652"/>
    <w:rsid w:val="65754490"/>
    <w:rsid w:val="65984942"/>
    <w:rsid w:val="65A138C0"/>
    <w:rsid w:val="663E7534"/>
    <w:rsid w:val="663F505A"/>
    <w:rsid w:val="665172E1"/>
    <w:rsid w:val="66522FDF"/>
    <w:rsid w:val="667C005C"/>
    <w:rsid w:val="668F1B3D"/>
    <w:rsid w:val="66D659BE"/>
    <w:rsid w:val="66D81B97"/>
    <w:rsid w:val="67002306"/>
    <w:rsid w:val="67035D08"/>
    <w:rsid w:val="67283D40"/>
    <w:rsid w:val="673B5830"/>
    <w:rsid w:val="67564D51"/>
    <w:rsid w:val="67802E02"/>
    <w:rsid w:val="678E6299"/>
    <w:rsid w:val="685A7E81"/>
    <w:rsid w:val="68743B8F"/>
    <w:rsid w:val="68EF74A9"/>
    <w:rsid w:val="68F64907"/>
    <w:rsid w:val="69912070"/>
    <w:rsid w:val="69A001B8"/>
    <w:rsid w:val="69AE677E"/>
    <w:rsid w:val="6A876FCF"/>
    <w:rsid w:val="6A9260A0"/>
    <w:rsid w:val="6AE66223"/>
    <w:rsid w:val="6B016D82"/>
    <w:rsid w:val="6B0170B0"/>
    <w:rsid w:val="6B252A70"/>
    <w:rsid w:val="6B3D5FE7"/>
    <w:rsid w:val="6B4648B5"/>
    <w:rsid w:val="6B473025"/>
    <w:rsid w:val="6B7872AB"/>
    <w:rsid w:val="6BAC13E3"/>
    <w:rsid w:val="6BB92CCE"/>
    <w:rsid w:val="6BDD21F6"/>
    <w:rsid w:val="6BDD379A"/>
    <w:rsid w:val="6C543D71"/>
    <w:rsid w:val="6C9821F2"/>
    <w:rsid w:val="6CEC4A26"/>
    <w:rsid w:val="6D255963"/>
    <w:rsid w:val="6D2906FD"/>
    <w:rsid w:val="6D6D06FE"/>
    <w:rsid w:val="6DB922A2"/>
    <w:rsid w:val="6DEA32AB"/>
    <w:rsid w:val="6E3631E6"/>
    <w:rsid w:val="6E414065"/>
    <w:rsid w:val="6E5A2719"/>
    <w:rsid w:val="6E5F44EB"/>
    <w:rsid w:val="6EB55063"/>
    <w:rsid w:val="6EC66318"/>
    <w:rsid w:val="6ED21161"/>
    <w:rsid w:val="6EF6250A"/>
    <w:rsid w:val="6EFC1E9E"/>
    <w:rsid w:val="6F0B4E4A"/>
    <w:rsid w:val="6F103A37"/>
    <w:rsid w:val="6F134631"/>
    <w:rsid w:val="6FBB1BF5"/>
    <w:rsid w:val="6FC54822"/>
    <w:rsid w:val="6FEB61A6"/>
    <w:rsid w:val="6FF22D39"/>
    <w:rsid w:val="705636CC"/>
    <w:rsid w:val="70711BDA"/>
    <w:rsid w:val="70857651"/>
    <w:rsid w:val="70A64AA1"/>
    <w:rsid w:val="70AB532D"/>
    <w:rsid w:val="70CD7E32"/>
    <w:rsid w:val="715220E5"/>
    <w:rsid w:val="719426FE"/>
    <w:rsid w:val="71CD3E62"/>
    <w:rsid w:val="71E74F23"/>
    <w:rsid w:val="723E2669"/>
    <w:rsid w:val="72691DDC"/>
    <w:rsid w:val="729A01E8"/>
    <w:rsid w:val="72A746B3"/>
    <w:rsid w:val="734343DB"/>
    <w:rsid w:val="73637507"/>
    <w:rsid w:val="737C2326"/>
    <w:rsid w:val="739A0C0C"/>
    <w:rsid w:val="73D144A6"/>
    <w:rsid w:val="73FD06D4"/>
    <w:rsid w:val="746C5BB4"/>
    <w:rsid w:val="7492094B"/>
    <w:rsid w:val="74A278FF"/>
    <w:rsid w:val="755B0018"/>
    <w:rsid w:val="755B73A5"/>
    <w:rsid w:val="756D5494"/>
    <w:rsid w:val="75AB6464"/>
    <w:rsid w:val="75E310C9"/>
    <w:rsid w:val="75F611F8"/>
    <w:rsid w:val="763D5565"/>
    <w:rsid w:val="76470D37"/>
    <w:rsid w:val="76677A3F"/>
    <w:rsid w:val="766B2E55"/>
    <w:rsid w:val="768F5B89"/>
    <w:rsid w:val="76B15B00"/>
    <w:rsid w:val="773F793B"/>
    <w:rsid w:val="775672CA"/>
    <w:rsid w:val="77704155"/>
    <w:rsid w:val="77CB499F"/>
    <w:rsid w:val="77FB4198"/>
    <w:rsid w:val="78663346"/>
    <w:rsid w:val="786A41B8"/>
    <w:rsid w:val="788F1E71"/>
    <w:rsid w:val="78C7160B"/>
    <w:rsid w:val="78FD6DDA"/>
    <w:rsid w:val="7925164C"/>
    <w:rsid w:val="79636111"/>
    <w:rsid w:val="798E037A"/>
    <w:rsid w:val="79981484"/>
    <w:rsid w:val="79E61E5F"/>
    <w:rsid w:val="7A434CC1"/>
    <w:rsid w:val="7A57076C"/>
    <w:rsid w:val="7AB23BF5"/>
    <w:rsid w:val="7AD65B35"/>
    <w:rsid w:val="7AF40C35"/>
    <w:rsid w:val="7B5B428C"/>
    <w:rsid w:val="7B762E74"/>
    <w:rsid w:val="7B912C18"/>
    <w:rsid w:val="7BF2506D"/>
    <w:rsid w:val="7C413482"/>
    <w:rsid w:val="7C727FDC"/>
    <w:rsid w:val="7C7A4906"/>
    <w:rsid w:val="7C9712F4"/>
    <w:rsid w:val="7CEF1130"/>
    <w:rsid w:val="7D10293D"/>
    <w:rsid w:val="7D1C7A4B"/>
    <w:rsid w:val="7D272D32"/>
    <w:rsid w:val="7D3134F6"/>
    <w:rsid w:val="7D641B1E"/>
    <w:rsid w:val="7D883641"/>
    <w:rsid w:val="7DA4016C"/>
    <w:rsid w:val="7DD47E11"/>
    <w:rsid w:val="7E3F7E95"/>
    <w:rsid w:val="7E6B47E6"/>
    <w:rsid w:val="7E9360F3"/>
    <w:rsid w:val="7EA77217"/>
    <w:rsid w:val="7EEA1BAF"/>
    <w:rsid w:val="7EEB1721"/>
    <w:rsid w:val="7EEF71C5"/>
    <w:rsid w:val="7F363046"/>
    <w:rsid w:val="7F385010"/>
    <w:rsid w:val="7F4749E4"/>
    <w:rsid w:val="7F630D7E"/>
    <w:rsid w:val="7F9A1968"/>
    <w:rsid w:val="7FA75CF2"/>
    <w:rsid w:val="7FB1091F"/>
    <w:rsid w:val="7FB23E0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nhideWhenUsed="0" w:uiPriority="1"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qFormat="1"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autoRedefine/>
    <w:qFormat/>
    <w:uiPriority w:val="0"/>
    <w:pPr>
      <w:keepNext/>
      <w:keepLines/>
      <w:spacing w:before="340" w:after="330" w:line="576" w:lineRule="auto"/>
      <w:outlineLvl w:val="0"/>
    </w:pPr>
    <w:rPr>
      <w:rFonts w:eastAsia="仿宋"/>
      <w:b/>
      <w:kern w:val="44"/>
      <w:sz w:val="44"/>
    </w:rPr>
  </w:style>
  <w:style w:type="paragraph" w:styleId="4">
    <w:name w:val="heading 2"/>
    <w:basedOn w:val="1"/>
    <w:next w:val="1"/>
    <w:unhideWhenUsed/>
    <w:qFormat/>
    <w:uiPriority w:val="9"/>
    <w:pPr>
      <w:keepNext/>
      <w:keepLines/>
      <w:numPr>
        <w:ilvl w:val="1"/>
        <w:numId w:val="1"/>
      </w:numPr>
      <w:tabs>
        <w:tab w:val="left" w:pos="0"/>
      </w:tabs>
      <w:outlineLvl w:val="1"/>
    </w:pPr>
    <w:rPr>
      <w:rFonts w:ascii="CMRID" w:hAnsi="CMRID" w:eastAsia="CMRID"/>
      <w:b/>
    </w:rPr>
  </w:style>
  <w:style w:type="paragraph" w:styleId="5">
    <w:name w:val="heading 3"/>
    <w:basedOn w:val="1"/>
    <w:next w:val="1"/>
    <w:autoRedefine/>
    <w:qFormat/>
    <w:uiPriority w:val="1"/>
    <w:pPr>
      <w:spacing w:before="684"/>
      <w:ind w:left="2560" w:right="1439"/>
      <w:outlineLvl w:val="2"/>
    </w:pPr>
    <w:rPr>
      <w:rFonts w:ascii="宋体" w:hAnsi="宋体" w:eastAsia="宋体" w:cs="宋体"/>
      <w:b/>
      <w:bCs/>
      <w:sz w:val="30"/>
      <w:szCs w:val="30"/>
      <w:u w:val="single" w:color="000000"/>
      <w:lang w:val="zh-CN" w:bidi="zh-CN"/>
    </w:rPr>
  </w:style>
  <w:style w:type="paragraph" w:styleId="6">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7">
    <w:name w:val="Default Paragraph Font"/>
    <w:autoRedefine/>
    <w:semiHidden/>
    <w:unhideWhenUsed/>
    <w:qFormat/>
    <w:uiPriority w:val="1"/>
  </w:style>
  <w:style w:type="table" w:default="1" w:styleId="16">
    <w:name w:val="Normal Table"/>
    <w:autoRedefine/>
    <w:semiHidden/>
    <w:unhideWhenUsed/>
    <w:qFormat/>
    <w:uiPriority w:val="99"/>
    <w:tblPr>
      <w:tblCellMar>
        <w:top w:w="0" w:type="dxa"/>
        <w:left w:w="108" w:type="dxa"/>
        <w:bottom w:w="0" w:type="dxa"/>
        <w:right w:w="108" w:type="dxa"/>
      </w:tblCellMar>
    </w:tblPr>
  </w:style>
  <w:style w:type="paragraph" w:customStyle="1" w:styleId="2">
    <w:name w:val="样式 正文缩进正文缩进2正文缩进 Char Char正文缩进 Char Char Char Char正文缩进 Char ..."/>
    <w:autoRedefine/>
    <w:qFormat/>
    <w:uiPriority w:val="0"/>
    <w:pPr>
      <w:widowControl w:val="0"/>
      <w:spacing w:line="360" w:lineRule="auto"/>
      <w:ind w:firstLine="200" w:firstLineChars="200"/>
      <w:jc w:val="both"/>
    </w:pPr>
    <w:rPr>
      <w:rFonts w:ascii="Times New Roman" w:hAnsi="Times New Roman" w:eastAsia="宋体" w:cs="宋体"/>
      <w:kern w:val="2"/>
      <w:sz w:val="24"/>
      <w:szCs w:val="24"/>
      <w:lang w:val="en-US" w:eastAsia="zh-CN" w:bidi="ar-SA"/>
    </w:rPr>
  </w:style>
  <w:style w:type="paragraph" w:styleId="7">
    <w:name w:val="Normal Indent"/>
    <w:basedOn w:val="1"/>
    <w:next w:val="8"/>
    <w:autoRedefine/>
    <w:qFormat/>
    <w:uiPriority w:val="0"/>
    <w:rPr>
      <w:rFonts w:ascii="Calibri" w:hAnsi="Calibri" w:eastAsia="宋体" w:cs="黑体"/>
    </w:rPr>
  </w:style>
  <w:style w:type="paragraph" w:styleId="8">
    <w:name w:val="index 9"/>
    <w:basedOn w:val="1"/>
    <w:next w:val="1"/>
    <w:autoRedefine/>
    <w:qFormat/>
    <w:uiPriority w:val="0"/>
    <w:pPr>
      <w:ind w:left="3360"/>
    </w:pPr>
  </w:style>
  <w:style w:type="paragraph" w:styleId="9">
    <w:name w:val="Body Text"/>
    <w:basedOn w:val="1"/>
    <w:next w:val="1"/>
    <w:autoRedefine/>
    <w:qFormat/>
    <w:uiPriority w:val="1"/>
    <w:rPr>
      <w:rFonts w:ascii="宋体" w:hAnsi="宋体" w:eastAsia="宋体" w:cs="宋体"/>
      <w:szCs w:val="21"/>
      <w:lang w:val="zh-CN" w:bidi="zh-CN"/>
    </w:rPr>
  </w:style>
  <w:style w:type="paragraph" w:styleId="10">
    <w:name w:val="footer"/>
    <w:basedOn w:val="1"/>
    <w:autoRedefine/>
    <w:qFormat/>
    <w:uiPriority w:val="0"/>
    <w:pPr>
      <w:tabs>
        <w:tab w:val="center" w:pos="4153"/>
        <w:tab w:val="right" w:pos="8306"/>
      </w:tabs>
      <w:snapToGrid w:val="0"/>
      <w:jc w:val="left"/>
    </w:pPr>
    <w:rPr>
      <w:sz w:val="18"/>
    </w:rPr>
  </w:style>
  <w:style w:type="paragraph" w:styleId="11">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toc 1"/>
    <w:basedOn w:val="1"/>
    <w:next w:val="1"/>
    <w:autoRedefine/>
    <w:qFormat/>
    <w:uiPriority w:val="1"/>
    <w:pPr>
      <w:spacing w:before="369"/>
      <w:ind w:left="120"/>
    </w:pPr>
    <w:rPr>
      <w:rFonts w:ascii="宋体" w:hAnsi="宋体" w:eastAsia="宋体" w:cs="宋体"/>
      <w:b/>
      <w:bCs/>
      <w:sz w:val="28"/>
      <w:szCs w:val="28"/>
      <w:lang w:val="zh-CN" w:bidi="zh-CN"/>
    </w:rPr>
  </w:style>
  <w:style w:type="paragraph" w:styleId="13">
    <w:name w:val="Subtitle"/>
    <w:basedOn w:val="1"/>
    <w:next w:val="1"/>
    <w:qFormat/>
    <w:uiPriority w:val="0"/>
    <w:pPr>
      <w:spacing w:before="240" w:after="60" w:line="312" w:lineRule="auto"/>
      <w:jc w:val="center"/>
      <w:outlineLvl w:val="1"/>
    </w:pPr>
    <w:rPr>
      <w:rFonts w:ascii="Cambria" w:hAnsi="Cambria"/>
      <w:b/>
      <w:bCs/>
      <w:kern w:val="28"/>
      <w:sz w:val="32"/>
      <w:szCs w:val="32"/>
    </w:rPr>
  </w:style>
  <w:style w:type="paragraph" w:styleId="14">
    <w:name w:val="Normal (Web)"/>
    <w:basedOn w:val="1"/>
    <w:autoRedefine/>
    <w:qFormat/>
    <w:uiPriority w:val="0"/>
    <w:pPr>
      <w:spacing w:beforeAutospacing="1" w:afterAutospacing="1"/>
      <w:jc w:val="left"/>
    </w:pPr>
    <w:rPr>
      <w:rFonts w:cs="Times New Roman"/>
      <w:kern w:val="0"/>
      <w:sz w:val="24"/>
    </w:rPr>
  </w:style>
  <w:style w:type="paragraph" w:styleId="15">
    <w:name w:val="Body Text First Indent"/>
    <w:basedOn w:val="9"/>
    <w:qFormat/>
    <w:uiPriority w:val="99"/>
    <w:pPr>
      <w:ind w:firstLine="420" w:firstLineChars="100"/>
    </w:pPr>
  </w:style>
  <w:style w:type="character" w:styleId="18">
    <w:name w:val="Strong"/>
    <w:basedOn w:val="17"/>
    <w:autoRedefine/>
    <w:qFormat/>
    <w:uiPriority w:val="0"/>
    <w:rPr>
      <w:b/>
    </w:rPr>
  </w:style>
  <w:style w:type="character" w:styleId="19">
    <w:name w:val="Hyperlink"/>
    <w:basedOn w:val="17"/>
    <w:qFormat/>
    <w:uiPriority w:val="0"/>
    <w:rPr>
      <w:color w:val="0000FF"/>
      <w:u w:val="single"/>
    </w:rPr>
  </w:style>
  <w:style w:type="paragraph" w:customStyle="1" w:styleId="20">
    <w:name w:val="目录 53"/>
    <w:next w:val="1"/>
    <w:autoRedefine/>
    <w:qFormat/>
    <w:uiPriority w:val="0"/>
    <w:pPr>
      <w:wordWrap w:val="0"/>
      <w:ind w:left="1275"/>
      <w:jc w:val="both"/>
    </w:pPr>
    <w:rPr>
      <w:rFonts w:ascii="Calibri" w:hAnsi="Calibri" w:eastAsia="宋体" w:cs="Times New Roman"/>
      <w:sz w:val="21"/>
      <w:lang w:val="en-US" w:eastAsia="zh-CN" w:bidi="ar-SA"/>
    </w:rPr>
  </w:style>
  <w:style w:type="paragraph" w:customStyle="1" w:styleId="21">
    <w:name w:val="Table Paragraph"/>
    <w:basedOn w:val="1"/>
    <w:autoRedefine/>
    <w:qFormat/>
    <w:uiPriority w:val="1"/>
    <w:rPr>
      <w:rFonts w:ascii="宋体" w:hAnsi="宋体" w:eastAsia="宋体" w:cs="宋体"/>
      <w:lang w:val="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5</Pages>
  <Words>1862</Words>
  <Characters>2074</Characters>
  <Lines>12</Lines>
  <Paragraphs>3</Paragraphs>
  <TotalTime>1</TotalTime>
  <ScaleCrop>false</ScaleCrop>
  <LinksUpToDate>false</LinksUpToDate>
  <CharactersWithSpaces>2099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2022-10-24T10:39:00Z</dcterms:created>
  <dc:creator>不规今日</dc:creator>
  <cp:lastModifiedBy>文子~Yan</cp:lastModifiedBy>
  <cp:lastPrinted>2025-04-25T03:01:00Z</cp:lastPrinted>
  <dcterms:modified xsi:type="dcterms:W3CDTF">2025-12-19T09:13:22Z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B7DAA72787DE4CC5922590FAAD7384EF_13</vt:lpwstr>
  </property>
  <property fmtid="{D5CDD505-2E9C-101B-9397-08002B2CF9AE}" pid="4" name="KSOTemplateDocerSaveRecord">
    <vt:lpwstr>eyJoZGlkIjoiZWRhNDgxYTI0ZThhMzA5NmIzZjBhNWEyZDE0ODA1ZmYiLCJ1c2VySWQiOiI3MDEzNjg1ODEifQ==</vt:lpwstr>
  </property>
</Properties>
</file>