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470A">
      <w:pPr>
        <w:jc w:val="center"/>
        <w:outlineLvl w:val="9"/>
        <w:rPr>
          <w:rFonts w:hint="eastAsia" w:asciiTheme="minorEastAsia" w:hAnsiTheme="minorEastAsia" w:eastAsiaTheme="minorEastAsia" w:cstheme="minorEastAsia"/>
          <w:b/>
          <w:bCs/>
          <w:color w:val="auto"/>
          <w:spacing w:val="80"/>
          <w:sz w:val="112"/>
          <w:szCs w:val="112"/>
          <w:highlight w:val="none"/>
        </w:rPr>
      </w:pPr>
      <w:bookmarkStart w:id="0" w:name="_Toc16020"/>
      <w:bookmarkStart w:id="1" w:name="_Toc22185"/>
    </w:p>
    <w:p w14:paraId="496FD393">
      <w:pPr>
        <w:jc w:val="center"/>
        <w:outlineLvl w:val="0"/>
        <w:rPr>
          <w:rFonts w:hint="eastAsia" w:asciiTheme="minorEastAsia" w:hAnsiTheme="minorEastAsia" w:eastAsiaTheme="minorEastAsia" w:cstheme="minorEastAsia"/>
          <w:color w:val="auto"/>
          <w:spacing w:val="80"/>
          <w:sz w:val="112"/>
          <w:szCs w:val="112"/>
          <w:highlight w:val="none"/>
        </w:rPr>
      </w:pPr>
      <w:bookmarkStart w:id="2" w:name="_Toc21083"/>
      <w:r>
        <w:rPr>
          <w:rFonts w:hint="eastAsia" w:asciiTheme="minorEastAsia" w:hAnsiTheme="minorEastAsia" w:eastAsiaTheme="minorEastAsia" w:cstheme="minorEastAsia"/>
          <w:b/>
          <w:bCs/>
          <w:color w:val="auto"/>
          <w:spacing w:val="80"/>
          <w:sz w:val="112"/>
          <w:szCs w:val="112"/>
          <w:highlight w:val="none"/>
        </w:rPr>
        <w:t>竞争性磋商文件</w:t>
      </w:r>
      <w:bookmarkEnd w:id="0"/>
      <w:bookmarkEnd w:id="1"/>
      <w:bookmarkEnd w:id="2"/>
    </w:p>
    <w:p w14:paraId="3A9E9BDF">
      <w:pPr>
        <w:spacing w:line="700" w:lineRule="exact"/>
        <w:jc w:val="center"/>
        <w:rPr>
          <w:rFonts w:hint="eastAsia" w:asciiTheme="minorEastAsia" w:hAnsiTheme="minorEastAsia" w:eastAsiaTheme="minorEastAsia" w:cstheme="minorEastAsia"/>
          <w:color w:val="auto"/>
          <w:sz w:val="32"/>
          <w:highlight w:val="none"/>
        </w:rPr>
      </w:pPr>
    </w:p>
    <w:p w14:paraId="40756200">
      <w:pPr>
        <w:pStyle w:val="14"/>
        <w:rPr>
          <w:rFonts w:hint="eastAsia" w:asciiTheme="minorEastAsia" w:hAnsiTheme="minorEastAsia" w:eastAsiaTheme="minorEastAsia" w:cstheme="minorEastAsia"/>
          <w:color w:val="auto"/>
          <w:highlight w:val="none"/>
        </w:rPr>
      </w:pPr>
    </w:p>
    <w:p w14:paraId="0A426A48">
      <w:pPr>
        <w:pStyle w:val="14"/>
        <w:rPr>
          <w:rFonts w:hint="eastAsia" w:asciiTheme="minorEastAsia" w:hAnsiTheme="minorEastAsia" w:eastAsiaTheme="minorEastAsia" w:cstheme="minorEastAsia"/>
          <w:color w:val="auto"/>
          <w:sz w:val="32"/>
          <w:highlight w:val="none"/>
        </w:rPr>
      </w:pPr>
    </w:p>
    <w:p w14:paraId="351F0418">
      <w:pPr>
        <w:rPr>
          <w:rFonts w:hint="eastAsia" w:asciiTheme="minorEastAsia" w:hAnsiTheme="minorEastAsia" w:eastAsiaTheme="minorEastAsia" w:cstheme="minorEastAsia"/>
          <w:color w:val="auto"/>
          <w:highlight w:val="none"/>
        </w:rPr>
      </w:pPr>
    </w:p>
    <w:p w14:paraId="3E363965">
      <w:pPr>
        <w:spacing w:line="700" w:lineRule="exact"/>
        <w:jc w:val="center"/>
        <w:rPr>
          <w:rFonts w:hint="eastAsia" w:asciiTheme="minorEastAsia" w:hAnsiTheme="minorEastAsia" w:eastAsiaTheme="minorEastAsia" w:cstheme="minorEastAsia"/>
          <w:color w:val="auto"/>
          <w:sz w:val="32"/>
          <w:highlight w:val="none"/>
        </w:rPr>
      </w:pPr>
    </w:p>
    <w:p w14:paraId="1DE2A3AE">
      <w:pPr>
        <w:pStyle w:val="14"/>
        <w:rPr>
          <w:rFonts w:hint="eastAsia" w:asciiTheme="minorEastAsia" w:hAnsiTheme="minorEastAsia" w:eastAsiaTheme="minorEastAsia" w:cstheme="minorEastAsia"/>
          <w:color w:val="auto"/>
          <w:highlight w:val="none"/>
        </w:rPr>
      </w:pPr>
    </w:p>
    <w:p w14:paraId="643340ED">
      <w:pPr>
        <w:spacing w:line="480" w:lineRule="auto"/>
        <w:ind w:firstLine="643" w:firstLineChars="200"/>
        <w:jc w:val="both"/>
        <w:outlineLvl w:val="0"/>
        <w:rPr>
          <w:rFonts w:hint="default" w:asciiTheme="minorEastAsia" w:hAnsiTheme="minorEastAsia" w:eastAsiaTheme="minorEastAsia" w:cstheme="minorEastAsia"/>
          <w:b/>
          <w:color w:val="auto"/>
          <w:sz w:val="32"/>
          <w:szCs w:val="32"/>
          <w:highlight w:val="none"/>
          <w:lang w:val="en-US" w:eastAsia="zh-CN"/>
        </w:rPr>
      </w:pPr>
      <w:bookmarkStart w:id="3" w:name="_Toc26900"/>
      <w:bookmarkStart w:id="4" w:name="_Toc27726"/>
      <w:bookmarkStart w:id="5" w:name="_Toc14589"/>
      <w:r>
        <w:rPr>
          <w:rFonts w:hint="eastAsia" w:asciiTheme="minorEastAsia" w:hAnsiTheme="minorEastAsia" w:eastAsiaTheme="minorEastAsia" w:cstheme="minorEastAsia"/>
          <w:b/>
          <w:bCs/>
          <w:color w:val="auto"/>
          <w:sz w:val="32"/>
          <w:szCs w:val="32"/>
          <w:highlight w:val="none"/>
        </w:rPr>
        <w:t>采购文件编</w:t>
      </w:r>
      <w:r>
        <w:rPr>
          <w:rFonts w:hint="eastAsia" w:asciiTheme="minorEastAsia" w:hAnsiTheme="minorEastAsia" w:eastAsiaTheme="minorEastAsia" w:cstheme="minorEastAsia"/>
          <w:b/>
          <w:color w:val="auto"/>
          <w:sz w:val="32"/>
          <w:szCs w:val="32"/>
          <w:highlight w:val="none"/>
        </w:rPr>
        <w:t>号：</w:t>
      </w:r>
      <w:r>
        <w:rPr>
          <w:rFonts w:hint="eastAsia" w:asciiTheme="minorEastAsia" w:hAnsiTheme="minorEastAsia" w:eastAsiaTheme="minorEastAsia" w:cstheme="minorEastAsia"/>
          <w:b/>
          <w:color w:val="auto"/>
          <w:sz w:val="32"/>
          <w:szCs w:val="32"/>
          <w:highlight w:val="none"/>
          <w:lang w:val="en-US" w:eastAsia="zh-CN"/>
        </w:rPr>
        <w:t>CQDYC</w:t>
      </w:r>
      <w:r>
        <w:rPr>
          <w:rFonts w:hint="eastAsia" w:asciiTheme="minorEastAsia" w:hAnsiTheme="minorEastAsia" w:eastAsiaTheme="minorEastAsia" w:cstheme="minorEastAsia"/>
          <w:b/>
          <w:color w:val="auto"/>
          <w:sz w:val="32"/>
          <w:szCs w:val="32"/>
          <w:highlight w:val="none"/>
        </w:rPr>
        <w:t>-202</w:t>
      </w:r>
      <w:r>
        <w:rPr>
          <w:rFonts w:hint="eastAsia" w:asciiTheme="minorEastAsia" w:hAnsiTheme="minorEastAsia" w:eastAsiaTheme="minorEastAsia" w:cstheme="minorEastAsia"/>
          <w:b/>
          <w:color w:val="auto"/>
          <w:sz w:val="32"/>
          <w:szCs w:val="32"/>
          <w:highlight w:val="none"/>
          <w:lang w:val="en-US" w:eastAsia="zh-CN"/>
        </w:rPr>
        <w:t>6</w:t>
      </w:r>
      <w:r>
        <w:rPr>
          <w:rFonts w:hint="eastAsia" w:asciiTheme="minorEastAsia" w:hAnsiTheme="minorEastAsia" w:eastAsiaTheme="minorEastAsia" w:cstheme="minorEastAsia"/>
          <w:b/>
          <w:color w:val="auto"/>
          <w:sz w:val="32"/>
          <w:szCs w:val="32"/>
          <w:highlight w:val="none"/>
        </w:rPr>
        <w:t>-</w:t>
      </w:r>
      <w:bookmarkEnd w:id="3"/>
      <w:bookmarkEnd w:id="4"/>
      <w:bookmarkEnd w:id="5"/>
      <w:bookmarkStart w:id="6" w:name="_Toc15579"/>
      <w:bookmarkStart w:id="7" w:name="_Toc10012"/>
      <w:r>
        <w:rPr>
          <w:rFonts w:hint="eastAsia" w:asciiTheme="minorEastAsia" w:hAnsiTheme="minorEastAsia" w:eastAsiaTheme="minorEastAsia" w:cstheme="minorEastAsia"/>
          <w:b/>
          <w:color w:val="auto"/>
          <w:sz w:val="32"/>
          <w:szCs w:val="32"/>
          <w:highlight w:val="none"/>
          <w:lang w:val="en-US" w:eastAsia="zh-CN"/>
        </w:rPr>
        <w:t>0701</w:t>
      </w:r>
    </w:p>
    <w:bookmarkEnd w:id="6"/>
    <w:bookmarkEnd w:id="7"/>
    <w:p w14:paraId="051ABAD0">
      <w:pPr>
        <w:pStyle w:val="14"/>
        <w:spacing w:line="480" w:lineRule="auto"/>
        <w:ind w:firstLine="643" w:firstLineChars="200"/>
        <w:jc w:val="both"/>
        <w:rPr>
          <w:rFonts w:hint="eastAsia" w:asciiTheme="minorEastAsia" w:hAnsiTheme="minorEastAsia" w:eastAsiaTheme="minorEastAsia" w:cstheme="minorEastAsia"/>
          <w:b/>
          <w:color w:val="auto"/>
          <w:spacing w:val="-23"/>
          <w:w w:val="90"/>
          <w:sz w:val="32"/>
          <w:szCs w:val="32"/>
          <w:highlight w:val="none"/>
        </w:rPr>
      </w:pPr>
      <w:bookmarkStart w:id="8" w:name="_Toc10781"/>
      <w:bookmarkStart w:id="9" w:name="_Toc2461"/>
      <w:r>
        <w:rPr>
          <w:rFonts w:hint="eastAsia" w:asciiTheme="minorEastAsia" w:hAnsiTheme="minorEastAsia" w:eastAsiaTheme="minorEastAsia" w:cstheme="minorEastAsia"/>
          <w:b/>
          <w:color w:val="auto"/>
          <w:sz w:val="32"/>
          <w:szCs w:val="32"/>
          <w:highlight w:val="none"/>
        </w:rPr>
        <w:t>采购项目名称：</w:t>
      </w:r>
      <w:bookmarkEnd w:id="8"/>
      <w:bookmarkEnd w:id="9"/>
      <w:r>
        <w:rPr>
          <w:rFonts w:hint="eastAsia" w:asciiTheme="minorEastAsia" w:hAnsiTheme="minorEastAsia" w:eastAsiaTheme="minorEastAsia" w:cstheme="minorEastAsia"/>
          <w:b/>
          <w:color w:val="auto"/>
          <w:spacing w:val="-23"/>
          <w:w w:val="90"/>
          <w:sz w:val="32"/>
          <w:szCs w:val="32"/>
          <w:highlight w:val="none"/>
          <w:lang w:val="en-US" w:eastAsia="zh-CN"/>
        </w:rPr>
        <w:t>重庆市酉阳第二中学校超市商品供应商采购</w:t>
      </w:r>
    </w:p>
    <w:p w14:paraId="7FB2DAF7">
      <w:pPr>
        <w:pStyle w:val="14"/>
        <w:spacing w:line="480" w:lineRule="auto"/>
        <w:jc w:val="both"/>
        <w:rPr>
          <w:rFonts w:hint="eastAsia" w:asciiTheme="minorEastAsia" w:hAnsiTheme="minorEastAsia" w:eastAsiaTheme="minorEastAsia" w:cstheme="minorEastAsia"/>
          <w:color w:val="auto"/>
          <w:sz w:val="32"/>
          <w:szCs w:val="32"/>
          <w:highlight w:val="none"/>
        </w:rPr>
      </w:pPr>
    </w:p>
    <w:p w14:paraId="21E84841">
      <w:pPr>
        <w:spacing w:line="480" w:lineRule="auto"/>
        <w:jc w:val="both"/>
        <w:rPr>
          <w:rFonts w:hint="eastAsia" w:asciiTheme="minorEastAsia" w:hAnsiTheme="minorEastAsia" w:eastAsiaTheme="minorEastAsia" w:cstheme="minorEastAsia"/>
          <w:b/>
          <w:color w:val="auto"/>
          <w:sz w:val="32"/>
          <w:szCs w:val="32"/>
          <w:highlight w:val="none"/>
        </w:rPr>
      </w:pPr>
    </w:p>
    <w:p w14:paraId="1F3BF17C">
      <w:pPr>
        <w:pStyle w:val="14"/>
        <w:spacing w:line="480" w:lineRule="auto"/>
        <w:jc w:val="both"/>
        <w:rPr>
          <w:rFonts w:hint="eastAsia" w:asciiTheme="minorEastAsia" w:hAnsiTheme="minorEastAsia" w:eastAsiaTheme="minorEastAsia" w:cstheme="minorEastAsia"/>
          <w:b/>
          <w:color w:val="auto"/>
          <w:sz w:val="32"/>
          <w:szCs w:val="32"/>
          <w:highlight w:val="none"/>
        </w:rPr>
      </w:pPr>
    </w:p>
    <w:p w14:paraId="55913F9C">
      <w:pPr>
        <w:rPr>
          <w:rFonts w:hint="eastAsia" w:asciiTheme="minorEastAsia" w:hAnsiTheme="minorEastAsia" w:eastAsiaTheme="minorEastAsia" w:cstheme="minorEastAsia"/>
          <w:b/>
          <w:color w:val="auto"/>
          <w:sz w:val="32"/>
          <w:szCs w:val="32"/>
          <w:highlight w:val="none"/>
        </w:rPr>
      </w:pPr>
    </w:p>
    <w:p w14:paraId="3C2BA15E">
      <w:pPr>
        <w:pStyle w:val="14"/>
        <w:rPr>
          <w:rFonts w:hint="eastAsia" w:asciiTheme="minorEastAsia" w:hAnsiTheme="minorEastAsia" w:eastAsiaTheme="minorEastAsia" w:cstheme="minorEastAsia"/>
          <w:color w:val="auto"/>
          <w:sz w:val="32"/>
          <w:szCs w:val="32"/>
          <w:highlight w:val="none"/>
        </w:rPr>
      </w:pPr>
    </w:p>
    <w:p w14:paraId="3D861A32">
      <w:pPr>
        <w:rPr>
          <w:rFonts w:hint="eastAsia"/>
          <w:color w:val="auto"/>
          <w:highlight w:val="none"/>
        </w:rPr>
      </w:pPr>
    </w:p>
    <w:p w14:paraId="11DE78DB">
      <w:pPr>
        <w:spacing w:line="700" w:lineRule="exact"/>
        <w:ind w:firstLine="964" w:firstLineChars="300"/>
        <w:rPr>
          <w:rFonts w:hint="eastAsia" w:asciiTheme="minorEastAsia" w:hAnsiTheme="minorEastAsia" w:eastAsiaTheme="minorEastAsia" w:cstheme="minorEastAsia"/>
          <w:b/>
          <w:bCs/>
          <w:color w:val="auto"/>
          <w:sz w:val="32"/>
          <w:szCs w:val="32"/>
          <w:highlight w:val="none"/>
          <w:lang w:val="en-US" w:eastAsia="zh-CN"/>
        </w:rPr>
      </w:pPr>
      <w:bookmarkStart w:id="10" w:name="_Toc30869"/>
      <w:r>
        <w:rPr>
          <w:rFonts w:hint="eastAsia" w:asciiTheme="minorEastAsia" w:hAnsiTheme="minorEastAsia" w:eastAsiaTheme="minorEastAsia" w:cstheme="minorEastAsia"/>
          <w:b/>
          <w:bCs/>
          <w:color w:val="auto"/>
          <w:sz w:val="32"/>
          <w:szCs w:val="32"/>
          <w:highlight w:val="none"/>
        </w:rPr>
        <w:t>采</w:t>
      </w:r>
      <w:r>
        <w:rPr>
          <w:rFonts w:hint="eastAsia" w:asciiTheme="minorEastAsia" w:hAnsiTheme="minorEastAsia" w:eastAsiaTheme="minorEastAsia" w:cstheme="minorEastAsia"/>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rPr>
        <w:t>购</w:t>
      </w:r>
      <w:r>
        <w:rPr>
          <w:rFonts w:hint="eastAsia" w:asciiTheme="minorEastAsia" w:hAnsiTheme="minorEastAsia" w:eastAsiaTheme="minorEastAsia" w:cstheme="minorEastAsia"/>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rPr>
        <w:t>人：</w:t>
      </w:r>
      <w:bookmarkEnd w:id="10"/>
      <w:r>
        <w:rPr>
          <w:rFonts w:hint="eastAsia" w:asciiTheme="minorEastAsia" w:hAnsiTheme="minorEastAsia" w:eastAsiaTheme="minorEastAsia" w:cstheme="minorEastAsia"/>
          <w:b/>
          <w:bCs/>
          <w:color w:val="auto"/>
          <w:sz w:val="32"/>
          <w:szCs w:val="32"/>
          <w:highlight w:val="none"/>
          <w:lang w:val="en-US" w:eastAsia="zh-CN"/>
        </w:rPr>
        <w:t>重庆市酉阳第二中学校</w:t>
      </w:r>
    </w:p>
    <w:p w14:paraId="543F9063">
      <w:pPr>
        <w:spacing w:line="700" w:lineRule="exact"/>
        <w:ind w:firstLine="964" w:firstLineChars="30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采购代理机构</w:t>
      </w:r>
      <w:r>
        <w:rPr>
          <w:rFonts w:hint="eastAsia" w:asciiTheme="minorEastAsia" w:hAnsiTheme="minorEastAsia" w:eastAsiaTheme="minorEastAsia" w:cstheme="minorEastAsia"/>
          <w:color w:val="auto"/>
          <w:sz w:val="32"/>
          <w:szCs w:val="32"/>
          <w:highlight w:val="none"/>
        </w:rPr>
        <w:t>：</w:t>
      </w:r>
      <w:r>
        <w:rPr>
          <w:rFonts w:hint="eastAsia" w:asciiTheme="minorEastAsia" w:hAnsiTheme="minorEastAsia" w:eastAsiaTheme="minorEastAsia" w:cstheme="minorEastAsia"/>
          <w:b/>
          <w:bCs/>
          <w:color w:val="auto"/>
          <w:sz w:val="32"/>
          <w:szCs w:val="32"/>
          <w:highlight w:val="none"/>
          <w:lang w:eastAsia="zh-CN"/>
        </w:rPr>
        <w:t>重庆钓鱼城建设监理咨询有限公司</w:t>
      </w:r>
    </w:p>
    <w:p w14:paraId="20470043">
      <w:pPr>
        <w:spacing w:line="720" w:lineRule="exact"/>
        <w:jc w:val="center"/>
        <w:outlineLvl w:val="9"/>
        <w:rPr>
          <w:rFonts w:hint="eastAsia" w:asciiTheme="minorEastAsia" w:hAnsiTheme="minorEastAsia" w:eastAsiaTheme="minorEastAsia" w:cstheme="minorEastAsia"/>
          <w:color w:val="auto"/>
          <w:sz w:val="32"/>
          <w:szCs w:val="32"/>
          <w:highlight w:val="none"/>
        </w:rPr>
      </w:pPr>
    </w:p>
    <w:p w14:paraId="6399671E">
      <w:pPr>
        <w:spacing w:line="720" w:lineRule="exact"/>
        <w:jc w:val="center"/>
        <w:outlineLvl w:val="0"/>
        <w:rPr>
          <w:rFonts w:hint="eastAsia" w:asciiTheme="minorEastAsia" w:hAnsiTheme="minorEastAsia" w:eastAsiaTheme="minorEastAsia" w:cstheme="minorEastAsia"/>
          <w:b/>
          <w:bCs/>
          <w:color w:val="auto"/>
          <w:sz w:val="32"/>
          <w:szCs w:val="32"/>
          <w:highlight w:val="none"/>
        </w:rPr>
      </w:pPr>
      <w:bookmarkStart w:id="11" w:name="_Toc20357"/>
      <w:bookmarkStart w:id="12" w:name="_Toc18601"/>
      <w:bookmarkStart w:id="13" w:name="_Toc19787"/>
      <w:r>
        <w:rPr>
          <w:rFonts w:hint="eastAsia" w:asciiTheme="minorEastAsia" w:hAnsiTheme="minorEastAsia" w:eastAsiaTheme="minorEastAsia" w:cstheme="minorEastAsia"/>
          <w:b/>
          <w:bCs/>
          <w:color w:val="auto"/>
          <w:sz w:val="32"/>
          <w:szCs w:val="32"/>
          <w:highlight w:val="none"/>
        </w:rPr>
        <w:t>二〇二</w:t>
      </w:r>
      <w:r>
        <w:rPr>
          <w:rFonts w:hint="eastAsia" w:asciiTheme="minorEastAsia" w:hAnsiTheme="minorEastAsia" w:eastAsiaTheme="minorEastAsia" w:cstheme="minorEastAsia"/>
          <w:b/>
          <w:bCs/>
          <w:color w:val="auto"/>
          <w:sz w:val="32"/>
          <w:szCs w:val="32"/>
          <w:highlight w:val="none"/>
          <w:lang w:val="en-US" w:eastAsia="zh-CN"/>
        </w:rPr>
        <w:t>六</w:t>
      </w:r>
      <w:r>
        <w:rPr>
          <w:rFonts w:hint="eastAsia" w:asciiTheme="minorEastAsia" w:hAnsiTheme="minorEastAsia" w:eastAsiaTheme="minorEastAsia" w:cstheme="minorEastAsia"/>
          <w:b/>
          <w:bCs/>
          <w:color w:val="auto"/>
          <w:sz w:val="32"/>
          <w:szCs w:val="32"/>
          <w:highlight w:val="none"/>
        </w:rPr>
        <w:t>年</w:t>
      </w:r>
      <w:r>
        <w:rPr>
          <w:rFonts w:hint="eastAsia" w:asciiTheme="minorEastAsia" w:hAnsiTheme="minorEastAsia" w:eastAsiaTheme="minorEastAsia" w:cstheme="minorEastAsia"/>
          <w:b/>
          <w:bCs/>
          <w:color w:val="auto"/>
          <w:sz w:val="32"/>
          <w:szCs w:val="32"/>
          <w:highlight w:val="none"/>
          <w:lang w:val="en-US" w:eastAsia="zh-CN"/>
        </w:rPr>
        <w:t>七</w:t>
      </w:r>
      <w:r>
        <w:rPr>
          <w:rFonts w:hint="eastAsia" w:asciiTheme="minorEastAsia" w:hAnsiTheme="minorEastAsia" w:eastAsiaTheme="minorEastAsia" w:cstheme="minorEastAsia"/>
          <w:b/>
          <w:bCs/>
          <w:color w:val="auto"/>
          <w:sz w:val="32"/>
          <w:szCs w:val="32"/>
          <w:highlight w:val="none"/>
        </w:rPr>
        <w:t>月</w:t>
      </w:r>
      <w:bookmarkEnd w:id="11"/>
      <w:bookmarkEnd w:id="12"/>
      <w:bookmarkEnd w:id="13"/>
    </w:p>
    <w:p w14:paraId="4E9E0348">
      <w:pPr>
        <w:rPr>
          <w:rFonts w:hint="eastAsia" w:asciiTheme="minorEastAsia" w:hAnsiTheme="minorEastAsia" w:eastAsiaTheme="minorEastAsia" w:cstheme="minorEastAsia"/>
          <w:color w:val="auto"/>
          <w:sz w:val="24"/>
          <w:szCs w:val="24"/>
          <w:highlight w:val="none"/>
        </w:rPr>
        <w:sectPr>
          <w:headerReference r:id="rId3" w:type="default"/>
          <w:footerReference r:id="rId4" w:type="default"/>
          <w:pgSz w:w="11907" w:h="16840"/>
          <w:pgMar w:top="1134" w:right="1191" w:bottom="1134" w:left="1304" w:header="851" w:footer="992" w:gutter="0"/>
          <w:pgNumType w:fmt="decimal" w:start="1"/>
          <w:cols w:space="720" w:num="1"/>
          <w:docGrid w:linePitch="380" w:charSpace="-5735"/>
        </w:sectPr>
      </w:pPr>
    </w:p>
    <w:sdt>
      <w:sdtPr>
        <w:rPr>
          <w:rFonts w:ascii="宋体" w:hAnsi="宋体" w:eastAsia="宋体" w:cs="Times New Roman"/>
          <w:color w:val="auto"/>
          <w:kern w:val="2"/>
          <w:sz w:val="21"/>
          <w:highlight w:val="none"/>
          <w:lang w:val="en-US" w:eastAsia="zh-CN" w:bidi="ar-SA"/>
        </w:rPr>
        <w:id w:val="147483389"/>
        <w15:color w:val="DBDBDB"/>
        <w:docPartObj>
          <w:docPartGallery w:val="Table of Contents"/>
          <w:docPartUnique/>
        </w:docPartObj>
      </w:sdtPr>
      <w:sdtEndPr>
        <w:rPr>
          <w:rFonts w:hint="eastAsia" w:asciiTheme="minorEastAsia" w:hAnsiTheme="minorEastAsia" w:eastAsiaTheme="minorEastAsia" w:cstheme="minorEastAsia"/>
          <w:color w:val="auto"/>
          <w:kern w:val="2"/>
          <w:sz w:val="32"/>
          <w:szCs w:val="32"/>
          <w:highlight w:val="none"/>
          <w:lang w:val="en-US" w:eastAsia="zh-CN" w:bidi="ar-SA"/>
        </w:rPr>
      </w:sdtEndPr>
      <w:sdtContent>
        <w:p w14:paraId="6C79A7D5">
          <w:pPr>
            <w:spacing w:before="0" w:beforeLines="0" w:after="0" w:afterLines="0" w:line="240" w:lineRule="auto"/>
            <w:ind w:left="0" w:leftChars="0" w:right="0" w:rightChars="0" w:firstLine="0" w:firstLineChars="0"/>
            <w:jc w:val="center"/>
            <w:rPr>
              <w:color w:val="auto"/>
              <w:sz w:val="52"/>
              <w:szCs w:val="52"/>
              <w:highlight w:val="none"/>
            </w:rPr>
          </w:pPr>
          <w:bookmarkStart w:id="14" w:name="_Toc20328"/>
          <w:bookmarkStart w:id="15" w:name="_Toc12789052"/>
          <w:bookmarkStart w:id="16" w:name="_Toc13339"/>
          <w:bookmarkStart w:id="17" w:name="_Toc11641050"/>
          <w:bookmarkStart w:id="18" w:name="_Toc25689"/>
          <w:r>
            <w:rPr>
              <w:rFonts w:ascii="宋体" w:hAnsi="宋体" w:eastAsia="宋体"/>
              <w:color w:val="auto"/>
              <w:sz w:val="52"/>
              <w:szCs w:val="52"/>
              <w:highlight w:val="none"/>
            </w:rPr>
            <w:t>目录</w:t>
          </w:r>
        </w:p>
        <w:p w14:paraId="08391D93">
          <w:pPr>
            <w:pStyle w:val="22"/>
            <w:tabs>
              <w:tab w:val="right" w:leader="dot" w:pos="9412"/>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TOC \o "1-1" \h \u </w:instrText>
          </w:r>
          <w:r>
            <w:rPr>
              <w:rFonts w:hint="eastAsia" w:asciiTheme="minorEastAsia" w:hAnsiTheme="minorEastAsia" w:eastAsiaTheme="minorEastAsia" w:cstheme="minorEastAsia"/>
              <w:color w:val="auto"/>
              <w:sz w:val="32"/>
              <w:szCs w:val="32"/>
              <w:highlight w:val="none"/>
            </w:rPr>
            <w:fldChar w:fldCharType="separate"/>
          </w:r>
        </w:p>
        <w:p w14:paraId="711301D1">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_Toc2741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第一篇  竞争性磋商邀请书</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_Toc2741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332546B2">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_Toc15135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 xml:space="preserve">第二篇 </w:t>
          </w:r>
          <w:r>
            <w:rPr>
              <w:rFonts w:hint="eastAsia" w:asciiTheme="minorEastAsia" w:hAnsiTheme="minorEastAsia" w:eastAsiaTheme="minorEastAsia" w:cstheme="minorEastAsia"/>
              <w:bCs/>
              <w:color w:val="auto"/>
              <w:sz w:val="32"/>
              <w:szCs w:val="32"/>
              <w:highlight w:val="none"/>
              <w:lang w:eastAsia="zh-CN"/>
            </w:rPr>
            <w:t>项目</w:t>
          </w:r>
          <w:r>
            <w:rPr>
              <w:rFonts w:hint="eastAsia" w:asciiTheme="minorEastAsia" w:hAnsiTheme="minorEastAsia" w:eastAsiaTheme="minorEastAsia" w:cstheme="minorEastAsia"/>
              <w:bCs/>
              <w:color w:val="auto"/>
              <w:sz w:val="32"/>
              <w:szCs w:val="32"/>
              <w:highlight w:val="none"/>
              <w:lang w:val="en-US" w:eastAsia="zh-CN"/>
            </w:rPr>
            <w:t>服务</w:t>
          </w:r>
          <w:r>
            <w:rPr>
              <w:rFonts w:hint="eastAsia" w:asciiTheme="minorEastAsia" w:hAnsiTheme="minorEastAsia" w:eastAsiaTheme="minorEastAsia" w:cstheme="minorEastAsia"/>
              <w:bCs/>
              <w:color w:val="auto"/>
              <w:sz w:val="32"/>
              <w:szCs w:val="32"/>
              <w:highlight w:val="none"/>
            </w:rPr>
            <w:t>需求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_Toc15135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6</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11740870">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_Toc20369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第三篇  项目商务需求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_Toc20369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13</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43A0E9BD">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_Toc26721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第四篇  磋商程序及方法、评审标准、无效响应和采购终止</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_Toc26721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17</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43CF1F70">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_Toc13545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第五篇  供应商须知</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_Toc13545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23</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4EF899BB">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_Toc4153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第</w:t>
          </w:r>
          <w:r>
            <w:rPr>
              <w:rFonts w:hint="eastAsia" w:asciiTheme="minorEastAsia" w:hAnsiTheme="minorEastAsia" w:eastAsiaTheme="minorEastAsia" w:cstheme="minorEastAsia"/>
              <w:color w:val="auto"/>
              <w:sz w:val="32"/>
              <w:szCs w:val="32"/>
              <w:highlight w:val="none"/>
              <w:lang w:val="en-US" w:eastAsia="zh-CN"/>
            </w:rPr>
            <w:t>六</w:t>
          </w:r>
          <w:r>
            <w:rPr>
              <w:rFonts w:hint="eastAsia" w:asciiTheme="minorEastAsia" w:hAnsiTheme="minorEastAsia" w:eastAsiaTheme="minorEastAsia" w:cstheme="minorEastAsia"/>
              <w:color w:val="auto"/>
              <w:sz w:val="32"/>
              <w:szCs w:val="32"/>
              <w:highlight w:val="none"/>
            </w:rPr>
            <w:t>篇</w:t>
          </w:r>
          <w:r>
            <w:rPr>
              <w:rFonts w:hint="eastAsia" w:asciiTheme="minorEastAsia" w:hAnsiTheme="minorEastAsia" w:eastAsiaTheme="minorEastAsia" w:cstheme="minorEastAsia"/>
              <w:color w:val="auto"/>
              <w:sz w:val="32"/>
              <w:szCs w:val="32"/>
              <w:highlight w:val="none"/>
              <w:lang w:val="en-US" w:eastAsia="zh-CN"/>
            </w:rPr>
            <w:t>合同草案条款和格式合同</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_Toc4153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27</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02C06BE9">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_Toc28747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 xml:space="preserve">第七篇 </w:t>
          </w:r>
          <w:r>
            <w:rPr>
              <w:rFonts w:hint="eastAsia" w:asciiTheme="minorEastAsia" w:hAnsiTheme="minorEastAsia" w:eastAsiaTheme="minorEastAsia" w:cstheme="minorEastAsia"/>
              <w:bCs/>
              <w:color w:val="auto"/>
              <w:sz w:val="32"/>
              <w:szCs w:val="32"/>
              <w:highlight w:val="none"/>
              <w:lang w:val="en-US" w:eastAsia="zh-CN"/>
            </w:rPr>
            <w:t>电子</w:t>
          </w:r>
          <w:r>
            <w:rPr>
              <w:rFonts w:hint="eastAsia" w:asciiTheme="minorEastAsia" w:hAnsiTheme="minorEastAsia" w:eastAsiaTheme="minorEastAsia" w:cstheme="minorEastAsia"/>
              <w:bCs/>
              <w:color w:val="auto"/>
              <w:sz w:val="32"/>
              <w:szCs w:val="32"/>
              <w:highlight w:val="none"/>
            </w:rPr>
            <w:t>响应文件编制要求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_Toc28747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31</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04D91000">
          <w:pPr>
            <w:pStyle w:val="22"/>
            <w:tabs>
              <w:tab w:val="left" w:pos="1174"/>
            </w:tabs>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ab/>
          </w:r>
        </w:p>
        <w:p w14:paraId="6065199B">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end"/>
          </w:r>
        </w:p>
      </w:sdtContent>
    </w:sdt>
    <w:p w14:paraId="505F5B9B">
      <w:pPr>
        <w:tabs>
          <w:tab w:val="left" w:pos="7662"/>
        </w:tabs>
        <w:rPr>
          <w:rFonts w:hint="eastAsia" w:eastAsia="宋体"/>
          <w:color w:val="auto"/>
          <w:highlight w:val="none"/>
          <w:lang w:eastAsia="zh-CN"/>
        </w:rPr>
      </w:pPr>
      <w:r>
        <w:rPr>
          <w:rFonts w:hint="eastAsia"/>
          <w:color w:val="auto"/>
          <w:highlight w:val="none"/>
          <w:lang w:eastAsia="zh-CN"/>
        </w:rPr>
        <w:tab/>
      </w:r>
    </w:p>
    <w:p w14:paraId="7822929C">
      <w:pPr>
        <w:ind w:firstLine="420" w:firstLineChars="0"/>
        <w:rPr>
          <w:color w:val="auto"/>
          <w:highlight w:val="none"/>
        </w:rPr>
      </w:pPr>
    </w:p>
    <w:p w14:paraId="6A8F3FD3">
      <w:pPr>
        <w:rPr>
          <w:color w:val="auto"/>
          <w:highlight w:val="none"/>
        </w:rPr>
      </w:pPr>
    </w:p>
    <w:p w14:paraId="0B7B4A01">
      <w:pPr>
        <w:rPr>
          <w:color w:val="auto"/>
          <w:highlight w:val="none"/>
        </w:rPr>
      </w:pPr>
    </w:p>
    <w:p w14:paraId="4CD2AB97">
      <w:pPr>
        <w:rPr>
          <w:color w:val="auto"/>
          <w:highlight w:val="none"/>
        </w:rPr>
      </w:pPr>
    </w:p>
    <w:p w14:paraId="7D323BE3">
      <w:pPr>
        <w:rPr>
          <w:color w:val="auto"/>
          <w:highlight w:val="none"/>
        </w:rPr>
      </w:pPr>
    </w:p>
    <w:p w14:paraId="5D49F035">
      <w:pPr>
        <w:rPr>
          <w:color w:val="auto"/>
          <w:highlight w:val="none"/>
        </w:rPr>
      </w:pPr>
    </w:p>
    <w:p w14:paraId="144D4B54">
      <w:pPr>
        <w:rPr>
          <w:color w:val="auto"/>
          <w:highlight w:val="none"/>
        </w:rPr>
      </w:pPr>
    </w:p>
    <w:p w14:paraId="6A2B2D05">
      <w:pPr>
        <w:rPr>
          <w:color w:val="auto"/>
          <w:highlight w:val="none"/>
        </w:rPr>
      </w:pPr>
    </w:p>
    <w:p w14:paraId="70100AA2">
      <w:pPr>
        <w:rPr>
          <w:color w:val="auto"/>
          <w:highlight w:val="none"/>
        </w:rPr>
      </w:pPr>
    </w:p>
    <w:p w14:paraId="51FE574A">
      <w:pPr>
        <w:rPr>
          <w:color w:val="auto"/>
          <w:highlight w:val="none"/>
        </w:rPr>
      </w:pPr>
    </w:p>
    <w:p w14:paraId="7DF9C86D">
      <w:pPr>
        <w:rPr>
          <w:color w:val="auto"/>
          <w:highlight w:val="none"/>
        </w:rPr>
      </w:pPr>
    </w:p>
    <w:p w14:paraId="68232524">
      <w:pPr>
        <w:rPr>
          <w:color w:val="auto"/>
          <w:highlight w:val="none"/>
        </w:rPr>
      </w:pPr>
    </w:p>
    <w:p w14:paraId="0AF56669">
      <w:pPr>
        <w:rPr>
          <w:color w:val="auto"/>
          <w:highlight w:val="none"/>
        </w:rPr>
      </w:pPr>
    </w:p>
    <w:p w14:paraId="0538C093">
      <w:pPr>
        <w:rPr>
          <w:color w:val="auto"/>
          <w:highlight w:val="none"/>
        </w:rPr>
      </w:pPr>
    </w:p>
    <w:p w14:paraId="65C3A19B">
      <w:pPr>
        <w:rPr>
          <w:color w:val="auto"/>
          <w:highlight w:val="none"/>
        </w:rPr>
      </w:pPr>
    </w:p>
    <w:p w14:paraId="31B3B890">
      <w:pPr>
        <w:rPr>
          <w:color w:val="auto"/>
          <w:highlight w:val="none"/>
        </w:rPr>
      </w:pPr>
    </w:p>
    <w:p w14:paraId="07BBCCFE">
      <w:pPr>
        <w:rPr>
          <w:color w:val="auto"/>
          <w:highlight w:val="none"/>
        </w:rPr>
      </w:pPr>
    </w:p>
    <w:p w14:paraId="00774B44">
      <w:pPr>
        <w:rPr>
          <w:color w:val="auto"/>
          <w:highlight w:val="none"/>
        </w:rPr>
      </w:pPr>
    </w:p>
    <w:p w14:paraId="73232118">
      <w:pPr>
        <w:rPr>
          <w:color w:val="auto"/>
          <w:highlight w:val="none"/>
        </w:rPr>
      </w:pPr>
    </w:p>
    <w:p w14:paraId="03A4823F">
      <w:pPr>
        <w:pStyle w:val="3"/>
        <w:spacing w:line="360" w:lineRule="auto"/>
        <w:jc w:val="center"/>
        <w:outlineLvl w:val="0"/>
        <w:rPr>
          <w:rFonts w:hint="eastAsia" w:asciiTheme="minorEastAsia" w:hAnsiTheme="minorEastAsia" w:eastAsiaTheme="minorEastAsia" w:cstheme="minorEastAsia"/>
          <w:bCs/>
          <w:color w:val="auto"/>
          <w:sz w:val="44"/>
          <w:szCs w:val="44"/>
          <w:highlight w:val="none"/>
        </w:rPr>
      </w:pPr>
      <w:bookmarkStart w:id="19" w:name="_Toc2741"/>
      <w:r>
        <w:rPr>
          <w:rFonts w:hint="eastAsia" w:asciiTheme="minorEastAsia" w:hAnsiTheme="minorEastAsia" w:eastAsiaTheme="minorEastAsia" w:cstheme="minorEastAsia"/>
          <w:bCs/>
          <w:color w:val="auto"/>
          <w:sz w:val="44"/>
          <w:szCs w:val="44"/>
          <w:highlight w:val="none"/>
        </w:rPr>
        <w:t>第一篇  竞争性磋商邀请书</w:t>
      </w:r>
      <w:bookmarkEnd w:id="14"/>
      <w:bookmarkEnd w:id="15"/>
      <w:bookmarkEnd w:id="16"/>
      <w:bookmarkEnd w:id="17"/>
      <w:bookmarkEnd w:id="18"/>
      <w:bookmarkEnd w:id="19"/>
    </w:p>
    <w:p w14:paraId="4ABC088F">
      <w:pPr>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重庆钓鱼城建设监理咨询有限公司</w:t>
      </w:r>
      <w:r>
        <w:rPr>
          <w:rFonts w:hint="eastAsia" w:asciiTheme="minorEastAsia" w:hAnsiTheme="minorEastAsia" w:eastAsiaTheme="minorEastAsia" w:cstheme="minorEastAsia"/>
          <w:color w:val="auto"/>
          <w:sz w:val="24"/>
          <w:szCs w:val="24"/>
          <w:highlight w:val="none"/>
        </w:rPr>
        <w:t>受</w:t>
      </w:r>
      <w:r>
        <w:rPr>
          <w:rFonts w:hint="eastAsia" w:asciiTheme="minorEastAsia" w:hAnsiTheme="minorEastAsia" w:eastAsiaTheme="minorEastAsia" w:cstheme="minorEastAsia"/>
          <w:color w:val="auto"/>
          <w:sz w:val="24"/>
          <w:szCs w:val="24"/>
          <w:highlight w:val="none"/>
          <w:lang w:eastAsia="zh-CN"/>
        </w:rPr>
        <w:t>重庆市酉阳第二中学校</w:t>
      </w:r>
      <w:r>
        <w:rPr>
          <w:rFonts w:hint="eastAsia" w:asciiTheme="minorEastAsia" w:hAnsiTheme="minorEastAsia" w:eastAsiaTheme="minorEastAsia" w:cstheme="minorEastAsia"/>
          <w:color w:val="auto"/>
          <w:sz w:val="24"/>
          <w:szCs w:val="24"/>
          <w:highlight w:val="none"/>
        </w:rPr>
        <w:t>的委托，对</w:t>
      </w:r>
      <w:r>
        <w:rPr>
          <w:rFonts w:hint="eastAsia" w:asciiTheme="minorEastAsia" w:hAnsiTheme="minorEastAsia" w:eastAsiaTheme="minorEastAsia" w:cstheme="minorEastAsia"/>
          <w:color w:val="auto"/>
          <w:sz w:val="24"/>
          <w:szCs w:val="24"/>
          <w:highlight w:val="none"/>
          <w:lang w:eastAsia="zh-CN"/>
        </w:rPr>
        <w:t>重庆市酉阳第二中学校超市商品供应商采购</w:t>
      </w:r>
      <w:r>
        <w:rPr>
          <w:rFonts w:hint="eastAsia" w:asciiTheme="minorEastAsia" w:hAnsiTheme="minorEastAsia" w:eastAsiaTheme="minorEastAsia" w:cstheme="minorEastAsia"/>
          <w:color w:val="auto"/>
          <w:sz w:val="24"/>
          <w:szCs w:val="24"/>
          <w:highlight w:val="none"/>
        </w:rPr>
        <w:t>进行竞争性磋商采</w:t>
      </w:r>
      <w:r>
        <w:rPr>
          <w:rFonts w:hint="eastAsia" w:asciiTheme="minorEastAsia" w:hAnsiTheme="minorEastAsia" w:eastAsiaTheme="minorEastAsia" w:cstheme="minorEastAsia"/>
          <w:b w:val="0"/>
          <w:bCs w:val="0"/>
          <w:color w:val="auto"/>
          <w:sz w:val="24"/>
          <w:szCs w:val="24"/>
          <w:highlight w:val="none"/>
        </w:rPr>
        <w:t>购，欢迎有资格的供应商参加磋商。</w:t>
      </w:r>
      <w:bookmarkStart w:id="20" w:name="_Toc2939"/>
      <w:bookmarkStart w:id="21" w:name="_Toc313893526"/>
      <w:bookmarkStart w:id="22" w:name="_Toc317775175"/>
      <w:bookmarkStart w:id="23" w:name="_Toc21969"/>
    </w:p>
    <w:p w14:paraId="551B6F44">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24" w:name="_Toc26438"/>
      <w:bookmarkStart w:id="25" w:name="_Toc28632"/>
      <w:r>
        <w:rPr>
          <w:rFonts w:hint="eastAsia" w:asciiTheme="minorEastAsia" w:hAnsiTheme="minorEastAsia" w:eastAsiaTheme="minorEastAsia" w:cstheme="minorEastAsia"/>
          <w:color w:val="auto"/>
          <w:sz w:val="24"/>
          <w:szCs w:val="24"/>
          <w:highlight w:val="none"/>
        </w:rPr>
        <w:t>一、竞争性磋商内容</w:t>
      </w:r>
      <w:bookmarkEnd w:id="20"/>
      <w:bookmarkEnd w:id="21"/>
      <w:bookmarkEnd w:id="22"/>
      <w:bookmarkEnd w:id="23"/>
      <w:bookmarkEnd w:id="24"/>
      <w:bookmarkEnd w:id="25"/>
    </w:p>
    <w:tbl>
      <w:tblPr>
        <w:tblStyle w:val="19"/>
        <w:tblW w:w="10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4009"/>
        <w:gridCol w:w="1452"/>
        <w:gridCol w:w="1488"/>
        <w:gridCol w:w="2600"/>
      </w:tblGrid>
      <w:tr w14:paraId="597C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576" w:type="dxa"/>
            <w:tcBorders>
              <w:top w:val="single" w:color="auto" w:sz="4" w:space="0"/>
              <w:left w:val="single" w:color="auto" w:sz="4" w:space="0"/>
              <w:right w:val="single" w:color="auto" w:sz="4" w:space="0"/>
            </w:tcBorders>
            <w:noWrap w:val="0"/>
            <w:vAlign w:val="center"/>
          </w:tcPr>
          <w:p w14:paraId="569596D1">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26" w:name="_Toc31957"/>
            <w:r>
              <w:rPr>
                <w:rFonts w:hint="eastAsia" w:asciiTheme="minorEastAsia" w:hAnsiTheme="minorEastAsia" w:eastAsiaTheme="minorEastAsia" w:cstheme="minorEastAsia"/>
                <w:color w:val="auto"/>
                <w:kern w:val="2"/>
                <w:sz w:val="24"/>
                <w:szCs w:val="24"/>
                <w:highlight w:val="none"/>
                <w:lang w:val="en-US" w:eastAsia="zh-CN" w:bidi="ar-SA"/>
              </w:rPr>
              <w:t>序号</w:t>
            </w:r>
            <w:bookmarkEnd w:id="26"/>
          </w:p>
        </w:tc>
        <w:tc>
          <w:tcPr>
            <w:tcW w:w="4009" w:type="dxa"/>
            <w:tcBorders>
              <w:top w:val="single" w:color="auto" w:sz="4" w:space="0"/>
              <w:left w:val="single" w:color="auto" w:sz="4" w:space="0"/>
              <w:right w:val="single" w:color="auto" w:sz="4" w:space="0"/>
            </w:tcBorders>
            <w:noWrap w:val="0"/>
            <w:vAlign w:val="center"/>
          </w:tcPr>
          <w:p w14:paraId="47154D26">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27" w:name="_Toc15692"/>
            <w:r>
              <w:rPr>
                <w:rFonts w:hint="eastAsia" w:asciiTheme="minorEastAsia" w:hAnsiTheme="minorEastAsia" w:eastAsiaTheme="minorEastAsia" w:cstheme="minorEastAsia"/>
                <w:color w:val="auto"/>
                <w:kern w:val="2"/>
                <w:sz w:val="24"/>
                <w:szCs w:val="24"/>
                <w:highlight w:val="none"/>
                <w:lang w:val="en-US" w:eastAsia="zh-CN" w:bidi="ar-SA"/>
              </w:rPr>
              <w:t>项目名称（或分包名称）</w:t>
            </w:r>
            <w:bookmarkEnd w:id="27"/>
          </w:p>
        </w:tc>
        <w:tc>
          <w:tcPr>
            <w:tcW w:w="1452" w:type="dxa"/>
            <w:tcBorders>
              <w:top w:val="single" w:color="auto" w:sz="4" w:space="0"/>
              <w:left w:val="single" w:color="auto" w:sz="4" w:space="0"/>
              <w:right w:val="single" w:color="auto" w:sz="4" w:space="0"/>
            </w:tcBorders>
            <w:noWrap w:val="0"/>
            <w:vAlign w:val="center"/>
          </w:tcPr>
          <w:p w14:paraId="1AEDDB3B">
            <w:pPr>
              <w:pageBreakBefore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bookmarkStart w:id="28" w:name="_Toc12203"/>
            <w:r>
              <w:rPr>
                <w:rFonts w:hint="eastAsia" w:asciiTheme="minorEastAsia" w:hAnsiTheme="minorEastAsia" w:eastAsiaTheme="minorEastAsia" w:cstheme="minorEastAsia"/>
                <w:color w:val="auto"/>
                <w:kern w:val="2"/>
                <w:sz w:val="24"/>
                <w:szCs w:val="24"/>
                <w:highlight w:val="none"/>
                <w:lang w:val="en-US" w:eastAsia="zh-CN" w:bidi="ar-SA"/>
              </w:rPr>
              <w:t>（投标报价费率区间）</w:t>
            </w:r>
          </w:p>
        </w:tc>
        <w:tc>
          <w:tcPr>
            <w:tcW w:w="1488" w:type="dxa"/>
            <w:tcBorders>
              <w:top w:val="single" w:color="auto" w:sz="4" w:space="0"/>
              <w:left w:val="single" w:color="auto" w:sz="4" w:space="0"/>
              <w:right w:val="single" w:color="auto" w:sz="4" w:space="0"/>
            </w:tcBorders>
            <w:noWrap w:val="0"/>
            <w:vAlign w:val="center"/>
          </w:tcPr>
          <w:p w14:paraId="36BFCC2B">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成交人数量</w:t>
            </w:r>
            <w:bookmarkEnd w:id="28"/>
          </w:p>
          <w:p w14:paraId="1AE4A118">
            <w:pPr>
              <w:pageBreakBefore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（名）</w:t>
            </w:r>
          </w:p>
        </w:tc>
        <w:tc>
          <w:tcPr>
            <w:tcW w:w="2600" w:type="dxa"/>
            <w:tcBorders>
              <w:top w:val="single" w:color="auto" w:sz="4" w:space="0"/>
              <w:left w:val="single" w:color="auto" w:sz="4" w:space="0"/>
              <w:right w:val="single" w:color="auto" w:sz="4" w:space="0"/>
            </w:tcBorders>
            <w:noWrap w:val="0"/>
            <w:vAlign w:val="center"/>
          </w:tcPr>
          <w:p w14:paraId="52CEA53C">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29" w:name="_Toc22451"/>
            <w:r>
              <w:rPr>
                <w:rFonts w:hint="eastAsia" w:asciiTheme="minorEastAsia" w:hAnsiTheme="minorEastAsia" w:eastAsiaTheme="minorEastAsia" w:cstheme="minorEastAsia"/>
                <w:color w:val="auto"/>
                <w:kern w:val="2"/>
                <w:sz w:val="24"/>
                <w:szCs w:val="24"/>
                <w:highlight w:val="none"/>
                <w:lang w:val="en-US" w:eastAsia="zh-CN" w:bidi="ar-SA"/>
              </w:rPr>
              <w:t>采购标的对应的中小企业划分标准所属行业</w:t>
            </w:r>
            <w:bookmarkEnd w:id="29"/>
          </w:p>
        </w:tc>
      </w:tr>
      <w:tr w14:paraId="4B63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627B769E">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bookmarkStart w:id="30" w:name="_Hlk344477914"/>
            <w:r>
              <w:rPr>
                <w:rFonts w:hint="eastAsia" w:asciiTheme="minorEastAsia" w:hAnsiTheme="minorEastAsia" w:eastAsiaTheme="minorEastAsia" w:cstheme="minorEastAsia"/>
                <w:color w:val="auto"/>
                <w:kern w:val="2"/>
                <w:sz w:val="24"/>
                <w:szCs w:val="24"/>
                <w:highlight w:val="none"/>
                <w:lang w:val="en-US" w:eastAsia="zh-CN" w:bidi="ar-SA"/>
              </w:rPr>
              <w:t>1</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669DC2DB">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包1：重庆市酉阳第二中学校超市商品供应商采购-预包装食品类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6DE45AAC">
            <w:pPr>
              <w:pageBreakBefore w:val="0"/>
              <w:kinsoku/>
              <w:wordWrap/>
              <w:overflowPunct/>
              <w:topLinePunct w:val="0"/>
              <w:autoSpaceDE/>
              <w:autoSpaceDN/>
              <w:bidi w:val="0"/>
              <w:adjustRightInd/>
              <w:spacing w:line="360" w:lineRule="auto"/>
              <w:jc w:val="center"/>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70</w:t>
            </w:r>
            <w:r>
              <w:rPr>
                <w:rFonts w:hint="default" w:asciiTheme="minorEastAsia" w:hAnsiTheme="minorEastAsia" w:eastAsiaTheme="minorEastAsia" w:cstheme="minorEastAsia"/>
                <w:color w:val="auto"/>
                <w:kern w:val="2"/>
                <w:sz w:val="24"/>
                <w:szCs w:val="24"/>
                <w:highlight w:val="none"/>
                <w:lang w:val="en-US" w:eastAsia="zh-CN" w:bidi="ar-SA"/>
              </w:rPr>
              <w:t>%～7</w:t>
            </w:r>
            <w:r>
              <w:rPr>
                <w:rFonts w:hint="eastAsia" w:asciiTheme="minorEastAsia" w:hAnsiTheme="minorEastAsia" w:eastAsiaTheme="minorEastAsia" w:cstheme="minorEastAsia"/>
                <w:color w:val="auto"/>
                <w:kern w:val="2"/>
                <w:sz w:val="24"/>
                <w:szCs w:val="24"/>
                <w:highlight w:val="none"/>
                <w:lang w:val="en-US" w:eastAsia="zh-CN" w:bidi="ar-SA"/>
              </w:rPr>
              <w:t>5</w:t>
            </w:r>
            <w:r>
              <w:rPr>
                <w:rFonts w:hint="default" w:asciiTheme="minorEastAsia" w:hAnsiTheme="minorEastAsia" w:eastAsiaTheme="minorEastAsia" w:cstheme="minorEastAsia"/>
                <w:color w:val="auto"/>
                <w:kern w:val="2"/>
                <w:sz w:val="24"/>
                <w:szCs w:val="24"/>
                <w:highlight w:val="none"/>
                <w:lang w:val="en-US" w:eastAsia="zh-CN" w:bidi="ar-SA"/>
              </w:rPr>
              <w:t>%</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00E0139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10037E5C">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0D5E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4E063602">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bookmarkStart w:id="31" w:name="_Toc13875"/>
            <w:bookmarkStart w:id="32" w:name="_Toc7505"/>
            <w:bookmarkStart w:id="33" w:name="_Toc1855"/>
            <w:bookmarkStart w:id="34" w:name="_Toc21214"/>
            <w:bookmarkStart w:id="35" w:name="_Toc373860293"/>
            <w:bookmarkStart w:id="36" w:name="_Toc317775178"/>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5B466042">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包2：重庆市酉阳第二中学校超市商品供应商采购-饮用水类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63ABD505">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50%～60%</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2843216D">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49F72606">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3A25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5437C77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4C99BE05">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包3：重庆市酉阳第二中学校超市商品供应商采购-奶制品类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268941F1">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75%～82%</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E9621EB">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325EAEBF">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54DA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54EF1F44">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2DAA9B62">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包4：重庆市酉阳第二中学校超市商品供应商采购-水果类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3014B4D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70%～75%</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AD05B3F">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146C7A46">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06B2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46FBD35E">
            <w:pPr>
              <w:pageBreakBefore w:val="0"/>
              <w:kinsoku/>
              <w:wordWrap/>
              <w:overflowPunct/>
              <w:topLinePunct w:val="0"/>
              <w:autoSpaceDE/>
              <w:autoSpaceDN/>
              <w:bidi w:val="0"/>
              <w:adjustRightInd/>
              <w:spacing w:line="360" w:lineRule="auto"/>
              <w:jc w:val="center"/>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7F2CE5B5">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包5：重庆市酉阳第二中学校超市商品供应商采购-学习用品类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348E9B7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58%～63%</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246E0CEA">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5D37F0E9">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366A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3C17B6AB">
            <w:pPr>
              <w:pageBreakBefore w:val="0"/>
              <w:kinsoku/>
              <w:wordWrap/>
              <w:overflowPunct/>
              <w:topLinePunct w:val="0"/>
              <w:autoSpaceDE/>
              <w:autoSpaceDN/>
              <w:bidi w:val="0"/>
              <w:adjustRightInd/>
              <w:spacing w:line="360" w:lineRule="auto"/>
              <w:jc w:val="center"/>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w:t>
            </w:r>
          </w:p>
        </w:tc>
        <w:tc>
          <w:tcPr>
            <w:tcW w:w="40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537453">
            <w:pPr>
              <w:pageBreakBefore w:val="0"/>
              <w:kinsoku/>
              <w:wordWrap/>
              <w:overflowPunct/>
              <w:topLinePunct w:val="0"/>
              <w:autoSpaceDE/>
              <w:autoSpaceDN/>
              <w:bidi w:val="0"/>
              <w:adjustRightInd/>
              <w:spacing w:line="360" w:lineRule="auto"/>
              <w:textAlignment w:val="auto"/>
              <w:rPr>
                <w:rFonts w:hint="eastAsia"/>
                <w:color w:val="auto"/>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包6：重庆市酉阳第二中学校超市商品供应商采购-生活必需品类</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775DF2">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68%～74%</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B8299B">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EB09D8">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7FE7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125" w:type="dxa"/>
            <w:gridSpan w:val="5"/>
            <w:tcBorders>
              <w:top w:val="single" w:color="auto" w:sz="4" w:space="0"/>
              <w:left w:val="single" w:color="auto" w:sz="4" w:space="0"/>
              <w:bottom w:val="single" w:color="auto" w:sz="4" w:space="0"/>
              <w:right w:val="single" w:color="auto" w:sz="4" w:space="0"/>
            </w:tcBorders>
            <w:noWrap w:val="0"/>
            <w:vAlign w:val="center"/>
          </w:tcPr>
          <w:p w14:paraId="293153E4">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备注：1.结算金额=采购人询价价格</w:t>
            </w:r>
            <w:r>
              <w:rPr>
                <w:rFonts w:hint="default" w:ascii="Arial" w:hAnsi="Arial" w:cs="Arial" w:eastAsiaTheme="minorEastAsia"/>
                <w:color w:val="auto"/>
                <w:kern w:val="2"/>
                <w:sz w:val="24"/>
                <w:szCs w:val="24"/>
                <w:highlight w:val="none"/>
                <w:lang w:val="en-US" w:eastAsia="zh-CN" w:bidi="ar-SA"/>
              </w:rPr>
              <w:t>×</w:t>
            </w:r>
            <w:r>
              <w:rPr>
                <w:rFonts w:hint="eastAsia" w:ascii="Arial" w:hAnsi="Arial" w:cs="Arial" w:eastAsiaTheme="minorEastAsia"/>
                <w:color w:val="auto"/>
                <w:kern w:val="2"/>
                <w:sz w:val="24"/>
                <w:szCs w:val="24"/>
                <w:highlight w:val="none"/>
                <w:lang w:val="en-US" w:eastAsia="zh-CN" w:bidi="ar-SA"/>
              </w:rPr>
              <w:t>供应商</w:t>
            </w:r>
            <w:r>
              <w:rPr>
                <w:rFonts w:hint="eastAsia" w:asciiTheme="minorEastAsia" w:hAnsiTheme="minorEastAsia" w:eastAsiaTheme="minorEastAsia" w:cstheme="minorEastAsia"/>
                <w:color w:val="auto"/>
                <w:kern w:val="2"/>
                <w:sz w:val="24"/>
                <w:szCs w:val="24"/>
                <w:highlight w:val="none"/>
                <w:lang w:val="en-US" w:eastAsia="zh-CN" w:bidi="ar-SA"/>
              </w:rPr>
              <w:t>中标费率</w:t>
            </w:r>
            <w:r>
              <w:rPr>
                <w:rFonts w:hint="default" w:ascii="Arial" w:hAnsi="Arial" w:cs="Arial" w:eastAsia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实际配送数量。</w:t>
            </w:r>
          </w:p>
          <w:p w14:paraId="28AF3D40">
            <w:pPr>
              <w:pageBreakBefore w:val="0"/>
              <w:numPr>
                <w:ilvl w:val="0"/>
                <w:numId w:val="0"/>
              </w:numPr>
              <w:kinsoku/>
              <w:wordWrap/>
              <w:overflowPunct/>
              <w:topLinePunct w:val="0"/>
              <w:autoSpaceDE/>
              <w:autoSpaceDN/>
              <w:bidi w:val="0"/>
              <w:adjustRightInd/>
              <w:spacing w:line="360" w:lineRule="auto"/>
              <w:ind w:firstLine="720" w:firstLineChars="3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2.本项目所涉及的货物须为中国境内生产。</w:t>
            </w:r>
          </w:p>
          <w:p w14:paraId="70BBD6BF">
            <w:pPr>
              <w:pageBreakBefore w:val="0"/>
              <w:numPr>
                <w:ilvl w:val="0"/>
                <w:numId w:val="0"/>
              </w:numPr>
              <w:kinsoku/>
              <w:wordWrap/>
              <w:overflowPunct/>
              <w:topLinePunct w:val="0"/>
              <w:autoSpaceDE/>
              <w:autoSpaceDN/>
              <w:bidi w:val="0"/>
              <w:adjustRightInd/>
              <w:spacing w:line="360" w:lineRule="auto"/>
              <w:ind w:firstLine="720" w:firstLineChars="3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3.若投标人参与多个包投标，须分别制作投标响应文件，投标人报价须在（投标报价费率区间），否则作无效投标处理。</w:t>
            </w:r>
          </w:p>
          <w:p w14:paraId="5039DE53">
            <w:pPr>
              <w:pageBreakBefore w:val="0"/>
              <w:kinsoku/>
              <w:wordWrap/>
              <w:overflowPunct/>
              <w:topLinePunct w:val="0"/>
              <w:autoSpaceDE/>
              <w:autoSpaceDN/>
              <w:bidi w:val="0"/>
              <w:adjustRightInd/>
              <w:spacing w:line="360" w:lineRule="auto"/>
              <w:ind w:firstLine="720" w:firstLineChars="3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供应商可参与本项目所有分包的磋商，但只能成为其中一个分包的成交供应商。若同一供应商在多个分包中综合得分均排名第一或第二，则按照供应商提供的竞争性磋商报价函中所承诺的优先成交分包顺序,成为该分包的成交供应商,且失去成为其他分包成交供应商资格;其他分包由该分包综合按得分排名顺序由下一供应商为成交供应商。</w:t>
            </w:r>
          </w:p>
        </w:tc>
      </w:tr>
      <w:bookmarkEnd w:id="30"/>
    </w:tbl>
    <w:p w14:paraId="23D9D9BB">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二、资金来源</w:t>
      </w:r>
      <w:bookmarkEnd w:id="31"/>
      <w:bookmarkEnd w:id="32"/>
      <w:bookmarkEnd w:id="33"/>
      <w:bookmarkEnd w:id="34"/>
    </w:p>
    <w:p w14:paraId="75D2638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学校自筹资金，以实际配送数量结算为准。</w:t>
      </w:r>
    </w:p>
    <w:p w14:paraId="0FF13B4B">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37" w:name="_Toc14680"/>
      <w:bookmarkStart w:id="38" w:name="_Toc7196"/>
      <w:bookmarkStart w:id="39" w:name="_Toc10652"/>
      <w:bookmarkStart w:id="40" w:name="_Toc30086"/>
      <w:r>
        <w:rPr>
          <w:rFonts w:hint="eastAsia" w:asciiTheme="minorEastAsia" w:hAnsiTheme="minorEastAsia" w:eastAsiaTheme="minorEastAsia" w:cstheme="minorEastAsia"/>
          <w:color w:val="auto"/>
          <w:sz w:val="24"/>
          <w:szCs w:val="24"/>
          <w:highlight w:val="none"/>
        </w:rPr>
        <w:t>三、磋商供应商资格条件</w:t>
      </w:r>
      <w:bookmarkEnd w:id="37"/>
      <w:bookmarkEnd w:id="38"/>
      <w:bookmarkEnd w:id="39"/>
      <w:bookmarkEnd w:id="40"/>
    </w:p>
    <w:p w14:paraId="562BFD0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是指向采购人提供货物、工程或者服务的法人、其他组织或者自然人。以下简称供应商。合格的供应商应首先符合政府采购法第二十二条规定的基本条件，同时符合根据该项目特殊要求设置的特定资格条件、落实政府采购政策需满足的资格要求（如果有）。</w:t>
      </w:r>
    </w:p>
    <w:p w14:paraId="045251F2">
      <w:pPr>
        <w:pageBreakBefore w:val="0"/>
        <w:kinsoku/>
        <w:wordWrap/>
        <w:overflowPunct/>
        <w:topLinePunct w:val="0"/>
        <w:autoSpaceDE/>
        <w:autoSpaceDN/>
        <w:bidi w:val="0"/>
        <w:adjustRightInd/>
        <w:spacing w:line="440"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rPr>
      </w:pPr>
      <w:bookmarkStart w:id="41" w:name="_Toc25159"/>
      <w:r>
        <w:rPr>
          <w:rFonts w:hint="eastAsia" w:asciiTheme="minorEastAsia" w:hAnsiTheme="minorEastAsia" w:eastAsiaTheme="minorEastAsia" w:cstheme="minorEastAsia"/>
          <w:color w:val="auto"/>
          <w:sz w:val="24"/>
          <w:szCs w:val="24"/>
          <w:highlight w:val="none"/>
        </w:rPr>
        <w:t>（一）一般资格条件</w:t>
      </w:r>
      <w:bookmarkEnd w:id="41"/>
    </w:p>
    <w:p w14:paraId="2E50AAF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1、具有独立承担民事责任的能力；</w:t>
      </w:r>
    </w:p>
    <w:p w14:paraId="40082000">
      <w:pPr>
        <w:pageBreakBefore w:val="0"/>
        <w:tabs>
          <w:tab w:val="left" w:pos="7591"/>
        </w:tabs>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2、具有良好的商业信誉和健全的财务会计制度；</w:t>
      </w:r>
    </w:p>
    <w:p w14:paraId="06ADFD59">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3、具有履行合同所必需的设备和专业技术能力；</w:t>
      </w:r>
    </w:p>
    <w:p w14:paraId="72BD1A43">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4、有依法缴纳税收和社会保障资金的良好记录；</w:t>
      </w:r>
    </w:p>
    <w:p w14:paraId="5CAFC685">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5、参加政府采购活动前三年内，在经营活动中没有重大违法记录；</w:t>
      </w:r>
    </w:p>
    <w:p w14:paraId="2BD8969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6、法律、行政法规规定的其他条件。</w:t>
      </w:r>
      <w:r>
        <w:rPr>
          <w:rFonts w:hint="eastAsia" w:asciiTheme="minorEastAsia" w:hAnsiTheme="minorEastAsia" w:eastAsiaTheme="minorEastAsia" w:cstheme="minorEastAsia"/>
          <w:color w:val="auto"/>
          <w:sz w:val="24"/>
          <w:szCs w:val="24"/>
          <w:highlight w:val="none"/>
        </w:rPr>
        <w:tab/>
      </w:r>
    </w:p>
    <w:p w14:paraId="36718B07">
      <w:pPr>
        <w:spacing w:line="400" w:lineRule="exact"/>
        <w:ind w:firstLine="480" w:firstLineChars="200"/>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（二）落实政府采购政策需满足的资格要求：本项目专门面向中小企业采购，</w:t>
      </w:r>
      <w:r>
        <w:rPr>
          <w:rFonts w:hint="eastAsia" w:asciiTheme="minorEastAsia" w:hAnsiTheme="minorEastAsia" w:eastAsiaTheme="minorEastAsia" w:cstheme="minorEastAsia"/>
          <w:color w:val="auto"/>
          <w:sz w:val="24"/>
          <w:szCs w:val="24"/>
          <w:highlight w:val="none"/>
          <w:u w:val="none"/>
          <w:lang w:val="en-US" w:eastAsia="zh-CN"/>
        </w:rPr>
        <w:t>承接</w:t>
      </w:r>
      <w:r>
        <w:rPr>
          <w:rFonts w:hint="eastAsia" w:asciiTheme="minorEastAsia" w:hAnsiTheme="minorEastAsia" w:eastAsiaTheme="minorEastAsia" w:cstheme="minorEastAsia"/>
          <w:color w:val="auto"/>
          <w:sz w:val="24"/>
          <w:szCs w:val="24"/>
          <w:highlight w:val="none"/>
          <w:u w:val="none"/>
        </w:rPr>
        <w:t>供应商应为中小微企业（提供中小企业声明函）或监狱企业（提供监狱企业证明文件）或残疾人福利性单位（提供残疾人福利性单位声明函）。</w:t>
      </w:r>
    </w:p>
    <w:p w14:paraId="51D6E3E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（三）特定资格条件：</w:t>
      </w:r>
    </w:p>
    <w:p w14:paraId="5AA680C7">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2、3、4</w:t>
      </w:r>
      <w:r>
        <w:rPr>
          <w:rFonts w:hint="eastAsia" w:asciiTheme="minorEastAsia" w:hAnsiTheme="minorEastAsia" w:eastAsiaTheme="minorEastAsia" w:cstheme="minorEastAsia"/>
          <w:color w:val="auto"/>
          <w:sz w:val="24"/>
          <w:szCs w:val="24"/>
          <w:highlight w:val="none"/>
        </w:rPr>
        <w:t>：投标人须具备行政主管部门颁发的有效期内的《食品经营许可证》</w:t>
      </w:r>
      <w:r>
        <w:rPr>
          <w:rFonts w:hint="eastAsia" w:asciiTheme="minorEastAsia" w:hAnsiTheme="minorEastAsia" w:eastAsiaTheme="minorEastAsia" w:cstheme="minorEastAsia"/>
          <w:color w:val="auto"/>
          <w:sz w:val="24"/>
          <w:szCs w:val="24"/>
          <w:highlight w:val="none"/>
          <w:lang w:val="en-US" w:eastAsia="zh-CN"/>
        </w:rPr>
        <w:t>或仅销售预包装食品经营者备案信息采集表</w:t>
      </w:r>
      <w:r>
        <w:rPr>
          <w:rFonts w:hint="eastAsia" w:asciiTheme="minorEastAsia" w:hAnsiTheme="minorEastAsia" w:eastAsiaTheme="minorEastAsia" w:cstheme="minorEastAsia"/>
          <w:color w:val="auto"/>
          <w:sz w:val="24"/>
          <w:szCs w:val="24"/>
          <w:highlight w:val="none"/>
        </w:rPr>
        <w:t>，提供复印件并加盖投标人公章。</w:t>
      </w:r>
    </w:p>
    <w:p w14:paraId="38C2371F">
      <w:pPr>
        <w:spacing w:line="400" w:lineRule="exact"/>
        <w:ind w:firstLine="480" w:firstLineChars="200"/>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rPr>
        <w:t>包</w:t>
      </w:r>
      <w:r>
        <w:rPr>
          <w:rFonts w:hint="eastAsia" w:asciiTheme="minorEastAsia" w:hAnsiTheme="minorEastAsia" w:eastAsiaTheme="minorEastAsia" w:cstheme="minorEastAsia"/>
          <w:color w:val="auto"/>
          <w:sz w:val="24"/>
          <w:szCs w:val="24"/>
          <w:highlight w:val="none"/>
          <w:lang w:val="en-US" w:eastAsia="zh-CN"/>
        </w:rPr>
        <w:t>5、6</w:t>
      </w:r>
      <w:r>
        <w:rPr>
          <w:rFonts w:hint="eastAsia" w:asciiTheme="minorEastAsia" w:hAnsiTheme="minorEastAsia" w:eastAsiaTheme="minorEastAsia" w:cstheme="minorEastAsia"/>
          <w:color w:val="auto"/>
          <w:sz w:val="24"/>
          <w:szCs w:val="24"/>
          <w:highlight w:val="none"/>
        </w:rPr>
        <w:t>：无。</w:t>
      </w:r>
    </w:p>
    <w:bookmarkEnd w:id="35"/>
    <w:p w14:paraId="07EE3208">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42" w:name="_Toc21201"/>
      <w:bookmarkStart w:id="43" w:name="_Toc18245"/>
      <w:bookmarkStart w:id="44" w:name="_Toc373860294"/>
      <w:bookmarkStart w:id="45" w:name="_Toc28287"/>
      <w:bookmarkStart w:id="46" w:name="_Toc11271"/>
      <w:r>
        <w:rPr>
          <w:rFonts w:hint="eastAsia" w:asciiTheme="minorEastAsia" w:hAnsiTheme="minorEastAsia" w:eastAsiaTheme="minorEastAsia" w:cstheme="minorEastAsia"/>
          <w:color w:val="auto"/>
          <w:sz w:val="24"/>
          <w:szCs w:val="24"/>
          <w:highlight w:val="none"/>
        </w:rPr>
        <w:t>四、磋商有关说明</w:t>
      </w:r>
      <w:bookmarkEnd w:id="42"/>
      <w:bookmarkEnd w:id="43"/>
    </w:p>
    <w:p w14:paraId="55351B10">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（一）供应商需通过“行采家”平台（http://www.gec123.com）进行注册，成为正式供应商方能参与采购活动。</w:t>
      </w:r>
    </w:p>
    <w:p w14:paraId="23030BC2">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凡有意参加磋商的供应商，请在“行采家”平台（http://www.gec123.com）下载或到采购代理机构处领取本项目竞争性磋商文件以及澄清等磋商前公布的所有项目资料，无论供应商下载或领取与否，均视为已知晓所有磋商实质性要求内容。</w:t>
      </w:r>
    </w:p>
    <w:p w14:paraId="4AACAD40">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（三）竞争性磋商公告期限：自采购公告发布之日起三个工作日。</w:t>
      </w:r>
    </w:p>
    <w:bookmarkEnd w:id="36"/>
    <w:bookmarkEnd w:id="44"/>
    <w:bookmarkEnd w:id="45"/>
    <w:bookmarkEnd w:id="46"/>
    <w:p w14:paraId="3FD99B87">
      <w:pPr>
        <w:spacing w:line="400" w:lineRule="exact"/>
        <w:ind w:firstLine="480" w:firstLineChars="200"/>
        <w:rPr>
          <w:rFonts w:hint="eastAsia" w:asciiTheme="minorEastAsia" w:hAnsiTheme="minorEastAsia" w:eastAsiaTheme="minorEastAsia" w:cstheme="minorEastAsia"/>
          <w:color w:val="auto"/>
          <w:sz w:val="24"/>
          <w:szCs w:val="24"/>
          <w:highlight w:val="none"/>
        </w:rPr>
      </w:pPr>
      <w:bookmarkStart w:id="47" w:name="_Toc16535"/>
      <w:bookmarkStart w:id="48" w:name="_Toc5434"/>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）竞争性磋商文件发售期限</w:t>
      </w:r>
    </w:p>
    <w:p w14:paraId="29072C40">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1.竞争性磋商文件发售期（报名期限）：202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27</w:t>
      </w:r>
      <w:r>
        <w:rPr>
          <w:rFonts w:hint="eastAsia" w:asciiTheme="minorEastAsia" w:hAnsiTheme="minorEastAsia" w:eastAsiaTheme="minorEastAsia" w:cstheme="minorEastAsia"/>
          <w:color w:val="auto"/>
          <w:sz w:val="24"/>
          <w:szCs w:val="24"/>
          <w:highlight w:val="none"/>
        </w:rPr>
        <w:t>日至202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31</w:t>
      </w:r>
      <w:r>
        <w:rPr>
          <w:rFonts w:hint="eastAsia" w:asciiTheme="minorEastAsia" w:hAnsiTheme="minorEastAsia" w:eastAsiaTheme="minorEastAsia" w:cstheme="minorEastAsia"/>
          <w:color w:val="auto"/>
          <w:sz w:val="24"/>
          <w:szCs w:val="24"/>
          <w:highlight w:val="none"/>
        </w:rPr>
        <w:t>日17时00分。</w:t>
      </w:r>
    </w:p>
    <w:p w14:paraId="6B3D7A1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bookmarkStart w:id="49" w:name="_Toc76462321"/>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报名方式：竞争性磋商文件发售期</w:t>
      </w:r>
      <w:r>
        <w:rPr>
          <w:rFonts w:hint="eastAsia" w:asciiTheme="minorEastAsia" w:hAnsiTheme="minorEastAsia" w:eastAsiaTheme="minorEastAsia" w:cstheme="minorEastAsia"/>
          <w:color w:val="auto"/>
          <w:sz w:val="24"/>
          <w:szCs w:val="24"/>
          <w:highlight w:val="none"/>
          <w:lang w:val="en-US" w:eastAsia="zh-CN"/>
        </w:rPr>
        <w:t>内将</w:t>
      </w:r>
      <w:r>
        <w:rPr>
          <w:rFonts w:hint="eastAsia" w:asciiTheme="minorEastAsia" w:hAnsiTheme="minorEastAsia" w:eastAsiaTheme="minorEastAsia" w:cstheme="minorEastAsia"/>
          <w:color w:val="auto"/>
          <w:sz w:val="24"/>
          <w:szCs w:val="24"/>
          <w:highlight w:val="none"/>
        </w:rPr>
        <w:t>《采购文件获取登记表》（加盖供应商公章）扫描后发送至</w:t>
      </w:r>
      <w:r>
        <w:rPr>
          <w:rFonts w:hint="eastAsia" w:asciiTheme="minorEastAsia" w:hAnsiTheme="minorEastAsia" w:eastAsiaTheme="minorEastAsia" w:cstheme="minorEastAsia"/>
          <w:color w:val="auto"/>
          <w:sz w:val="24"/>
          <w:szCs w:val="24"/>
          <w:highlight w:val="none"/>
          <w:lang w:val="en-US" w:eastAsia="zh-CN"/>
        </w:rPr>
        <w:t>535077604</w:t>
      </w:r>
      <w:r>
        <w:rPr>
          <w:rFonts w:hint="eastAsia" w:asciiTheme="minorEastAsia" w:hAnsiTheme="minorEastAsia" w:eastAsiaTheme="minorEastAsia" w:cstheme="minorEastAsia"/>
          <w:color w:val="auto"/>
          <w:sz w:val="24"/>
          <w:szCs w:val="24"/>
          <w:highlight w:val="none"/>
        </w:rPr>
        <w:t>@qq.com。</w:t>
      </w:r>
    </w:p>
    <w:p w14:paraId="6D7FD57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竞争性磋商文件售价：人民币</w:t>
      </w:r>
      <w:r>
        <w:rPr>
          <w:rFonts w:hint="eastAsia" w:asciiTheme="minorEastAsia" w:hAnsiTheme="minorEastAsia" w:eastAsiaTheme="minorEastAsia" w:cstheme="minorEastAsia"/>
          <w:color w:val="auto"/>
          <w:sz w:val="24"/>
          <w:szCs w:val="24"/>
          <w:highlight w:val="none"/>
          <w:lang w:val="en-US" w:eastAsia="zh-CN"/>
        </w:rPr>
        <w:t>500</w:t>
      </w:r>
      <w:r>
        <w:rPr>
          <w:rFonts w:hint="eastAsia" w:asciiTheme="minorEastAsia" w:hAnsiTheme="minorEastAsia" w:eastAsiaTheme="minorEastAsia" w:cstheme="minorEastAsia"/>
          <w:color w:val="auto"/>
          <w:sz w:val="24"/>
          <w:szCs w:val="24"/>
          <w:highlight w:val="none"/>
        </w:rPr>
        <w:t>元/包（售后不退）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递交</w:t>
      </w:r>
      <w:r>
        <w:rPr>
          <w:rFonts w:hint="eastAsia" w:asciiTheme="minorEastAsia" w:hAnsiTheme="minorEastAsia" w:eastAsiaTheme="minorEastAsia" w:cstheme="minorEastAsia"/>
          <w:color w:val="auto"/>
          <w:sz w:val="24"/>
          <w:szCs w:val="24"/>
          <w:highlight w:val="none"/>
        </w:rPr>
        <w:t>竞争性磋商文件</w:t>
      </w:r>
      <w:r>
        <w:rPr>
          <w:rFonts w:hint="eastAsia" w:asciiTheme="minorEastAsia" w:hAnsiTheme="minorEastAsia" w:eastAsiaTheme="minorEastAsia" w:cstheme="minorEastAsia"/>
          <w:color w:val="auto"/>
          <w:sz w:val="24"/>
          <w:szCs w:val="24"/>
          <w:highlight w:val="none"/>
          <w:lang w:val="en-US" w:eastAsia="zh-CN"/>
        </w:rPr>
        <w:t>时缴纳</w:t>
      </w:r>
      <w:r>
        <w:rPr>
          <w:rFonts w:hint="eastAsia" w:asciiTheme="minorEastAsia" w:hAnsiTheme="minorEastAsia" w:eastAsiaTheme="minorEastAsia" w:cstheme="minorEastAsia"/>
          <w:color w:val="auto"/>
          <w:sz w:val="24"/>
          <w:szCs w:val="24"/>
          <w:highlight w:val="none"/>
        </w:rPr>
        <w:t>。</w:t>
      </w:r>
    </w:p>
    <w:p w14:paraId="7092A227">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、在磋商文件发售期内报名</w:t>
      </w:r>
      <w:r>
        <w:rPr>
          <w:rFonts w:hint="eastAsia" w:asciiTheme="minorEastAsia" w:hAnsiTheme="minorEastAsia" w:eastAsiaTheme="minorEastAsia" w:cstheme="minorEastAsia"/>
          <w:color w:val="auto"/>
          <w:sz w:val="24"/>
          <w:szCs w:val="24"/>
          <w:highlight w:val="none"/>
          <w:lang w:val="en-US" w:eastAsia="zh-CN"/>
        </w:rPr>
        <w:t>及</w:t>
      </w:r>
      <w:r>
        <w:rPr>
          <w:rFonts w:hint="eastAsia" w:asciiTheme="minorEastAsia" w:hAnsiTheme="minorEastAsia" w:eastAsiaTheme="minorEastAsia" w:cstheme="minorEastAsia"/>
          <w:color w:val="auto"/>
          <w:sz w:val="24"/>
          <w:szCs w:val="24"/>
          <w:highlight w:val="none"/>
        </w:rPr>
        <w:t>购买了招标文件的</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rPr>
        <w:t>，并按时递交了响应文件的供应商，其响应文件才被接收。</w:t>
      </w:r>
    </w:p>
    <w:p w14:paraId="401915D8">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六</w:t>
      </w:r>
      <w:r>
        <w:rPr>
          <w:rFonts w:hint="eastAsia" w:asciiTheme="minorEastAsia" w:hAnsiTheme="minorEastAsia" w:eastAsiaTheme="minorEastAsia" w:cstheme="minorEastAsia"/>
          <w:color w:val="auto"/>
          <w:sz w:val="24"/>
          <w:szCs w:val="24"/>
          <w:highlight w:val="none"/>
        </w:rPr>
        <w:t>）递交响应文件地点：</w:t>
      </w:r>
      <w:r>
        <w:rPr>
          <w:rFonts w:hint="eastAsia" w:asciiTheme="minorEastAsia" w:hAnsiTheme="minorEastAsia" w:eastAsiaTheme="minorEastAsia" w:cstheme="minorEastAsia"/>
          <w:color w:val="auto"/>
          <w:sz w:val="24"/>
          <w:szCs w:val="24"/>
          <w:highlight w:val="none"/>
          <w:lang w:val="en-US" w:eastAsia="zh-CN"/>
        </w:rPr>
        <w:t>重庆市酉阳第二中学校6号楼4楼会议室</w:t>
      </w:r>
      <w:r>
        <w:rPr>
          <w:rFonts w:hint="eastAsia" w:asciiTheme="minorEastAsia" w:hAnsiTheme="minorEastAsia" w:eastAsiaTheme="minorEastAsia" w:cstheme="minorEastAsia"/>
          <w:color w:val="auto"/>
          <w:sz w:val="24"/>
          <w:szCs w:val="24"/>
          <w:highlight w:val="none"/>
        </w:rPr>
        <w:t>。</w:t>
      </w:r>
    </w:p>
    <w:p w14:paraId="7B311F76">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七</w:t>
      </w:r>
      <w:r>
        <w:rPr>
          <w:rFonts w:hint="eastAsia" w:asciiTheme="minorEastAsia" w:hAnsiTheme="minorEastAsia" w:eastAsiaTheme="minorEastAsia" w:cstheme="minorEastAsia"/>
          <w:color w:val="auto"/>
          <w:sz w:val="24"/>
          <w:szCs w:val="24"/>
          <w:highlight w:val="none"/>
        </w:rPr>
        <w:t>）递交响应文件开始时间：202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 xml:space="preserve">0 </w:t>
      </w:r>
    </w:p>
    <w:p w14:paraId="1AA323B1">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八</w:t>
      </w:r>
      <w:r>
        <w:rPr>
          <w:rFonts w:hint="eastAsia" w:asciiTheme="minorEastAsia" w:hAnsiTheme="minorEastAsia" w:eastAsiaTheme="minorEastAsia" w:cstheme="minorEastAsia"/>
          <w:color w:val="auto"/>
          <w:sz w:val="24"/>
          <w:szCs w:val="24"/>
          <w:highlight w:val="none"/>
        </w:rPr>
        <w:t>）递交响应文件截止时间：202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0</w:t>
      </w:r>
      <w:bookmarkStart w:id="431" w:name="_GoBack"/>
      <w:bookmarkEnd w:id="431"/>
    </w:p>
    <w:p w14:paraId="7045B19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九</w:t>
      </w:r>
      <w:r>
        <w:rPr>
          <w:rFonts w:hint="eastAsia" w:asciiTheme="minorEastAsia" w:hAnsiTheme="minorEastAsia" w:eastAsiaTheme="minorEastAsia" w:cstheme="minorEastAsia"/>
          <w:color w:val="auto"/>
          <w:sz w:val="24"/>
          <w:szCs w:val="24"/>
          <w:highlight w:val="none"/>
        </w:rPr>
        <w:t>）磋商开始时间：202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0</w:t>
      </w:r>
      <w:bookmarkEnd w:id="49"/>
    </w:p>
    <w:p w14:paraId="02EC9CCD">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50" w:name="_Toc5914"/>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rPr>
        <w:t>、采购项目需落实的政府采购政策</w:t>
      </w:r>
      <w:bookmarkEnd w:id="50"/>
    </w:p>
    <w:p w14:paraId="1BCDD541">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1BE08A8">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（二）按照财政部、工业和信息化部关于印发《政府采购促进中小企业发展管理办法》的通知（财库〔2020〕46号）的规定，落实促进中小企业发展政策。</w:t>
      </w:r>
    </w:p>
    <w:p w14:paraId="33D29498">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（三）按照《财政部、司法部关于政府采购支持监狱企业发展有关问题的通知》（财库〔2014〕68号）的规定，落实支持监狱企业发展政策。监狱企业视同小型、微型企业。</w:t>
      </w:r>
    </w:p>
    <w:p w14:paraId="653FF1C2">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（四）按照《三部门联合发布关于促进残疾人就业政府采购政策的通知》（财库〔2017〕 141号）的规定，落实支持残疾人福利性单位发展政策。残疾人福利性单位视同小型、微型企业。</w:t>
      </w:r>
    </w:p>
    <w:p w14:paraId="140E9625">
      <w:pPr>
        <w:pageBreakBefore w:val="0"/>
        <w:kinsoku/>
        <w:wordWrap/>
        <w:overflowPunct/>
        <w:topLinePunct w:val="0"/>
        <w:autoSpaceDE/>
        <w:autoSpaceDN/>
        <w:bidi w:val="0"/>
        <w:adjustRightInd/>
        <w:spacing w:line="440" w:lineRule="exact"/>
        <w:ind w:firstLine="482" w:firstLineChars="200"/>
        <w:textAlignment w:val="auto"/>
        <w:outlineLvl w:val="0"/>
        <w:rPr>
          <w:rFonts w:hint="eastAsia" w:asciiTheme="minorEastAsia" w:hAnsiTheme="minorEastAsia" w:eastAsiaTheme="minorEastAsia" w:cstheme="minorEastAsia"/>
          <w:b/>
          <w:bCs/>
          <w:color w:val="auto"/>
          <w:sz w:val="24"/>
          <w:szCs w:val="24"/>
          <w:highlight w:val="none"/>
        </w:rPr>
      </w:pPr>
      <w:bookmarkStart w:id="51" w:name="_Toc26187"/>
      <w:bookmarkStart w:id="52" w:name="_Toc1642"/>
      <w:bookmarkStart w:id="53" w:name="_Toc590"/>
      <w:bookmarkStart w:id="54" w:name="_Toc25127"/>
      <w:r>
        <w:rPr>
          <w:rFonts w:hint="eastAsia" w:asciiTheme="minorEastAsia" w:hAnsiTheme="minorEastAsia" w:eastAsiaTheme="minorEastAsia" w:cstheme="minorEastAsia"/>
          <w:b/>
          <w:bCs/>
          <w:color w:val="auto"/>
          <w:sz w:val="24"/>
          <w:szCs w:val="24"/>
          <w:highlight w:val="none"/>
          <w:lang w:val="en-US" w:eastAsia="zh-CN"/>
        </w:rPr>
        <w:t>六</w:t>
      </w:r>
      <w:r>
        <w:rPr>
          <w:rFonts w:hint="eastAsia" w:asciiTheme="minorEastAsia" w:hAnsiTheme="minorEastAsia" w:eastAsiaTheme="minorEastAsia" w:cstheme="minorEastAsia"/>
          <w:b/>
          <w:bCs/>
          <w:color w:val="auto"/>
          <w:sz w:val="24"/>
          <w:szCs w:val="24"/>
          <w:highlight w:val="none"/>
        </w:rPr>
        <w:t>、其它有关规定</w:t>
      </w:r>
      <w:bookmarkEnd w:id="51"/>
      <w:bookmarkEnd w:id="52"/>
      <w:bookmarkEnd w:id="53"/>
      <w:bookmarkEnd w:id="54"/>
    </w:p>
    <w:p w14:paraId="053F1C44">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（一）单位负责人为同一人或者存在直接控股、管理关系的不同供应商，不得参加同一合同项下的采购活动，否则均为无效响应。</w:t>
      </w:r>
    </w:p>
    <w:p w14:paraId="0DB38E4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（二）为采购项目提供整体设计、规范编制或者项目管理、监理、检测等服务的供应商，不得再参加该采购项目的其他采购活动，否则均为无效响应。</w:t>
      </w:r>
    </w:p>
    <w:p w14:paraId="205D04E1">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（三）本项目在响应文件提交截止时间前发布的竞争性磋商文件及补遗文件（如果有）一律在</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"https://www.gec123.com/"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行采家（http://www.gec123.com）</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网上发布，请各供应商注意下载；无论供应商下载与否，均视同供应商已知晓本项目竞争性磋商文件、补遗文件（如果有）的内容。</w:t>
      </w:r>
    </w:p>
    <w:p w14:paraId="26F19712">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（四）超过响应文件截止时间递交的响应文件为无效文件，恕不接收。</w:t>
      </w:r>
    </w:p>
    <w:p w14:paraId="05EFE11B">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（五）磋商费用：无论磋商结果如何，供应商参与本项目磋商的所有费用均应由供应商自行承担。</w:t>
      </w:r>
    </w:p>
    <w:p w14:paraId="26AECE21">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（六）本项目不接受联合体参与磋商，否则按无效处理。</w:t>
      </w:r>
    </w:p>
    <w:p w14:paraId="66367F1D">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（七）本项目不接受合同分包，否则按无效处理。</w:t>
      </w:r>
    </w:p>
    <w:p w14:paraId="0D5FC844">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EF379D4">
      <w:pPr>
        <w:pStyle w:val="3"/>
        <w:pageBreakBefore w:val="0"/>
        <w:widowControl w:val="0"/>
        <w:kinsoku/>
        <w:wordWrap/>
        <w:overflowPunct/>
        <w:topLinePunct w:val="0"/>
        <w:autoSpaceDE/>
        <w:autoSpaceDN/>
        <w:bidi w:val="0"/>
        <w:adjustRightIn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55" w:name="_Toc27912"/>
      <w:bookmarkStart w:id="56" w:name="_Toc26641"/>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、联系方式</w:t>
      </w:r>
      <w:bookmarkEnd w:id="55"/>
      <w:bookmarkEnd w:id="56"/>
    </w:p>
    <w:p w14:paraId="610F4DF8">
      <w:pPr>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（一）采购人：</w:t>
      </w:r>
      <w:r>
        <w:rPr>
          <w:rFonts w:hint="eastAsia" w:asciiTheme="minorEastAsia" w:hAnsiTheme="minorEastAsia" w:eastAsiaTheme="minorEastAsia" w:cstheme="minorEastAsia"/>
          <w:color w:val="auto"/>
          <w:sz w:val="24"/>
          <w:szCs w:val="24"/>
          <w:highlight w:val="none"/>
          <w:lang w:eastAsia="zh-CN"/>
        </w:rPr>
        <w:t>重庆市酉阳第二中学校</w:t>
      </w:r>
      <w:r>
        <w:rPr>
          <w:rFonts w:hint="eastAsia" w:asciiTheme="minorEastAsia" w:hAnsiTheme="minorEastAsia" w:eastAsiaTheme="minorEastAsia" w:cstheme="minorEastAsia"/>
          <w:color w:val="auto"/>
          <w:sz w:val="24"/>
          <w:szCs w:val="24"/>
          <w:highlight w:val="none"/>
        </w:rPr>
        <w:t xml:space="preserve"> </w:t>
      </w:r>
    </w:p>
    <w:p w14:paraId="61C0A8AF">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李老师</w:t>
      </w:r>
      <w:r>
        <w:rPr>
          <w:rFonts w:hint="eastAsia" w:asciiTheme="minorEastAsia" w:hAnsiTheme="minorEastAsia" w:eastAsiaTheme="minorEastAsia" w:cstheme="minorEastAsia"/>
          <w:color w:val="auto"/>
          <w:sz w:val="24"/>
          <w:szCs w:val="24"/>
          <w:highlight w:val="none"/>
        </w:rPr>
        <w:t xml:space="preserve"> </w:t>
      </w:r>
    </w:p>
    <w:p w14:paraId="3DB6D112">
      <w:pPr>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1"/>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电 </w:t>
      </w:r>
      <w:r>
        <w:rPr>
          <w:rFonts w:hint="eastAsia" w:asciiTheme="minorEastAsia" w:hAnsiTheme="minorEastAsia" w:eastAsiaTheme="minorEastAsia" w:cstheme="minorEastAsia"/>
          <w:color w:val="auto"/>
          <w:sz w:val="24"/>
          <w:szCs w:val="24"/>
          <w:highlight w:val="none"/>
          <w:lang w:eastAsia="zh-CN"/>
        </w:rPr>
        <w:t xml:space="preserve"> 话：</w:t>
      </w:r>
      <w:r>
        <w:rPr>
          <w:rFonts w:hint="eastAsia" w:asciiTheme="minorEastAsia" w:hAnsiTheme="minorEastAsia" w:eastAsiaTheme="minorEastAsia" w:cstheme="minorEastAsia"/>
          <w:color w:val="auto"/>
          <w:sz w:val="24"/>
          <w:szCs w:val="24"/>
          <w:highlight w:val="none"/>
          <w:lang w:val="en-US" w:eastAsia="zh-CN"/>
        </w:rPr>
        <w:t>023-75706676</w:t>
      </w:r>
    </w:p>
    <w:p w14:paraId="1A7ACFF3">
      <w:pPr>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地  址：重庆市酉阳第二中学校(</w:t>
      </w:r>
      <w:r>
        <w:rPr>
          <w:rFonts w:hint="eastAsia" w:asciiTheme="minorEastAsia" w:hAnsiTheme="minorEastAsia" w:eastAsiaTheme="minorEastAsia" w:cstheme="minorEastAsia"/>
          <w:color w:val="auto"/>
          <w:sz w:val="24"/>
          <w:szCs w:val="24"/>
          <w:highlight w:val="none"/>
          <w:lang w:eastAsia="zh-CN"/>
        </w:rPr>
        <w:fldChar w:fldCharType="begin"/>
      </w:r>
      <w:r>
        <w:rPr>
          <w:rFonts w:hint="eastAsia" w:asciiTheme="minorEastAsia" w:hAnsiTheme="minorEastAsia" w:eastAsiaTheme="minorEastAsia" w:cstheme="minorEastAsia"/>
          <w:color w:val="auto"/>
          <w:sz w:val="24"/>
          <w:szCs w:val="24"/>
          <w:highlight w:val="none"/>
          <w:lang w:eastAsia="zh-CN"/>
        </w:rPr>
        <w:instrText xml:space="preserve"> HYPERLINK "http://map.mapbar.com/a_chongqing_youyang_map/" \o "重庆市酉阳土家族苗族自治县地图" \t "https://poi.mapbar.com/chongqing/_blank" </w:instrText>
      </w:r>
      <w:r>
        <w:rPr>
          <w:rFonts w:hint="eastAsia" w:asciiTheme="minorEastAsia" w:hAnsiTheme="minorEastAsia" w:eastAsiaTheme="minorEastAsia" w:cstheme="minorEastAsia"/>
          <w:color w:val="auto"/>
          <w:sz w:val="24"/>
          <w:szCs w:val="24"/>
          <w:highlight w:val="none"/>
          <w:lang w:eastAsia="zh-CN"/>
        </w:rPr>
        <w:fldChar w:fldCharType="separate"/>
      </w:r>
      <w:r>
        <w:rPr>
          <w:rFonts w:hint="eastAsia" w:asciiTheme="minorEastAsia" w:hAnsiTheme="minorEastAsia" w:eastAsiaTheme="minorEastAsia" w:cstheme="minorEastAsia"/>
          <w:color w:val="auto"/>
          <w:sz w:val="24"/>
          <w:szCs w:val="24"/>
          <w:highlight w:val="none"/>
          <w:lang w:eastAsia="zh-CN"/>
        </w:rPr>
        <w:t>酉阳土家族苗族自治县</w:t>
      </w:r>
      <w:r>
        <w:rPr>
          <w:rFonts w:hint="eastAsia" w:asciiTheme="minorEastAsia" w:hAnsiTheme="minorEastAsia" w:eastAsiaTheme="minorEastAsia" w:cstheme="minorEastAsia"/>
          <w:color w:val="auto"/>
          <w:sz w:val="24"/>
          <w:szCs w:val="24"/>
          <w:highlight w:val="none"/>
          <w:lang w:eastAsia="zh-CN"/>
        </w:rPr>
        <w:fldChar w:fldCharType="end"/>
      </w:r>
      <w:r>
        <w:rPr>
          <w:rFonts w:hint="eastAsia" w:asciiTheme="minorEastAsia" w:hAnsiTheme="minorEastAsia" w:eastAsiaTheme="minorEastAsia" w:cstheme="minorEastAsia"/>
          <w:color w:val="auto"/>
          <w:sz w:val="24"/>
          <w:szCs w:val="24"/>
          <w:highlight w:val="none"/>
          <w:lang w:eastAsia="zh-CN"/>
        </w:rPr>
        <w:t>桃花源大道北路20</w:t>
      </w:r>
      <w:r>
        <w:rPr>
          <w:rFonts w:hint="eastAsia" w:asciiTheme="minorEastAsia" w:hAnsiTheme="minorEastAsia" w:eastAsiaTheme="minorEastAsia" w:cstheme="minorEastAsia"/>
          <w:color w:val="auto"/>
          <w:sz w:val="24"/>
          <w:szCs w:val="24"/>
          <w:highlight w:val="none"/>
          <w:lang w:val="en-US" w:eastAsia="zh-CN"/>
        </w:rPr>
        <w:t>号</w:t>
      </w:r>
      <w:r>
        <w:rPr>
          <w:rFonts w:hint="eastAsia" w:asciiTheme="minorEastAsia" w:hAnsiTheme="minorEastAsia" w:eastAsiaTheme="minorEastAsia" w:cstheme="minorEastAsia"/>
          <w:color w:val="auto"/>
          <w:sz w:val="24"/>
          <w:szCs w:val="24"/>
          <w:highlight w:val="none"/>
          <w:lang w:eastAsia="zh-CN"/>
        </w:rPr>
        <w:t>)</w:t>
      </w:r>
    </w:p>
    <w:p w14:paraId="44BE2A51">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（二）采购代理机构：重庆钓鱼城建设监理咨询有限公司</w:t>
      </w:r>
    </w:p>
    <w:p w14:paraId="17ECE5A4">
      <w:pPr>
        <w:pageBreakBefore w:val="0"/>
        <w:widowControl w:val="0"/>
        <w:numPr>
          <w:ilvl w:val="0"/>
          <w:numId w:val="0"/>
        </w:numPr>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杨老师</w:t>
      </w:r>
    </w:p>
    <w:p w14:paraId="17D57D5C">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lang w:val="en-US" w:eastAsia="zh-CN"/>
        </w:rPr>
        <w:t>19142305353</w:t>
      </w:r>
    </w:p>
    <w:p w14:paraId="26C0A8E9">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lang w:eastAsia="zh-CN"/>
        </w:rPr>
        <w:t>重庆市渝北区金开大道1003号力帆红星国际广场C10栋24楼</w:t>
      </w:r>
    </w:p>
    <w:p w14:paraId="6B5F90B8">
      <w:pP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br w:type="page"/>
      </w:r>
    </w:p>
    <w:bookmarkEnd w:id="47"/>
    <w:bookmarkEnd w:id="48"/>
    <w:p w14:paraId="6FA1717A">
      <w:pPr>
        <w:pStyle w:val="3"/>
        <w:numPr>
          <w:ilvl w:val="0"/>
          <w:numId w:val="1"/>
        </w:numPr>
        <w:spacing w:before="0" w:after="0" w:line="360" w:lineRule="auto"/>
        <w:ind w:left="2520" w:leftChars="0" w:firstLineChars="0"/>
        <w:jc w:val="both"/>
        <w:outlineLvl w:val="0"/>
        <w:rPr>
          <w:rFonts w:hint="eastAsia" w:asciiTheme="minorEastAsia" w:hAnsiTheme="minorEastAsia" w:eastAsiaTheme="minorEastAsia" w:cstheme="minorEastAsia"/>
          <w:bCs/>
          <w:color w:val="auto"/>
          <w:sz w:val="44"/>
          <w:szCs w:val="44"/>
          <w:highlight w:val="none"/>
        </w:rPr>
      </w:pPr>
      <w:bookmarkStart w:id="57" w:name="_Toc478823759"/>
      <w:bookmarkStart w:id="58" w:name="_Toc102227313"/>
      <w:r>
        <w:rPr>
          <w:rFonts w:hint="eastAsia" w:asciiTheme="minorEastAsia" w:hAnsiTheme="minorEastAsia" w:eastAsiaTheme="minorEastAsia" w:cstheme="minorEastAsia"/>
          <w:bCs/>
          <w:color w:val="auto"/>
          <w:sz w:val="44"/>
          <w:szCs w:val="44"/>
          <w:highlight w:val="none"/>
        </w:rPr>
        <w:t xml:space="preserve"> </w:t>
      </w:r>
      <w:bookmarkStart w:id="59" w:name="_Toc17270"/>
      <w:bookmarkStart w:id="60" w:name="_Toc15135"/>
      <w:bookmarkStart w:id="61" w:name="_Toc18605"/>
      <w:bookmarkStart w:id="62" w:name="_Toc24328"/>
      <w:r>
        <w:rPr>
          <w:rFonts w:hint="eastAsia" w:asciiTheme="minorEastAsia" w:hAnsiTheme="minorEastAsia" w:eastAsiaTheme="minorEastAsia" w:cstheme="minorEastAsia"/>
          <w:bCs/>
          <w:color w:val="auto"/>
          <w:sz w:val="44"/>
          <w:szCs w:val="44"/>
          <w:highlight w:val="none"/>
          <w:lang w:eastAsia="zh-CN"/>
        </w:rPr>
        <w:t>项目</w:t>
      </w:r>
      <w:r>
        <w:rPr>
          <w:rFonts w:hint="eastAsia" w:asciiTheme="minorEastAsia" w:hAnsiTheme="minorEastAsia" w:eastAsiaTheme="minorEastAsia" w:cstheme="minorEastAsia"/>
          <w:bCs/>
          <w:color w:val="auto"/>
          <w:sz w:val="44"/>
          <w:szCs w:val="44"/>
          <w:highlight w:val="none"/>
          <w:lang w:val="en-US" w:eastAsia="zh-CN"/>
        </w:rPr>
        <w:t>服务</w:t>
      </w:r>
      <w:r>
        <w:rPr>
          <w:rFonts w:hint="eastAsia" w:asciiTheme="minorEastAsia" w:hAnsiTheme="minorEastAsia" w:eastAsiaTheme="minorEastAsia" w:cstheme="minorEastAsia"/>
          <w:bCs/>
          <w:color w:val="auto"/>
          <w:sz w:val="44"/>
          <w:szCs w:val="44"/>
          <w:highlight w:val="none"/>
        </w:rPr>
        <w:t>需求</w:t>
      </w:r>
      <w:bookmarkEnd w:id="57"/>
      <w:bookmarkEnd w:id="59"/>
      <w:bookmarkEnd w:id="60"/>
      <w:bookmarkEnd w:id="61"/>
      <w:bookmarkEnd w:id="62"/>
    </w:p>
    <w:p w14:paraId="2D1EDBDC">
      <w:pPr>
        <w:spacing w:line="360" w:lineRule="auto"/>
        <w:outlineLvl w:val="0"/>
        <w:rPr>
          <w:rFonts w:hint="eastAsia" w:asciiTheme="minorEastAsia" w:hAnsiTheme="minorEastAsia" w:eastAsiaTheme="minorEastAsia" w:cstheme="minorEastAsia"/>
          <w:b/>
          <w:bCs/>
          <w:color w:val="auto"/>
          <w:szCs w:val="28"/>
          <w:highlight w:val="none"/>
        </w:rPr>
      </w:pPr>
      <w:bookmarkStart w:id="63" w:name="_Toc29502"/>
      <w:bookmarkStart w:id="64" w:name="_Toc6687"/>
      <w:bookmarkStart w:id="65" w:name="_Toc24511"/>
      <w:bookmarkStart w:id="66" w:name="_Toc21379"/>
      <w:bookmarkStart w:id="67" w:name="_Toc27406"/>
      <w:bookmarkStart w:id="68" w:name="_Toc26485"/>
      <w:bookmarkStart w:id="69" w:name="_Toc16467"/>
      <w:bookmarkStart w:id="70" w:name="_Toc478823770"/>
      <w:r>
        <w:rPr>
          <w:rFonts w:hint="eastAsia" w:asciiTheme="minorEastAsia" w:hAnsiTheme="minorEastAsia" w:eastAsiaTheme="minorEastAsia" w:cstheme="minorEastAsia"/>
          <w:b/>
          <w:bCs/>
          <w:color w:val="auto"/>
          <w:szCs w:val="28"/>
          <w:highlight w:val="none"/>
        </w:rPr>
        <w:t>一、</w:t>
      </w:r>
      <w:bookmarkStart w:id="71" w:name="_Toc466989946"/>
      <w:r>
        <w:rPr>
          <w:rFonts w:hint="eastAsia" w:asciiTheme="minorEastAsia" w:hAnsiTheme="minorEastAsia" w:eastAsiaTheme="minorEastAsia" w:cstheme="minorEastAsia"/>
          <w:b/>
          <w:bCs/>
          <w:color w:val="auto"/>
          <w:szCs w:val="28"/>
          <w:highlight w:val="none"/>
        </w:rPr>
        <w:t>磋商项目内容</w:t>
      </w:r>
      <w:bookmarkEnd w:id="63"/>
      <w:bookmarkEnd w:id="64"/>
      <w:bookmarkEnd w:id="71"/>
    </w:p>
    <w:tbl>
      <w:tblPr>
        <w:tblStyle w:val="19"/>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5"/>
        <w:gridCol w:w="2141"/>
        <w:gridCol w:w="1273"/>
      </w:tblGrid>
      <w:tr w14:paraId="4353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745" w:type="dxa"/>
            <w:noWrap w:val="0"/>
            <w:vAlign w:val="center"/>
          </w:tcPr>
          <w:p w14:paraId="00855AEE">
            <w:pPr>
              <w:pStyle w:val="7"/>
              <w:spacing w:line="240" w:lineRule="auto"/>
              <w:ind w:left="0"/>
              <w:jc w:val="center"/>
              <w:outlineLvl w:val="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项目名称（或分包名称）</w:t>
            </w:r>
          </w:p>
        </w:tc>
        <w:tc>
          <w:tcPr>
            <w:tcW w:w="2141" w:type="dxa"/>
            <w:noWrap w:val="0"/>
            <w:vAlign w:val="center"/>
          </w:tcPr>
          <w:p w14:paraId="16ECDFF9">
            <w:pPr>
              <w:pStyle w:val="7"/>
              <w:spacing w:line="240" w:lineRule="auto"/>
              <w:ind w:left="0"/>
              <w:jc w:val="center"/>
              <w:outlineLvl w:val="0"/>
              <w:rPr>
                <w:rFonts w:hint="eastAsia" w:asciiTheme="minorEastAsia" w:hAnsiTheme="minorEastAsia" w:eastAsiaTheme="minorEastAsia" w:cstheme="minorEastAsia"/>
                <w:b/>
                <w:color w:val="auto"/>
                <w:sz w:val="24"/>
                <w:szCs w:val="24"/>
                <w:highlight w:val="none"/>
              </w:rPr>
            </w:pPr>
            <w:bookmarkStart w:id="72" w:name="_Toc15114"/>
            <w:r>
              <w:rPr>
                <w:rFonts w:hint="eastAsia" w:asciiTheme="minorEastAsia" w:hAnsiTheme="minorEastAsia" w:eastAsiaTheme="minorEastAsia" w:cstheme="minorEastAsia"/>
                <w:b/>
                <w:color w:val="auto"/>
                <w:sz w:val="24"/>
                <w:szCs w:val="24"/>
                <w:highlight w:val="none"/>
              </w:rPr>
              <w:t>数量/单位</w:t>
            </w:r>
            <w:bookmarkEnd w:id="72"/>
          </w:p>
        </w:tc>
        <w:tc>
          <w:tcPr>
            <w:tcW w:w="1273" w:type="dxa"/>
            <w:noWrap w:val="0"/>
            <w:vAlign w:val="center"/>
          </w:tcPr>
          <w:p w14:paraId="3F51F3AE">
            <w:pPr>
              <w:pStyle w:val="7"/>
              <w:spacing w:line="240" w:lineRule="auto"/>
              <w:ind w:left="0"/>
              <w:jc w:val="center"/>
              <w:outlineLvl w:val="0"/>
              <w:rPr>
                <w:rFonts w:hint="eastAsia" w:asciiTheme="minorEastAsia" w:hAnsiTheme="minorEastAsia" w:eastAsiaTheme="minorEastAsia" w:cstheme="minorEastAsia"/>
                <w:b/>
                <w:color w:val="auto"/>
                <w:sz w:val="24"/>
                <w:szCs w:val="24"/>
                <w:highlight w:val="none"/>
              </w:rPr>
            </w:pPr>
            <w:bookmarkStart w:id="73" w:name="_Toc5564"/>
            <w:r>
              <w:rPr>
                <w:rFonts w:hint="eastAsia" w:asciiTheme="minorEastAsia" w:hAnsiTheme="minorEastAsia" w:eastAsiaTheme="minorEastAsia" w:cstheme="minorEastAsia"/>
                <w:b/>
                <w:color w:val="auto"/>
                <w:sz w:val="24"/>
                <w:szCs w:val="24"/>
                <w:highlight w:val="none"/>
              </w:rPr>
              <w:t>备注</w:t>
            </w:r>
            <w:bookmarkEnd w:id="73"/>
          </w:p>
        </w:tc>
      </w:tr>
      <w:tr w14:paraId="2915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45" w:type="dxa"/>
            <w:noWrap w:val="0"/>
            <w:vAlign w:val="center"/>
          </w:tcPr>
          <w:p w14:paraId="1E9F923B">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包1：重庆市酉阳第二中学校超市商品供应商采购-预包装食品类</w:t>
            </w:r>
          </w:p>
        </w:tc>
        <w:tc>
          <w:tcPr>
            <w:tcW w:w="2141" w:type="dxa"/>
            <w:noWrap w:val="0"/>
            <w:vAlign w:val="center"/>
          </w:tcPr>
          <w:p w14:paraId="5C04045F">
            <w:pPr>
              <w:pStyle w:val="7"/>
              <w:spacing w:line="240" w:lineRule="auto"/>
              <w:ind w:left="0"/>
              <w:jc w:val="center"/>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74" w:name="_Toc28810"/>
            <w:r>
              <w:rPr>
                <w:rFonts w:hint="eastAsia" w:asciiTheme="minorEastAsia" w:hAnsiTheme="minorEastAsia" w:eastAsiaTheme="minorEastAsia" w:cstheme="minorEastAsia"/>
                <w:color w:val="auto"/>
                <w:kern w:val="2"/>
                <w:sz w:val="24"/>
                <w:szCs w:val="24"/>
                <w:highlight w:val="none"/>
                <w:lang w:val="en-US" w:eastAsia="zh-CN" w:bidi="ar-SA"/>
              </w:rPr>
              <w:t>1批</w:t>
            </w:r>
            <w:bookmarkEnd w:id="74"/>
          </w:p>
        </w:tc>
        <w:tc>
          <w:tcPr>
            <w:tcW w:w="1273" w:type="dxa"/>
            <w:noWrap w:val="0"/>
            <w:vAlign w:val="center"/>
          </w:tcPr>
          <w:p w14:paraId="4F02CFCC">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1F34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45" w:type="dxa"/>
            <w:noWrap w:val="0"/>
            <w:vAlign w:val="center"/>
          </w:tcPr>
          <w:p w14:paraId="24E0FC73">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包2：重庆市酉阳第二中学校超市商品供应商采购-饮用水类</w:t>
            </w:r>
          </w:p>
        </w:tc>
        <w:tc>
          <w:tcPr>
            <w:tcW w:w="2141" w:type="dxa"/>
            <w:noWrap w:val="0"/>
            <w:vAlign w:val="center"/>
          </w:tcPr>
          <w:p w14:paraId="6490921C">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1256EF74">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6FA6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45" w:type="dxa"/>
            <w:noWrap w:val="0"/>
            <w:vAlign w:val="center"/>
          </w:tcPr>
          <w:p w14:paraId="1C353BD1">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包3：重庆市酉阳第二中学校超市商品供应商采购-奶制品类</w:t>
            </w:r>
          </w:p>
        </w:tc>
        <w:tc>
          <w:tcPr>
            <w:tcW w:w="2141" w:type="dxa"/>
            <w:noWrap w:val="0"/>
            <w:vAlign w:val="center"/>
          </w:tcPr>
          <w:p w14:paraId="130B189C">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7FE314BA">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1F8F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745" w:type="dxa"/>
            <w:noWrap w:val="0"/>
            <w:vAlign w:val="center"/>
          </w:tcPr>
          <w:p w14:paraId="5999969A">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包4：重庆市酉阳第二中学校超市商品供应商采购-水果类</w:t>
            </w:r>
          </w:p>
        </w:tc>
        <w:tc>
          <w:tcPr>
            <w:tcW w:w="2141" w:type="dxa"/>
            <w:noWrap w:val="0"/>
            <w:vAlign w:val="center"/>
          </w:tcPr>
          <w:p w14:paraId="5ABC570D">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397DA88B">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7AB6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745" w:type="dxa"/>
            <w:noWrap w:val="0"/>
            <w:vAlign w:val="center"/>
          </w:tcPr>
          <w:p w14:paraId="47157F1C">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包5：重庆市酉阳第二中学校超市商品供应商采购-学习用品类</w:t>
            </w:r>
          </w:p>
        </w:tc>
        <w:tc>
          <w:tcPr>
            <w:tcW w:w="2141" w:type="dxa"/>
            <w:noWrap w:val="0"/>
            <w:vAlign w:val="center"/>
          </w:tcPr>
          <w:p w14:paraId="00C3B2AE">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6B657804">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1A09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745" w:type="dxa"/>
            <w:noWrap w:val="0"/>
            <w:vAlign w:val="center"/>
          </w:tcPr>
          <w:p w14:paraId="56AF3E15">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包6：重庆市酉阳第二中学校超市商品供应商采购-生活必需品类</w:t>
            </w:r>
          </w:p>
        </w:tc>
        <w:tc>
          <w:tcPr>
            <w:tcW w:w="2141" w:type="dxa"/>
            <w:noWrap w:val="0"/>
            <w:vAlign w:val="center"/>
          </w:tcPr>
          <w:p w14:paraId="5880B80D">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606E7D8F">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bl>
    <w:p w14:paraId="5B95A3E4">
      <w:pPr>
        <w:spacing w:line="400" w:lineRule="exact"/>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sz w:val="24"/>
          <w:szCs w:val="24"/>
          <w:highlight w:val="none"/>
          <w:lang w:val="en-US" w:eastAsia="zh-CN"/>
        </w:rPr>
        <w:t>所供商品必须是酉阳当地大型商超或批发市场在售商品。</w:t>
      </w:r>
    </w:p>
    <w:p w14:paraId="7D32CCE6">
      <w:pPr>
        <w:pageBreakBefore w:val="0"/>
        <w:widowControl w:val="0"/>
        <w:kinsoku/>
        <w:wordWrap/>
        <w:overflowPunct/>
        <w:topLinePunct w:val="0"/>
        <w:autoSpaceDE/>
        <w:autoSpaceDN/>
        <w:bidi w:val="0"/>
        <w:spacing w:line="400" w:lineRule="exact"/>
        <w:textAlignment w:val="auto"/>
        <w:outlineLvl w:val="0"/>
        <w:rPr>
          <w:rFonts w:hint="eastAsia" w:asciiTheme="minorEastAsia" w:hAnsiTheme="minorEastAsia" w:eastAsiaTheme="minorEastAsia" w:cstheme="minorEastAsia"/>
          <w:b/>
          <w:bCs/>
          <w:color w:val="auto"/>
          <w:szCs w:val="28"/>
          <w:highlight w:val="none"/>
        </w:rPr>
      </w:pPr>
      <w:bookmarkStart w:id="75" w:name="_Toc26345"/>
      <w:bookmarkStart w:id="76" w:name="_Toc13492"/>
      <w:r>
        <w:rPr>
          <w:rFonts w:hint="eastAsia" w:asciiTheme="minorEastAsia" w:hAnsiTheme="minorEastAsia" w:eastAsiaTheme="minorEastAsia" w:cstheme="minorEastAsia"/>
          <w:b/>
          <w:bCs/>
          <w:color w:val="auto"/>
          <w:szCs w:val="28"/>
          <w:highlight w:val="none"/>
        </w:rPr>
        <w:t>二、项目概况简介</w:t>
      </w:r>
      <w:bookmarkEnd w:id="75"/>
      <w:bookmarkEnd w:id="76"/>
    </w:p>
    <w:p w14:paraId="59D13E63">
      <w:pPr>
        <w:pStyle w:val="5"/>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val="en-US" w:eastAsia="zh-CN"/>
        </w:rPr>
        <w:t>重庆市酉阳</w:t>
      </w:r>
      <w:r>
        <w:rPr>
          <w:rFonts w:hint="eastAsia" w:asciiTheme="minorEastAsia" w:hAnsiTheme="minorEastAsia" w:eastAsiaTheme="minorEastAsia" w:cstheme="minorEastAsia"/>
          <w:color w:val="auto"/>
          <w:szCs w:val="24"/>
          <w:highlight w:val="none"/>
          <w:lang w:eastAsia="zh-CN"/>
        </w:rPr>
        <w:t>第二中学校</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lang w:eastAsia="zh-CN"/>
        </w:rPr>
        <w:t>在校学生</w:t>
      </w:r>
      <w:r>
        <w:rPr>
          <w:rFonts w:hint="eastAsia" w:asciiTheme="minorEastAsia" w:hAnsiTheme="minorEastAsia" w:eastAsiaTheme="minorEastAsia" w:cstheme="minorEastAsia"/>
          <w:color w:val="auto"/>
          <w:szCs w:val="24"/>
          <w:highlight w:val="none"/>
          <w:lang w:val="en-US" w:eastAsia="zh-CN"/>
        </w:rPr>
        <w:t>7000</w:t>
      </w:r>
      <w:r>
        <w:rPr>
          <w:rFonts w:hint="eastAsia" w:asciiTheme="minorEastAsia" w:hAnsiTheme="minorEastAsia" w:eastAsiaTheme="minorEastAsia" w:cstheme="minorEastAsia"/>
          <w:color w:val="auto"/>
          <w:szCs w:val="24"/>
          <w:highlight w:val="none"/>
          <w:lang w:eastAsia="zh-CN"/>
        </w:rPr>
        <w:t>人左右，教职工约</w:t>
      </w:r>
      <w:r>
        <w:rPr>
          <w:rFonts w:hint="eastAsia" w:asciiTheme="minorEastAsia" w:hAnsiTheme="minorEastAsia" w:eastAsiaTheme="minorEastAsia" w:cstheme="minorEastAsia"/>
          <w:color w:val="auto"/>
          <w:szCs w:val="24"/>
          <w:highlight w:val="none"/>
          <w:lang w:val="en-US" w:eastAsia="zh-CN"/>
        </w:rPr>
        <w:t>700</w:t>
      </w:r>
      <w:r>
        <w:rPr>
          <w:rFonts w:hint="eastAsia" w:asciiTheme="minorEastAsia" w:hAnsiTheme="minorEastAsia" w:eastAsiaTheme="minorEastAsia" w:cstheme="minorEastAsia"/>
          <w:color w:val="auto"/>
          <w:szCs w:val="24"/>
          <w:highlight w:val="none"/>
          <w:lang w:eastAsia="zh-CN"/>
        </w:rPr>
        <w:t>人。学校有超市</w:t>
      </w:r>
      <w:r>
        <w:rPr>
          <w:rFonts w:hint="eastAsia" w:asciiTheme="minorEastAsia" w:hAnsiTheme="minorEastAsia" w:eastAsiaTheme="minorEastAsia" w:cstheme="minorEastAsia"/>
          <w:color w:val="auto"/>
          <w:szCs w:val="24"/>
          <w:highlight w:val="none"/>
          <w:lang w:val="en-US" w:eastAsia="zh-CN"/>
        </w:rPr>
        <w:t>三</w:t>
      </w:r>
      <w:r>
        <w:rPr>
          <w:rFonts w:hint="eastAsia" w:asciiTheme="minorEastAsia" w:hAnsiTheme="minorEastAsia" w:eastAsiaTheme="minorEastAsia" w:cstheme="minorEastAsia"/>
          <w:color w:val="auto"/>
          <w:szCs w:val="24"/>
          <w:highlight w:val="none"/>
          <w:lang w:eastAsia="zh-CN"/>
        </w:rPr>
        <w:t>个，位于</w:t>
      </w:r>
      <w:r>
        <w:rPr>
          <w:rFonts w:hint="eastAsia" w:asciiTheme="minorEastAsia" w:hAnsiTheme="minorEastAsia" w:eastAsiaTheme="minorEastAsia" w:cstheme="minorEastAsia"/>
          <w:color w:val="auto"/>
          <w:szCs w:val="24"/>
          <w:highlight w:val="none"/>
          <w:lang w:val="en-US" w:eastAsia="zh-CN"/>
        </w:rPr>
        <w:t>校园内</w:t>
      </w:r>
      <w:r>
        <w:rPr>
          <w:rFonts w:hint="eastAsia" w:asciiTheme="minorEastAsia" w:hAnsiTheme="minorEastAsia" w:eastAsiaTheme="minorEastAsia" w:cstheme="minorEastAsia"/>
          <w:color w:val="auto"/>
          <w:szCs w:val="24"/>
          <w:highlight w:val="none"/>
          <w:lang w:eastAsia="zh-CN"/>
        </w:rPr>
        <w:t>，面积约</w:t>
      </w:r>
      <w:r>
        <w:rPr>
          <w:rFonts w:hint="eastAsia" w:asciiTheme="minorEastAsia" w:hAnsiTheme="minorEastAsia" w:eastAsiaTheme="minorEastAsia" w:cstheme="minorEastAsia"/>
          <w:color w:val="auto"/>
          <w:szCs w:val="24"/>
          <w:highlight w:val="none"/>
          <w:lang w:val="en-US" w:eastAsia="zh-CN"/>
        </w:rPr>
        <w:t>1200</w:t>
      </w:r>
      <w:r>
        <w:rPr>
          <w:rFonts w:hint="eastAsia" w:asciiTheme="minorEastAsia" w:hAnsiTheme="minorEastAsia" w:eastAsiaTheme="minorEastAsia" w:cstheme="minorEastAsia"/>
          <w:color w:val="auto"/>
          <w:szCs w:val="24"/>
          <w:highlight w:val="none"/>
          <w:lang w:eastAsia="zh-CN"/>
        </w:rPr>
        <w:t>平方米。</w:t>
      </w:r>
      <w:r>
        <w:rPr>
          <w:rFonts w:hint="eastAsia" w:asciiTheme="minorEastAsia" w:hAnsiTheme="minorEastAsia" w:eastAsiaTheme="minorEastAsia" w:cstheme="minorEastAsia"/>
          <w:color w:val="auto"/>
          <w:szCs w:val="24"/>
          <w:highlight w:val="none"/>
        </w:rPr>
        <w:t>为满足师生日常学习、生活所需</w:t>
      </w:r>
      <w:r>
        <w:rPr>
          <w:rFonts w:hint="eastAsia" w:asciiTheme="minorEastAsia" w:hAnsiTheme="minorEastAsia" w:eastAsiaTheme="minorEastAsia" w:cstheme="minorEastAsia"/>
          <w:color w:val="auto"/>
          <w:szCs w:val="24"/>
          <w:highlight w:val="none"/>
          <w:lang w:eastAsia="zh-CN"/>
        </w:rPr>
        <w:t>为学校</w:t>
      </w:r>
      <w:r>
        <w:rPr>
          <w:rFonts w:hint="eastAsia" w:asciiTheme="minorEastAsia" w:hAnsiTheme="minorEastAsia" w:eastAsiaTheme="minorEastAsia" w:cstheme="minorEastAsia"/>
          <w:color w:val="auto"/>
          <w:szCs w:val="24"/>
          <w:highlight w:val="none"/>
          <w:lang w:val="en-US" w:eastAsia="zh-CN"/>
        </w:rPr>
        <w:t>超市</w:t>
      </w:r>
      <w:r>
        <w:rPr>
          <w:rFonts w:hint="eastAsia" w:asciiTheme="minorEastAsia" w:hAnsiTheme="minorEastAsia" w:eastAsiaTheme="minorEastAsia" w:cstheme="minorEastAsia"/>
          <w:color w:val="auto"/>
          <w:szCs w:val="24"/>
          <w:highlight w:val="none"/>
          <w:lang w:eastAsia="zh-CN"/>
        </w:rPr>
        <w:t>提供纯净水、矿泉水、牛奶、面包、生活用品</w:t>
      </w:r>
      <w:r>
        <w:rPr>
          <w:rFonts w:hint="eastAsia" w:asciiTheme="minorEastAsia" w:hAnsiTheme="minorEastAsia" w:eastAsiaTheme="minorEastAsia" w:cstheme="minorEastAsia"/>
          <w:color w:val="auto"/>
          <w:szCs w:val="24"/>
          <w:highlight w:val="none"/>
          <w:lang w:val="en-US" w:eastAsia="zh-CN"/>
        </w:rPr>
        <w:t>、学习用品及应急用品、水果等，实际配送商品以采购人根据实际需求下单为准。</w:t>
      </w:r>
    </w:p>
    <w:p w14:paraId="2C7047ED">
      <w:pPr>
        <w:pageBreakBefore w:val="0"/>
        <w:widowControl w:val="0"/>
        <w:kinsoku/>
        <w:wordWrap/>
        <w:overflowPunct/>
        <w:topLinePunct w:val="0"/>
        <w:autoSpaceDE/>
        <w:autoSpaceDN/>
        <w:bidi w:val="0"/>
        <w:spacing w:line="400" w:lineRule="exact"/>
        <w:textAlignment w:val="auto"/>
        <w:outlineLvl w:val="0"/>
        <w:rPr>
          <w:rFonts w:hint="eastAsia" w:asciiTheme="minorEastAsia" w:hAnsiTheme="minorEastAsia" w:eastAsiaTheme="minorEastAsia" w:cstheme="minorEastAsia"/>
          <w:b/>
          <w:bCs/>
          <w:color w:val="auto"/>
          <w:szCs w:val="28"/>
          <w:highlight w:val="none"/>
        </w:rPr>
      </w:pPr>
      <w:bookmarkStart w:id="77" w:name="_Toc8979"/>
      <w:bookmarkStart w:id="78" w:name="_Toc29240"/>
      <w:bookmarkStart w:id="79" w:name="_Toc4276"/>
      <w:r>
        <w:rPr>
          <w:rFonts w:hint="eastAsia" w:asciiTheme="minorEastAsia" w:hAnsiTheme="minorEastAsia" w:eastAsiaTheme="minorEastAsia" w:cstheme="minorEastAsia"/>
          <w:b/>
          <w:bCs/>
          <w:color w:val="auto"/>
          <w:szCs w:val="28"/>
          <w:highlight w:val="none"/>
        </w:rPr>
        <w:t>三、</w:t>
      </w:r>
      <w:bookmarkStart w:id="80" w:name="_Toc11409"/>
      <w:r>
        <w:rPr>
          <w:rFonts w:hint="eastAsia" w:asciiTheme="minorEastAsia" w:hAnsiTheme="minorEastAsia" w:eastAsiaTheme="minorEastAsia" w:cstheme="minorEastAsia"/>
          <w:b/>
          <w:bCs/>
          <w:color w:val="auto"/>
          <w:szCs w:val="28"/>
          <w:highlight w:val="none"/>
        </w:rPr>
        <w:t>招标项目服务需求</w:t>
      </w:r>
      <w:bookmarkEnd w:id="77"/>
      <w:bookmarkEnd w:id="80"/>
    </w:p>
    <w:p w14:paraId="5577E9AF">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包1：重庆市酉阳第二中学校超市商品供应商采购-预包装食品类</w:t>
      </w:r>
    </w:p>
    <w:p w14:paraId="725538A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所供商品的必须符合《中华人民共和国食品安全法》等法律法规的相关规定或行业规定的相关标准；并按国家规定或招标人要求提供能证明所供商品符合质量、食品安全管理规定的相关检测报告、质量检验合格证书等资料，提供的商品均在保质期内，不得提供临期或过期产品和假冒伪劣商品。</w:t>
      </w:r>
    </w:p>
    <w:p w14:paraId="14E4271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（二）食品类商品质量要求：</w:t>
      </w:r>
    </w:p>
    <w:p w14:paraId="1051771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so.com/link?m=uY0XAw6HJWL+fDQKKQl/ndbXf07U55GXddV3LRJKRt2vPj2/LQcn35JHges1UMVrTng0IV0BkxbGW6MIPbToAGtQuVfN54AcrzDy2obnWLAoDDS+RnJeeXtKFF3aG9tWuTVz5W9Jz+UTuBfsqQKztDedSLvthdflZNBfQ+ONEtn2erHKyjA2N12Yh8zfL5npm/lDqAMsPlJNetr3ZVt2Ii8RXpRQAMXPkv0c2kjNzP1orKA6W3GSWlQoWW1jbTdxjVfD9zKvZvBIcpqQNMAvrr5p9TCzUpSsacdbwdwxBJBQfq+aAWxKwHGNkJGPnk86yGbUcqXUXJMpcFN28Tr/vE1dQ8hrvGen6NzM7v6jhUGtBEBJ7" \t "https://www.so.com/_blank"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中华人民共和国教育部令第</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rPr>
        <w:t>号《学校食品安全与营养健康管理规定》</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以及《营养与健康学校建设指南》规定，供应商不允许向学校提供高油、高糖、高脂，高添加剂类食品，不允许向学校提供烟、酒、槟榔等食品产品，不允许向学校提供</w:t>
      </w:r>
      <w:r>
        <w:rPr>
          <w:rFonts w:hint="eastAsia" w:asciiTheme="minorEastAsia" w:hAnsiTheme="minorEastAsia" w:eastAsiaTheme="minorEastAsia" w:cstheme="minorEastAsia"/>
          <w:color w:val="auto"/>
          <w:sz w:val="24"/>
          <w:szCs w:val="24"/>
          <w:highlight w:val="none"/>
          <w:lang w:eastAsia="zh-CN"/>
        </w:rPr>
        <w:t>含乳</w:t>
      </w:r>
      <w:r>
        <w:rPr>
          <w:rFonts w:hint="eastAsia" w:asciiTheme="minorEastAsia" w:hAnsiTheme="minorEastAsia" w:eastAsiaTheme="minorEastAsia" w:cstheme="minorEastAsia"/>
          <w:color w:val="auto"/>
          <w:sz w:val="24"/>
          <w:szCs w:val="24"/>
          <w:highlight w:val="none"/>
        </w:rPr>
        <w:t>饮料，碳酸饮料等饮品。</w:t>
      </w:r>
    </w:p>
    <w:p w14:paraId="450A28E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食品无异常气味、变色、霉变、虫蛀等现象；包装完好无损，无破损、变形、污染等情况，包装上的文字、图案清晰，无褪色、模糊等问题；食品标签上的信息齐全，包括食品名称、配料表、净含量、生产日期、保质期、生产厂家、地址、联系方式等。</w:t>
      </w:r>
    </w:p>
    <w:p w14:paraId="2156FC1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饮品包装无破损、变形、漏气、漏液等情况，包装上应标注产品名称、生产厂商名称和地址、生产日期、保质期、产品规格、成分等信息，包装材质应符合相关卫生标准，无毒、无害，不会对产品造成污染；商品的菌落总数、大肠菌群、霉菌和酵母菌等微生物指标符合国家标准或行业标准，对于需要冷藏或冷冻的食品，确保食品在整个供应链中都处于适宜的温度范围内，不得因温度过高而导致的腐败变质。</w:t>
      </w:r>
    </w:p>
    <w:p w14:paraId="6D5AB91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620A618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03C7B25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w:t>
      </w:r>
      <w:r>
        <w:rPr>
          <w:rFonts w:hint="eastAsia" w:asciiTheme="minorEastAsia" w:hAnsiTheme="minorEastAsia" w:eastAsiaTheme="minorEastAsia" w:cstheme="minorEastAsia"/>
          <w:color w:val="auto"/>
          <w:sz w:val="24"/>
          <w:szCs w:val="24"/>
          <w:highlight w:val="none"/>
          <w:lang w:eastAsia="zh-CN"/>
        </w:rPr>
        <w:t>承担人员和车辆在校园内发生的全部安全责任，</w:t>
      </w:r>
      <w:r>
        <w:rPr>
          <w:rFonts w:hint="eastAsia" w:asciiTheme="minorEastAsia" w:hAnsiTheme="minorEastAsia" w:eastAsiaTheme="minorEastAsia" w:cstheme="minorEastAsia"/>
          <w:color w:val="auto"/>
          <w:sz w:val="24"/>
          <w:szCs w:val="24"/>
          <w:highlight w:val="none"/>
        </w:rPr>
        <w:t>并配合招标人的要求作好相关工作。</w:t>
      </w:r>
    </w:p>
    <w:p w14:paraId="309988C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3.物资在运输过程中必须按国家对食品运输相关规定进行运输，对于有温度要求的食品类商品，运输车辆应配备相应的保温或冷藏设备，确保商品在运输过程中温度适宜。</w:t>
      </w:r>
    </w:p>
    <w:p w14:paraId="3F8C99B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食品类商品，所提供的商品和服务应当符合《中华人民共和国食品安全法》的相关规定，符合国家及行业的相关标准。</w:t>
      </w:r>
    </w:p>
    <w:p w14:paraId="1A656EC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计入结算金额中。）</w:t>
      </w:r>
    </w:p>
    <w:p w14:paraId="0B04E1E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0122214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2FF4141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58E366A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w:t>
      </w:r>
      <w:r>
        <w:rPr>
          <w:rFonts w:hint="eastAsia" w:asciiTheme="minorEastAsia" w:hAnsiTheme="minorEastAsia" w:eastAsiaTheme="minorEastAsia" w:cstheme="minorEastAsia"/>
          <w:color w:val="auto"/>
          <w:sz w:val="24"/>
          <w:szCs w:val="24"/>
          <w:highlight w:val="none"/>
          <w:lang w:eastAsia="zh-CN"/>
        </w:rPr>
        <w:t>经营</w:t>
      </w:r>
      <w:r>
        <w:rPr>
          <w:rFonts w:hint="eastAsia" w:asciiTheme="minorEastAsia" w:hAnsiTheme="minorEastAsia" w:eastAsiaTheme="minorEastAsia" w:cstheme="minorEastAsia"/>
          <w:color w:val="auto"/>
          <w:sz w:val="24"/>
          <w:szCs w:val="24"/>
          <w:highlight w:val="none"/>
        </w:rPr>
        <w:t>等不良行为，学校有权进行相关处罚，情节严重的随时终止合同。</w:t>
      </w:r>
    </w:p>
    <w:p w14:paraId="4DED9F5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3036121D">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包2：重庆市酉阳第二中学校超市商品供应商采购-饮用水类</w:t>
      </w:r>
    </w:p>
    <w:p w14:paraId="3309F2A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（一）投标人提供的货品必须符合国家《产品质量法》《</w:t>
      </w:r>
      <w:r>
        <w:rPr>
          <w:rFonts w:hint="eastAsia" w:asciiTheme="minorEastAsia" w:hAnsiTheme="minorEastAsia" w:eastAsiaTheme="minorEastAsia" w:cstheme="minorEastAsia"/>
          <w:color w:val="auto"/>
          <w:sz w:val="24"/>
          <w:szCs w:val="24"/>
          <w:highlight w:val="none"/>
          <w:lang w:val="en-US" w:eastAsia="zh-CN"/>
        </w:rPr>
        <w:t>食品安全</w:t>
      </w:r>
      <w:r>
        <w:rPr>
          <w:rFonts w:hint="eastAsia" w:asciiTheme="minorEastAsia" w:hAnsiTheme="minorEastAsia" w:eastAsiaTheme="minorEastAsia" w:cstheme="minorEastAsia"/>
          <w:color w:val="auto"/>
          <w:sz w:val="24"/>
          <w:szCs w:val="24"/>
          <w:highlight w:val="none"/>
        </w:rPr>
        <w:t>法》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4F4678A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en-US" w:eastAsia="zh-CN"/>
        </w:rPr>
        <w:t>纯净水、矿泉水类</w:t>
      </w:r>
      <w:r>
        <w:rPr>
          <w:rFonts w:hint="eastAsia" w:asciiTheme="minorEastAsia" w:hAnsiTheme="minorEastAsia" w:eastAsiaTheme="minorEastAsia" w:cstheme="minorEastAsia"/>
          <w:color w:val="auto"/>
          <w:sz w:val="24"/>
          <w:szCs w:val="24"/>
          <w:highlight w:val="none"/>
        </w:rPr>
        <w:t>商品质量要求：</w:t>
      </w:r>
    </w:p>
    <w:p w14:paraId="4DE4676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so.com/link?m=uY0XAw6HJWL+fDQKKQl/ndbXf07U55GXddV3LRJKRt2vPj2/LQcn35JHges1UMVrTng0IV0BkxbGW6MIPbToAGtQuVfN54AcrzDy2obnWLAoDDS+RnJeeXtKFF3aG9tWuTVz5W9Jz+UTuBfsqQKztDedSLvthdflZNBfQ+ONEtn2erHKyjA2N12Yh8zfL5npm/lDqAMsPlJNetr3ZVt2Ii8RXpRQAMXPkv0c2kjNzP1orKA6W3GSWlQoWW1jbTdxjVfD9zKvZvBIcpqQNMAvrr5p9TCzUpSsacdbwdwxBJBQfq+aAWxKwHGNkJGPnk86yGbUcqXUXJMpcFN28Tr/vE1dQ8hrvGen6NzM7v6jhUGtBEBJ7" \t "https://www.so.com/_blank"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中华人民共和国教育部令第45号《学校食品安全与营养健康管理规定》</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以及《营养与健康学校建设指南》规定，供应商不允许向学校提供高油、高糖、高脂，高添加剂类食品。</w:t>
      </w:r>
    </w:p>
    <w:p w14:paraId="46AA399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品包装完好无损，无漏气或渗漏，包装上应标注产品名称、生产厂商名称和地址、生产日期、保质期、产品规格、成分等信息，包装材质应符合相关卫生标准，无毒、无害，不会对产品造成污染；商品应具有清晰的外观，无明显异物，气味应纯正，无异常气味；液体饮品应透明（透明型饮品），无沉淀、不分层，浑浊型饮品允许有少量细小果肉，且同一新品的色泽应一致，固体饮品应色泽均匀，无异味、无异嗅，无正常视力可见外来异物；商品的pH值、有效成分含量、重金属含量等理化指标符合国家标准或行业标准；</w:t>
      </w:r>
    </w:p>
    <w:p w14:paraId="18C12D2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641CEBB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6648257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w:t>
      </w:r>
      <w:r>
        <w:rPr>
          <w:rFonts w:hint="eastAsia" w:asciiTheme="minorEastAsia" w:hAnsiTheme="minorEastAsia" w:eastAsiaTheme="minorEastAsia" w:cstheme="minorEastAsia"/>
          <w:color w:val="auto"/>
          <w:sz w:val="24"/>
          <w:szCs w:val="24"/>
          <w:highlight w:val="none"/>
          <w:lang w:eastAsia="zh-CN"/>
        </w:rPr>
        <w:t>承担人员和车辆在校园内发生的全部安全责任，</w:t>
      </w:r>
      <w:r>
        <w:rPr>
          <w:rFonts w:hint="eastAsia" w:asciiTheme="minorEastAsia" w:hAnsiTheme="minorEastAsia" w:eastAsiaTheme="minorEastAsia" w:cstheme="minorEastAsia"/>
          <w:color w:val="auto"/>
          <w:sz w:val="24"/>
          <w:szCs w:val="24"/>
          <w:highlight w:val="none"/>
        </w:rPr>
        <w:t>并配合招标人的要求作好相关工作。</w:t>
      </w:r>
    </w:p>
    <w:p w14:paraId="6A77D25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3.物资在运输过程中必须按国家对食品运输相关规定进行运输，运输车辆还需配备相应的保温或冷藏设备，确保商品在运输过程中温度适宜。</w:t>
      </w:r>
    </w:p>
    <w:p w14:paraId="5D4DF1C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w:t>
      </w:r>
      <w:r>
        <w:rPr>
          <w:rFonts w:hint="eastAsia" w:asciiTheme="minorEastAsia" w:hAnsiTheme="minorEastAsia" w:eastAsiaTheme="minorEastAsia" w:cstheme="minorEastAsia"/>
          <w:color w:val="auto"/>
          <w:sz w:val="24"/>
          <w:szCs w:val="24"/>
          <w:highlight w:val="none"/>
          <w:lang w:eastAsia="zh-CN"/>
        </w:rPr>
        <w:t>纯净水、矿泉水</w:t>
      </w:r>
      <w:r>
        <w:rPr>
          <w:rFonts w:hint="eastAsia" w:asciiTheme="minorEastAsia" w:hAnsiTheme="minorEastAsia" w:eastAsiaTheme="minorEastAsia" w:cstheme="minorEastAsia"/>
          <w:color w:val="auto"/>
          <w:sz w:val="24"/>
          <w:szCs w:val="24"/>
          <w:highlight w:val="none"/>
        </w:rPr>
        <w:t>类商品，所提供的商品和服务应当符合《中华人民共和国食品安全法》的相关规定，符合国家及行业的相关标准。</w:t>
      </w:r>
    </w:p>
    <w:p w14:paraId="0B43A36D">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3B66AD9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06E83A7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7ACC742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765E8FB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5D618A7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53975297">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包3：重庆市酉阳第二中学校超市商品供应商采购-奶制品类</w:t>
      </w:r>
    </w:p>
    <w:p w14:paraId="527B989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所供商品的必须符合《中华人民共和国食品安全法》等法律法规的相关规定或行业规定的相关标准；并按国家规定或招标人要求提供能证明所供商品符合质量、食品安全管理规定的相关检测报告、质量检验合格证书等资料，提供的商品均在保质期内，不得提供临期或过期产品和假冒伪劣商品。</w:t>
      </w:r>
    </w:p>
    <w:p w14:paraId="2FBBCBA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奶制品及冻品类</w:t>
      </w:r>
      <w:r>
        <w:rPr>
          <w:rFonts w:hint="eastAsia" w:asciiTheme="minorEastAsia" w:hAnsiTheme="minorEastAsia" w:eastAsiaTheme="minorEastAsia" w:cstheme="minorEastAsia"/>
          <w:color w:val="auto"/>
          <w:sz w:val="24"/>
          <w:szCs w:val="24"/>
          <w:highlight w:val="none"/>
        </w:rPr>
        <w:t>商品质量要求：</w:t>
      </w:r>
    </w:p>
    <w:p w14:paraId="0D47E30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so.com/link?m=uY0XAw6HJWL+fDQKKQl/ndbXf07U55GXddV3LRJKRt2vPj2/LQcn35JHges1UMVrTng0IV0BkxbGW6MIPbToAGtQuVfN54AcrzDy2obnWLAoDDS+RnJeeXtKFF3aG9tWuTVz5W9Jz+UTuBfsqQKztDedSLvthdflZNBfQ+ONEtn2erHKyjA2N12Yh8zfL5npm/lDqAMsPlJNetr3ZVt2Ii8RXpRQAMXPkv0c2kjNzP1orKA6W3GSWlQoWW1jbTdxjVfD9zKvZvBIcpqQNMAvrr5p9TCzUpSsacdbwdwxBJBQfq+aAWxKwHGNkJGPnk86yGbUcqXUXJMpcFN28Tr/vE1dQ8hrvGen6NzM7v6jhUGtBEBJ7" \t "https://www.so.com/_blank"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中华人民共和国教育部令第45号《学校食品安全与营养健康管理规定》</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以及《营养与健康学校建设指南》规定，供应商不允许向学校提供高油、高糖、高脂，高添加剂类食品。</w:t>
      </w:r>
    </w:p>
    <w:p w14:paraId="4E59DF7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品包装完好无损，无漏气或渗漏，包装上应标注产品名称、生产厂商名称和地址、生产日期、保质期、产品规格、成分等信息，包装材质应符合相关卫生标准，无毒、无害，不会对产品造成污染；商品应具有清晰的外观，无明显异物，气味应纯正，无异常气味；商品的蛋白质含量、脂肪含量、水分含量等理化指标符合国家标准或行业标准；商品的菌落总数、大肠菌群、霉菌和酵母菌等微生物指标符合国家标准或行业标准。</w:t>
      </w:r>
    </w:p>
    <w:p w14:paraId="2305B03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0E735E0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4D78D32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承担人员和车辆在校园内发生的全部安全责任，并配合招标人的要求作好相关工作。</w:t>
      </w:r>
    </w:p>
    <w:p w14:paraId="01728AF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3.物资在运输过程中必须按国家对食品运输相关规定进行运输，运输车辆还需配备相应的保温或冷藏设备，确保商品在运输过程中温度适宜。</w:t>
      </w:r>
    </w:p>
    <w:p w14:paraId="0CAAAA5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奶制品及冻品类商品，所提供的商品和服务应当符合《中华人民共和国食品安全法》的相关规定，符合国家及行业的相关标准。</w:t>
      </w:r>
    </w:p>
    <w:p w14:paraId="039AAB5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032FC80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2882D6B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165912D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40420F4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0052247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080A55C4">
      <w:pPr>
        <w:pageBreakBefore w:val="0"/>
        <w:widowControl w:val="0"/>
        <w:kinsoku/>
        <w:wordWrap/>
        <w:overflowPunct/>
        <w:topLinePunct w:val="0"/>
        <w:autoSpaceDE/>
        <w:autoSpaceDN/>
        <w:bidi w:val="0"/>
        <w:spacing w:line="400" w:lineRule="exact"/>
        <w:textAlignment w:val="auto"/>
        <w:outlineLvl w:val="2"/>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包4：重庆市酉阳第二中学校超市商品供应商采购-水果类</w:t>
      </w:r>
    </w:p>
    <w:p w14:paraId="0F5EAF8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（一）投标人提供的货品必须符合国家《</w:t>
      </w:r>
      <w:r>
        <w:rPr>
          <w:rFonts w:hint="eastAsia" w:asciiTheme="minorEastAsia" w:hAnsiTheme="minorEastAsia" w:eastAsiaTheme="minorEastAsia" w:cstheme="minorEastAsia"/>
          <w:color w:val="auto"/>
          <w:sz w:val="24"/>
          <w:szCs w:val="24"/>
          <w:highlight w:val="none"/>
          <w:lang w:val="en-US" w:eastAsia="zh-CN"/>
        </w:rPr>
        <w:t>中华人民共和国食品安全</w:t>
      </w:r>
      <w:r>
        <w:rPr>
          <w:rFonts w:hint="eastAsia" w:asciiTheme="minorEastAsia" w:hAnsiTheme="minorEastAsia" w:eastAsiaTheme="minorEastAsia" w:cstheme="minorEastAsia"/>
          <w:color w:val="auto"/>
          <w:sz w:val="24"/>
          <w:szCs w:val="24"/>
          <w:highlight w:val="none"/>
        </w:rPr>
        <w:t>法》</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中华人民共和国农产品质量安全</w:t>
      </w:r>
      <w:r>
        <w:rPr>
          <w:rFonts w:hint="eastAsia" w:asciiTheme="minorEastAsia" w:hAnsiTheme="minorEastAsia" w:eastAsiaTheme="minorEastAsia" w:cstheme="minorEastAsia"/>
          <w:color w:val="auto"/>
          <w:sz w:val="24"/>
          <w:szCs w:val="24"/>
          <w:highlight w:val="none"/>
          <w:lang w:eastAsia="zh-CN"/>
        </w:rPr>
        <w:t>法》</w:t>
      </w:r>
      <w:r>
        <w:rPr>
          <w:rFonts w:hint="eastAsia" w:asciiTheme="minorEastAsia" w:hAnsiTheme="minorEastAsia" w:eastAsiaTheme="minorEastAsia" w:cstheme="minorEastAsia"/>
          <w:color w:val="auto"/>
          <w:sz w:val="24"/>
          <w:szCs w:val="24"/>
          <w:highlight w:val="none"/>
        </w:rPr>
        <w:t>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0AAFF46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en-US" w:eastAsia="zh-CN"/>
        </w:rPr>
        <w:t>水果</w:t>
      </w:r>
      <w:r>
        <w:rPr>
          <w:rFonts w:hint="eastAsia" w:asciiTheme="minorEastAsia" w:hAnsiTheme="minorEastAsia" w:eastAsiaTheme="minorEastAsia" w:cstheme="minorEastAsia"/>
          <w:color w:val="auto"/>
          <w:sz w:val="24"/>
          <w:szCs w:val="24"/>
          <w:highlight w:val="none"/>
        </w:rPr>
        <w:t>类商品质量要求：</w:t>
      </w:r>
    </w:p>
    <w:p w14:paraId="682FCDC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1、送货为天然新鲜时令水果，所有水果果形完整、新鲜未软化（软果类除外）；</w:t>
      </w:r>
    </w:p>
    <w:p w14:paraId="19ED24A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2、水果表面干净、清洁，基本不含可见异物；</w:t>
      </w:r>
    </w:p>
    <w:p w14:paraId="72D4A2E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3、无坏死斑块、无腐烂变质和无异味现象；</w:t>
      </w:r>
    </w:p>
    <w:p w14:paraId="6197C9C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4、基本上无虫害和无明显的机械损伤；</w:t>
      </w:r>
    </w:p>
    <w:p w14:paraId="7A40EE7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5、未喷洒农药或农药残留不超标；</w:t>
      </w:r>
    </w:p>
    <w:p w14:paraId="5FFE12A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6、验收计重时去皮去箱去包装纯商品计重。</w:t>
      </w:r>
    </w:p>
    <w:p w14:paraId="54302EF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5E5DB4CD">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33270B59">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承担人员和车辆在校园内发生的全部安全责任</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并配合招标人的要求作好相关工作。</w:t>
      </w:r>
    </w:p>
    <w:p w14:paraId="1988289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w:t>
      </w:r>
      <w:r>
        <w:rPr>
          <w:rFonts w:hint="eastAsia" w:asciiTheme="minorEastAsia" w:hAnsiTheme="minorEastAsia" w:eastAsiaTheme="minorEastAsia" w:cstheme="minorEastAsia"/>
          <w:color w:val="auto"/>
          <w:sz w:val="24"/>
          <w:szCs w:val="24"/>
          <w:highlight w:val="none"/>
          <w:lang w:val="en-US" w:eastAsia="zh-CN"/>
        </w:rPr>
        <w:t>水果</w:t>
      </w:r>
      <w:r>
        <w:rPr>
          <w:rFonts w:hint="eastAsia" w:asciiTheme="minorEastAsia" w:hAnsiTheme="minorEastAsia" w:eastAsiaTheme="minorEastAsia" w:cstheme="minorEastAsia"/>
          <w:color w:val="auto"/>
          <w:sz w:val="24"/>
          <w:szCs w:val="24"/>
          <w:highlight w:val="none"/>
        </w:rPr>
        <w:t>类商品。</w:t>
      </w:r>
    </w:p>
    <w:p w14:paraId="251E770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07C9F6F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25BE7ED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597A559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69ED2C3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44168B7D">
      <w:pPr>
        <w:pStyle w:val="17"/>
        <w:rPr>
          <w:rFonts w:hint="eastAsia"/>
          <w:color w:val="auto"/>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543FCB11">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b/>
          <w:bCs/>
          <w:color w:val="auto"/>
          <w:sz w:val="24"/>
          <w:szCs w:val="24"/>
          <w:highlight w:val="none"/>
          <w:lang w:val="en-US" w:eastAsia="zh-CN"/>
        </w:rPr>
        <w:t>包5：重庆市酉阳第二中学校超市商品供应商采购-学习用品类</w:t>
      </w:r>
    </w:p>
    <w:p w14:paraId="32172333">
      <w:pPr>
        <w:pageBreakBefore w:val="0"/>
        <w:widowControl w:val="0"/>
        <w:numPr>
          <w:ilvl w:val="0"/>
          <w:numId w:val="2"/>
        </w:numPr>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提供的货品必须符合国家《产品质量法》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2790DF0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类商品质量要求：</w:t>
      </w:r>
    </w:p>
    <w:p w14:paraId="52C3500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学习用品类：</w:t>
      </w:r>
    </w:p>
    <w:p w14:paraId="28A5AC99">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所使用的材料应无毒、无害，不得含有对消费者健康有害的物质，对于有边缘和尖端的文具及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如剪刀、刻刀、尺子等，其边缘应圆滑，无毛刺，尖端应经过钝化处理，防止划伤或刺伤消费者；书写工具应书写流畅，不断墨、不漏墨，笔芯不易折断，铅笔的硬度应符合标注要求，书写时字迹清晰，易于擦除，圆珠笔的书写长度应达到国家标准规定的要求，且笔芯油墨的干涸时间应符合规定；绘图工具尺寸准确，刻度清晰，线条流畅，无变形、无损坏，能够满足绘图的精度要求；修正液、修正带等修正工具应修正效果好，涂改后纸张不破损，无明显残留痕迹，且挥发性物质应符合国家标准要求，减少对人体的危害；文件夹、书包等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应结实耐用，承重能力强，拉链、纽扣等配件应牢固，不易损坏；胶水、胶棒等粘合剂应粘性强，无异味，粘合后不易脱落；彩色文具及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如彩色铅笔、水彩笔、马克笔等，色彩应鲜艳、纯正，与标注的颜色一致，色彩还原度高，不易褪色，且不同颜色之间应能很好地搭配和混合，满足绘画和书写的需求。</w:t>
      </w:r>
    </w:p>
    <w:p w14:paraId="2BB0B7C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5172363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62A28D69">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承担人员和车辆在校园内发生的全部安全责任，并配合招标人的要求作好相关工作。</w:t>
      </w:r>
    </w:p>
    <w:p w14:paraId="1EB78FD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类商品。</w:t>
      </w:r>
    </w:p>
    <w:p w14:paraId="493C34A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436E30F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43BCEEBD">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6BEBA7D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6191745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4B5220A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3405FA2B">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b/>
          <w:bCs/>
          <w:color w:val="auto"/>
          <w:sz w:val="24"/>
          <w:szCs w:val="24"/>
          <w:highlight w:val="none"/>
          <w:lang w:val="en-US" w:eastAsia="zh-CN"/>
        </w:rPr>
        <w:t>包6：重庆市酉阳第二中学校超市商品供应商采购-生活必需品类</w:t>
      </w:r>
    </w:p>
    <w:p w14:paraId="2DCBF39C">
      <w:pPr>
        <w:pageBreakBefore w:val="0"/>
        <w:widowControl w:val="0"/>
        <w:numPr>
          <w:ilvl w:val="0"/>
          <w:numId w:val="2"/>
        </w:numPr>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提供的货品必须符合国家《产品质量法》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4CB4F99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生活</w:t>
      </w:r>
      <w:r>
        <w:rPr>
          <w:rFonts w:hint="eastAsia" w:asciiTheme="minorEastAsia" w:hAnsiTheme="minorEastAsia" w:eastAsiaTheme="minorEastAsia" w:cstheme="minorEastAsia"/>
          <w:color w:val="auto"/>
          <w:sz w:val="24"/>
          <w:szCs w:val="24"/>
          <w:highlight w:val="none"/>
          <w:lang w:val="en-US" w:eastAsia="zh-CN"/>
        </w:rPr>
        <w:t>必需品</w:t>
      </w:r>
      <w:r>
        <w:rPr>
          <w:rFonts w:hint="eastAsia" w:asciiTheme="minorEastAsia" w:hAnsiTheme="minorEastAsia" w:eastAsiaTheme="minorEastAsia" w:cstheme="minorEastAsia"/>
          <w:color w:val="auto"/>
          <w:sz w:val="24"/>
          <w:szCs w:val="24"/>
          <w:highlight w:val="none"/>
        </w:rPr>
        <w:t>类商品质量要求：</w:t>
      </w:r>
    </w:p>
    <w:p w14:paraId="31D710A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1、生活必需品类：</w:t>
      </w:r>
    </w:p>
    <w:p w14:paraId="4E3A9A2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所供商品的必须符合法律法规的相关规定或行业规定的相关标准；并按国家规定或招标人要求提供能证明所供商品符合质量、安全管理规定的相关检测报告、质量检验合格证书等资料，提供的商品均在保质期内，不得提供临期或过期产品和假冒伪劣商品。</w:t>
      </w:r>
    </w:p>
    <w:p w14:paraId="268B3F1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73FC3DF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7A929FE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承担人员和车辆在校园内发生的全部安全责任，并配合招标人的要求作好相关工作。</w:t>
      </w:r>
    </w:p>
    <w:p w14:paraId="39221DA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（四）投标人必须具有相应的经营和货源组织能力，有相当的经济实力能力向招标人提供和保障所需的商品。</w:t>
      </w:r>
    </w:p>
    <w:p w14:paraId="76A8A17A">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3604807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6C65EE3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4D377E9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32FFCDB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7EB1943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color w:val="auto"/>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bookmarkEnd w:id="78"/>
    <w:bookmarkEnd w:id="79"/>
    <w:p w14:paraId="328B0BE3">
      <w:pPr>
        <w:pageBreakBefore w:val="0"/>
        <w:widowControl w:val="0"/>
        <w:kinsoku/>
        <w:wordWrap/>
        <w:overflowPunct/>
        <w:topLinePunct w:val="0"/>
        <w:autoSpaceDE/>
        <w:autoSpaceDN/>
        <w:bidi w:val="0"/>
        <w:spacing w:line="400" w:lineRule="exact"/>
        <w:textAlignment w:val="auto"/>
        <w:outlineLvl w:val="0"/>
        <w:rPr>
          <w:rFonts w:hint="eastAsia" w:asciiTheme="minorEastAsia" w:hAnsiTheme="minorEastAsia" w:eastAsiaTheme="minorEastAsia" w:cstheme="minorEastAsia"/>
          <w:b/>
          <w:bCs/>
          <w:color w:val="auto"/>
          <w:szCs w:val="28"/>
          <w:highlight w:val="none"/>
        </w:rPr>
      </w:pPr>
      <w:bookmarkStart w:id="81" w:name="_Toc6308"/>
      <w:bookmarkStart w:id="82" w:name="_Toc3547"/>
      <w:bookmarkStart w:id="83" w:name="_Toc20369"/>
      <w:r>
        <w:rPr>
          <w:rFonts w:hint="eastAsia" w:asciiTheme="minorEastAsia" w:hAnsiTheme="minorEastAsia" w:eastAsiaTheme="minorEastAsia" w:cstheme="minorEastAsia"/>
          <w:b/>
          <w:bCs/>
          <w:color w:val="auto"/>
          <w:szCs w:val="28"/>
          <w:highlight w:val="none"/>
          <w:lang w:val="en-US" w:eastAsia="zh-CN"/>
        </w:rPr>
        <w:t>四</w:t>
      </w:r>
      <w:r>
        <w:rPr>
          <w:rFonts w:hint="eastAsia" w:asciiTheme="minorEastAsia" w:hAnsiTheme="minorEastAsia" w:eastAsiaTheme="minorEastAsia" w:cstheme="minorEastAsia"/>
          <w:b/>
          <w:bCs/>
          <w:color w:val="auto"/>
          <w:szCs w:val="28"/>
          <w:highlight w:val="none"/>
        </w:rPr>
        <w:t>、考核办法</w:t>
      </w:r>
      <w:bookmarkEnd w:id="81"/>
    </w:p>
    <w:p w14:paraId="34A5F18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1.投标人必须按采购</w:t>
      </w:r>
      <w:r>
        <w:rPr>
          <w:rFonts w:hint="eastAsia" w:asciiTheme="minorEastAsia" w:hAnsiTheme="minorEastAsia" w:eastAsiaTheme="minorEastAsia" w:cstheme="minorEastAsia"/>
          <w:color w:val="auto"/>
          <w:sz w:val="24"/>
          <w:szCs w:val="24"/>
          <w:highlight w:val="none"/>
          <w:lang w:eastAsia="zh-CN"/>
        </w:rPr>
        <w:t>人的</w:t>
      </w:r>
      <w:r>
        <w:rPr>
          <w:rFonts w:hint="eastAsia" w:asciiTheme="minorEastAsia" w:hAnsiTheme="minorEastAsia" w:eastAsiaTheme="minorEastAsia" w:cstheme="minorEastAsia"/>
          <w:color w:val="auto"/>
          <w:sz w:val="24"/>
          <w:szCs w:val="24"/>
          <w:highlight w:val="none"/>
        </w:rPr>
        <w:t>通知要求将商品送至采购</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指定地点(送达的时间、送达的地点等内容以采购</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通知为准)；每发生一次投标人未按采购</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通知履行送货义务的情况，投标人除承担相应</w:t>
      </w:r>
      <w:r>
        <w:rPr>
          <w:rFonts w:hint="eastAsia" w:asciiTheme="minorEastAsia" w:hAnsiTheme="minorEastAsia" w:eastAsiaTheme="minorEastAsia" w:cstheme="minorEastAsia"/>
          <w:color w:val="auto"/>
          <w:kern w:val="0"/>
          <w:sz w:val="24"/>
          <w:szCs w:val="24"/>
          <w:highlight w:val="none"/>
        </w:rPr>
        <w:t>处罚责任外，投标人还应按履约保证金的20％向采购单位支付违约金并记入考核，累计三次及以上的招标人有权解除采购合同，履约保证金不予退还。</w:t>
      </w:r>
    </w:p>
    <w:p w14:paraId="3C3F37D8">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2.商品验收时若发现送货数量与订货数量不相符，采购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根据实际情况决定是否进行验收。一般情况下，投标人所送商品数量超过采购单位订单数时，超过部分采购单位可不验收；投标人所送货物低于采购单位订单数时，如送货率不低于95%（含95%）投标人应负责及时补足，如送货率低于95%投标人还应按履约保证金的20％向采购单位支付违约金并计入考核，累计三次及以上送货率低于95%招标人有权解除采购合同，履约保证金不予退还。</w:t>
      </w:r>
    </w:p>
    <w:p w14:paraId="6B033CB5">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3.在服务期内采购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享有对投标人的商品进行抽检的权利。若投标人商品经采购单位抽检不合格，采购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有权退回当批次物资，并且投标人还应按履约保证金的20％向采购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支付违约金并记入考核，累计两次及以上抽检不合格的招标人有权解除采购合同，履约保证金不予退还。如投标人对采购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检查的结果有异议，投标人可送检国家相关检验机构进行检验，送检费用自行承担。若经国家质量检验部门检验为不合格，则采购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有权退回当批次物资，并且投标人还应按履约保证金的40％向采购单位支付违约金，情节严重者采购单位可终止合同、不予退还保证金，如检验结果未发现问题，该批次货物采购单位继续使用。</w:t>
      </w:r>
    </w:p>
    <w:p w14:paraId="289179D3">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投标人应对其提供的商品质量问题承担全部的法律和经济责任。若因投标人商品出现质量问题引起消费者(货物使用者)投诉，一经查实，对未造成事故的，根据情节处以履约保证金的30％的赔款。因投标人商品质量不合格引发产品安全事故或其他责任事故的，投标人应无条件承担由此导致的医药费、差旅费、误工费以及其它受害人提出的所有索赔费用等全部经济责任和法律责任，同时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对投标人处以履约保证金的60％的赔款，情节严重者采购单位可终止合同、不予退还履约保证金。若因投标人商品质量不合格受到国家相关部门查处的，投标人应当积极参与调查处理并承担所有责任，产生的一切费用由投标人支付并赔偿由此给采购单位造成的全部损失，情节严重者采购单位可终止合同、不予退还保证金。</w:t>
      </w:r>
    </w:p>
    <w:p w14:paraId="61038C55">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5.食品类产品配送时不得低于</w:t>
      </w:r>
      <w:r>
        <w:rPr>
          <w:rFonts w:hint="eastAsia" w:asciiTheme="minorEastAsia" w:hAnsiTheme="minorEastAsia" w:eastAsiaTheme="minorEastAsia" w:cstheme="minorEastAsia"/>
          <w:color w:val="auto"/>
          <w:kern w:val="0"/>
          <w:sz w:val="24"/>
          <w:szCs w:val="24"/>
          <w:highlight w:val="none"/>
          <w:lang w:val="en-US" w:eastAsia="zh-CN"/>
        </w:rPr>
        <w:t>70%</w:t>
      </w:r>
      <w:r>
        <w:rPr>
          <w:rFonts w:hint="eastAsia" w:asciiTheme="minorEastAsia" w:hAnsiTheme="minorEastAsia" w:eastAsiaTheme="minorEastAsia" w:cstheme="minorEastAsia"/>
          <w:color w:val="auto"/>
          <w:kern w:val="0"/>
          <w:sz w:val="24"/>
          <w:szCs w:val="24"/>
          <w:highlight w:val="none"/>
        </w:rPr>
        <w:t>的保质期，如低于</w:t>
      </w:r>
      <w:r>
        <w:rPr>
          <w:rFonts w:hint="eastAsia" w:asciiTheme="minorEastAsia" w:hAnsiTheme="minorEastAsia" w:eastAsiaTheme="minorEastAsia" w:cstheme="minorEastAsia"/>
          <w:color w:val="auto"/>
          <w:kern w:val="0"/>
          <w:sz w:val="24"/>
          <w:szCs w:val="24"/>
          <w:highlight w:val="none"/>
          <w:lang w:val="en-US" w:eastAsia="zh-CN"/>
        </w:rPr>
        <w:t>70%</w:t>
      </w:r>
      <w:r>
        <w:rPr>
          <w:rFonts w:hint="eastAsia" w:asciiTheme="minorEastAsia" w:hAnsiTheme="minorEastAsia" w:eastAsiaTheme="minorEastAsia" w:cstheme="minorEastAsia"/>
          <w:color w:val="auto"/>
          <w:kern w:val="0"/>
          <w:sz w:val="24"/>
          <w:szCs w:val="24"/>
          <w:highlight w:val="none"/>
        </w:rPr>
        <w:t>保质期招标人有权拒收，食品临期前，招标人有权进行退换处理，供应商需无条件进行退换货并补足该产品，若出现供应商不再补足或拒绝退换的问题，招标人可按照履约保证金的10%进行扣除。</w:t>
      </w:r>
    </w:p>
    <w:p w14:paraId="560EB935">
      <w:pP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br w:type="page"/>
      </w:r>
    </w:p>
    <w:p w14:paraId="34053346">
      <w:pPr>
        <w:rPr>
          <w:rFonts w:hint="eastAsia" w:asciiTheme="minorEastAsia" w:hAnsiTheme="minorEastAsia" w:eastAsiaTheme="minorEastAsia" w:cstheme="minorEastAsia"/>
          <w:color w:val="auto"/>
          <w:kern w:val="0"/>
          <w:sz w:val="24"/>
          <w:szCs w:val="24"/>
          <w:highlight w:val="none"/>
          <w:lang w:val="en-US" w:eastAsia="zh-CN" w:bidi="ar-SA"/>
        </w:rPr>
      </w:pPr>
    </w:p>
    <w:p w14:paraId="11A9BCC7">
      <w:pPr>
        <w:spacing w:line="360" w:lineRule="auto"/>
        <w:jc w:val="center"/>
        <w:outlineLvl w:val="0"/>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第三篇  项目商务需求</w:t>
      </w:r>
      <w:bookmarkEnd w:id="65"/>
      <w:bookmarkEnd w:id="66"/>
      <w:bookmarkEnd w:id="67"/>
      <w:bookmarkEnd w:id="82"/>
      <w:bookmarkEnd w:id="83"/>
    </w:p>
    <w:p w14:paraId="477BF5BA">
      <w:pPr>
        <w:spacing w:line="360" w:lineRule="auto"/>
        <w:outlineLvl w:val="0"/>
        <w:rPr>
          <w:rFonts w:hint="eastAsia" w:asciiTheme="minorEastAsia" w:hAnsiTheme="minorEastAsia" w:eastAsiaTheme="minorEastAsia" w:cstheme="minorEastAsia"/>
          <w:b/>
          <w:bCs/>
          <w:color w:val="auto"/>
          <w:szCs w:val="28"/>
          <w:highlight w:val="none"/>
        </w:rPr>
      </w:pPr>
      <w:bookmarkStart w:id="84" w:name="_Toc344475120"/>
      <w:bookmarkStart w:id="85" w:name="_Toc19457"/>
      <w:bookmarkStart w:id="86" w:name="_Toc8176"/>
      <w:bookmarkStart w:id="87" w:name="_Toc15772"/>
      <w:bookmarkStart w:id="88" w:name="_Toc16203"/>
      <w:bookmarkStart w:id="89" w:name="_Toc22666"/>
      <w:r>
        <w:rPr>
          <w:rFonts w:hint="eastAsia" w:asciiTheme="minorEastAsia" w:hAnsiTheme="minorEastAsia" w:eastAsiaTheme="minorEastAsia" w:cstheme="minorEastAsia"/>
          <w:b/>
          <w:bCs/>
          <w:color w:val="auto"/>
          <w:szCs w:val="28"/>
          <w:highlight w:val="none"/>
        </w:rPr>
        <w:t>一、</w:t>
      </w:r>
      <w:bookmarkEnd w:id="84"/>
      <w:r>
        <w:rPr>
          <w:rFonts w:hint="eastAsia" w:asciiTheme="minorEastAsia" w:hAnsiTheme="minorEastAsia" w:eastAsiaTheme="minorEastAsia" w:cstheme="minorEastAsia"/>
          <w:b/>
          <w:bCs/>
          <w:color w:val="auto"/>
          <w:szCs w:val="28"/>
          <w:highlight w:val="none"/>
        </w:rPr>
        <w:t>服务时间、服务地点及验收方式</w:t>
      </w:r>
      <w:bookmarkEnd w:id="85"/>
      <w:bookmarkEnd w:id="86"/>
      <w:bookmarkEnd w:id="87"/>
      <w:bookmarkEnd w:id="88"/>
      <w:bookmarkEnd w:id="89"/>
    </w:p>
    <w:p w14:paraId="6E79ED0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bookmarkStart w:id="90" w:name="_Toc344475121"/>
      <w:bookmarkStart w:id="91" w:name="_Toc29584"/>
      <w:bookmarkStart w:id="92" w:name="_Toc29822"/>
      <w:bookmarkStart w:id="93" w:name="_Toc27346"/>
      <w:r>
        <w:rPr>
          <w:rFonts w:hint="eastAsia" w:asciiTheme="minorEastAsia" w:hAnsiTheme="minorEastAsia" w:eastAsiaTheme="minorEastAsia" w:cstheme="minorEastAsia"/>
          <w:color w:val="auto"/>
          <w:kern w:val="0"/>
          <w:sz w:val="24"/>
          <w:szCs w:val="24"/>
          <w:highlight w:val="none"/>
        </w:rPr>
        <w:t>（一）服务时间：</w:t>
      </w:r>
      <w:r>
        <w:rPr>
          <w:rFonts w:hint="eastAsia" w:asciiTheme="minorEastAsia" w:hAnsiTheme="minorEastAsia" w:eastAsiaTheme="minorEastAsia" w:cstheme="minorEastAsia"/>
          <w:color w:val="auto"/>
          <w:kern w:val="0"/>
          <w:sz w:val="24"/>
          <w:szCs w:val="24"/>
          <w:highlight w:val="none"/>
          <w:lang w:eastAsia="zh-CN"/>
        </w:rPr>
        <w:t>本</w:t>
      </w:r>
      <w:r>
        <w:rPr>
          <w:rFonts w:hint="eastAsia" w:asciiTheme="minorEastAsia" w:hAnsiTheme="minorEastAsia" w:eastAsiaTheme="minorEastAsia" w:cstheme="minorEastAsia"/>
          <w:color w:val="auto"/>
          <w:kern w:val="0"/>
          <w:sz w:val="24"/>
          <w:szCs w:val="24"/>
          <w:highlight w:val="none"/>
          <w:lang w:val="en-US" w:eastAsia="zh-CN"/>
        </w:rPr>
        <w:t>次采购</w:t>
      </w:r>
      <w:r>
        <w:rPr>
          <w:rFonts w:hint="eastAsia" w:asciiTheme="minorEastAsia" w:hAnsiTheme="minorEastAsia" w:eastAsiaTheme="minorEastAsia" w:cstheme="minorEastAsia"/>
          <w:color w:val="auto"/>
          <w:kern w:val="0"/>
          <w:sz w:val="24"/>
          <w:szCs w:val="24"/>
          <w:highlight w:val="none"/>
          <w:lang w:eastAsia="zh-CN"/>
        </w:rPr>
        <w:t>供货</w:t>
      </w:r>
      <w:r>
        <w:rPr>
          <w:rFonts w:hint="eastAsia" w:asciiTheme="minorEastAsia" w:hAnsiTheme="minorEastAsia" w:eastAsiaTheme="minorEastAsia" w:cstheme="minorEastAsia"/>
          <w:color w:val="auto"/>
          <w:sz w:val="24"/>
          <w:szCs w:val="24"/>
          <w:highlight w:val="none"/>
          <w:lang w:val="en-US" w:eastAsia="zh-CN"/>
        </w:rPr>
        <w:t>服务期限为3年（合同一年一签）。到期后自动终止，采购人重新组织招标，不自动续签。采购人由于办学、统一规划、政策影响等不可抗拒原因，有权单方面解除合同，中标人应无条件支持配合。</w:t>
      </w:r>
    </w:p>
    <w:p w14:paraId="17DB29ED">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（二）服务地点：</w:t>
      </w:r>
      <w:r>
        <w:rPr>
          <w:rFonts w:hint="eastAsia" w:asciiTheme="minorEastAsia" w:hAnsiTheme="minorEastAsia" w:eastAsiaTheme="minorEastAsia" w:cstheme="minorEastAsia"/>
          <w:color w:val="auto"/>
          <w:kern w:val="0"/>
          <w:sz w:val="24"/>
          <w:szCs w:val="24"/>
          <w:highlight w:val="none"/>
          <w:lang w:eastAsia="zh-CN"/>
        </w:rPr>
        <w:t>重庆市酉阳第二中学校校园超市，</w:t>
      </w:r>
      <w:r>
        <w:rPr>
          <w:rFonts w:hint="eastAsia" w:asciiTheme="minorEastAsia" w:hAnsiTheme="minorEastAsia" w:eastAsiaTheme="minorEastAsia" w:cstheme="minorEastAsia"/>
          <w:color w:val="auto"/>
          <w:kern w:val="0"/>
          <w:sz w:val="24"/>
          <w:szCs w:val="24"/>
          <w:highlight w:val="none"/>
        </w:rPr>
        <w:t>具体以采购人通知为准。</w:t>
      </w:r>
    </w:p>
    <w:p w14:paraId="7095FF4E">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（三）验收方式：</w:t>
      </w:r>
      <w:bookmarkStart w:id="94" w:name="_Hlk99619385"/>
      <w:bookmarkStart w:id="95" w:name="_Toc16691"/>
      <w:bookmarkStart w:id="96" w:name="_Toc15485"/>
      <w:r>
        <w:rPr>
          <w:rFonts w:hint="eastAsia" w:asciiTheme="minorEastAsia" w:hAnsiTheme="minorEastAsia" w:eastAsiaTheme="minorEastAsia" w:cstheme="minorEastAsia"/>
          <w:color w:val="auto"/>
          <w:kern w:val="0"/>
          <w:sz w:val="24"/>
          <w:szCs w:val="24"/>
          <w:highlight w:val="none"/>
          <w:lang w:eastAsia="zh-CN"/>
        </w:rPr>
        <w:t>由招标人指定的相关人员，按照本招标文件及合同要求对货品进行验收。验收标准如下：</w:t>
      </w:r>
    </w:p>
    <w:p w14:paraId="5F45B844">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1.质量符合国家有关规定，附有产品合格证；</w:t>
      </w:r>
    </w:p>
    <w:p w14:paraId="5E578DB1">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2.商品的品种、数量准确、真实，与招标人的需求清单相符；</w:t>
      </w:r>
    </w:p>
    <w:p w14:paraId="11A33D1E">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3.商品外包装完好无损，涉及真空包装的商品真空包装应完好。如有缺漏、损坏或因投标人提供的商品本身存在的质量问题，由中标人负责调换、补齐或赔偿；并对因质量问题引起的一切后果承担责任；</w:t>
      </w:r>
    </w:p>
    <w:p w14:paraId="28C7B696">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4.商品及其外包装应注明生产日期或有效期、截止日期中任一项，严禁提供日期标注模糊的商品；</w:t>
      </w:r>
    </w:p>
    <w:p w14:paraId="19E5F101">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5.有保质期要求的商品在交验给招标人时应至少留有</w:t>
      </w:r>
      <w:r>
        <w:rPr>
          <w:rFonts w:hint="eastAsia" w:asciiTheme="minorEastAsia" w:hAnsiTheme="minorEastAsia" w:eastAsiaTheme="minorEastAsia" w:cstheme="minorEastAsia"/>
          <w:color w:val="auto"/>
          <w:kern w:val="0"/>
          <w:sz w:val="24"/>
          <w:szCs w:val="24"/>
          <w:highlight w:val="none"/>
          <w:lang w:val="en-US" w:eastAsia="zh-CN"/>
        </w:rPr>
        <w:t>7</w:t>
      </w:r>
      <w:r>
        <w:rPr>
          <w:rFonts w:hint="eastAsia" w:asciiTheme="minorEastAsia" w:hAnsiTheme="minorEastAsia" w:eastAsiaTheme="minorEastAsia" w:cstheme="minorEastAsia"/>
          <w:color w:val="auto"/>
          <w:kern w:val="0"/>
          <w:sz w:val="24"/>
          <w:szCs w:val="24"/>
          <w:highlight w:val="none"/>
          <w:lang w:eastAsia="zh-CN"/>
        </w:rPr>
        <w:t>0%的保质期；</w:t>
      </w:r>
    </w:p>
    <w:p w14:paraId="1861D936">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6.随货提供当批货物质量检验合格证书等资料。</w:t>
      </w:r>
    </w:p>
    <w:bookmarkEnd w:id="94"/>
    <w:p w14:paraId="55856478">
      <w:pPr>
        <w:keepNext w:val="0"/>
        <w:keepLines w:val="0"/>
        <w:pageBreakBefore w:val="0"/>
        <w:widowControl w:val="0"/>
        <w:kinsoku/>
        <w:wordWrap/>
        <w:overflowPunct/>
        <w:topLinePunct w:val="0"/>
        <w:autoSpaceDE/>
        <w:autoSpaceDN/>
        <w:bidi w:val="0"/>
        <w:spacing w:line="400" w:lineRule="exact"/>
        <w:outlineLvl w:val="0"/>
        <w:rPr>
          <w:rFonts w:hint="eastAsia"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二、</w:t>
      </w:r>
      <w:bookmarkEnd w:id="90"/>
      <w:r>
        <w:rPr>
          <w:rFonts w:hint="eastAsia" w:asciiTheme="minorEastAsia" w:hAnsiTheme="minorEastAsia" w:eastAsiaTheme="minorEastAsia" w:cstheme="minorEastAsia"/>
          <w:b/>
          <w:bCs/>
          <w:color w:val="auto"/>
          <w:szCs w:val="28"/>
          <w:highlight w:val="none"/>
        </w:rPr>
        <w:t>报价要求</w:t>
      </w:r>
      <w:bookmarkEnd w:id="91"/>
      <w:bookmarkEnd w:id="92"/>
      <w:bookmarkEnd w:id="93"/>
      <w:bookmarkEnd w:id="95"/>
      <w:bookmarkEnd w:id="96"/>
    </w:p>
    <w:p w14:paraId="12F92E2C">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bookmarkStart w:id="97" w:name="_Toc267320051"/>
      <w:bookmarkStart w:id="98" w:name="_Toc441065669"/>
      <w:bookmarkStart w:id="99" w:name="_Toc11643"/>
      <w:bookmarkStart w:id="100" w:name="_Toc26649"/>
      <w:bookmarkStart w:id="101" w:name="_Toc995"/>
      <w:bookmarkStart w:id="102" w:name="_Toc16106"/>
      <w:bookmarkStart w:id="103" w:name="_Toc12399"/>
      <w:bookmarkStart w:id="104" w:name="_Toc344475122"/>
      <w:bookmarkStart w:id="105" w:name="_Toc12508"/>
      <w:bookmarkStart w:id="106" w:name="_Toc27680"/>
      <w:bookmarkStart w:id="107" w:name="_Toc4818"/>
      <w:r>
        <w:rPr>
          <w:rFonts w:hint="eastAsia" w:asciiTheme="minorEastAsia" w:hAnsiTheme="minorEastAsia" w:eastAsiaTheme="minorEastAsia" w:cstheme="minorEastAsia"/>
          <w:color w:val="auto"/>
          <w:sz w:val="24"/>
          <w:szCs w:val="24"/>
          <w:highlight w:val="none"/>
        </w:rPr>
        <w:t>1、本次磋商报价由供应商结合自身实力、市场行情，参照</w:t>
      </w:r>
      <w:r>
        <w:rPr>
          <w:rFonts w:hint="eastAsia" w:asciiTheme="minorEastAsia" w:hAnsiTheme="minorEastAsia" w:eastAsiaTheme="minorEastAsia" w:cstheme="minorEastAsia"/>
          <w:color w:val="auto"/>
          <w:sz w:val="24"/>
          <w:szCs w:val="24"/>
          <w:highlight w:val="none"/>
          <w:lang w:eastAsia="zh-CN"/>
        </w:rPr>
        <w:t>县</w:t>
      </w:r>
      <w:r>
        <w:rPr>
          <w:rFonts w:hint="eastAsia" w:asciiTheme="minorEastAsia" w:hAnsiTheme="minorEastAsia" w:eastAsiaTheme="minorEastAsia" w:cstheme="minorEastAsia"/>
          <w:color w:val="auto"/>
          <w:sz w:val="24"/>
          <w:szCs w:val="24"/>
          <w:highlight w:val="none"/>
        </w:rPr>
        <w:t>内大型超市</w:t>
      </w:r>
      <w:r>
        <w:rPr>
          <w:rFonts w:hint="eastAsia" w:asciiTheme="minorEastAsia" w:hAnsiTheme="minorEastAsia" w:eastAsiaTheme="minorEastAsia" w:cstheme="minorEastAsia"/>
          <w:color w:val="auto"/>
          <w:sz w:val="24"/>
          <w:szCs w:val="24"/>
          <w:highlight w:val="none"/>
          <w:lang w:eastAsia="zh-CN"/>
        </w:rPr>
        <w:t>或批发市场</w:t>
      </w:r>
      <w:r>
        <w:rPr>
          <w:rFonts w:hint="eastAsia" w:asciiTheme="minorEastAsia" w:hAnsiTheme="minorEastAsia" w:eastAsiaTheme="minorEastAsia" w:cstheme="minorEastAsia"/>
          <w:color w:val="auto"/>
          <w:sz w:val="24"/>
          <w:szCs w:val="24"/>
          <w:highlight w:val="none"/>
        </w:rPr>
        <w:t>同品种同规格商品挂牌销售价格（特价商品除外）为标准进行报价，自行填报</w:t>
      </w:r>
      <w:r>
        <w:rPr>
          <w:rFonts w:hint="eastAsia" w:asciiTheme="minorEastAsia" w:hAnsiTheme="minorEastAsia" w:eastAsiaTheme="minorEastAsia" w:cstheme="minorEastAsia"/>
          <w:color w:val="auto"/>
          <w:kern w:val="2"/>
          <w:sz w:val="24"/>
          <w:szCs w:val="24"/>
          <w:highlight w:val="none"/>
          <w:lang w:val="en-US" w:eastAsia="zh-CN" w:bidi="ar-SA"/>
        </w:rPr>
        <w:t>投标报价费率</w:t>
      </w:r>
      <w:r>
        <w:rPr>
          <w:rFonts w:hint="eastAsia" w:asciiTheme="minorEastAsia" w:hAnsiTheme="minorEastAsia" w:eastAsiaTheme="minorEastAsia" w:cstheme="minorEastAsia"/>
          <w:color w:val="auto"/>
          <w:sz w:val="24"/>
          <w:szCs w:val="24"/>
          <w:highlight w:val="none"/>
        </w:rPr>
        <w:t>，百分号前保留整数，自主合理报价。本项目报价包括完成本项目所需的商品费、运输费、装卸费、人工费、设备设施费、通讯费、交通费及各种应纳的税费等货到采购人指定地点的所有费用，以及采购代理服务费等一切费用。因成交供应商自身原因造成漏报、少报皆由其自行承担责任，采购人不再补偿。</w:t>
      </w:r>
    </w:p>
    <w:p w14:paraId="73F7E1B3">
      <w:pPr>
        <w:pStyle w:val="11"/>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kern w:val="2"/>
          <w:sz w:val="24"/>
          <w:szCs w:val="24"/>
          <w:highlight w:val="none"/>
          <w:lang w:val="en-US" w:eastAsia="zh-CN" w:bidi="ar-SA"/>
        </w:rPr>
        <w:t>投标报价费率须</w:t>
      </w:r>
      <w:r>
        <w:rPr>
          <w:rFonts w:hint="eastAsia" w:asciiTheme="minorEastAsia" w:hAnsiTheme="minorEastAsia" w:eastAsiaTheme="minorEastAsia" w:cstheme="minorEastAsia"/>
          <w:color w:val="auto"/>
          <w:sz w:val="24"/>
          <w:szCs w:val="24"/>
          <w:highlight w:val="none"/>
          <w:lang w:val="en-US" w:eastAsia="zh-CN"/>
        </w:rPr>
        <w:t>在报价区间内填报，否则为无效投标。合同期内采购根据采购人询价价格、中标</w:t>
      </w:r>
      <w:r>
        <w:rPr>
          <w:rFonts w:hint="eastAsia" w:asciiTheme="minorEastAsia" w:hAnsiTheme="minorEastAsia" w:eastAsiaTheme="minorEastAsia" w:cstheme="minorEastAsia"/>
          <w:color w:val="auto"/>
          <w:kern w:val="2"/>
          <w:sz w:val="24"/>
          <w:szCs w:val="24"/>
          <w:highlight w:val="none"/>
          <w:lang w:val="en-US" w:eastAsia="zh-CN" w:bidi="ar-SA"/>
        </w:rPr>
        <w:t>报价费率</w:t>
      </w:r>
      <w:r>
        <w:rPr>
          <w:rFonts w:hint="eastAsia" w:asciiTheme="minorEastAsia" w:hAnsiTheme="minorEastAsia" w:eastAsiaTheme="minorEastAsia" w:cstheme="minorEastAsia"/>
          <w:color w:val="auto"/>
          <w:sz w:val="24"/>
          <w:szCs w:val="24"/>
          <w:highlight w:val="none"/>
          <w:lang w:val="en-US" w:eastAsia="zh-CN"/>
        </w:rPr>
        <w:t>和采购数量据实结算。以采购人附近的佳惠等大型超市或批发市场等大型市场同类商品当日平均零售价为指导价，进行单价</w:t>
      </w:r>
      <w:r>
        <w:rPr>
          <w:rFonts w:hint="eastAsia" w:asciiTheme="minorEastAsia" w:hAnsiTheme="minorEastAsia" w:eastAsiaTheme="minorEastAsia" w:cstheme="minorEastAsia"/>
          <w:color w:val="auto"/>
          <w:kern w:val="2"/>
          <w:sz w:val="24"/>
          <w:szCs w:val="24"/>
          <w:highlight w:val="none"/>
          <w:lang w:val="en-US" w:eastAsia="zh-CN" w:bidi="ar-SA"/>
        </w:rPr>
        <w:t>报价费率</w:t>
      </w:r>
      <w:r>
        <w:rPr>
          <w:rFonts w:hint="eastAsia" w:asciiTheme="minorEastAsia" w:hAnsiTheme="minorEastAsia" w:eastAsiaTheme="minorEastAsia" w:cstheme="minorEastAsia"/>
          <w:color w:val="auto"/>
          <w:sz w:val="24"/>
          <w:szCs w:val="24"/>
          <w:highlight w:val="none"/>
          <w:lang w:val="en-US" w:eastAsia="zh-CN"/>
        </w:rPr>
        <w:t>填报。（若投标人填报的</w:t>
      </w:r>
      <w:r>
        <w:rPr>
          <w:rFonts w:hint="eastAsia" w:asciiTheme="minorEastAsia" w:hAnsiTheme="minorEastAsia" w:eastAsiaTheme="minorEastAsia" w:cstheme="minorEastAsia"/>
          <w:color w:val="auto"/>
          <w:kern w:val="2"/>
          <w:sz w:val="24"/>
          <w:szCs w:val="24"/>
          <w:highlight w:val="none"/>
          <w:lang w:val="en-US" w:eastAsia="zh-CN" w:bidi="ar-SA"/>
        </w:rPr>
        <w:t>中标报价费率</w:t>
      </w:r>
      <w:r>
        <w:rPr>
          <w:rFonts w:hint="eastAsia" w:asciiTheme="minorEastAsia" w:hAnsiTheme="minorEastAsia" w:eastAsiaTheme="minorEastAsia" w:cstheme="minorEastAsia"/>
          <w:color w:val="auto"/>
          <w:sz w:val="24"/>
          <w:szCs w:val="24"/>
          <w:highlight w:val="none"/>
          <w:lang w:val="en-US" w:eastAsia="zh-CN"/>
        </w:rPr>
        <w:t>为68%，若某种品目询价的不同超市的即时价格平均价为10元/斤，则该种品目的结算单价为6.8元/斤）。</w:t>
      </w:r>
      <w:r>
        <w:rPr>
          <w:rFonts w:hint="eastAsia" w:asciiTheme="minorEastAsia" w:hAnsiTheme="minorEastAsia" w:eastAsiaTheme="minorEastAsia" w:cstheme="minorEastAsia"/>
          <w:color w:val="auto"/>
          <w:kern w:val="2"/>
          <w:sz w:val="24"/>
          <w:szCs w:val="24"/>
          <w:highlight w:val="none"/>
          <w:lang w:val="en-US" w:eastAsia="zh-CN" w:bidi="ar-SA"/>
        </w:rPr>
        <w:t>投标报价费率</w:t>
      </w:r>
      <w:r>
        <w:rPr>
          <w:rFonts w:hint="eastAsia" w:asciiTheme="minorEastAsia" w:hAnsiTheme="minorEastAsia" w:eastAsiaTheme="minorEastAsia" w:cstheme="minorEastAsia"/>
          <w:color w:val="auto"/>
          <w:sz w:val="24"/>
          <w:szCs w:val="24"/>
          <w:highlight w:val="none"/>
          <w:lang w:val="en-US" w:eastAsia="zh-CN"/>
        </w:rPr>
        <w:t>不允许保留百分号前小数，否则为无效投标。</w:t>
      </w:r>
    </w:p>
    <w:bookmarkEnd w:id="97"/>
    <w:bookmarkEnd w:id="98"/>
    <w:p w14:paraId="5C841B25">
      <w:pPr>
        <w:keepNext w:val="0"/>
        <w:keepLines w:val="0"/>
        <w:pageBreakBefore w:val="0"/>
        <w:widowControl w:val="0"/>
        <w:kinsoku/>
        <w:wordWrap/>
        <w:overflowPunct/>
        <w:topLinePunct w:val="0"/>
        <w:autoSpaceDE/>
        <w:autoSpaceDN/>
        <w:bidi w:val="0"/>
        <w:snapToGrid w:val="0"/>
        <w:spacing w:line="400" w:lineRule="exact"/>
        <w:ind w:firstLine="482" w:firstLineChars="200"/>
        <w:outlineLvl w:val="0"/>
        <w:rPr>
          <w:rFonts w:hint="eastAsia" w:asciiTheme="minorEastAsia" w:hAnsiTheme="minorEastAsia" w:eastAsiaTheme="minorEastAsia" w:cstheme="minorEastAsia"/>
          <w:color w:val="auto"/>
          <w:sz w:val="24"/>
          <w:highlight w:val="none"/>
          <w:lang w:val="en-US" w:eastAsia="zh-CN"/>
        </w:rPr>
      </w:pPr>
      <w:bookmarkStart w:id="108" w:name="_Toc29878"/>
      <w:bookmarkStart w:id="109" w:name="_Toc49177913"/>
      <w:bookmarkStart w:id="110" w:name="_Toc6855"/>
      <w:bookmarkStart w:id="111" w:name="_Toc8544"/>
      <w:r>
        <w:rPr>
          <w:rFonts w:hint="eastAsia" w:asciiTheme="minorEastAsia" w:hAnsiTheme="minorEastAsia" w:eastAsiaTheme="minorEastAsia" w:cstheme="minorEastAsia"/>
          <w:b/>
          <w:bCs/>
          <w:color w:val="auto"/>
          <w:sz w:val="24"/>
          <w:highlight w:val="none"/>
          <w:lang w:val="en-US" w:eastAsia="zh-CN"/>
        </w:rPr>
        <w:t>三、核定价</w:t>
      </w:r>
      <w:bookmarkEnd w:id="108"/>
      <w:r>
        <w:rPr>
          <w:rFonts w:hint="eastAsia" w:asciiTheme="minorEastAsia" w:hAnsiTheme="minorEastAsia" w:eastAsiaTheme="minorEastAsia" w:cstheme="minorEastAsia"/>
          <w:b/>
          <w:bCs/>
          <w:color w:val="auto"/>
          <w:sz w:val="24"/>
          <w:highlight w:val="none"/>
          <w:lang w:val="en-US" w:eastAsia="zh-CN"/>
        </w:rPr>
        <w:t>与调价</w:t>
      </w:r>
    </w:p>
    <w:p w14:paraId="59611B0A">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baseline"/>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b w:val="0"/>
          <w:bCs w:val="0"/>
          <w:color w:val="auto"/>
          <w:sz w:val="24"/>
          <w:highlight w:val="none"/>
          <w:lang w:val="en-US" w:eastAsia="zh-CN"/>
        </w:rPr>
        <w:t>本项目采购商品的单价定价（即商品销售价）以酉阳县各大型商超</w:t>
      </w:r>
      <w:r>
        <w:rPr>
          <w:rFonts w:hint="eastAsia" w:asciiTheme="minorEastAsia" w:hAnsiTheme="minorEastAsia" w:eastAsiaTheme="minorEastAsia" w:cstheme="minorEastAsia"/>
          <w:b w:val="0"/>
          <w:bCs w:val="0"/>
          <w:color w:val="auto"/>
          <w:sz w:val="24"/>
          <w:szCs w:val="24"/>
          <w:highlight w:val="none"/>
          <w:lang w:val="en-US" w:eastAsia="zh-CN"/>
        </w:rPr>
        <w:t>或批发市场采集3家</w:t>
      </w:r>
      <w:r>
        <w:rPr>
          <w:rFonts w:hint="eastAsia" w:asciiTheme="minorEastAsia" w:hAnsiTheme="minorEastAsia" w:eastAsiaTheme="minorEastAsia" w:cstheme="minorEastAsia"/>
          <w:b w:val="0"/>
          <w:bCs w:val="0"/>
          <w:color w:val="auto"/>
          <w:sz w:val="24"/>
          <w:highlight w:val="none"/>
          <w:lang w:val="en-US" w:eastAsia="zh-CN"/>
        </w:rPr>
        <w:t>同品种同规格商品零售价平均零售价、</w:t>
      </w:r>
      <w:r>
        <w:rPr>
          <w:rFonts w:hint="eastAsia" w:asciiTheme="minorEastAsia" w:hAnsiTheme="minorEastAsia" w:eastAsiaTheme="minorEastAsia" w:cstheme="minorEastAsia"/>
          <w:b w:val="0"/>
          <w:bCs w:val="0"/>
          <w:color w:val="auto"/>
          <w:sz w:val="24"/>
          <w:szCs w:val="24"/>
          <w:highlight w:val="none"/>
          <w:lang w:val="en-US" w:eastAsia="zh-CN"/>
        </w:rPr>
        <w:t>供应商报价中间值以及县发改委公布的同品种同规格商品指导价综合定价</w:t>
      </w:r>
      <w:r>
        <w:rPr>
          <w:rFonts w:hint="eastAsia" w:asciiTheme="minorEastAsia" w:hAnsiTheme="minorEastAsia" w:eastAsiaTheme="minorEastAsia" w:cstheme="minorEastAsia"/>
          <w:b w:val="0"/>
          <w:bCs w:val="0"/>
          <w:color w:val="auto"/>
          <w:sz w:val="24"/>
          <w:highlight w:val="none"/>
          <w:lang w:val="en-US" w:eastAsia="zh-CN"/>
        </w:rPr>
        <w:t>为商品定价</w:t>
      </w:r>
      <w:r>
        <w:rPr>
          <w:rFonts w:hint="eastAsia" w:asciiTheme="minorEastAsia" w:hAnsiTheme="minorEastAsia" w:eastAsiaTheme="minorEastAsia" w:cstheme="minorEastAsia"/>
          <w:color w:val="auto"/>
          <w:sz w:val="24"/>
          <w:highlight w:val="none"/>
          <w:lang w:val="en-US" w:eastAsia="zh-CN"/>
        </w:rPr>
        <w:t>。如遇市场行情影响，商品价格变化的，若商品销售价上涨或下浮10％（含10％）以内，商品价格不调整；若商品销售价上涨或下浮大于10％的，由中标人和采购人根据市场（参照大型商超或批发行业）实际行情协商调价。</w:t>
      </w:r>
    </w:p>
    <w:p w14:paraId="73DB8DF8">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baseline"/>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2.特殊平价商品，由双方根据该商品在</w:t>
      </w:r>
      <w:r>
        <w:rPr>
          <w:rFonts w:hint="eastAsia" w:asciiTheme="minorEastAsia" w:hAnsiTheme="minorEastAsia" w:eastAsiaTheme="minorEastAsia" w:cstheme="minorEastAsia"/>
          <w:color w:val="auto"/>
          <w:sz w:val="24"/>
          <w:szCs w:val="24"/>
          <w:highlight w:val="none"/>
          <w:lang w:eastAsia="zh-CN"/>
        </w:rPr>
        <w:t>县</w:t>
      </w:r>
      <w:r>
        <w:rPr>
          <w:rFonts w:hint="eastAsia" w:asciiTheme="minorEastAsia" w:hAnsiTheme="minorEastAsia" w:eastAsiaTheme="minorEastAsia" w:cstheme="minorEastAsia"/>
          <w:color w:val="auto"/>
          <w:sz w:val="24"/>
          <w:szCs w:val="24"/>
          <w:highlight w:val="none"/>
        </w:rPr>
        <w:t>内大型超市</w:t>
      </w:r>
      <w:r>
        <w:rPr>
          <w:rFonts w:hint="eastAsia" w:asciiTheme="minorEastAsia" w:hAnsiTheme="minorEastAsia" w:eastAsiaTheme="minorEastAsia" w:cstheme="minorEastAsia"/>
          <w:color w:val="auto"/>
          <w:sz w:val="24"/>
          <w:szCs w:val="24"/>
          <w:highlight w:val="none"/>
          <w:lang w:eastAsia="zh-CN"/>
        </w:rPr>
        <w:t>或批发市场</w:t>
      </w:r>
      <w:r>
        <w:rPr>
          <w:rFonts w:hint="eastAsia" w:asciiTheme="minorEastAsia" w:hAnsiTheme="minorEastAsia" w:eastAsiaTheme="minorEastAsia" w:cstheme="minorEastAsia"/>
          <w:color w:val="auto"/>
          <w:sz w:val="24"/>
          <w:highlight w:val="none"/>
          <w:lang w:val="en-US" w:eastAsia="zh-CN"/>
        </w:rPr>
        <w:t>的市场价格，协商达成一致的供货价送货。</w:t>
      </w:r>
    </w:p>
    <w:p w14:paraId="4D1F0D7C">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baseline"/>
        <w:outlineLvl w:val="0"/>
        <w:rPr>
          <w:rFonts w:hint="eastAsia" w:asciiTheme="minorEastAsia" w:hAnsiTheme="minorEastAsia" w:eastAsiaTheme="minorEastAsia" w:cstheme="minorEastAsia"/>
          <w:b/>
          <w:bCs/>
          <w:color w:val="auto"/>
          <w:sz w:val="24"/>
          <w:highlight w:val="none"/>
        </w:rPr>
      </w:pPr>
      <w:bookmarkStart w:id="112" w:name="_Toc15822"/>
      <w:r>
        <w:rPr>
          <w:rFonts w:hint="eastAsia" w:asciiTheme="minorEastAsia" w:hAnsiTheme="minorEastAsia" w:eastAsiaTheme="minorEastAsia" w:cstheme="minorEastAsia"/>
          <w:b/>
          <w:bCs/>
          <w:color w:val="auto"/>
          <w:sz w:val="24"/>
          <w:highlight w:val="none"/>
          <w:lang w:val="en-US" w:eastAsia="zh-CN"/>
        </w:rPr>
        <w:t>四</w:t>
      </w:r>
      <w:r>
        <w:rPr>
          <w:rFonts w:hint="eastAsia" w:asciiTheme="minorEastAsia" w:hAnsiTheme="minorEastAsia" w:eastAsiaTheme="minorEastAsia" w:cstheme="minorEastAsia"/>
          <w:b/>
          <w:bCs/>
          <w:color w:val="auto"/>
          <w:sz w:val="24"/>
          <w:highlight w:val="none"/>
        </w:rPr>
        <w:t>、质量保证及售后服务</w:t>
      </w:r>
      <w:bookmarkEnd w:id="112"/>
    </w:p>
    <w:p w14:paraId="544A8182">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（一）产品质量保证</w:t>
      </w:r>
    </w:p>
    <w:p w14:paraId="2EA1EFA6">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1.中标人应保证及时提供合格安全的商品，不得配送假冒伪劣、有毒有害、过期变质等不合格商品。属于国家规定“三包”范围的，其产品质量保证期不得低于“三包”规定。</w:t>
      </w:r>
    </w:p>
    <w:p w14:paraId="5956D707">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2.所有商品因验收时不能直接判断质量的，在使用过程中发现不合格商品，中标人作退货处理。</w:t>
      </w:r>
    </w:p>
    <w:p w14:paraId="79288681">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3.因商品质量问题引发的事故，由中标人承担经济赔偿责任以及全部法律责任。</w:t>
      </w:r>
    </w:p>
    <w:p w14:paraId="76488771">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（二）售后服务内容</w:t>
      </w:r>
    </w:p>
    <w:p w14:paraId="451D32DE">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1.因市场特殊原因，个别商品不能及时提供，中标人应与采购人沟通协调，更换品种，满足需要。</w:t>
      </w:r>
    </w:p>
    <w:p w14:paraId="74EBF147">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2.验收中不合格商品，中标人按照采购人规定时间内调换，</w:t>
      </w:r>
      <w:r>
        <w:rPr>
          <w:rStyle w:val="29"/>
          <w:rFonts w:hint="eastAsia" w:asciiTheme="minorEastAsia" w:hAnsiTheme="minorEastAsia" w:eastAsiaTheme="minorEastAsia" w:cstheme="minorEastAsia"/>
          <w:color w:val="auto"/>
          <w:sz w:val="24"/>
          <w:szCs w:val="24"/>
          <w:highlight w:val="none"/>
        </w:rPr>
        <w:t>应不影响</w:t>
      </w:r>
      <w:r>
        <w:rPr>
          <w:rStyle w:val="29"/>
          <w:rFonts w:hint="eastAsia" w:asciiTheme="minorEastAsia" w:hAnsiTheme="minorEastAsia" w:eastAsiaTheme="minorEastAsia" w:cstheme="minorEastAsia"/>
          <w:color w:val="auto"/>
          <w:sz w:val="24"/>
          <w:szCs w:val="24"/>
          <w:highlight w:val="none"/>
          <w:lang w:eastAsia="zh-CN"/>
        </w:rPr>
        <w:t>超市</w:t>
      </w:r>
      <w:r>
        <w:rPr>
          <w:rStyle w:val="29"/>
          <w:rFonts w:hint="eastAsia" w:asciiTheme="minorEastAsia" w:hAnsiTheme="minorEastAsia" w:eastAsiaTheme="minorEastAsia" w:cstheme="minorEastAsia"/>
          <w:color w:val="auto"/>
          <w:sz w:val="24"/>
          <w:szCs w:val="24"/>
          <w:highlight w:val="none"/>
        </w:rPr>
        <w:t>正常</w:t>
      </w:r>
      <w:r>
        <w:rPr>
          <w:rStyle w:val="29"/>
          <w:rFonts w:hint="eastAsia" w:asciiTheme="minorEastAsia" w:hAnsiTheme="minorEastAsia" w:eastAsiaTheme="minorEastAsia" w:cstheme="minorEastAsia"/>
          <w:color w:val="auto"/>
          <w:sz w:val="24"/>
          <w:szCs w:val="24"/>
          <w:highlight w:val="none"/>
          <w:lang w:eastAsia="zh-CN"/>
        </w:rPr>
        <w:t>运营</w:t>
      </w:r>
      <w:r>
        <w:rPr>
          <w:rFonts w:hint="eastAsia" w:asciiTheme="minorEastAsia" w:hAnsiTheme="minorEastAsia" w:eastAsiaTheme="minorEastAsia" w:cstheme="minorEastAsia"/>
          <w:color w:val="auto"/>
          <w:sz w:val="24"/>
          <w:szCs w:val="24"/>
          <w:highlight w:val="none"/>
        </w:rPr>
        <w:t>。</w:t>
      </w:r>
    </w:p>
    <w:p w14:paraId="6F20A38B">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3.因商品质量导致出现安全事故，由中标人承担经济赔偿责任以及全部法律责任。</w:t>
      </w:r>
    </w:p>
    <w:p w14:paraId="0DBADDC5">
      <w:pPr>
        <w:keepNext w:val="0"/>
        <w:keepLines w:val="0"/>
        <w:pageBreakBefore w:val="0"/>
        <w:widowControl w:val="0"/>
        <w:kinsoku/>
        <w:wordWrap/>
        <w:overflowPunct/>
        <w:topLinePunct w:val="0"/>
        <w:autoSpaceDE/>
        <w:autoSpaceDN/>
        <w:bidi w:val="0"/>
        <w:spacing w:line="400" w:lineRule="exact"/>
        <w:ind w:firstLine="482" w:firstLineChars="200"/>
        <w:outlineLvl w:val="0"/>
        <w:rPr>
          <w:rFonts w:hint="eastAsia" w:asciiTheme="minorEastAsia" w:hAnsiTheme="minorEastAsia" w:eastAsiaTheme="minorEastAsia" w:cstheme="minorEastAsia"/>
          <w:b/>
          <w:bCs/>
          <w:color w:val="auto"/>
          <w:sz w:val="24"/>
          <w:szCs w:val="24"/>
          <w:highlight w:val="none"/>
          <w:lang w:val="zh-CN"/>
        </w:rPr>
      </w:pPr>
      <w:bookmarkStart w:id="113" w:name="_Toc18858"/>
      <w:r>
        <w:rPr>
          <w:rFonts w:hint="eastAsia" w:asciiTheme="minorEastAsia" w:hAnsiTheme="minorEastAsia" w:eastAsiaTheme="minorEastAsia" w:cstheme="minorEastAsia"/>
          <w:b/>
          <w:bCs/>
          <w:color w:val="auto"/>
          <w:sz w:val="24"/>
          <w:szCs w:val="24"/>
          <w:highlight w:val="none"/>
          <w:lang w:val="en-US" w:eastAsia="zh-CN"/>
        </w:rPr>
        <w:t>五</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zh-CN"/>
        </w:rPr>
        <w:t>付款方式</w:t>
      </w:r>
      <w:bookmarkEnd w:id="109"/>
      <w:bookmarkEnd w:id="110"/>
      <w:bookmarkEnd w:id="113"/>
    </w:p>
    <w:p w14:paraId="3DFB92E2">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（一）先送货后付款，所有订购商品的配送单，经双方核对无误后，签字确认</w:t>
      </w:r>
      <w:r>
        <w:rPr>
          <w:rFonts w:hint="eastAsia" w:asciiTheme="minorEastAsia" w:hAnsiTheme="minorEastAsia" w:eastAsiaTheme="minorEastAsia" w:cstheme="minorEastAsia"/>
          <w:color w:val="auto"/>
          <w:sz w:val="24"/>
          <w:highlight w:val="none"/>
          <w:lang w:eastAsia="zh-CN"/>
        </w:rPr>
        <w:t>。</w:t>
      </w:r>
    </w:p>
    <w:p w14:paraId="5B916182">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（二）按月结算，根据当月送货单数据，据实结算</w:t>
      </w:r>
      <w:r>
        <w:rPr>
          <w:rFonts w:hint="eastAsia" w:asciiTheme="minorEastAsia" w:hAnsiTheme="minorEastAsia" w:eastAsiaTheme="minorEastAsia" w:cstheme="minorEastAsia"/>
          <w:color w:val="auto"/>
          <w:sz w:val="24"/>
          <w:highlight w:val="none"/>
          <w:lang w:eastAsia="zh-CN"/>
        </w:rPr>
        <w:t>。</w:t>
      </w:r>
    </w:p>
    <w:p w14:paraId="144BF6CC">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（三）成交供应商开具正式税务</w:t>
      </w:r>
      <w:r>
        <w:rPr>
          <w:rFonts w:hint="eastAsia" w:asciiTheme="minorEastAsia" w:hAnsiTheme="minorEastAsia" w:eastAsiaTheme="minorEastAsia" w:cstheme="minorEastAsia"/>
          <w:color w:val="auto"/>
          <w:sz w:val="24"/>
          <w:highlight w:val="none"/>
          <w:lang w:eastAsia="zh-CN"/>
        </w:rPr>
        <w:t>专用</w:t>
      </w:r>
      <w:r>
        <w:rPr>
          <w:rFonts w:hint="eastAsia" w:asciiTheme="minorEastAsia" w:hAnsiTheme="minorEastAsia" w:eastAsiaTheme="minorEastAsia" w:cstheme="minorEastAsia"/>
          <w:color w:val="auto"/>
          <w:sz w:val="24"/>
          <w:highlight w:val="none"/>
        </w:rPr>
        <w:t>发票，</w:t>
      </w:r>
      <w:r>
        <w:rPr>
          <w:rFonts w:hint="eastAsia" w:asciiTheme="minorEastAsia" w:hAnsiTheme="minorEastAsia" w:eastAsiaTheme="minorEastAsia" w:cstheme="minorEastAsia"/>
          <w:color w:val="auto"/>
          <w:sz w:val="24"/>
          <w:highlight w:val="none"/>
          <w:lang w:eastAsia="zh-CN"/>
        </w:rPr>
        <w:t>原则上</w:t>
      </w:r>
      <w:r>
        <w:rPr>
          <w:rFonts w:hint="eastAsia" w:asciiTheme="minorEastAsia" w:hAnsiTheme="minorEastAsia" w:eastAsiaTheme="minorEastAsia" w:cstheme="minorEastAsia"/>
          <w:color w:val="auto"/>
          <w:sz w:val="24"/>
          <w:highlight w:val="none"/>
        </w:rPr>
        <w:t>次月支付上月货款（</w:t>
      </w:r>
      <w:r>
        <w:rPr>
          <w:rFonts w:hint="eastAsia" w:asciiTheme="minorEastAsia" w:hAnsiTheme="minorEastAsia" w:eastAsiaTheme="minorEastAsia" w:cstheme="minorEastAsia"/>
          <w:color w:val="auto"/>
          <w:sz w:val="24"/>
          <w:highlight w:val="none"/>
          <w:lang w:val="en-US" w:eastAsia="zh-CN"/>
        </w:rPr>
        <w:t>具体付款时间</w:t>
      </w:r>
      <w:r>
        <w:rPr>
          <w:rFonts w:hint="eastAsia" w:asciiTheme="minorEastAsia" w:hAnsiTheme="minorEastAsia" w:eastAsiaTheme="minorEastAsia" w:cstheme="minorEastAsia"/>
          <w:color w:val="auto"/>
          <w:sz w:val="24"/>
          <w:highlight w:val="none"/>
        </w:rPr>
        <w:t>以</w:t>
      </w:r>
      <w:r>
        <w:rPr>
          <w:rFonts w:hint="eastAsia" w:asciiTheme="minorEastAsia" w:hAnsiTheme="minorEastAsia" w:eastAsiaTheme="minorEastAsia" w:cstheme="minorEastAsia"/>
          <w:color w:val="auto"/>
          <w:sz w:val="24"/>
          <w:highlight w:val="none"/>
          <w:lang w:eastAsia="zh-CN"/>
        </w:rPr>
        <w:t>县</w:t>
      </w:r>
      <w:r>
        <w:rPr>
          <w:rFonts w:hint="eastAsia" w:asciiTheme="minorEastAsia" w:hAnsiTheme="minorEastAsia" w:eastAsiaTheme="minorEastAsia" w:cstheme="minorEastAsia"/>
          <w:color w:val="auto"/>
          <w:sz w:val="24"/>
          <w:highlight w:val="none"/>
        </w:rPr>
        <w:t>财政审核支付为准</w:t>
      </w:r>
      <w:r>
        <w:rPr>
          <w:rFonts w:hint="eastAsia" w:asciiTheme="minorEastAsia" w:hAnsiTheme="minorEastAsia" w:eastAsiaTheme="minorEastAsia" w:cstheme="minorEastAsia"/>
          <w:color w:val="auto"/>
          <w:sz w:val="24"/>
          <w:highlight w:val="none"/>
          <w:lang w:eastAsia="zh-CN"/>
        </w:rPr>
        <w:t>，投标人不得以货款未到不提供商品</w:t>
      </w:r>
      <w:r>
        <w:rPr>
          <w:rFonts w:hint="eastAsia" w:asciiTheme="minorEastAsia" w:hAnsiTheme="minorEastAsia" w:eastAsiaTheme="minorEastAsia" w:cstheme="minorEastAsia"/>
          <w:color w:val="auto"/>
          <w:sz w:val="24"/>
          <w:highlight w:val="none"/>
        </w:rPr>
        <w:t>），通过银行转账到中标人指定</w:t>
      </w:r>
      <w:r>
        <w:rPr>
          <w:rFonts w:hint="eastAsia" w:asciiTheme="minorEastAsia" w:hAnsiTheme="minorEastAsia" w:eastAsiaTheme="minorEastAsia" w:cstheme="minorEastAsia"/>
          <w:color w:val="auto"/>
          <w:sz w:val="24"/>
          <w:highlight w:val="none"/>
          <w:lang w:eastAsia="zh-CN"/>
        </w:rPr>
        <w:t>对公</w:t>
      </w:r>
      <w:r>
        <w:rPr>
          <w:rFonts w:hint="eastAsia" w:asciiTheme="minorEastAsia" w:hAnsiTheme="minorEastAsia" w:eastAsiaTheme="minorEastAsia" w:cstheme="minorEastAsia"/>
          <w:color w:val="auto"/>
          <w:sz w:val="24"/>
          <w:highlight w:val="none"/>
        </w:rPr>
        <w:t>账户。</w:t>
      </w:r>
    </w:p>
    <w:p w14:paraId="06BE2090">
      <w:pPr>
        <w:keepNext w:val="0"/>
        <w:keepLines w:val="0"/>
        <w:pageBreakBefore w:val="0"/>
        <w:widowControl w:val="0"/>
        <w:kinsoku/>
        <w:wordWrap/>
        <w:overflowPunct/>
        <w:topLinePunct w:val="0"/>
        <w:autoSpaceDE/>
        <w:autoSpaceDN/>
        <w:bidi w:val="0"/>
        <w:spacing w:line="400" w:lineRule="exact"/>
        <w:ind w:firstLine="482" w:firstLineChars="200"/>
        <w:rPr>
          <w:rFonts w:hint="eastAsia" w:asciiTheme="minorEastAsia" w:hAnsiTheme="minorEastAsia" w:eastAsiaTheme="minorEastAsia" w:cstheme="minorEastAsia"/>
          <w:b w:val="0"/>
          <w:bCs w:val="0"/>
          <w:color w:val="auto"/>
          <w:sz w:val="24"/>
          <w:szCs w:val="24"/>
          <w:highlight w:val="none"/>
        </w:rPr>
      </w:pPr>
      <w:bookmarkStart w:id="114" w:name="_Toc31582"/>
      <w:r>
        <w:rPr>
          <w:rFonts w:hint="eastAsia" w:asciiTheme="minorEastAsia" w:hAnsiTheme="minorEastAsia" w:eastAsiaTheme="minorEastAsia" w:cstheme="minorEastAsia"/>
          <w:b/>
          <w:color w:val="auto"/>
          <w:sz w:val="24"/>
          <w:highlight w:val="none"/>
          <w:lang w:val="en-US" w:eastAsia="zh-CN"/>
        </w:rPr>
        <w:t>六</w:t>
      </w:r>
      <w:r>
        <w:rPr>
          <w:rFonts w:hint="eastAsia" w:asciiTheme="minorEastAsia" w:hAnsiTheme="minorEastAsia" w:eastAsiaTheme="minorEastAsia" w:cstheme="minorEastAsia"/>
          <w:b/>
          <w:color w:val="auto"/>
          <w:sz w:val="24"/>
          <w:highlight w:val="none"/>
        </w:rPr>
        <w:t>、</w:t>
      </w:r>
      <w:bookmarkEnd w:id="114"/>
      <w:bookmarkStart w:id="115" w:name="_Toc1629"/>
      <w:r>
        <w:rPr>
          <w:rFonts w:hint="eastAsia" w:asciiTheme="minorEastAsia" w:hAnsiTheme="minorEastAsia" w:eastAsiaTheme="minorEastAsia" w:cstheme="minorEastAsia"/>
          <w:b w:val="0"/>
          <w:bCs w:val="0"/>
          <w:color w:val="auto"/>
          <w:sz w:val="24"/>
          <w:szCs w:val="24"/>
          <w:highlight w:val="none"/>
        </w:rPr>
        <w:t>履约保证金</w:t>
      </w:r>
      <w:bookmarkEnd w:id="115"/>
    </w:p>
    <w:p w14:paraId="15BE3F19">
      <w:pPr>
        <w:keepNext w:val="0"/>
        <w:keepLines w:val="0"/>
        <w:pageBreakBefore w:val="0"/>
        <w:widowControl w:val="0"/>
        <w:kinsoku/>
        <w:wordWrap/>
        <w:overflowPunct/>
        <w:topLinePunct w:val="0"/>
        <w:autoSpaceDE/>
        <w:autoSpaceDN/>
        <w:bidi w:val="0"/>
        <w:snapToGrid w:val="0"/>
        <w:spacing w:line="400" w:lineRule="exact"/>
        <w:ind w:firstLine="28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val="0"/>
          <w:color w:val="auto"/>
          <w:szCs w:val="24"/>
          <w:highlight w:val="none"/>
        </w:rPr>
        <w:t>（一）</w:t>
      </w:r>
      <w:bookmarkStart w:id="116" w:name="OLE_LINK3"/>
      <w:bookmarkStart w:id="117" w:name="OLE_LINK4"/>
      <w:r>
        <w:rPr>
          <w:rFonts w:hint="eastAsia" w:asciiTheme="minorEastAsia" w:hAnsiTheme="minorEastAsia" w:eastAsiaTheme="minorEastAsia" w:cstheme="minorEastAsia"/>
          <w:color w:val="auto"/>
          <w:kern w:val="0"/>
          <w:sz w:val="24"/>
          <w:szCs w:val="24"/>
          <w:highlight w:val="none"/>
        </w:rPr>
        <w:t>合同签订时中标人向招标人交纳履约保证金（以支票、汇票、本票或者金融机构、担保机构出具的保函等非现金形式提交）</w:t>
      </w:r>
      <w:bookmarkEnd w:id="116"/>
      <w:bookmarkEnd w:id="117"/>
      <w:r>
        <w:rPr>
          <w:rFonts w:hint="eastAsia" w:asciiTheme="minorEastAsia" w:hAnsiTheme="minorEastAsia" w:eastAsiaTheme="minorEastAsia" w:cstheme="minorEastAsia"/>
          <w:color w:val="auto"/>
          <w:kern w:val="0"/>
          <w:sz w:val="24"/>
          <w:szCs w:val="24"/>
          <w:highlight w:val="none"/>
          <w:lang w:eastAsia="zh-CN"/>
        </w:rPr>
        <w:t>人民币伍仟元（</w:t>
      </w:r>
      <w:r>
        <w:rPr>
          <w:rFonts w:hint="eastAsia" w:asciiTheme="minorEastAsia" w:hAnsiTheme="minorEastAsia" w:eastAsiaTheme="minorEastAsia" w:cstheme="minorEastAsia"/>
          <w:color w:val="auto"/>
          <w:kern w:val="0"/>
          <w:sz w:val="24"/>
          <w:szCs w:val="24"/>
          <w:highlight w:val="none"/>
          <w:lang w:val="en-US" w:eastAsia="zh-CN"/>
        </w:rPr>
        <w:t>5000元</w:t>
      </w:r>
      <w:r>
        <w:rPr>
          <w:rFonts w:hint="eastAsia" w:asciiTheme="minorEastAsia" w:hAnsiTheme="minorEastAsia" w:eastAsiaTheme="minorEastAsia" w:cstheme="minorEastAsia"/>
          <w:color w:val="auto"/>
          <w:kern w:val="0"/>
          <w:sz w:val="24"/>
          <w:szCs w:val="24"/>
          <w:highlight w:val="none"/>
          <w:lang w:eastAsia="zh-CN"/>
        </w:rPr>
        <w:t>）。</w:t>
      </w:r>
    </w:p>
    <w:p w14:paraId="3ED5AA0F">
      <w:pPr>
        <w:pStyle w:val="5"/>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Cs w:val="24"/>
          <w:highlight w:val="none"/>
          <w:lang w:val="zh-CN" w:eastAsia="zh-CN"/>
        </w:rPr>
      </w:pPr>
      <w:r>
        <w:rPr>
          <w:rFonts w:hint="eastAsia" w:asciiTheme="minorEastAsia" w:hAnsiTheme="minorEastAsia" w:eastAsiaTheme="minorEastAsia" w:cstheme="minorEastAsia"/>
          <w:color w:val="auto"/>
          <w:szCs w:val="24"/>
          <w:highlight w:val="none"/>
        </w:rPr>
        <w:t>（二）项目服务期到期后通过采购人验收合格，履约保证金由采购人</w:t>
      </w:r>
      <w:r>
        <w:rPr>
          <w:rFonts w:hint="eastAsia" w:asciiTheme="minorEastAsia" w:hAnsiTheme="minorEastAsia" w:eastAsiaTheme="minorEastAsia" w:cstheme="minorEastAsia"/>
          <w:color w:val="auto"/>
          <w:szCs w:val="24"/>
          <w:highlight w:val="none"/>
          <w:lang w:val="en-US" w:eastAsia="zh-CN"/>
        </w:rPr>
        <w:t>无息</w:t>
      </w:r>
      <w:r>
        <w:rPr>
          <w:rFonts w:hint="eastAsia" w:asciiTheme="minorEastAsia" w:hAnsiTheme="minorEastAsia" w:eastAsiaTheme="minorEastAsia" w:cstheme="minorEastAsia"/>
          <w:color w:val="auto"/>
          <w:szCs w:val="24"/>
          <w:highlight w:val="none"/>
        </w:rPr>
        <w:t>退还。</w:t>
      </w:r>
      <w:r>
        <w:rPr>
          <w:rFonts w:hint="eastAsia" w:asciiTheme="minorEastAsia" w:hAnsiTheme="minorEastAsia" w:eastAsiaTheme="minorEastAsia" w:cstheme="minorEastAsia"/>
          <w:color w:val="auto"/>
          <w:szCs w:val="24"/>
          <w:highlight w:val="none"/>
          <w:lang w:eastAsia="zh-CN"/>
        </w:rPr>
        <w:t>保证金到账时间以财政审核支付为准，投标人不得因保证金未及时到账拒绝撤场或索要赔偿等。</w:t>
      </w:r>
    </w:p>
    <w:bookmarkEnd w:id="99"/>
    <w:bookmarkEnd w:id="100"/>
    <w:bookmarkEnd w:id="101"/>
    <w:bookmarkEnd w:id="102"/>
    <w:bookmarkEnd w:id="103"/>
    <w:bookmarkEnd w:id="104"/>
    <w:bookmarkEnd w:id="105"/>
    <w:bookmarkEnd w:id="106"/>
    <w:bookmarkEnd w:id="107"/>
    <w:bookmarkEnd w:id="111"/>
    <w:p w14:paraId="3299D8E8">
      <w:pPr>
        <w:keepNext w:val="0"/>
        <w:keepLines w:val="0"/>
        <w:pageBreakBefore w:val="0"/>
        <w:widowControl w:val="0"/>
        <w:kinsoku/>
        <w:wordWrap/>
        <w:overflowPunct/>
        <w:topLinePunct w:val="0"/>
        <w:autoSpaceDE/>
        <w:autoSpaceDN/>
        <w:bidi w:val="0"/>
        <w:spacing w:line="400" w:lineRule="exact"/>
        <w:ind w:firstLine="482" w:firstLineChars="200"/>
        <w:outlineLvl w:val="0"/>
        <w:rPr>
          <w:rFonts w:hint="eastAsia" w:asciiTheme="minorEastAsia" w:hAnsiTheme="minorEastAsia" w:eastAsiaTheme="minorEastAsia" w:cstheme="minorEastAsia"/>
          <w:b/>
          <w:bCs/>
          <w:color w:val="auto"/>
          <w:sz w:val="24"/>
          <w:szCs w:val="24"/>
          <w:highlight w:val="none"/>
        </w:rPr>
      </w:pPr>
      <w:bookmarkStart w:id="118" w:name="_Toc8753"/>
      <w:bookmarkStart w:id="119" w:name="_Toc16583"/>
      <w:bookmarkStart w:id="120" w:name="_Toc71620698"/>
      <w:bookmarkStart w:id="121" w:name="_Toc6030"/>
      <w:bookmarkStart w:id="122" w:name="_Toc25921"/>
      <w:bookmarkStart w:id="123" w:name="_Toc24228"/>
      <w:bookmarkStart w:id="124" w:name="_Toc344475125"/>
      <w:r>
        <w:rPr>
          <w:rFonts w:hint="eastAsia" w:asciiTheme="minorEastAsia" w:hAnsiTheme="minorEastAsia" w:eastAsiaTheme="minorEastAsia" w:cstheme="minorEastAsia"/>
          <w:b/>
          <w:bCs/>
          <w:color w:val="auto"/>
          <w:sz w:val="24"/>
          <w:szCs w:val="24"/>
          <w:highlight w:val="none"/>
          <w:lang w:val="en-US" w:eastAsia="zh-CN"/>
        </w:rPr>
        <w:t>七</w:t>
      </w:r>
      <w:r>
        <w:rPr>
          <w:rFonts w:hint="eastAsia" w:asciiTheme="minorEastAsia" w:hAnsiTheme="minorEastAsia" w:eastAsiaTheme="minorEastAsia" w:cstheme="minorEastAsia"/>
          <w:b/>
          <w:bCs/>
          <w:color w:val="auto"/>
          <w:sz w:val="24"/>
          <w:szCs w:val="24"/>
          <w:highlight w:val="none"/>
        </w:rPr>
        <w:t>、其他</w:t>
      </w:r>
      <w:bookmarkEnd w:id="118"/>
      <w:bookmarkEnd w:id="119"/>
      <w:bookmarkEnd w:id="120"/>
      <w:bookmarkEnd w:id="121"/>
      <w:bookmarkEnd w:id="122"/>
      <w:bookmarkEnd w:id="123"/>
    </w:p>
    <w:bookmarkEnd w:id="124"/>
    <w:p w14:paraId="7978B22C">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lang w:val="zh-CN"/>
        </w:rPr>
      </w:pPr>
      <w:bookmarkStart w:id="125" w:name="_Toc267320054"/>
      <w:bookmarkStart w:id="126" w:name="_Toc441065672"/>
      <w:r>
        <w:rPr>
          <w:rFonts w:hint="eastAsia" w:asciiTheme="minorEastAsia" w:hAnsiTheme="minorEastAsia" w:eastAsiaTheme="minorEastAsia" w:cstheme="minorEastAsia"/>
          <w:color w:val="auto"/>
          <w:sz w:val="24"/>
          <w:szCs w:val="24"/>
          <w:highlight w:val="none"/>
          <w:lang w:val="zh-CN"/>
        </w:rPr>
        <w:t>（</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val="zh-CN"/>
        </w:rPr>
        <w:t>）其他未尽事宜由供需双方在采购合同中详细约定。</w:t>
      </w:r>
    </w:p>
    <w:p w14:paraId="7DF2F571">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w:t>
      </w: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zh-CN"/>
        </w:rPr>
        <w:t>）如遇国家相关政策调整，服务合同自动终止，双方均不因合同自动终止承担违约责任。</w:t>
      </w:r>
    </w:p>
    <w:p w14:paraId="53801E2D">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投标人</w:t>
      </w:r>
      <w:r>
        <w:rPr>
          <w:rFonts w:hint="eastAsia" w:asciiTheme="minorEastAsia" w:hAnsiTheme="minorEastAsia" w:eastAsiaTheme="minorEastAsia" w:cstheme="minorEastAsia"/>
          <w:color w:val="auto"/>
          <w:sz w:val="24"/>
          <w:szCs w:val="24"/>
          <w:highlight w:val="none"/>
        </w:rPr>
        <w:t>必须在响应文件中对以上条款和服务承诺明确列出，承诺内容必须达到本篇及竞争性磋商文件其他条款的要求。</w:t>
      </w:r>
    </w:p>
    <w:p w14:paraId="1DF49546">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对凡在磋商过程之中，存在不正当竞争，采取恶意诋毁、扰乱我校正常采购工作的单位，将直接取消其磋商资格。同时按照《中华人民共和国政府采购法》等相关法律法规的规定，采购人保留追究相关人员及公司法律责任的权利。</w:t>
      </w:r>
    </w:p>
    <w:p w14:paraId="74567F5D">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rPr>
        <w:t>）其他未尽事宜由供需双方在采购合同中详细约定。</w:t>
      </w:r>
    </w:p>
    <w:bookmarkEnd w:id="125"/>
    <w:bookmarkEnd w:id="126"/>
    <w:p w14:paraId="43CCBA22">
      <w:pPr>
        <w:pStyle w:val="3"/>
        <w:pageBreakBefore/>
        <w:spacing w:before="0" w:after="0" w:line="360" w:lineRule="auto"/>
        <w:jc w:val="center"/>
        <w:outlineLvl w:val="0"/>
        <w:rPr>
          <w:rFonts w:hint="eastAsia" w:asciiTheme="minorEastAsia" w:hAnsiTheme="minorEastAsia" w:eastAsiaTheme="minorEastAsia" w:cstheme="minorEastAsia"/>
          <w:bCs/>
          <w:color w:val="auto"/>
          <w:sz w:val="44"/>
          <w:szCs w:val="44"/>
          <w:highlight w:val="none"/>
          <w:lang w:eastAsia="zh-CN"/>
        </w:rPr>
      </w:pPr>
      <w:bookmarkStart w:id="127" w:name="_Toc26721"/>
      <w:bookmarkStart w:id="128" w:name="_Toc23632"/>
      <w:r>
        <w:rPr>
          <w:rFonts w:hint="eastAsia" w:asciiTheme="minorEastAsia" w:hAnsiTheme="minorEastAsia" w:eastAsiaTheme="minorEastAsia" w:cstheme="minorEastAsia"/>
          <w:bCs/>
          <w:color w:val="auto"/>
          <w:sz w:val="44"/>
          <w:szCs w:val="44"/>
          <w:highlight w:val="none"/>
        </w:rPr>
        <w:t>第四篇  磋商程序及方法、评审标准、无效响应和采购终止</w:t>
      </w:r>
      <w:bookmarkEnd w:id="68"/>
      <w:bookmarkEnd w:id="69"/>
      <w:bookmarkEnd w:id="70"/>
      <w:bookmarkEnd w:id="127"/>
      <w:bookmarkEnd w:id="128"/>
    </w:p>
    <w:p w14:paraId="492ACF09">
      <w:pPr>
        <w:pStyle w:val="4"/>
        <w:spacing w:before="0" w:after="0" w:line="440" w:lineRule="exact"/>
        <w:outlineLvl w:val="0"/>
        <w:rPr>
          <w:rFonts w:hint="eastAsia" w:asciiTheme="minorEastAsia" w:hAnsiTheme="minorEastAsia" w:eastAsiaTheme="minorEastAsia" w:cstheme="minorEastAsia"/>
          <w:color w:val="auto"/>
          <w:sz w:val="24"/>
          <w:szCs w:val="24"/>
          <w:highlight w:val="none"/>
        </w:rPr>
      </w:pPr>
      <w:bookmarkStart w:id="129" w:name="_Toc24907"/>
      <w:bookmarkStart w:id="130" w:name="_Toc7102"/>
      <w:bookmarkStart w:id="131" w:name="_Toc6009"/>
      <w:bookmarkStart w:id="132" w:name="_Toc18677"/>
      <w:bookmarkStart w:id="133" w:name="_Toc32101"/>
      <w:bookmarkStart w:id="134" w:name="_Toc14898"/>
      <w:bookmarkStart w:id="135" w:name="_Toc21480"/>
      <w:bookmarkStart w:id="136" w:name="_Toc478823772"/>
      <w:r>
        <w:rPr>
          <w:rFonts w:hint="eastAsia" w:asciiTheme="minorEastAsia" w:hAnsiTheme="minorEastAsia" w:eastAsiaTheme="minorEastAsia" w:cstheme="minorEastAsia"/>
          <w:color w:val="auto"/>
          <w:sz w:val="24"/>
          <w:szCs w:val="24"/>
          <w:highlight w:val="none"/>
        </w:rPr>
        <w:t>一、磋商程序及方法</w:t>
      </w:r>
      <w:bookmarkEnd w:id="129"/>
      <w:bookmarkEnd w:id="130"/>
      <w:bookmarkEnd w:id="131"/>
      <w:bookmarkEnd w:id="132"/>
      <w:bookmarkEnd w:id="133"/>
    </w:p>
    <w:p w14:paraId="727AD96B">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（一）磋商按竞争性磋商文件规定的时间和地点进行，供应商须有法定代表人或其授权代表参加并签到。竞争性磋商以抽签的形式确定磋商顺序，由本项目依法组建的磋商小组分别与各供应商进行磋商。</w:t>
      </w:r>
    </w:p>
    <w:p w14:paraId="7BA37D5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（二）磋商小组对各供应商的资格条件、响应文件的有效性、完整性和响应程度进行审查。各供应商只有在完全符合要求的前提下，才能参与正式磋商。</w:t>
      </w:r>
    </w:p>
    <w:p w14:paraId="5D9B9903">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kern w:val="0"/>
          <w:sz w:val="24"/>
          <w:szCs w:val="24"/>
          <w:highlight w:val="none"/>
        </w:rPr>
        <w:t>资格性检查。依据法律法规和竞争性磋商文件的规定，对响应文件中的资格证明等进行审查，以确定供应商是否具备磋商资格。资格性检查资料表如下：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6DF0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1144159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1947FE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4FE7636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检查内容</w:t>
            </w:r>
          </w:p>
        </w:tc>
      </w:tr>
      <w:tr w14:paraId="1041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4F2907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w:t>
            </w:r>
          </w:p>
        </w:tc>
        <w:tc>
          <w:tcPr>
            <w:tcW w:w="709" w:type="dxa"/>
            <w:vMerge w:val="restart"/>
            <w:noWrap w:val="0"/>
            <w:vAlign w:val="center"/>
          </w:tcPr>
          <w:p w14:paraId="6ECE5091">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《中华人民共和国政府采购法》第二十二条规定</w:t>
            </w:r>
          </w:p>
        </w:tc>
        <w:tc>
          <w:tcPr>
            <w:tcW w:w="3118" w:type="dxa"/>
            <w:noWrap w:val="0"/>
            <w:vAlign w:val="center"/>
          </w:tcPr>
          <w:p w14:paraId="418AB7C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1.具有独立承担民事责任的能力</w:t>
            </w:r>
          </w:p>
        </w:tc>
        <w:tc>
          <w:tcPr>
            <w:tcW w:w="4984" w:type="dxa"/>
            <w:noWrap w:val="0"/>
            <w:vAlign w:val="center"/>
          </w:tcPr>
          <w:p w14:paraId="0D50A18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0115EABC">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2.供应商法定代表人身份证明和法定代表人授权代表委托书。</w:t>
            </w:r>
          </w:p>
        </w:tc>
      </w:tr>
      <w:tr w14:paraId="0B8B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445A86B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4D83594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67DDF43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zh-CN"/>
              </w:rPr>
              <w:t>2.</w:t>
            </w:r>
            <w:r>
              <w:rPr>
                <w:rFonts w:hint="eastAsia" w:asciiTheme="minorEastAsia" w:hAnsiTheme="minorEastAsia" w:eastAsiaTheme="minorEastAsia" w:cstheme="minorEastAsia"/>
                <w:color w:val="auto"/>
                <w:sz w:val="21"/>
                <w:szCs w:val="21"/>
                <w:highlight w:val="none"/>
              </w:rPr>
              <w:t>具有良好的商业信誉和健全的财务会计制度</w:t>
            </w:r>
          </w:p>
        </w:tc>
        <w:tc>
          <w:tcPr>
            <w:tcW w:w="4984" w:type="dxa"/>
            <w:vMerge w:val="restart"/>
            <w:noWrap w:val="0"/>
            <w:vAlign w:val="center"/>
          </w:tcPr>
          <w:p w14:paraId="0F33027B">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供应商提供“基本资格条件承诺函”（格式详见第</w:t>
            </w:r>
            <w:r>
              <w:rPr>
                <w:rFonts w:hint="eastAsia" w:asciiTheme="minorEastAsia" w:hAnsiTheme="minorEastAsia" w:eastAsiaTheme="minorEastAsia" w:cstheme="minorEastAsia"/>
                <w:color w:val="auto"/>
                <w:sz w:val="21"/>
                <w:szCs w:val="21"/>
                <w:highlight w:val="none"/>
                <w:lang w:eastAsia="zh-CN"/>
              </w:rPr>
              <w:t>七</w:t>
            </w:r>
            <w:r>
              <w:rPr>
                <w:rFonts w:hint="eastAsia" w:asciiTheme="minorEastAsia" w:hAnsiTheme="minorEastAsia" w:eastAsiaTheme="minorEastAsia" w:cstheme="minorEastAsia"/>
                <w:color w:val="auto"/>
                <w:sz w:val="21"/>
                <w:szCs w:val="21"/>
                <w:highlight w:val="none"/>
              </w:rPr>
              <w:t>篇）</w:t>
            </w:r>
          </w:p>
        </w:tc>
      </w:tr>
      <w:tr w14:paraId="22BB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2240AB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3E5C6C9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302C415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3.具有履行合同所必需的设备和专业技术能力</w:t>
            </w:r>
          </w:p>
        </w:tc>
        <w:tc>
          <w:tcPr>
            <w:tcW w:w="4984" w:type="dxa"/>
            <w:vMerge w:val="continue"/>
            <w:noWrap w:val="0"/>
            <w:vAlign w:val="center"/>
          </w:tcPr>
          <w:p w14:paraId="490E83C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r>
      <w:tr w14:paraId="5115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02EC9DF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43C29EB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42697F5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4.有依法缴纳税收和社会保障金的良好记录</w:t>
            </w:r>
          </w:p>
        </w:tc>
        <w:tc>
          <w:tcPr>
            <w:tcW w:w="4984" w:type="dxa"/>
            <w:vMerge w:val="continue"/>
            <w:noWrap w:val="0"/>
            <w:vAlign w:val="center"/>
          </w:tcPr>
          <w:p w14:paraId="0792A43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r>
      <w:tr w14:paraId="0E7A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09716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0BFB7BF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780074E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tc>
        <w:tc>
          <w:tcPr>
            <w:tcW w:w="4984" w:type="dxa"/>
            <w:vMerge w:val="continue"/>
            <w:noWrap w:val="0"/>
            <w:vAlign w:val="center"/>
          </w:tcPr>
          <w:p w14:paraId="7B07439C">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color w:val="auto"/>
                <w:sz w:val="21"/>
                <w:szCs w:val="21"/>
                <w:highlight w:val="none"/>
              </w:rPr>
            </w:pPr>
          </w:p>
        </w:tc>
      </w:tr>
      <w:tr w14:paraId="71C4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1549054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10799483">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c>
          <w:tcPr>
            <w:tcW w:w="3118" w:type="dxa"/>
            <w:noWrap w:val="0"/>
            <w:vAlign w:val="center"/>
          </w:tcPr>
          <w:p w14:paraId="3FE45343">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6.法律、行政法规规定的其他条件</w:t>
            </w:r>
          </w:p>
        </w:tc>
        <w:tc>
          <w:tcPr>
            <w:tcW w:w="4984" w:type="dxa"/>
            <w:noWrap w:val="0"/>
            <w:vAlign w:val="center"/>
          </w:tcPr>
          <w:p w14:paraId="7EB6568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r>
      <w:tr w14:paraId="366C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420D90C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679F3C03">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c>
          <w:tcPr>
            <w:tcW w:w="3118" w:type="dxa"/>
            <w:noWrap w:val="0"/>
            <w:vAlign w:val="center"/>
          </w:tcPr>
          <w:p w14:paraId="7336C4B1">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7.本项目的特定资格要求</w:t>
            </w:r>
          </w:p>
        </w:tc>
        <w:tc>
          <w:tcPr>
            <w:tcW w:w="4984" w:type="dxa"/>
            <w:noWrap w:val="0"/>
            <w:vAlign w:val="center"/>
          </w:tcPr>
          <w:p w14:paraId="14BDC4B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按“第一篇三、供应商资格要求（三）本项目的特定资格要求”的要求提交（如果有）。</w:t>
            </w:r>
          </w:p>
        </w:tc>
      </w:tr>
      <w:tr w14:paraId="61DC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4886A7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w:t>
            </w:r>
          </w:p>
        </w:tc>
        <w:tc>
          <w:tcPr>
            <w:tcW w:w="3827" w:type="dxa"/>
            <w:gridSpan w:val="2"/>
            <w:noWrap w:val="0"/>
            <w:vAlign w:val="center"/>
          </w:tcPr>
          <w:p w14:paraId="279A8B07">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落实政府采购政策需满足的资格要求</w:t>
            </w:r>
          </w:p>
        </w:tc>
        <w:tc>
          <w:tcPr>
            <w:tcW w:w="4984" w:type="dxa"/>
            <w:noWrap w:val="0"/>
            <w:vAlign w:val="center"/>
          </w:tcPr>
          <w:p w14:paraId="33DB008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按“第一篇三、供应商资格要求（二）落实政府采购政策需满足的资格要求”的要求提交（如果有）。</w:t>
            </w:r>
          </w:p>
        </w:tc>
      </w:tr>
    </w:tbl>
    <w:p w14:paraId="1A106E06">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0DEF9E97">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eq \o\ac(○,</w:instrText>
      </w:r>
      <w:r>
        <w:rPr>
          <w:rFonts w:hint="eastAsia" w:asciiTheme="minorEastAsia" w:hAnsiTheme="minorEastAsia" w:eastAsiaTheme="minorEastAsia" w:cstheme="minorEastAsia"/>
          <w:color w:val="auto"/>
          <w:kern w:val="0"/>
          <w:position w:val="3"/>
          <w:sz w:val="16"/>
          <w:szCs w:val="24"/>
          <w:highlight w:val="none"/>
        </w:rPr>
        <w:instrText xml:space="preserve">1</w:instrText>
      </w:r>
      <w:r>
        <w:rPr>
          <w:rFonts w:hint="eastAsia" w:asciiTheme="minorEastAsia" w:hAnsiTheme="minorEastAsia" w:eastAsiaTheme="minorEastAsia" w:cstheme="minorEastAsia"/>
          <w:color w:val="auto"/>
          <w:kern w:val="0"/>
          <w:sz w:val="24"/>
          <w:szCs w:val="24"/>
          <w:highlight w:val="none"/>
        </w:rPr>
        <w:instrText xml:space="preserve">)</w:instrTex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74D84353">
      <w:pPr>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2E67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1786A43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序号</w:t>
            </w:r>
          </w:p>
        </w:tc>
        <w:tc>
          <w:tcPr>
            <w:tcW w:w="3544" w:type="dxa"/>
            <w:gridSpan w:val="2"/>
            <w:noWrap w:val="0"/>
            <w:vAlign w:val="center"/>
          </w:tcPr>
          <w:p w14:paraId="093A51A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评审因素</w:t>
            </w:r>
          </w:p>
        </w:tc>
        <w:tc>
          <w:tcPr>
            <w:tcW w:w="5409" w:type="dxa"/>
            <w:noWrap w:val="0"/>
            <w:vAlign w:val="center"/>
          </w:tcPr>
          <w:p w14:paraId="1789163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评审标准</w:t>
            </w:r>
          </w:p>
        </w:tc>
      </w:tr>
      <w:tr w14:paraId="1BA6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645D98F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560" w:type="dxa"/>
            <w:vMerge w:val="restart"/>
            <w:noWrap w:val="0"/>
            <w:vAlign w:val="center"/>
          </w:tcPr>
          <w:p w14:paraId="158F9C9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有效性审查</w:t>
            </w:r>
          </w:p>
        </w:tc>
        <w:tc>
          <w:tcPr>
            <w:tcW w:w="1984" w:type="dxa"/>
            <w:noWrap w:val="0"/>
            <w:vAlign w:val="center"/>
          </w:tcPr>
          <w:p w14:paraId="2D2484A7">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响应文件签署或盖章</w:t>
            </w:r>
          </w:p>
        </w:tc>
        <w:tc>
          <w:tcPr>
            <w:tcW w:w="5409" w:type="dxa"/>
            <w:noWrap w:val="0"/>
            <w:vAlign w:val="center"/>
          </w:tcPr>
          <w:p w14:paraId="0FD4A2A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按竞争性磋商文件“第七篇响应文件编制要求”要求签署或盖章。</w:t>
            </w:r>
          </w:p>
        </w:tc>
      </w:tr>
      <w:tr w14:paraId="5BA3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643B730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5BA2CEA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p>
        </w:tc>
        <w:tc>
          <w:tcPr>
            <w:tcW w:w="1984" w:type="dxa"/>
            <w:noWrap w:val="0"/>
            <w:vAlign w:val="center"/>
          </w:tcPr>
          <w:p w14:paraId="0B906D6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法定代表人身份证明及授权委托书</w:t>
            </w:r>
          </w:p>
        </w:tc>
        <w:tc>
          <w:tcPr>
            <w:tcW w:w="5409" w:type="dxa"/>
            <w:noWrap w:val="0"/>
            <w:vAlign w:val="center"/>
          </w:tcPr>
          <w:p w14:paraId="5591249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法定代表人身份证明及授权委托书有效，符合竞争性磋商文件规定的格式，签署或盖章齐全。</w:t>
            </w:r>
          </w:p>
        </w:tc>
      </w:tr>
      <w:tr w14:paraId="1D92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070808A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4B4E9A39">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p>
        </w:tc>
        <w:tc>
          <w:tcPr>
            <w:tcW w:w="1984" w:type="dxa"/>
            <w:noWrap w:val="0"/>
            <w:vAlign w:val="center"/>
          </w:tcPr>
          <w:p w14:paraId="316F478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方案</w:t>
            </w:r>
          </w:p>
        </w:tc>
        <w:tc>
          <w:tcPr>
            <w:tcW w:w="5409" w:type="dxa"/>
            <w:noWrap w:val="0"/>
            <w:vAlign w:val="center"/>
          </w:tcPr>
          <w:p w14:paraId="263A64A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zh-CN"/>
              </w:rPr>
              <w:t>每个包只能有一个</w:t>
            </w: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方案。</w:t>
            </w:r>
          </w:p>
        </w:tc>
      </w:tr>
      <w:tr w14:paraId="6397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1EA46A8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59B32B3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p>
        </w:tc>
        <w:tc>
          <w:tcPr>
            <w:tcW w:w="1984" w:type="dxa"/>
            <w:noWrap w:val="0"/>
            <w:vAlign w:val="center"/>
          </w:tcPr>
          <w:p w14:paraId="109DA87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报价唯一</w:t>
            </w:r>
          </w:p>
        </w:tc>
        <w:tc>
          <w:tcPr>
            <w:tcW w:w="5409" w:type="dxa"/>
            <w:noWrap w:val="0"/>
            <w:vAlign w:val="center"/>
          </w:tcPr>
          <w:p w14:paraId="0DF42ADE">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只能有一个有效报价，不得提交选择性报价。</w:t>
            </w:r>
          </w:p>
        </w:tc>
      </w:tr>
      <w:tr w14:paraId="024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279270F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560" w:type="dxa"/>
            <w:noWrap w:val="0"/>
            <w:vAlign w:val="center"/>
          </w:tcPr>
          <w:p w14:paraId="7A7ADD2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完整性审查</w:t>
            </w:r>
          </w:p>
        </w:tc>
        <w:tc>
          <w:tcPr>
            <w:tcW w:w="1984" w:type="dxa"/>
            <w:noWrap w:val="0"/>
            <w:vAlign w:val="center"/>
          </w:tcPr>
          <w:p w14:paraId="2E67370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文件份数</w:t>
            </w:r>
          </w:p>
        </w:tc>
        <w:tc>
          <w:tcPr>
            <w:tcW w:w="5409" w:type="dxa"/>
            <w:noWrap w:val="0"/>
            <w:vAlign w:val="center"/>
          </w:tcPr>
          <w:p w14:paraId="5171A6D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文件正、副本数量（含电子文档）符合</w:t>
            </w:r>
            <w:r>
              <w:rPr>
                <w:rFonts w:hint="eastAsia" w:asciiTheme="minorEastAsia" w:hAnsiTheme="minorEastAsia" w:eastAsiaTheme="minorEastAsia" w:cstheme="minorEastAsia"/>
                <w:color w:val="auto"/>
                <w:sz w:val="21"/>
                <w:szCs w:val="21"/>
                <w:highlight w:val="none"/>
              </w:rPr>
              <w:t>竞争性磋商</w:t>
            </w:r>
            <w:r>
              <w:rPr>
                <w:rFonts w:hint="eastAsia" w:asciiTheme="minorEastAsia" w:hAnsiTheme="minorEastAsia" w:eastAsiaTheme="minorEastAsia" w:cstheme="minorEastAsia"/>
                <w:color w:val="auto"/>
                <w:sz w:val="21"/>
                <w:szCs w:val="21"/>
                <w:highlight w:val="none"/>
                <w:lang w:val="zh-CN"/>
              </w:rPr>
              <w:t>文件要求。</w:t>
            </w:r>
          </w:p>
        </w:tc>
      </w:tr>
      <w:tr w14:paraId="247F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29EC132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560" w:type="dxa"/>
            <w:vMerge w:val="restart"/>
            <w:noWrap w:val="0"/>
            <w:vAlign w:val="center"/>
          </w:tcPr>
          <w:p w14:paraId="795ACE9C">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kern w:val="0"/>
                <w:sz w:val="21"/>
                <w:szCs w:val="21"/>
                <w:highlight w:val="none"/>
              </w:rPr>
              <w:t>响应程度审查</w:t>
            </w:r>
          </w:p>
        </w:tc>
        <w:tc>
          <w:tcPr>
            <w:tcW w:w="1984" w:type="dxa"/>
            <w:noWrap w:val="0"/>
            <w:vAlign w:val="center"/>
          </w:tcPr>
          <w:p w14:paraId="1ACD16A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实质性响应</w:t>
            </w:r>
          </w:p>
        </w:tc>
        <w:tc>
          <w:tcPr>
            <w:tcW w:w="5409" w:type="dxa"/>
            <w:noWrap w:val="0"/>
            <w:vAlign w:val="center"/>
          </w:tcPr>
          <w:p w14:paraId="76229ED5">
            <w:pPr>
              <w:pStyle w:val="10"/>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竞争性磋商文件第二篇、第三篇中规定的内容进行响应。</w:t>
            </w:r>
          </w:p>
        </w:tc>
      </w:tr>
      <w:tr w14:paraId="6C7B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6682A7B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128900B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1984" w:type="dxa"/>
            <w:noWrap w:val="0"/>
            <w:vAlign w:val="center"/>
          </w:tcPr>
          <w:p w14:paraId="482C9B4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磋商有效期</w:t>
            </w:r>
          </w:p>
        </w:tc>
        <w:tc>
          <w:tcPr>
            <w:tcW w:w="5409" w:type="dxa"/>
            <w:noWrap w:val="0"/>
            <w:vAlign w:val="center"/>
          </w:tcPr>
          <w:p w14:paraId="6F74B82B">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响应文件及有关承诺文件有效期为提交响应文件截止时间起90天。</w:t>
            </w:r>
          </w:p>
        </w:tc>
      </w:tr>
    </w:tbl>
    <w:p w14:paraId="773D95F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1B24E6C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779F02D">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176E004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（五）在磋商过程中磋商的任何一方不得向他人透露与磋商有关的服务资料、价格或其他信息。</w:t>
      </w:r>
    </w:p>
    <w:p w14:paraId="4B0D5774">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75061B5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（七）供应商在磋商时作出的所有书面承诺须由法定代表人（或其授权代表）或自然人（供应商为自然人）签署。</w:t>
      </w:r>
    </w:p>
    <w:p w14:paraId="687A9122">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75CD569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（九）磋商小组采用综合评分法对提交最后报价的供应商的响应文件和最后报价（含有效书面承诺）进行综合评分。</w:t>
      </w:r>
      <w:r>
        <w:rPr>
          <w:rFonts w:hint="eastAsia" w:asciiTheme="minorEastAsia" w:hAnsiTheme="minorEastAsia" w:eastAsiaTheme="minorEastAsia" w:cstheme="minorEastAsia"/>
          <w:color w:val="auto"/>
          <w:kern w:val="0"/>
          <w:sz w:val="24"/>
          <w:szCs w:val="24"/>
          <w:highlight w:val="none"/>
        </w:rPr>
        <w:t>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r>
        <w:rPr>
          <w:rFonts w:hint="eastAsia" w:asciiTheme="minorEastAsia" w:hAnsiTheme="minorEastAsia" w:eastAsiaTheme="minorEastAsia" w:cstheme="minorEastAsia"/>
          <w:color w:val="auto"/>
          <w:sz w:val="24"/>
          <w:szCs w:val="24"/>
          <w:highlight w:val="none"/>
        </w:rPr>
        <w:t>。</w:t>
      </w:r>
    </w:p>
    <w:p w14:paraId="5D0823A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（十）磋商小组各成员独立对每个有效响应（通过资格性审查、</w:t>
      </w:r>
      <w:r>
        <w:rPr>
          <w:rFonts w:hint="eastAsia" w:asciiTheme="minorEastAsia" w:hAnsiTheme="minorEastAsia" w:eastAsiaTheme="minorEastAsia" w:cstheme="minorEastAsia"/>
          <w:color w:val="auto"/>
          <w:kern w:val="0"/>
          <w:sz w:val="24"/>
          <w:szCs w:val="24"/>
          <w:highlight w:val="none"/>
        </w:rPr>
        <w:t>符合性审查的供应商</w:t>
      </w:r>
      <w:r>
        <w:rPr>
          <w:rFonts w:hint="eastAsia" w:asciiTheme="minorEastAsia" w:hAnsiTheme="minorEastAsia" w:eastAsiaTheme="minorEastAsia" w:cstheme="minorEastAsia"/>
          <w:color w:val="auto"/>
          <w:sz w:val="24"/>
          <w:szCs w:val="24"/>
          <w:highlight w:val="none"/>
        </w:rPr>
        <w:t>）的文件进行评价、打分，然后汇总每个供应商每项评分因素的得分，并根据综合评分情况按照评审得分由高到低顺序推荐3名成交候选供应商，并编写评审报告。若供应商的评审得分相同的，按照最后报价由低到高的顺序排列推荐。评审得分且最后报价相同的，按照服务指标优劣顺序排列推荐。以上都相同的，按商务条款的优劣顺序排列推荐。</w:t>
      </w:r>
    </w:p>
    <w:tbl>
      <w:tblPr>
        <w:tblStyle w:val="19"/>
        <w:tblpPr w:leftFromText="180" w:rightFromText="180" w:vertAnchor="text" w:horzAnchor="page" w:tblpX="1052" w:tblpY="416"/>
        <w:tblOverlap w:val="never"/>
        <w:tblW w:w="98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1"/>
        <w:gridCol w:w="1092"/>
        <w:gridCol w:w="889"/>
        <w:gridCol w:w="4110"/>
        <w:gridCol w:w="3080"/>
      </w:tblGrid>
      <w:tr w14:paraId="71E4D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71" w:type="dxa"/>
            <w:tcBorders>
              <w:top w:val="single" w:color="000000" w:sz="4" w:space="0"/>
              <w:left w:val="single" w:color="000000" w:sz="4" w:space="0"/>
              <w:bottom w:val="single" w:color="000000" w:sz="4" w:space="0"/>
              <w:right w:val="single" w:color="000000" w:sz="4" w:space="0"/>
            </w:tcBorders>
            <w:vAlign w:val="center"/>
          </w:tcPr>
          <w:p w14:paraId="6FB5718D">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bookmarkStart w:id="137" w:name="_Toc11001"/>
            <w:bookmarkStart w:id="138" w:name="_Toc29653"/>
            <w:bookmarkStart w:id="139" w:name="_Toc13655"/>
            <w:r>
              <w:rPr>
                <w:rStyle w:val="23"/>
                <w:rFonts w:hint="eastAsia" w:asciiTheme="minorEastAsia" w:hAnsiTheme="minorEastAsia" w:eastAsiaTheme="minorEastAsia" w:cstheme="minorEastAsia"/>
                <w:b/>
                <w:color w:val="auto"/>
                <w:sz w:val="24"/>
                <w:szCs w:val="24"/>
                <w:highlight w:val="none"/>
              </w:rPr>
              <w:t>序号</w:t>
            </w:r>
          </w:p>
        </w:tc>
        <w:tc>
          <w:tcPr>
            <w:tcW w:w="1092" w:type="dxa"/>
            <w:tcBorders>
              <w:top w:val="single" w:color="000000" w:sz="4" w:space="0"/>
              <w:left w:val="single" w:color="000000" w:sz="4" w:space="0"/>
              <w:bottom w:val="single" w:color="000000" w:sz="4" w:space="0"/>
              <w:right w:val="single" w:color="000000" w:sz="4" w:space="0"/>
            </w:tcBorders>
            <w:vAlign w:val="center"/>
          </w:tcPr>
          <w:p w14:paraId="22399652">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r>
              <w:rPr>
                <w:rStyle w:val="23"/>
                <w:rFonts w:hint="eastAsia" w:asciiTheme="minorEastAsia" w:hAnsiTheme="minorEastAsia" w:eastAsiaTheme="minorEastAsia" w:cstheme="minorEastAsia"/>
                <w:b/>
                <w:color w:val="auto"/>
                <w:sz w:val="24"/>
                <w:szCs w:val="24"/>
                <w:highlight w:val="none"/>
              </w:rPr>
              <w:t>评分因素及权重</w:t>
            </w:r>
          </w:p>
        </w:tc>
        <w:tc>
          <w:tcPr>
            <w:tcW w:w="889" w:type="dxa"/>
            <w:tcBorders>
              <w:top w:val="single" w:color="000000" w:sz="4" w:space="0"/>
              <w:left w:val="single" w:color="000000" w:sz="4" w:space="0"/>
              <w:bottom w:val="single" w:color="000000" w:sz="4" w:space="0"/>
              <w:right w:val="single" w:color="000000" w:sz="4" w:space="0"/>
            </w:tcBorders>
            <w:vAlign w:val="center"/>
          </w:tcPr>
          <w:p w14:paraId="0050C73D">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r>
              <w:rPr>
                <w:rStyle w:val="23"/>
                <w:rFonts w:hint="eastAsia" w:asciiTheme="minorEastAsia" w:hAnsiTheme="minorEastAsia" w:eastAsiaTheme="minorEastAsia" w:cstheme="minorEastAsia"/>
                <w:b/>
                <w:color w:val="auto"/>
                <w:sz w:val="24"/>
                <w:szCs w:val="24"/>
                <w:highlight w:val="none"/>
              </w:rPr>
              <w:t>分值</w:t>
            </w:r>
          </w:p>
        </w:tc>
        <w:tc>
          <w:tcPr>
            <w:tcW w:w="4110" w:type="dxa"/>
            <w:tcBorders>
              <w:top w:val="single" w:color="000000" w:sz="4" w:space="0"/>
              <w:left w:val="single" w:color="000000" w:sz="4" w:space="0"/>
              <w:bottom w:val="single" w:color="000000" w:sz="4" w:space="0"/>
              <w:right w:val="single" w:color="000000" w:sz="4" w:space="0"/>
            </w:tcBorders>
            <w:vAlign w:val="center"/>
          </w:tcPr>
          <w:p w14:paraId="23523B4A">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r>
              <w:rPr>
                <w:rStyle w:val="23"/>
                <w:rFonts w:hint="eastAsia" w:asciiTheme="minorEastAsia" w:hAnsiTheme="minorEastAsia" w:eastAsiaTheme="minorEastAsia" w:cstheme="minorEastAsia"/>
                <w:b/>
                <w:color w:val="auto"/>
                <w:sz w:val="24"/>
                <w:szCs w:val="24"/>
                <w:highlight w:val="none"/>
              </w:rPr>
              <w:t>评分标准</w:t>
            </w:r>
          </w:p>
        </w:tc>
        <w:tc>
          <w:tcPr>
            <w:tcW w:w="3080" w:type="dxa"/>
            <w:tcBorders>
              <w:top w:val="single" w:color="000000" w:sz="4" w:space="0"/>
              <w:left w:val="single" w:color="000000" w:sz="4" w:space="0"/>
              <w:bottom w:val="single" w:color="000000" w:sz="4" w:space="0"/>
              <w:right w:val="single" w:color="000000" w:sz="4" w:space="0"/>
            </w:tcBorders>
            <w:vAlign w:val="center"/>
          </w:tcPr>
          <w:p w14:paraId="633BFB73">
            <w:pPr>
              <w:pStyle w:val="24"/>
              <w:keepNext w:val="0"/>
              <w:keepLines w:val="0"/>
              <w:pageBreakBefore w:val="0"/>
              <w:shd w:val="clear"/>
              <w:kinsoku/>
              <w:wordWrap/>
              <w:overflowPunct/>
              <w:topLinePunct w:val="0"/>
              <w:autoSpaceDE/>
              <w:autoSpaceDN/>
              <w:bidi w:val="0"/>
              <w:adjustRightInd/>
              <w:snapToGrid w:val="0"/>
              <w:spacing w:before="0" w:after="0" w:line="240" w:lineRule="auto"/>
              <w:ind w:left="0" w:leftChars="0" w:firstLine="0" w:firstLineChars="0"/>
              <w:jc w:val="center"/>
              <w:rPr>
                <w:rStyle w:val="23"/>
                <w:rFonts w:hint="eastAsia" w:asciiTheme="minorEastAsia" w:hAnsiTheme="minorEastAsia" w:eastAsiaTheme="minorEastAsia" w:cstheme="minorEastAsia"/>
                <w:color w:val="auto"/>
                <w:sz w:val="24"/>
                <w:szCs w:val="24"/>
                <w:highlight w:val="none"/>
              </w:rPr>
            </w:pPr>
            <w:r>
              <w:rPr>
                <w:rStyle w:val="23"/>
                <w:rFonts w:hint="eastAsia" w:asciiTheme="minorEastAsia" w:hAnsiTheme="minorEastAsia" w:eastAsiaTheme="minorEastAsia" w:cstheme="minorEastAsia"/>
                <w:color w:val="auto"/>
                <w:sz w:val="24"/>
                <w:szCs w:val="24"/>
                <w:highlight w:val="none"/>
              </w:rPr>
              <w:t>说明</w:t>
            </w:r>
          </w:p>
        </w:tc>
      </w:tr>
      <w:tr w14:paraId="0EC38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5" w:hRule="atLeast"/>
        </w:trPr>
        <w:tc>
          <w:tcPr>
            <w:tcW w:w="671" w:type="dxa"/>
            <w:tcBorders>
              <w:top w:val="single" w:color="000000" w:sz="4" w:space="0"/>
              <w:left w:val="single" w:color="000000" w:sz="4" w:space="0"/>
              <w:bottom w:val="single" w:color="000000" w:sz="4" w:space="0"/>
              <w:right w:val="single" w:color="000000" w:sz="4" w:space="0"/>
            </w:tcBorders>
            <w:vAlign w:val="center"/>
          </w:tcPr>
          <w:p w14:paraId="5559134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092" w:type="dxa"/>
            <w:tcBorders>
              <w:top w:val="single" w:color="000000" w:sz="4" w:space="0"/>
              <w:left w:val="single" w:color="000000" w:sz="4" w:space="0"/>
              <w:bottom w:val="single" w:color="000000" w:sz="4" w:space="0"/>
              <w:right w:val="single" w:color="000000" w:sz="4" w:space="0"/>
            </w:tcBorders>
            <w:vAlign w:val="center"/>
          </w:tcPr>
          <w:p w14:paraId="5B66294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投标报价</w:t>
            </w:r>
          </w:p>
          <w:p w14:paraId="548931B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（30%）</w:t>
            </w:r>
          </w:p>
        </w:tc>
        <w:tc>
          <w:tcPr>
            <w:tcW w:w="889" w:type="dxa"/>
            <w:tcBorders>
              <w:top w:val="single" w:color="000000" w:sz="4" w:space="0"/>
              <w:left w:val="single" w:color="000000" w:sz="4" w:space="0"/>
              <w:bottom w:val="single" w:color="000000" w:sz="4" w:space="0"/>
              <w:right w:val="single" w:color="000000" w:sz="4" w:space="0"/>
            </w:tcBorders>
            <w:vAlign w:val="center"/>
          </w:tcPr>
          <w:p w14:paraId="29C5AB90">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30分</w:t>
            </w:r>
          </w:p>
        </w:tc>
        <w:tc>
          <w:tcPr>
            <w:tcW w:w="4110" w:type="dxa"/>
            <w:tcBorders>
              <w:top w:val="single" w:color="000000" w:sz="4" w:space="0"/>
              <w:left w:val="single" w:color="000000" w:sz="4" w:space="0"/>
              <w:bottom w:val="single" w:color="000000" w:sz="4" w:space="0"/>
              <w:right w:val="single" w:color="000000" w:sz="4" w:space="0"/>
            </w:tcBorders>
            <w:vAlign w:val="center"/>
          </w:tcPr>
          <w:p w14:paraId="540203FB">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满足资格性、符合性要求且投标折扣最低的价格折扣为评标基准价，按照下列公式计算每个供应商的投标折扣报价得分。</w:t>
            </w:r>
          </w:p>
          <w:p w14:paraId="21890250">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投标折扣报价得分＝（评标基准折扣报价/最后投标折扣报价）×价格权重×100%。</w:t>
            </w:r>
          </w:p>
        </w:tc>
        <w:tc>
          <w:tcPr>
            <w:tcW w:w="3080" w:type="dxa"/>
            <w:tcBorders>
              <w:top w:val="single" w:color="000000" w:sz="4" w:space="0"/>
              <w:left w:val="single" w:color="000000" w:sz="4" w:space="0"/>
              <w:bottom w:val="single" w:color="000000" w:sz="4" w:space="0"/>
              <w:right w:val="single" w:color="000000" w:sz="4" w:space="0"/>
            </w:tcBorders>
            <w:vAlign w:val="center"/>
          </w:tcPr>
          <w:p w14:paraId="2B20EAD5">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对小微企业的价格用扣除后的价格参与评审，详见“注：关于小微企业报价扣除比例说明”。</w:t>
            </w:r>
          </w:p>
        </w:tc>
      </w:tr>
      <w:tr w14:paraId="656BA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71" w:type="dxa"/>
            <w:tcBorders>
              <w:top w:val="single" w:color="000000" w:sz="4" w:space="0"/>
              <w:left w:val="single" w:color="000000" w:sz="4" w:space="0"/>
              <w:right w:val="single" w:color="000000" w:sz="4" w:space="0"/>
            </w:tcBorders>
            <w:vAlign w:val="center"/>
          </w:tcPr>
          <w:p w14:paraId="6368C0E6">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092" w:type="dxa"/>
            <w:tcBorders>
              <w:top w:val="single" w:color="000000" w:sz="4" w:space="0"/>
              <w:left w:val="single" w:color="000000" w:sz="4" w:space="0"/>
              <w:right w:val="single" w:color="000000" w:sz="4" w:space="0"/>
            </w:tcBorders>
            <w:vAlign w:val="center"/>
          </w:tcPr>
          <w:p w14:paraId="2617416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服务部分</w:t>
            </w:r>
          </w:p>
          <w:p w14:paraId="4280B02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（65%）</w:t>
            </w:r>
          </w:p>
        </w:tc>
        <w:tc>
          <w:tcPr>
            <w:tcW w:w="889" w:type="dxa"/>
            <w:tcBorders>
              <w:top w:val="single" w:color="000000" w:sz="4" w:space="0"/>
              <w:left w:val="single" w:color="000000" w:sz="4" w:space="0"/>
              <w:bottom w:val="single" w:color="000000" w:sz="4" w:space="0"/>
              <w:right w:val="single" w:color="000000" w:sz="4" w:space="0"/>
            </w:tcBorders>
            <w:vAlign w:val="center"/>
          </w:tcPr>
          <w:p w14:paraId="56E08908">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65分</w:t>
            </w:r>
          </w:p>
        </w:tc>
        <w:tc>
          <w:tcPr>
            <w:tcW w:w="4110" w:type="dxa"/>
            <w:tcBorders>
              <w:top w:val="single" w:color="000000" w:sz="4" w:space="0"/>
              <w:left w:val="single" w:color="000000" w:sz="4" w:space="0"/>
              <w:bottom w:val="single" w:color="000000" w:sz="4" w:space="0"/>
              <w:right w:val="single" w:color="000000" w:sz="4" w:space="0"/>
            </w:tcBorders>
            <w:vAlign w:val="center"/>
          </w:tcPr>
          <w:p w14:paraId="288747EF">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1.配送服务方案（15）</w:t>
            </w:r>
          </w:p>
          <w:p w14:paraId="4FDFC3A2">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zh-CN" w:eastAsia="zh-CN"/>
              </w:rPr>
              <w:t>方案内容包含不限于如下内容：</w:t>
            </w:r>
          </w:p>
          <w:p w14:paraId="142C0FF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配送服务方案包括且不限于货源、采购渠道供货保障、品质监控日常管理组织和物流配送方案，若因供应商原因造成采购人的损失，承担相应的责任。</w:t>
            </w:r>
          </w:p>
          <w:p w14:paraId="7476698A">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59E06AAB">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1.方案全面详尽、科学合理，可行性强的，得15分；</w:t>
            </w:r>
          </w:p>
          <w:p w14:paraId="4470EAE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2.方案基本全面、科学合理、可行性较强的，得10分；</w:t>
            </w:r>
          </w:p>
          <w:p w14:paraId="581E32F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0997A56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32484D8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124243A6">
            <w:pPr>
              <w:spacing w:line="240" w:lineRule="atLeast"/>
              <w:rPr>
                <w:rFonts w:hint="eastAsia" w:asciiTheme="minorEastAsia" w:hAnsiTheme="minorEastAsia" w:eastAsiaTheme="minorEastAsia" w:cstheme="minorEastAsia"/>
                <w:color w:val="auto"/>
                <w:sz w:val="21"/>
                <w:szCs w:val="21"/>
                <w:highlight w:val="none"/>
                <w:lang w:val="en-US" w:eastAsia="zh-CN"/>
              </w:rPr>
            </w:pPr>
          </w:p>
          <w:p w14:paraId="6401619F">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2.质量安全保证措施（15分）</w:t>
            </w:r>
          </w:p>
          <w:p w14:paraId="28D2FE28">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质量安全保证措施包含但不限于食品卫生安全保障措施、商品安全培训计划、商品质量把控、商品安全防范等方面编制方案等有关内容。</w:t>
            </w:r>
          </w:p>
          <w:p w14:paraId="6CAB5FBB">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64A05C0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1.方案全面详尽、科学合理，可行性强的，得15分；</w:t>
            </w:r>
          </w:p>
          <w:p w14:paraId="1A863BFD">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2.方案基本全面、科学合理、可行性较强的，得10分；</w:t>
            </w:r>
          </w:p>
          <w:p w14:paraId="63018B3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725A5949">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0C2EA7AD">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52428E51">
            <w:pPr>
              <w:pStyle w:val="17"/>
              <w:rPr>
                <w:rFonts w:hint="eastAsia"/>
                <w:color w:val="auto"/>
                <w:highlight w:val="none"/>
                <w:lang w:val="en-US" w:eastAsia="zh-CN"/>
              </w:rPr>
            </w:pPr>
          </w:p>
          <w:p w14:paraId="0FB66406">
            <w:pPr>
              <w:pStyle w:val="17"/>
              <w:ind w:left="0" w:leftChars="0" w:firstLine="0" w:firstLineChars="0"/>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3.团队人员保障方案（10分）</w:t>
            </w:r>
          </w:p>
          <w:p w14:paraId="0EED98DE">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zh-CN" w:eastAsia="zh-CN"/>
              </w:rPr>
              <w:t>方案内容包含不限于如下内容：</w:t>
            </w:r>
          </w:p>
          <w:p w14:paraId="4320E385">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1.公司组织架构；</w:t>
            </w:r>
          </w:p>
          <w:p w14:paraId="20E50F4D">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2.团队人员配置方案；</w:t>
            </w:r>
          </w:p>
          <w:p w14:paraId="2DFFB37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3.团队人员培训方案；</w:t>
            </w:r>
          </w:p>
          <w:p w14:paraId="0FFA06D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4.团队人员日常管理制度；</w:t>
            </w:r>
          </w:p>
          <w:p w14:paraId="0FE403BF">
            <w:pPr>
              <w:spacing w:line="240" w:lineRule="atLeast"/>
              <w:rPr>
                <w:rFonts w:hint="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63D1C01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1.方案全面详尽、科学合理，可行性强的，得10分；</w:t>
            </w:r>
          </w:p>
          <w:p w14:paraId="66A14A84">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2.方案基本全面、科学合理、可行性较强的，得7分；</w:t>
            </w:r>
          </w:p>
          <w:p w14:paraId="6192AD37">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25C2B874">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4F50FA4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4E1AC54F">
            <w:pPr>
              <w:spacing w:line="240" w:lineRule="atLeast"/>
              <w:rPr>
                <w:rFonts w:hint="eastAsia" w:asciiTheme="minorEastAsia" w:hAnsiTheme="minorEastAsia" w:eastAsiaTheme="minorEastAsia" w:cstheme="minorEastAsia"/>
                <w:color w:val="auto"/>
                <w:sz w:val="21"/>
                <w:szCs w:val="21"/>
                <w:highlight w:val="none"/>
                <w:lang w:val="en-US" w:eastAsia="zh-CN"/>
              </w:rPr>
            </w:pPr>
          </w:p>
          <w:p w14:paraId="0316C28C">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4.应急处理方案（15分）</w:t>
            </w:r>
          </w:p>
          <w:p w14:paraId="30FA242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应急处理方案包含但不限于采购人发生突发事件需要增援时，能安排人员组织货源并及时送货；不合格退换货应急预案；针对突发事件（如自然灾害、疫情、食品安全事故等情况）设计处置预案；食物中毒应急预案等有关内容。</w:t>
            </w:r>
          </w:p>
          <w:p w14:paraId="7D73E3D6">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7F3391DB">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1.方案全面详尽、科学合理，可行性强的，得15分；</w:t>
            </w:r>
          </w:p>
          <w:p w14:paraId="1E6F5E77">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2.方案基本全面、科学合理、可行性较强的，得10分；</w:t>
            </w:r>
          </w:p>
          <w:p w14:paraId="6B51B785">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4A8E19C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62DA9B9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539D9F10">
            <w:pPr>
              <w:spacing w:line="240" w:lineRule="atLeast"/>
              <w:rPr>
                <w:rFonts w:hint="eastAsia" w:asciiTheme="minorEastAsia" w:hAnsiTheme="minorEastAsia" w:eastAsiaTheme="minorEastAsia" w:cstheme="minorEastAsia"/>
                <w:color w:val="auto"/>
                <w:sz w:val="21"/>
                <w:szCs w:val="21"/>
                <w:highlight w:val="none"/>
                <w:lang w:val="en-US" w:eastAsia="zh-CN"/>
              </w:rPr>
            </w:pPr>
          </w:p>
          <w:p w14:paraId="58A86C0F">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5.售后服务（10分）</w:t>
            </w:r>
          </w:p>
          <w:p w14:paraId="7D547BF0">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售后服务内容包含但不限于保证配送物资出现问题后的处理措施及售后服务工作（退货、补货、换货）等服务方案进行编写</w:t>
            </w:r>
          </w:p>
          <w:p w14:paraId="016B3999">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7FFF75E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1.方案全面详尽、科学合理，可行性强的，得10分；</w:t>
            </w:r>
          </w:p>
          <w:p w14:paraId="65F3F09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2.方案基本全面、科学合理、可行性较强的，得7分；</w:t>
            </w:r>
          </w:p>
          <w:p w14:paraId="2049DD2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7C87218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15C1232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63E7B28D">
            <w:pPr>
              <w:spacing w:line="240" w:lineRule="atLeast"/>
              <w:rPr>
                <w:rFonts w:hint="default"/>
                <w:color w:val="auto"/>
                <w:highlight w:val="none"/>
                <w:lang w:val="en-US" w:eastAsia="zh-CN"/>
              </w:rPr>
            </w:pPr>
          </w:p>
        </w:tc>
        <w:tc>
          <w:tcPr>
            <w:tcW w:w="3080" w:type="dxa"/>
            <w:tcBorders>
              <w:top w:val="single" w:color="000000" w:sz="4" w:space="0"/>
              <w:left w:val="single" w:color="000000" w:sz="4" w:space="0"/>
              <w:right w:val="single" w:color="000000" w:sz="4" w:space="0"/>
            </w:tcBorders>
            <w:vAlign w:val="center"/>
          </w:tcPr>
          <w:p w14:paraId="22BCF598">
            <w:pPr>
              <w:spacing w:line="240" w:lineRule="atLeas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供应商提供相关服务方案，评审小组各成员根据方案完整度、科学性、可行性等进行独立打分。（格式自拟）</w:t>
            </w:r>
          </w:p>
        </w:tc>
      </w:tr>
      <w:tr w14:paraId="1D953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2" w:hRule="atLeast"/>
        </w:trPr>
        <w:tc>
          <w:tcPr>
            <w:tcW w:w="671" w:type="dxa"/>
            <w:tcBorders>
              <w:top w:val="single" w:color="000000" w:sz="4" w:space="0"/>
              <w:left w:val="single" w:color="000000" w:sz="4" w:space="0"/>
              <w:right w:val="single" w:color="000000" w:sz="4" w:space="0"/>
            </w:tcBorders>
            <w:vAlign w:val="center"/>
          </w:tcPr>
          <w:p w14:paraId="18BC1310">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092" w:type="dxa"/>
            <w:tcBorders>
              <w:top w:val="single" w:color="000000" w:sz="4" w:space="0"/>
              <w:left w:val="single" w:color="000000" w:sz="4" w:space="0"/>
              <w:right w:val="single" w:color="000000" w:sz="4" w:space="0"/>
            </w:tcBorders>
            <w:vAlign w:val="center"/>
          </w:tcPr>
          <w:p w14:paraId="5632D654">
            <w:pPr>
              <w:spacing w:line="240" w:lineRule="atLeast"/>
              <w:ind w:left="210" w:hanging="210" w:hanging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商务部分（5%）</w:t>
            </w:r>
          </w:p>
        </w:tc>
        <w:tc>
          <w:tcPr>
            <w:tcW w:w="889" w:type="dxa"/>
            <w:tcBorders>
              <w:top w:val="single" w:color="000000" w:sz="4" w:space="0"/>
              <w:left w:val="single" w:color="000000" w:sz="4" w:space="0"/>
              <w:right w:val="single" w:color="000000" w:sz="4" w:space="0"/>
            </w:tcBorders>
            <w:vAlign w:val="center"/>
          </w:tcPr>
          <w:p w14:paraId="59C2DA3B">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配送车辆5分</w:t>
            </w:r>
          </w:p>
        </w:tc>
        <w:tc>
          <w:tcPr>
            <w:tcW w:w="4110" w:type="dxa"/>
            <w:tcBorders>
              <w:top w:val="single" w:color="000000" w:sz="4" w:space="0"/>
              <w:left w:val="single" w:color="000000" w:sz="4" w:space="0"/>
              <w:right w:val="single" w:color="000000" w:sz="4" w:space="0"/>
            </w:tcBorders>
            <w:vAlign w:val="center"/>
          </w:tcPr>
          <w:p w14:paraId="70A9270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供应商配送车辆数量，车辆数量≥2辆得2分，每增加1辆的得1分，不具备或未提供的不得分。此项最高得5分。</w:t>
            </w:r>
          </w:p>
        </w:tc>
        <w:tc>
          <w:tcPr>
            <w:tcW w:w="3080" w:type="dxa"/>
            <w:tcBorders>
              <w:top w:val="single" w:color="000000" w:sz="4" w:space="0"/>
              <w:left w:val="single" w:color="000000" w:sz="4" w:space="0"/>
              <w:bottom w:val="single" w:color="000000" w:sz="4" w:space="0"/>
              <w:right w:val="single" w:color="000000" w:sz="4" w:space="0"/>
            </w:tcBorders>
            <w:vAlign w:val="center"/>
          </w:tcPr>
          <w:p w14:paraId="76EBA1A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自有车辆的，提供车辆行驶证复印件或车辆登记证复印件（车主名称须与投标人名称完全一致）以及车身照片（车牌号须清晰可见）并加盖投标人公章，否则不得分。</w:t>
            </w:r>
          </w:p>
          <w:p w14:paraId="4EBFED8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租赁车辆的，提供车辆行驶证复印件或车辆登记证复印件，以及租赁合同复印件并加盖投标人公章，否则不得分。</w:t>
            </w:r>
          </w:p>
        </w:tc>
      </w:tr>
    </w:tbl>
    <w:p w14:paraId="7D7F1AA9">
      <w:pPr>
        <w:pStyle w:val="4"/>
        <w:spacing w:before="0" w:after="0" w:line="440" w:lineRule="exact"/>
        <w:ind w:firstLine="482" w:firstLineChars="200"/>
        <w:outlineLvl w:val="0"/>
        <w:rPr>
          <w:rFonts w:hint="eastAsia" w:asciiTheme="minorEastAsia" w:hAnsiTheme="minorEastAsia" w:eastAsiaTheme="minorEastAsia" w:cstheme="minorEastAsia"/>
          <w:color w:val="auto"/>
          <w:sz w:val="24"/>
          <w:szCs w:val="24"/>
          <w:highlight w:val="none"/>
        </w:rPr>
      </w:pPr>
      <w:bookmarkStart w:id="140" w:name="_Toc22297"/>
      <w:bookmarkStart w:id="141" w:name="_Toc2717"/>
      <w:r>
        <w:rPr>
          <w:rFonts w:hint="eastAsia" w:asciiTheme="minorEastAsia" w:hAnsiTheme="minorEastAsia" w:eastAsiaTheme="minorEastAsia" w:cstheme="minorEastAsia"/>
          <w:color w:val="auto"/>
          <w:sz w:val="24"/>
          <w:szCs w:val="24"/>
          <w:highlight w:val="none"/>
        </w:rPr>
        <w:t>二、评审标准</w:t>
      </w:r>
      <w:bookmarkEnd w:id="137"/>
      <w:bookmarkEnd w:id="138"/>
      <w:bookmarkEnd w:id="139"/>
      <w:bookmarkEnd w:id="140"/>
      <w:bookmarkEnd w:id="141"/>
    </w:p>
    <w:bookmarkEnd w:id="134"/>
    <w:bookmarkEnd w:id="135"/>
    <w:bookmarkEnd w:id="136"/>
    <w:p w14:paraId="37A0C2E5">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bookmarkStart w:id="142" w:name="_Toc478823773"/>
      <w:r>
        <w:rPr>
          <w:rFonts w:hint="eastAsia" w:asciiTheme="minorEastAsia" w:hAnsiTheme="minorEastAsia" w:eastAsiaTheme="minorEastAsia" w:cstheme="minorEastAsia"/>
          <w:color w:val="auto"/>
          <w:kern w:val="0"/>
          <w:sz w:val="24"/>
          <w:szCs w:val="24"/>
          <w:highlight w:val="none"/>
        </w:rPr>
        <w:t>说明：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E6495DD">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注：关于小微企业报价扣除比例说明</w:t>
      </w:r>
    </w:p>
    <w:p w14:paraId="08E75916">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kern w:val="0"/>
          <w:sz w:val="24"/>
          <w:szCs w:val="24"/>
          <w:highlight w:val="none"/>
        </w:rPr>
        <w:t>本项目为专门面向中小企业采购项目，根据《政府采购促进中小企业发展管理办法》（财库〔2020〕46号）第九条规定，不执行价格评审优惠扶持政策，各供应商的评审价即为投标（响应）报价。</w:t>
      </w:r>
    </w:p>
    <w:p w14:paraId="4C84F7FA">
      <w:pPr>
        <w:pStyle w:val="11"/>
        <w:spacing w:line="4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2.监狱企业、残疾人福利性单位视同小型、微型企业。</w:t>
      </w:r>
    </w:p>
    <w:p w14:paraId="201F3A7A">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kern w:val="0"/>
          <w:sz w:val="24"/>
          <w:szCs w:val="24"/>
          <w:highlight w:val="none"/>
          <w:lang w:val="en-US" w:eastAsia="zh-CN" w:bidi="ar-SA"/>
        </w:rPr>
      </w:pPr>
      <w:bookmarkStart w:id="143" w:name="_Toc18377"/>
      <w:bookmarkStart w:id="144" w:name="_Toc16803"/>
      <w:bookmarkStart w:id="145" w:name="_Toc3809"/>
      <w:bookmarkStart w:id="146" w:name="_Toc24665"/>
      <w:r>
        <w:rPr>
          <w:rFonts w:hint="eastAsia" w:asciiTheme="minorEastAsia" w:hAnsiTheme="minorEastAsia" w:eastAsiaTheme="minorEastAsia" w:cstheme="minorEastAsia"/>
          <w:color w:val="auto"/>
          <w:kern w:val="0"/>
          <w:sz w:val="24"/>
          <w:szCs w:val="24"/>
          <w:highlight w:val="none"/>
          <w:lang w:val="en-US" w:eastAsia="zh-CN" w:bidi="ar-SA"/>
        </w:rPr>
        <w:t>三、无效响应</w:t>
      </w:r>
      <w:bookmarkEnd w:id="142"/>
      <w:bookmarkEnd w:id="143"/>
      <w:bookmarkEnd w:id="144"/>
      <w:bookmarkEnd w:id="145"/>
      <w:bookmarkEnd w:id="146"/>
    </w:p>
    <w:p w14:paraId="2C5EAE06">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供应商发生以下条款情况之一者，视为无效响应，其电子响应文件将被拒绝：</w:t>
      </w:r>
      <w:bookmarkStart w:id="147" w:name="_Toc478823774"/>
    </w:p>
    <w:p w14:paraId="0E6D094C">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（一）供应商不符合规定的资格条件的；</w:t>
      </w:r>
    </w:p>
    <w:p w14:paraId="67F76716">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（二）供应商的法定代表人（或其授权代表）或自然人未参加磋商；</w:t>
      </w:r>
    </w:p>
    <w:p w14:paraId="3B22E71E">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（三）供应商未按照竞争性磋商文件的要求缴纳足额磋商保证金；</w:t>
      </w:r>
    </w:p>
    <w:p w14:paraId="7C01B2A3">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（四）供应商所提交的电子响应文件不按“第七篇</w:t>
      </w:r>
      <w:r>
        <w:rPr>
          <w:rFonts w:hint="eastAsia" w:asciiTheme="minorEastAsia" w:hAnsiTheme="minorEastAsia" w:eastAsiaTheme="minorEastAsia" w:cstheme="minorEastAsia"/>
          <w:color w:val="auto"/>
          <w:sz w:val="24"/>
          <w:szCs w:val="24"/>
          <w:highlight w:val="none"/>
          <w:lang w:val="en-US" w:eastAsia="zh-CN"/>
        </w:rPr>
        <w:t xml:space="preserve"> 电子</w:t>
      </w:r>
      <w:r>
        <w:rPr>
          <w:rFonts w:hint="eastAsia" w:asciiTheme="minorEastAsia" w:hAnsiTheme="minorEastAsia" w:eastAsiaTheme="minorEastAsia" w:cstheme="minorEastAsia"/>
          <w:color w:val="auto"/>
          <w:sz w:val="24"/>
          <w:szCs w:val="24"/>
          <w:highlight w:val="none"/>
        </w:rPr>
        <w:t>响应文件编制要求”规定签署或盖章；</w:t>
      </w:r>
    </w:p>
    <w:p w14:paraId="67A77989">
      <w:pPr>
        <w:snapToGrid w:val="0"/>
        <w:spacing w:line="400" w:lineRule="exact"/>
        <w:ind w:firstLine="465"/>
        <w:outlineLvl w:val="1"/>
        <w:rPr>
          <w:rFonts w:hint="eastAsia" w:asciiTheme="minorEastAsia" w:hAnsiTheme="minorEastAsia" w:eastAsiaTheme="minorEastAsia" w:cstheme="minorEastAsia"/>
          <w:color w:val="auto"/>
          <w:sz w:val="24"/>
          <w:szCs w:val="24"/>
          <w:highlight w:val="none"/>
        </w:rPr>
      </w:pPr>
      <w:bookmarkStart w:id="148" w:name="_Toc14585"/>
      <w:r>
        <w:rPr>
          <w:rFonts w:hint="eastAsia" w:asciiTheme="minorEastAsia" w:hAnsiTheme="minorEastAsia" w:eastAsiaTheme="minorEastAsia" w:cstheme="minorEastAsia"/>
          <w:color w:val="auto"/>
          <w:sz w:val="24"/>
          <w:szCs w:val="24"/>
          <w:highlight w:val="none"/>
        </w:rPr>
        <w:t>（五）供应商的最后报价超过采购预算或最高限价的；</w:t>
      </w:r>
      <w:bookmarkEnd w:id="148"/>
    </w:p>
    <w:p w14:paraId="70B5DC40">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（六）法定代表人为同一个人的两个及两个以上法人，母公司、全资子公司及其控股公司，在同一包采购中同时参与磋商；</w:t>
      </w:r>
    </w:p>
    <w:p w14:paraId="486F2BF6">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（七）单位负责人为同一人或者存在直接控股、管理关系的不同供应商，参加同一合同项下的政府采购活动的；</w:t>
      </w:r>
    </w:p>
    <w:p w14:paraId="7A2B0B45">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（八）为采购项目提供整体设计、规范编制或者项目管理、监理、检测等服务的供应商，再参加该采购项目的其他采购活动；</w:t>
      </w:r>
    </w:p>
    <w:p w14:paraId="08D37401">
      <w:pPr>
        <w:snapToGrid w:val="0"/>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149" w:name="_Toc14819"/>
      <w:r>
        <w:rPr>
          <w:rFonts w:hint="eastAsia" w:asciiTheme="minorEastAsia" w:hAnsiTheme="minorEastAsia" w:eastAsiaTheme="minorEastAsia" w:cstheme="minorEastAsia"/>
          <w:color w:val="auto"/>
          <w:sz w:val="24"/>
          <w:szCs w:val="24"/>
          <w:highlight w:val="none"/>
        </w:rPr>
        <w:t>（九）供应商磋商有效期不满足竞争性磋商文件要求的；</w:t>
      </w:r>
      <w:bookmarkEnd w:id="149"/>
    </w:p>
    <w:p w14:paraId="05C69C04">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（十）供应商电子响应文件内容有与国家现行法律法规相违背的内容，或附有采购人无法接受的条件；</w:t>
      </w:r>
    </w:p>
    <w:p w14:paraId="01E8FDAB">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（十一）供应商以联合体形式参与磋商的（不接受联合体参与磋商时适用）；</w:t>
      </w:r>
    </w:p>
    <w:p w14:paraId="749A99ED">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（十二）供应商进行合同分包的（不接受合同分包时适用）；</w:t>
      </w:r>
    </w:p>
    <w:p w14:paraId="51AE99FB">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（十三）法律、法规和竞争性磋商文件规定的其他无效情形。</w:t>
      </w:r>
    </w:p>
    <w:bookmarkEnd w:id="147"/>
    <w:p w14:paraId="20AEE72B">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150" w:name="_Toc23030"/>
      <w:bookmarkStart w:id="151" w:name="_Toc18662"/>
      <w:bookmarkStart w:id="152" w:name="_Toc31292"/>
      <w:bookmarkStart w:id="153" w:name="_Toc30228"/>
      <w:bookmarkStart w:id="154" w:name="_Toc478823775"/>
      <w:r>
        <w:rPr>
          <w:rFonts w:hint="eastAsia" w:asciiTheme="minorEastAsia" w:hAnsiTheme="minorEastAsia" w:eastAsiaTheme="minorEastAsia" w:cstheme="minorEastAsia"/>
          <w:color w:val="auto"/>
          <w:sz w:val="24"/>
          <w:szCs w:val="24"/>
          <w:highlight w:val="none"/>
          <w:lang w:val="en-US" w:eastAsia="zh-CN"/>
        </w:rPr>
        <w:t>四、采购终止</w:t>
      </w:r>
      <w:bookmarkEnd w:id="150"/>
      <w:bookmarkEnd w:id="151"/>
      <w:bookmarkEnd w:id="152"/>
      <w:bookmarkEnd w:id="153"/>
    </w:p>
    <w:p w14:paraId="440261DB">
      <w:pPr>
        <w:snapToGrid w:val="0"/>
        <w:spacing w:line="400" w:lineRule="exact"/>
        <w:ind w:firstLine="46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出现下列情形之一的，采购人或者采购代理机构应当终止竞争性磋商采购活动，发布项目终止公告并说明原因，重新开展采购活动：</w:t>
      </w:r>
    </w:p>
    <w:p w14:paraId="52C6F2D9">
      <w:pPr>
        <w:snapToGrid w:val="0"/>
        <w:spacing w:line="400" w:lineRule="exact"/>
        <w:ind w:firstLine="46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（一）因情况变化，不再符合规定的竞争性磋商采购方式适用情形的；</w:t>
      </w:r>
    </w:p>
    <w:p w14:paraId="1A69F705">
      <w:pPr>
        <w:snapToGrid w:val="0"/>
        <w:spacing w:line="400" w:lineRule="exact"/>
        <w:ind w:firstLine="465"/>
        <w:outlineLvl w:val="1"/>
        <w:rPr>
          <w:rFonts w:hint="eastAsia" w:asciiTheme="minorEastAsia" w:hAnsiTheme="minorEastAsia" w:eastAsiaTheme="minorEastAsia" w:cstheme="minorEastAsia"/>
          <w:color w:val="auto"/>
          <w:sz w:val="24"/>
          <w:highlight w:val="none"/>
        </w:rPr>
      </w:pPr>
      <w:bookmarkStart w:id="155" w:name="_Toc30984"/>
      <w:r>
        <w:rPr>
          <w:rFonts w:hint="eastAsia" w:asciiTheme="minorEastAsia" w:hAnsiTheme="minorEastAsia" w:eastAsiaTheme="minorEastAsia" w:cstheme="minorEastAsia"/>
          <w:color w:val="auto"/>
          <w:sz w:val="24"/>
          <w:highlight w:val="none"/>
        </w:rPr>
        <w:t>（二）出现影响采购公正的违法、违规行为的；</w:t>
      </w:r>
      <w:bookmarkEnd w:id="155"/>
    </w:p>
    <w:p w14:paraId="2CF2EC42">
      <w:pPr>
        <w:snapToGrid w:val="0"/>
        <w:spacing w:line="400" w:lineRule="exact"/>
        <w:ind w:firstLine="46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（三）在采购过程中符合要求的供应商或者报价未超过采购预算的供应商不足3家的，但《政府采购竞争性磋商采购方式管理暂行办法》第二十一条第三款规定的情形除外。</w:t>
      </w:r>
    </w:p>
    <w:p w14:paraId="45FE7E62">
      <w:pPr>
        <w:pStyle w:val="2"/>
        <w:spacing w:line="40" w:lineRule="atLeast"/>
        <w:jc w:val="left"/>
        <w:outlineLvl w:val="9"/>
        <w:rPr>
          <w:rFonts w:hint="eastAsia" w:asciiTheme="minorEastAsia" w:hAnsiTheme="minorEastAsia" w:eastAsiaTheme="minorEastAsia" w:cstheme="minorEastAsia"/>
          <w:b/>
          <w:bCs/>
          <w:color w:val="auto"/>
          <w:sz w:val="44"/>
          <w:szCs w:val="44"/>
          <w:highlight w:val="none"/>
        </w:rPr>
      </w:pPr>
    </w:p>
    <w:bookmarkEnd w:id="154"/>
    <w:p w14:paraId="59A89D83">
      <w:pPr>
        <w:spacing w:line="360" w:lineRule="auto"/>
        <w:jc w:val="center"/>
        <w:outlineLvl w:val="0"/>
        <w:rPr>
          <w:rFonts w:hint="eastAsia" w:asciiTheme="minorEastAsia" w:hAnsiTheme="minorEastAsia" w:eastAsiaTheme="minorEastAsia" w:cstheme="minorEastAsia"/>
          <w:b/>
          <w:color w:val="auto"/>
          <w:sz w:val="44"/>
          <w:szCs w:val="44"/>
          <w:highlight w:val="none"/>
        </w:rPr>
      </w:pPr>
      <w:bookmarkStart w:id="156" w:name="_Toc94016395"/>
      <w:bookmarkStart w:id="157" w:name="_Toc478823776"/>
      <w:bookmarkStart w:id="158" w:name="_Toc342913391"/>
      <w:r>
        <w:rPr>
          <w:rFonts w:hint="eastAsia" w:asciiTheme="minorEastAsia" w:hAnsiTheme="minorEastAsia" w:eastAsiaTheme="minorEastAsia" w:cstheme="minorEastAsia"/>
          <w:b/>
          <w:color w:val="auto"/>
          <w:sz w:val="44"/>
          <w:szCs w:val="44"/>
          <w:highlight w:val="none"/>
        </w:rPr>
        <w:br w:type="page"/>
      </w:r>
      <w:bookmarkStart w:id="159" w:name="_Toc22993"/>
      <w:bookmarkStart w:id="160" w:name="_Toc13545"/>
      <w:r>
        <w:rPr>
          <w:rFonts w:hint="eastAsia" w:asciiTheme="minorEastAsia" w:hAnsiTheme="minorEastAsia" w:eastAsiaTheme="minorEastAsia" w:cstheme="minorEastAsia"/>
          <w:b/>
          <w:color w:val="auto"/>
          <w:sz w:val="44"/>
          <w:szCs w:val="44"/>
          <w:highlight w:val="none"/>
        </w:rPr>
        <w:t>第五篇  供应商须知</w:t>
      </w:r>
      <w:bookmarkEnd w:id="159"/>
      <w:bookmarkEnd w:id="160"/>
    </w:p>
    <w:bookmarkEnd w:id="156"/>
    <w:bookmarkEnd w:id="157"/>
    <w:bookmarkEnd w:id="158"/>
    <w:p w14:paraId="117A7770">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161" w:name="_Toc23240"/>
      <w:bookmarkStart w:id="162" w:name="_Toc21252"/>
      <w:bookmarkStart w:id="163" w:name="_Toc27580"/>
      <w:bookmarkStart w:id="164" w:name="_Toc7999"/>
      <w:bookmarkStart w:id="165" w:name="_Toc19632"/>
      <w:bookmarkStart w:id="166" w:name="_Toc14533"/>
      <w:bookmarkStart w:id="167" w:name="_Toc25523"/>
      <w:bookmarkStart w:id="168" w:name="_Toc16478"/>
      <w:bookmarkStart w:id="169" w:name="_Toc7713"/>
      <w:bookmarkStart w:id="170" w:name="_Toc342913389"/>
      <w:bookmarkStart w:id="171" w:name="_Toc21556"/>
      <w:bookmarkStart w:id="172" w:name="_Toc76462338"/>
      <w:bookmarkStart w:id="173" w:name="_Toc12390"/>
      <w:bookmarkStart w:id="174" w:name="_Toc793"/>
      <w:bookmarkStart w:id="175" w:name="_Toc11819"/>
      <w:bookmarkStart w:id="176" w:name="_Toc27450"/>
      <w:bookmarkStart w:id="177" w:name="_Toc5692"/>
      <w:bookmarkStart w:id="178" w:name="_Toc27103"/>
      <w:bookmarkStart w:id="179" w:name="_Toc17186"/>
      <w:bookmarkStart w:id="180" w:name="_Toc3416"/>
      <w:bookmarkStart w:id="181" w:name="_Toc13127"/>
      <w:bookmarkStart w:id="182" w:name="_Toc8687"/>
      <w:bookmarkStart w:id="183" w:name="OLE_LINK8"/>
      <w:bookmarkStart w:id="184" w:name="OLE_LINK7"/>
      <w:bookmarkStart w:id="185" w:name="_Toc478823786"/>
      <w:r>
        <w:rPr>
          <w:rFonts w:hint="eastAsia" w:asciiTheme="minorEastAsia" w:hAnsiTheme="minorEastAsia" w:eastAsiaTheme="minorEastAsia" w:cstheme="minorEastAsia"/>
          <w:i w:val="0"/>
          <w:iCs w:val="0"/>
          <w:color w:val="auto"/>
          <w:sz w:val="24"/>
          <w:highlight w:val="none"/>
        </w:rPr>
        <w:t>一、磋商费用</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1265F40D">
      <w:pPr>
        <w:pStyle w:val="25"/>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参与磋商的供应商应承担其编制响应文件与递交响应文件所涉及的一切费用，不论磋商结果如何，采购人和采购代理机构在任何情况下无义务也无责任承担这些费用。</w:t>
      </w:r>
    </w:p>
    <w:p w14:paraId="67E7686A">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186" w:name="_Toc18232"/>
      <w:bookmarkStart w:id="187" w:name="_Toc22221"/>
      <w:bookmarkStart w:id="188" w:name="_Toc15704"/>
      <w:bookmarkStart w:id="189" w:name="_Toc76462339"/>
      <w:bookmarkStart w:id="190" w:name="_Toc26606"/>
      <w:bookmarkStart w:id="191" w:name="_Toc9045"/>
      <w:bookmarkStart w:id="192" w:name="_Toc8698"/>
      <w:bookmarkStart w:id="193" w:name="_Toc8461"/>
      <w:bookmarkStart w:id="194" w:name="_Toc9497"/>
      <w:bookmarkStart w:id="195" w:name="_Toc4573"/>
      <w:bookmarkStart w:id="196" w:name="_Toc32426"/>
      <w:bookmarkStart w:id="197" w:name="_Toc1522"/>
      <w:bookmarkStart w:id="198" w:name="_Toc2742"/>
      <w:bookmarkStart w:id="199" w:name="_Toc4199"/>
      <w:bookmarkStart w:id="200" w:name="_Toc29521"/>
      <w:bookmarkStart w:id="201" w:name="_Toc9421"/>
      <w:bookmarkStart w:id="202" w:name="_Toc8038"/>
      <w:bookmarkStart w:id="203" w:name="_Toc18966"/>
      <w:bookmarkStart w:id="204" w:name="_Toc30080"/>
      <w:bookmarkStart w:id="205" w:name="_Toc20922"/>
      <w:bookmarkStart w:id="206" w:name="_Toc7754"/>
      <w:r>
        <w:rPr>
          <w:rFonts w:hint="eastAsia" w:asciiTheme="minorEastAsia" w:hAnsiTheme="minorEastAsia" w:eastAsiaTheme="minorEastAsia" w:cstheme="minorEastAsia"/>
          <w:i w:val="0"/>
          <w:iCs w:val="0"/>
          <w:color w:val="auto"/>
          <w:sz w:val="24"/>
          <w:highlight w:val="none"/>
        </w:rPr>
        <w:t>二、竞争性磋商文件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73BED7B6">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（一）竞争性磋商文件由采购邀请书、项目服务需求、供应商须知、项目商务需求、磋商程序及方法、评审标准、无效响应和采购终止、供应商须知</w:t>
      </w:r>
      <w:r>
        <w:rPr>
          <w:rFonts w:hint="eastAsia" w:asciiTheme="minorEastAsia" w:hAnsiTheme="minorEastAsia" w:eastAsiaTheme="minorEastAsia" w:cstheme="minorEastAsia"/>
          <w:b/>
          <w:i w:val="0"/>
          <w:iCs w:val="0"/>
          <w:color w:val="auto"/>
          <w:sz w:val="24"/>
          <w:szCs w:val="24"/>
          <w:highlight w:val="none"/>
        </w:rPr>
        <w:t>、</w:t>
      </w:r>
      <w:r>
        <w:rPr>
          <w:rFonts w:hint="eastAsia" w:asciiTheme="minorEastAsia" w:hAnsiTheme="minorEastAsia" w:eastAsiaTheme="minorEastAsia" w:cstheme="minorEastAsia"/>
          <w:i w:val="0"/>
          <w:iCs w:val="0"/>
          <w:color w:val="auto"/>
          <w:sz w:val="24"/>
          <w:szCs w:val="24"/>
          <w:highlight w:val="none"/>
        </w:rPr>
        <w:t>政府采购合同</w:t>
      </w:r>
      <w:r>
        <w:rPr>
          <w:rFonts w:hint="eastAsia" w:asciiTheme="minorEastAsia" w:hAnsiTheme="minorEastAsia" w:eastAsiaTheme="minorEastAsia" w:cstheme="minorEastAsia"/>
          <w:b/>
          <w:i w:val="0"/>
          <w:iCs w:val="0"/>
          <w:color w:val="auto"/>
          <w:sz w:val="24"/>
          <w:szCs w:val="24"/>
          <w:highlight w:val="none"/>
        </w:rPr>
        <w:t>、</w:t>
      </w:r>
      <w:r>
        <w:rPr>
          <w:rFonts w:hint="eastAsia" w:asciiTheme="minorEastAsia" w:hAnsiTheme="minorEastAsia" w:eastAsiaTheme="minorEastAsia" w:cstheme="minorEastAsia"/>
          <w:i w:val="0"/>
          <w:iCs w:val="0"/>
          <w:color w:val="auto"/>
          <w:sz w:val="24"/>
          <w:szCs w:val="24"/>
          <w:highlight w:val="none"/>
        </w:rPr>
        <w:t>响应文件编制要求七部分组成。</w:t>
      </w:r>
    </w:p>
    <w:p w14:paraId="58DBB203">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（二）采购人（或采购代理机构）所作的一切有效的书面通知、修改及补充，都是竞争性磋商文件不可分割的部分。</w:t>
      </w:r>
    </w:p>
    <w:p w14:paraId="7185BDB1">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（三）竞争性磋商文件的解释</w:t>
      </w:r>
    </w:p>
    <w:p w14:paraId="1A81F90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207" w:name="_Toc318166429"/>
      <w:bookmarkStart w:id="208" w:name="_Toc318159349"/>
      <w:bookmarkStart w:id="209" w:name="_Toc318159780"/>
      <w:bookmarkStart w:id="210" w:name="_Toc318159160"/>
    </w:p>
    <w:p w14:paraId="3E7F7589">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（四）本竞争性磋商文件中，磋商小组根据与供应商进行磋商可能实质性变动的内容为竞争性磋商文件第二、三、六篇全部内容。</w:t>
      </w:r>
    </w:p>
    <w:p w14:paraId="5FB9CB16">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（五）评审的依据为竞争性磋商文件和响应文件（含有效的书面承诺）。磋商小组判断响应文件对竞争性磋商文件的响应，仅基于响应文件本身而不靠外部证据。</w:t>
      </w:r>
    </w:p>
    <w:bookmarkEnd w:id="207"/>
    <w:bookmarkEnd w:id="208"/>
    <w:bookmarkEnd w:id="209"/>
    <w:bookmarkEnd w:id="210"/>
    <w:p w14:paraId="02E62281">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11" w:name="_Toc76462340"/>
      <w:bookmarkStart w:id="212" w:name="_Toc20247"/>
      <w:bookmarkStart w:id="213" w:name="_Toc28796"/>
      <w:bookmarkStart w:id="214" w:name="_Toc342913392"/>
      <w:bookmarkStart w:id="215" w:name="_Toc23552"/>
      <w:bookmarkStart w:id="216" w:name="_Toc21811"/>
      <w:bookmarkStart w:id="217" w:name="_Toc29340"/>
      <w:bookmarkStart w:id="218" w:name="_Toc102227318"/>
      <w:bookmarkStart w:id="219" w:name="_Toc20791"/>
      <w:bookmarkStart w:id="220" w:name="_Toc9407"/>
      <w:bookmarkStart w:id="221" w:name="_Toc7175"/>
      <w:bookmarkStart w:id="222" w:name="_Toc13838"/>
      <w:bookmarkStart w:id="223" w:name="_Toc25054"/>
      <w:bookmarkStart w:id="224" w:name="_Toc29037"/>
      <w:bookmarkStart w:id="225" w:name="_Toc632"/>
      <w:bookmarkStart w:id="226" w:name="_Toc14410"/>
      <w:bookmarkStart w:id="227" w:name="_Toc179714297"/>
      <w:bookmarkStart w:id="228" w:name="_Toc14191"/>
      <w:bookmarkStart w:id="229" w:name="_Toc11304"/>
      <w:bookmarkStart w:id="230" w:name="_Toc2735"/>
      <w:bookmarkStart w:id="231" w:name="_Toc6100"/>
      <w:bookmarkStart w:id="232" w:name="_Toc31661"/>
      <w:bookmarkStart w:id="233" w:name="_Toc11189"/>
      <w:bookmarkStart w:id="234" w:name="_Toc28800"/>
      <w:r>
        <w:rPr>
          <w:rFonts w:hint="eastAsia" w:asciiTheme="minorEastAsia" w:hAnsiTheme="minorEastAsia" w:eastAsiaTheme="minorEastAsia" w:cstheme="minorEastAsia"/>
          <w:i w:val="0"/>
          <w:iCs w:val="0"/>
          <w:color w:val="auto"/>
          <w:sz w:val="24"/>
          <w:highlight w:val="none"/>
        </w:rPr>
        <w:t>三、磋商要求</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A231004">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（一）响应文件</w:t>
      </w:r>
    </w:p>
    <w:p w14:paraId="4DDF0A9C">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1.供应商应当按照竞争性磋商文件的要求编制响应文件，并对竞争性磋商文件提出的要求和条件作出实质性响应，响应文件原则上采用软面订本，同时应编制完整的页码、目录。</w:t>
      </w:r>
    </w:p>
    <w:p w14:paraId="6A6018F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2.响应文件组成</w:t>
      </w:r>
    </w:p>
    <w:p w14:paraId="64536420">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519AC5F">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（二）联合体</w:t>
      </w:r>
    </w:p>
    <w:p w14:paraId="11A92348">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本项目不接受联合体参与磋商。</w:t>
      </w:r>
    </w:p>
    <w:p w14:paraId="495F0F1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（三）磋商有效期：响应文件及有关承诺文件有效期为提交响应文件截止时间起90天。</w:t>
      </w:r>
    </w:p>
    <w:p w14:paraId="6C7F1B1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（四）修正错误</w:t>
      </w:r>
    </w:p>
    <w:p w14:paraId="0B0EC09C">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1.若供应商所递交的响应文件或最后报价中的价格出现大写金额和小写金额不一致的错误，以大写金额修正为准。</w:t>
      </w:r>
    </w:p>
    <w:p w14:paraId="66815671">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2.磋商小组按上述修正错误的原则及方法修正供应商的报价，供应商同意并签署确认后，修正后的报价对供应商具有约束作用。如果供应商不接受修正后的价格，将失去成为成交供应商的资格。</w:t>
      </w:r>
    </w:p>
    <w:p w14:paraId="25B54AE0">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（五）提交响应文件的份数和签署</w:t>
      </w:r>
    </w:p>
    <w:p w14:paraId="3890B9B3">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1.响应文件一式</w:t>
      </w:r>
      <w:r>
        <w:rPr>
          <w:rFonts w:hint="eastAsia" w:asciiTheme="minorEastAsia" w:hAnsiTheme="minorEastAsia" w:eastAsiaTheme="minorEastAsia" w:cstheme="minorEastAsia"/>
          <w:i w:val="0"/>
          <w:iCs w:val="0"/>
          <w:color w:val="auto"/>
          <w:sz w:val="24"/>
          <w:szCs w:val="24"/>
          <w:highlight w:val="none"/>
          <w:lang w:val="en-US" w:eastAsia="zh-CN"/>
        </w:rPr>
        <w:t>三</w:t>
      </w:r>
      <w:r>
        <w:rPr>
          <w:rFonts w:hint="eastAsia" w:asciiTheme="minorEastAsia" w:hAnsiTheme="minorEastAsia" w:eastAsiaTheme="minorEastAsia" w:cstheme="minorEastAsia"/>
          <w:i w:val="0"/>
          <w:iCs w:val="0"/>
          <w:color w:val="auto"/>
          <w:sz w:val="24"/>
          <w:szCs w:val="24"/>
          <w:highlight w:val="none"/>
        </w:rPr>
        <w:t>份，其中正本一份，副本</w:t>
      </w:r>
      <w:r>
        <w:rPr>
          <w:rFonts w:hint="eastAsia" w:asciiTheme="minorEastAsia" w:hAnsiTheme="minorEastAsia" w:eastAsiaTheme="minorEastAsia" w:cstheme="minorEastAsia"/>
          <w:i w:val="0"/>
          <w:iCs w:val="0"/>
          <w:color w:val="auto"/>
          <w:sz w:val="24"/>
          <w:szCs w:val="24"/>
          <w:highlight w:val="none"/>
          <w:lang w:val="en-US" w:eastAsia="zh-CN"/>
        </w:rPr>
        <w:t>一</w:t>
      </w:r>
      <w:r>
        <w:rPr>
          <w:rFonts w:hint="eastAsia" w:asciiTheme="minorEastAsia" w:hAnsiTheme="minorEastAsia" w:eastAsiaTheme="minorEastAsia" w:cstheme="minorEastAsia"/>
          <w:i w:val="0"/>
          <w:iCs w:val="0"/>
          <w:color w:val="auto"/>
          <w:sz w:val="24"/>
          <w:szCs w:val="24"/>
          <w:highlight w:val="none"/>
        </w:rPr>
        <w:t>份，电子文档一份（电子文档内容应与纸质文件正本一致，如不一致以纸质文件正本为准。推荐采用光盘或U盘为电子文档载体）；副本可为正本的复印件，应与正本一致，如出现不一致情况以正本为准。</w:t>
      </w:r>
    </w:p>
    <w:p w14:paraId="483B7CFC">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w:t>
      </w:r>
      <w:r>
        <w:rPr>
          <w:rFonts w:hint="eastAsia" w:asciiTheme="minorEastAsia" w:hAnsiTheme="minorEastAsia" w:eastAsiaTheme="minorEastAsia" w:cstheme="minorEastAsia"/>
          <w:i w:val="0"/>
          <w:iCs w:val="0"/>
          <w:color w:val="auto"/>
          <w:sz w:val="24"/>
          <w:highlight w:val="none"/>
        </w:rPr>
        <w:t>响应文件正本必须逐页加盖单位公章，响应文件按招标文件第七篇投标文件格式中规定签署、盖章的地方必须按其规定签署、盖章。</w:t>
      </w:r>
    </w:p>
    <w:p w14:paraId="366ED27A">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（六）响应文件的递交</w:t>
      </w:r>
    </w:p>
    <w:p w14:paraId="465D7FE6">
      <w:pPr>
        <w:pStyle w:val="9"/>
        <w:spacing w:line="360" w:lineRule="auto"/>
        <w:ind w:firstLine="480" w:firstLineChars="200"/>
        <w:rPr>
          <w:rFonts w:hint="eastAsia" w:asciiTheme="minorEastAsia" w:hAnsiTheme="minorEastAsia" w:eastAsiaTheme="minorEastAsia" w:cstheme="minorEastAsia"/>
          <w:i w:val="0"/>
          <w:iCs w:val="0"/>
          <w:color w:val="auto"/>
          <w:sz w:val="24"/>
          <w:highlight w:val="none"/>
        </w:rPr>
      </w:pPr>
      <w:r>
        <w:rPr>
          <w:rFonts w:hint="eastAsia" w:asciiTheme="minorEastAsia" w:hAnsiTheme="minorEastAsia" w:eastAsiaTheme="minorEastAsia" w:cstheme="minorEastAsia"/>
          <w:i w:val="0"/>
          <w:iCs w:val="0"/>
          <w:color w:val="auto"/>
          <w:sz w:val="24"/>
          <w:highlight w:val="none"/>
        </w:rPr>
        <w:t>响应文件的正本、副本以及电子文档均应密封送达</w:t>
      </w:r>
      <w:r>
        <w:rPr>
          <w:rFonts w:hint="eastAsia" w:asciiTheme="minorEastAsia" w:hAnsiTheme="minorEastAsia" w:eastAsiaTheme="minorEastAsia" w:cstheme="minorEastAsia"/>
          <w:i w:val="0"/>
          <w:iCs w:val="0"/>
          <w:color w:val="auto"/>
          <w:sz w:val="24"/>
          <w:szCs w:val="24"/>
          <w:highlight w:val="none"/>
        </w:rPr>
        <w:t>递交响应文件地点</w:t>
      </w:r>
      <w:r>
        <w:rPr>
          <w:rFonts w:hint="eastAsia" w:asciiTheme="minorEastAsia" w:hAnsiTheme="minorEastAsia" w:eastAsiaTheme="minorEastAsia" w:cstheme="minorEastAsia"/>
          <w:i w:val="0"/>
          <w:iCs w:val="0"/>
          <w:color w:val="auto"/>
          <w:sz w:val="24"/>
          <w:highlight w:val="none"/>
        </w:rPr>
        <w:t>，应在封套上注明磋商项目名称、供应商名称。若正本、副本以及电子文档分别进行密封的，还应在封套上注明“正本”、“副本”、“电子文档”字样。</w:t>
      </w:r>
    </w:p>
    <w:p w14:paraId="3FB64A9D">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（七）供应商参与人员</w:t>
      </w:r>
    </w:p>
    <w:p w14:paraId="46ED8723">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各个供应商应当派1-2名代表参与磋商，至少1人应为法定代表人（或其授权代表）或自然人（供应商为自然人）。</w:t>
      </w:r>
    </w:p>
    <w:p w14:paraId="0185B491">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35" w:name="_Toc18845"/>
      <w:bookmarkStart w:id="236" w:name="_Toc13618"/>
      <w:bookmarkStart w:id="237" w:name="_Toc27253"/>
      <w:bookmarkStart w:id="238" w:name="_Toc3816"/>
      <w:bookmarkStart w:id="239" w:name="_Toc26891"/>
      <w:bookmarkStart w:id="240" w:name="_Toc4358"/>
      <w:bookmarkStart w:id="241" w:name="_Toc16815"/>
      <w:bookmarkStart w:id="242" w:name="_Toc28339"/>
      <w:bookmarkStart w:id="243" w:name="_Toc6872"/>
      <w:bookmarkStart w:id="244" w:name="_Toc24060"/>
      <w:bookmarkStart w:id="245" w:name="_Toc10146"/>
      <w:bookmarkStart w:id="246" w:name="_Toc10675"/>
      <w:bookmarkStart w:id="247" w:name="_Toc3211"/>
      <w:bookmarkStart w:id="248" w:name="_Toc76462341"/>
      <w:bookmarkStart w:id="249" w:name="_Toc1654"/>
      <w:bookmarkStart w:id="250" w:name="_Toc4255"/>
      <w:bookmarkStart w:id="251" w:name="_Toc2807"/>
      <w:bookmarkStart w:id="252" w:name="_Toc10341"/>
      <w:bookmarkStart w:id="253" w:name="_Toc20055"/>
      <w:bookmarkStart w:id="254" w:name="_Toc6975"/>
      <w:bookmarkStart w:id="255" w:name="_Toc29902"/>
      <w:r>
        <w:rPr>
          <w:rFonts w:hint="eastAsia" w:asciiTheme="minorEastAsia" w:hAnsiTheme="minorEastAsia" w:eastAsiaTheme="minorEastAsia" w:cstheme="minorEastAsia"/>
          <w:i w:val="0"/>
          <w:iCs w:val="0"/>
          <w:color w:val="auto"/>
          <w:sz w:val="24"/>
          <w:highlight w:val="none"/>
        </w:rPr>
        <w:t>四、成交供应商的确认和变更</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31E68303">
      <w:pPr>
        <w:snapToGrid w:val="0"/>
        <w:spacing w:line="360" w:lineRule="auto"/>
        <w:ind w:firstLine="480" w:firstLineChars="200"/>
        <w:outlineLvl w:val="2"/>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（一）成交供应商的确认</w:t>
      </w:r>
    </w:p>
    <w:p w14:paraId="2EE9ED25">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BE8672C">
      <w:pPr>
        <w:snapToGrid w:val="0"/>
        <w:spacing w:line="360" w:lineRule="auto"/>
        <w:ind w:firstLine="480" w:firstLineChars="200"/>
        <w:outlineLvl w:val="2"/>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（二）成交供应商的变更</w:t>
      </w:r>
    </w:p>
    <w:p w14:paraId="651AB639">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highlight w:val="none"/>
        </w:rPr>
        <w:t>成交供应商拒绝与采购人签订合同的，采购人可以按照评标报告推荐的成交候选供应商顺序，确定排名下一位的候选人为成交供应商，也可以重新开展政府采购活动。</w:t>
      </w:r>
    </w:p>
    <w:p w14:paraId="1EE0B1C4">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56" w:name="_Toc342913395"/>
      <w:bookmarkStart w:id="257" w:name="_Toc27893"/>
      <w:bookmarkStart w:id="258" w:name="_Toc102227321"/>
      <w:bookmarkStart w:id="259" w:name="_Toc21734"/>
      <w:bookmarkStart w:id="260" w:name="_Toc21706"/>
      <w:bookmarkStart w:id="261" w:name="_Toc3600"/>
      <w:bookmarkStart w:id="262" w:name="_Toc20539"/>
      <w:bookmarkStart w:id="263" w:name="_Toc9305"/>
      <w:bookmarkStart w:id="264" w:name="_Toc17789"/>
      <w:bookmarkStart w:id="265" w:name="_Toc1927"/>
      <w:bookmarkStart w:id="266" w:name="_Toc9729"/>
      <w:bookmarkStart w:id="267" w:name="_Toc17733"/>
      <w:bookmarkStart w:id="268" w:name="_Toc32086"/>
      <w:bookmarkStart w:id="269" w:name="_Toc7024"/>
      <w:bookmarkStart w:id="270" w:name="_Toc1176"/>
      <w:bookmarkStart w:id="271" w:name="_Toc547"/>
      <w:bookmarkStart w:id="272" w:name="_Toc76462342"/>
      <w:bookmarkStart w:id="273" w:name="_Toc16227"/>
      <w:bookmarkStart w:id="274" w:name="_Toc31771"/>
      <w:bookmarkStart w:id="275" w:name="_Toc7139"/>
      <w:bookmarkStart w:id="276" w:name="_Toc5669"/>
      <w:bookmarkStart w:id="277" w:name="_Toc4036"/>
      <w:bookmarkStart w:id="278" w:name="_Toc13900"/>
      <w:r>
        <w:rPr>
          <w:rFonts w:hint="eastAsia" w:asciiTheme="minorEastAsia" w:hAnsiTheme="minorEastAsia" w:eastAsiaTheme="minorEastAsia" w:cstheme="minorEastAsia"/>
          <w:i w:val="0"/>
          <w:iCs w:val="0"/>
          <w:color w:val="auto"/>
          <w:sz w:val="24"/>
          <w:highlight w:val="none"/>
        </w:rPr>
        <w:t>五、成交通知</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4433BA83">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（一）成交供应商确定后，采购代理机构将在“行采家”平台（http://www.gec123.com）上发布成交结果公告。</w:t>
      </w:r>
    </w:p>
    <w:p w14:paraId="79ACC138">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（二）结果公告发出同时，采购代理机构将以书面形式发出《成交通知书》。《成交通知书》一经发出即发生法律效力。</w:t>
      </w:r>
    </w:p>
    <w:p w14:paraId="15D050E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（三）《成交通知书》将作为签订合同的依据。</w:t>
      </w:r>
    </w:p>
    <w:p w14:paraId="61D5CDB0">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79" w:name="_Toc26027"/>
      <w:bookmarkStart w:id="280" w:name="_Toc14151"/>
      <w:bookmarkStart w:id="281" w:name="_Toc20445"/>
      <w:bookmarkStart w:id="282" w:name="_Toc29901"/>
      <w:bookmarkStart w:id="283" w:name="_Toc19659"/>
      <w:bookmarkStart w:id="284" w:name="_Toc5614"/>
      <w:bookmarkStart w:id="285" w:name="_Toc7014"/>
      <w:bookmarkStart w:id="286" w:name="_Toc15280"/>
      <w:bookmarkStart w:id="287" w:name="_Toc24711"/>
      <w:bookmarkStart w:id="288" w:name="_Toc5629"/>
      <w:bookmarkStart w:id="289" w:name="_Toc20620"/>
      <w:bookmarkStart w:id="290" w:name="_Toc10556"/>
      <w:bookmarkStart w:id="291" w:name="_Toc76462343"/>
      <w:bookmarkStart w:id="292" w:name="_Toc23273"/>
      <w:bookmarkStart w:id="293" w:name="_Toc1089"/>
      <w:bookmarkStart w:id="294" w:name="_Toc27645"/>
      <w:bookmarkStart w:id="295" w:name="_Toc9500"/>
      <w:bookmarkStart w:id="296" w:name="_Toc8117"/>
      <w:bookmarkStart w:id="297" w:name="_Toc24378"/>
      <w:r>
        <w:rPr>
          <w:rFonts w:hint="eastAsia" w:asciiTheme="minorEastAsia" w:hAnsiTheme="minorEastAsia" w:eastAsiaTheme="minorEastAsia" w:cstheme="minorEastAsia"/>
          <w:i w:val="0"/>
          <w:iCs w:val="0"/>
          <w:color w:val="auto"/>
          <w:sz w:val="24"/>
          <w:highlight w:val="none"/>
        </w:rPr>
        <w:t>六、关于质疑和投诉</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6CD367B6">
      <w:pPr>
        <w:spacing w:line="360" w:lineRule="auto"/>
        <w:ind w:firstLine="480" w:firstLineChars="200"/>
        <w:outlineLvl w:val="2"/>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（一）质疑</w:t>
      </w:r>
    </w:p>
    <w:p w14:paraId="515F0A4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供应商认为采购文件、采购过程和成交结果使自己的权益收到伤害的，可向采购人或采购代理机构以书面形式提出质疑。</w:t>
      </w:r>
    </w:p>
    <w:p w14:paraId="6A716167">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提出质疑的应当是参与所质疑项目采购活动的供应商。 </w:t>
      </w:r>
    </w:p>
    <w:p w14:paraId="7AA4FFAD">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1.质疑时限、内容</w:t>
      </w:r>
    </w:p>
    <w:p w14:paraId="4B6056C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供应商认为采购文件、采购过程、成交结果使自己的权益受到损害的，可以在知道或者应知其权益受到损害之日起7个工作日内，以书面形式向采购人、采购代理机构提出质疑。</w:t>
      </w:r>
    </w:p>
    <w:p w14:paraId="156B319A">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1.2供应商提出质疑应当提交质疑函和必要的证明材料，质疑函应当包括下列内容：</w:t>
      </w:r>
    </w:p>
    <w:p w14:paraId="26435FCD">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1.2.1供应商的姓名或者名称、地址、邮编、联系人及联系电话；</w:t>
      </w:r>
    </w:p>
    <w:p w14:paraId="64C04C0E">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1.2.2质疑项目的名称、项目号以及采购执行编号；</w:t>
      </w:r>
    </w:p>
    <w:p w14:paraId="0D82320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1.2.3具体、明确的质疑事项和与质疑事项相关的请求；</w:t>
      </w:r>
    </w:p>
    <w:p w14:paraId="08E919E0">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1.2.4事实依据；</w:t>
      </w:r>
    </w:p>
    <w:p w14:paraId="23339793">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1.2.5必要的法律依据；</w:t>
      </w:r>
    </w:p>
    <w:p w14:paraId="6CD30BE1">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1.2.6提出质疑的日期；</w:t>
      </w:r>
    </w:p>
    <w:p w14:paraId="4AE95C16">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1.2.7营业执照（或事业单位法人证书，或个体工商户营业执照或有效的自然人身份证明）复印件；</w:t>
      </w:r>
    </w:p>
    <w:p w14:paraId="50F2840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1.2.8法定代表人授权委托书原件、法定代表人身份证复印件和其授权代表的身份证复印件（供应商为自然人的提供自然人身份证复印件）；</w:t>
      </w:r>
    </w:p>
    <w:p w14:paraId="068DE7E6">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1.3供应商为自然人的，质疑函应当由本人签字；供应商为法人或者其他组织的，质疑函应当由法定代表人、主要负责人，或者其授权代表签字或者盖章，并加盖公章。</w:t>
      </w:r>
    </w:p>
    <w:p w14:paraId="08420B7E">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2.质疑答复</w:t>
      </w:r>
    </w:p>
    <w:p w14:paraId="0EFF907F">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采购人、采购代理机构应当在收到供应商的书面质疑后七个工作日内作出答复，并以书面形式通知质疑供应商和其他有关供应商。</w:t>
      </w:r>
    </w:p>
    <w:p w14:paraId="464669D8">
      <w:pPr>
        <w:pStyle w:val="3"/>
        <w:numPr>
          <w:ilvl w:val="0"/>
          <w:numId w:val="3"/>
        </w:numPr>
        <w:adjustRightInd w:val="0"/>
        <w:snapToGrid w:val="0"/>
        <w:spacing w:before="0" w:after="0" w:line="348" w:lineRule="auto"/>
        <w:jc w:val="left"/>
        <w:outlineLvl w:val="0"/>
        <w:rPr>
          <w:rFonts w:hint="eastAsia" w:asciiTheme="minorEastAsia" w:hAnsiTheme="minorEastAsia" w:eastAsiaTheme="minorEastAsia" w:cstheme="minorEastAsia"/>
          <w:i w:val="0"/>
          <w:iCs w:val="0"/>
          <w:color w:val="auto"/>
          <w:sz w:val="24"/>
          <w:highlight w:val="none"/>
          <w:lang w:val="en-US" w:eastAsia="zh-CN"/>
        </w:rPr>
      </w:pPr>
      <w:bookmarkStart w:id="298" w:name="_Toc17520"/>
      <w:bookmarkStart w:id="299" w:name="_Toc26593"/>
      <w:bookmarkStart w:id="300" w:name="_Toc102227322"/>
      <w:bookmarkStart w:id="301" w:name="_Toc15366"/>
      <w:bookmarkStart w:id="302" w:name="_Toc8595"/>
      <w:bookmarkStart w:id="303" w:name="_Toc76462346"/>
      <w:bookmarkStart w:id="304" w:name="_Toc26372"/>
      <w:bookmarkStart w:id="305" w:name="_Toc7501"/>
      <w:bookmarkStart w:id="306" w:name="_Toc342913396"/>
      <w:bookmarkStart w:id="307" w:name="_Toc11278"/>
      <w:bookmarkStart w:id="308" w:name="_Toc17651"/>
      <w:bookmarkStart w:id="309" w:name="_Toc31502"/>
      <w:bookmarkStart w:id="310" w:name="_Toc26629"/>
      <w:bookmarkStart w:id="311" w:name="_Toc3327"/>
      <w:bookmarkStart w:id="312" w:name="_Toc20308"/>
      <w:bookmarkStart w:id="313" w:name="_Toc2209"/>
      <w:bookmarkStart w:id="314" w:name="_Toc24713"/>
      <w:bookmarkStart w:id="315" w:name="_Toc8704"/>
      <w:bookmarkStart w:id="316" w:name="_Toc24303"/>
      <w:bookmarkStart w:id="317" w:name="_Toc17728"/>
      <w:bookmarkStart w:id="318" w:name="_Toc16077"/>
      <w:bookmarkStart w:id="319" w:name="_Toc18211"/>
      <w:bookmarkStart w:id="320" w:name="_Toc5000"/>
      <w:r>
        <w:rPr>
          <w:rFonts w:hint="eastAsia" w:asciiTheme="minorEastAsia" w:hAnsiTheme="minorEastAsia" w:eastAsiaTheme="minorEastAsia" w:cstheme="minorEastAsia"/>
          <w:i w:val="0"/>
          <w:iCs w:val="0"/>
          <w:color w:val="auto"/>
          <w:sz w:val="24"/>
          <w:highlight w:val="none"/>
          <w:lang w:val="en-US" w:eastAsia="zh-CN"/>
        </w:rPr>
        <w:t>采购代理服务费</w:t>
      </w:r>
      <w:bookmarkEnd w:id="298"/>
      <w:bookmarkEnd w:id="299"/>
      <w:bookmarkStart w:id="321" w:name="_Toc5453"/>
    </w:p>
    <w:p w14:paraId="2F754422">
      <w:pPr>
        <w:pStyle w:val="3"/>
        <w:numPr>
          <w:ilvl w:val="0"/>
          <w:numId w:val="0"/>
        </w:numPr>
        <w:adjustRightInd w:val="0"/>
        <w:snapToGrid w:val="0"/>
        <w:spacing w:before="0" w:after="0" w:line="348" w:lineRule="auto"/>
        <w:ind w:firstLine="480" w:firstLineChars="200"/>
        <w:jc w:val="left"/>
        <w:outlineLvl w:val="0"/>
        <w:rPr>
          <w:rFonts w:hint="eastAsia" w:asciiTheme="minorEastAsia" w:hAnsiTheme="minorEastAsia" w:eastAsiaTheme="minorEastAsia" w:cstheme="minorEastAsia"/>
          <w:b w:val="0"/>
          <w:bCs w:val="0"/>
          <w:color w:val="auto"/>
          <w:kern w:val="2"/>
          <w:sz w:val="24"/>
          <w:szCs w:val="20"/>
          <w:highlight w:val="none"/>
          <w:lang w:eastAsia="zh-CN" w:bidi="ar-SA"/>
        </w:rPr>
      </w:pPr>
      <w:r>
        <w:rPr>
          <w:rFonts w:hint="eastAsia" w:asciiTheme="minorEastAsia" w:hAnsiTheme="minorEastAsia" w:eastAsiaTheme="minorEastAsia" w:cstheme="minorEastAsia"/>
          <w:b w:val="0"/>
          <w:bCs w:val="0"/>
          <w:color w:val="auto"/>
          <w:kern w:val="2"/>
          <w:sz w:val="24"/>
          <w:szCs w:val="20"/>
          <w:highlight w:val="none"/>
          <w:lang w:val="en-US" w:eastAsia="zh-CN" w:bidi="ar-SA"/>
        </w:rPr>
        <w:t>（一）供应商成交后向采购代理机构缴纳采购代理服务费，本次采购代理服务费招标代理服务费按“重庆市招标投标协会关于印发《重庆市招标代理服务规范（试行）》的通知”渝招投协（2015）11号文规定标准收取。供应商在领取成交通知书时一次性缴纳给采购代理机构，</w:t>
      </w:r>
      <w:bookmarkEnd w:id="321"/>
      <w:r>
        <w:rPr>
          <w:rFonts w:hint="eastAsia" w:asciiTheme="minorEastAsia" w:hAnsiTheme="minorEastAsia" w:eastAsiaTheme="minorEastAsia" w:cstheme="minorEastAsia"/>
          <w:b w:val="0"/>
          <w:bCs w:val="0"/>
          <w:color w:val="auto"/>
          <w:kern w:val="2"/>
          <w:sz w:val="24"/>
          <w:szCs w:val="20"/>
          <w:highlight w:val="none"/>
          <w:lang w:val="en-US" w:eastAsia="zh-CN" w:bidi="ar-SA"/>
        </w:rPr>
        <w:t>采购代理服务费的收取标准</w:t>
      </w:r>
      <w:r>
        <w:rPr>
          <w:rFonts w:hint="eastAsia" w:asciiTheme="minorEastAsia" w:hAnsiTheme="minorEastAsia" w:eastAsiaTheme="minorEastAsia" w:cstheme="minorEastAsia"/>
          <w:b w:val="0"/>
          <w:bCs w:val="0"/>
          <w:color w:val="auto"/>
          <w:kern w:val="2"/>
          <w:sz w:val="24"/>
          <w:szCs w:val="20"/>
          <w:highlight w:val="none"/>
          <w:lang w:eastAsia="zh-CN" w:bidi="ar-SA"/>
        </w:rPr>
        <w:t>为</w:t>
      </w:r>
      <w:r>
        <w:rPr>
          <w:rFonts w:hint="eastAsia" w:asciiTheme="minorEastAsia" w:hAnsiTheme="minorEastAsia" w:eastAsiaTheme="minorEastAsia" w:cstheme="minorEastAsia"/>
          <w:b w:val="0"/>
          <w:bCs w:val="0"/>
          <w:color w:val="auto"/>
          <w:kern w:val="2"/>
          <w:sz w:val="24"/>
          <w:szCs w:val="20"/>
          <w:highlight w:val="none"/>
          <w:lang w:val="en-US" w:eastAsia="zh-CN" w:bidi="ar-SA"/>
        </w:rPr>
        <w:t>2000元/家</w:t>
      </w:r>
      <w:r>
        <w:rPr>
          <w:rFonts w:hint="eastAsia" w:asciiTheme="minorEastAsia" w:hAnsiTheme="minorEastAsia" w:eastAsiaTheme="minorEastAsia" w:cstheme="minorEastAsia"/>
          <w:b w:val="0"/>
          <w:bCs w:val="0"/>
          <w:color w:val="auto"/>
          <w:kern w:val="2"/>
          <w:sz w:val="24"/>
          <w:szCs w:val="20"/>
          <w:highlight w:val="none"/>
          <w:lang w:eastAsia="zh-CN" w:bidi="ar-SA"/>
        </w:rPr>
        <w:t>。</w:t>
      </w:r>
    </w:p>
    <w:p w14:paraId="63DF3E44">
      <w:pPr>
        <w:pStyle w:val="3"/>
        <w:adjustRightInd w:val="0"/>
        <w:snapToGrid w:val="0"/>
        <w:spacing w:before="0" w:after="0" w:line="348" w:lineRule="auto"/>
        <w:jc w:val="left"/>
        <w:outlineLvl w:val="0"/>
        <w:rPr>
          <w:rFonts w:hint="eastAsia" w:asciiTheme="minorEastAsia" w:hAnsiTheme="minorEastAsia" w:eastAsiaTheme="minorEastAsia" w:cstheme="minorEastAsia"/>
          <w:i w:val="0"/>
          <w:iCs w:val="0"/>
          <w:color w:val="auto"/>
          <w:sz w:val="24"/>
          <w:highlight w:val="none"/>
        </w:rPr>
      </w:pPr>
      <w:bookmarkStart w:id="322" w:name="_Toc2791"/>
      <w:bookmarkStart w:id="323" w:name="_Toc4993"/>
      <w:r>
        <w:rPr>
          <w:rFonts w:hint="eastAsia" w:asciiTheme="minorEastAsia" w:hAnsiTheme="minorEastAsia" w:eastAsiaTheme="minorEastAsia" w:cstheme="minorEastAsia"/>
          <w:i w:val="0"/>
          <w:iCs w:val="0"/>
          <w:color w:val="auto"/>
          <w:sz w:val="24"/>
          <w:highlight w:val="none"/>
          <w:lang w:eastAsia="zh-CN"/>
        </w:rPr>
        <w:t>八</w:t>
      </w:r>
      <w:r>
        <w:rPr>
          <w:rFonts w:hint="eastAsia" w:asciiTheme="minorEastAsia" w:hAnsiTheme="minorEastAsia" w:eastAsiaTheme="minorEastAsia" w:cstheme="minorEastAsia"/>
          <w:i w:val="0"/>
          <w:iCs w:val="0"/>
          <w:color w:val="auto"/>
          <w:sz w:val="24"/>
          <w:highlight w:val="none"/>
        </w:rPr>
        <w:t>、签订</w:t>
      </w:r>
      <w:bookmarkEnd w:id="300"/>
      <w:r>
        <w:rPr>
          <w:rFonts w:hint="eastAsia" w:asciiTheme="minorEastAsia" w:hAnsiTheme="minorEastAsia" w:eastAsiaTheme="minorEastAsia" w:cstheme="minorEastAsia"/>
          <w:i w:val="0"/>
          <w:iCs w:val="0"/>
          <w:color w:val="auto"/>
          <w:sz w:val="24"/>
          <w:highlight w:val="none"/>
        </w:rPr>
        <w:t>合同</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2"/>
      <w:bookmarkEnd w:id="323"/>
    </w:p>
    <w:p w14:paraId="6D4BA09C">
      <w:pPr>
        <w:spacing w:line="348"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采购人原则上应在成交通知书发出之日起二十日内和成交供应商签订采购合同，无正当理由不得拒绝或拖延合同签订。所签订的合同不得对竞争性磋商文件和供应商的响应文件作实质性修改。其他未尽事宜由采购人和成交供应商在采购合同中详细约定。</w:t>
      </w:r>
    </w:p>
    <w:p w14:paraId="374767A6">
      <w:pPr>
        <w:spacing w:line="348"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（二）竞争性磋商文件、供应商的响应文件及澄清文件等，均为签订采购合同的依据。</w:t>
      </w:r>
    </w:p>
    <w:p w14:paraId="6FCE4E11">
      <w:pPr>
        <w:spacing w:line="348"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（三）合同生效条款由供需双方约定，法律、行政法规规定应当办理批准、登记等手续后生效的合同，依照其规定。</w:t>
      </w:r>
    </w:p>
    <w:p w14:paraId="2525F103">
      <w:pPr>
        <w:spacing w:line="348" w:lineRule="auto"/>
        <w:ind w:firstLine="360" w:firstLineChars="15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（四）合同原则上应按照《重庆市采购合同》签订，相关单位要求适用合同通用格式版本的，应按其要求另行签订其他合同。</w:t>
      </w:r>
    </w:p>
    <w:bookmarkEnd w:id="182"/>
    <w:bookmarkEnd w:id="183"/>
    <w:bookmarkEnd w:id="184"/>
    <w:p w14:paraId="71117611">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13848E21">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21211B24">
      <w:pPr>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w:t>
      </w:r>
    </w:p>
    <w:p w14:paraId="144A9407">
      <w:pPr>
        <w:pStyle w:val="6"/>
        <w:rPr>
          <w:rFonts w:hint="eastAsia" w:asciiTheme="minorEastAsia" w:hAnsiTheme="minorEastAsia" w:eastAsiaTheme="minorEastAsia" w:cstheme="minorEastAsia"/>
          <w:color w:val="auto"/>
          <w:sz w:val="24"/>
          <w:szCs w:val="24"/>
          <w:highlight w:val="none"/>
        </w:rPr>
      </w:pPr>
    </w:p>
    <w:p w14:paraId="323809D2">
      <w:pPr>
        <w:rPr>
          <w:rFonts w:hint="eastAsia" w:asciiTheme="minorEastAsia" w:hAnsiTheme="minorEastAsia" w:eastAsiaTheme="minorEastAsia" w:cstheme="minorEastAsia"/>
          <w:color w:val="auto"/>
          <w:sz w:val="24"/>
          <w:szCs w:val="24"/>
          <w:highlight w:val="none"/>
        </w:rPr>
      </w:pPr>
    </w:p>
    <w:p w14:paraId="795E82C6">
      <w:pPr>
        <w:pStyle w:val="6"/>
        <w:rPr>
          <w:rFonts w:hint="eastAsia" w:asciiTheme="minorEastAsia" w:hAnsiTheme="minorEastAsia" w:eastAsiaTheme="minorEastAsia" w:cstheme="minorEastAsia"/>
          <w:color w:val="auto"/>
          <w:sz w:val="24"/>
          <w:szCs w:val="24"/>
          <w:highlight w:val="none"/>
        </w:rPr>
      </w:pPr>
    </w:p>
    <w:p w14:paraId="3AFA396E">
      <w:pPr>
        <w:rPr>
          <w:rFonts w:hint="eastAsia" w:asciiTheme="minorEastAsia" w:hAnsiTheme="minorEastAsia" w:eastAsiaTheme="minorEastAsia" w:cstheme="minorEastAsia"/>
          <w:color w:val="auto"/>
          <w:sz w:val="24"/>
          <w:szCs w:val="24"/>
          <w:highlight w:val="none"/>
        </w:rPr>
      </w:pPr>
    </w:p>
    <w:p w14:paraId="47EA5F33">
      <w:pPr>
        <w:pStyle w:val="6"/>
        <w:rPr>
          <w:rFonts w:hint="eastAsia" w:asciiTheme="minorEastAsia" w:hAnsiTheme="minorEastAsia" w:eastAsiaTheme="minorEastAsia" w:cstheme="minorEastAsia"/>
          <w:color w:val="auto"/>
          <w:sz w:val="24"/>
          <w:szCs w:val="24"/>
          <w:highlight w:val="none"/>
        </w:rPr>
      </w:pPr>
    </w:p>
    <w:p w14:paraId="76DE09D4">
      <w:pPr>
        <w:rPr>
          <w:rFonts w:hint="eastAsia" w:asciiTheme="minorEastAsia" w:hAnsiTheme="minorEastAsia" w:eastAsiaTheme="minorEastAsia" w:cstheme="minorEastAsia"/>
          <w:color w:val="auto"/>
          <w:sz w:val="24"/>
          <w:szCs w:val="24"/>
          <w:highlight w:val="none"/>
        </w:rPr>
      </w:pPr>
    </w:p>
    <w:p w14:paraId="09F88FC7">
      <w:pPr>
        <w:pStyle w:val="6"/>
        <w:rPr>
          <w:rFonts w:hint="eastAsia" w:asciiTheme="minorEastAsia" w:hAnsiTheme="minorEastAsia" w:eastAsiaTheme="minorEastAsia" w:cstheme="minorEastAsia"/>
          <w:color w:val="auto"/>
          <w:sz w:val="24"/>
          <w:szCs w:val="24"/>
          <w:highlight w:val="none"/>
        </w:rPr>
      </w:pPr>
    </w:p>
    <w:p w14:paraId="7A837D11">
      <w:pPr>
        <w:rPr>
          <w:rFonts w:hint="eastAsia" w:asciiTheme="minorEastAsia" w:hAnsiTheme="minorEastAsia" w:eastAsiaTheme="minorEastAsia" w:cstheme="minorEastAsia"/>
          <w:color w:val="auto"/>
          <w:sz w:val="24"/>
          <w:szCs w:val="24"/>
          <w:highlight w:val="none"/>
        </w:rPr>
      </w:pPr>
    </w:p>
    <w:p w14:paraId="4B3A4520">
      <w:pPr>
        <w:pStyle w:val="6"/>
        <w:rPr>
          <w:rFonts w:hint="eastAsia" w:asciiTheme="minorEastAsia" w:hAnsiTheme="minorEastAsia" w:eastAsiaTheme="minorEastAsia" w:cstheme="minorEastAsia"/>
          <w:color w:val="auto"/>
          <w:highlight w:val="none"/>
        </w:rPr>
      </w:pPr>
    </w:p>
    <w:p w14:paraId="6CB61392">
      <w:pPr>
        <w:rPr>
          <w:rFonts w:hint="eastAsia" w:asciiTheme="minorEastAsia" w:hAnsiTheme="minorEastAsia" w:eastAsiaTheme="minorEastAsia" w:cstheme="minorEastAsia"/>
          <w:color w:val="auto"/>
          <w:highlight w:val="none"/>
        </w:rPr>
      </w:pPr>
    </w:p>
    <w:p w14:paraId="3FE3502D">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43D7918A">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24F372DC">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3CAFD875">
      <w:pPr>
        <w:spacing w:line="400" w:lineRule="exact"/>
        <w:ind w:firstLine="0" w:firstLineChars="0"/>
        <w:rPr>
          <w:rFonts w:hint="eastAsia" w:asciiTheme="minorEastAsia" w:hAnsiTheme="minorEastAsia" w:eastAsiaTheme="minorEastAsia" w:cstheme="minorEastAsia"/>
          <w:color w:val="auto"/>
          <w:sz w:val="24"/>
          <w:szCs w:val="24"/>
          <w:highlight w:val="none"/>
        </w:rPr>
      </w:pPr>
    </w:p>
    <w:p w14:paraId="4DA320C6">
      <w:pPr>
        <w:numPr>
          <w:ilvl w:val="0"/>
          <w:numId w:val="4"/>
        </w:numPr>
        <w:jc w:val="center"/>
        <w:outlineLvl w:val="0"/>
        <w:rPr>
          <w:rFonts w:hint="eastAsia" w:asciiTheme="minorEastAsia" w:hAnsiTheme="minorEastAsia" w:eastAsiaTheme="minorEastAsia" w:cstheme="minorEastAsia"/>
          <w:b/>
          <w:bCs/>
          <w:color w:val="auto"/>
          <w:sz w:val="44"/>
          <w:szCs w:val="44"/>
          <w:highlight w:val="none"/>
        </w:rPr>
      </w:pPr>
      <w:bookmarkStart w:id="324" w:name="_Toc31228"/>
      <w:bookmarkStart w:id="325" w:name="_Toc3108"/>
      <w:bookmarkStart w:id="326" w:name="_Toc1687"/>
      <w:r>
        <w:rPr>
          <w:rFonts w:hint="eastAsia" w:asciiTheme="minorEastAsia" w:hAnsiTheme="minorEastAsia" w:eastAsiaTheme="minorEastAsia" w:cstheme="minorEastAsia"/>
          <w:b/>
          <w:bCs/>
          <w:color w:val="auto"/>
          <w:sz w:val="44"/>
          <w:szCs w:val="44"/>
          <w:highlight w:val="none"/>
        </w:rPr>
        <w:t>合同草案条款</w:t>
      </w:r>
      <w:bookmarkEnd w:id="185"/>
      <w:r>
        <w:rPr>
          <w:rFonts w:hint="eastAsia" w:asciiTheme="minorEastAsia" w:hAnsiTheme="minorEastAsia" w:eastAsiaTheme="minorEastAsia" w:cstheme="minorEastAsia"/>
          <w:b/>
          <w:bCs/>
          <w:color w:val="auto"/>
          <w:sz w:val="44"/>
          <w:szCs w:val="44"/>
          <w:highlight w:val="none"/>
        </w:rPr>
        <w:t>和格式合同（样本）</w:t>
      </w:r>
      <w:bookmarkEnd w:id="324"/>
      <w:bookmarkEnd w:id="325"/>
      <w:bookmarkEnd w:id="326"/>
    </w:p>
    <w:p w14:paraId="0282FC47">
      <w:pPr>
        <w:rPr>
          <w:rFonts w:hint="eastAsia" w:asciiTheme="minorEastAsia" w:hAnsiTheme="minorEastAsia" w:eastAsiaTheme="minorEastAsia" w:cstheme="minorEastAsia"/>
          <w:color w:val="auto"/>
          <w:highlight w:val="none"/>
        </w:rPr>
      </w:pPr>
    </w:p>
    <w:p w14:paraId="4CA5A87E">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27" w:name="_Toc4153"/>
      <w:bookmarkStart w:id="328" w:name="_Toc30636"/>
      <w:bookmarkStart w:id="329" w:name="_Toc4177"/>
      <w:bookmarkStart w:id="330" w:name="_Toc29349"/>
      <w:r>
        <w:rPr>
          <w:rFonts w:hint="eastAsia" w:asciiTheme="minorEastAsia" w:hAnsiTheme="minorEastAsia" w:eastAsiaTheme="minorEastAsia" w:cstheme="minorEastAsia"/>
          <w:color w:val="auto"/>
          <w:sz w:val="24"/>
          <w:szCs w:val="24"/>
          <w:highlight w:val="none"/>
          <w:lang w:val="en-US" w:eastAsia="zh-CN"/>
        </w:rPr>
        <w:t>一、合同草案条款</w:t>
      </w:r>
      <w:bookmarkEnd w:id="327"/>
      <w:bookmarkEnd w:id="328"/>
      <w:bookmarkEnd w:id="329"/>
      <w:bookmarkEnd w:id="330"/>
    </w:p>
    <w:p w14:paraId="363B9E8D">
      <w:pPr>
        <w:spacing w:line="300" w:lineRule="atLeast"/>
        <w:ind w:firstLine="480" w:firstLineChars="200"/>
        <w:rPr>
          <w:rFonts w:hint="eastAsia" w:asciiTheme="minorEastAsia" w:hAnsiTheme="minorEastAsia" w:eastAsiaTheme="minorEastAsia" w:cstheme="minorEastAsia"/>
          <w:color w:val="auto"/>
          <w:sz w:val="24"/>
          <w:szCs w:val="24"/>
          <w:highlight w:val="none"/>
        </w:rPr>
      </w:pPr>
      <w:bookmarkStart w:id="331" w:name="_Toc75793538"/>
      <w:bookmarkStart w:id="332" w:name="_Toc285722713"/>
      <w:bookmarkStart w:id="333" w:name="_Toc277084871"/>
    </w:p>
    <w:p w14:paraId="1758953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41B0558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45C0408A">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14E2249">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7454C8A">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8FBF610">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54930FE">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64147D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5D68782">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8C2EAEE">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E49FC0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32FDAD1">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AA8F303">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C80114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869F57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66880C8">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3677B4D">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484A34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972D0F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CB52A70">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2573D5D">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AF33F9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A106507">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4603052F">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E0E28F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C85CEA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A763BD2">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7265BC3">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0F8A51F">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7C8ACE0">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058BAFF1">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CF1F8D4">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A99AC2F">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1DD208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2EAA6A8">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287E313">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BCF2AA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39498B7">
      <w:pPr>
        <w:spacing w:line="300" w:lineRule="atLeast"/>
        <w:rPr>
          <w:rFonts w:hint="eastAsia" w:asciiTheme="minorEastAsia" w:hAnsiTheme="minorEastAsia" w:eastAsiaTheme="minorEastAsia" w:cstheme="minorEastAsia"/>
          <w:color w:val="auto"/>
          <w:sz w:val="24"/>
          <w:szCs w:val="24"/>
          <w:highlight w:val="none"/>
        </w:rPr>
      </w:pPr>
    </w:p>
    <w:p w14:paraId="61B1418F">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34" w:name="_Toc6405"/>
      <w:bookmarkStart w:id="335" w:name="_Toc2071"/>
      <w:bookmarkStart w:id="336" w:name="_Toc11523"/>
      <w:bookmarkStart w:id="337" w:name="_Toc28336"/>
      <w:r>
        <w:rPr>
          <w:rFonts w:hint="eastAsia" w:asciiTheme="minorEastAsia" w:hAnsiTheme="minorEastAsia" w:eastAsiaTheme="minorEastAsia" w:cstheme="minorEastAsia"/>
          <w:color w:val="auto"/>
          <w:sz w:val="24"/>
          <w:szCs w:val="24"/>
          <w:highlight w:val="none"/>
          <w:lang w:val="en-US" w:eastAsia="zh-CN"/>
        </w:rPr>
        <w:t>二、政府采购合同（格式）</w:t>
      </w:r>
      <w:bookmarkEnd w:id="331"/>
      <w:bookmarkEnd w:id="332"/>
      <w:bookmarkEnd w:id="333"/>
      <w:bookmarkEnd w:id="334"/>
      <w:bookmarkEnd w:id="335"/>
      <w:bookmarkEnd w:id="336"/>
      <w:bookmarkEnd w:id="337"/>
    </w:p>
    <w:p w14:paraId="5CB843B5">
      <w:pPr>
        <w:spacing w:line="300" w:lineRule="atLeast"/>
        <w:jc w:val="center"/>
        <w:outlineLvl w:val="1"/>
        <w:rPr>
          <w:rFonts w:hint="eastAsia" w:asciiTheme="minorEastAsia" w:hAnsiTheme="minorEastAsia" w:eastAsiaTheme="minorEastAsia" w:cstheme="minorEastAsia"/>
          <w:color w:val="auto"/>
          <w:sz w:val="44"/>
          <w:szCs w:val="44"/>
          <w:highlight w:val="none"/>
        </w:rPr>
      </w:pPr>
      <w:bookmarkStart w:id="338" w:name="_Toc2158"/>
      <w:r>
        <w:rPr>
          <w:rFonts w:hint="eastAsia" w:asciiTheme="minorEastAsia" w:hAnsiTheme="minorEastAsia" w:eastAsiaTheme="minorEastAsia" w:cstheme="minorEastAsia"/>
          <w:color w:val="auto"/>
          <w:sz w:val="44"/>
          <w:szCs w:val="44"/>
          <w:highlight w:val="none"/>
        </w:rPr>
        <w:t>重庆市政府采购合同（格式）</w:t>
      </w:r>
      <w:bookmarkEnd w:id="338"/>
    </w:p>
    <w:p w14:paraId="455F19FC">
      <w:pPr>
        <w:spacing w:line="380" w:lineRule="exact"/>
        <w:ind w:firstLine="720" w:firstLineChars="200"/>
        <w:jc w:val="center"/>
        <w:rPr>
          <w:rFonts w:hint="eastAsia" w:asciiTheme="minorEastAsia" w:hAnsiTheme="minorEastAsia" w:eastAsiaTheme="minorEastAsia" w:cstheme="minorEastAsia"/>
          <w:color w:val="auto"/>
          <w:sz w:val="40"/>
          <w:szCs w:val="40"/>
          <w:highlight w:val="none"/>
        </w:rPr>
      </w:pPr>
      <w:bookmarkStart w:id="339" w:name="_Toc478823787"/>
      <w:r>
        <w:rPr>
          <w:rFonts w:hint="eastAsia" w:asciiTheme="minorEastAsia" w:hAnsiTheme="minorEastAsia" w:eastAsiaTheme="minorEastAsia" w:cstheme="minorEastAsia"/>
          <w:color w:val="auto"/>
          <w:sz w:val="36"/>
          <w:szCs w:val="36"/>
          <w:highlight w:val="none"/>
        </w:rPr>
        <w:t>重庆市政府采购合同</w:t>
      </w:r>
    </w:p>
    <w:p w14:paraId="51173938">
      <w:pPr>
        <w:spacing w:line="380" w:lineRule="exact"/>
        <w:ind w:firstLine="480"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     ）</w:t>
      </w:r>
    </w:p>
    <w:p w14:paraId="0B3CC4A3">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甲方（需方）：___________________________      </w:t>
      </w:r>
    </w:p>
    <w:p w14:paraId="6CE476D1">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乙方（供方）：___________________________      </w:t>
      </w:r>
    </w:p>
    <w:p w14:paraId="5E543B75">
      <w:pPr>
        <w:spacing w:line="380" w:lineRule="exact"/>
        <w:ind w:firstLine="480" w:firstLineChars="200"/>
        <w:rPr>
          <w:rFonts w:hint="eastAsia" w:asciiTheme="minorEastAsia" w:hAnsiTheme="minorEastAsia" w:eastAsiaTheme="minorEastAsia" w:cstheme="minorEastAsia"/>
          <w:color w:val="auto"/>
          <w:sz w:val="24"/>
          <w:szCs w:val="24"/>
          <w:highlight w:val="none"/>
        </w:rPr>
      </w:pPr>
    </w:p>
    <w:p w14:paraId="677F7C07">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经双方协商一致，达成以下购销合同：</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796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ign w:val="center"/>
          </w:tcPr>
          <w:p w14:paraId="185E4787">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p>
        </w:tc>
        <w:tc>
          <w:tcPr>
            <w:tcW w:w="984" w:type="dxa"/>
            <w:noWrap/>
            <w:vAlign w:val="center"/>
          </w:tcPr>
          <w:p w14:paraId="2510E30E">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2432" w:type="dxa"/>
            <w:gridSpan w:val="2"/>
            <w:noWrap/>
            <w:vAlign w:val="center"/>
          </w:tcPr>
          <w:p w14:paraId="441EC9A6">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w:t>
            </w:r>
          </w:p>
        </w:tc>
        <w:tc>
          <w:tcPr>
            <w:tcW w:w="1559" w:type="dxa"/>
            <w:noWrap/>
            <w:vAlign w:val="center"/>
          </w:tcPr>
          <w:p w14:paraId="36842D2E">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服务时间</w:t>
            </w:r>
          </w:p>
        </w:tc>
        <w:tc>
          <w:tcPr>
            <w:tcW w:w="1567" w:type="dxa"/>
            <w:noWrap/>
            <w:vAlign w:val="center"/>
          </w:tcPr>
          <w:p w14:paraId="5CDA152B">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服务地点</w:t>
            </w:r>
          </w:p>
        </w:tc>
      </w:tr>
      <w:tr w14:paraId="05A5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ign w:val="center"/>
          </w:tcPr>
          <w:p w14:paraId="386C5A29">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984" w:type="dxa"/>
            <w:noWrap/>
            <w:vAlign w:val="center"/>
          </w:tcPr>
          <w:p w14:paraId="69BD1DE0">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2432" w:type="dxa"/>
            <w:gridSpan w:val="2"/>
            <w:noWrap/>
            <w:vAlign w:val="center"/>
          </w:tcPr>
          <w:p w14:paraId="3F3E26FE">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1559" w:type="dxa"/>
            <w:noWrap/>
            <w:vAlign w:val="center"/>
          </w:tcPr>
          <w:p w14:paraId="74813859">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1567" w:type="dxa"/>
            <w:noWrap/>
            <w:vAlign w:val="center"/>
          </w:tcPr>
          <w:p w14:paraId="7537656E">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r>
      <w:tr w14:paraId="5ACF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ign w:val="center"/>
          </w:tcPr>
          <w:p w14:paraId="1F471B94">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合计人民币（小写）：</w:t>
            </w:r>
          </w:p>
        </w:tc>
      </w:tr>
      <w:tr w14:paraId="3002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ign w:val="center"/>
          </w:tcPr>
          <w:p w14:paraId="2DDEA918">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合计人民币（大写）：</w:t>
            </w:r>
          </w:p>
        </w:tc>
      </w:tr>
      <w:tr w14:paraId="620F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502" w:hRule="atLeast"/>
        </w:trPr>
        <w:tc>
          <w:tcPr>
            <w:tcW w:w="9613" w:type="dxa"/>
            <w:gridSpan w:val="6"/>
            <w:noWrap/>
            <w:vAlign w:val="top"/>
          </w:tcPr>
          <w:p w14:paraId="63C75924">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一、服务要求</w:t>
            </w:r>
          </w:p>
        </w:tc>
      </w:tr>
      <w:tr w14:paraId="1841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9628" w:type="dxa"/>
            <w:gridSpan w:val="7"/>
            <w:noWrap/>
            <w:vAlign w:val="top"/>
          </w:tcPr>
          <w:p w14:paraId="549689C3">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二、考核方式：</w:t>
            </w:r>
          </w:p>
        </w:tc>
      </w:tr>
      <w:tr w14:paraId="6BA8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trPr>
        <w:tc>
          <w:tcPr>
            <w:tcW w:w="9628" w:type="dxa"/>
            <w:gridSpan w:val="7"/>
            <w:noWrap/>
            <w:vAlign w:val="top"/>
          </w:tcPr>
          <w:p w14:paraId="5623ACBF">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三、履约保证金：</w:t>
            </w:r>
          </w:p>
          <w:p w14:paraId="1BDE6B49">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p>
        </w:tc>
      </w:tr>
      <w:tr w14:paraId="5AD1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9628" w:type="dxa"/>
            <w:gridSpan w:val="7"/>
            <w:noWrap/>
            <w:vAlign w:val="top"/>
          </w:tcPr>
          <w:p w14:paraId="6ACA4495">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四、付款方式：</w:t>
            </w:r>
          </w:p>
          <w:p w14:paraId="2C54D262">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r>
      <w:tr w14:paraId="6C33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9628" w:type="dxa"/>
            <w:gridSpan w:val="7"/>
            <w:noWrap/>
            <w:vAlign w:val="top"/>
          </w:tcPr>
          <w:p w14:paraId="778D28DC">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五、违约责任：</w:t>
            </w:r>
          </w:p>
          <w:p w14:paraId="420A0AF6">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按《中华人民共和国民法典》、《中华人民共和国政府采购法》执行，或按双方约定。（采购人应按项目实际情况完整填写）</w:t>
            </w:r>
          </w:p>
        </w:tc>
      </w:tr>
      <w:tr w14:paraId="4922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9628" w:type="dxa"/>
            <w:gridSpan w:val="7"/>
            <w:noWrap/>
            <w:vAlign w:val="top"/>
          </w:tcPr>
          <w:p w14:paraId="3220B0F1">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六、其他约定事项：</w:t>
            </w:r>
          </w:p>
          <w:p w14:paraId="1BEF5BC2">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磋商文件</w:t>
            </w:r>
            <w:r>
              <w:rPr>
                <w:rFonts w:hint="eastAsia" w:asciiTheme="minorEastAsia" w:hAnsiTheme="minorEastAsia" w:eastAsiaTheme="minorEastAsia" w:cstheme="minorEastAsia"/>
                <w:color w:val="auto"/>
                <w:sz w:val="24"/>
                <w:szCs w:val="24"/>
                <w:highlight w:val="none"/>
              </w:rPr>
              <w:t>及其澄清文件、投标文件和承诺是本合同不可分割的部分。</w:t>
            </w:r>
          </w:p>
          <w:p w14:paraId="3B9ED7A5">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本合同如发生争议由双方协商解决，协商不成向需方所在地仲裁机构提请仲裁。</w:t>
            </w:r>
          </w:p>
          <w:p w14:paraId="4D0E2B69">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3.本合同一式__份， 需方__份，供方__份，具备同等法律效力。</w:t>
            </w:r>
          </w:p>
          <w:p w14:paraId="37AABDA7">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4.其他：</w:t>
            </w:r>
          </w:p>
        </w:tc>
      </w:tr>
      <w:tr w14:paraId="190B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ign w:val="top"/>
          </w:tcPr>
          <w:p w14:paraId="79B362E6">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需方：</w:t>
            </w:r>
          </w:p>
          <w:p w14:paraId="26A03458">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p>
          <w:p w14:paraId="6F7AFDF7">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p>
          <w:p w14:paraId="3F82DC1E">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授权代表：</w:t>
            </w:r>
          </w:p>
        </w:tc>
        <w:tc>
          <w:tcPr>
            <w:tcW w:w="5125" w:type="dxa"/>
            <w:gridSpan w:val="4"/>
            <w:noWrap/>
            <w:vAlign w:val="top"/>
          </w:tcPr>
          <w:p w14:paraId="50CB3C5A">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供方：</w:t>
            </w:r>
          </w:p>
          <w:p w14:paraId="40A8800B">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p>
          <w:p w14:paraId="723F5330">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p w14:paraId="050AE45A">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传真：</w:t>
            </w:r>
          </w:p>
          <w:p w14:paraId="14482FA3">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p>
          <w:p w14:paraId="3D54F7ED">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账号：</w:t>
            </w:r>
          </w:p>
          <w:p w14:paraId="508C8F0A">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授权代表：</w:t>
            </w:r>
          </w:p>
          <w:p w14:paraId="035C0DCF">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（本栏请用计算机打印以便于准确付款）</w:t>
            </w:r>
          </w:p>
        </w:tc>
      </w:tr>
      <w:tr w14:paraId="669F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ign w:val="top"/>
          </w:tcPr>
          <w:p w14:paraId="792294AB">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p w14:paraId="57CB0082">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p w14:paraId="64B47A60">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r>
    </w:tbl>
    <w:p w14:paraId="30B714A4">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签约时间：           年   月   日      签约地点：</w:t>
      </w:r>
    </w:p>
    <w:p w14:paraId="53D70CC9">
      <w:pPr>
        <w:rPr>
          <w:rFonts w:hint="eastAsia"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b/>
          <w:color w:val="auto"/>
          <w:sz w:val="44"/>
          <w:szCs w:val="44"/>
          <w:highlight w:val="none"/>
        </w:rPr>
        <w:br w:type="page"/>
      </w:r>
    </w:p>
    <w:p w14:paraId="2644F8F7">
      <w:pPr>
        <w:snapToGrid w:val="0"/>
        <w:spacing w:line="480" w:lineRule="exact"/>
        <w:jc w:val="left"/>
        <w:outlineLvl w:val="0"/>
        <w:rPr>
          <w:rFonts w:hint="eastAsia" w:asciiTheme="minorEastAsia" w:hAnsiTheme="minorEastAsia" w:eastAsiaTheme="minorEastAsia" w:cstheme="minorEastAsia"/>
          <w:b/>
          <w:color w:val="auto"/>
          <w:sz w:val="32"/>
          <w:szCs w:val="32"/>
          <w:highlight w:val="none"/>
        </w:rPr>
      </w:pPr>
      <w:bookmarkStart w:id="340" w:name="_Toc9655"/>
      <w:r>
        <w:rPr>
          <w:rFonts w:hint="eastAsia" w:asciiTheme="minorEastAsia" w:hAnsiTheme="minorEastAsia" w:eastAsiaTheme="minorEastAsia" w:cstheme="minorEastAsia"/>
          <w:b/>
          <w:color w:val="auto"/>
          <w:sz w:val="32"/>
          <w:szCs w:val="32"/>
          <w:highlight w:val="none"/>
        </w:rPr>
        <w:t>三、领取中标通知书格式</w:t>
      </w:r>
      <w:bookmarkEnd w:id="340"/>
    </w:p>
    <w:p w14:paraId="4F9962EE">
      <w:pPr>
        <w:pStyle w:val="14"/>
        <w:tabs>
          <w:tab w:val="left" w:pos="1260"/>
          <w:tab w:val="left" w:pos="1685"/>
          <w:tab w:val="right" w:leader="dot" w:pos="8400"/>
        </w:tabs>
        <w:ind w:firstLine="0" w:firstLineChars="0"/>
        <w:rPr>
          <w:rFonts w:hint="eastAsia" w:asciiTheme="minorEastAsia" w:hAnsiTheme="minorEastAsia" w:eastAsiaTheme="minorEastAsia" w:cstheme="minorEastAsia"/>
          <w:color w:val="auto"/>
          <w:sz w:val="36"/>
          <w:szCs w:val="36"/>
          <w:highlight w:val="none"/>
          <w:lang w:bidi="ar"/>
        </w:rPr>
      </w:pPr>
    </w:p>
    <w:p w14:paraId="2A63FB21">
      <w:pPr>
        <w:rPr>
          <w:rFonts w:hint="eastAsia" w:asciiTheme="minorEastAsia" w:hAnsiTheme="minorEastAsia" w:eastAsiaTheme="minorEastAsia" w:cstheme="minorEastAsia"/>
          <w:color w:val="auto"/>
          <w:highlight w:val="none"/>
          <w:lang w:bidi="ar"/>
        </w:rPr>
      </w:pPr>
    </w:p>
    <w:p w14:paraId="722F7C11">
      <w:pPr>
        <w:jc w:val="center"/>
        <w:rPr>
          <w:rFonts w:hint="eastAsia" w:asciiTheme="minorEastAsia" w:hAnsiTheme="minorEastAsia" w:eastAsiaTheme="minorEastAsia" w:cstheme="minorEastAsia"/>
          <w:b/>
          <w:color w:val="auto"/>
          <w:sz w:val="48"/>
          <w:szCs w:val="48"/>
          <w:highlight w:val="none"/>
          <w:lang w:bidi="ar"/>
        </w:rPr>
      </w:pPr>
      <w:r>
        <w:rPr>
          <w:rFonts w:hint="eastAsia" w:asciiTheme="minorEastAsia" w:hAnsiTheme="minorEastAsia" w:eastAsiaTheme="minorEastAsia" w:cstheme="minorEastAsia"/>
          <w:b/>
          <w:color w:val="auto"/>
          <w:sz w:val="48"/>
          <w:szCs w:val="48"/>
          <w:highlight w:val="none"/>
          <w:lang w:bidi="ar"/>
        </w:rPr>
        <w:t>介绍信</w:t>
      </w:r>
    </w:p>
    <w:p w14:paraId="5AFB0F83">
      <w:pPr>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w:t>
      </w:r>
    </w:p>
    <w:p w14:paraId="23096C4A">
      <w:pPr>
        <w:spacing w:line="360" w:lineRule="auto"/>
        <w:ind w:firstLine="480" w:firstLineChars="200"/>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致</w:t>
      </w:r>
      <w:r>
        <w:rPr>
          <w:rFonts w:hint="eastAsia" w:asciiTheme="minorEastAsia" w:hAnsiTheme="minorEastAsia" w:eastAsiaTheme="minorEastAsia" w:cstheme="minorEastAsia"/>
          <w:color w:val="auto"/>
          <w:sz w:val="24"/>
          <w:szCs w:val="24"/>
          <w:highlight w:val="none"/>
          <w:lang w:val="en-US" w:eastAsia="zh-CN" w:bidi="ar"/>
        </w:rPr>
        <w:t>重庆钓鱼城建设监理咨询有限公司</w:t>
      </w:r>
      <w:r>
        <w:rPr>
          <w:rFonts w:hint="eastAsia" w:asciiTheme="minorEastAsia" w:hAnsiTheme="minorEastAsia" w:eastAsiaTheme="minorEastAsia" w:cstheme="minorEastAsia"/>
          <w:color w:val="auto"/>
          <w:sz w:val="24"/>
          <w:szCs w:val="24"/>
          <w:highlight w:val="none"/>
          <w:lang w:bidi="ar"/>
        </w:rPr>
        <w:t>兹介绍我公司员工XXX（身份证号               ）前来领取酉阳县X X X  采购项目(项目编号：XXX )的中标（成交）通知书。</w:t>
      </w:r>
    </w:p>
    <w:p w14:paraId="2AE2A2B9">
      <w:pPr>
        <w:spacing w:line="360" w:lineRule="auto"/>
        <w:ind w:firstLine="480" w:firstLineChars="200"/>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请予接洽为盼！</w:t>
      </w:r>
    </w:p>
    <w:p w14:paraId="081FA1E9">
      <w:pPr>
        <w:pStyle w:val="14"/>
        <w:tabs>
          <w:tab w:val="left" w:pos="1260"/>
          <w:tab w:val="left" w:pos="1685"/>
          <w:tab w:val="right" w:leader="dot" w:pos="8400"/>
        </w:tabs>
        <w:ind w:firstLine="241"/>
        <w:rPr>
          <w:rFonts w:hint="eastAsia" w:asciiTheme="minorEastAsia" w:hAnsiTheme="minorEastAsia" w:eastAsiaTheme="minorEastAsia" w:cstheme="minorEastAsia"/>
          <w:color w:val="auto"/>
          <w:sz w:val="24"/>
          <w:szCs w:val="24"/>
          <w:highlight w:val="none"/>
          <w:lang w:bidi="ar"/>
        </w:rPr>
      </w:pPr>
    </w:p>
    <w:p w14:paraId="368D4805">
      <w:pPr>
        <w:spacing w:line="360" w:lineRule="auto"/>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w:t>
      </w:r>
    </w:p>
    <w:p w14:paraId="4E3C1B0D">
      <w:pPr>
        <w:spacing w:line="360" w:lineRule="auto"/>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XXX公司（盖章）</w:t>
      </w:r>
    </w:p>
    <w:p w14:paraId="244C6B81">
      <w:pPr>
        <w:spacing w:line="360" w:lineRule="auto"/>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20XX年X月X日</w:t>
      </w:r>
    </w:p>
    <w:p w14:paraId="383DC5E3">
      <w:pPr>
        <w:pStyle w:val="14"/>
        <w:tabs>
          <w:tab w:val="left" w:pos="1260"/>
          <w:tab w:val="left" w:pos="1685"/>
          <w:tab w:val="right" w:leader="dot" w:pos="8400"/>
        </w:tabs>
        <w:ind w:firstLine="241"/>
        <w:rPr>
          <w:rFonts w:hint="eastAsia" w:asciiTheme="minorEastAsia" w:hAnsiTheme="minorEastAsia" w:eastAsiaTheme="minorEastAsia" w:cstheme="minorEastAsia"/>
          <w:color w:val="auto"/>
          <w:sz w:val="24"/>
          <w:szCs w:val="24"/>
          <w:highlight w:val="none"/>
          <w:lang w:bidi="ar"/>
        </w:rPr>
      </w:pPr>
    </w:p>
    <w:p w14:paraId="1974A1D0">
      <w:pPr>
        <w:rPr>
          <w:rFonts w:hint="eastAsia" w:asciiTheme="minorEastAsia" w:hAnsiTheme="minorEastAsia" w:eastAsiaTheme="minorEastAsia" w:cstheme="minorEastAsia"/>
          <w:color w:val="auto"/>
          <w:sz w:val="24"/>
          <w:szCs w:val="24"/>
          <w:highlight w:val="none"/>
          <w:lang w:bidi="ar"/>
        </w:rPr>
      </w:pPr>
    </w:p>
    <w:p w14:paraId="78661BF0">
      <w:pPr>
        <w:rPr>
          <w:rFonts w:hint="eastAsia" w:asciiTheme="minorEastAsia" w:hAnsiTheme="minorEastAsia" w:eastAsiaTheme="minorEastAsia" w:cstheme="minorEastAsia"/>
          <w:color w:val="auto"/>
          <w:sz w:val="24"/>
          <w:szCs w:val="24"/>
          <w:highlight w:val="none"/>
          <w:lang w:bidi="ar"/>
        </w:rPr>
      </w:pPr>
    </w:p>
    <w:tbl>
      <w:tblPr>
        <w:tblStyle w:val="19"/>
        <w:tblW w:w="9390" w:type="dxa"/>
        <w:tblInd w:w="100" w:type="dxa"/>
        <w:tblBorders>
          <w:top w:val="dotted" w:color="auto" w:sz="8" w:space="0"/>
          <w:left w:val="dotted" w:color="auto" w:sz="8" w:space="0"/>
          <w:bottom w:val="dotted" w:color="auto" w:sz="8" w:space="0"/>
          <w:right w:val="single" w:color="auto" w:sz="8" w:space="0"/>
          <w:insideH w:val="dotted" w:color="auto" w:sz="8" w:space="0"/>
          <w:insideV w:val="dotted" w:color="auto" w:sz="8" w:space="0"/>
        </w:tblBorders>
        <w:shd w:val="clear" w:color="auto" w:fill="FFFFFF"/>
        <w:tblLayout w:type="fixed"/>
        <w:tblCellMar>
          <w:top w:w="0" w:type="dxa"/>
          <w:left w:w="0" w:type="dxa"/>
          <w:bottom w:w="0" w:type="dxa"/>
          <w:right w:w="0" w:type="dxa"/>
        </w:tblCellMar>
      </w:tblPr>
      <w:tblGrid>
        <w:gridCol w:w="4533"/>
        <w:gridCol w:w="4857"/>
      </w:tblGrid>
      <w:tr w14:paraId="2FAB19D4">
        <w:tblPrEx>
          <w:tblBorders>
            <w:top w:val="dotted" w:color="auto" w:sz="8" w:space="0"/>
            <w:left w:val="dotted" w:color="auto" w:sz="8" w:space="0"/>
            <w:bottom w:val="dotted" w:color="auto" w:sz="8" w:space="0"/>
            <w:right w:val="single" w:color="auto" w:sz="8" w:space="0"/>
            <w:insideH w:val="dotted" w:color="auto" w:sz="8" w:space="0"/>
            <w:insideV w:val="dotted" w:color="auto" w:sz="8" w:space="0"/>
          </w:tblBorders>
          <w:shd w:val="clear" w:color="auto" w:fill="FFFFFF"/>
          <w:tblCellMar>
            <w:top w:w="0" w:type="dxa"/>
            <w:left w:w="0" w:type="dxa"/>
            <w:bottom w:w="0" w:type="dxa"/>
            <w:right w:w="0" w:type="dxa"/>
          </w:tblCellMar>
        </w:tblPrEx>
        <w:trPr>
          <w:trHeight w:val="2775" w:hRule="atLeast"/>
        </w:trPr>
        <w:tc>
          <w:tcPr>
            <w:tcW w:w="4533" w:type="dxa"/>
            <w:shd w:val="clear" w:color="auto" w:fill="FFFFFF"/>
            <w:noWrap w:val="0"/>
            <w:tcMar>
              <w:left w:w="108" w:type="dxa"/>
              <w:right w:w="108" w:type="dxa"/>
            </w:tcMar>
            <w:vAlign w:val="top"/>
          </w:tcPr>
          <w:p w14:paraId="19133382">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（经办人身份证复印件 正面）</w:t>
            </w:r>
          </w:p>
          <w:p w14:paraId="0D8AC90A">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4D8713BE">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3CB8B1C6">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3F31F55A">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kern w:val="0"/>
                <w:sz w:val="24"/>
                <w:szCs w:val="24"/>
                <w:highlight w:val="none"/>
                <w:lang w:bidi="ar"/>
              </w:rPr>
              <w:t> </w:t>
            </w:r>
          </w:p>
          <w:p w14:paraId="4AB9D3C2">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kern w:val="0"/>
                <w:sz w:val="24"/>
                <w:szCs w:val="24"/>
                <w:highlight w:val="none"/>
                <w:lang w:bidi="ar"/>
              </w:rPr>
              <w:t> </w:t>
            </w:r>
          </w:p>
        </w:tc>
        <w:tc>
          <w:tcPr>
            <w:tcW w:w="4857" w:type="dxa"/>
            <w:shd w:val="clear" w:color="auto" w:fill="FFFFFF"/>
            <w:noWrap w:val="0"/>
            <w:tcMar>
              <w:left w:w="108" w:type="dxa"/>
              <w:right w:w="108" w:type="dxa"/>
            </w:tcMar>
            <w:vAlign w:val="top"/>
          </w:tcPr>
          <w:p w14:paraId="05F5A78F">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（经办人身份证复印件 背面）</w:t>
            </w:r>
          </w:p>
          <w:p w14:paraId="156E8A01">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4931D3AC">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28D71BB8">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60CDFB28">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34D38150">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41345188">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7B3E69A7">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tc>
      </w:tr>
    </w:tbl>
    <w:p w14:paraId="4266C1E9">
      <w:pPr>
        <w:snapToGrid w:val="0"/>
        <w:spacing w:line="480" w:lineRule="exact"/>
        <w:ind w:firstLine="570"/>
        <w:rPr>
          <w:rFonts w:hint="eastAsia" w:asciiTheme="minorEastAsia" w:hAnsiTheme="minorEastAsia" w:eastAsiaTheme="minorEastAsia" w:cstheme="minorEastAsia"/>
          <w:b/>
          <w:color w:val="auto"/>
          <w:sz w:val="24"/>
          <w:highlight w:val="none"/>
        </w:rPr>
      </w:pPr>
    </w:p>
    <w:p w14:paraId="3AB87C1B">
      <w:pPr>
        <w:snapToGrid w:val="0"/>
        <w:spacing w:line="480" w:lineRule="exact"/>
        <w:ind w:firstLine="570"/>
        <w:rPr>
          <w:rFonts w:hint="eastAsia" w:asciiTheme="minorEastAsia" w:hAnsiTheme="minorEastAsia" w:eastAsiaTheme="minorEastAsia" w:cstheme="minorEastAsia"/>
          <w:b/>
          <w:color w:val="auto"/>
          <w:sz w:val="24"/>
          <w:highlight w:val="none"/>
        </w:rPr>
      </w:pPr>
    </w:p>
    <w:p w14:paraId="6EEF2BD6">
      <w:pPr>
        <w:pStyle w:val="26"/>
        <w:ind w:firstLine="482"/>
        <w:rPr>
          <w:rFonts w:hint="eastAsia" w:asciiTheme="minorEastAsia" w:hAnsiTheme="minorEastAsia" w:eastAsiaTheme="minorEastAsia" w:cstheme="minorEastAsia"/>
          <w:b/>
          <w:color w:val="auto"/>
          <w:sz w:val="24"/>
          <w:highlight w:val="none"/>
        </w:rPr>
      </w:pPr>
    </w:p>
    <w:p w14:paraId="5F4DE086">
      <w:pPr>
        <w:rPr>
          <w:rFonts w:hint="eastAsia" w:asciiTheme="minorEastAsia" w:hAnsiTheme="minorEastAsia" w:eastAsiaTheme="minorEastAsia" w:cstheme="minorEastAsia"/>
          <w:b/>
          <w:color w:val="auto"/>
          <w:sz w:val="24"/>
          <w:highlight w:val="none"/>
        </w:rPr>
      </w:pPr>
    </w:p>
    <w:p w14:paraId="4EBDE17A">
      <w:pPr>
        <w:pStyle w:val="14"/>
        <w:jc w:val="both"/>
        <w:rPr>
          <w:rFonts w:hint="eastAsia" w:asciiTheme="minorEastAsia" w:hAnsiTheme="minorEastAsia" w:eastAsiaTheme="minorEastAsia" w:cstheme="minorEastAsia"/>
          <w:color w:val="auto"/>
          <w:szCs w:val="28"/>
          <w:highlight w:val="none"/>
        </w:rPr>
      </w:pPr>
    </w:p>
    <w:p w14:paraId="0E2BDC56">
      <w:pPr>
        <w:rPr>
          <w:rFonts w:hint="eastAsia" w:asciiTheme="minorEastAsia" w:hAnsiTheme="minorEastAsia" w:eastAsiaTheme="minorEastAsia" w:cstheme="minorEastAsia"/>
          <w:color w:val="auto"/>
          <w:szCs w:val="28"/>
          <w:highlight w:val="none"/>
        </w:rPr>
      </w:pPr>
    </w:p>
    <w:p w14:paraId="177834CF">
      <w:pPr>
        <w:rPr>
          <w:rFonts w:hint="eastAsia" w:asciiTheme="minorEastAsia" w:hAnsiTheme="minorEastAsia" w:eastAsiaTheme="minorEastAsia" w:cstheme="minorEastAsia"/>
          <w:color w:val="auto"/>
          <w:szCs w:val="28"/>
          <w:highlight w:val="none"/>
        </w:rPr>
      </w:pPr>
    </w:p>
    <w:p w14:paraId="1BD580CD">
      <w:pPr>
        <w:rPr>
          <w:rFonts w:hint="eastAsia" w:asciiTheme="minorEastAsia" w:hAnsiTheme="minorEastAsia" w:eastAsiaTheme="minorEastAsia" w:cstheme="minorEastAsia"/>
          <w:color w:val="auto"/>
          <w:szCs w:val="28"/>
          <w:highlight w:val="none"/>
        </w:rPr>
      </w:pPr>
    </w:p>
    <w:p w14:paraId="07F3521A">
      <w:pPr>
        <w:rPr>
          <w:rFonts w:hint="eastAsia" w:asciiTheme="minorEastAsia" w:hAnsiTheme="minorEastAsia" w:eastAsiaTheme="minorEastAsia" w:cstheme="minorEastAsia"/>
          <w:color w:val="auto"/>
          <w:szCs w:val="28"/>
          <w:highlight w:val="none"/>
        </w:rPr>
      </w:pPr>
    </w:p>
    <w:p w14:paraId="659A26C7">
      <w:pPr>
        <w:rPr>
          <w:rFonts w:hint="eastAsia" w:asciiTheme="minorEastAsia" w:hAnsiTheme="minorEastAsia" w:eastAsiaTheme="minorEastAsia" w:cstheme="minorEastAsia"/>
          <w:color w:val="auto"/>
          <w:szCs w:val="28"/>
          <w:highlight w:val="none"/>
        </w:rPr>
      </w:pPr>
    </w:p>
    <w:p w14:paraId="31320093">
      <w:pPr>
        <w:rPr>
          <w:rFonts w:hint="eastAsia" w:asciiTheme="minorEastAsia" w:hAnsiTheme="minorEastAsia" w:eastAsiaTheme="minorEastAsia" w:cstheme="minorEastAsia"/>
          <w:color w:val="auto"/>
          <w:szCs w:val="28"/>
          <w:highlight w:val="none"/>
        </w:rPr>
      </w:pPr>
    </w:p>
    <w:p w14:paraId="54BE6214">
      <w:pPr>
        <w:rPr>
          <w:rFonts w:hint="eastAsia" w:asciiTheme="minorEastAsia" w:hAnsiTheme="minorEastAsia" w:eastAsiaTheme="minorEastAsia" w:cstheme="minorEastAsia"/>
          <w:color w:val="auto"/>
          <w:szCs w:val="28"/>
          <w:highlight w:val="none"/>
        </w:rPr>
      </w:pPr>
    </w:p>
    <w:p w14:paraId="310E4EA3">
      <w:pPr>
        <w:rPr>
          <w:rFonts w:hint="eastAsia" w:asciiTheme="minorEastAsia" w:hAnsiTheme="minorEastAsia" w:eastAsiaTheme="minorEastAsia" w:cstheme="minorEastAsia"/>
          <w:color w:val="auto"/>
          <w:szCs w:val="28"/>
          <w:highlight w:val="none"/>
        </w:rPr>
      </w:pPr>
    </w:p>
    <w:p w14:paraId="5982C2DA">
      <w:pPr>
        <w:rPr>
          <w:rFonts w:hint="eastAsia" w:asciiTheme="minorEastAsia" w:hAnsiTheme="minorEastAsia" w:eastAsiaTheme="minorEastAsia" w:cstheme="minorEastAsia"/>
          <w:color w:val="auto"/>
          <w:szCs w:val="28"/>
          <w:highlight w:val="none"/>
        </w:rPr>
      </w:pPr>
    </w:p>
    <w:p w14:paraId="02036A65">
      <w:pPr>
        <w:rPr>
          <w:rFonts w:hint="eastAsia" w:asciiTheme="minorEastAsia" w:hAnsiTheme="minorEastAsia" w:eastAsiaTheme="minorEastAsia" w:cstheme="minorEastAsia"/>
          <w:color w:val="auto"/>
          <w:szCs w:val="28"/>
          <w:highlight w:val="none"/>
        </w:rPr>
      </w:pPr>
    </w:p>
    <w:p w14:paraId="35921543">
      <w:pPr>
        <w:rPr>
          <w:rFonts w:hint="eastAsia" w:asciiTheme="minorEastAsia" w:hAnsiTheme="minorEastAsia" w:eastAsiaTheme="minorEastAsia" w:cstheme="minorEastAsia"/>
          <w:color w:val="auto"/>
          <w:szCs w:val="28"/>
          <w:highlight w:val="none"/>
        </w:rPr>
      </w:pPr>
    </w:p>
    <w:p w14:paraId="147715DF">
      <w:pPr>
        <w:pStyle w:val="14"/>
        <w:rPr>
          <w:rFonts w:hint="eastAsia" w:asciiTheme="minorEastAsia" w:hAnsiTheme="minorEastAsia" w:eastAsiaTheme="minorEastAsia" w:cstheme="minorEastAsia"/>
          <w:color w:val="auto"/>
          <w:highlight w:val="none"/>
        </w:rPr>
      </w:pPr>
    </w:p>
    <w:p w14:paraId="66F1F228">
      <w:pPr>
        <w:pStyle w:val="2"/>
        <w:numPr>
          <w:ilvl w:val="0"/>
          <w:numId w:val="4"/>
        </w:num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t xml:space="preserve"> </w:t>
      </w:r>
      <w:bookmarkStart w:id="341" w:name="_Toc9917"/>
      <w:bookmarkStart w:id="342" w:name="_Toc32336"/>
      <w:bookmarkStart w:id="343" w:name="_Toc6084"/>
      <w:bookmarkStart w:id="344" w:name="_Toc28747"/>
      <w:r>
        <w:rPr>
          <w:rFonts w:hint="eastAsia" w:asciiTheme="minorEastAsia" w:hAnsiTheme="minorEastAsia" w:eastAsiaTheme="minorEastAsia" w:cstheme="minorEastAsia"/>
          <w:b/>
          <w:bCs/>
          <w:color w:val="auto"/>
          <w:sz w:val="44"/>
          <w:szCs w:val="44"/>
          <w:highlight w:val="none"/>
          <w:lang w:val="en-US" w:eastAsia="zh-CN"/>
        </w:rPr>
        <w:t>电子</w:t>
      </w:r>
      <w:r>
        <w:rPr>
          <w:rFonts w:hint="eastAsia" w:asciiTheme="minorEastAsia" w:hAnsiTheme="minorEastAsia" w:eastAsiaTheme="minorEastAsia" w:cstheme="minorEastAsia"/>
          <w:b/>
          <w:bCs/>
          <w:color w:val="auto"/>
          <w:sz w:val="44"/>
          <w:szCs w:val="44"/>
          <w:highlight w:val="none"/>
        </w:rPr>
        <w:t>响应文件编制要求</w:t>
      </w:r>
      <w:bookmarkEnd w:id="339"/>
      <w:bookmarkEnd w:id="341"/>
      <w:bookmarkEnd w:id="342"/>
      <w:bookmarkEnd w:id="343"/>
      <w:bookmarkEnd w:id="344"/>
    </w:p>
    <w:p w14:paraId="344ACF2B">
      <w:pPr>
        <w:spacing w:line="400" w:lineRule="exact"/>
        <w:rPr>
          <w:rFonts w:hint="eastAsia" w:asciiTheme="minorEastAsia" w:hAnsiTheme="minorEastAsia" w:eastAsiaTheme="minorEastAsia" w:cstheme="minorEastAsia"/>
          <w:color w:val="auto"/>
          <w:highlight w:val="none"/>
        </w:rPr>
      </w:pPr>
    </w:p>
    <w:p w14:paraId="5F937591">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45" w:name="_Toc936"/>
      <w:bookmarkStart w:id="346" w:name="_Toc19651"/>
      <w:bookmarkStart w:id="347" w:name="_Toc2369"/>
      <w:r>
        <w:rPr>
          <w:rFonts w:hint="eastAsia" w:asciiTheme="minorEastAsia" w:hAnsiTheme="minorEastAsia" w:eastAsiaTheme="minorEastAsia" w:cstheme="minorEastAsia"/>
          <w:color w:val="auto"/>
          <w:sz w:val="24"/>
          <w:szCs w:val="24"/>
          <w:highlight w:val="none"/>
          <w:lang w:val="en-US" w:eastAsia="zh-CN"/>
        </w:rPr>
        <w:t>一、经济部分</w:t>
      </w:r>
      <w:bookmarkEnd w:id="345"/>
      <w:bookmarkEnd w:id="346"/>
      <w:bookmarkEnd w:id="347"/>
    </w:p>
    <w:p w14:paraId="5A2F8AE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（一）竞争性磋商报价函</w:t>
      </w:r>
    </w:p>
    <w:p w14:paraId="7851475C">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48" w:name="_Toc22664"/>
      <w:bookmarkStart w:id="349" w:name="_Toc12461"/>
      <w:bookmarkStart w:id="350" w:name="_Toc7211"/>
      <w:bookmarkStart w:id="351" w:name="_Toc28094"/>
      <w:bookmarkStart w:id="352" w:name="_Toc8494"/>
      <w:r>
        <w:rPr>
          <w:rFonts w:hint="eastAsia" w:asciiTheme="minorEastAsia" w:hAnsiTheme="minorEastAsia" w:eastAsiaTheme="minorEastAsia" w:cstheme="minorEastAsia"/>
          <w:color w:val="auto"/>
          <w:sz w:val="24"/>
          <w:szCs w:val="24"/>
          <w:highlight w:val="none"/>
          <w:lang w:val="en-US" w:eastAsia="zh-CN"/>
        </w:rPr>
        <w:t>二、服务部分</w:t>
      </w:r>
      <w:bookmarkEnd w:id="348"/>
      <w:bookmarkEnd w:id="349"/>
      <w:bookmarkEnd w:id="350"/>
      <w:bookmarkEnd w:id="351"/>
      <w:bookmarkEnd w:id="352"/>
    </w:p>
    <w:p w14:paraId="4306814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（一）服务响应偏离表</w:t>
      </w:r>
    </w:p>
    <w:p w14:paraId="1CB12874">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（二）其他资料（根据采购需求和评审因素的要求自拟）</w:t>
      </w:r>
    </w:p>
    <w:p w14:paraId="19554902">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53" w:name="_Toc19241"/>
      <w:bookmarkStart w:id="354" w:name="_Toc5214"/>
      <w:bookmarkStart w:id="355" w:name="_Toc14580"/>
      <w:bookmarkStart w:id="356" w:name="_Toc3870"/>
      <w:bookmarkStart w:id="357" w:name="_Toc26697"/>
      <w:r>
        <w:rPr>
          <w:rFonts w:hint="eastAsia" w:asciiTheme="minorEastAsia" w:hAnsiTheme="minorEastAsia" w:eastAsiaTheme="minorEastAsia" w:cstheme="minorEastAsia"/>
          <w:color w:val="auto"/>
          <w:sz w:val="24"/>
          <w:szCs w:val="24"/>
          <w:highlight w:val="none"/>
          <w:lang w:val="en-US" w:eastAsia="zh-CN"/>
        </w:rPr>
        <w:t>三、商务部分</w:t>
      </w:r>
      <w:bookmarkEnd w:id="353"/>
      <w:bookmarkEnd w:id="354"/>
      <w:bookmarkEnd w:id="355"/>
      <w:bookmarkEnd w:id="356"/>
      <w:bookmarkEnd w:id="357"/>
    </w:p>
    <w:p w14:paraId="03FC972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（一）商务响应偏离表</w:t>
      </w:r>
    </w:p>
    <w:p w14:paraId="5FBE30A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（二）其它优惠服务承诺（格式自拟）</w:t>
      </w:r>
    </w:p>
    <w:p w14:paraId="1B2FB2E6">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58" w:name="_Toc13694"/>
      <w:bookmarkStart w:id="359" w:name="_Toc4455"/>
      <w:bookmarkStart w:id="360" w:name="_Toc8732"/>
      <w:bookmarkStart w:id="361" w:name="_Toc13801"/>
      <w:bookmarkStart w:id="362" w:name="_Toc26996"/>
      <w:r>
        <w:rPr>
          <w:rFonts w:hint="eastAsia" w:asciiTheme="minorEastAsia" w:hAnsiTheme="minorEastAsia" w:eastAsiaTheme="minorEastAsia" w:cstheme="minorEastAsia"/>
          <w:color w:val="auto"/>
          <w:sz w:val="24"/>
          <w:szCs w:val="24"/>
          <w:highlight w:val="none"/>
          <w:lang w:val="en-US" w:eastAsia="zh-CN"/>
        </w:rPr>
        <w:t>四、资格条件</w:t>
      </w:r>
      <w:bookmarkEnd w:id="358"/>
      <w:bookmarkEnd w:id="359"/>
      <w:bookmarkEnd w:id="360"/>
      <w:bookmarkEnd w:id="361"/>
      <w:bookmarkEnd w:id="362"/>
    </w:p>
    <w:p w14:paraId="3182E2C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（一）法人营业执照（副本）或事业单位法人证书（副本）或个体工商户营业执照或有效的自然人身份证明或社会团体法人登记证书复印件</w:t>
      </w:r>
    </w:p>
    <w:p w14:paraId="29B5067C">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（二）法定代表人身份证明书（格式）</w:t>
      </w:r>
    </w:p>
    <w:p w14:paraId="61F0B18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（三）法定代表人授权委托书（格式）</w:t>
      </w:r>
    </w:p>
    <w:p w14:paraId="63812FEB">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（四）基本资格条件承诺函（格式）</w:t>
      </w:r>
    </w:p>
    <w:p w14:paraId="072574D6">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（五）落实政府采购政策需满足的资格要求文件（如有）</w:t>
      </w:r>
    </w:p>
    <w:p w14:paraId="1C67FFF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（六）特定资格条件证书或证明文件（如有）</w:t>
      </w:r>
    </w:p>
    <w:p w14:paraId="3C574B91">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63" w:name="_Toc7810"/>
      <w:bookmarkStart w:id="364" w:name="_Toc19619"/>
      <w:bookmarkStart w:id="365" w:name="_Toc3936"/>
      <w:bookmarkStart w:id="366" w:name="_Toc1235"/>
      <w:bookmarkStart w:id="367" w:name="_Toc17422"/>
      <w:r>
        <w:rPr>
          <w:rFonts w:hint="eastAsia" w:asciiTheme="minorEastAsia" w:hAnsiTheme="minorEastAsia" w:eastAsiaTheme="minorEastAsia" w:cstheme="minorEastAsia"/>
          <w:color w:val="auto"/>
          <w:sz w:val="24"/>
          <w:szCs w:val="24"/>
          <w:highlight w:val="none"/>
          <w:lang w:val="en-US" w:eastAsia="zh-CN"/>
        </w:rPr>
        <w:t>五、其他应提供的资料</w:t>
      </w:r>
      <w:bookmarkEnd w:id="363"/>
      <w:bookmarkEnd w:id="364"/>
      <w:bookmarkEnd w:id="365"/>
      <w:bookmarkEnd w:id="366"/>
      <w:bookmarkEnd w:id="367"/>
    </w:p>
    <w:p w14:paraId="0B70EA06">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（一）中小微企业声明函、监狱企业证明文件、残疾人福利性单位声明函</w:t>
      </w:r>
    </w:p>
    <w:p w14:paraId="69D6DF61">
      <w:pPr>
        <w:spacing w:line="500" w:lineRule="exac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b w:val="0"/>
          <w:bCs/>
          <w:color w:val="auto"/>
          <w:sz w:val="24"/>
          <w:szCs w:val="24"/>
          <w:highlight w:val="none"/>
        </w:rPr>
        <w:t>其他与项目有关的资料（自附）</w:t>
      </w:r>
    </w:p>
    <w:p w14:paraId="60F2E8C3">
      <w:pPr>
        <w:spacing w:line="500" w:lineRule="exact"/>
        <w:ind w:firstLine="480" w:firstLineChars="200"/>
        <w:rPr>
          <w:rFonts w:hint="eastAsia" w:asciiTheme="minorEastAsia" w:hAnsiTheme="minorEastAsia" w:eastAsiaTheme="minorEastAsia" w:cstheme="minorEastAsia"/>
          <w:color w:val="auto"/>
          <w:sz w:val="24"/>
          <w:szCs w:val="24"/>
          <w:highlight w:val="none"/>
        </w:rPr>
      </w:pPr>
    </w:p>
    <w:p w14:paraId="40ED5E04">
      <w:pPr>
        <w:spacing w:line="400" w:lineRule="exact"/>
        <w:ind w:firstLine="960" w:firstLineChars="400"/>
        <w:rPr>
          <w:rFonts w:hint="eastAsia" w:asciiTheme="minorEastAsia" w:hAnsiTheme="minorEastAsia" w:eastAsiaTheme="minorEastAsia" w:cstheme="minorEastAsia"/>
          <w:color w:val="auto"/>
          <w:sz w:val="24"/>
          <w:szCs w:val="24"/>
          <w:highlight w:val="none"/>
        </w:rPr>
      </w:pPr>
      <w:bookmarkStart w:id="368" w:name="_Toc313888360"/>
      <w:bookmarkStart w:id="369" w:name="_Toc313008356"/>
      <w:bookmarkStart w:id="370" w:name="_Toc342913419"/>
      <w:bookmarkStart w:id="371" w:name="_Toc94016406"/>
      <w:bookmarkStart w:id="372" w:name="_Toc283382454"/>
      <w:bookmarkStart w:id="373" w:name="_Toc12789073"/>
    </w:p>
    <w:p w14:paraId="26E05DC7">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50A8F4C4">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1E79A185">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411A0438">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122286B6">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3D4A9614">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6783F0BB">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5A9B0761">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39DC9942">
      <w:pPr>
        <w:spacing w:line="400" w:lineRule="exact"/>
        <w:rPr>
          <w:rFonts w:hint="eastAsia" w:asciiTheme="minorEastAsia" w:hAnsiTheme="minorEastAsia" w:eastAsiaTheme="minorEastAsia" w:cstheme="minorEastAsia"/>
          <w:color w:val="auto"/>
          <w:sz w:val="24"/>
          <w:szCs w:val="24"/>
          <w:highlight w:val="none"/>
        </w:rPr>
      </w:pPr>
    </w:p>
    <w:p w14:paraId="5622BE61">
      <w:pPr>
        <w:spacing w:line="400" w:lineRule="exact"/>
        <w:outlineLvl w:val="0"/>
        <w:rPr>
          <w:rFonts w:hint="eastAsia" w:asciiTheme="minorEastAsia" w:hAnsiTheme="minorEastAsia" w:eastAsiaTheme="minorEastAsia" w:cstheme="minorEastAsia"/>
          <w:b/>
          <w:bCs/>
          <w:color w:val="auto"/>
          <w:sz w:val="24"/>
          <w:szCs w:val="24"/>
          <w:highlight w:val="none"/>
        </w:rPr>
      </w:pPr>
      <w:bookmarkStart w:id="374" w:name="_Toc13635"/>
      <w:bookmarkStart w:id="375" w:name="_Toc4244"/>
      <w:bookmarkStart w:id="376" w:name="_Toc9657"/>
      <w:r>
        <w:rPr>
          <w:rFonts w:hint="eastAsia" w:asciiTheme="minorEastAsia" w:hAnsiTheme="minorEastAsia" w:eastAsiaTheme="minorEastAsia" w:cstheme="minorEastAsia"/>
          <w:b/>
          <w:bCs/>
          <w:color w:val="auto"/>
          <w:sz w:val="24"/>
          <w:szCs w:val="24"/>
          <w:highlight w:val="none"/>
        </w:rPr>
        <w:t>一、经济部分</w:t>
      </w:r>
      <w:bookmarkEnd w:id="368"/>
      <w:bookmarkEnd w:id="369"/>
      <w:bookmarkEnd w:id="370"/>
      <w:bookmarkEnd w:id="371"/>
      <w:bookmarkEnd w:id="374"/>
      <w:bookmarkEnd w:id="375"/>
      <w:bookmarkEnd w:id="376"/>
    </w:p>
    <w:bookmarkEnd w:id="372"/>
    <w:bookmarkEnd w:id="373"/>
    <w:p w14:paraId="48F11F7F">
      <w:pPr>
        <w:tabs>
          <w:tab w:val="left" w:pos="6300"/>
        </w:tabs>
        <w:snapToGrid w:val="0"/>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377" w:name="_Toc1324"/>
      <w:r>
        <w:rPr>
          <w:rFonts w:hint="eastAsia" w:asciiTheme="minorEastAsia" w:hAnsiTheme="minorEastAsia" w:eastAsiaTheme="minorEastAsia" w:cstheme="minorEastAsia"/>
          <w:color w:val="auto"/>
          <w:sz w:val="24"/>
          <w:szCs w:val="24"/>
          <w:highlight w:val="none"/>
        </w:rPr>
        <w:t>（一）竞争性磋商报价函</w:t>
      </w:r>
      <w:bookmarkEnd w:id="377"/>
    </w:p>
    <w:p w14:paraId="3C6C408B">
      <w:pPr>
        <w:spacing w:line="400" w:lineRule="exact"/>
        <w:jc w:val="center"/>
        <w:rPr>
          <w:rFonts w:hint="eastAsia" w:asciiTheme="minorEastAsia" w:hAnsiTheme="minorEastAsia" w:eastAsiaTheme="minorEastAsia" w:cstheme="minorEastAsia"/>
          <w:b/>
          <w:color w:val="auto"/>
          <w:szCs w:val="28"/>
          <w:highlight w:val="none"/>
        </w:rPr>
      </w:pPr>
      <w:r>
        <w:rPr>
          <w:rFonts w:hint="eastAsia" w:asciiTheme="minorEastAsia" w:hAnsiTheme="minorEastAsia" w:eastAsiaTheme="minorEastAsia" w:cstheme="minorEastAsia"/>
          <w:b/>
          <w:color w:val="auto"/>
          <w:szCs w:val="28"/>
          <w:highlight w:val="none"/>
        </w:rPr>
        <w:t>竞争性磋商报价函</w:t>
      </w:r>
    </w:p>
    <w:p w14:paraId="7D596B06">
      <w:pPr>
        <w:tabs>
          <w:tab w:val="left" w:pos="6300"/>
        </w:tabs>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（采购代理机构名称）</w:t>
      </w:r>
      <w:r>
        <w:rPr>
          <w:rFonts w:hint="eastAsia" w:asciiTheme="minorEastAsia" w:hAnsiTheme="minorEastAsia" w:eastAsiaTheme="minorEastAsia" w:cstheme="minorEastAsia"/>
          <w:color w:val="auto"/>
          <w:sz w:val="24"/>
          <w:szCs w:val="24"/>
          <w:highlight w:val="none"/>
        </w:rPr>
        <w:t>：</w:t>
      </w:r>
    </w:p>
    <w:p w14:paraId="583667B2">
      <w:pPr>
        <w:tabs>
          <w:tab w:val="left" w:pos="6300"/>
        </w:tabs>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我方收到</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（磋商项目名称）的竞争性磋商文件，经详细研究，决定参加该项目的磋商。</w:t>
      </w:r>
    </w:p>
    <w:p w14:paraId="5D5EF42F">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1.愿意按照竞争性磋商文件中的一切要求，提供本项目</w:t>
      </w:r>
      <w:r>
        <w:rPr>
          <w:rFonts w:hint="eastAsia" w:asciiTheme="minorEastAsia" w:hAnsiTheme="minorEastAsia" w:eastAsiaTheme="minorEastAsia" w:cstheme="minorEastAsia"/>
          <w:color w:val="auto"/>
          <w:sz w:val="24"/>
          <w:szCs w:val="24"/>
          <w:highlight w:val="none"/>
          <w:u w:val="single"/>
          <w:lang w:val="en-US" w:eastAsia="zh-CN"/>
        </w:rPr>
        <w:t xml:space="preserve">     （包号）</w:t>
      </w:r>
      <w:r>
        <w:rPr>
          <w:rFonts w:hint="eastAsia" w:asciiTheme="minorEastAsia" w:hAnsiTheme="minorEastAsia" w:eastAsiaTheme="minorEastAsia" w:cstheme="minorEastAsia"/>
          <w:color w:val="auto"/>
          <w:sz w:val="24"/>
          <w:szCs w:val="24"/>
          <w:highlight w:val="none"/>
        </w:rPr>
        <w:t>的服务，初始</w:t>
      </w:r>
      <w:r>
        <w:rPr>
          <w:rFonts w:hint="eastAsia" w:asciiTheme="minorEastAsia" w:hAnsiTheme="minorEastAsia" w:eastAsiaTheme="minorEastAsia" w:cstheme="minorEastAsia"/>
          <w:color w:val="auto"/>
          <w:kern w:val="2"/>
          <w:sz w:val="24"/>
          <w:szCs w:val="24"/>
          <w:highlight w:val="none"/>
          <w:lang w:val="en-US" w:eastAsia="zh-CN" w:bidi="ar-SA"/>
        </w:rPr>
        <w:t>投标报价费率</w:t>
      </w:r>
      <w:r>
        <w:rPr>
          <w:rFonts w:hint="eastAsia" w:asciiTheme="minorEastAsia" w:hAnsiTheme="minorEastAsia" w:eastAsiaTheme="minorEastAsia" w:cstheme="minorEastAsia"/>
          <w:color w:val="auto"/>
          <w:sz w:val="24"/>
          <w:szCs w:val="24"/>
          <w:highlight w:val="none"/>
        </w:rPr>
        <w:t>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none"/>
        </w:rPr>
        <w:t>；</w:t>
      </w:r>
      <w:r>
        <w:rPr>
          <w:rFonts w:hint="eastAsia" w:asciiTheme="minorEastAsia" w:hAnsiTheme="minorEastAsia" w:eastAsiaTheme="minorEastAsia" w:cstheme="minorEastAsia"/>
          <w:color w:val="auto"/>
          <w:sz w:val="24"/>
          <w:szCs w:val="24"/>
          <w:highlight w:val="none"/>
        </w:rPr>
        <w:t>以我公司最后报价为准。</w:t>
      </w:r>
    </w:p>
    <w:p w14:paraId="20991DFB">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2.我方现提交的响应文件为：响应文件正本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份，电子文档</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p>
    <w:p w14:paraId="3A037185">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3.我方承诺：本次磋商的有效期为提交响应文件截止时间起90天。</w:t>
      </w:r>
    </w:p>
    <w:p w14:paraId="61F936A6">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4.我方完全理解和接受贵方竞争性磋商文件的一切规定和要求及评审办法。</w:t>
      </w:r>
    </w:p>
    <w:p w14:paraId="17984F47">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5.在整个竞争性磋商过程中，我方若有违规行为，接受按照《中华人民共和国政府采购法》和《竞争性磋商文件》之规定给予惩罚。</w:t>
      </w:r>
    </w:p>
    <w:p w14:paraId="580BCA04">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6.我方若成为成交供应商，将按照最终磋商结果签订合同，并且严格履行合同义务。本承诺函将成为合同不可分割的一部分，与合同具有同等的法律效力。</w:t>
      </w:r>
    </w:p>
    <w:p w14:paraId="135F1C7E">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7.如果我方成为成交供应商，保证在接到成交通知书后，向采购代理机构缴纳竞争性磋商文件规定的采购代理服务费。</w:t>
      </w:r>
    </w:p>
    <w:p w14:paraId="70A40706">
      <w:pPr>
        <w:tabs>
          <w:tab w:val="left" w:pos="6300"/>
        </w:tabs>
        <w:snapToGrid w:val="0"/>
        <w:spacing w:line="400" w:lineRule="exact"/>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8.我方承诺:若我方在多个分包中综合得分均排名第一，优先选择包</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(分包号)作为成交供应商，同时接受失去成为其他分包成交供应商的资格。</w:t>
      </w:r>
    </w:p>
    <w:p w14:paraId="0187A8B2">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p>
    <w:p w14:paraId="29AF26E0">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供应商（公章）或自然人签署：</w:t>
      </w:r>
    </w:p>
    <w:p w14:paraId="5B6FC101">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p>
    <w:p w14:paraId="5181E6EC">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                                             传真：</w:t>
      </w:r>
    </w:p>
    <w:p w14:paraId="6B9A8A85">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网址：                                             邮编：</w:t>
      </w:r>
    </w:p>
    <w:p w14:paraId="460085D5">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p>
    <w:p w14:paraId="4DE1084E">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sectPr>
          <w:headerReference r:id="rId5" w:type="default"/>
          <w:footerReference r:id="rId6" w:type="default"/>
          <w:pgSz w:w="11907" w:h="16840"/>
          <w:pgMar w:top="1134" w:right="1191" w:bottom="1134" w:left="1304" w:header="851" w:footer="992" w:gutter="0"/>
          <w:pgNumType w:fmt="decimal" w:start="1"/>
          <w:cols w:space="720" w:num="1"/>
          <w:docGrid w:linePitch="380" w:charSpace="-5735"/>
        </w:sectPr>
      </w:pPr>
      <w:r>
        <w:rPr>
          <w:rFonts w:hint="eastAsia" w:asciiTheme="minorEastAsia" w:hAnsiTheme="minorEastAsia" w:eastAsiaTheme="minorEastAsia" w:cstheme="minorEastAsia"/>
          <w:color w:val="auto"/>
          <w:sz w:val="24"/>
          <w:szCs w:val="24"/>
          <w:highlight w:val="none"/>
        </w:rPr>
        <w:t xml:space="preserve">                                                  年   月   日</w:t>
      </w:r>
    </w:p>
    <w:p w14:paraId="56C72A5F">
      <w:pPr>
        <w:outlineLvl w:val="0"/>
        <w:rPr>
          <w:rFonts w:hint="eastAsia" w:asciiTheme="minorEastAsia" w:hAnsiTheme="minorEastAsia" w:eastAsiaTheme="minorEastAsia" w:cstheme="minorEastAsia"/>
          <w:b/>
          <w:bCs/>
          <w:color w:val="auto"/>
          <w:sz w:val="24"/>
          <w:szCs w:val="24"/>
          <w:highlight w:val="none"/>
        </w:rPr>
      </w:pPr>
      <w:bookmarkStart w:id="378" w:name="_Toc478823789"/>
      <w:bookmarkStart w:id="379" w:name="_Toc26930"/>
      <w:bookmarkStart w:id="380" w:name="_Toc14923"/>
      <w:r>
        <w:rPr>
          <w:rFonts w:hint="eastAsia" w:asciiTheme="minorEastAsia" w:hAnsiTheme="minorEastAsia" w:eastAsiaTheme="minorEastAsia" w:cstheme="minorEastAsia"/>
          <w:b/>
          <w:bCs/>
          <w:color w:val="auto"/>
          <w:sz w:val="24"/>
          <w:szCs w:val="24"/>
          <w:highlight w:val="none"/>
        </w:rPr>
        <w:t>二、服务部分</w:t>
      </w:r>
      <w:bookmarkEnd w:id="378"/>
      <w:bookmarkEnd w:id="379"/>
      <w:bookmarkEnd w:id="380"/>
    </w:p>
    <w:p w14:paraId="743DE670">
      <w:pPr>
        <w:snapToGrid w:val="0"/>
        <w:spacing w:line="300" w:lineRule="atLeast"/>
        <w:ind w:firstLine="480" w:firstLineChars="200"/>
        <w:outlineLvl w:val="1"/>
        <w:rPr>
          <w:rFonts w:hint="eastAsia" w:asciiTheme="minorEastAsia" w:hAnsiTheme="minorEastAsia" w:eastAsiaTheme="minorEastAsia" w:cstheme="minorEastAsia"/>
          <w:color w:val="auto"/>
          <w:sz w:val="24"/>
          <w:szCs w:val="24"/>
          <w:highlight w:val="none"/>
        </w:rPr>
      </w:pPr>
      <w:bookmarkStart w:id="381" w:name="_Toc10351"/>
      <w:r>
        <w:rPr>
          <w:rFonts w:hint="eastAsia" w:asciiTheme="minorEastAsia" w:hAnsiTheme="minorEastAsia" w:eastAsiaTheme="minorEastAsia" w:cstheme="minorEastAsia"/>
          <w:color w:val="auto"/>
          <w:sz w:val="24"/>
          <w:szCs w:val="28"/>
          <w:highlight w:val="none"/>
        </w:rPr>
        <w:t>（一）</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响应偏离表</w:t>
      </w:r>
      <w:bookmarkEnd w:id="381"/>
    </w:p>
    <w:p w14:paraId="2CB1333D">
      <w:pPr>
        <w:spacing w:line="300" w:lineRule="atLeas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采购</w:t>
      </w:r>
      <w:r>
        <w:rPr>
          <w:rFonts w:hint="eastAsia" w:asciiTheme="minorEastAsia" w:hAnsiTheme="minorEastAsia" w:eastAsiaTheme="minorEastAsia" w:cstheme="minorEastAsia"/>
          <w:color w:val="auto"/>
          <w:sz w:val="24"/>
          <w:szCs w:val="24"/>
          <w:highlight w:val="none"/>
          <w:lang w:val="en-US" w:eastAsia="zh-CN"/>
        </w:rPr>
        <w:t>项目</w:t>
      </w:r>
      <w:r>
        <w:rPr>
          <w:rFonts w:hint="eastAsia" w:asciiTheme="minorEastAsia" w:hAnsiTheme="minorEastAsia" w:eastAsiaTheme="minorEastAsia" w:cstheme="minorEastAsia"/>
          <w:color w:val="auto"/>
          <w:sz w:val="24"/>
          <w:szCs w:val="24"/>
          <w:highlight w:val="none"/>
        </w:rPr>
        <w:t>号：</w:t>
      </w:r>
    </w:p>
    <w:p w14:paraId="11F88489">
      <w:pPr>
        <w:spacing w:line="3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采购项目名称：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940"/>
        <w:gridCol w:w="1886"/>
      </w:tblGrid>
      <w:tr w14:paraId="2B41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0B6DEF81">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82" w:name="_Toc7082"/>
            <w:bookmarkStart w:id="383" w:name="_Toc21944"/>
            <w:bookmarkStart w:id="384" w:name="_Toc20014"/>
            <w:r>
              <w:rPr>
                <w:rFonts w:hint="eastAsia" w:asciiTheme="minorEastAsia" w:hAnsiTheme="minorEastAsia" w:eastAsiaTheme="minorEastAsia" w:cstheme="minorEastAsia"/>
                <w:color w:val="auto"/>
                <w:sz w:val="21"/>
                <w:szCs w:val="21"/>
                <w:highlight w:val="none"/>
              </w:rPr>
              <w:t>序号</w:t>
            </w:r>
            <w:bookmarkEnd w:id="382"/>
            <w:bookmarkEnd w:id="383"/>
            <w:bookmarkEnd w:id="384"/>
          </w:p>
        </w:tc>
        <w:tc>
          <w:tcPr>
            <w:tcW w:w="2658" w:type="dxa"/>
            <w:noWrap w:val="0"/>
            <w:vAlign w:val="center"/>
          </w:tcPr>
          <w:p w14:paraId="70994B0E">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85" w:name="_Toc4432"/>
            <w:bookmarkStart w:id="386" w:name="_Toc25280"/>
            <w:bookmarkStart w:id="387" w:name="_Toc15071"/>
            <w:r>
              <w:rPr>
                <w:rFonts w:hint="eastAsia" w:asciiTheme="minorEastAsia" w:hAnsiTheme="minorEastAsia" w:eastAsiaTheme="minorEastAsia" w:cstheme="minorEastAsia"/>
                <w:color w:val="auto"/>
                <w:sz w:val="21"/>
                <w:szCs w:val="21"/>
                <w:highlight w:val="none"/>
              </w:rPr>
              <w:t>采购需求</w:t>
            </w:r>
            <w:bookmarkEnd w:id="385"/>
            <w:bookmarkEnd w:id="386"/>
            <w:bookmarkEnd w:id="387"/>
          </w:p>
        </w:tc>
        <w:tc>
          <w:tcPr>
            <w:tcW w:w="2940" w:type="dxa"/>
            <w:noWrap w:val="0"/>
            <w:vAlign w:val="center"/>
          </w:tcPr>
          <w:p w14:paraId="33D8E204">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88" w:name="_Toc277"/>
            <w:bookmarkStart w:id="389" w:name="_Toc18634"/>
            <w:bookmarkStart w:id="390" w:name="_Toc23497"/>
            <w:r>
              <w:rPr>
                <w:rFonts w:hint="eastAsia" w:asciiTheme="minorEastAsia" w:hAnsiTheme="minorEastAsia" w:eastAsiaTheme="minorEastAsia" w:cstheme="minorEastAsia"/>
                <w:color w:val="auto"/>
                <w:sz w:val="21"/>
                <w:szCs w:val="21"/>
                <w:highlight w:val="none"/>
              </w:rPr>
              <w:t>响应情况</w:t>
            </w:r>
            <w:bookmarkEnd w:id="388"/>
            <w:bookmarkEnd w:id="389"/>
            <w:bookmarkEnd w:id="390"/>
          </w:p>
        </w:tc>
        <w:tc>
          <w:tcPr>
            <w:tcW w:w="1886" w:type="dxa"/>
            <w:noWrap w:val="0"/>
            <w:vAlign w:val="center"/>
          </w:tcPr>
          <w:p w14:paraId="2723E07A">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91" w:name="_Toc7331"/>
            <w:bookmarkStart w:id="392" w:name="_Toc28116"/>
            <w:bookmarkStart w:id="393" w:name="_Toc11801"/>
            <w:r>
              <w:rPr>
                <w:rFonts w:hint="eastAsia" w:asciiTheme="minorEastAsia" w:hAnsiTheme="minorEastAsia" w:eastAsiaTheme="minorEastAsia" w:cstheme="minorEastAsia"/>
                <w:color w:val="auto"/>
                <w:sz w:val="21"/>
                <w:szCs w:val="21"/>
                <w:highlight w:val="none"/>
              </w:rPr>
              <w:t>差异说明</w:t>
            </w:r>
            <w:bookmarkEnd w:id="391"/>
            <w:bookmarkEnd w:id="392"/>
            <w:bookmarkEnd w:id="393"/>
          </w:p>
        </w:tc>
      </w:tr>
      <w:tr w14:paraId="08C0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138" w:type="dxa"/>
            <w:noWrap w:val="0"/>
            <w:vAlign w:val="center"/>
          </w:tcPr>
          <w:p w14:paraId="2E29BCA5">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20E12E6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06BB62E4">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4A8BD61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147C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1C83586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56FB1F3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460E3BD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641F4361">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44FB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1F4F25F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36EEAC90">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405DE28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633632A5">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B19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8" w:type="dxa"/>
            <w:noWrap w:val="0"/>
            <w:vAlign w:val="center"/>
          </w:tcPr>
          <w:p w14:paraId="35CCAB0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2FECA0E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3D372801">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0ED39D1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0CE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8" w:type="dxa"/>
            <w:noWrap w:val="0"/>
            <w:vAlign w:val="center"/>
          </w:tcPr>
          <w:p w14:paraId="74A8FA3F">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4F8B08A5">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22F561B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279BFC6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641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dxa"/>
            <w:noWrap w:val="0"/>
            <w:vAlign w:val="center"/>
          </w:tcPr>
          <w:p w14:paraId="2140D809">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51DB4E4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4EDB193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4C58576C">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76A4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dxa"/>
            <w:noWrap w:val="0"/>
            <w:vAlign w:val="center"/>
          </w:tcPr>
          <w:p w14:paraId="657AB94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79E66109">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067AF6EF">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12B45FB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81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62E9743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6BA393B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10A346C0">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57379511">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7609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3B3A2218">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58AFA11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655E7F8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364EF02B">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5ABB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38" w:type="dxa"/>
            <w:noWrap w:val="0"/>
            <w:vAlign w:val="center"/>
          </w:tcPr>
          <w:p w14:paraId="0868E42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275387E8">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61E49DE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6F1523C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bl>
    <w:p w14:paraId="73B364D5">
      <w:pPr>
        <w:spacing w:line="300" w:lineRule="atLeast"/>
        <w:ind w:firstLine="600" w:firstLineChars="250"/>
        <w:rPr>
          <w:rFonts w:hint="eastAsia" w:asciiTheme="minorEastAsia" w:hAnsiTheme="minorEastAsia" w:eastAsiaTheme="minorEastAsia" w:cstheme="minorEastAsia"/>
          <w:color w:val="auto"/>
          <w:sz w:val="24"/>
          <w:szCs w:val="28"/>
          <w:highlight w:val="none"/>
        </w:rPr>
      </w:pPr>
    </w:p>
    <w:p w14:paraId="31253B69">
      <w:pPr>
        <w:spacing w:line="300" w:lineRule="atLeast"/>
        <w:ind w:firstLine="600" w:firstLineChars="250"/>
        <w:rPr>
          <w:rFonts w:hint="eastAsia" w:asciiTheme="minorEastAsia" w:hAnsiTheme="minorEastAsia" w:eastAsiaTheme="minorEastAsia" w:cstheme="minorEastAsia"/>
          <w:color w:val="auto"/>
          <w:sz w:val="24"/>
          <w:szCs w:val="28"/>
          <w:highlight w:val="none"/>
        </w:rPr>
      </w:pPr>
    </w:p>
    <w:p w14:paraId="2133C02F">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                           法定代表人（或授权代表 ）或自然人：</w:t>
      </w:r>
    </w:p>
    <w:p w14:paraId="369FD931">
      <w:pPr>
        <w:spacing w:line="400" w:lineRule="atLeast"/>
        <w:ind w:firstLine="600" w:firstLineChars="250"/>
        <w:rPr>
          <w:rFonts w:hint="eastAsia" w:asciiTheme="minorEastAsia" w:hAnsiTheme="minorEastAsia" w:eastAsiaTheme="minorEastAsia" w:cstheme="minorEastAsia"/>
          <w:color w:val="auto"/>
          <w:sz w:val="24"/>
          <w:szCs w:val="28"/>
          <w:highlight w:val="none"/>
        </w:rPr>
      </w:pPr>
    </w:p>
    <w:p w14:paraId="6DB948F5">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（供应商公章）                               （签署或盖章）</w:t>
      </w:r>
    </w:p>
    <w:p w14:paraId="41B5EA0A">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年     月     日</w:t>
      </w:r>
    </w:p>
    <w:p w14:paraId="4194E519">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注：</w:t>
      </w:r>
    </w:p>
    <w:p w14:paraId="731AD733">
      <w:pPr>
        <w:spacing w:line="400" w:lineRule="atLeast"/>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highlight w:val="none"/>
        </w:rPr>
        <w:t>、本表即为对本项目“第二篇  项目</w:t>
      </w:r>
      <w:r>
        <w:rPr>
          <w:rFonts w:hint="eastAsia" w:asciiTheme="minorEastAsia" w:hAnsiTheme="minorEastAsia" w:eastAsiaTheme="minorEastAsia" w:cstheme="minorEastAsia"/>
          <w:color w:val="auto"/>
          <w:sz w:val="24"/>
          <w:highlight w:val="none"/>
          <w:lang w:val="en-US" w:eastAsia="zh-CN"/>
        </w:rPr>
        <w:t>服务</w:t>
      </w:r>
      <w:r>
        <w:rPr>
          <w:rFonts w:hint="eastAsia" w:asciiTheme="minorEastAsia" w:hAnsiTheme="minorEastAsia" w:eastAsiaTheme="minorEastAsia" w:cstheme="minorEastAsia"/>
          <w:color w:val="auto"/>
          <w:sz w:val="24"/>
          <w:highlight w:val="none"/>
        </w:rPr>
        <w:t>需求”中所列</w:t>
      </w:r>
      <w:r>
        <w:rPr>
          <w:rFonts w:hint="eastAsia" w:asciiTheme="minorEastAsia" w:hAnsiTheme="minorEastAsia" w:eastAsiaTheme="minorEastAsia" w:cstheme="minorEastAsia"/>
          <w:color w:val="auto"/>
          <w:sz w:val="24"/>
          <w:highlight w:val="none"/>
          <w:lang w:val="en-US" w:eastAsia="zh-CN"/>
        </w:rPr>
        <w:t>服务</w:t>
      </w:r>
      <w:r>
        <w:rPr>
          <w:rFonts w:hint="eastAsia" w:asciiTheme="minorEastAsia" w:hAnsiTheme="minorEastAsia" w:eastAsiaTheme="minorEastAsia" w:cstheme="minorEastAsia"/>
          <w:color w:val="auto"/>
          <w:sz w:val="24"/>
          <w:highlight w:val="none"/>
        </w:rPr>
        <w:t>要求进行比较和响应；</w:t>
      </w:r>
    </w:p>
    <w:p w14:paraId="4D91A6AA">
      <w:pPr>
        <w:tabs>
          <w:tab w:val="left" w:pos="6300"/>
        </w:tabs>
        <w:snapToGrid w:val="0"/>
        <w:spacing w:line="400" w:lineRule="atLeast"/>
        <w:ind w:firstLine="480" w:firstLineChars="200"/>
        <w:outlineLvl w:val="2"/>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2、该表可扩展</w:t>
      </w:r>
      <w:r>
        <w:rPr>
          <w:rFonts w:hint="eastAsia" w:asciiTheme="minorEastAsia" w:hAnsiTheme="minorEastAsia" w:eastAsiaTheme="minorEastAsia" w:cstheme="minorEastAsia"/>
          <w:color w:val="auto"/>
          <w:sz w:val="24"/>
          <w:highlight w:val="none"/>
          <w:lang w:eastAsia="zh-CN"/>
        </w:rPr>
        <w:t>。</w:t>
      </w:r>
    </w:p>
    <w:p w14:paraId="37430A42">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0944D68">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4CADEADB">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06FAEE95">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7010ABE5">
      <w:pPr>
        <w:pStyle w:val="6"/>
        <w:rPr>
          <w:rFonts w:hint="eastAsia" w:asciiTheme="minorEastAsia" w:hAnsiTheme="minorEastAsia" w:eastAsiaTheme="minorEastAsia" w:cstheme="minorEastAsia"/>
          <w:color w:val="auto"/>
          <w:sz w:val="24"/>
          <w:szCs w:val="24"/>
          <w:highlight w:val="none"/>
        </w:rPr>
      </w:pPr>
    </w:p>
    <w:p w14:paraId="2F3D6130">
      <w:pPr>
        <w:pStyle w:val="16"/>
        <w:rPr>
          <w:rFonts w:hint="eastAsia" w:asciiTheme="minorEastAsia" w:hAnsiTheme="minorEastAsia" w:eastAsiaTheme="minorEastAsia" w:cstheme="minorEastAsia"/>
          <w:color w:val="auto"/>
          <w:highlight w:val="none"/>
        </w:rPr>
      </w:pPr>
    </w:p>
    <w:p w14:paraId="6E8B28B1">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18576F1C">
      <w:pPr>
        <w:spacing w:line="400" w:lineRule="atLeast"/>
        <w:rPr>
          <w:rFonts w:hint="eastAsia" w:asciiTheme="minorEastAsia" w:hAnsiTheme="minorEastAsia" w:eastAsiaTheme="minorEastAsia" w:cstheme="minorEastAsia"/>
          <w:color w:val="auto"/>
          <w:sz w:val="24"/>
          <w:szCs w:val="24"/>
          <w:highlight w:val="none"/>
        </w:rPr>
      </w:pPr>
    </w:p>
    <w:p w14:paraId="253E491E">
      <w:pPr>
        <w:pStyle w:val="17"/>
        <w:rPr>
          <w:rFonts w:hint="eastAsia"/>
          <w:color w:val="auto"/>
          <w:highlight w:val="none"/>
        </w:rPr>
      </w:pPr>
    </w:p>
    <w:p w14:paraId="099C0A78">
      <w:pPr>
        <w:spacing w:line="400" w:lineRule="atLeast"/>
        <w:ind w:firstLine="480" w:firstLineChars="200"/>
        <w:outlineLvl w:val="1"/>
        <w:rPr>
          <w:rFonts w:hint="eastAsia" w:asciiTheme="minorEastAsia" w:hAnsiTheme="minorEastAsia" w:eastAsiaTheme="minorEastAsia" w:cstheme="minorEastAsia"/>
          <w:color w:val="auto"/>
          <w:sz w:val="24"/>
          <w:highlight w:val="none"/>
        </w:rPr>
      </w:pPr>
      <w:bookmarkStart w:id="394" w:name="_Toc6249"/>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b w:val="0"/>
          <w:bCs/>
          <w:color w:val="auto"/>
          <w:sz w:val="24"/>
          <w:szCs w:val="24"/>
          <w:highlight w:val="none"/>
          <w:lang w:val="en-US" w:eastAsia="zh-CN"/>
        </w:rPr>
        <w:t>服务</w:t>
      </w:r>
      <w:r>
        <w:rPr>
          <w:rFonts w:hint="eastAsia" w:asciiTheme="minorEastAsia" w:hAnsiTheme="minorEastAsia" w:eastAsiaTheme="minorEastAsia" w:cstheme="minorEastAsia"/>
          <w:b w:val="0"/>
          <w:bCs/>
          <w:color w:val="auto"/>
          <w:sz w:val="24"/>
          <w:szCs w:val="24"/>
          <w:highlight w:val="none"/>
        </w:rPr>
        <w:t>方案</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格式自定</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lang w:val="en-US" w:eastAsia="zh-CN"/>
        </w:rPr>
        <w:t>可</w:t>
      </w:r>
      <w:r>
        <w:rPr>
          <w:rFonts w:hint="eastAsia" w:asciiTheme="minorEastAsia" w:hAnsiTheme="minorEastAsia" w:eastAsiaTheme="minorEastAsia" w:cstheme="minorEastAsia"/>
          <w:color w:val="auto"/>
          <w:sz w:val="24"/>
          <w:szCs w:val="24"/>
          <w:highlight w:val="none"/>
        </w:rPr>
        <w:t>根据采购需求和评审因素的要求自拟）</w:t>
      </w:r>
      <w:bookmarkEnd w:id="394"/>
    </w:p>
    <w:p w14:paraId="3CE9514D">
      <w:pPr>
        <w:rPr>
          <w:rFonts w:hint="eastAsia" w:asciiTheme="minorEastAsia" w:hAnsiTheme="minorEastAsia" w:eastAsiaTheme="minorEastAsia" w:cstheme="minorEastAsia"/>
          <w:b/>
          <w:bCs/>
          <w:color w:val="auto"/>
          <w:sz w:val="24"/>
          <w:szCs w:val="24"/>
          <w:highlight w:val="none"/>
        </w:rPr>
      </w:pPr>
      <w:bookmarkStart w:id="395" w:name="_Toc478823790"/>
    </w:p>
    <w:p w14:paraId="66251452">
      <w:pPr>
        <w:rPr>
          <w:rFonts w:hint="eastAsia" w:asciiTheme="minorEastAsia" w:hAnsiTheme="minorEastAsia" w:eastAsiaTheme="minorEastAsia" w:cstheme="minorEastAsia"/>
          <w:b/>
          <w:bCs/>
          <w:color w:val="auto"/>
          <w:sz w:val="24"/>
          <w:szCs w:val="24"/>
          <w:highlight w:val="none"/>
        </w:rPr>
      </w:pPr>
    </w:p>
    <w:p w14:paraId="392D0F41">
      <w:pPr>
        <w:rPr>
          <w:rFonts w:hint="eastAsia" w:asciiTheme="minorEastAsia" w:hAnsiTheme="minorEastAsia" w:eastAsiaTheme="minorEastAsia" w:cstheme="minorEastAsia"/>
          <w:b/>
          <w:bCs/>
          <w:color w:val="auto"/>
          <w:sz w:val="24"/>
          <w:szCs w:val="24"/>
          <w:highlight w:val="none"/>
        </w:rPr>
      </w:pPr>
    </w:p>
    <w:p w14:paraId="67889703">
      <w:pPr>
        <w:rPr>
          <w:rFonts w:hint="eastAsia" w:asciiTheme="minorEastAsia" w:hAnsiTheme="minorEastAsia" w:eastAsiaTheme="minorEastAsia" w:cstheme="minorEastAsia"/>
          <w:b/>
          <w:bCs/>
          <w:color w:val="auto"/>
          <w:sz w:val="24"/>
          <w:szCs w:val="24"/>
          <w:highlight w:val="none"/>
        </w:rPr>
      </w:pPr>
    </w:p>
    <w:p w14:paraId="6009D1E3">
      <w:pPr>
        <w:rPr>
          <w:rFonts w:hint="eastAsia" w:asciiTheme="minorEastAsia" w:hAnsiTheme="minorEastAsia" w:eastAsiaTheme="minorEastAsia" w:cstheme="minorEastAsia"/>
          <w:b/>
          <w:bCs/>
          <w:color w:val="auto"/>
          <w:sz w:val="24"/>
          <w:szCs w:val="24"/>
          <w:highlight w:val="none"/>
        </w:rPr>
      </w:pPr>
    </w:p>
    <w:p w14:paraId="20BE8552">
      <w:pPr>
        <w:rPr>
          <w:rFonts w:hint="eastAsia" w:asciiTheme="minorEastAsia" w:hAnsiTheme="minorEastAsia" w:eastAsiaTheme="minorEastAsia" w:cstheme="minorEastAsia"/>
          <w:b/>
          <w:bCs/>
          <w:color w:val="auto"/>
          <w:sz w:val="24"/>
          <w:szCs w:val="24"/>
          <w:highlight w:val="none"/>
        </w:rPr>
      </w:pPr>
    </w:p>
    <w:p w14:paraId="50A7FE42">
      <w:pPr>
        <w:rPr>
          <w:rFonts w:hint="eastAsia" w:asciiTheme="minorEastAsia" w:hAnsiTheme="minorEastAsia" w:eastAsiaTheme="minorEastAsia" w:cstheme="minorEastAsia"/>
          <w:b/>
          <w:bCs/>
          <w:color w:val="auto"/>
          <w:sz w:val="24"/>
          <w:szCs w:val="24"/>
          <w:highlight w:val="none"/>
        </w:rPr>
      </w:pPr>
    </w:p>
    <w:p w14:paraId="27B9AE75">
      <w:pPr>
        <w:rPr>
          <w:rFonts w:hint="eastAsia" w:asciiTheme="minorEastAsia" w:hAnsiTheme="minorEastAsia" w:eastAsiaTheme="minorEastAsia" w:cstheme="minorEastAsia"/>
          <w:b/>
          <w:bCs/>
          <w:color w:val="auto"/>
          <w:sz w:val="24"/>
          <w:szCs w:val="24"/>
          <w:highlight w:val="none"/>
        </w:rPr>
      </w:pPr>
    </w:p>
    <w:p w14:paraId="7AE858E2">
      <w:pPr>
        <w:rPr>
          <w:rFonts w:hint="eastAsia" w:asciiTheme="minorEastAsia" w:hAnsiTheme="minorEastAsia" w:eastAsiaTheme="minorEastAsia" w:cstheme="minorEastAsia"/>
          <w:b/>
          <w:bCs/>
          <w:color w:val="auto"/>
          <w:sz w:val="24"/>
          <w:szCs w:val="24"/>
          <w:highlight w:val="none"/>
        </w:rPr>
      </w:pPr>
    </w:p>
    <w:p w14:paraId="73025727">
      <w:pPr>
        <w:rPr>
          <w:rFonts w:hint="eastAsia" w:asciiTheme="minorEastAsia" w:hAnsiTheme="minorEastAsia" w:eastAsiaTheme="minorEastAsia" w:cstheme="minorEastAsia"/>
          <w:b/>
          <w:bCs/>
          <w:color w:val="auto"/>
          <w:sz w:val="24"/>
          <w:szCs w:val="24"/>
          <w:highlight w:val="none"/>
        </w:rPr>
      </w:pPr>
    </w:p>
    <w:p w14:paraId="023C98CD">
      <w:pPr>
        <w:rPr>
          <w:rFonts w:hint="eastAsia" w:asciiTheme="minorEastAsia" w:hAnsiTheme="minorEastAsia" w:eastAsiaTheme="minorEastAsia" w:cstheme="minorEastAsia"/>
          <w:b/>
          <w:bCs/>
          <w:color w:val="auto"/>
          <w:sz w:val="24"/>
          <w:szCs w:val="24"/>
          <w:highlight w:val="none"/>
        </w:rPr>
      </w:pPr>
    </w:p>
    <w:p w14:paraId="30308089">
      <w:pPr>
        <w:rPr>
          <w:rFonts w:hint="eastAsia" w:asciiTheme="minorEastAsia" w:hAnsiTheme="minorEastAsia" w:eastAsiaTheme="minorEastAsia" w:cstheme="minorEastAsia"/>
          <w:b/>
          <w:bCs/>
          <w:color w:val="auto"/>
          <w:sz w:val="24"/>
          <w:szCs w:val="24"/>
          <w:highlight w:val="none"/>
        </w:rPr>
      </w:pPr>
    </w:p>
    <w:p w14:paraId="16643650">
      <w:pPr>
        <w:rPr>
          <w:rFonts w:hint="eastAsia" w:asciiTheme="minorEastAsia" w:hAnsiTheme="minorEastAsia" w:eastAsiaTheme="minorEastAsia" w:cstheme="minorEastAsia"/>
          <w:b/>
          <w:bCs/>
          <w:color w:val="auto"/>
          <w:sz w:val="24"/>
          <w:szCs w:val="24"/>
          <w:highlight w:val="none"/>
        </w:rPr>
      </w:pPr>
    </w:p>
    <w:p w14:paraId="58CD535C">
      <w:pPr>
        <w:rPr>
          <w:rFonts w:hint="eastAsia" w:asciiTheme="minorEastAsia" w:hAnsiTheme="minorEastAsia" w:eastAsiaTheme="minorEastAsia" w:cstheme="minorEastAsia"/>
          <w:b/>
          <w:bCs/>
          <w:color w:val="auto"/>
          <w:sz w:val="24"/>
          <w:szCs w:val="24"/>
          <w:highlight w:val="none"/>
        </w:rPr>
      </w:pPr>
    </w:p>
    <w:p w14:paraId="6A19D5A0">
      <w:pPr>
        <w:rPr>
          <w:rFonts w:hint="eastAsia" w:asciiTheme="minorEastAsia" w:hAnsiTheme="minorEastAsia" w:eastAsiaTheme="minorEastAsia" w:cstheme="minorEastAsia"/>
          <w:b/>
          <w:bCs/>
          <w:color w:val="auto"/>
          <w:sz w:val="24"/>
          <w:szCs w:val="24"/>
          <w:highlight w:val="none"/>
        </w:rPr>
      </w:pPr>
    </w:p>
    <w:p w14:paraId="57474423">
      <w:pPr>
        <w:rPr>
          <w:rFonts w:hint="eastAsia" w:asciiTheme="minorEastAsia" w:hAnsiTheme="minorEastAsia" w:eastAsiaTheme="minorEastAsia" w:cstheme="minorEastAsia"/>
          <w:b/>
          <w:bCs/>
          <w:color w:val="auto"/>
          <w:sz w:val="24"/>
          <w:szCs w:val="24"/>
          <w:highlight w:val="none"/>
        </w:rPr>
      </w:pPr>
    </w:p>
    <w:p w14:paraId="78EC6653">
      <w:pPr>
        <w:rPr>
          <w:rFonts w:hint="eastAsia" w:asciiTheme="minorEastAsia" w:hAnsiTheme="minorEastAsia" w:eastAsiaTheme="minorEastAsia" w:cstheme="minorEastAsia"/>
          <w:b/>
          <w:bCs/>
          <w:color w:val="auto"/>
          <w:sz w:val="24"/>
          <w:szCs w:val="24"/>
          <w:highlight w:val="none"/>
        </w:rPr>
      </w:pPr>
    </w:p>
    <w:p w14:paraId="3547CC8E">
      <w:pPr>
        <w:rPr>
          <w:rFonts w:hint="eastAsia" w:asciiTheme="minorEastAsia" w:hAnsiTheme="minorEastAsia" w:eastAsiaTheme="minorEastAsia" w:cstheme="minorEastAsia"/>
          <w:b/>
          <w:bCs/>
          <w:color w:val="auto"/>
          <w:sz w:val="24"/>
          <w:szCs w:val="24"/>
          <w:highlight w:val="none"/>
        </w:rPr>
      </w:pPr>
    </w:p>
    <w:p w14:paraId="45AC0E28">
      <w:pPr>
        <w:rPr>
          <w:rFonts w:hint="eastAsia" w:asciiTheme="minorEastAsia" w:hAnsiTheme="minorEastAsia" w:eastAsiaTheme="minorEastAsia" w:cstheme="minorEastAsia"/>
          <w:b/>
          <w:bCs/>
          <w:color w:val="auto"/>
          <w:sz w:val="24"/>
          <w:szCs w:val="24"/>
          <w:highlight w:val="none"/>
        </w:rPr>
      </w:pPr>
    </w:p>
    <w:p w14:paraId="274A9653">
      <w:pPr>
        <w:rPr>
          <w:rFonts w:hint="eastAsia" w:asciiTheme="minorEastAsia" w:hAnsiTheme="minorEastAsia" w:eastAsiaTheme="minorEastAsia" w:cstheme="minorEastAsia"/>
          <w:b/>
          <w:bCs/>
          <w:color w:val="auto"/>
          <w:sz w:val="24"/>
          <w:szCs w:val="24"/>
          <w:highlight w:val="none"/>
        </w:rPr>
      </w:pPr>
    </w:p>
    <w:p w14:paraId="6CB08970">
      <w:pPr>
        <w:rPr>
          <w:rFonts w:hint="eastAsia" w:asciiTheme="minorEastAsia" w:hAnsiTheme="minorEastAsia" w:eastAsiaTheme="minorEastAsia" w:cstheme="minorEastAsia"/>
          <w:b/>
          <w:bCs/>
          <w:color w:val="auto"/>
          <w:sz w:val="24"/>
          <w:szCs w:val="24"/>
          <w:highlight w:val="none"/>
        </w:rPr>
      </w:pPr>
    </w:p>
    <w:p w14:paraId="03C7D142">
      <w:pPr>
        <w:rPr>
          <w:rFonts w:hint="eastAsia" w:asciiTheme="minorEastAsia" w:hAnsiTheme="minorEastAsia" w:eastAsiaTheme="minorEastAsia" w:cstheme="minorEastAsia"/>
          <w:b/>
          <w:bCs/>
          <w:color w:val="auto"/>
          <w:sz w:val="24"/>
          <w:szCs w:val="24"/>
          <w:highlight w:val="none"/>
        </w:rPr>
      </w:pPr>
    </w:p>
    <w:p w14:paraId="4948D301">
      <w:pPr>
        <w:rPr>
          <w:rFonts w:hint="eastAsia" w:asciiTheme="minorEastAsia" w:hAnsiTheme="minorEastAsia" w:eastAsiaTheme="minorEastAsia" w:cstheme="minorEastAsia"/>
          <w:b/>
          <w:bCs/>
          <w:color w:val="auto"/>
          <w:sz w:val="24"/>
          <w:szCs w:val="24"/>
          <w:highlight w:val="none"/>
        </w:rPr>
      </w:pPr>
    </w:p>
    <w:p w14:paraId="19914A4A">
      <w:pPr>
        <w:rPr>
          <w:rFonts w:hint="eastAsia" w:asciiTheme="minorEastAsia" w:hAnsiTheme="minorEastAsia" w:eastAsiaTheme="minorEastAsia" w:cstheme="minorEastAsia"/>
          <w:b/>
          <w:bCs/>
          <w:color w:val="auto"/>
          <w:sz w:val="24"/>
          <w:szCs w:val="24"/>
          <w:highlight w:val="none"/>
        </w:rPr>
      </w:pPr>
    </w:p>
    <w:p w14:paraId="0ED07C2E">
      <w:pPr>
        <w:rPr>
          <w:rFonts w:hint="eastAsia" w:asciiTheme="minorEastAsia" w:hAnsiTheme="minorEastAsia" w:eastAsiaTheme="minorEastAsia" w:cstheme="minorEastAsia"/>
          <w:b/>
          <w:bCs/>
          <w:color w:val="auto"/>
          <w:sz w:val="24"/>
          <w:szCs w:val="24"/>
          <w:highlight w:val="none"/>
        </w:rPr>
      </w:pPr>
    </w:p>
    <w:p w14:paraId="2596695A">
      <w:pPr>
        <w:rPr>
          <w:rFonts w:hint="eastAsia" w:asciiTheme="minorEastAsia" w:hAnsiTheme="minorEastAsia" w:eastAsiaTheme="minorEastAsia" w:cstheme="minorEastAsia"/>
          <w:b/>
          <w:bCs/>
          <w:color w:val="auto"/>
          <w:sz w:val="24"/>
          <w:szCs w:val="24"/>
          <w:highlight w:val="none"/>
        </w:rPr>
      </w:pPr>
    </w:p>
    <w:p w14:paraId="31CCDCDF">
      <w:pPr>
        <w:rPr>
          <w:rFonts w:hint="eastAsia" w:asciiTheme="minorEastAsia" w:hAnsiTheme="minorEastAsia" w:eastAsiaTheme="minorEastAsia" w:cstheme="minorEastAsia"/>
          <w:b/>
          <w:bCs/>
          <w:color w:val="auto"/>
          <w:sz w:val="24"/>
          <w:szCs w:val="24"/>
          <w:highlight w:val="none"/>
        </w:rPr>
      </w:pPr>
    </w:p>
    <w:p w14:paraId="30F09AA3">
      <w:pPr>
        <w:rPr>
          <w:rFonts w:hint="eastAsia" w:asciiTheme="minorEastAsia" w:hAnsiTheme="minorEastAsia" w:eastAsiaTheme="minorEastAsia" w:cstheme="minorEastAsia"/>
          <w:b/>
          <w:bCs/>
          <w:color w:val="auto"/>
          <w:sz w:val="24"/>
          <w:szCs w:val="24"/>
          <w:highlight w:val="none"/>
        </w:rPr>
      </w:pPr>
    </w:p>
    <w:p w14:paraId="118C0FFB">
      <w:pPr>
        <w:rPr>
          <w:rFonts w:hint="eastAsia" w:asciiTheme="minorEastAsia" w:hAnsiTheme="minorEastAsia" w:eastAsiaTheme="minorEastAsia" w:cstheme="minorEastAsia"/>
          <w:b/>
          <w:bCs/>
          <w:color w:val="auto"/>
          <w:sz w:val="24"/>
          <w:szCs w:val="24"/>
          <w:highlight w:val="none"/>
        </w:rPr>
      </w:pPr>
    </w:p>
    <w:p w14:paraId="69D9515B">
      <w:pPr>
        <w:rPr>
          <w:rFonts w:hint="eastAsia" w:asciiTheme="minorEastAsia" w:hAnsiTheme="minorEastAsia" w:eastAsiaTheme="minorEastAsia" w:cstheme="minorEastAsia"/>
          <w:b/>
          <w:bCs/>
          <w:color w:val="auto"/>
          <w:sz w:val="24"/>
          <w:szCs w:val="24"/>
          <w:highlight w:val="none"/>
        </w:rPr>
      </w:pPr>
    </w:p>
    <w:p w14:paraId="144EC308">
      <w:pPr>
        <w:rPr>
          <w:rFonts w:hint="eastAsia" w:asciiTheme="minorEastAsia" w:hAnsiTheme="minorEastAsia" w:eastAsiaTheme="minorEastAsia" w:cstheme="minorEastAsia"/>
          <w:b/>
          <w:bCs/>
          <w:color w:val="auto"/>
          <w:sz w:val="24"/>
          <w:szCs w:val="24"/>
          <w:highlight w:val="none"/>
        </w:rPr>
      </w:pPr>
    </w:p>
    <w:p w14:paraId="42DFD8FE">
      <w:pPr>
        <w:rPr>
          <w:rFonts w:hint="eastAsia" w:asciiTheme="minorEastAsia" w:hAnsiTheme="minorEastAsia" w:eastAsiaTheme="minorEastAsia" w:cstheme="minorEastAsia"/>
          <w:b/>
          <w:bCs/>
          <w:color w:val="auto"/>
          <w:sz w:val="24"/>
          <w:szCs w:val="24"/>
          <w:highlight w:val="none"/>
        </w:rPr>
      </w:pPr>
    </w:p>
    <w:p w14:paraId="7F836FED">
      <w:pPr>
        <w:rPr>
          <w:rFonts w:hint="eastAsia" w:asciiTheme="minorEastAsia" w:hAnsiTheme="minorEastAsia" w:eastAsiaTheme="minorEastAsia" w:cstheme="minorEastAsia"/>
          <w:b/>
          <w:bCs/>
          <w:color w:val="auto"/>
          <w:sz w:val="24"/>
          <w:szCs w:val="24"/>
          <w:highlight w:val="none"/>
        </w:rPr>
      </w:pPr>
    </w:p>
    <w:p w14:paraId="343FD38F">
      <w:pPr>
        <w:rPr>
          <w:rFonts w:hint="eastAsia" w:asciiTheme="minorEastAsia" w:hAnsiTheme="minorEastAsia" w:eastAsiaTheme="minorEastAsia" w:cstheme="minorEastAsia"/>
          <w:b/>
          <w:bCs/>
          <w:color w:val="auto"/>
          <w:sz w:val="24"/>
          <w:szCs w:val="24"/>
          <w:highlight w:val="none"/>
        </w:rPr>
      </w:pPr>
    </w:p>
    <w:p w14:paraId="2B86E6BA">
      <w:pPr>
        <w:rPr>
          <w:rFonts w:hint="eastAsia" w:asciiTheme="minorEastAsia" w:hAnsiTheme="minorEastAsia" w:eastAsiaTheme="minorEastAsia" w:cstheme="minorEastAsia"/>
          <w:b/>
          <w:bCs/>
          <w:color w:val="auto"/>
          <w:sz w:val="24"/>
          <w:szCs w:val="24"/>
          <w:highlight w:val="none"/>
        </w:rPr>
      </w:pPr>
    </w:p>
    <w:p w14:paraId="04F3B610">
      <w:pPr>
        <w:rPr>
          <w:rFonts w:hint="eastAsia" w:asciiTheme="minorEastAsia" w:hAnsiTheme="minorEastAsia" w:eastAsiaTheme="minorEastAsia" w:cstheme="minorEastAsia"/>
          <w:b/>
          <w:bCs/>
          <w:color w:val="auto"/>
          <w:sz w:val="24"/>
          <w:szCs w:val="24"/>
          <w:highlight w:val="none"/>
        </w:rPr>
      </w:pPr>
    </w:p>
    <w:p w14:paraId="60A88F6E">
      <w:pPr>
        <w:rPr>
          <w:rFonts w:hint="eastAsia" w:asciiTheme="minorEastAsia" w:hAnsiTheme="minorEastAsia" w:eastAsiaTheme="minorEastAsia" w:cstheme="minorEastAsia"/>
          <w:b/>
          <w:bCs/>
          <w:color w:val="auto"/>
          <w:sz w:val="24"/>
          <w:szCs w:val="24"/>
          <w:highlight w:val="none"/>
        </w:rPr>
      </w:pPr>
    </w:p>
    <w:p w14:paraId="28E173B6">
      <w:pPr>
        <w:rPr>
          <w:rFonts w:hint="eastAsia" w:asciiTheme="minorEastAsia" w:hAnsiTheme="minorEastAsia" w:eastAsiaTheme="minorEastAsia" w:cstheme="minorEastAsia"/>
          <w:b/>
          <w:bCs/>
          <w:color w:val="auto"/>
          <w:sz w:val="24"/>
          <w:szCs w:val="24"/>
          <w:highlight w:val="none"/>
        </w:rPr>
      </w:pPr>
    </w:p>
    <w:p w14:paraId="4AE692B0">
      <w:pPr>
        <w:rPr>
          <w:rFonts w:hint="eastAsia" w:asciiTheme="minorEastAsia" w:hAnsiTheme="minorEastAsia" w:eastAsiaTheme="minorEastAsia" w:cstheme="minorEastAsia"/>
          <w:b/>
          <w:bCs/>
          <w:color w:val="auto"/>
          <w:sz w:val="24"/>
          <w:szCs w:val="24"/>
          <w:highlight w:val="none"/>
        </w:rPr>
      </w:pPr>
    </w:p>
    <w:p w14:paraId="45BEE1CC">
      <w:pPr>
        <w:rPr>
          <w:rFonts w:hint="eastAsia" w:asciiTheme="minorEastAsia" w:hAnsiTheme="minorEastAsia" w:eastAsiaTheme="minorEastAsia" w:cstheme="minorEastAsia"/>
          <w:b/>
          <w:bCs/>
          <w:color w:val="auto"/>
          <w:sz w:val="24"/>
          <w:szCs w:val="24"/>
          <w:highlight w:val="none"/>
        </w:rPr>
      </w:pPr>
    </w:p>
    <w:p w14:paraId="48BA1AB1">
      <w:pPr>
        <w:rPr>
          <w:rFonts w:hint="eastAsia" w:asciiTheme="minorEastAsia" w:hAnsiTheme="minorEastAsia" w:eastAsiaTheme="minorEastAsia" w:cstheme="minorEastAsia"/>
          <w:b/>
          <w:bCs/>
          <w:color w:val="auto"/>
          <w:sz w:val="24"/>
          <w:szCs w:val="24"/>
          <w:highlight w:val="none"/>
        </w:rPr>
      </w:pPr>
    </w:p>
    <w:p w14:paraId="14989D67">
      <w:pPr>
        <w:rPr>
          <w:rFonts w:hint="eastAsia" w:asciiTheme="minorEastAsia" w:hAnsiTheme="minorEastAsia" w:eastAsiaTheme="minorEastAsia" w:cstheme="minorEastAsia"/>
          <w:b/>
          <w:bCs/>
          <w:color w:val="auto"/>
          <w:sz w:val="24"/>
          <w:szCs w:val="24"/>
          <w:highlight w:val="none"/>
        </w:rPr>
      </w:pPr>
    </w:p>
    <w:p w14:paraId="1E54A55E">
      <w:pPr>
        <w:rPr>
          <w:rFonts w:hint="eastAsia" w:asciiTheme="minorEastAsia" w:hAnsiTheme="minorEastAsia" w:eastAsiaTheme="minorEastAsia" w:cstheme="minorEastAsia"/>
          <w:b/>
          <w:bCs/>
          <w:color w:val="auto"/>
          <w:sz w:val="24"/>
          <w:szCs w:val="24"/>
          <w:highlight w:val="none"/>
        </w:rPr>
      </w:pPr>
    </w:p>
    <w:p w14:paraId="69115993">
      <w:pPr>
        <w:rPr>
          <w:rFonts w:hint="eastAsia" w:asciiTheme="minorEastAsia" w:hAnsiTheme="minorEastAsia" w:eastAsiaTheme="minorEastAsia" w:cstheme="minorEastAsia"/>
          <w:b/>
          <w:bCs/>
          <w:color w:val="auto"/>
          <w:sz w:val="24"/>
          <w:szCs w:val="24"/>
          <w:highlight w:val="none"/>
        </w:rPr>
      </w:pPr>
    </w:p>
    <w:p w14:paraId="54827940">
      <w:pPr>
        <w:outlineLvl w:val="0"/>
        <w:rPr>
          <w:rFonts w:hint="eastAsia" w:asciiTheme="minorEastAsia" w:hAnsiTheme="minorEastAsia" w:eastAsiaTheme="minorEastAsia" w:cstheme="minorEastAsia"/>
          <w:b/>
          <w:bCs/>
          <w:color w:val="auto"/>
          <w:sz w:val="24"/>
          <w:szCs w:val="24"/>
          <w:highlight w:val="none"/>
        </w:rPr>
      </w:pPr>
      <w:bookmarkStart w:id="396" w:name="_Toc5636"/>
      <w:bookmarkStart w:id="397" w:name="_Toc28121"/>
      <w:r>
        <w:rPr>
          <w:rFonts w:hint="eastAsia" w:asciiTheme="minorEastAsia" w:hAnsiTheme="minorEastAsia" w:eastAsiaTheme="minorEastAsia" w:cstheme="minorEastAsia"/>
          <w:b/>
          <w:bCs/>
          <w:color w:val="auto"/>
          <w:sz w:val="24"/>
          <w:szCs w:val="24"/>
          <w:highlight w:val="none"/>
        </w:rPr>
        <w:t>三、商务部分</w:t>
      </w:r>
      <w:bookmarkEnd w:id="395"/>
      <w:bookmarkEnd w:id="396"/>
      <w:bookmarkEnd w:id="397"/>
    </w:p>
    <w:p w14:paraId="779C08AA">
      <w:pPr>
        <w:spacing w:line="300" w:lineRule="atLeast"/>
        <w:outlineLvl w:val="1"/>
        <w:rPr>
          <w:rFonts w:hint="eastAsia" w:asciiTheme="minorEastAsia" w:hAnsiTheme="minorEastAsia" w:eastAsiaTheme="minorEastAsia" w:cstheme="minorEastAsia"/>
          <w:color w:val="auto"/>
          <w:sz w:val="24"/>
          <w:szCs w:val="24"/>
          <w:highlight w:val="none"/>
        </w:rPr>
      </w:pPr>
      <w:bookmarkStart w:id="398" w:name="_Toc28111"/>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val="en-US" w:eastAsia="zh-CN"/>
        </w:rPr>
        <w:t>商务</w:t>
      </w:r>
      <w:r>
        <w:rPr>
          <w:rFonts w:hint="eastAsia" w:asciiTheme="minorEastAsia" w:hAnsiTheme="minorEastAsia" w:eastAsiaTheme="minorEastAsia" w:cstheme="minorEastAsia"/>
          <w:color w:val="auto"/>
          <w:sz w:val="24"/>
          <w:szCs w:val="24"/>
          <w:highlight w:val="none"/>
        </w:rPr>
        <w:t>响应偏离表</w:t>
      </w:r>
      <w:bookmarkEnd w:id="398"/>
    </w:p>
    <w:p w14:paraId="262EB1AD">
      <w:pPr>
        <w:pStyle w:val="10"/>
        <w:tabs>
          <w:tab w:val="left" w:pos="6300"/>
        </w:tabs>
        <w:snapToGrid w:val="0"/>
        <w:spacing w:line="300" w:lineRule="atLeast"/>
        <w:outlineLvl w:val="2"/>
        <w:rPr>
          <w:rFonts w:hint="eastAsia" w:asciiTheme="minorEastAsia" w:hAnsiTheme="minorEastAsia" w:eastAsiaTheme="minorEastAsia" w:cstheme="minorEastAsia"/>
          <w:color w:val="auto"/>
          <w:sz w:val="24"/>
          <w:highlight w:val="none"/>
        </w:rPr>
      </w:pPr>
      <w:bookmarkStart w:id="399" w:name="_Toc25739"/>
      <w:r>
        <w:rPr>
          <w:rFonts w:hint="eastAsia" w:asciiTheme="minorEastAsia" w:hAnsiTheme="minorEastAsia" w:eastAsiaTheme="minorEastAsia" w:cstheme="minorEastAsia"/>
          <w:color w:val="auto"/>
          <w:sz w:val="24"/>
          <w:szCs w:val="24"/>
          <w:highlight w:val="none"/>
        </w:rPr>
        <w:t>采购</w:t>
      </w:r>
      <w:r>
        <w:rPr>
          <w:rFonts w:hint="eastAsia" w:asciiTheme="minorEastAsia" w:hAnsiTheme="minorEastAsia" w:eastAsiaTheme="minorEastAsia" w:cstheme="minorEastAsia"/>
          <w:color w:val="auto"/>
          <w:sz w:val="24"/>
          <w:szCs w:val="24"/>
          <w:highlight w:val="none"/>
          <w:lang w:val="en-US" w:eastAsia="zh-CN"/>
        </w:rPr>
        <w:t>项目号</w:t>
      </w:r>
      <w:r>
        <w:rPr>
          <w:rFonts w:hint="eastAsia" w:asciiTheme="minorEastAsia" w:hAnsiTheme="minorEastAsia" w:eastAsiaTheme="minorEastAsia" w:cstheme="minorEastAsia"/>
          <w:color w:val="auto"/>
          <w:sz w:val="24"/>
          <w:szCs w:val="24"/>
          <w:highlight w:val="none"/>
        </w:rPr>
        <w:t>：</w:t>
      </w:r>
      <w:bookmarkEnd w:id="399"/>
    </w:p>
    <w:p w14:paraId="68BEEA97">
      <w:pPr>
        <w:snapToGrid w:val="0"/>
        <w:spacing w:line="300" w:lineRule="atLeas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采购项目名称：</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729F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510" w:type="dxa"/>
            <w:noWrap w:val="0"/>
            <w:vAlign w:val="center"/>
          </w:tcPr>
          <w:p w14:paraId="32F0E0EB">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0" w:name="_Toc333"/>
            <w:bookmarkStart w:id="401" w:name="_Toc30253"/>
            <w:bookmarkStart w:id="402" w:name="_Toc8600"/>
            <w:r>
              <w:rPr>
                <w:rFonts w:hint="eastAsia" w:asciiTheme="minorEastAsia" w:hAnsiTheme="minorEastAsia" w:eastAsiaTheme="minorEastAsia" w:cstheme="minorEastAsia"/>
                <w:color w:val="auto"/>
                <w:sz w:val="21"/>
                <w:szCs w:val="24"/>
                <w:highlight w:val="none"/>
              </w:rPr>
              <w:t>序号</w:t>
            </w:r>
            <w:bookmarkEnd w:id="400"/>
            <w:bookmarkEnd w:id="401"/>
            <w:bookmarkEnd w:id="402"/>
          </w:p>
        </w:tc>
        <w:tc>
          <w:tcPr>
            <w:tcW w:w="3179" w:type="dxa"/>
            <w:noWrap w:val="0"/>
            <w:vAlign w:val="center"/>
          </w:tcPr>
          <w:p w14:paraId="7BC0EAC3">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3" w:name="_Toc15884"/>
            <w:bookmarkStart w:id="404" w:name="_Toc20281"/>
            <w:bookmarkStart w:id="405" w:name="_Toc22186"/>
            <w:r>
              <w:rPr>
                <w:rFonts w:hint="eastAsia" w:asciiTheme="minorEastAsia" w:hAnsiTheme="minorEastAsia" w:eastAsiaTheme="minorEastAsia" w:cstheme="minorEastAsia"/>
                <w:color w:val="auto"/>
                <w:sz w:val="21"/>
                <w:szCs w:val="24"/>
                <w:highlight w:val="none"/>
              </w:rPr>
              <w:t>磋商项目商务需求</w:t>
            </w:r>
            <w:bookmarkEnd w:id="403"/>
            <w:bookmarkEnd w:id="404"/>
            <w:bookmarkEnd w:id="405"/>
          </w:p>
        </w:tc>
        <w:tc>
          <w:tcPr>
            <w:tcW w:w="2434" w:type="dxa"/>
            <w:noWrap w:val="0"/>
            <w:vAlign w:val="center"/>
          </w:tcPr>
          <w:p w14:paraId="5369AD94">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6" w:name="_Toc3059"/>
            <w:bookmarkStart w:id="407" w:name="_Toc22956"/>
            <w:bookmarkStart w:id="408" w:name="_Toc31093"/>
            <w:r>
              <w:rPr>
                <w:rFonts w:hint="eastAsia" w:asciiTheme="minorEastAsia" w:hAnsiTheme="minorEastAsia" w:eastAsiaTheme="minorEastAsia" w:cstheme="minorEastAsia"/>
                <w:color w:val="auto"/>
                <w:sz w:val="21"/>
                <w:szCs w:val="24"/>
                <w:highlight w:val="none"/>
              </w:rPr>
              <w:t>响应情况</w:t>
            </w:r>
            <w:bookmarkEnd w:id="406"/>
            <w:bookmarkEnd w:id="407"/>
            <w:bookmarkEnd w:id="408"/>
          </w:p>
        </w:tc>
        <w:tc>
          <w:tcPr>
            <w:tcW w:w="2355" w:type="dxa"/>
            <w:noWrap w:val="0"/>
            <w:vAlign w:val="center"/>
          </w:tcPr>
          <w:p w14:paraId="1EEC3D00">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9" w:name="_Toc29251"/>
            <w:bookmarkStart w:id="410" w:name="_Toc26907"/>
            <w:bookmarkStart w:id="411" w:name="_Toc4326"/>
            <w:r>
              <w:rPr>
                <w:rFonts w:hint="eastAsia" w:asciiTheme="minorEastAsia" w:hAnsiTheme="minorEastAsia" w:eastAsiaTheme="minorEastAsia" w:cstheme="minorEastAsia"/>
                <w:color w:val="auto"/>
                <w:sz w:val="21"/>
                <w:szCs w:val="24"/>
                <w:highlight w:val="none"/>
              </w:rPr>
              <w:t>偏离说明</w:t>
            </w:r>
            <w:bookmarkEnd w:id="409"/>
            <w:bookmarkEnd w:id="410"/>
            <w:bookmarkEnd w:id="411"/>
          </w:p>
        </w:tc>
      </w:tr>
      <w:tr w14:paraId="2AF5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10" w:type="dxa"/>
            <w:noWrap w:val="0"/>
            <w:vAlign w:val="center"/>
          </w:tcPr>
          <w:p w14:paraId="4B27F079">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2E6DD79F">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488CC02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12EA50DB">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03BD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10" w:type="dxa"/>
            <w:noWrap w:val="0"/>
            <w:vAlign w:val="center"/>
          </w:tcPr>
          <w:p w14:paraId="3280564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7ECDE11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120C366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51C3A1D0">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60CE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510" w:type="dxa"/>
            <w:noWrap w:val="0"/>
            <w:vAlign w:val="center"/>
          </w:tcPr>
          <w:p w14:paraId="4BCCDA26">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44B241E6">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37250B26">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3568105C">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7252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510" w:type="dxa"/>
            <w:noWrap w:val="0"/>
            <w:vAlign w:val="center"/>
          </w:tcPr>
          <w:p w14:paraId="1D56361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4875960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4DFE58DB">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1EFDDD2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2BC9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510" w:type="dxa"/>
            <w:noWrap w:val="0"/>
            <w:vAlign w:val="center"/>
          </w:tcPr>
          <w:p w14:paraId="4DCB06A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78F0D48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38DC4F2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638FE37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7A98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510" w:type="dxa"/>
            <w:noWrap w:val="0"/>
            <w:vAlign w:val="center"/>
          </w:tcPr>
          <w:p w14:paraId="51A9D2C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5943D0E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25A584F8">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56CC497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bl>
    <w:p w14:paraId="33AA85B3">
      <w:pPr>
        <w:spacing w:line="300" w:lineRule="atLeast"/>
        <w:ind w:firstLine="600" w:firstLineChars="250"/>
        <w:rPr>
          <w:rFonts w:hint="eastAsia" w:asciiTheme="minorEastAsia" w:hAnsiTheme="minorEastAsia" w:eastAsiaTheme="minorEastAsia" w:cstheme="minorEastAsia"/>
          <w:color w:val="auto"/>
          <w:sz w:val="24"/>
          <w:szCs w:val="28"/>
          <w:highlight w:val="none"/>
        </w:rPr>
      </w:pPr>
    </w:p>
    <w:p w14:paraId="7F66F827">
      <w:pPr>
        <w:spacing w:line="400" w:lineRule="exac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                          法</w:t>
      </w:r>
      <w:r>
        <w:rPr>
          <w:rFonts w:hint="eastAsia" w:asciiTheme="minorEastAsia" w:hAnsiTheme="minorEastAsia" w:eastAsiaTheme="minorEastAsia" w:cstheme="minorEastAsia"/>
          <w:color w:val="auto"/>
          <w:sz w:val="24"/>
          <w:szCs w:val="24"/>
          <w:highlight w:val="none"/>
        </w:rPr>
        <w:t>定代表</w:t>
      </w:r>
      <w:r>
        <w:rPr>
          <w:rFonts w:hint="eastAsia" w:asciiTheme="minorEastAsia" w:hAnsiTheme="minorEastAsia" w:eastAsiaTheme="minorEastAsia" w:cstheme="minorEastAsia"/>
          <w:color w:val="auto"/>
          <w:sz w:val="24"/>
          <w:szCs w:val="28"/>
          <w:highlight w:val="none"/>
        </w:rPr>
        <w:t>人</w:t>
      </w:r>
      <w:r>
        <w:rPr>
          <w:rFonts w:hint="eastAsia" w:asciiTheme="minorEastAsia" w:hAnsiTheme="minorEastAsia" w:eastAsiaTheme="minorEastAsia" w:cstheme="minorEastAsia"/>
          <w:color w:val="auto"/>
          <w:sz w:val="24"/>
          <w:szCs w:val="24"/>
          <w:highlight w:val="none"/>
        </w:rPr>
        <w:t>（或其</w:t>
      </w:r>
      <w:r>
        <w:rPr>
          <w:rFonts w:hint="eastAsia" w:asciiTheme="minorEastAsia" w:hAnsiTheme="minorEastAsia" w:eastAsiaTheme="minorEastAsia" w:cstheme="minorEastAsia"/>
          <w:color w:val="auto"/>
          <w:sz w:val="24"/>
          <w:szCs w:val="28"/>
          <w:highlight w:val="none"/>
        </w:rPr>
        <w:t>授权代表</w:t>
      </w:r>
      <w:r>
        <w:rPr>
          <w:rFonts w:hint="eastAsia" w:asciiTheme="minorEastAsia" w:hAnsiTheme="minorEastAsia" w:eastAsiaTheme="minorEastAsia" w:cstheme="minorEastAsia"/>
          <w:color w:val="auto"/>
          <w:sz w:val="24"/>
          <w:szCs w:val="24"/>
          <w:highlight w:val="none"/>
        </w:rPr>
        <w:t>）或自然人：</w:t>
      </w:r>
    </w:p>
    <w:p w14:paraId="3B2D68E2">
      <w:pPr>
        <w:spacing w:line="400" w:lineRule="exact"/>
        <w:rPr>
          <w:rFonts w:hint="eastAsia" w:asciiTheme="minorEastAsia" w:hAnsiTheme="minorEastAsia" w:eastAsiaTheme="minorEastAsia" w:cstheme="minorEastAsia"/>
          <w:color w:val="auto"/>
          <w:sz w:val="24"/>
          <w:szCs w:val="28"/>
          <w:highlight w:val="none"/>
        </w:rPr>
      </w:pPr>
    </w:p>
    <w:p w14:paraId="169FF7ED">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（供应商公章）                                 （签署或盖章）</w:t>
      </w:r>
    </w:p>
    <w:p w14:paraId="3F7A1CA6">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年     月     日</w:t>
      </w:r>
    </w:p>
    <w:p w14:paraId="38D1845C">
      <w:pPr>
        <w:pStyle w:val="6"/>
        <w:rPr>
          <w:rFonts w:hint="eastAsia" w:asciiTheme="minorEastAsia" w:hAnsiTheme="minorEastAsia" w:eastAsiaTheme="minorEastAsia" w:cstheme="minorEastAsia"/>
          <w:color w:val="auto"/>
          <w:sz w:val="24"/>
          <w:szCs w:val="28"/>
          <w:highlight w:val="none"/>
        </w:rPr>
      </w:pPr>
    </w:p>
    <w:p w14:paraId="17F85135">
      <w:pPr>
        <w:pStyle w:val="16"/>
        <w:rPr>
          <w:rFonts w:hint="eastAsia" w:asciiTheme="minorEastAsia" w:hAnsiTheme="minorEastAsia" w:eastAsiaTheme="minorEastAsia" w:cstheme="minorEastAsia"/>
          <w:color w:val="auto"/>
          <w:sz w:val="24"/>
          <w:szCs w:val="28"/>
          <w:highlight w:val="none"/>
        </w:rPr>
      </w:pPr>
    </w:p>
    <w:p w14:paraId="19B99759">
      <w:pPr>
        <w:pStyle w:val="16"/>
        <w:rPr>
          <w:rFonts w:hint="eastAsia" w:asciiTheme="minorEastAsia" w:hAnsiTheme="minorEastAsia" w:eastAsiaTheme="minorEastAsia" w:cstheme="minorEastAsia"/>
          <w:color w:val="auto"/>
          <w:sz w:val="24"/>
          <w:szCs w:val="28"/>
          <w:highlight w:val="none"/>
        </w:rPr>
      </w:pPr>
    </w:p>
    <w:p w14:paraId="2DC2412B">
      <w:pPr>
        <w:pStyle w:val="16"/>
        <w:rPr>
          <w:rFonts w:hint="eastAsia" w:asciiTheme="minorEastAsia" w:hAnsiTheme="minorEastAsia" w:eastAsiaTheme="minorEastAsia" w:cstheme="minorEastAsia"/>
          <w:color w:val="auto"/>
          <w:sz w:val="24"/>
          <w:szCs w:val="28"/>
          <w:highlight w:val="none"/>
        </w:rPr>
      </w:pPr>
    </w:p>
    <w:p w14:paraId="237D3C73">
      <w:pPr>
        <w:pStyle w:val="16"/>
        <w:rPr>
          <w:rFonts w:hint="eastAsia" w:asciiTheme="minorEastAsia" w:hAnsiTheme="minorEastAsia" w:eastAsiaTheme="minorEastAsia" w:cstheme="minorEastAsia"/>
          <w:color w:val="auto"/>
          <w:sz w:val="24"/>
          <w:szCs w:val="28"/>
          <w:highlight w:val="none"/>
        </w:rPr>
      </w:pPr>
    </w:p>
    <w:p w14:paraId="309ECBB9">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032F9948">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rPr>
        <w:t>本表即为对本项目“第三篇  项目商务需求”中所列条款进行比较和响应；</w:t>
      </w:r>
    </w:p>
    <w:p w14:paraId="5C0A8620">
      <w:pPr>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2.本表可扩展。</w:t>
      </w:r>
    </w:p>
    <w:p w14:paraId="4A8DB9F9">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（二）其他商务资料</w:t>
      </w:r>
    </w:p>
    <w:p w14:paraId="6DBA9D9B">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7E4AE75C">
      <w:pPr>
        <w:tabs>
          <w:tab w:val="left" w:pos="6300"/>
        </w:tabs>
        <w:snapToGrid w:val="0"/>
        <w:spacing w:line="400" w:lineRule="exact"/>
        <w:rPr>
          <w:rFonts w:hint="eastAsia" w:asciiTheme="minorEastAsia" w:hAnsiTheme="minorEastAsia" w:eastAsiaTheme="minorEastAsia" w:cstheme="minorEastAsia"/>
          <w:color w:val="auto"/>
          <w:sz w:val="24"/>
          <w:szCs w:val="24"/>
          <w:highlight w:val="none"/>
        </w:rPr>
      </w:pPr>
    </w:p>
    <w:p w14:paraId="2D00D403">
      <w:pPr>
        <w:tabs>
          <w:tab w:val="left" w:pos="6300"/>
        </w:tabs>
        <w:snapToGrid w:val="0"/>
        <w:spacing w:line="400" w:lineRule="exact"/>
        <w:ind w:firstLine="240" w:firstLineChars="100"/>
        <w:rPr>
          <w:rFonts w:hint="eastAsia" w:asciiTheme="minorEastAsia" w:hAnsiTheme="minorEastAsia" w:eastAsiaTheme="minorEastAsia" w:cstheme="minorEastAsia"/>
          <w:color w:val="auto"/>
          <w:sz w:val="24"/>
          <w:szCs w:val="24"/>
          <w:highlight w:val="none"/>
        </w:rPr>
      </w:pPr>
    </w:p>
    <w:p w14:paraId="79D54061">
      <w:pPr>
        <w:tabs>
          <w:tab w:val="left" w:pos="6300"/>
        </w:tabs>
        <w:snapToGrid w:val="0"/>
        <w:spacing w:line="400" w:lineRule="exact"/>
        <w:ind w:firstLine="240" w:firstLineChars="100"/>
        <w:rPr>
          <w:rFonts w:hint="eastAsia" w:asciiTheme="minorEastAsia" w:hAnsiTheme="minorEastAsia" w:eastAsiaTheme="minorEastAsia" w:cstheme="minorEastAsia"/>
          <w:color w:val="auto"/>
          <w:sz w:val="24"/>
          <w:szCs w:val="24"/>
          <w:highlight w:val="none"/>
        </w:rPr>
      </w:pPr>
    </w:p>
    <w:p w14:paraId="12C7771A">
      <w:pPr>
        <w:tabs>
          <w:tab w:val="left" w:pos="6300"/>
        </w:tabs>
        <w:snapToGrid w:val="0"/>
        <w:spacing w:line="400" w:lineRule="exact"/>
        <w:ind w:firstLine="240" w:firstLineChars="100"/>
        <w:rPr>
          <w:rFonts w:hint="eastAsia" w:asciiTheme="minorEastAsia" w:hAnsiTheme="minorEastAsia" w:eastAsiaTheme="minorEastAsia" w:cstheme="minorEastAsia"/>
          <w:color w:val="auto"/>
          <w:sz w:val="24"/>
          <w:szCs w:val="24"/>
          <w:highlight w:val="none"/>
        </w:rPr>
      </w:pPr>
    </w:p>
    <w:p w14:paraId="1CACF703">
      <w:pPr>
        <w:tabs>
          <w:tab w:val="left" w:pos="6300"/>
        </w:tabs>
        <w:snapToGrid w:val="0"/>
        <w:spacing w:line="400" w:lineRule="exact"/>
        <w:rPr>
          <w:rFonts w:hint="eastAsia" w:asciiTheme="minorEastAsia" w:hAnsiTheme="minorEastAsia" w:eastAsiaTheme="minorEastAsia" w:cstheme="minorEastAsia"/>
          <w:color w:val="auto"/>
          <w:sz w:val="24"/>
          <w:szCs w:val="24"/>
          <w:highlight w:val="none"/>
        </w:rPr>
      </w:pPr>
    </w:p>
    <w:p w14:paraId="057B50E6">
      <w:pPr>
        <w:tabs>
          <w:tab w:val="left" w:pos="6300"/>
        </w:tabs>
        <w:snapToGrid w:val="0"/>
        <w:spacing w:line="400" w:lineRule="exact"/>
        <w:ind w:firstLine="240" w:firstLineChars="100"/>
        <w:outlineLvl w:val="1"/>
        <w:rPr>
          <w:rFonts w:hint="eastAsia" w:asciiTheme="minorEastAsia" w:hAnsiTheme="minorEastAsia" w:eastAsiaTheme="minorEastAsia" w:cstheme="minorEastAsia"/>
          <w:color w:val="auto"/>
          <w:sz w:val="24"/>
          <w:szCs w:val="24"/>
          <w:highlight w:val="none"/>
        </w:rPr>
        <w:sectPr>
          <w:headerReference r:id="rId7" w:type="default"/>
          <w:pgSz w:w="11907" w:h="16840"/>
          <w:pgMar w:top="1134" w:right="1191" w:bottom="1134" w:left="1304" w:header="851" w:footer="992" w:gutter="0"/>
          <w:pgNumType w:fmt="decimal"/>
          <w:cols w:space="720" w:num="1"/>
          <w:docGrid w:linePitch="380" w:charSpace="-5735"/>
        </w:sectPr>
      </w:pPr>
      <w:bookmarkStart w:id="412" w:name="_Toc152"/>
      <w:r>
        <w:rPr>
          <w:rFonts w:hint="eastAsia" w:asciiTheme="minorEastAsia" w:hAnsiTheme="minorEastAsia" w:eastAsiaTheme="minorEastAsia" w:cstheme="minorEastAsia"/>
          <w:color w:val="auto"/>
          <w:sz w:val="24"/>
          <w:szCs w:val="24"/>
          <w:highlight w:val="none"/>
        </w:rPr>
        <w:t>（二）其它优惠服务承诺（格式自拟）</w:t>
      </w:r>
      <w:bookmarkEnd w:id="412"/>
    </w:p>
    <w:p w14:paraId="2EDEB6ED">
      <w:pPr>
        <w:tabs>
          <w:tab w:val="left" w:pos="6300"/>
        </w:tabs>
        <w:snapToGrid w:val="0"/>
        <w:spacing w:line="300" w:lineRule="atLeast"/>
        <w:outlineLvl w:val="0"/>
        <w:rPr>
          <w:rFonts w:hint="eastAsia" w:asciiTheme="minorEastAsia" w:hAnsiTheme="minorEastAsia" w:eastAsiaTheme="minorEastAsia" w:cstheme="minorEastAsia"/>
          <w:b/>
          <w:bCs/>
          <w:color w:val="auto"/>
          <w:highlight w:val="none"/>
        </w:rPr>
      </w:pPr>
      <w:bookmarkStart w:id="413" w:name="_Toc25404"/>
      <w:bookmarkStart w:id="414" w:name="_Toc11962"/>
      <w:bookmarkStart w:id="415" w:name="_Toc478823791"/>
      <w:r>
        <w:rPr>
          <w:rFonts w:hint="eastAsia" w:asciiTheme="minorEastAsia" w:hAnsiTheme="minorEastAsia" w:eastAsiaTheme="minorEastAsia" w:cstheme="minorEastAsia"/>
          <w:b/>
          <w:bCs/>
          <w:color w:val="auto"/>
          <w:sz w:val="24"/>
          <w:szCs w:val="24"/>
          <w:highlight w:val="none"/>
        </w:rPr>
        <w:t>四、资格条件</w:t>
      </w:r>
      <w:bookmarkEnd w:id="413"/>
      <w:bookmarkEnd w:id="414"/>
      <w:bookmarkEnd w:id="415"/>
    </w:p>
    <w:p w14:paraId="5EC5BEFD">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（一）法人营业执照（副本）或事业单位法人证书（副本）或个体工商户营业执照或有效的自然人身份证明或社会团体法人登记证书复印件</w:t>
      </w:r>
    </w:p>
    <w:p w14:paraId="22DADE5D">
      <w:pPr>
        <w:tabs>
          <w:tab w:val="left" w:pos="6300"/>
        </w:tabs>
        <w:snapToGrid w:val="0"/>
        <w:spacing w:line="300" w:lineRule="atLeast"/>
        <w:ind w:firstLine="570"/>
        <w:rPr>
          <w:rFonts w:hint="eastAsia" w:asciiTheme="minorEastAsia" w:hAnsiTheme="minorEastAsia" w:eastAsiaTheme="minorEastAsia" w:cstheme="minorEastAsia"/>
          <w:color w:val="auto"/>
          <w:highlight w:val="none"/>
        </w:rPr>
      </w:pPr>
    </w:p>
    <w:p w14:paraId="59EDBB5C">
      <w:pPr>
        <w:tabs>
          <w:tab w:val="left" w:pos="6300"/>
        </w:tabs>
        <w:snapToGrid w:val="0"/>
        <w:spacing w:line="300" w:lineRule="atLeast"/>
        <w:ind w:firstLine="570"/>
        <w:rPr>
          <w:rFonts w:hint="eastAsia" w:asciiTheme="minorEastAsia" w:hAnsiTheme="minorEastAsia" w:eastAsiaTheme="minorEastAsia" w:cstheme="minorEastAsia"/>
          <w:color w:val="auto"/>
          <w:highlight w:val="none"/>
        </w:rPr>
      </w:pPr>
    </w:p>
    <w:p w14:paraId="19CB6599">
      <w:pPr>
        <w:tabs>
          <w:tab w:val="left" w:pos="6300"/>
        </w:tabs>
        <w:snapToGrid w:val="0"/>
        <w:spacing w:line="300" w:lineRule="atLeast"/>
        <w:ind w:firstLine="570"/>
        <w:rPr>
          <w:rFonts w:hint="eastAsia" w:asciiTheme="minorEastAsia" w:hAnsiTheme="minorEastAsia" w:eastAsiaTheme="minorEastAsia" w:cstheme="minorEastAsia"/>
          <w:color w:val="auto"/>
          <w:highlight w:val="none"/>
        </w:rPr>
      </w:pPr>
    </w:p>
    <w:p w14:paraId="1AFF1E6C">
      <w:pPr>
        <w:tabs>
          <w:tab w:val="left" w:pos="6300"/>
        </w:tabs>
        <w:snapToGrid w:val="0"/>
        <w:spacing w:line="300" w:lineRule="atLeast"/>
        <w:ind w:firstLine="57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br w:type="page"/>
      </w:r>
      <w:bookmarkStart w:id="416" w:name="_Toc12616"/>
      <w:r>
        <w:rPr>
          <w:rFonts w:hint="eastAsia" w:asciiTheme="minorEastAsia" w:hAnsiTheme="minorEastAsia" w:eastAsiaTheme="minorEastAsia" w:cstheme="minorEastAsia"/>
          <w:color w:val="auto"/>
          <w:sz w:val="24"/>
          <w:szCs w:val="24"/>
          <w:highlight w:val="none"/>
        </w:rPr>
        <w:t>（二）法定代表人身份证明书（格式）</w:t>
      </w:r>
      <w:bookmarkEnd w:id="416"/>
    </w:p>
    <w:p w14:paraId="593A84D6">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0BBC7F68">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磋商项目名称：</w:t>
      </w:r>
      <w:r>
        <w:rPr>
          <w:rFonts w:hint="eastAsia" w:asciiTheme="minorEastAsia" w:hAnsiTheme="minorEastAsia" w:eastAsiaTheme="minorEastAsia" w:cstheme="minorEastAsia"/>
          <w:color w:val="auto"/>
          <w:sz w:val="24"/>
          <w:szCs w:val="24"/>
          <w:highlight w:val="none"/>
          <w:u w:val="single"/>
        </w:rPr>
        <w:t xml:space="preserve">                                                </w:t>
      </w:r>
    </w:p>
    <w:p w14:paraId="369CFE3D">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535BE897">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（采购代理机构名称）：</w:t>
      </w:r>
    </w:p>
    <w:p w14:paraId="2025BFC6">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（法定代表人姓名）在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（供应商名称）任    （职务名称）职务，是（供应商名称）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的法定代表人。</w:t>
      </w:r>
    </w:p>
    <w:p w14:paraId="0878D657">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4A4766E2">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特此证明。</w:t>
      </w:r>
    </w:p>
    <w:p w14:paraId="40FFDF5C">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7596DF8D">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3D08D726">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50D73D82">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（供应商公章）</w:t>
      </w:r>
    </w:p>
    <w:p w14:paraId="7A6F62F7">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729E1A09">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年   月   日</w:t>
      </w:r>
    </w:p>
    <w:p w14:paraId="77575D2F">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法定代表人电话：XXXXXXX      电子邮箱：XXXXXX@XXXXX（若授权他人办理并签署电子响应文件的可不填写）</w:t>
      </w:r>
    </w:p>
    <w:p w14:paraId="74CE7B76">
      <w:pPr>
        <w:tabs>
          <w:tab w:val="left" w:pos="6300"/>
        </w:tabs>
        <w:snapToGrid w:val="0"/>
        <w:spacing w:line="300" w:lineRule="atLeast"/>
        <w:ind w:firstLine="570"/>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（附：法定代表人身份证正反面复印件）</w:t>
      </w:r>
    </w:p>
    <w:p w14:paraId="17B013D4">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2B2E6E33">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BA86FFF">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4E65ACE2">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06F1CE9">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B8D6EBC">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712EAA93">
      <w:pPr>
        <w:tabs>
          <w:tab w:val="left" w:pos="6300"/>
        </w:tabs>
        <w:snapToGrid w:val="0"/>
        <w:spacing w:line="300" w:lineRule="atLeast"/>
        <w:ind w:right="480" w:firstLine="570"/>
        <w:jc w:val="left"/>
        <w:outlineLvl w:val="1"/>
        <w:rPr>
          <w:rFonts w:hint="eastAsia" w:asciiTheme="minorEastAsia" w:hAnsiTheme="minorEastAsia" w:eastAsiaTheme="minorEastAsia" w:cstheme="minorEastAsia"/>
          <w:color w:val="auto"/>
          <w:sz w:val="24"/>
          <w:szCs w:val="24"/>
          <w:highlight w:val="none"/>
        </w:rPr>
      </w:pPr>
      <w:bookmarkStart w:id="417" w:name="_Toc9064"/>
      <w:r>
        <w:rPr>
          <w:rFonts w:hint="eastAsia" w:asciiTheme="minorEastAsia" w:hAnsiTheme="minorEastAsia" w:eastAsiaTheme="minorEastAsia" w:cstheme="minorEastAsia"/>
          <w:color w:val="auto"/>
          <w:highlight w:val="none"/>
        </w:rPr>
        <w:br w:type="column"/>
      </w:r>
      <w:r>
        <w:rPr>
          <w:rFonts w:hint="eastAsia" w:asciiTheme="minorEastAsia" w:hAnsiTheme="minorEastAsia" w:eastAsiaTheme="minorEastAsia" w:cstheme="minorEastAsia"/>
          <w:color w:val="auto"/>
          <w:sz w:val="24"/>
          <w:szCs w:val="24"/>
          <w:highlight w:val="none"/>
        </w:rPr>
        <w:t>（三）法定代表人授权委托书（格式）</w:t>
      </w:r>
      <w:bookmarkEnd w:id="417"/>
    </w:p>
    <w:p w14:paraId="4813772E">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E85657B">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磋商项目名称：</w:t>
      </w:r>
      <w:r>
        <w:rPr>
          <w:rFonts w:hint="eastAsia" w:asciiTheme="minorEastAsia" w:hAnsiTheme="minorEastAsia" w:eastAsiaTheme="minorEastAsia" w:cstheme="minorEastAsia"/>
          <w:color w:val="auto"/>
          <w:sz w:val="24"/>
          <w:szCs w:val="24"/>
          <w:highlight w:val="none"/>
          <w:u w:val="single"/>
        </w:rPr>
        <w:t xml:space="preserve">                                                </w:t>
      </w:r>
    </w:p>
    <w:p w14:paraId="08D8D875">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2CC1C144">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（采购代理机构名称）：</w:t>
      </w:r>
    </w:p>
    <w:p w14:paraId="1B435A67">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（供应商法定代表人名称）是</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（供应商名称）的法定代表人，特授权</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（被授权人姓名及身份证代码）代表我单位全权办理上述项目的磋商、签约等具体工作，并签署全部有关文件、协议及合同。</w:t>
      </w:r>
    </w:p>
    <w:p w14:paraId="57515360">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我单位对被授权人的签署负全部责任。</w:t>
      </w:r>
    </w:p>
    <w:p w14:paraId="0BE08F65">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在撤销授权的书面通知以前，本授权书一直有效。被授权人在授权书有效期内签署的所有文件不因授权的撤销而失效。</w:t>
      </w:r>
    </w:p>
    <w:p w14:paraId="27AC9196">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41250B77">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32779A18">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被授权人：                                 供应商法定代表人：</w:t>
      </w:r>
    </w:p>
    <w:p w14:paraId="17C0E0AA">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（签署或盖章）                                （签署或盖章）</w:t>
      </w:r>
    </w:p>
    <w:p w14:paraId="09ED0DA4">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6D49DD52">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3B7155BA">
      <w:pPr>
        <w:tabs>
          <w:tab w:val="left" w:pos="6300"/>
        </w:tabs>
        <w:snapToGrid w:val="0"/>
        <w:spacing w:line="300" w:lineRule="atLeast"/>
        <w:ind w:right="480" w:firstLine="570"/>
        <w:jc w:val="left"/>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（附：被授权人身份证正反面复印件）</w:t>
      </w:r>
    </w:p>
    <w:p w14:paraId="59DB18C9">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0C57CBB">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p>
    <w:p w14:paraId="68FF56AA">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p>
    <w:p w14:paraId="26BE962D">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（供应商公章）</w:t>
      </w:r>
    </w:p>
    <w:p w14:paraId="35A8B8FF">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年   月   日</w:t>
      </w:r>
    </w:p>
    <w:p w14:paraId="69A17A52">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被授权人电话：XXXXXXX     电子邮箱：XXXXXX@XXXXX（若法定代表人办理并签署电子响应文件的可不填写）</w:t>
      </w:r>
    </w:p>
    <w:p w14:paraId="57942A7F">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p>
    <w:p w14:paraId="0E457FF6">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p>
    <w:p w14:paraId="0E2BEF75">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70D8F9B1">
      <w:pPr>
        <w:tabs>
          <w:tab w:val="left" w:pos="6300"/>
        </w:tabs>
        <w:snapToGrid w:val="0"/>
        <w:spacing w:line="300" w:lineRule="atLeast"/>
        <w:ind w:right="480" w:firstLine="570"/>
        <w:jc w:val="left"/>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1、若为法定代表人办理并签署电子响应文件的，不提供此文件</w:t>
      </w:r>
    </w:p>
    <w:p w14:paraId="74A08027">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2、若为联合体参与的，法定代表人授权委托书由联合体主办方（主体）出具。</w:t>
      </w:r>
    </w:p>
    <w:p w14:paraId="67BA2B1E">
      <w:pPr>
        <w:tabs>
          <w:tab w:val="left" w:pos="6300"/>
        </w:tabs>
        <w:snapToGrid w:val="0"/>
        <w:spacing w:line="300" w:lineRule="atLeast"/>
        <w:ind w:right="480" w:firstLine="570"/>
        <w:outlineLvl w:val="1"/>
        <w:rPr>
          <w:rFonts w:hint="eastAsia" w:asciiTheme="minorEastAsia" w:hAnsiTheme="minorEastAsia" w:eastAsiaTheme="minorEastAsia" w:cstheme="minorEastAsia"/>
          <w:color w:val="auto"/>
          <w:sz w:val="24"/>
          <w:highlight w:val="none"/>
        </w:rPr>
      </w:pPr>
      <w:bookmarkStart w:id="418" w:name="_Toc15793"/>
      <w:r>
        <w:rPr>
          <w:rFonts w:hint="eastAsia" w:asciiTheme="minorEastAsia" w:hAnsiTheme="minorEastAsia" w:eastAsiaTheme="minorEastAsia" w:cstheme="minorEastAsia"/>
          <w:color w:val="auto"/>
          <w:sz w:val="24"/>
          <w:szCs w:val="24"/>
          <w:highlight w:val="none"/>
        </w:rPr>
        <w:br w:type="column"/>
      </w: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highlight w:val="none"/>
        </w:rPr>
        <w:t>基本资格条件承诺函（格式）</w:t>
      </w:r>
      <w:bookmarkEnd w:id="418"/>
    </w:p>
    <w:p w14:paraId="1ACEA25F">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p>
    <w:p w14:paraId="34FE7D49">
      <w:pPr>
        <w:tabs>
          <w:tab w:val="left" w:pos="6300"/>
        </w:tabs>
        <w:snapToGrid w:val="0"/>
        <w:spacing w:line="360" w:lineRule="auto"/>
        <w:ind w:firstLine="57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基本资格条件承诺函</w:t>
      </w:r>
    </w:p>
    <w:p w14:paraId="71DEEF4B">
      <w:pPr>
        <w:spacing w:line="360" w:lineRule="auto"/>
        <w:ind w:firstLine="6160" w:firstLineChars="2200"/>
        <w:rPr>
          <w:rFonts w:hint="eastAsia" w:asciiTheme="minorEastAsia" w:hAnsiTheme="minorEastAsia" w:eastAsiaTheme="minorEastAsia" w:cstheme="minorEastAsia"/>
          <w:color w:val="auto"/>
          <w:szCs w:val="28"/>
          <w:highlight w:val="none"/>
        </w:rPr>
      </w:pPr>
    </w:p>
    <w:p w14:paraId="6359E997">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（采购代理机构名称）：</w:t>
      </w:r>
    </w:p>
    <w:p w14:paraId="40DB73C6">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（供应商名称）郑重承诺： </w:t>
      </w:r>
    </w:p>
    <w:p w14:paraId="19B238EF">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77B39597">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0011C794">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0BAC7B7D">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我方对以上承诺负全部法律责任。</w:t>
      </w:r>
    </w:p>
    <w:p w14:paraId="43484065">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0BA87786">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p>
    <w:p w14:paraId="3A3CBBA1">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11259FB">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66902324">
      <w:pPr>
        <w:tabs>
          <w:tab w:val="left" w:pos="6300"/>
        </w:tabs>
        <w:snapToGrid w:val="0"/>
        <w:spacing w:line="300" w:lineRule="atLeast"/>
        <w:ind w:firstLine="5762" w:firstLineChars="2401"/>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（供应商公章）</w:t>
      </w:r>
    </w:p>
    <w:p w14:paraId="025938B0">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7B6EEA1A">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0EDBF784">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00C0DF49">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0A67D428">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注：两个以上的自然人、法人或者其他组织组成一个联合体，以一个供应商的身份共同参加政府采购活动的，所有联合体成员均须提供《基本资格条件承诺函》。</w:t>
      </w:r>
    </w:p>
    <w:p w14:paraId="29CF66D8">
      <w:pPr>
        <w:tabs>
          <w:tab w:val="left" w:pos="6300"/>
        </w:tabs>
        <w:snapToGrid w:val="0"/>
        <w:spacing w:line="300" w:lineRule="atLeast"/>
        <w:rPr>
          <w:rFonts w:hint="eastAsia" w:asciiTheme="minorEastAsia" w:hAnsiTheme="minorEastAsia" w:eastAsiaTheme="minorEastAsia" w:cstheme="minorEastAsia"/>
          <w:color w:val="auto"/>
          <w:sz w:val="24"/>
          <w:highlight w:val="none"/>
        </w:rPr>
      </w:pPr>
    </w:p>
    <w:p w14:paraId="3BAB8399">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51AAC226">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09C9777B">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3E6B45CE">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64F5E88A">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29C521E9">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5C0FAC96">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694A43AD">
      <w:pPr>
        <w:tabs>
          <w:tab w:val="left" w:pos="6300"/>
        </w:tabs>
        <w:snapToGrid w:val="0"/>
        <w:spacing w:line="300" w:lineRule="atLeast"/>
        <w:rPr>
          <w:rFonts w:hint="eastAsia" w:asciiTheme="minorEastAsia" w:hAnsiTheme="minorEastAsia" w:eastAsiaTheme="minorEastAsia" w:cstheme="minorEastAsia"/>
          <w:color w:val="auto"/>
          <w:sz w:val="24"/>
          <w:highlight w:val="none"/>
        </w:rPr>
      </w:pPr>
    </w:p>
    <w:p w14:paraId="4EB4FEB3">
      <w:pPr>
        <w:tabs>
          <w:tab w:val="left" w:pos="6300"/>
        </w:tabs>
        <w:snapToGrid w:val="0"/>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0E11DC1E">
      <w:pPr>
        <w:numPr>
          <w:ilvl w:val="0"/>
          <w:numId w:val="5"/>
        </w:numPr>
        <w:tabs>
          <w:tab w:val="left" w:pos="6300"/>
        </w:tabs>
        <w:snapToGrid w:val="0"/>
        <w:spacing w:line="300" w:lineRule="atLeas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落实政府采购政策需满足的资格要求文件（如有）</w:t>
      </w:r>
    </w:p>
    <w:p w14:paraId="0580A5F5">
      <w:pPr>
        <w:tabs>
          <w:tab w:val="left" w:pos="6300"/>
        </w:tabs>
        <w:snapToGrid w:val="0"/>
        <w:spacing w:line="300" w:lineRule="atLeast"/>
        <w:rPr>
          <w:rFonts w:hint="eastAsia" w:asciiTheme="minorEastAsia" w:hAnsiTheme="minorEastAsia" w:eastAsiaTheme="minorEastAsia" w:cstheme="minorEastAsia"/>
          <w:color w:val="auto"/>
          <w:sz w:val="24"/>
          <w:szCs w:val="24"/>
          <w:highlight w:val="none"/>
        </w:rPr>
      </w:pPr>
    </w:p>
    <w:p w14:paraId="7DB29A46">
      <w:pPr>
        <w:tabs>
          <w:tab w:val="left" w:pos="6300"/>
        </w:tabs>
        <w:snapToGrid w:val="0"/>
        <w:spacing w:line="300" w:lineRule="atLeast"/>
        <w:rPr>
          <w:rFonts w:hint="eastAsia" w:asciiTheme="minorEastAsia" w:hAnsiTheme="minorEastAsia" w:eastAsiaTheme="minorEastAsia" w:cstheme="minorEastAsia"/>
          <w:color w:val="auto"/>
          <w:sz w:val="24"/>
          <w:szCs w:val="24"/>
          <w:highlight w:val="none"/>
        </w:rPr>
      </w:pPr>
    </w:p>
    <w:p w14:paraId="611D008F">
      <w:pPr>
        <w:pStyle w:val="18"/>
        <w:rPr>
          <w:rFonts w:hint="eastAsia" w:asciiTheme="minorEastAsia" w:hAnsiTheme="minorEastAsia" w:eastAsiaTheme="minorEastAsia" w:cstheme="minorEastAsia"/>
          <w:color w:val="auto"/>
          <w:sz w:val="24"/>
          <w:szCs w:val="24"/>
          <w:highlight w:val="none"/>
        </w:rPr>
      </w:pPr>
    </w:p>
    <w:p w14:paraId="19D06B73">
      <w:pPr>
        <w:rPr>
          <w:rFonts w:hint="eastAsia" w:asciiTheme="minorEastAsia" w:hAnsiTheme="minorEastAsia" w:eastAsiaTheme="minorEastAsia" w:cstheme="minorEastAsia"/>
          <w:color w:val="auto"/>
          <w:sz w:val="24"/>
          <w:szCs w:val="24"/>
          <w:highlight w:val="none"/>
        </w:rPr>
      </w:pPr>
    </w:p>
    <w:p w14:paraId="4839F2CB">
      <w:pPr>
        <w:pStyle w:val="18"/>
        <w:rPr>
          <w:rFonts w:hint="eastAsia" w:asciiTheme="minorEastAsia" w:hAnsiTheme="minorEastAsia" w:eastAsiaTheme="minorEastAsia" w:cstheme="minorEastAsia"/>
          <w:color w:val="auto"/>
          <w:sz w:val="24"/>
          <w:szCs w:val="24"/>
          <w:highlight w:val="none"/>
        </w:rPr>
      </w:pPr>
    </w:p>
    <w:p w14:paraId="20D37816">
      <w:pPr>
        <w:rPr>
          <w:rFonts w:hint="eastAsia" w:asciiTheme="minorEastAsia" w:hAnsiTheme="minorEastAsia" w:eastAsiaTheme="minorEastAsia" w:cstheme="minorEastAsia"/>
          <w:color w:val="auto"/>
          <w:sz w:val="24"/>
          <w:szCs w:val="24"/>
          <w:highlight w:val="none"/>
        </w:rPr>
      </w:pPr>
    </w:p>
    <w:p w14:paraId="367E4D38">
      <w:pPr>
        <w:pStyle w:val="18"/>
        <w:rPr>
          <w:rFonts w:hint="eastAsia" w:asciiTheme="minorEastAsia" w:hAnsiTheme="minorEastAsia" w:eastAsiaTheme="minorEastAsia" w:cstheme="minorEastAsia"/>
          <w:color w:val="auto"/>
          <w:sz w:val="24"/>
          <w:szCs w:val="24"/>
          <w:highlight w:val="none"/>
        </w:rPr>
      </w:pPr>
    </w:p>
    <w:p w14:paraId="265123A1">
      <w:pPr>
        <w:rPr>
          <w:rFonts w:hint="eastAsia" w:asciiTheme="minorEastAsia" w:hAnsiTheme="minorEastAsia" w:eastAsiaTheme="minorEastAsia" w:cstheme="minorEastAsia"/>
          <w:color w:val="auto"/>
          <w:sz w:val="24"/>
          <w:szCs w:val="24"/>
          <w:highlight w:val="none"/>
        </w:rPr>
      </w:pPr>
    </w:p>
    <w:p w14:paraId="1974B824">
      <w:pPr>
        <w:pStyle w:val="18"/>
        <w:rPr>
          <w:rFonts w:hint="eastAsia" w:asciiTheme="minorEastAsia" w:hAnsiTheme="minorEastAsia" w:eastAsiaTheme="minorEastAsia" w:cstheme="minorEastAsia"/>
          <w:color w:val="auto"/>
          <w:sz w:val="24"/>
          <w:szCs w:val="24"/>
          <w:highlight w:val="none"/>
        </w:rPr>
      </w:pPr>
    </w:p>
    <w:p w14:paraId="3CD22C8E">
      <w:pPr>
        <w:rPr>
          <w:rFonts w:hint="eastAsia" w:asciiTheme="minorEastAsia" w:hAnsiTheme="minorEastAsia" w:eastAsiaTheme="minorEastAsia" w:cstheme="minorEastAsia"/>
          <w:color w:val="auto"/>
          <w:sz w:val="24"/>
          <w:szCs w:val="24"/>
          <w:highlight w:val="none"/>
        </w:rPr>
      </w:pPr>
    </w:p>
    <w:p w14:paraId="6CEABECD">
      <w:pPr>
        <w:pStyle w:val="18"/>
        <w:rPr>
          <w:rFonts w:hint="eastAsia" w:asciiTheme="minorEastAsia" w:hAnsiTheme="minorEastAsia" w:eastAsiaTheme="minorEastAsia" w:cstheme="minorEastAsia"/>
          <w:color w:val="auto"/>
          <w:sz w:val="24"/>
          <w:szCs w:val="24"/>
          <w:highlight w:val="none"/>
        </w:rPr>
      </w:pPr>
    </w:p>
    <w:p w14:paraId="4E8029F6">
      <w:pPr>
        <w:rPr>
          <w:rFonts w:hint="eastAsia" w:asciiTheme="minorEastAsia" w:hAnsiTheme="minorEastAsia" w:eastAsiaTheme="minorEastAsia" w:cstheme="minorEastAsia"/>
          <w:color w:val="auto"/>
          <w:sz w:val="24"/>
          <w:szCs w:val="24"/>
          <w:highlight w:val="none"/>
        </w:rPr>
      </w:pPr>
    </w:p>
    <w:p w14:paraId="0D5DAF8E">
      <w:pPr>
        <w:pStyle w:val="18"/>
        <w:rPr>
          <w:rFonts w:hint="eastAsia" w:asciiTheme="minorEastAsia" w:hAnsiTheme="minorEastAsia" w:eastAsiaTheme="minorEastAsia" w:cstheme="minorEastAsia"/>
          <w:color w:val="auto"/>
          <w:sz w:val="24"/>
          <w:szCs w:val="24"/>
          <w:highlight w:val="none"/>
        </w:rPr>
      </w:pPr>
    </w:p>
    <w:p w14:paraId="16F5137C">
      <w:pPr>
        <w:rPr>
          <w:rFonts w:hint="eastAsia" w:asciiTheme="minorEastAsia" w:hAnsiTheme="minorEastAsia" w:eastAsiaTheme="minorEastAsia" w:cstheme="minorEastAsia"/>
          <w:color w:val="auto"/>
          <w:sz w:val="24"/>
          <w:szCs w:val="24"/>
          <w:highlight w:val="none"/>
        </w:rPr>
      </w:pPr>
    </w:p>
    <w:p w14:paraId="3AC7560F">
      <w:pPr>
        <w:pStyle w:val="18"/>
        <w:rPr>
          <w:rFonts w:hint="eastAsia" w:asciiTheme="minorEastAsia" w:hAnsiTheme="minorEastAsia" w:eastAsiaTheme="minorEastAsia" w:cstheme="minorEastAsia"/>
          <w:color w:val="auto"/>
          <w:sz w:val="24"/>
          <w:szCs w:val="24"/>
          <w:highlight w:val="none"/>
        </w:rPr>
      </w:pPr>
    </w:p>
    <w:p w14:paraId="4A29A54F">
      <w:pPr>
        <w:rPr>
          <w:rFonts w:hint="eastAsia" w:asciiTheme="minorEastAsia" w:hAnsiTheme="minorEastAsia" w:eastAsiaTheme="minorEastAsia" w:cstheme="minorEastAsia"/>
          <w:color w:val="auto"/>
          <w:sz w:val="24"/>
          <w:szCs w:val="24"/>
          <w:highlight w:val="none"/>
        </w:rPr>
      </w:pPr>
    </w:p>
    <w:p w14:paraId="0C28AA3C">
      <w:pPr>
        <w:pStyle w:val="18"/>
        <w:rPr>
          <w:rFonts w:hint="eastAsia" w:asciiTheme="minorEastAsia" w:hAnsiTheme="minorEastAsia" w:eastAsiaTheme="minorEastAsia" w:cstheme="minorEastAsia"/>
          <w:color w:val="auto"/>
          <w:sz w:val="24"/>
          <w:szCs w:val="24"/>
          <w:highlight w:val="none"/>
        </w:rPr>
      </w:pPr>
    </w:p>
    <w:p w14:paraId="529131E3">
      <w:pPr>
        <w:rPr>
          <w:rFonts w:hint="eastAsia" w:asciiTheme="minorEastAsia" w:hAnsiTheme="minorEastAsia" w:eastAsiaTheme="minorEastAsia" w:cstheme="minorEastAsia"/>
          <w:color w:val="auto"/>
          <w:sz w:val="24"/>
          <w:szCs w:val="24"/>
          <w:highlight w:val="none"/>
        </w:rPr>
      </w:pPr>
    </w:p>
    <w:p w14:paraId="243D7E9E">
      <w:pPr>
        <w:pStyle w:val="18"/>
        <w:rPr>
          <w:rFonts w:hint="eastAsia" w:asciiTheme="minorEastAsia" w:hAnsiTheme="minorEastAsia" w:eastAsiaTheme="minorEastAsia" w:cstheme="minorEastAsia"/>
          <w:color w:val="auto"/>
          <w:sz w:val="24"/>
          <w:szCs w:val="24"/>
          <w:highlight w:val="none"/>
        </w:rPr>
      </w:pPr>
    </w:p>
    <w:p w14:paraId="5D909D03">
      <w:pPr>
        <w:rPr>
          <w:rFonts w:hint="eastAsia" w:asciiTheme="minorEastAsia" w:hAnsiTheme="minorEastAsia" w:eastAsiaTheme="minorEastAsia" w:cstheme="minorEastAsia"/>
          <w:color w:val="auto"/>
          <w:sz w:val="24"/>
          <w:szCs w:val="24"/>
          <w:highlight w:val="none"/>
        </w:rPr>
      </w:pPr>
    </w:p>
    <w:p w14:paraId="01C50538">
      <w:pPr>
        <w:pStyle w:val="18"/>
        <w:rPr>
          <w:rFonts w:hint="eastAsia" w:asciiTheme="minorEastAsia" w:hAnsiTheme="minorEastAsia" w:eastAsiaTheme="minorEastAsia" w:cstheme="minorEastAsia"/>
          <w:color w:val="auto"/>
          <w:sz w:val="24"/>
          <w:szCs w:val="24"/>
          <w:highlight w:val="none"/>
        </w:rPr>
      </w:pPr>
    </w:p>
    <w:p w14:paraId="733AA220">
      <w:pPr>
        <w:rPr>
          <w:rFonts w:hint="eastAsia" w:asciiTheme="minorEastAsia" w:hAnsiTheme="minorEastAsia" w:eastAsiaTheme="minorEastAsia" w:cstheme="minorEastAsia"/>
          <w:color w:val="auto"/>
          <w:sz w:val="24"/>
          <w:szCs w:val="24"/>
          <w:highlight w:val="none"/>
        </w:rPr>
      </w:pPr>
    </w:p>
    <w:p w14:paraId="63920982">
      <w:pPr>
        <w:pStyle w:val="18"/>
        <w:rPr>
          <w:rFonts w:hint="eastAsia" w:asciiTheme="minorEastAsia" w:hAnsiTheme="minorEastAsia" w:eastAsiaTheme="minorEastAsia" w:cstheme="minorEastAsia"/>
          <w:color w:val="auto"/>
          <w:sz w:val="24"/>
          <w:szCs w:val="24"/>
          <w:highlight w:val="none"/>
        </w:rPr>
      </w:pPr>
    </w:p>
    <w:p w14:paraId="77A7E018">
      <w:pPr>
        <w:rPr>
          <w:rFonts w:hint="eastAsia" w:asciiTheme="minorEastAsia" w:hAnsiTheme="minorEastAsia" w:eastAsiaTheme="minorEastAsia" w:cstheme="minorEastAsia"/>
          <w:color w:val="auto"/>
          <w:sz w:val="24"/>
          <w:szCs w:val="24"/>
          <w:highlight w:val="none"/>
        </w:rPr>
      </w:pPr>
    </w:p>
    <w:p w14:paraId="1F88A74D">
      <w:pPr>
        <w:pStyle w:val="18"/>
        <w:rPr>
          <w:rFonts w:hint="eastAsia" w:asciiTheme="minorEastAsia" w:hAnsiTheme="minorEastAsia" w:eastAsiaTheme="minorEastAsia" w:cstheme="minorEastAsia"/>
          <w:color w:val="auto"/>
          <w:sz w:val="24"/>
          <w:szCs w:val="24"/>
          <w:highlight w:val="none"/>
        </w:rPr>
      </w:pPr>
    </w:p>
    <w:p w14:paraId="65A81057">
      <w:pPr>
        <w:rPr>
          <w:rFonts w:hint="eastAsia" w:asciiTheme="minorEastAsia" w:hAnsiTheme="minorEastAsia" w:eastAsiaTheme="minorEastAsia" w:cstheme="minorEastAsia"/>
          <w:color w:val="auto"/>
          <w:sz w:val="24"/>
          <w:szCs w:val="24"/>
          <w:highlight w:val="none"/>
        </w:rPr>
      </w:pPr>
    </w:p>
    <w:p w14:paraId="15A311C5">
      <w:pPr>
        <w:pStyle w:val="18"/>
        <w:rPr>
          <w:rFonts w:hint="eastAsia" w:asciiTheme="minorEastAsia" w:hAnsiTheme="minorEastAsia" w:eastAsiaTheme="minorEastAsia" w:cstheme="minorEastAsia"/>
          <w:color w:val="auto"/>
          <w:sz w:val="24"/>
          <w:szCs w:val="24"/>
          <w:highlight w:val="none"/>
        </w:rPr>
      </w:pPr>
    </w:p>
    <w:p w14:paraId="73BF5277">
      <w:pPr>
        <w:rPr>
          <w:rFonts w:hint="eastAsia" w:asciiTheme="minorEastAsia" w:hAnsiTheme="minorEastAsia" w:eastAsiaTheme="minorEastAsia" w:cstheme="minorEastAsia"/>
          <w:color w:val="auto"/>
          <w:sz w:val="24"/>
          <w:szCs w:val="24"/>
          <w:highlight w:val="none"/>
        </w:rPr>
      </w:pPr>
    </w:p>
    <w:p w14:paraId="2B3C7620">
      <w:pPr>
        <w:pStyle w:val="18"/>
        <w:rPr>
          <w:rFonts w:hint="eastAsia" w:asciiTheme="minorEastAsia" w:hAnsiTheme="minorEastAsia" w:eastAsiaTheme="minorEastAsia" w:cstheme="minorEastAsia"/>
          <w:color w:val="auto"/>
          <w:sz w:val="24"/>
          <w:szCs w:val="24"/>
          <w:highlight w:val="none"/>
        </w:rPr>
      </w:pPr>
    </w:p>
    <w:p w14:paraId="45E24FE3">
      <w:pPr>
        <w:rPr>
          <w:rFonts w:hint="eastAsia" w:asciiTheme="minorEastAsia" w:hAnsiTheme="minorEastAsia" w:eastAsiaTheme="minorEastAsia" w:cstheme="minorEastAsia"/>
          <w:color w:val="auto"/>
          <w:sz w:val="24"/>
          <w:szCs w:val="24"/>
          <w:highlight w:val="none"/>
        </w:rPr>
      </w:pPr>
    </w:p>
    <w:p w14:paraId="6AB1F3B0">
      <w:pPr>
        <w:pStyle w:val="18"/>
        <w:rPr>
          <w:rFonts w:hint="eastAsia" w:asciiTheme="minorEastAsia" w:hAnsiTheme="minorEastAsia" w:eastAsiaTheme="minorEastAsia" w:cstheme="minorEastAsia"/>
          <w:color w:val="auto"/>
          <w:sz w:val="24"/>
          <w:szCs w:val="24"/>
          <w:highlight w:val="none"/>
        </w:rPr>
      </w:pPr>
    </w:p>
    <w:p w14:paraId="44AD8CBF">
      <w:pPr>
        <w:rPr>
          <w:rFonts w:hint="eastAsia" w:asciiTheme="minorEastAsia" w:hAnsiTheme="minorEastAsia" w:eastAsiaTheme="minorEastAsia" w:cstheme="minorEastAsia"/>
          <w:color w:val="auto"/>
          <w:sz w:val="24"/>
          <w:szCs w:val="24"/>
          <w:highlight w:val="none"/>
        </w:rPr>
      </w:pPr>
    </w:p>
    <w:p w14:paraId="63F4A0EE">
      <w:pPr>
        <w:pStyle w:val="18"/>
        <w:rPr>
          <w:rFonts w:hint="eastAsia" w:asciiTheme="minorEastAsia" w:hAnsiTheme="minorEastAsia" w:eastAsiaTheme="minorEastAsia" w:cstheme="minorEastAsia"/>
          <w:color w:val="auto"/>
          <w:sz w:val="24"/>
          <w:szCs w:val="24"/>
          <w:highlight w:val="none"/>
        </w:rPr>
      </w:pPr>
    </w:p>
    <w:p w14:paraId="7851B386">
      <w:pPr>
        <w:rPr>
          <w:rFonts w:hint="eastAsia" w:asciiTheme="minorEastAsia" w:hAnsiTheme="minorEastAsia" w:eastAsiaTheme="minorEastAsia" w:cstheme="minorEastAsia"/>
          <w:color w:val="auto"/>
          <w:sz w:val="24"/>
          <w:szCs w:val="24"/>
          <w:highlight w:val="none"/>
        </w:rPr>
      </w:pPr>
    </w:p>
    <w:p w14:paraId="1814B425">
      <w:pPr>
        <w:pStyle w:val="18"/>
        <w:rPr>
          <w:rFonts w:hint="eastAsia" w:asciiTheme="minorEastAsia" w:hAnsiTheme="minorEastAsia" w:eastAsiaTheme="minorEastAsia" w:cstheme="minorEastAsia"/>
          <w:color w:val="auto"/>
          <w:sz w:val="24"/>
          <w:szCs w:val="24"/>
          <w:highlight w:val="none"/>
        </w:rPr>
      </w:pPr>
    </w:p>
    <w:p w14:paraId="42BDD3C5">
      <w:pPr>
        <w:rPr>
          <w:rFonts w:hint="eastAsia" w:asciiTheme="minorEastAsia" w:hAnsiTheme="minorEastAsia" w:eastAsiaTheme="minorEastAsia" w:cstheme="minorEastAsia"/>
          <w:color w:val="auto"/>
          <w:sz w:val="24"/>
          <w:szCs w:val="24"/>
          <w:highlight w:val="none"/>
        </w:rPr>
      </w:pPr>
    </w:p>
    <w:p w14:paraId="52BB8AE7">
      <w:pPr>
        <w:tabs>
          <w:tab w:val="left" w:pos="6300"/>
        </w:tabs>
        <w:snapToGrid w:val="0"/>
        <w:spacing w:line="300" w:lineRule="atLeast"/>
        <w:rPr>
          <w:rFonts w:hint="eastAsia" w:asciiTheme="minorEastAsia" w:hAnsiTheme="minorEastAsia" w:eastAsiaTheme="minorEastAsia" w:cstheme="minorEastAsia"/>
          <w:color w:val="auto"/>
          <w:sz w:val="24"/>
          <w:szCs w:val="24"/>
          <w:highlight w:val="none"/>
        </w:rPr>
      </w:pPr>
    </w:p>
    <w:p w14:paraId="5623A56E">
      <w:pPr>
        <w:tabs>
          <w:tab w:val="left" w:pos="6300"/>
        </w:tabs>
        <w:snapToGrid w:val="0"/>
        <w:spacing w:line="300" w:lineRule="atLeas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（六）特定资格条件证书或证明文件（如有）</w:t>
      </w:r>
    </w:p>
    <w:p w14:paraId="2BE77833">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09310C6">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EE6CE14">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03CC352D">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1EC9BC3F">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33B90BA">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FCF6654">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61DEE93">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9AA5DC3">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DE53154">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92D14B1">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11691D1">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1F7CBD92">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2700736">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03FF61E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3BC0932">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9274527">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1280B7DC">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3689D3CC">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4218222">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E097F97">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4C0D05A">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D6C8EA9">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32E9015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6E8A981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A88B9A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64D0941E">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B34DBFC">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78822EE">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15C98DE">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8377FA1">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90DCF44">
      <w:pPr>
        <w:pStyle w:val="18"/>
        <w:rPr>
          <w:rFonts w:hint="eastAsia" w:asciiTheme="minorEastAsia" w:hAnsiTheme="minorEastAsia" w:eastAsiaTheme="minorEastAsia" w:cstheme="minorEastAsia"/>
          <w:color w:val="auto"/>
          <w:highlight w:val="none"/>
        </w:rPr>
      </w:pPr>
    </w:p>
    <w:p w14:paraId="2F77CCB2">
      <w:pPr>
        <w:rPr>
          <w:rFonts w:hint="eastAsia" w:asciiTheme="minorEastAsia" w:hAnsiTheme="minorEastAsia" w:eastAsiaTheme="minorEastAsia" w:cstheme="minorEastAsia"/>
          <w:color w:val="auto"/>
          <w:highlight w:val="none"/>
        </w:rPr>
      </w:pPr>
    </w:p>
    <w:p w14:paraId="34CA7FA7">
      <w:pPr>
        <w:pStyle w:val="18"/>
        <w:rPr>
          <w:rFonts w:hint="eastAsia" w:asciiTheme="minorEastAsia" w:hAnsiTheme="minorEastAsia" w:eastAsiaTheme="minorEastAsia" w:cstheme="minorEastAsia"/>
          <w:color w:val="auto"/>
          <w:highlight w:val="none"/>
        </w:rPr>
      </w:pPr>
    </w:p>
    <w:p w14:paraId="656BA219">
      <w:pPr>
        <w:tabs>
          <w:tab w:val="left" w:pos="6300"/>
        </w:tabs>
        <w:snapToGrid w:val="0"/>
        <w:spacing w:line="300" w:lineRule="atLeast"/>
        <w:rPr>
          <w:rFonts w:hint="eastAsia" w:asciiTheme="minorEastAsia" w:hAnsiTheme="minorEastAsia" w:eastAsiaTheme="minorEastAsia" w:cstheme="minorEastAsia"/>
          <w:color w:val="auto"/>
          <w:highlight w:val="none"/>
        </w:rPr>
      </w:pPr>
    </w:p>
    <w:p w14:paraId="61F3BB76">
      <w:pPr>
        <w:spacing w:line="400" w:lineRule="atLeast"/>
        <w:outlineLvl w:val="0"/>
        <w:rPr>
          <w:rFonts w:hint="eastAsia" w:asciiTheme="minorEastAsia" w:hAnsiTheme="minorEastAsia" w:eastAsiaTheme="minorEastAsia" w:cstheme="minorEastAsia"/>
          <w:b/>
          <w:bCs/>
          <w:color w:val="auto"/>
          <w:sz w:val="24"/>
          <w:szCs w:val="24"/>
          <w:highlight w:val="none"/>
        </w:rPr>
      </w:pPr>
      <w:bookmarkStart w:id="419" w:name="_Toc19598"/>
      <w:bookmarkStart w:id="420" w:name="_Toc478823792"/>
      <w:bookmarkStart w:id="421" w:name="_Toc14422"/>
      <w:bookmarkStart w:id="422" w:name="_Toc25954"/>
      <w:r>
        <w:rPr>
          <w:rFonts w:hint="eastAsia" w:asciiTheme="minorEastAsia" w:hAnsiTheme="minorEastAsia" w:eastAsiaTheme="minorEastAsia" w:cstheme="minorEastAsia"/>
          <w:b/>
          <w:bCs/>
          <w:color w:val="auto"/>
          <w:sz w:val="24"/>
          <w:szCs w:val="24"/>
          <w:highlight w:val="none"/>
        </w:rPr>
        <w:t>五、其他应提供的资料</w:t>
      </w:r>
      <w:bookmarkEnd w:id="419"/>
      <w:bookmarkEnd w:id="420"/>
      <w:bookmarkEnd w:id="421"/>
      <w:bookmarkEnd w:id="422"/>
    </w:p>
    <w:p w14:paraId="4BFBD70B">
      <w:pPr>
        <w:tabs>
          <w:tab w:val="left" w:pos="6300"/>
        </w:tabs>
        <w:snapToGrid w:val="0"/>
        <w:spacing w:line="400" w:lineRule="atLeast"/>
        <w:ind w:firstLine="560"/>
        <w:jc w:val="left"/>
        <w:outlineLvl w:val="1"/>
        <w:rPr>
          <w:rFonts w:hint="eastAsia" w:asciiTheme="minorEastAsia" w:hAnsiTheme="minorEastAsia" w:eastAsiaTheme="minorEastAsia" w:cstheme="minorEastAsia"/>
          <w:b/>
          <w:color w:val="auto"/>
          <w:sz w:val="24"/>
          <w:szCs w:val="24"/>
          <w:highlight w:val="none"/>
        </w:rPr>
      </w:pPr>
      <w:bookmarkStart w:id="423" w:name="_Toc14271"/>
      <w:r>
        <w:rPr>
          <w:rFonts w:hint="eastAsia" w:asciiTheme="minorEastAsia" w:hAnsiTheme="minorEastAsia" w:eastAsiaTheme="minorEastAsia" w:cstheme="minorEastAsia"/>
          <w:b/>
          <w:color w:val="auto"/>
          <w:sz w:val="24"/>
          <w:szCs w:val="24"/>
          <w:highlight w:val="none"/>
        </w:rPr>
        <w:t>（一）中小微企业声明函、监狱企业证明文件、残疾人福利性单位声明函</w:t>
      </w:r>
      <w:bookmarkEnd w:id="423"/>
    </w:p>
    <w:p w14:paraId="2626E585">
      <w:pPr>
        <w:tabs>
          <w:tab w:val="left" w:pos="6300"/>
        </w:tabs>
        <w:snapToGrid w:val="0"/>
        <w:spacing w:line="400" w:lineRule="atLeast"/>
        <w:ind w:firstLine="560"/>
        <w:jc w:val="left"/>
        <w:rPr>
          <w:rFonts w:hint="eastAsia" w:asciiTheme="minorEastAsia" w:hAnsiTheme="minorEastAsia" w:eastAsiaTheme="minorEastAsia" w:cstheme="minorEastAsia"/>
          <w:color w:val="auto"/>
          <w:kern w:val="0"/>
          <w:sz w:val="21"/>
          <w:szCs w:val="21"/>
          <w:highlight w:val="none"/>
        </w:rPr>
      </w:pPr>
    </w:p>
    <w:p w14:paraId="0C3990E9">
      <w:pPr>
        <w:widowControl/>
        <w:autoSpaceDE w:val="0"/>
        <w:spacing w:line="400" w:lineRule="atLeast"/>
        <w:ind w:firstLine="482" w:firstLineChars="200"/>
        <w:jc w:val="center"/>
        <w:outlineLvl w:val="2"/>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中小企业声明函（服务）</w:t>
      </w:r>
    </w:p>
    <w:p w14:paraId="04C75D45">
      <w:pPr>
        <w:spacing w:line="400" w:lineRule="atLeast"/>
        <w:ind w:firstLine="640" w:firstLineChars="200"/>
        <w:rPr>
          <w:rFonts w:hint="eastAsia" w:asciiTheme="minorEastAsia" w:hAnsiTheme="minorEastAsia" w:eastAsiaTheme="minorEastAsia" w:cstheme="minorEastAsia"/>
          <w:color w:val="auto"/>
          <w:sz w:val="32"/>
          <w:szCs w:val="32"/>
          <w:highlight w:val="none"/>
        </w:rPr>
      </w:pPr>
    </w:p>
    <w:p w14:paraId="0FBB4C15">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本公司（联合体）郑重声明，根据《政府采购促进中小企业发展管理办法》（财库﹝2020﹞4 6号）的规定，本公司（联合体）参加(单位名称)采购活动，服务全部由符合政策要求的中小企业承接。相关企业（含联合体中的中小企业、签订分包意向协议的中小企业）的具体情况如下：</w:t>
      </w:r>
    </w:p>
    <w:p w14:paraId="19FBB4E4">
      <w:pPr>
        <w:spacing w:line="400" w:lineRule="atLeast"/>
        <w:ind w:firstLine="480" w:firstLineChars="200"/>
        <w:rPr>
          <w:rFonts w:hint="eastAsia" w:asciiTheme="minorEastAsia" w:hAnsiTheme="minorEastAsia" w:eastAsiaTheme="minorEastAsia" w:cstheme="minorEastAsia"/>
          <w:color w:val="auto"/>
          <w:sz w:val="24"/>
          <w:szCs w:val="24"/>
          <w:highlight w:val="none"/>
          <w:u w:val="single" w:color="000000"/>
        </w:rPr>
      </w:pPr>
      <w:r>
        <w:rPr>
          <w:rFonts w:hint="eastAsia" w:asciiTheme="minorEastAsia" w:hAnsiTheme="minorEastAsia" w:eastAsiaTheme="minorEastAsia" w:cstheme="minorEastAsia"/>
          <w:color w:val="auto"/>
          <w:sz w:val="24"/>
          <w:szCs w:val="24"/>
          <w:highlight w:val="none"/>
        </w:rPr>
        <w:t xml:space="preserve">1. </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color="000000"/>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color="000000"/>
        </w:rPr>
        <w:t>（中型企业、小型企业、微型企业）。</w:t>
      </w:r>
    </w:p>
    <w:p w14:paraId="2C212249">
      <w:pPr>
        <w:spacing w:line="400" w:lineRule="atLeas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为本标的提供的服务人员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人，其中与本企业签订劳动合同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人，其他人员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w:t>
      </w:r>
      <w:r>
        <w:rPr>
          <w:rFonts w:hint="eastAsia" w:asciiTheme="minorEastAsia" w:hAnsiTheme="minorEastAsia" w:eastAsiaTheme="minorEastAsia" w:cstheme="minorEastAsia"/>
          <w:b/>
          <w:color w:val="auto"/>
          <w:sz w:val="24"/>
          <w:szCs w:val="24"/>
          <w:highlight w:val="none"/>
        </w:rPr>
        <w:t>有其他人员的不符合中小企业扶持政策;</w:t>
      </w:r>
    </w:p>
    <w:p w14:paraId="329872E7">
      <w:pPr>
        <w:spacing w:line="400" w:lineRule="atLeast"/>
        <w:ind w:firstLine="480" w:firstLineChars="200"/>
        <w:rPr>
          <w:rFonts w:hint="eastAsia" w:asciiTheme="minorEastAsia" w:hAnsiTheme="minorEastAsia" w:eastAsiaTheme="minorEastAsia" w:cstheme="minorEastAsia"/>
          <w:color w:val="auto"/>
          <w:sz w:val="24"/>
          <w:szCs w:val="24"/>
          <w:highlight w:val="none"/>
          <w:u w:val="single" w:color="000000"/>
        </w:rPr>
      </w:pPr>
      <w:r>
        <w:rPr>
          <w:rFonts w:hint="eastAsia" w:asciiTheme="minorEastAsia" w:hAnsiTheme="minorEastAsia" w:eastAsiaTheme="minorEastAsia" w:cstheme="minorEastAsia"/>
          <w:color w:val="auto"/>
          <w:sz w:val="24"/>
          <w:szCs w:val="24"/>
          <w:highlight w:val="none"/>
        </w:rPr>
        <w:t xml:space="preserve">2. </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万元，属于 </w:t>
      </w:r>
      <w:r>
        <w:rPr>
          <w:rFonts w:hint="eastAsia" w:asciiTheme="minorEastAsia" w:hAnsiTheme="minorEastAsia" w:eastAsiaTheme="minorEastAsia" w:cstheme="minorEastAsia"/>
          <w:color w:val="auto"/>
          <w:sz w:val="24"/>
          <w:szCs w:val="24"/>
          <w:highlight w:val="none"/>
          <w:u w:val="single" w:color="000000"/>
        </w:rPr>
        <w:t>（中型企业、小型企业、微型企业）。</w:t>
      </w:r>
    </w:p>
    <w:p w14:paraId="61F2C05A">
      <w:pPr>
        <w:spacing w:line="400" w:lineRule="atLeas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为本标的提供的服务人员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人，其中与本企业签订劳动合同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人，其他人员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w:t>
      </w:r>
      <w:r>
        <w:rPr>
          <w:rFonts w:hint="eastAsia" w:asciiTheme="minorEastAsia" w:hAnsiTheme="minorEastAsia" w:eastAsiaTheme="minorEastAsia" w:cstheme="minorEastAsia"/>
          <w:b/>
          <w:color w:val="auto"/>
          <w:sz w:val="24"/>
          <w:szCs w:val="24"/>
          <w:highlight w:val="none"/>
        </w:rPr>
        <w:t>有其他人员的不符合中小企业扶持政策;</w:t>
      </w:r>
    </w:p>
    <w:p w14:paraId="19650D08">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w:t>
      </w:r>
    </w:p>
    <w:p w14:paraId="6BC063B8">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以上企业，不属于大企业的分支机构，不存在控股股东为大企业的情形，也不存在与大企业的负责人为同一人的情形。</w:t>
      </w:r>
    </w:p>
    <w:p w14:paraId="26FFDED3">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本企业对上述声明内容的真实性负责。如有虚假，将依法承担相应责任。</w:t>
      </w:r>
    </w:p>
    <w:p w14:paraId="62A30A75">
      <w:pPr>
        <w:widowControl/>
        <w:autoSpaceDE w:val="0"/>
        <w:spacing w:line="400" w:lineRule="atLeast"/>
        <w:jc w:val="left"/>
        <w:rPr>
          <w:rFonts w:hint="eastAsia" w:asciiTheme="minorEastAsia" w:hAnsiTheme="minorEastAsia" w:eastAsiaTheme="minorEastAsia" w:cstheme="minorEastAsia"/>
          <w:color w:val="auto"/>
          <w:kern w:val="0"/>
          <w:sz w:val="24"/>
          <w:szCs w:val="24"/>
          <w:highlight w:val="none"/>
        </w:rPr>
      </w:pPr>
    </w:p>
    <w:p w14:paraId="0C319FA8">
      <w:pPr>
        <w:widowControl/>
        <w:autoSpaceDE w:val="0"/>
        <w:spacing w:line="400" w:lineRule="atLeast"/>
        <w:jc w:val="left"/>
        <w:rPr>
          <w:rFonts w:hint="eastAsia" w:asciiTheme="minorEastAsia" w:hAnsiTheme="minorEastAsia" w:eastAsiaTheme="minorEastAsia" w:cstheme="minorEastAsia"/>
          <w:color w:val="auto"/>
          <w:kern w:val="0"/>
          <w:sz w:val="24"/>
          <w:szCs w:val="24"/>
          <w:highlight w:val="none"/>
        </w:rPr>
      </w:pPr>
    </w:p>
    <w:p w14:paraId="5E0E9FD4">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p>
    <w:p w14:paraId="655AD551">
      <w:pPr>
        <w:widowControl/>
        <w:autoSpaceDE w:val="0"/>
        <w:spacing w:line="400" w:lineRule="atLeast"/>
        <w:ind w:firstLine="4560" w:firstLineChars="19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企业名称（盖章）：</w:t>
      </w:r>
    </w:p>
    <w:p w14:paraId="2F163F11">
      <w:pPr>
        <w:widowControl/>
        <w:autoSpaceDE w:val="0"/>
        <w:spacing w:line="400" w:lineRule="atLeast"/>
        <w:ind w:firstLine="4560" w:firstLineChars="1900"/>
        <w:jc w:val="left"/>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日 期：</w:t>
      </w:r>
    </w:p>
    <w:p w14:paraId="7BF44066">
      <w:pPr>
        <w:widowControl/>
        <w:autoSpaceDE w:val="0"/>
        <w:spacing w:line="400" w:lineRule="atLeast"/>
        <w:jc w:val="left"/>
        <w:rPr>
          <w:rFonts w:hint="eastAsia" w:asciiTheme="minorEastAsia" w:hAnsiTheme="minorEastAsia" w:eastAsiaTheme="minorEastAsia" w:cstheme="minorEastAsia"/>
          <w:b/>
          <w:color w:val="auto"/>
          <w:kern w:val="0"/>
          <w:sz w:val="24"/>
          <w:szCs w:val="24"/>
          <w:highlight w:val="none"/>
        </w:rPr>
      </w:pPr>
    </w:p>
    <w:p w14:paraId="27B42FA8">
      <w:pPr>
        <w:tabs>
          <w:tab w:val="left" w:pos="6300"/>
        </w:tabs>
        <w:snapToGrid w:val="0"/>
        <w:spacing w:line="400" w:lineRule="atLeas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填写时应注意以下事项：</w:t>
      </w:r>
    </w:p>
    <w:p w14:paraId="363DB950">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1.从业人员、营业收入、资产总额填报上一年度数据，无上一年度数据的新成立企业可不填报。</w:t>
      </w:r>
    </w:p>
    <w:p w14:paraId="6CD66BBD">
      <w:pPr>
        <w:tabs>
          <w:tab w:val="left" w:pos="6300"/>
        </w:tabs>
        <w:snapToGrid w:val="0"/>
        <w:spacing w:line="400" w:lineRule="atLeast"/>
        <w:ind w:firstLine="420" w:firstLineChars="20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2.中小企业应当按照《中小企业划型标准规定》（工信部联企业〔2011〕300号），如实填写并提交《中小企业声明函》。</w:t>
      </w:r>
    </w:p>
    <w:p w14:paraId="04E5A391">
      <w:pPr>
        <w:tabs>
          <w:tab w:val="left" w:pos="6300"/>
        </w:tabs>
        <w:snapToGrid w:val="0"/>
        <w:spacing w:line="400" w:lineRule="atLeast"/>
        <w:ind w:firstLine="420" w:firstLineChars="20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3.供应商填写《中小企业声明函》中所属行业时，应与采购文件第一篇“采购标的对应的中小企业划分标准所属行业”中填写的所属行业一致。</w:t>
      </w:r>
    </w:p>
    <w:p w14:paraId="19AFD285">
      <w:pPr>
        <w:tabs>
          <w:tab w:val="left" w:pos="6300"/>
        </w:tabs>
        <w:snapToGrid w:val="0"/>
        <w:spacing w:line="400" w:lineRule="atLeast"/>
        <w:ind w:firstLine="420" w:firstLineChars="200"/>
        <w:outlineLvl w:val="2"/>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4.本声明函“企业名称（盖章）”处为供应商盖章。</w:t>
      </w:r>
    </w:p>
    <w:p w14:paraId="5AC28C35">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注：各行业划型标准：</w:t>
      </w:r>
    </w:p>
    <w:p w14:paraId="5BCBD9B1">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（一）农、林、牧、渔业。营业收入20000万元以下的为中小微型企业。其中，营业收入500万元及以上的为中型企业，营业收入50万元及以上的为小型企业，营业收入50万元以下的为微型企业。</w:t>
      </w:r>
    </w:p>
    <w:p w14:paraId="1FB3D93B">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135698">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5B7D856">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263C2FB">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1B26A79">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5D94541">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5D7AC5D">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99B307C">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BF6502">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64FD306">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BF8C99E">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52CD15F">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116052B">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AAB52C0">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616F7F0">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（十六）其他未列明行业。从业人员300人以下的为中小微型企业。其中，从业人员100人及以上的为中型企业；从业人员10人及以上的为小型企业；从业人员10人以下的为微型企业。</w:t>
      </w:r>
    </w:p>
    <w:p w14:paraId="6661E71F">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F3A441E">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38783645">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4353AC84">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877C2B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227FBA7">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EE6FBC3">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62F47BDB">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412B7985">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AB620C2">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76ECA744">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16D93A0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57EA7B4">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425D8256">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25BB68AE">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AD4E7BE">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74FD59C8">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3F70D6A">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7069CC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21834FFA">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20A91071">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77B2A94E">
      <w:pPr>
        <w:tabs>
          <w:tab w:val="left" w:pos="6300"/>
        </w:tabs>
        <w:snapToGrid w:val="0"/>
        <w:spacing w:line="400" w:lineRule="atLeast"/>
        <w:outlineLvl w:val="9"/>
        <w:rPr>
          <w:rFonts w:hint="eastAsia" w:asciiTheme="minorEastAsia" w:hAnsiTheme="minorEastAsia" w:eastAsiaTheme="minorEastAsia" w:cstheme="minorEastAsia"/>
          <w:color w:val="auto"/>
          <w:highlight w:val="none"/>
        </w:rPr>
      </w:pPr>
    </w:p>
    <w:p w14:paraId="5A176E49">
      <w:pPr>
        <w:tabs>
          <w:tab w:val="left" w:pos="6300"/>
        </w:tabs>
        <w:snapToGrid w:val="0"/>
        <w:spacing w:line="400" w:lineRule="atLeast"/>
        <w:ind w:firstLine="560" w:firstLineChars="200"/>
        <w:outlineLvl w:val="2"/>
        <w:rPr>
          <w:rFonts w:hint="eastAsia" w:asciiTheme="minorEastAsia" w:hAnsiTheme="minorEastAsia" w:eastAsiaTheme="minorEastAsia" w:cstheme="minorEastAsia"/>
          <w:color w:val="auto"/>
          <w:highlight w:val="none"/>
        </w:rPr>
      </w:pPr>
      <w:bookmarkStart w:id="424" w:name="_Toc23551"/>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 w:val="29"/>
          <w:szCs w:val="29"/>
          <w:highlight w:val="none"/>
        </w:rPr>
        <w:t>监狱企业证明文件</w:t>
      </w:r>
      <w:bookmarkEnd w:id="424"/>
    </w:p>
    <w:p w14:paraId="2E8B2206">
      <w:pPr>
        <w:tabs>
          <w:tab w:val="left" w:pos="6300"/>
        </w:tabs>
        <w:snapToGrid w:val="0"/>
        <w:spacing w:line="400" w:lineRule="atLeast"/>
        <w:ind w:firstLine="480" w:firstLineChars="200"/>
        <w:outlineLvl w:val="0"/>
        <w:rPr>
          <w:rFonts w:hint="eastAsia" w:asciiTheme="minorEastAsia" w:hAnsiTheme="minorEastAsia" w:eastAsiaTheme="minorEastAsia" w:cstheme="minorEastAsia"/>
          <w:color w:val="auto"/>
          <w:highlight w:val="none"/>
        </w:rPr>
      </w:pPr>
      <w:bookmarkStart w:id="425" w:name="_Toc6960"/>
      <w:bookmarkStart w:id="426" w:name="_Toc8245"/>
      <w:bookmarkStart w:id="427" w:name="_Toc30262"/>
      <w:r>
        <w:rPr>
          <w:rFonts w:hint="eastAsia" w:asciiTheme="minorEastAsia" w:hAnsiTheme="minorEastAsia" w:eastAsiaTheme="minorEastAsia" w:cstheme="minorEastAsia"/>
          <w:color w:val="auto"/>
          <w:sz w:val="24"/>
          <w:highlight w:val="none"/>
        </w:rPr>
        <w:t>以省级以上监狱管理局、戒毒管理局（含新疆生产建设兵团）出具的属于监狱企业的证明文件为准。</w:t>
      </w: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3.残疾人福利性单位声明函</w:t>
      </w:r>
      <w:bookmarkEnd w:id="425"/>
      <w:bookmarkEnd w:id="426"/>
      <w:bookmarkEnd w:id="427"/>
    </w:p>
    <w:p w14:paraId="185C29C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DBA3475">
      <w:pPr>
        <w:tabs>
          <w:tab w:val="left" w:pos="6300"/>
        </w:tabs>
        <w:snapToGrid w:val="0"/>
        <w:spacing w:line="400" w:lineRule="atLeast"/>
        <w:ind w:firstLine="560" w:firstLineChars="200"/>
        <w:jc w:val="center"/>
        <w:outlineLvl w:val="0"/>
        <w:rPr>
          <w:rFonts w:hint="eastAsia" w:asciiTheme="minorEastAsia" w:hAnsiTheme="minorEastAsia" w:eastAsiaTheme="minorEastAsia" w:cstheme="minorEastAsia"/>
          <w:color w:val="auto"/>
          <w:highlight w:val="none"/>
        </w:rPr>
      </w:pPr>
      <w:bookmarkStart w:id="428" w:name="_Toc13467"/>
      <w:bookmarkStart w:id="429" w:name="_Toc21161"/>
      <w:bookmarkStart w:id="430" w:name="_Toc10590"/>
      <w:r>
        <w:rPr>
          <w:rFonts w:hint="eastAsia" w:asciiTheme="minorEastAsia" w:hAnsiTheme="minorEastAsia" w:eastAsiaTheme="minorEastAsia" w:cstheme="minorEastAsia"/>
          <w:color w:val="auto"/>
          <w:highlight w:val="none"/>
        </w:rPr>
        <w:t>残疾人福利性单位声明函</w:t>
      </w:r>
      <w:bookmarkEnd w:id="428"/>
      <w:bookmarkEnd w:id="429"/>
      <w:bookmarkEnd w:id="430"/>
    </w:p>
    <w:p w14:paraId="6DF452F4">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B5B248E">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33347430">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35704844">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64294D38">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供应商名称（盖章）：</w:t>
      </w:r>
    </w:p>
    <w:p w14:paraId="79EB1620">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  期：</w:t>
      </w:r>
    </w:p>
    <w:p w14:paraId="10721384">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587F586E">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1DF3E015">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261A9801">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3A0652F8">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highlight w:val="none"/>
        </w:rPr>
        <w:t>若成交供应商为残疾人福利性单位的，将在结果公告时公告其《残疾人福利性单位声明函》</w:t>
      </w:r>
    </w:p>
    <w:p w14:paraId="606C5541">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569F1C9">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455DA50B">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6471E0FA">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C51D065">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1EBA1D53">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AD010D3">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8F2E07D">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CD16E79">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B73BFC7">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67759C68">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82166C9">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9D5314C">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DF0C508">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67C66BE7">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CCFAD86">
      <w:pPr>
        <w:snapToGrid w:val="0"/>
        <w:spacing w:line="400" w:lineRule="atLeast"/>
        <w:rPr>
          <w:rFonts w:hint="eastAsia" w:asciiTheme="minorEastAsia" w:hAnsiTheme="minorEastAsia" w:eastAsiaTheme="minorEastAsia" w:cstheme="minorEastAsia"/>
          <w:color w:val="auto"/>
          <w:sz w:val="24"/>
          <w:szCs w:val="24"/>
          <w:highlight w:val="none"/>
        </w:rPr>
      </w:pPr>
    </w:p>
    <w:p w14:paraId="2C74AC2A">
      <w:pPr>
        <w:spacing w:line="400" w:lineRule="atLeast"/>
        <w:rPr>
          <w:rFonts w:hint="eastAsia" w:asciiTheme="minorEastAsia" w:hAnsiTheme="minorEastAsia" w:eastAsiaTheme="minorEastAsia" w:cstheme="minorEastAsia"/>
          <w:color w:val="auto"/>
          <w:sz w:val="24"/>
          <w:szCs w:val="24"/>
          <w:highlight w:val="none"/>
        </w:rPr>
      </w:pPr>
    </w:p>
    <w:p w14:paraId="7B38C02D">
      <w:pPr>
        <w:spacing w:line="5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）其他与项目有关的资料</w:t>
      </w:r>
    </w:p>
    <w:p w14:paraId="28251E8A">
      <w:pPr>
        <w:spacing w:line="5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其他与项目有关的资料（自附）：供应商总体情况介绍、其他与本项目有关的资料等。</w:t>
      </w:r>
    </w:p>
    <w:p w14:paraId="6100ACC4">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4DA74DE">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0DB1735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67E07F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B7E2FA3">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00F93483">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223F211D">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BDAABBA">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793424C3">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28816571">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6C601522">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BE2A14E">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6C614B2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4D935DBF">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CA5500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15F0F2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CBDD874">
      <w:pPr>
        <w:spacing w:line="400" w:lineRule="atLeast"/>
        <w:rPr>
          <w:rFonts w:hint="eastAsia" w:asciiTheme="minorEastAsia" w:hAnsiTheme="minorEastAsia" w:eastAsiaTheme="minorEastAsia" w:cstheme="minorEastAsia"/>
          <w:color w:val="auto"/>
          <w:sz w:val="24"/>
          <w:szCs w:val="24"/>
          <w:highlight w:val="none"/>
        </w:rPr>
      </w:pPr>
    </w:p>
    <w:p w14:paraId="0E4E3E1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05F0D081">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72A8E196">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F27FDFA">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6E868DC">
      <w:pPr>
        <w:spacing w:line="400" w:lineRule="atLeast"/>
        <w:jc w:val="center"/>
        <w:rPr>
          <w:rFonts w:hint="eastAsia" w:asciiTheme="minorEastAsia" w:hAnsiTheme="minorEastAsia" w:eastAsiaTheme="minorEastAsia" w:cstheme="minorEastAsia"/>
          <w:b/>
          <w:color w:val="auto"/>
          <w:sz w:val="36"/>
          <w:szCs w:val="30"/>
          <w:highlight w:val="none"/>
        </w:rPr>
      </w:pPr>
      <w:r>
        <w:rPr>
          <w:rFonts w:hint="eastAsia" w:asciiTheme="minorEastAsia" w:hAnsiTheme="minorEastAsia" w:eastAsiaTheme="minorEastAsia" w:cstheme="minorEastAsia"/>
          <w:color w:val="auto"/>
          <w:sz w:val="24"/>
          <w:szCs w:val="24"/>
          <w:highlight w:val="none"/>
        </w:rPr>
        <w:t>（结束）</w:t>
      </w:r>
    </w:p>
    <w:bookmarkEnd w:id="58"/>
    <w:p w14:paraId="0B1F55C9">
      <w:pPr>
        <w:snapToGrid w:val="0"/>
        <w:spacing w:line="400" w:lineRule="atLeast"/>
        <w:rPr>
          <w:rFonts w:hint="eastAsia" w:asciiTheme="minorEastAsia" w:hAnsiTheme="minorEastAsia" w:eastAsiaTheme="minorEastAsia" w:cstheme="minorEastAsia"/>
          <w:color w:val="auto"/>
          <w:highlight w:val="none"/>
        </w:rPr>
      </w:pPr>
    </w:p>
    <w:p w14:paraId="557188D9">
      <w:pPr>
        <w:rPr>
          <w:rFonts w:hint="eastAsia" w:asciiTheme="minorEastAsia" w:hAnsiTheme="minorEastAsia" w:eastAsiaTheme="minorEastAsia" w:cstheme="minorEastAsia"/>
          <w:color w:val="auto"/>
          <w:highlight w:val="none"/>
        </w:rPr>
      </w:pPr>
    </w:p>
    <w:p w14:paraId="021F1339">
      <w:pPr>
        <w:rPr>
          <w:rFonts w:hint="eastAsia" w:asciiTheme="minorEastAsia" w:hAnsiTheme="minorEastAsia" w:eastAsiaTheme="minorEastAsia" w:cstheme="minorEastAsia"/>
          <w:color w:val="auto"/>
          <w:highlight w:val="none"/>
        </w:rPr>
      </w:pPr>
    </w:p>
    <w:sectPr>
      <w:headerReference r:id="rId8" w:type="default"/>
      <w:footerReference r:id="rId9"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82E0BB-2E9F-4209-B342-F9C7504D696E}"/>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仿宋_GBK">
    <w:panose1 w:val="02000000000000000000"/>
    <w:charset w:val="86"/>
    <w:family w:val="script"/>
    <w:pitch w:val="default"/>
    <w:sig w:usb0="A00002BF" w:usb1="38CF7CFA" w:usb2="00082016" w:usb3="00000000" w:csb0="00040001" w:csb1="00000000"/>
    <w:embedRegular r:id="rId2" w:fontKey="{7BE7B335-CECA-4399-975D-3354D31F8AD4}"/>
  </w:font>
  <w:font w:name="方正仿宋_GB18030">
    <w:panose1 w:val="02000000000000000000"/>
    <w:charset w:val="86"/>
    <w:family w:val="auto"/>
    <w:pitch w:val="default"/>
    <w:sig w:usb0="00000001" w:usb1="08000000" w:usb2="00000000" w:usb3="00000000" w:csb0="00040000" w:csb1="00000000"/>
    <w:embedRegular r:id="rId3" w:fontKey="{F90EF28A-77EA-436F-9F04-463DEA85A1C0}"/>
  </w:font>
  <w:font w:name="WPSEMBED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7EF62">
    <w:pPr>
      <w:pStyle w:val="12"/>
      <w:jc w:val="both"/>
    </w:pPr>
  </w:p>
  <w:p w14:paraId="51DC8AC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FD0E5">
    <w:pPr>
      <w:pStyle w:val="12"/>
      <w:jc w:val="center"/>
      <w:rPr>
        <w:rFonts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090A02">
                          <w:pPr>
                            <w:pStyle w:val="12"/>
                          </w:pPr>
                          <w:r>
                            <w:t xml:space="preserve">— </w:t>
                          </w:r>
                          <w:r>
                            <w:fldChar w:fldCharType="begin"/>
                          </w:r>
                          <w:r>
                            <w:instrText xml:space="preserve"> PAGE  \* MERGEFORMAT </w:instrText>
                          </w:r>
                          <w:r>
                            <w:fldChar w:fldCharType="separate"/>
                          </w:r>
                          <w:r>
                            <w:t>- 20 -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14090A02">
                    <w:pPr>
                      <w:pStyle w:val="12"/>
                    </w:pPr>
                    <w:r>
                      <w:t xml:space="preserve">— </w:t>
                    </w:r>
                    <w:r>
                      <w:fldChar w:fldCharType="begin"/>
                    </w:r>
                    <w:r>
                      <w:instrText xml:space="preserve"> PAGE  \* MERGEFORMAT </w:instrText>
                    </w:r>
                    <w:r>
                      <w:fldChar w:fldCharType="separate"/>
                    </w:r>
                    <w:r>
                      <w:t>- 20 -</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F7DE7">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E775D">
                          <w:pPr>
                            <w:pStyle w:val="12"/>
                            <w:rPr>
                              <w:rStyle w:val="21"/>
                              <w:sz w:val="28"/>
                              <w:szCs w:val="28"/>
                            </w:rPr>
                          </w:pPr>
                          <w:r>
                            <w:rPr>
                              <w:rStyle w:val="21"/>
                              <w:sz w:val="28"/>
                              <w:szCs w:val="28"/>
                            </w:rPr>
                            <w:t xml:space="preserve">— </w:t>
                          </w:r>
                          <w:r>
                            <w:rPr>
                              <w:sz w:val="28"/>
                              <w:szCs w:val="28"/>
                            </w:rPr>
                            <w:fldChar w:fldCharType="begin"/>
                          </w:r>
                          <w:r>
                            <w:rPr>
                              <w:rStyle w:val="21"/>
                              <w:sz w:val="28"/>
                              <w:szCs w:val="28"/>
                            </w:rPr>
                            <w:instrText xml:space="preserve">PAGE  </w:instrText>
                          </w:r>
                          <w:r>
                            <w:rPr>
                              <w:sz w:val="28"/>
                              <w:szCs w:val="28"/>
                            </w:rPr>
                            <w:fldChar w:fldCharType="separate"/>
                          </w:r>
                          <w:r>
                            <w:rPr>
                              <w:rStyle w:val="21"/>
                              <w:sz w:val="28"/>
                              <w:szCs w:val="28"/>
                            </w:rPr>
                            <w:t>48</w:t>
                          </w:r>
                          <w:r>
                            <w:rPr>
                              <w:sz w:val="28"/>
                              <w:szCs w:val="28"/>
                            </w:rPr>
                            <w:fldChar w:fldCharType="end"/>
                          </w:r>
                          <w:r>
                            <w:rPr>
                              <w:rStyle w:val="21"/>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B6E775D">
                    <w:pPr>
                      <w:pStyle w:val="12"/>
                      <w:rPr>
                        <w:rStyle w:val="21"/>
                        <w:sz w:val="28"/>
                        <w:szCs w:val="28"/>
                      </w:rPr>
                    </w:pPr>
                    <w:r>
                      <w:rPr>
                        <w:rStyle w:val="21"/>
                        <w:sz w:val="28"/>
                        <w:szCs w:val="28"/>
                      </w:rPr>
                      <w:t xml:space="preserve">— </w:t>
                    </w:r>
                    <w:r>
                      <w:rPr>
                        <w:sz w:val="28"/>
                        <w:szCs w:val="28"/>
                      </w:rPr>
                      <w:fldChar w:fldCharType="begin"/>
                    </w:r>
                    <w:r>
                      <w:rPr>
                        <w:rStyle w:val="21"/>
                        <w:sz w:val="28"/>
                        <w:szCs w:val="28"/>
                      </w:rPr>
                      <w:instrText xml:space="preserve">PAGE  </w:instrText>
                    </w:r>
                    <w:r>
                      <w:rPr>
                        <w:sz w:val="28"/>
                        <w:szCs w:val="28"/>
                      </w:rPr>
                      <w:fldChar w:fldCharType="separate"/>
                    </w:r>
                    <w:r>
                      <w:rPr>
                        <w:rStyle w:val="21"/>
                        <w:sz w:val="28"/>
                        <w:szCs w:val="28"/>
                      </w:rPr>
                      <w:t>48</w:t>
                    </w:r>
                    <w:r>
                      <w:rPr>
                        <w:sz w:val="28"/>
                        <w:szCs w:val="28"/>
                      </w:rPr>
                      <w:fldChar w:fldCharType="end"/>
                    </w:r>
                    <w:r>
                      <w:rPr>
                        <w:rStyle w:val="21"/>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1C2A5">
    <w:pPr>
      <w:spacing w:line="500" w:lineRule="exact"/>
      <w:outlineLvl w:val="0"/>
      <w:rPr>
        <w:rFonts w:hint="eastAsia" w:ascii="方正仿宋_GBK" w:eastAsia="方正仿宋_GBK"/>
        <w:sz w:val="21"/>
        <w:szCs w:val="21"/>
      </w:rPr>
    </w:pPr>
    <w:r>
      <w:rPr>
        <w:rFonts w:hint="eastAsia" w:ascii="宋体" w:hAnsi="宋体" w:cs="宋体"/>
        <w:b w:val="0"/>
        <w:bCs w:val="0"/>
        <w:sz w:val="21"/>
        <w:szCs w:val="21"/>
        <w:u w:val="single"/>
        <w:lang w:eastAsia="zh-CN"/>
      </w:rPr>
      <w:t>重庆钓鱼城建设监理咨询有限公司</w:t>
    </w:r>
    <w:r>
      <w:rPr>
        <w:rFonts w:hint="eastAsia" w:ascii="宋体" w:hAnsi="宋体" w:eastAsia="宋体"/>
        <w:b/>
        <w:bCs/>
        <w:sz w:val="21"/>
        <w:szCs w:val="21"/>
        <w:u w:val="single"/>
        <w:lang w:val="en-US" w:eastAsia="zh-CN"/>
      </w:rPr>
      <w:t xml:space="preserve">                                    </w:t>
    </w:r>
    <w:r>
      <w:rPr>
        <w:rFonts w:hint="eastAsia" w:ascii="宋体" w:hAnsi="宋体"/>
        <w:b/>
        <w:bCs/>
        <w:sz w:val="21"/>
        <w:szCs w:val="21"/>
        <w:u w:val="single"/>
        <w:lang w:val="en-US" w:eastAsia="zh-CN"/>
      </w:rPr>
      <w:t xml:space="preserve">    </w:t>
    </w:r>
    <w:r>
      <w:rPr>
        <w:rFonts w:hint="eastAsia" w:ascii="宋体" w:hAnsi="宋体" w:eastAsia="宋体"/>
        <w:b/>
        <w:bCs/>
        <w:sz w:val="21"/>
        <w:szCs w:val="21"/>
        <w:u w:val="single"/>
        <w:lang w:val="en-US" w:eastAsia="zh-CN"/>
      </w:rPr>
      <w:t xml:space="preserve">   </w:t>
    </w:r>
    <w:r>
      <w:rPr>
        <w:rFonts w:hint="eastAsia" w:ascii="方正仿宋_GBK" w:eastAsia="方正仿宋_GBK"/>
        <w:sz w:val="21"/>
        <w:szCs w:val="21"/>
        <w:u w:val="single"/>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5E1DD">
    <w:pPr>
      <w:spacing w:line="500" w:lineRule="exact"/>
      <w:outlineLvl w:val="0"/>
      <w:rPr>
        <w:rFonts w:hint="eastAsia" w:ascii="方正仿宋_GBK" w:eastAsia="方正仿宋_GBK"/>
        <w:sz w:val="21"/>
        <w:szCs w:val="24"/>
      </w:rPr>
    </w:pPr>
    <w:r>
      <w:rPr>
        <w:rFonts w:hint="eastAsia" w:ascii="宋体" w:hAnsi="宋体" w:cs="宋体"/>
        <w:b w:val="0"/>
        <w:bCs w:val="0"/>
        <w:sz w:val="21"/>
        <w:szCs w:val="21"/>
        <w:u w:val="single"/>
        <w:lang w:eastAsia="zh-CN"/>
      </w:rPr>
      <w:t>重庆钓鱼城建设监理咨询有限公司</w:t>
    </w:r>
    <w:r>
      <w:rPr>
        <w:rFonts w:hint="eastAsia" w:ascii="宋体" w:hAnsi="宋体" w:eastAsia="宋体" w:cs="宋体"/>
        <w:b w:val="0"/>
        <w:bCs w:val="0"/>
        <w:sz w:val="21"/>
        <w:szCs w:val="21"/>
        <w:u w:val="single"/>
        <w:lang w:val="en-US" w:eastAsia="zh-CN"/>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2C67">
    <w:pPr>
      <w:pStyle w:val="13"/>
      <w:jc w:val="both"/>
      <w:rPr>
        <w:rFonts w:hint="eastAsia" w:ascii="方正仿宋_GBK" w:eastAsia="方正仿宋_GBK"/>
        <w:sz w:val="21"/>
        <w:szCs w:val="21"/>
      </w:rPr>
    </w:pPr>
    <w:r>
      <w:rPr>
        <w:rFonts w:hint="eastAsia" w:ascii="方正仿宋_GBK" w:eastAsia="方正仿宋_GBK"/>
        <w:sz w:val="21"/>
        <w:szCs w:val="21"/>
        <w:lang w:eastAsia="zh-CN"/>
      </w:rPr>
      <w:t xml:space="preserve">重庆钓鱼城建设监理咨询有限公司 </w:t>
    </w:r>
    <w:r>
      <w:rPr>
        <w:rFonts w:hint="eastAsia" w:ascii="方正仿宋_GBK" w:eastAsia="方正仿宋_GBK"/>
        <w:sz w:val="21"/>
        <w:szCs w:val="21"/>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D65AB">
    <w:pPr>
      <w:pStyle w:val="13"/>
      <w:jc w:val="both"/>
      <w:rPr>
        <w:rFonts w:hint="eastAsia" w:ascii="方正仿宋_GBK" w:eastAsia="方正仿宋_GBK"/>
        <w:sz w:val="21"/>
        <w:szCs w:val="21"/>
      </w:rPr>
    </w:pPr>
    <w:r>
      <w:rPr>
        <w:rFonts w:hint="eastAsia" w:ascii="方正仿宋_GB18030" w:hAnsi="方正仿宋_GB18030" w:eastAsia="方正仿宋_GB18030" w:cs="方正仿宋_GB18030"/>
        <w:sz w:val="21"/>
        <w:szCs w:val="21"/>
        <w:lang w:eastAsia="zh-CN"/>
      </w:rPr>
      <w:t>重庆钓鱼城建设监理咨询有限公司</w:t>
    </w:r>
    <w:r>
      <w:rPr>
        <w:rFonts w:hint="eastAsia" w:ascii="方正仿宋_GBK" w:eastAsia="方正仿宋_GBK"/>
        <w:sz w:val="21"/>
        <w:szCs w:val="21"/>
        <w:lang w:eastAsia="zh-CN"/>
      </w:rPr>
      <w:t xml:space="preserve"> </w:t>
    </w:r>
    <w:r>
      <w:rPr>
        <w:rFonts w:hint="eastAsia" w:ascii="方正仿宋_GBK" w:eastAsia="方正仿宋_GBK"/>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C8CA4"/>
    <w:multiLevelType w:val="singleLevel"/>
    <w:tmpl w:val="9F7C8CA4"/>
    <w:lvl w:ilvl="0" w:tentative="0">
      <w:start w:val="1"/>
      <w:numFmt w:val="chineseCounting"/>
      <w:suff w:val="nothing"/>
      <w:lvlText w:val="（%1）"/>
      <w:lvlJc w:val="left"/>
      <w:rPr>
        <w:rFonts w:hint="eastAsia"/>
      </w:rPr>
    </w:lvl>
  </w:abstractNum>
  <w:abstractNum w:abstractNumId="1">
    <w:nsid w:val="037F6639"/>
    <w:multiLevelType w:val="singleLevel"/>
    <w:tmpl w:val="037F6639"/>
    <w:lvl w:ilvl="0" w:tentative="0">
      <w:start w:val="2"/>
      <w:numFmt w:val="chineseCounting"/>
      <w:suff w:val="space"/>
      <w:lvlText w:val="第%1篇"/>
      <w:lvlJc w:val="left"/>
      <w:pPr>
        <w:ind w:left="2520"/>
      </w:pPr>
      <w:rPr>
        <w:rFonts w:hint="eastAsia"/>
      </w:rPr>
    </w:lvl>
  </w:abstractNum>
  <w:abstractNum w:abstractNumId="2">
    <w:nsid w:val="330C0F27"/>
    <w:multiLevelType w:val="singleLevel"/>
    <w:tmpl w:val="330C0F27"/>
    <w:lvl w:ilvl="0" w:tentative="0">
      <w:start w:val="6"/>
      <w:numFmt w:val="chineseCounting"/>
      <w:suff w:val="space"/>
      <w:lvlText w:val="第%1篇"/>
      <w:lvlJc w:val="left"/>
      <w:rPr>
        <w:rFonts w:hint="eastAsia"/>
      </w:rPr>
    </w:lvl>
  </w:abstractNum>
  <w:abstractNum w:abstractNumId="3">
    <w:nsid w:val="577E39E3"/>
    <w:multiLevelType w:val="singleLevel"/>
    <w:tmpl w:val="577E39E3"/>
    <w:lvl w:ilvl="0" w:tentative="0">
      <w:start w:val="5"/>
      <w:numFmt w:val="chineseCounting"/>
      <w:suff w:val="nothing"/>
      <w:lvlText w:val="（%1）"/>
      <w:lvlJc w:val="left"/>
      <w:rPr>
        <w:rFonts w:hint="eastAsia"/>
      </w:rPr>
    </w:lvl>
  </w:abstractNum>
  <w:abstractNum w:abstractNumId="4">
    <w:nsid w:val="704B5AD7"/>
    <w:multiLevelType w:val="singleLevel"/>
    <w:tmpl w:val="704B5AD7"/>
    <w:lvl w:ilvl="0" w:tentative="0">
      <w:start w:val="7"/>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YWU3YjRhYjVkODg3MmIwZjlkMWM0YjgzZGQ2N2IifQ=="/>
  </w:docVars>
  <w:rsids>
    <w:rsidRoot w:val="60877D22"/>
    <w:rsid w:val="016F4726"/>
    <w:rsid w:val="021F7FBC"/>
    <w:rsid w:val="03733022"/>
    <w:rsid w:val="03A04F43"/>
    <w:rsid w:val="041158A0"/>
    <w:rsid w:val="0574084B"/>
    <w:rsid w:val="06B036DE"/>
    <w:rsid w:val="08AD599F"/>
    <w:rsid w:val="08EC3108"/>
    <w:rsid w:val="08FB2D67"/>
    <w:rsid w:val="09C330A9"/>
    <w:rsid w:val="0A691097"/>
    <w:rsid w:val="0C0A3890"/>
    <w:rsid w:val="0D2C58C4"/>
    <w:rsid w:val="100B5E29"/>
    <w:rsid w:val="107D4441"/>
    <w:rsid w:val="11EA55E7"/>
    <w:rsid w:val="126357F7"/>
    <w:rsid w:val="13C0098F"/>
    <w:rsid w:val="15D54BEA"/>
    <w:rsid w:val="15EF58A5"/>
    <w:rsid w:val="184C0CB1"/>
    <w:rsid w:val="185F3E34"/>
    <w:rsid w:val="197642BE"/>
    <w:rsid w:val="19EB74C7"/>
    <w:rsid w:val="1CB17D58"/>
    <w:rsid w:val="1CCC554A"/>
    <w:rsid w:val="1DB573D4"/>
    <w:rsid w:val="1F1166D7"/>
    <w:rsid w:val="1F1D790B"/>
    <w:rsid w:val="20427E14"/>
    <w:rsid w:val="2065220C"/>
    <w:rsid w:val="20F63F8C"/>
    <w:rsid w:val="21936EB2"/>
    <w:rsid w:val="22235254"/>
    <w:rsid w:val="23503E27"/>
    <w:rsid w:val="254E25E8"/>
    <w:rsid w:val="262E46B0"/>
    <w:rsid w:val="26891CCF"/>
    <w:rsid w:val="28060A65"/>
    <w:rsid w:val="295252CA"/>
    <w:rsid w:val="2C8763E0"/>
    <w:rsid w:val="2F3C5BA7"/>
    <w:rsid w:val="2F7047E3"/>
    <w:rsid w:val="31351AFD"/>
    <w:rsid w:val="31797BDD"/>
    <w:rsid w:val="31E60FC9"/>
    <w:rsid w:val="325800D9"/>
    <w:rsid w:val="32D32F21"/>
    <w:rsid w:val="346B5853"/>
    <w:rsid w:val="34C8733B"/>
    <w:rsid w:val="34DD52CB"/>
    <w:rsid w:val="36777249"/>
    <w:rsid w:val="369A0B96"/>
    <w:rsid w:val="36DA0180"/>
    <w:rsid w:val="394E643C"/>
    <w:rsid w:val="395F0333"/>
    <w:rsid w:val="3E0930F8"/>
    <w:rsid w:val="3E0A6B02"/>
    <w:rsid w:val="3E523527"/>
    <w:rsid w:val="3ECB0C9A"/>
    <w:rsid w:val="405C39B3"/>
    <w:rsid w:val="407F58BC"/>
    <w:rsid w:val="40EB23A1"/>
    <w:rsid w:val="4133026A"/>
    <w:rsid w:val="43612C73"/>
    <w:rsid w:val="44BC0EC5"/>
    <w:rsid w:val="45B70BAF"/>
    <w:rsid w:val="45E561F9"/>
    <w:rsid w:val="46692714"/>
    <w:rsid w:val="47A335C7"/>
    <w:rsid w:val="48AA1177"/>
    <w:rsid w:val="48E910E4"/>
    <w:rsid w:val="49C17139"/>
    <w:rsid w:val="4AFB4F99"/>
    <w:rsid w:val="4B4C0AC8"/>
    <w:rsid w:val="4D151ABA"/>
    <w:rsid w:val="4D7B134F"/>
    <w:rsid w:val="50100316"/>
    <w:rsid w:val="502D711A"/>
    <w:rsid w:val="507E7856"/>
    <w:rsid w:val="53D66B5D"/>
    <w:rsid w:val="54303DA7"/>
    <w:rsid w:val="55B82F0A"/>
    <w:rsid w:val="55C93441"/>
    <w:rsid w:val="566B62A7"/>
    <w:rsid w:val="588C070C"/>
    <w:rsid w:val="595D7771"/>
    <w:rsid w:val="5A0A4028"/>
    <w:rsid w:val="5A2D1404"/>
    <w:rsid w:val="5A4A272E"/>
    <w:rsid w:val="5A915C7D"/>
    <w:rsid w:val="5CE17B29"/>
    <w:rsid w:val="5D902A97"/>
    <w:rsid w:val="5F36252D"/>
    <w:rsid w:val="5FE466AA"/>
    <w:rsid w:val="5FF95999"/>
    <w:rsid w:val="60877D22"/>
    <w:rsid w:val="615A7643"/>
    <w:rsid w:val="622F6D22"/>
    <w:rsid w:val="635B58F5"/>
    <w:rsid w:val="64E64662"/>
    <w:rsid w:val="64FC2F58"/>
    <w:rsid w:val="65C15EE3"/>
    <w:rsid w:val="66CC266A"/>
    <w:rsid w:val="66EF082E"/>
    <w:rsid w:val="67207643"/>
    <w:rsid w:val="67EB042D"/>
    <w:rsid w:val="69492530"/>
    <w:rsid w:val="6965127B"/>
    <w:rsid w:val="69D93CA0"/>
    <w:rsid w:val="6DC13CA6"/>
    <w:rsid w:val="6E8B70CE"/>
    <w:rsid w:val="6EC6456A"/>
    <w:rsid w:val="6FDF12CB"/>
    <w:rsid w:val="716E4E58"/>
    <w:rsid w:val="71967E24"/>
    <w:rsid w:val="71990018"/>
    <w:rsid w:val="71A71D72"/>
    <w:rsid w:val="72964D8C"/>
    <w:rsid w:val="729E51BE"/>
    <w:rsid w:val="72BF37AA"/>
    <w:rsid w:val="73F625CB"/>
    <w:rsid w:val="74CC0400"/>
    <w:rsid w:val="756438AD"/>
    <w:rsid w:val="76C4533C"/>
    <w:rsid w:val="7877331F"/>
    <w:rsid w:val="7A292592"/>
    <w:rsid w:val="7A747153"/>
    <w:rsid w:val="7BF56F4D"/>
    <w:rsid w:val="7C0C5CFB"/>
    <w:rsid w:val="7C321491"/>
    <w:rsid w:val="7CD04573"/>
    <w:rsid w:val="7D85387B"/>
    <w:rsid w:val="7DA0478B"/>
    <w:rsid w:val="7EC23BD9"/>
    <w:rsid w:val="7F0709B3"/>
    <w:rsid w:val="7F13151C"/>
    <w:rsid w:val="7FEA2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qFormat/>
    <w:uiPriority w:val="0"/>
    <w:pPr>
      <w:keepNext/>
      <w:keepLines/>
      <w:spacing w:before="260" w:beforeLines="0" w:beforeAutospacing="0" w:after="260" w:afterLines="0" w:afterAutospacing="0" w:line="400" w:lineRule="exact"/>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99"/>
    <w:pPr>
      <w:adjustRightInd w:val="0"/>
      <w:snapToGrid w:val="0"/>
      <w:spacing w:line="360" w:lineRule="auto"/>
      <w:ind w:firstLine="420"/>
    </w:pPr>
    <w:rPr>
      <w:sz w:val="24"/>
    </w:rPr>
  </w:style>
  <w:style w:type="paragraph" w:styleId="6">
    <w:name w:val="Body Text"/>
    <w:basedOn w:val="1"/>
    <w:qFormat/>
    <w:uiPriority w:val="0"/>
    <w:rPr>
      <w:rFonts w:ascii="仿宋_GB2312" w:eastAsia="仿宋_GB2312"/>
      <w:sz w:val="32"/>
    </w:rPr>
  </w:style>
  <w:style w:type="paragraph" w:styleId="7">
    <w:name w:val="Body Text Indent"/>
    <w:basedOn w:val="1"/>
    <w:qFormat/>
    <w:uiPriority w:val="0"/>
    <w:pPr>
      <w:spacing w:line="700" w:lineRule="exact"/>
      <w:ind w:left="960"/>
    </w:pPr>
    <w:rPr>
      <w:sz w:val="44"/>
    </w:rPr>
  </w:style>
  <w:style w:type="paragraph" w:styleId="8">
    <w:name w:val="toc 3"/>
    <w:basedOn w:val="1"/>
    <w:next w:val="1"/>
    <w:link w:val="29"/>
    <w:qFormat/>
    <w:uiPriority w:val="0"/>
    <w:pPr>
      <w:ind w:left="840" w:leftChars="400"/>
    </w:pPr>
  </w:style>
  <w:style w:type="paragraph" w:styleId="9">
    <w:name w:val="Plain Text"/>
    <w:basedOn w:val="1"/>
    <w:qFormat/>
    <w:uiPriority w:val="0"/>
    <w:rPr>
      <w:rFonts w:ascii="宋体" w:hAnsi="Courier New"/>
      <w:sz w:val="21"/>
    </w:rPr>
  </w:style>
  <w:style w:type="paragraph" w:styleId="10">
    <w:name w:val="Date"/>
    <w:basedOn w:val="1"/>
    <w:next w:val="1"/>
    <w:qFormat/>
    <w:uiPriority w:val="0"/>
  </w:style>
  <w:style w:type="paragraph" w:styleId="11">
    <w:name w:val="Body Text Indent 2"/>
    <w:basedOn w:val="1"/>
    <w:qFormat/>
    <w:uiPriority w:val="0"/>
    <w:pPr>
      <w:snapToGrid w:val="0"/>
      <w:spacing w:line="560" w:lineRule="atLeast"/>
      <w:ind w:firstLine="540"/>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39"/>
    <w:pPr>
      <w:spacing w:line="180" w:lineRule="auto"/>
      <w:jc w:val="center"/>
    </w:pPr>
    <w:rPr>
      <w:sz w:val="30"/>
    </w:rPr>
  </w:style>
  <w:style w:type="paragraph" w:styleId="15">
    <w:name w:val="toc 2"/>
    <w:basedOn w:val="1"/>
    <w:next w:val="1"/>
    <w:qFormat/>
    <w:uiPriority w:val="39"/>
    <w:pPr>
      <w:ind w:left="420" w:leftChars="200"/>
    </w:pPr>
  </w:style>
  <w:style w:type="paragraph" w:styleId="16">
    <w:name w:val="Body Text 2"/>
    <w:basedOn w:val="1"/>
    <w:qFormat/>
    <w:uiPriority w:val="0"/>
    <w:pPr>
      <w:adjustRightInd w:val="0"/>
      <w:snapToGrid w:val="0"/>
      <w:spacing w:after="120" w:afterLines="0" w:afterAutospacing="0" w:line="480" w:lineRule="auto"/>
    </w:pPr>
    <w:rPr>
      <w:sz w:val="24"/>
    </w:rPr>
  </w:style>
  <w:style w:type="paragraph" w:styleId="17">
    <w:name w:val="Body Text First Indent"/>
    <w:basedOn w:val="6"/>
    <w:qFormat/>
    <w:uiPriority w:val="0"/>
    <w:pPr>
      <w:spacing w:line="360" w:lineRule="auto"/>
      <w:ind w:firstLine="420"/>
    </w:pPr>
    <w:rPr>
      <w:rFonts w:ascii="宋体" w:hAnsi="宋体" w:eastAsia="宋体" w:cs="Times New Roman"/>
      <w:sz w:val="24"/>
    </w:rPr>
  </w:style>
  <w:style w:type="paragraph" w:styleId="18">
    <w:name w:val="Body Text First Indent 2"/>
    <w:basedOn w:val="7"/>
    <w:qFormat/>
    <w:uiPriority w:val="0"/>
    <w:pPr>
      <w:spacing w:after="120" w:afterLines="0" w:line="240" w:lineRule="auto"/>
      <w:ind w:left="420" w:leftChars="200" w:firstLine="420" w:firstLineChars="200"/>
    </w:pPr>
    <w:rPr>
      <w:rFonts w:ascii="Times New Roman" w:hAnsi="Times New Roman" w:eastAsia="宋体" w:cs="Times New Roman"/>
    </w:rPr>
  </w:style>
  <w:style w:type="character" w:styleId="21">
    <w:name w:val="page number"/>
    <w:basedOn w:val="20"/>
    <w:qFormat/>
    <w:uiPriority w:val="0"/>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character" w:customStyle="1" w:styleId="23">
    <w:name w:val="NormalCharacter"/>
    <w:semiHidden/>
    <w:qFormat/>
    <w:uiPriority w:val="0"/>
    <w:rPr>
      <w:rFonts w:ascii="Verdana" w:hAnsi="Verdana" w:eastAsia="仿宋_GB2312"/>
      <w:sz w:val="24"/>
      <w:lang w:val="en-US" w:eastAsia="en-US" w:bidi="ar-SA"/>
    </w:rPr>
  </w:style>
  <w:style w:type="paragraph" w:customStyle="1" w:styleId="24">
    <w:name w:val="UserStyle_358"/>
    <w:basedOn w:val="1"/>
    <w:semiHidden/>
    <w:qFormat/>
    <w:uiPriority w:val="0"/>
    <w:pPr>
      <w:widowControl/>
      <w:spacing w:before="120" w:after="120" w:line="360" w:lineRule="auto"/>
      <w:ind w:firstLine="200" w:firstLineChars="200"/>
      <w:jc w:val="center"/>
      <w:textAlignment w:val="baseline"/>
    </w:pPr>
    <w:rPr>
      <w:rFonts w:ascii="Times New Roman" w:hAnsi="Times New Roman" w:eastAsia="仿宋_GB2312" w:cstheme="minorBidi"/>
      <w:b/>
      <w:sz w:val="24"/>
      <w:szCs w:val="24"/>
    </w:rPr>
  </w:style>
  <w:style w:type="paragraph" w:customStyle="1" w:styleId="25">
    <w:name w:val="1"/>
    <w:basedOn w:val="1"/>
    <w:next w:val="9"/>
    <w:qFormat/>
    <w:uiPriority w:val="0"/>
    <w:rPr>
      <w:rFonts w:ascii="宋体" w:hAnsi="Courier New"/>
      <w:sz w:val="21"/>
    </w:rPr>
  </w:style>
  <w:style w:type="paragraph" w:customStyle="1" w:styleId="26">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paragraph" w:customStyle="1" w:styleId="27">
    <w:name w:val="目录 53"/>
    <w:next w:val="1"/>
    <w:qFormat/>
    <w:uiPriority w:val="0"/>
    <w:pPr>
      <w:wordWrap w:val="0"/>
      <w:ind w:left="1275"/>
      <w:jc w:val="both"/>
    </w:pPr>
    <w:rPr>
      <w:rFonts w:ascii="Times New Roman" w:hAnsi="Times New Roman" w:eastAsia="宋体" w:cs="Times New Roman"/>
      <w:sz w:val="21"/>
      <w:szCs w:val="22"/>
      <w:lang w:val="en-US" w:eastAsia="zh-CN" w:bidi="ar-SA"/>
    </w:rPr>
  </w:style>
  <w:style w:type="paragraph" w:customStyle="1" w:styleId="2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9">
    <w:name w:val="目录 3 Char"/>
    <w:link w:val="8"/>
    <w:qFormat/>
    <w:uiPriority w:val="0"/>
  </w:style>
  <w:style w:type="paragraph" w:customStyle="1" w:styleId="30">
    <w:name w:val="标题样式"/>
    <w:basedOn w:val="1"/>
    <w:next w:val="1"/>
    <w:qFormat/>
    <w:uiPriority w:val="1667"/>
    <w:pPr>
      <w:jc w:val="center"/>
    </w:pPr>
    <w:rPr>
      <w:b/>
      <w:kern w:val="0"/>
      <w:sz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20983</Words>
  <Characters>21541</Characters>
  <Lines>0</Lines>
  <Paragraphs>0</Paragraphs>
  <TotalTime>257</TotalTime>
  <ScaleCrop>false</ScaleCrop>
  <LinksUpToDate>false</LinksUpToDate>
  <CharactersWithSpaces>21758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2024-11-04T05:13:00Z</dcterms:created>
  <dc:creator>Administrator</dc:creator>
  <cp:lastModifiedBy>杨阳</cp:lastModifiedBy>
  <cp:lastPrinted>2026-07-27T00:47:00Z</cp:lastPrinted>
  <dcterms:modified xsi:type="dcterms:W3CDTF">2026-07-27T09:11:55Z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6988321912C04F52BB210529782F3C2B_13</vt:lpwstr>
  </property>
  <property fmtid="{D5CDD505-2E9C-101B-9397-08002B2CF9AE}" pid="4" name="KSOTemplateDocerSaveRecord">
    <vt:lpwstr>eyJoZGlkIjoiM2YwNDZhY2Q1OTRiMjk2ZmQzYzg3MTExYmU1ZjJlMWMiLCJ1c2VySWQiOiI3MjgxMjA4NjMifQ==</vt:lpwstr>
  </property>
</Properties>
</file>