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auto"/>
          <w:sz w:val="44"/>
          <w:szCs w:val="44"/>
        </w:rPr>
      </w:pPr>
    </w:p>
    <w:p>
      <w:pPr>
        <w:spacing w:line="360" w:lineRule="auto"/>
        <w:jc w:val="center"/>
        <w:rPr>
          <w:rFonts w:ascii="宋体" w:hAnsi="宋体" w:cs="宋体"/>
          <w:color w:val="auto"/>
          <w:sz w:val="96"/>
          <w:szCs w:val="96"/>
        </w:rPr>
      </w:pPr>
      <w:r>
        <w:rPr>
          <w:rFonts w:hint="eastAsia" w:ascii="宋体" w:hAnsi="宋体" w:cs="宋体"/>
          <w:color w:val="auto"/>
          <w:sz w:val="96"/>
          <w:szCs w:val="96"/>
        </w:rPr>
        <w:t>采购文件</w:t>
      </w:r>
    </w:p>
    <w:p>
      <w:pPr>
        <w:spacing w:line="360" w:lineRule="auto"/>
        <w:rPr>
          <w:rFonts w:ascii="宋体" w:hAnsi="宋体" w:cs="宋体"/>
          <w:color w:val="auto"/>
          <w:sz w:val="44"/>
          <w:szCs w:val="44"/>
        </w:rPr>
      </w:pPr>
    </w:p>
    <w:p>
      <w:pPr>
        <w:spacing w:line="360" w:lineRule="auto"/>
        <w:rPr>
          <w:rFonts w:ascii="宋体" w:hAnsi="宋体" w:cs="宋体"/>
          <w:color w:val="auto"/>
          <w:sz w:val="44"/>
          <w:szCs w:val="44"/>
        </w:rPr>
      </w:pPr>
    </w:p>
    <w:p>
      <w:pPr>
        <w:spacing w:line="360" w:lineRule="auto"/>
        <w:rPr>
          <w:rFonts w:ascii="宋体" w:hAnsi="宋体" w:cs="宋体"/>
          <w:color w:val="auto"/>
          <w:sz w:val="44"/>
          <w:szCs w:val="44"/>
        </w:rPr>
      </w:pPr>
    </w:p>
    <w:p>
      <w:pPr>
        <w:spacing w:line="360" w:lineRule="auto"/>
        <w:rPr>
          <w:rFonts w:ascii="宋体" w:hAnsi="宋体" w:cs="宋体"/>
          <w:color w:val="auto"/>
          <w:sz w:val="36"/>
          <w:szCs w:val="36"/>
        </w:rPr>
      </w:pPr>
    </w:p>
    <w:p>
      <w:pPr>
        <w:spacing w:line="360" w:lineRule="auto"/>
        <w:rPr>
          <w:rFonts w:ascii="宋体" w:hAnsi="宋体" w:cs="宋体"/>
          <w:color w:val="auto"/>
          <w:sz w:val="36"/>
          <w:szCs w:val="36"/>
        </w:rPr>
      </w:pPr>
    </w:p>
    <w:p>
      <w:pPr>
        <w:spacing w:line="360" w:lineRule="auto"/>
        <w:ind w:right="-143" w:rightChars="-51"/>
        <w:rPr>
          <w:rFonts w:ascii="宋体" w:hAnsi="宋体" w:cs="宋体"/>
          <w:color w:val="auto"/>
          <w:sz w:val="36"/>
          <w:szCs w:val="36"/>
        </w:rPr>
      </w:pPr>
      <w:r>
        <w:rPr>
          <w:rFonts w:hint="eastAsia" w:ascii="宋体" w:hAnsi="宋体" w:cs="宋体"/>
          <w:color w:val="auto"/>
          <w:sz w:val="36"/>
          <w:szCs w:val="36"/>
        </w:rPr>
        <w:t>项目名称</w:t>
      </w:r>
      <w:r>
        <w:rPr>
          <w:rFonts w:hint="eastAsia" w:ascii="宋体" w:hAnsi="宋体" w:cs="宋体"/>
          <w:color w:val="auto"/>
          <w:spacing w:val="-20"/>
          <w:sz w:val="36"/>
          <w:szCs w:val="36"/>
        </w:rPr>
        <w:t>：</w:t>
      </w:r>
      <w:r>
        <w:rPr>
          <w:rFonts w:hint="eastAsia" w:ascii="宋体" w:hAnsi="宋体" w:cs="宋体"/>
          <w:color w:val="auto"/>
          <w:spacing w:val="-20"/>
          <w:sz w:val="36"/>
          <w:szCs w:val="36"/>
          <w:lang w:val="en-US" w:eastAsia="zh-CN"/>
        </w:rPr>
        <w:t>大渡口区实验小学锦天校区过道排危及主席台沉降、背景墙改造项目</w:t>
      </w:r>
    </w:p>
    <w:p>
      <w:pPr>
        <w:spacing w:line="360" w:lineRule="auto"/>
        <w:rPr>
          <w:rFonts w:hint="eastAsia" w:ascii="宋体" w:hAnsi="宋体" w:eastAsia="宋体" w:cs="宋体"/>
          <w:color w:val="auto"/>
          <w:sz w:val="36"/>
          <w:szCs w:val="36"/>
          <w:lang w:val="en-US" w:eastAsia="zh-CN"/>
        </w:rPr>
      </w:pPr>
      <w:r>
        <w:rPr>
          <w:rFonts w:hint="eastAsia" w:ascii="宋体" w:hAnsi="宋体" w:cs="宋体"/>
          <w:color w:val="auto"/>
          <w:sz w:val="36"/>
          <w:szCs w:val="36"/>
        </w:rPr>
        <w:t>项目编号</w:t>
      </w:r>
      <w:r>
        <w:rPr>
          <w:rFonts w:hint="eastAsia" w:ascii="宋体" w:hAnsi="宋体" w:cs="宋体"/>
          <w:color w:val="auto"/>
          <w:sz w:val="36"/>
          <w:szCs w:val="36"/>
          <w:highlight w:val="none"/>
        </w:rPr>
        <w:t>：</w:t>
      </w:r>
      <w:r>
        <w:rPr>
          <w:rFonts w:ascii="宋体" w:hAnsi="宋体" w:cs="宋体"/>
          <w:color w:val="auto"/>
          <w:sz w:val="36"/>
          <w:szCs w:val="36"/>
          <w:highlight w:val="none"/>
        </w:rPr>
        <w:t>DDKJY-202</w:t>
      </w:r>
      <w:r>
        <w:rPr>
          <w:rFonts w:hint="eastAsia" w:ascii="宋体" w:hAnsi="宋体" w:cs="宋体"/>
          <w:color w:val="auto"/>
          <w:sz w:val="36"/>
          <w:szCs w:val="36"/>
          <w:highlight w:val="none"/>
          <w:lang w:val="en-US" w:eastAsia="zh-CN"/>
        </w:rPr>
        <w:t>5</w:t>
      </w:r>
      <w:r>
        <w:rPr>
          <w:rFonts w:ascii="宋体" w:hAnsi="宋体" w:cs="宋体"/>
          <w:color w:val="auto"/>
          <w:sz w:val="36"/>
          <w:szCs w:val="36"/>
          <w:highlight w:val="none"/>
        </w:rPr>
        <w:t>02</w:t>
      </w:r>
      <w:r>
        <w:rPr>
          <w:rFonts w:hint="eastAsia" w:ascii="宋体" w:hAnsi="宋体" w:cs="宋体"/>
          <w:color w:val="auto"/>
          <w:sz w:val="36"/>
          <w:szCs w:val="36"/>
          <w:highlight w:val="none"/>
          <w:lang w:val="en-US" w:eastAsia="zh-CN"/>
        </w:rPr>
        <w:t>3</w:t>
      </w:r>
    </w:p>
    <w:p>
      <w:pPr>
        <w:spacing w:line="360" w:lineRule="auto"/>
        <w:ind w:firstLine="2880" w:firstLineChars="800"/>
        <w:rPr>
          <w:rFonts w:ascii="宋体" w:hAnsi="宋体" w:cs="宋体"/>
          <w:color w:val="auto"/>
          <w:sz w:val="36"/>
          <w:szCs w:val="36"/>
        </w:rPr>
      </w:pPr>
      <w:r>
        <w:rPr>
          <w:rFonts w:ascii="宋体" w:hAnsi="宋体" w:cs="宋体"/>
          <w:color w:val="auto"/>
          <w:sz w:val="36"/>
          <w:szCs w:val="36"/>
        </w:rPr>
        <w:t>（综合评估法）</w:t>
      </w:r>
    </w:p>
    <w:p>
      <w:pPr>
        <w:spacing w:line="360" w:lineRule="auto"/>
        <w:rPr>
          <w:rFonts w:ascii="宋体" w:hAnsi="宋体" w:cs="宋体"/>
          <w:color w:val="auto"/>
          <w:sz w:val="36"/>
          <w:szCs w:val="36"/>
        </w:rPr>
      </w:pPr>
    </w:p>
    <w:p>
      <w:pPr>
        <w:spacing w:line="360" w:lineRule="auto"/>
        <w:jc w:val="center"/>
        <w:rPr>
          <w:rFonts w:ascii="宋体" w:hAnsi="宋体" w:cs="宋体"/>
          <w:color w:val="auto"/>
          <w:sz w:val="48"/>
          <w:szCs w:val="32"/>
        </w:rPr>
      </w:pPr>
    </w:p>
    <w:p>
      <w:pPr>
        <w:pStyle w:val="5"/>
        <w:spacing w:line="360" w:lineRule="auto"/>
        <w:rPr>
          <w:rFonts w:ascii="宋体" w:hAnsi="宋体" w:cs="宋体"/>
          <w:color w:val="auto"/>
          <w:sz w:val="32"/>
          <w:szCs w:val="21"/>
        </w:rPr>
      </w:pPr>
    </w:p>
    <w:p>
      <w:pPr>
        <w:spacing w:line="360" w:lineRule="auto"/>
        <w:rPr>
          <w:rFonts w:ascii="宋体" w:hAnsi="宋体" w:cs="宋体"/>
          <w:color w:val="auto"/>
        </w:rPr>
      </w:pPr>
    </w:p>
    <w:p>
      <w:pPr>
        <w:spacing w:line="360" w:lineRule="auto"/>
        <w:rPr>
          <w:rFonts w:ascii="宋体" w:hAnsi="宋体" w:cs="宋体"/>
          <w:color w:val="auto"/>
          <w:sz w:val="36"/>
          <w:szCs w:val="36"/>
        </w:rPr>
      </w:pPr>
    </w:p>
    <w:p>
      <w:pPr>
        <w:spacing w:line="360" w:lineRule="auto"/>
        <w:ind w:firstLine="1080" w:firstLineChars="300"/>
        <w:rPr>
          <w:rFonts w:ascii="宋体" w:hAnsi="宋体" w:cs="宋体"/>
          <w:color w:val="auto"/>
          <w:sz w:val="36"/>
          <w:szCs w:val="36"/>
        </w:rPr>
      </w:pPr>
      <w:r>
        <w:rPr>
          <w:rFonts w:hint="eastAsia" w:ascii="宋体" w:hAnsi="宋体" w:cs="宋体"/>
          <w:color w:val="auto"/>
          <w:sz w:val="36"/>
          <w:szCs w:val="36"/>
        </w:rPr>
        <w:t>采   购   人：重庆市大渡口区实验小学</w:t>
      </w:r>
    </w:p>
    <w:p>
      <w:pPr>
        <w:spacing w:line="360" w:lineRule="auto"/>
        <w:ind w:firstLine="1080" w:firstLineChars="300"/>
        <w:rPr>
          <w:rFonts w:ascii="宋体" w:hAnsi="宋体" w:cs="宋体"/>
          <w:color w:val="auto"/>
          <w:sz w:val="36"/>
          <w:szCs w:val="36"/>
        </w:rPr>
      </w:pPr>
      <w:r>
        <w:rPr>
          <w:rFonts w:hint="eastAsia" w:ascii="宋体" w:hAnsi="宋体" w:cs="宋体"/>
          <w:color w:val="auto"/>
          <w:sz w:val="36"/>
          <w:szCs w:val="36"/>
        </w:rPr>
        <w:t>采购代理机构：</w:t>
      </w:r>
      <w:r>
        <w:rPr>
          <w:rFonts w:hint="eastAsia" w:ascii="宋体" w:hAnsi="宋体" w:cs="宋体"/>
          <w:color w:val="auto"/>
          <w:sz w:val="36"/>
          <w:szCs w:val="36"/>
        </w:rPr>
        <w:fldChar w:fldCharType="begin"/>
      </w:r>
      <w:r>
        <w:rPr>
          <w:rFonts w:hint="eastAsia" w:ascii="宋体" w:hAnsi="宋体" w:cs="宋体"/>
          <w:color w:val="auto"/>
          <w:sz w:val="36"/>
          <w:szCs w:val="36"/>
        </w:rPr>
        <w:instrText xml:space="preserve"> HYPERLINK "https://zjcs.cqggzy.com/cq-zjcs-pub/myItems" \o "" </w:instrText>
      </w:r>
      <w:r>
        <w:rPr>
          <w:rFonts w:hint="eastAsia" w:ascii="宋体" w:hAnsi="宋体" w:cs="宋体"/>
          <w:color w:val="auto"/>
          <w:sz w:val="36"/>
          <w:szCs w:val="36"/>
        </w:rPr>
        <w:fldChar w:fldCharType="separate"/>
      </w:r>
      <w:r>
        <w:rPr>
          <w:rFonts w:hint="eastAsia" w:ascii="宋体" w:hAnsi="宋体" w:cs="宋体"/>
          <w:color w:val="auto"/>
          <w:sz w:val="36"/>
          <w:szCs w:val="36"/>
        </w:rPr>
        <w:t>重庆速知达工程咨询有限公司</w:t>
      </w:r>
      <w:r>
        <w:rPr>
          <w:rFonts w:hint="eastAsia" w:ascii="宋体" w:hAnsi="宋体" w:cs="宋体"/>
          <w:color w:val="auto"/>
          <w:sz w:val="36"/>
          <w:szCs w:val="36"/>
        </w:rPr>
        <w:fldChar w:fldCharType="end"/>
      </w:r>
    </w:p>
    <w:p>
      <w:pPr>
        <w:spacing w:line="360" w:lineRule="auto"/>
        <w:jc w:val="center"/>
        <w:rPr>
          <w:rFonts w:ascii="宋体" w:hAnsi="宋体" w:cs="宋体"/>
          <w:color w:val="auto"/>
          <w:sz w:val="36"/>
          <w:szCs w:val="36"/>
        </w:rPr>
      </w:pPr>
    </w:p>
    <w:p>
      <w:pPr>
        <w:spacing w:line="360" w:lineRule="auto"/>
        <w:jc w:val="center"/>
        <w:rPr>
          <w:rFonts w:hint="eastAsia" w:ascii="宋体" w:hAnsi="宋体" w:cs="宋体"/>
          <w:color w:val="auto"/>
          <w:sz w:val="36"/>
          <w:szCs w:val="36"/>
        </w:rPr>
        <w:sectPr>
          <w:headerReference r:id="rId3" w:type="default"/>
          <w:pgSz w:w="11906" w:h="16838"/>
          <w:pgMar w:top="1134" w:right="1134" w:bottom="1134" w:left="1417" w:header="851" w:footer="992" w:gutter="0"/>
          <w:cols w:space="425" w:num="1"/>
          <w:docGrid w:type="lines" w:linePitch="312" w:charSpace="0"/>
        </w:sectPr>
      </w:pPr>
      <w:r>
        <w:rPr>
          <w:rFonts w:hint="eastAsia" w:ascii="宋体" w:hAnsi="宋体" w:cs="宋体"/>
          <w:color w:val="auto"/>
          <w:sz w:val="36"/>
          <w:szCs w:val="36"/>
        </w:rPr>
        <w:t>二〇二</w:t>
      </w:r>
      <w:r>
        <w:rPr>
          <w:rFonts w:hint="eastAsia" w:ascii="宋体" w:hAnsi="宋体" w:cs="宋体"/>
          <w:color w:val="auto"/>
          <w:sz w:val="36"/>
          <w:szCs w:val="36"/>
          <w:lang w:val="en-US" w:eastAsia="zh-CN"/>
        </w:rPr>
        <w:t>五</w:t>
      </w:r>
      <w:r>
        <w:rPr>
          <w:rFonts w:hint="eastAsia" w:ascii="宋体" w:hAnsi="宋体" w:cs="宋体"/>
          <w:color w:val="auto"/>
          <w:sz w:val="36"/>
          <w:szCs w:val="36"/>
        </w:rPr>
        <w:t>年</w:t>
      </w:r>
      <w:r>
        <w:rPr>
          <w:rFonts w:hint="eastAsia" w:ascii="宋体" w:hAnsi="宋体" w:cs="宋体"/>
          <w:color w:val="auto"/>
          <w:sz w:val="36"/>
          <w:szCs w:val="36"/>
          <w:lang w:eastAsia="zh-CN"/>
        </w:rPr>
        <w:t>七</w:t>
      </w:r>
      <w:r>
        <w:rPr>
          <w:rFonts w:hint="eastAsia" w:ascii="宋体" w:hAnsi="宋体" w:cs="宋体"/>
          <w:color w:val="auto"/>
          <w:sz w:val="36"/>
          <w:szCs w:val="36"/>
        </w:rPr>
        <w:t>月</w:t>
      </w:r>
    </w:p>
    <w:sdt>
      <w:sdtPr>
        <w:rPr>
          <w:rFonts w:hint="eastAsia" w:ascii="宋体" w:hAnsi="宋体" w:eastAsia="黑体" w:cs="宋体"/>
          <w:b/>
          <w:color w:val="auto"/>
          <w:sz w:val="32"/>
          <w:szCs w:val="24"/>
        </w:rPr>
        <w:id w:val="147456414"/>
        <w:docPartObj>
          <w:docPartGallery w:val="Table of Contents"/>
          <w:docPartUnique/>
        </w:docPartObj>
      </w:sdtPr>
      <w:sdtEndPr>
        <w:rPr>
          <w:rFonts w:hint="eastAsia" w:ascii="宋体" w:hAnsi="宋体" w:eastAsia="黑体" w:cs="宋体"/>
          <w:b/>
          <w:color w:val="auto"/>
          <w:sz w:val="32"/>
          <w:szCs w:val="24"/>
        </w:rPr>
      </w:sdtEndPr>
      <w:sdtContent>
        <w:p>
          <w:pPr>
            <w:spacing w:line="360" w:lineRule="auto"/>
            <w:jc w:val="center"/>
            <w:rPr>
              <w:rFonts w:ascii="宋体" w:hAnsi="宋体" w:cs="宋体"/>
              <w:color w:val="auto"/>
              <w:sz w:val="40"/>
              <w:szCs w:val="24"/>
            </w:rPr>
          </w:pPr>
          <w:r>
            <w:rPr>
              <w:rFonts w:hint="eastAsia" w:ascii="宋体" w:hAnsi="宋体" w:cs="宋体"/>
              <w:color w:val="auto"/>
              <w:szCs w:val="24"/>
            </w:rPr>
            <w:t>目  录</w:t>
          </w:r>
        </w:p>
        <w:p>
          <w:pPr>
            <w:pStyle w:val="20"/>
            <w:tabs>
              <w:tab w:val="right" w:leader="dot" w:pos="9355"/>
            </w:tabs>
            <w:rPr>
              <w:color w:val="auto"/>
            </w:rPr>
          </w:pPr>
          <w:r>
            <w:rPr>
              <w:rFonts w:hint="eastAsia" w:ascii="宋体" w:hAnsi="宋体" w:cs="宋体"/>
              <w:color w:val="auto"/>
              <w:sz w:val="28"/>
              <w:szCs w:val="18"/>
            </w:rPr>
            <w:fldChar w:fldCharType="begin"/>
          </w:r>
          <w:r>
            <w:rPr>
              <w:rFonts w:hint="eastAsia" w:ascii="宋体" w:hAnsi="宋体" w:cs="宋体"/>
              <w:color w:val="auto"/>
              <w:sz w:val="28"/>
              <w:szCs w:val="18"/>
            </w:rPr>
            <w:instrText xml:space="preserve">TOC \o "1-2" \h \u </w:instrText>
          </w:r>
          <w:r>
            <w:rPr>
              <w:rFonts w:hint="eastAsia" w:ascii="宋体" w:hAnsi="宋体" w:cs="宋体"/>
              <w:color w:val="auto"/>
              <w:sz w:val="28"/>
              <w:szCs w:val="18"/>
            </w:rPr>
            <w:fldChar w:fldCharType="separate"/>
          </w:r>
          <w:r>
            <w:rPr>
              <w:color w:val="auto"/>
            </w:rPr>
            <w:fldChar w:fldCharType="begin"/>
          </w:r>
          <w:r>
            <w:rPr>
              <w:color w:val="auto"/>
            </w:rPr>
            <w:instrText xml:space="preserve"> HYPERLINK \l "_Toc18876" </w:instrText>
          </w:r>
          <w:r>
            <w:rPr>
              <w:color w:val="auto"/>
            </w:rPr>
            <w:fldChar w:fldCharType="separate"/>
          </w:r>
          <w:r>
            <w:rPr>
              <w:rFonts w:hint="eastAsia" w:ascii="宋体" w:hAnsi="宋体" w:cs="宋体"/>
              <w:color w:val="auto"/>
              <w:szCs w:val="15"/>
            </w:rPr>
            <w:t>第一篇 采购公告</w:t>
          </w:r>
          <w:r>
            <w:rPr>
              <w:color w:val="auto"/>
            </w:rPr>
            <w:tab/>
          </w:r>
          <w:r>
            <w:rPr>
              <w:rFonts w:hint="eastAsia"/>
              <w:color w:val="auto"/>
            </w:rPr>
            <w:t>2</w:t>
          </w:r>
          <w:r>
            <w:rPr>
              <w:rFonts w:hint="eastAsia"/>
              <w:color w:val="auto"/>
            </w:rPr>
            <w:fldChar w:fldCharType="end"/>
          </w:r>
        </w:p>
        <w:p>
          <w:pPr>
            <w:pStyle w:val="20"/>
            <w:tabs>
              <w:tab w:val="right" w:leader="dot" w:pos="9355"/>
            </w:tabs>
            <w:rPr>
              <w:color w:val="auto"/>
            </w:rPr>
          </w:pPr>
          <w:r>
            <w:rPr>
              <w:color w:val="auto"/>
            </w:rPr>
            <w:fldChar w:fldCharType="begin"/>
          </w:r>
          <w:r>
            <w:rPr>
              <w:color w:val="auto"/>
            </w:rPr>
            <w:instrText xml:space="preserve"> HYPERLINK \l "_Toc908" </w:instrText>
          </w:r>
          <w:r>
            <w:rPr>
              <w:color w:val="auto"/>
            </w:rPr>
            <w:fldChar w:fldCharType="separate"/>
          </w:r>
          <w:r>
            <w:rPr>
              <w:rFonts w:hint="eastAsia" w:ascii="宋体" w:hAnsi="宋体" w:cs="宋体"/>
              <w:color w:val="auto"/>
              <w:szCs w:val="15"/>
            </w:rPr>
            <w:t>第二篇 项目技术需求</w:t>
          </w:r>
          <w:r>
            <w:rPr>
              <w:color w:val="auto"/>
            </w:rPr>
            <w:tab/>
          </w:r>
          <w:r>
            <w:rPr>
              <w:rFonts w:hint="eastAsia"/>
              <w:color w:val="auto"/>
            </w:rPr>
            <w:t>5</w:t>
          </w:r>
          <w:r>
            <w:rPr>
              <w:rFonts w:hint="eastAsia"/>
              <w:color w:val="auto"/>
            </w:rPr>
            <w:fldChar w:fldCharType="end"/>
          </w:r>
        </w:p>
        <w:p>
          <w:pPr>
            <w:pStyle w:val="20"/>
            <w:tabs>
              <w:tab w:val="right" w:leader="dot" w:pos="9355"/>
            </w:tabs>
            <w:rPr>
              <w:color w:val="auto"/>
            </w:rPr>
          </w:pPr>
          <w:r>
            <w:rPr>
              <w:color w:val="auto"/>
            </w:rPr>
            <w:fldChar w:fldCharType="begin"/>
          </w:r>
          <w:r>
            <w:rPr>
              <w:color w:val="auto"/>
            </w:rPr>
            <w:instrText xml:space="preserve"> HYPERLINK \l "_Toc7601" </w:instrText>
          </w:r>
          <w:r>
            <w:rPr>
              <w:color w:val="auto"/>
            </w:rPr>
            <w:fldChar w:fldCharType="separate"/>
          </w:r>
          <w:r>
            <w:rPr>
              <w:rFonts w:hint="eastAsia" w:ascii="宋体" w:hAnsi="宋体" w:cs="宋体"/>
              <w:color w:val="auto"/>
              <w:szCs w:val="15"/>
            </w:rPr>
            <w:t>第三篇 项目商务需求</w:t>
          </w:r>
          <w:r>
            <w:rPr>
              <w:color w:val="auto"/>
            </w:rPr>
            <w:tab/>
          </w:r>
          <w:r>
            <w:rPr>
              <w:rFonts w:hint="eastAsia"/>
              <w:color w:val="auto"/>
              <w:lang w:val="en-US" w:eastAsia="zh-CN"/>
            </w:rPr>
            <w:t>7</w:t>
          </w:r>
          <w:r>
            <w:rPr>
              <w:rFonts w:hint="eastAsia"/>
              <w:color w:val="auto"/>
            </w:rPr>
            <w:fldChar w:fldCharType="end"/>
          </w:r>
        </w:p>
        <w:p>
          <w:pPr>
            <w:pStyle w:val="20"/>
            <w:tabs>
              <w:tab w:val="right" w:leader="dot" w:pos="9355"/>
            </w:tabs>
            <w:rPr>
              <w:rFonts w:hint="default" w:eastAsia="宋体"/>
              <w:color w:val="auto"/>
              <w:lang w:val="en-US" w:eastAsia="zh-CN"/>
            </w:rPr>
          </w:pPr>
          <w:r>
            <w:rPr>
              <w:color w:val="auto"/>
            </w:rPr>
            <w:fldChar w:fldCharType="begin"/>
          </w:r>
          <w:r>
            <w:rPr>
              <w:color w:val="auto"/>
            </w:rPr>
            <w:instrText xml:space="preserve"> HYPERLINK \l "_Toc3318" </w:instrText>
          </w:r>
          <w:r>
            <w:rPr>
              <w:color w:val="auto"/>
            </w:rPr>
            <w:fldChar w:fldCharType="separate"/>
          </w:r>
          <w:r>
            <w:rPr>
              <w:rFonts w:hint="eastAsia" w:ascii="宋体" w:hAnsi="宋体" w:cs="宋体"/>
              <w:color w:val="auto"/>
              <w:szCs w:val="15"/>
            </w:rPr>
            <w:t>第四篇 评选方法、 评审标准、无效响应、采购终止</w:t>
          </w:r>
          <w:r>
            <w:rPr>
              <w:color w:val="auto"/>
            </w:rPr>
            <w:tab/>
          </w:r>
          <w:r>
            <w:rPr>
              <w:color w:val="auto"/>
            </w:rPr>
            <w:fldChar w:fldCharType="end"/>
          </w:r>
          <w:r>
            <w:rPr>
              <w:rFonts w:hint="eastAsia"/>
              <w:color w:val="auto"/>
              <w:lang w:val="en-US" w:eastAsia="zh-CN"/>
            </w:rPr>
            <w:t>14</w:t>
          </w:r>
        </w:p>
        <w:p>
          <w:pPr>
            <w:pStyle w:val="20"/>
            <w:tabs>
              <w:tab w:val="right" w:leader="dot" w:pos="9355"/>
            </w:tabs>
            <w:rPr>
              <w:rFonts w:hint="eastAsia" w:eastAsia="宋体"/>
              <w:color w:val="auto"/>
              <w:lang w:eastAsia="zh-CN"/>
            </w:rPr>
          </w:pPr>
          <w:r>
            <w:rPr>
              <w:color w:val="auto"/>
            </w:rPr>
            <w:fldChar w:fldCharType="begin"/>
          </w:r>
          <w:r>
            <w:rPr>
              <w:color w:val="auto"/>
            </w:rPr>
            <w:instrText xml:space="preserve"> HYPERLINK \l "_Toc23580" </w:instrText>
          </w:r>
          <w:r>
            <w:rPr>
              <w:color w:val="auto"/>
            </w:rPr>
            <w:fldChar w:fldCharType="separate"/>
          </w:r>
          <w:r>
            <w:rPr>
              <w:rFonts w:hint="eastAsia" w:ascii="宋体" w:hAnsi="宋体" w:cs="宋体"/>
              <w:color w:val="auto"/>
              <w:szCs w:val="15"/>
            </w:rPr>
            <w:t xml:space="preserve">第五篇 </w:t>
          </w:r>
          <w:r>
            <w:rPr>
              <w:rFonts w:hint="eastAsia" w:ascii="宋体" w:hAnsi="宋体" w:cs="宋体"/>
              <w:color w:val="auto"/>
              <w:szCs w:val="30"/>
            </w:rPr>
            <w:t>供应商须知</w:t>
          </w:r>
          <w:r>
            <w:rPr>
              <w:color w:val="auto"/>
            </w:rPr>
            <w:tab/>
          </w:r>
          <w:r>
            <w:rPr>
              <w:rFonts w:hint="eastAsia"/>
              <w:color w:val="auto"/>
              <w:lang w:val="en-US" w:eastAsia="zh-CN"/>
            </w:rPr>
            <w:t>1</w:t>
          </w:r>
          <w:r>
            <w:rPr>
              <w:rFonts w:hint="eastAsia"/>
              <w:color w:val="auto"/>
            </w:rPr>
            <w:fldChar w:fldCharType="end"/>
          </w:r>
          <w:r>
            <w:rPr>
              <w:rFonts w:hint="eastAsia" w:ascii="宋体" w:hAnsi="宋体" w:cs="宋体"/>
              <w:color w:val="auto"/>
              <w:szCs w:val="18"/>
              <w:lang w:val="en-US" w:eastAsia="zh-CN"/>
            </w:rPr>
            <w:t>9</w:t>
          </w:r>
        </w:p>
        <w:p>
          <w:pPr>
            <w:pStyle w:val="20"/>
            <w:tabs>
              <w:tab w:val="right" w:leader="dot" w:pos="9355"/>
            </w:tabs>
            <w:rPr>
              <w:rFonts w:hint="eastAsia" w:eastAsia="宋体"/>
              <w:color w:val="auto"/>
              <w:lang w:val="en-US" w:eastAsia="zh-CN"/>
            </w:rPr>
          </w:pPr>
          <w:r>
            <w:rPr>
              <w:color w:val="auto"/>
            </w:rPr>
            <w:fldChar w:fldCharType="begin"/>
          </w:r>
          <w:r>
            <w:rPr>
              <w:color w:val="auto"/>
            </w:rPr>
            <w:instrText xml:space="preserve"> HYPERLINK \l "_Toc31431" </w:instrText>
          </w:r>
          <w:r>
            <w:rPr>
              <w:color w:val="auto"/>
            </w:rPr>
            <w:fldChar w:fldCharType="separate"/>
          </w:r>
          <w:r>
            <w:rPr>
              <w:rFonts w:hint="eastAsia" w:ascii="宋体" w:hAnsi="宋体" w:cs="宋体"/>
              <w:color w:val="auto"/>
              <w:szCs w:val="15"/>
            </w:rPr>
            <w:t xml:space="preserve">第六篇 </w:t>
          </w:r>
          <w:r>
            <w:rPr>
              <w:rFonts w:hint="eastAsia" w:ascii="宋体" w:hAnsi="宋体" w:cs="宋体"/>
              <w:color w:val="auto"/>
              <w:szCs w:val="36"/>
            </w:rPr>
            <w:t>合同条款及格式</w:t>
          </w:r>
          <w:r>
            <w:rPr>
              <w:color w:val="auto"/>
            </w:rPr>
            <w:tab/>
          </w:r>
          <w:r>
            <w:rPr>
              <w:rFonts w:hint="eastAsia"/>
              <w:color w:val="auto"/>
              <w:lang w:val="en-US" w:eastAsia="zh-CN"/>
            </w:rPr>
            <w:t>2</w:t>
          </w:r>
          <w:r>
            <w:rPr>
              <w:color w:val="auto"/>
            </w:rPr>
            <w:fldChar w:fldCharType="end"/>
          </w:r>
          <w:r>
            <w:rPr>
              <w:rFonts w:hint="eastAsia"/>
              <w:color w:val="auto"/>
              <w:lang w:val="en-US" w:eastAsia="zh-CN"/>
            </w:rPr>
            <w:t>4</w:t>
          </w:r>
        </w:p>
        <w:p>
          <w:pPr>
            <w:pStyle w:val="20"/>
            <w:tabs>
              <w:tab w:val="right" w:leader="dot" w:pos="9355"/>
            </w:tabs>
            <w:rPr>
              <w:rFonts w:hint="eastAsia" w:eastAsia="宋体"/>
              <w:color w:val="auto"/>
              <w:lang w:eastAsia="zh-CN"/>
            </w:rPr>
          </w:pPr>
          <w:r>
            <w:rPr>
              <w:color w:val="auto"/>
            </w:rPr>
            <w:fldChar w:fldCharType="begin"/>
          </w:r>
          <w:r>
            <w:rPr>
              <w:color w:val="auto"/>
            </w:rPr>
            <w:instrText xml:space="preserve"> HYPERLINK \l "_Toc4763" </w:instrText>
          </w:r>
          <w:r>
            <w:rPr>
              <w:color w:val="auto"/>
            </w:rPr>
            <w:fldChar w:fldCharType="separate"/>
          </w:r>
          <w:r>
            <w:rPr>
              <w:rFonts w:hint="eastAsia" w:ascii="宋体" w:hAnsi="宋体" w:cs="宋体"/>
              <w:color w:val="auto"/>
              <w:szCs w:val="15"/>
            </w:rPr>
            <w:t>第七篇 响应文件格式</w:t>
          </w:r>
          <w:r>
            <w:rPr>
              <w:color w:val="auto"/>
            </w:rPr>
            <w:tab/>
          </w:r>
          <w:r>
            <w:rPr>
              <w:rFonts w:hint="eastAsia"/>
              <w:color w:val="auto"/>
            </w:rPr>
            <w:t>3</w:t>
          </w:r>
          <w:r>
            <w:rPr>
              <w:rFonts w:hint="eastAsia"/>
              <w:color w:val="auto"/>
            </w:rPr>
            <w:fldChar w:fldCharType="end"/>
          </w:r>
          <w:r>
            <w:rPr>
              <w:rFonts w:hint="eastAsia" w:ascii="宋体" w:hAnsi="宋体" w:cs="宋体"/>
              <w:color w:val="auto"/>
              <w:szCs w:val="18"/>
              <w:lang w:val="en-US" w:eastAsia="zh-CN"/>
            </w:rPr>
            <w:t>1</w:t>
          </w:r>
        </w:p>
        <w:p>
          <w:pPr>
            <w:pStyle w:val="3"/>
            <w:spacing w:line="360" w:lineRule="auto"/>
            <w:jc w:val="center"/>
            <w:rPr>
              <w:rFonts w:ascii="宋体" w:hAnsi="宋体" w:eastAsia="宋体" w:cs="宋体"/>
              <w:color w:val="auto"/>
            </w:rPr>
            <w:sectPr>
              <w:footerReference r:id="rId4" w:type="default"/>
              <w:pgSz w:w="11906" w:h="16838"/>
              <w:pgMar w:top="1134" w:right="1134" w:bottom="1134" w:left="1417" w:header="851" w:footer="992" w:gutter="0"/>
              <w:pgNumType w:start="1"/>
              <w:cols w:space="425" w:num="1"/>
              <w:docGrid w:type="lines" w:linePitch="312" w:charSpace="0"/>
            </w:sectPr>
          </w:pPr>
          <w:r>
            <w:rPr>
              <w:rFonts w:hint="eastAsia" w:ascii="宋体" w:hAnsi="宋体" w:eastAsia="宋体" w:cs="宋体"/>
              <w:color w:val="auto"/>
              <w:szCs w:val="18"/>
            </w:rPr>
            <w:fldChar w:fldCharType="end"/>
          </w:r>
        </w:p>
      </w:sdtContent>
    </w:sdt>
    <w:p>
      <w:pPr>
        <w:pStyle w:val="2"/>
        <w:numPr>
          <w:ilvl w:val="0"/>
          <w:numId w:val="1"/>
        </w:numPr>
        <w:spacing w:line="360" w:lineRule="auto"/>
        <w:jc w:val="center"/>
        <w:rPr>
          <w:rFonts w:ascii="宋体" w:hAnsi="宋体" w:cs="宋体"/>
          <w:color w:val="auto"/>
          <w:sz w:val="32"/>
          <w:szCs w:val="15"/>
        </w:rPr>
      </w:pPr>
      <w:r>
        <w:rPr>
          <w:rFonts w:hint="eastAsia" w:ascii="宋体" w:hAnsi="宋体" w:cs="宋体"/>
          <w:color w:val="auto"/>
          <w:sz w:val="32"/>
          <w:szCs w:val="15"/>
        </w:rPr>
        <w:t xml:space="preserve"> </w:t>
      </w:r>
      <w:bookmarkStart w:id="0" w:name="_Toc18876"/>
      <w:r>
        <w:rPr>
          <w:rFonts w:hint="eastAsia" w:ascii="宋体" w:hAnsi="宋体" w:cs="宋体"/>
          <w:color w:val="auto"/>
          <w:sz w:val="32"/>
          <w:szCs w:val="15"/>
        </w:rPr>
        <w:t>采购</w:t>
      </w:r>
      <w:bookmarkEnd w:id="0"/>
      <w:r>
        <w:rPr>
          <w:rFonts w:hint="eastAsia" w:ascii="宋体" w:hAnsi="宋体" w:cs="宋体"/>
          <w:color w:val="auto"/>
          <w:sz w:val="32"/>
          <w:szCs w:val="15"/>
        </w:rPr>
        <w:t>公告</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"https://zjcs.cqggzy.com/cq-zjcs-pub/myItems" \o "" </w:instrText>
      </w:r>
      <w:r>
        <w:rPr>
          <w:rFonts w:hint="eastAsia" w:ascii="宋体" w:hAnsi="宋体" w:cs="宋体"/>
          <w:color w:val="auto"/>
          <w:sz w:val="24"/>
          <w:szCs w:val="24"/>
        </w:rPr>
        <w:fldChar w:fldCharType="separate"/>
      </w:r>
      <w:r>
        <w:rPr>
          <w:rFonts w:hint="eastAsia" w:ascii="宋体" w:hAnsi="宋体" w:cs="宋体"/>
          <w:color w:val="auto"/>
          <w:sz w:val="24"/>
          <w:szCs w:val="24"/>
        </w:rPr>
        <w:t>重庆速知达工程咨询有限公司</w:t>
      </w:r>
      <w:r>
        <w:rPr>
          <w:rFonts w:hint="eastAsia" w:ascii="宋体" w:hAnsi="宋体" w:cs="宋体"/>
          <w:color w:val="auto"/>
          <w:sz w:val="24"/>
          <w:szCs w:val="24"/>
        </w:rPr>
        <w:fldChar w:fldCharType="end"/>
      </w:r>
      <w:r>
        <w:rPr>
          <w:rFonts w:hint="eastAsia" w:ascii="宋体" w:hAnsi="宋体" w:cs="宋体"/>
          <w:color w:val="auto"/>
          <w:sz w:val="24"/>
          <w:szCs w:val="24"/>
        </w:rPr>
        <w:t>（以下简称：采购代理机构）接受重庆市大渡口区实验小学（以下简称：采购人）的委托，对</w:t>
      </w:r>
      <w:r>
        <w:rPr>
          <w:rFonts w:hint="eastAsia" w:ascii="宋体" w:hAnsi="宋体" w:cs="宋体"/>
          <w:color w:val="auto"/>
          <w:sz w:val="24"/>
          <w:szCs w:val="24"/>
          <w:lang w:val="en-US" w:eastAsia="zh-CN"/>
        </w:rPr>
        <w:t>大渡口区实验小学锦天校区过道排危及主席台沉降、背景墙改造项目</w:t>
      </w:r>
      <w:r>
        <w:rPr>
          <w:rFonts w:hint="eastAsia" w:ascii="宋体" w:hAnsi="宋体" w:cs="宋体"/>
          <w:color w:val="auto"/>
          <w:sz w:val="24"/>
          <w:szCs w:val="24"/>
        </w:rPr>
        <w:t>进行采购。欢迎有资格的供应商前来参与。</w:t>
      </w:r>
    </w:p>
    <w:p>
      <w:pPr>
        <w:spacing w:line="360" w:lineRule="auto"/>
        <w:ind w:firstLine="281" w:firstLineChars="100"/>
        <w:outlineLvl w:val="1"/>
        <w:rPr>
          <w:rFonts w:ascii="宋体" w:hAnsi="宋体" w:cs="宋体"/>
          <w:b/>
          <w:bCs/>
          <w:color w:val="auto"/>
          <w:szCs w:val="28"/>
        </w:rPr>
      </w:pPr>
      <w:bookmarkStart w:id="1" w:name="_Toc3484"/>
      <w:bookmarkStart w:id="2" w:name="_Toc12306_WPSOffice_Level2"/>
      <w:bookmarkStart w:id="3" w:name="_Toc4270_WPSOffice_Level2"/>
      <w:bookmarkStart w:id="4" w:name="_Toc13254_WPSOffice_Level2"/>
      <w:bookmarkStart w:id="5" w:name="_Toc29980"/>
      <w:bookmarkStart w:id="6" w:name="_Toc12376_WPSOffice_Level2"/>
      <w:bookmarkStart w:id="7" w:name="_Toc15554_WPSOffice_Level2"/>
      <w:bookmarkStart w:id="8" w:name="_Toc611"/>
      <w:bookmarkStart w:id="9" w:name="_Toc17865"/>
      <w:bookmarkStart w:id="10" w:name="_Toc31876_WPSOffice_Level2"/>
      <w:bookmarkStart w:id="11" w:name="_Toc28089_WPSOffice_Level2"/>
      <w:bookmarkStart w:id="12" w:name="_Toc21857"/>
      <w:r>
        <w:rPr>
          <w:rFonts w:hint="eastAsia" w:ascii="宋体" w:hAnsi="宋体" w:cs="宋体"/>
          <w:b/>
          <w:bCs/>
          <w:color w:val="auto"/>
          <w:szCs w:val="28"/>
        </w:rPr>
        <w:t>一、采购内容</w:t>
      </w:r>
      <w:bookmarkEnd w:id="1"/>
    </w:p>
    <w:tbl>
      <w:tblPr>
        <w:tblStyle w:val="26"/>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3363"/>
        <w:gridCol w:w="1666"/>
        <w:gridCol w:w="1696"/>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47" w:type="dxa"/>
            <w:vAlign w:val="center"/>
          </w:tcPr>
          <w:p>
            <w:pPr>
              <w:pStyle w:val="13"/>
              <w:spacing w:line="240" w:lineRule="atLeast"/>
              <w:ind w:left="0"/>
              <w:jc w:val="center"/>
              <w:outlineLvl w:val="0"/>
              <w:rPr>
                <w:rFonts w:ascii="宋体" w:hAnsi="宋体" w:cs="宋体"/>
                <w:color w:val="auto"/>
                <w:sz w:val="24"/>
                <w:szCs w:val="24"/>
              </w:rPr>
            </w:pPr>
            <w:bookmarkStart w:id="13" w:name="_Toc20020"/>
            <w:bookmarkStart w:id="14" w:name="_Toc19437"/>
            <w:bookmarkStart w:id="15" w:name="_Toc15727"/>
            <w:bookmarkStart w:id="16" w:name="_Toc6462"/>
            <w:bookmarkStart w:id="17" w:name="_Toc15576"/>
            <w:bookmarkStart w:id="18" w:name="_Toc22399"/>
            <w:bookmarkStart w:id="19" w:name="_Toc1790"/>
            <w:bookmarkStart w:id="20" w:name="_Toc25190"/>
            <w:bookmarkStart w:id="21" w:name="_Toc373860293"/>
            <w:bookmarkStart w:id="22" w:name="_Toc317775178"/>
            <w:r>
              <w:rPr>
                <w:rFonts w:hint="eastAsia" w:ascii="宋体" w:hAnsi="宋体" w:cs="宋体"/>
                <w:color w:val="auto"/>
                <w:sz w:val="24"/>
                <w:szCs w:val="24"/>
              </w:rPr>
              <w:t>序号</w:t>
            </w:r>
            <w:bookmarkEnd w:id="13"/>
          </w:p>
        </w:tc>
        <w:tc>
          <w:tcPr>
            <w:tcW w:w="3363" w:type="dxa"/>
            <w:vAlign w:val="center"/>
          </w:tcPr>
          <w:p>
            <w:pPr>
              <w:pStyle w:val="13"/>
              <w:spacing w:line="240" w:lineRule="atLeast"/>
              <w:ind w:firstLine="240" w:firstLineChars="100"/>
              <w:outlineLvl w:val="0"/>
              <w:rPr>
                <w:rFonts w:ascii="宋体" w:hAnsi="宋体" w:cs="宋体"/>
                <w:color w:val="auto"/>
                <w:sz w:val="24"/>
                <w:szCs w:val="24"/>
              </w:rPr>
            </w:pPr>
            <w:bookmarkStart w:id="23" w:name="_Toc12340"/>
            <w:r>
              <w:rPr>
                <w:rFonts w:hint="eastAsia" w:ascii="宋体" w:hAnsi="宋体" w:cs="宋体"/>
                <w:color w:val="auto"/>
                <w:sz w:val="24"/>
                <w:szCs w:val="24"/>
              </w:rPr>
              <w:t>项目名称</w:t>
            </w:r>
            <w:bookmarkEnd w:id="23"/>
          </w:p>
        </w:tc>
        <w:tc>
          <w:tcPr>
            <w:tcW w:w="1666" w:type="dxa"/>
            <w:vAlign w:val="center"/>
          </w:tcPr>
          <w:p>
            <w:pPr>
              <w:pStyle w:val="13"/>
              <w:spacing w:line="240" w:lineRule="atLeast"/>
              <w:ind w:left="0"/>
              <w:jc w:val="center"/>
              <w:outlineLvl w:val="0"/>
              <w:rPr>
                <w:rFonts w:ascii="宋体" w:hAnsi="宋体" w:cs="宋体"/>
                <w:color w:val="auto"/>
                <w:sz w:val="24"/>
                <w:szCs w:val="24"/>
              </w:rPr>
            </w:pPr>
            <w:bookmarkStart w:id="24" w:name="_Toc1415"/>
            <w:r>
              <w:rPr>
                <w:rFonts w:hint="eastAsia" w:ascii="宋体" w:hAnsi="宋体" w:cs="宋体"/>
                <w:color w:val="auto"/>
                <w:sz w:val="24"/>
                <w:szCs w:val="24"/>
              </w:rPr>
              <w:t>最高限价（元）</w:t>
            </w:r>
            <w:bookmarkEnd w:id="24"/>
          </w:p>
        </w:tc>
        <w:tc>
          <w:tcPr>
            <w:tcW w:w="169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投标保证金（元）</w:t>
            </w:r>
          </w:p>
        </w:tc>
        <w:tc>
          <w:tcPr>
            <w:tcW w:w="199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547" w:type="dxa"/>
            <w:vAlign w:val="center"/>
          </w:tcPr>
          <w:p>
            <w:pPr>
              <w:pStyle w:val="10"/>
              <w:spacing w:line="240" w:lineRule="atLeast"/>
              <w:ind w:firstLine="0"/>
              <w:jc w:val="center"/>
              <w:outlineLvl w:val="0"/>
              <w:rPr>
                <w:rFonts w:ascii="宋体" w:hAnsi="宋体" w:cs="宋体"/>
                <w:color w:val="auto"/>
                <w:szCs w:val="24"/>
              </w:rPr>
            </w:pPr>
            <w:bookmarkStart w:id="25" w:name="_Toc8072"/>
            <w:r>
              <w:rPr>
                <w:rFonts w:hint="eastAsia" w:ascii="宋体" w:hAnsi="宋体" w:cs="宋体"/>
                <w:color w:val="auto"/>
                <w:szCs w:val="24"/>
              </w:rPr>
              <w:t>1</w:t>
            </w:r>
            <w:bookmarkEnd w:id="25"/>
          </w:p>
        </w:tc>
        <w:tc>
          <w:tcPr>
            <w:tcW w:w="3363" w:type="dxa"/>
            <w:vAlign w:val="center"/>
          </w:tcPr>
          <w:p>
            <w:pPr>
              <w:pStyle w:val="10"/>
              <w:spacing w:line="240" w:lineRule="atLeast"/>
              <w:ind w:firstLine="0"/>
              <w:jc w:val="center"/>
              <w:outlineLvl w:val="0"/>
              <w:rPr>
                <w:rFonts w:ascii="宋体" w:hAnsi="宋体" w:cs="宋体"/>
                <w:color w:val="auto"/>
                <w:szCs w:val="24"/>
              </w:rPr>
            </w:pPr>
            <w:r>
              <w:rPr>
                <w:rFonts w:hint="eastAsia" w:ascii="宋体" w:hAnsi="宋体" w:cs="宋体"/>
                <w:color w:val="auto"/>
                <w:szCs w:val="24"/>
                <w:lang w:val="en-US" w:eastAsia="zh-CN"/>
              </w:rPr>
              <w:t>大渡口区实验小学锦天校区过道排危及主席台沉降、背景墙改造项目</w:t>
            </w:r>
          </w:p>
        </w:tc>
        <w:tc>
          <w:tcPr>
            <w:tcW w:w="1666" w:type="dxa"/>
            <w:vAlign w:val="center"/>
          </w:tcPr>
          <w:p>
            <w:pPr>
              <w:pStyle w:val="13"/>
              <w:spacing w:line="240" w:lineRule="atLeast"/>
              <w:ind w:left="0"/>
              <w:jc w:val="center"/>
              <w:outlineLvl w:val="0"/>
              <w:rPr>
                <w:rFonts w:hint="eastAsia" w:ascii="宋体" w:hAnsi="宋体" w:eastAsia="宋体" w:cs="宋体"/>
                <w:color w:val="auto"/>
                <w:sz w:val="24"/>
                <w:szCs w:val="24"/>
                <w:highlight w:val="yellow"/>
                <w:lang w:eastAsia="zh-CN"/>
              </w:rPr>
            </w:pPr>
            <w:r>
              <w:rPr>
                <w:rFonts w:hint="eastAsia" w:ascii="宋体" w:hAnsi="宋体" w:cs="宋体"/>
                <w:color w:val="auto"/>
                <w:sz w:val="24"/>
                <w:szCs w:val="24"/>
                <w:highlight w:val="none"/>
                <w:lang w:val="en-US" w:eastAsia="zh-CN"/>
              </w:rPr>
              <w:t xml:space="preserve">692624.9 </w:t>
            </w:r>
          </w:p>
        </w:tc>
        <w:tc>
          <w:tcPr>
            <w:tcW w:w="1696" w:type="dxa"/>
            <w:vAlign w:val="center"/>
          </w:tcPr>
          <w:p>
            <w:pPr>
              <w:spacing w:line="360" w:lineRule="auto"/>
              <w:jc w:val="center"/>
              <w:rPr>
                <w:rFonts w:hint="eastAsia" w:ascii="宋体" w:hAnsi="宋体" w:eastAsia="宋体" w:cs="宋体"/>
                <w:color w:val="auto"/>
                <w:sz w:val="24"/>
                <w:szCs w:val="24"/>
                <w:highlight w:val="yellow"/>
                <w:lang w:eastAsia="zh-CN"/>
              </w:rPr>
            </w:pPr>
            <w:r>
              <w:rPr>
                <w:rFonts w:hint="eastAsia" w:ascii="宋体" w:hAnsi="宋体" w:cs="宋体"/>
                <w:color w:val="auto"/>
                <w:sz w:val="24"/>
                <w:szCs w:val="24"/>
                <w:highlight w:val="none"/>
                <w:lang w:val="en-US" w:eastAsia="zh-CN"/>
              </w:rPr>
              <w:t xml:space="preserve">10000.00 </w:t>
            </w:r>
          </w:p>
        </w:tc>
        <w:tc>
          <w:tcPr>
            <w:tcW w:w="1992"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r>
    </w:tbl>
    <w:p>
      <w:pPr>
        <w:spacing w:line="360" w:lineRule="auto"/>
        <w:ind w:firstLine="240" w:firstLineChars="100"/>
        <w:outlineLvl w:val="1"/>
        <w:rPr>
          <w:rFonts w:hint="eastAsia" w:ascii="宋体" w:hAnsi="宋体" w:cs="宋体"/>
          <w:b w:val="0"/>
          <w:bCs w:val="0"/>
          <w:color w:val="auto"/>
          <w:sz w:val="24"/>
          <w:szCs w:val="24"/>
          <w:lang w:val="en-US" w:eastAsia="zh-CN"/>
        </w:rPr>
      </w:pPr>
      <w:bookmarkStart w:id="26" w:name="_Toc8107"/>
      <w:r>
        <w:rPr>
          <w:rFonts w:hint="eastAsia" w:ascii="宋体" w:hAnsi="宋体" w:cs="宋体"/>
          <w:b w:val="0"/>
          <w:bCs w:val="0"/>
          <w:color w:val="auto"/>
          <w:sz w:val="24"/>
          <w:szCs w:val="24"/>
          <w:lang w:val="en-US" w:eastAsia="zh-CN"/>
        </w:rPr>
        <w:t>资金来源：财政资金</w:t>
      </w:r>
    </w:p>
    <w:p>
      <w:pPr>
        <w:spacing w:line="360" w:lineRule="auto"/>
        <w:ind w:firstLine="281" w:firstLineChars="100"/>
        <w:outlineLvl w:val="1"/>
        <w:rPr>
          <w:rFonts w:ascii="宋体" w:hAnsi="宋体" w:cs="宋体"/>
          <w:b/>
          <w:bCs/>
          <w:color w:val="auto"/>
          <w:szCs w:val="28"/>
        </w:rPr>
      </w:pPr>
      <w:r>
        <w:rPr>
          <w:rFonts w:hint="eastAsia" w:ascii="宋体" w:hAnsi="宋体" w:cs="宋体"/>
          <w:b/>
          <w:bCs/>
          <w:color w:val="auto"/>
          <w:szCs w:val="28"/>
        </w:rPr>
        <w:t>二、供应商资格</w:t>
      </w:r>
      <w:bookmarkEnd w:id="14"/>
      <w:bookmarkEnd w:id="15"/>
      <w:bookmarkEnd w:id="16"/>
      <w:bookmarkEnd w:id="17"/>
      <w:bookmarkEnd w:id="18"/>
      <w:bookmarkEnd w:id="19"/>
      <w:bookmarkEnd w:id="20"/>
      <w:bookmarkEnd w:id="26"/>
    </w:p>
    <w:bookmarkEnd w:id="21"/>
    <w:bookmarkEnd w:id="22"/>
    <w:p>
      <w:pPr>
        <w:spacing w:line="360" w:lineRule="auto"/>
        <w:ind w:firstLine="480" w:firstLineChars="200"/>
        <w:rPr>
          <w:rFonts w:ascii="宋体" w:hAnsi="宋体" w:cs="宋体"/>
          <w:color w:val="auto"/>
          <w:sz w:val="24"/>
          <w:szCs w:val="24"/>
        </w:rPr>
      </w:pPr>
      <w:bookmarkStart w:id="27" w:name="OLE_LINK1"/>
      <w:r>
        <w:rPr>
          <w:rFonts w:hint="eastAsia" w:ascii="宋体" w:hAnsi="宋体" w:cs="宋体"/>
          <w:color w:val="auto"/>
          <w:sz w:val="24"/>
          <w:szCs w:val="24"/>
        </w:rPr>
        <w:t>（一）满足《中华人民共和国政府采购法》第二十二条规定；</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（二）本项目的特定资格要求：1.供应商须具备建设主管部门颁发的有效的建筑工程施工总承包三级及以上资质</w:t>
      </w:r>
      <w:r>
        <w:rPr>
          <w:rFonts w:hint="eastAsia" w:ascii="宋体" w:hAnsi="宋体" w:cs="宋体"/>
          <w:color w:val="auto"/>
          <w:sz w:val="24"/>
          <w:szCs w:val="24"/>
          <w:lang w:val="en-US" w:eastAsia="zh-CN"/>
        </w:rPr>
        <w:t>或</w:t>
      </w:r>
      <w:r>
        <w:rPr>
          <w:rFonts w:hint="eastAsia" w:ascii="宋体" w:hAnsi="宋体" w:cs="宋体"/>
          <w:color w:val="auto"/>
          <w:sz w:val="24"/>
          <w:szCs w:val="24"/>
        </w:rPr>
        <w:t>建筑装修装饰工程专业承包</w:t>
      </w:r>
      <w:r>
        <w:rPr>
          <w:rFonts w:hint="eastAsia" w:ascii="宋体" w:hAnsi="宋体" w:cs="宋体"/>
          <w:color w:val="auto"/>
          <w:sz w:val="24"/>
          <w:szCs w:val="24"/>
          <w:lang w:val="en-US" w:eastAsia="zh-CN"/>
        </w:rPr>
        <w:t>二级</w:t>
      </w:r>
      <w:r>
        <w:rPr>
          <w:rFonts w:hint="eastAsia" w:ascii="宋体" w:hAnsi="宋体" w:cs="宋体"/>
          <w:color w:val="auto"/>
          <w:sz w:val="24"/>
          <w:szCs w:val="24"/>
        </w:rPr>
        <w:t>及以上资质</w:t>
      </w:r>
      <w:r>
        <w:rPr>
          <w:rFonts w:hint="eastAsia" w:ascii="宋体" w:hAnsi="宋体" w:cs="宋体"/>
          <w:color w:val="auto"/>
          <w:sz w:val="24"/>
          <w:szCs w:val="24"/>
          <w:lang w:eastAsia="zh-CN"/>
        </w:rPr>
        <w:t>。</w:t>
      </w:r>
      <w:r>
        <w:rPr>
          <w:rFonts w:hint="eastAsia" w:ascii="宋体" w:hAnsi="宋体" w:cs="宋体"/>
          <w:color w:val="auto"/>
          <w:sz w:val="24"/>
          <w:szCs w:val="24"/>
        </w:rPr>
        <w:t>（提供证书复印件，加盖供应商公章）；</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2.具备建设行政主管部门颁发的有效的安全生产许可证（提供有效的安全生产许可证复印件并加盖供应商公章）。</w:t>
      </w:r>
    </w:p>
    <w:bookmarkEnd w:id="27"/>
    <w:p>
      <w:pPr>
        <w:spacing w:line="360" w:lineRule="auto"/>
        <w:ind w:firstLine="281" w:firstLineChars="100"/>
        <w:outlineLvl w:val="1"/>
        <w:rPr>
          <w:rFonts w:ascii="宋体" w:hAnsi="宋体" w:cs="宋体"/>
          <w:b/>
          <w:bCs/>
          <w:color w:val="auto"/>
          <w:szCs w:val="28"/>
        </w:rPr>
      </w:pPr>
      <w:bookmarkStart w:id="28" w:name="_Toc7114"/>
      <w:r>
        <w:rPr>
          <w:rFonts w:hint="eastAsia" w:ascii="宋体" w:hAnsi="宋体" w:cs="宋体"/>
          <w:b/>
          <w:bCs/>
          <w:color w:val="auto"/>
          <w:szCs w:val="28"/>
        </w:rPr>
        <w:t>三、采购有关说明</w:t>
      </w:r>
      <w:bookmarkEnd w:id="28"/>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（一）本次公告在行采家（www.gec123.com/）上发布，凡有意参加竞标者，请自行在行采家（www.gec123.com/）上下载本项目的采购文件。无论供应商下载与否，均视同供应商已知晓本项目所有内容。</w:t>
      </w:r>
    </w:p>
    <w:p>
      <w:pPr>
        <w:spacing w:line="360" w:lineRule="auto"/>
        <w:ind w:firstLine="480" w:firstLineChars="200"/>
        <w:rPr>
          <w:rFonts w:ascii="宋体" w:hAnsi="宋体" w:cs="宋体"/>
          <w:color w:val="auto"/>
          <w:sz w:val="24"/>
          <w:szCs w:val="24"/>
        </w:rPr>
      </w:pPr>
      <w:bookmarkStart w:id="29" w:name="OLE_LINK2"/>
      <w:r>
        <w:rPr>
          <w:rFonts w:hint="eastAsia" w:ascii="宋体" w:hAnsi="宋体" w:cs="宋体"/>
          <w:color w:val="auto"/>
          <w:sz w:val="24"/>
          <w:szCs w:val="24"/>
        </w:rPr>
        <w:t>（二）采购文件提供期限：自采购公告发布之日起至响应文件递交截止</w:t>
      </w:r>
    </w:p>
    <w:bookmarkEnd w:id="29"/>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（三）响应文件递交地点：重庆市大渡口区实验小学</w:t>
      </w:r>
      <w:r>
        <w:rPr>
          <w:rFonts w:hint="eastAsia" w:ascii="宋体" w:hAnsi="宋体" w:cs="宋体"/>
          <w:color w:val="auto"/>
          <w:sz w:val="24"/>
          <w:szCs w:val="24"/>
          <w:lang w:eastAsia="zh-CN"/>
        </w:rPr>
        <w:t>九宫庙校区小会议室</w:t>
      </w:r>
      <w:r>
        <w:rPr>
          <w:rFonts w:hint="eastAsia" w:ascii="宋体" w:hAnsi="宋体" w:cs="宋体"/>
          <w:color w:val="auto"/>
          <w:sz w:val="24"/>
          <w:szCs w:val="24"/>
        </w:rPr>
        <w:t>。</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（四）响应文件递交开始时间：202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cs="宋体"/>
          <w:color w:val="auto"/>
          <w:sz w:val="24"/>
          <w:szCs w:val="24"/>
        </w:rPr>
        <w:t>:00（北京时间）。</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（五）响应文件递交截止时间：202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cs="宋体"/>
          <w:color w:val="auto"/>
          <w:sz w:val="24"/>
          <w:szCs w:val="24"/>
        </w:rPr>
        <w:t>:30（北京时间）。</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（六）采购时间：2024年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cs="宋体"/>
          <w:color w:val="auto"/>
          <w:sz w:val="24"/>
          <w:szCs w:val="24"/>
        </w:rPr>
        <w:t>:30（北京时间）。</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（七）无论竞价结果如何，供应商参与本项目的所有费用均由自行承担。</w:t>
      </w:r>
    </w:p>
    <w:p>
      <w:pPr>
        <w:spacing w:line="360" w:lineRule="auto"/>
        <w:ind w:firstLine="281" w:firstLineChars="100"/>
        <w:outlineLvl w:val="1"/>
        <w:rPr>
          <w:rFonts w:ascii="宋体" w:hAnsi="宋体" w:cs="宋体"/>
          <w:b/>
          <w:bCs/>
          <w:color w:val="auto"/>
          <w:szCs w:val="28"/>
        </w:rPr>
      </w:pPr>
      <w:bookmarkStart w:id="30" w:name="_Toc31501"/>
      <w:r>
        <w:rPr>
          <w:rFonts w:hint="eastAsia" w:ascii="宋体" w:hAnsi="宋体" w:cs="宋体"/>
          <w:b/>
          <w:bCs/>
          <w:color w:val="auto"/>
          <w:szCs w:val="28"/>
        </w:rPr>
        <w:t>四、</w:t>
      </w:r>
      <w:bookmarkStart w:id="31" w:name="_Toc480466699"/>
      <w:bookmarkStart w:id="32" w:name="_Toc32098"/>
      <w:bookmarkStart w:id="33" w:name="_Toc469"/>
      <w:r>
        <w:rPr>
          <w:rFonts w:hint="eastAsia" w:ascii="宋体" w:hAnsi="宋体" w:cs="宋体"/>
          <w:b/>
          <w:bCs/>
          <w:color w:val="auto"/>
          <w:szCs w:val="28"/>
        </w:rPr>
        <w:t>其它有关规定</w:t>
      </w:r>
      <w:bookmarkEnd w:id="30"/>
      <w:bookmarkEnd w:id="31"/>
      <w:bookmarkEnd w:id="32"/>
      <w:bookmarkEnd w:id="33"/>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（一）单位负责人为同一人或者存在直接控股、管理关系的不同供应商，不得参加同一合同项（分包）下的政府采购活动，否则均为无效响应。</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（三）本项目的澄清文件（如果有）一律在行采家（www.gec123.com/）上发布，请各供应商注意下载；无论供应商下载与否，均视同供应商已知晓本项目澄清文件（如果有）的内容。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（五）采购费用：无论采购结果如何，供应商参与本项目采购的所有费用均应由供应商自行承担。</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（六）本项目不接受联合体参与竞选。</w:t>
      </w:r>
    </w:p>
    <w:p>
      <w:pPr>
        <w:spacing w:line="360" w:lineRule="auto"/>
        <w:ind w:firstLine="482" w:firstLineChars="200"/>
        <w:rPr>
          <w:color w:val="auto"/>
        </w:rPr>
      </w:pPr>
      <w:r>
        <w:rPr>
          <w:rFonts w:hint="eastAsia" w:ascii="宋体" w:hAnsi="宋体" w:cs="宋体"/>
          <w:b/>
          <w:bCs/>
          <w:color w:val="auto"/>
          <w:sz w:val="24"/>
          <w:szCs w:val="24"/>
        </w:rPr>
        <w:t>（七）本项目不接受合同分包。</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pacing w:line="360" w:lineRule="auto"/>
        <w:ind w:firstLine="281" w:firstLineChars="100"/>
        <w:outlineLvl w:val="1"/>
        <w:rPr>
          <w:rFonts w:ascii="宋体" w:hAnsi="宋体" w:cs="宋体"/>
          <w:b/>
          <w:bCs/>
          <w:color w:val="auto"/>
          <w:szCs w:val="28"/>
        </w:rPr>
      </w:pPr>
      <w:bookmarkStart w:id="34" w:name="_Toc169271317"/>
      <w:r>
        <w:rPr>
          <w:rFonts w:hint="eastAsia" w:ascii="宋体" w:hAnsi="宋体" w:cs="宋体"/>
          <w:b/>
          <w:bCs/>
          <w:color w:val="auto"/>
          <w:szCs w:val="28"/>
        </w:rPr>
        <w:t>五、投标保证金</w:t>
      </w:r>
      <w:bookmarkEnd w:id="34"/>
    </w:p>
    <w:p>
      <w:pPr>
        <w:adjustRightInd w:val="0"/>
        <w:snapToGrid w:val="0"/>
        <w:spacing w:line="360" w:lineRule="auto"/>
        <w:ind w:firstLine="480" w:firstLineChars="200"/>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（一）投标保证金递交</w:t>
      </w:r>
    </w:p>
    <w:p>
      <w:pPr>
        <w:adjustRightInd w:val="0"/>
        <w:snapToGrid w:val="0"/>
        <w:spacing w:line="360" w:lineRule="auto"/>
        <w:ind w:firstLine="480" w:firstLineChars="200"/>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1.转账方式</w:t>
      </w:r>
    </w:p>
    <w:p>
      <w:pPr>
        <w:adjustRightInd w:val="0"/>
        <w:snapToGrid w:val="0"/>
        <w:spacing w:line="360" w:lineRule="auto"/>
        <w:ind w:firstLine="480" w:firstLineChars="200"/>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1.1供应商应足额交纳投标保证金（保证金金额详见本篇，一、采购内容），并汇至以下账户，投标保证金的到账截止时间同投标截止时间。</w:t>
      </w:r>
    </w:p>
    <w:p>
      <w:pPr>
        <w:adjustRightInd w:val="0"/>
        <w:snapToGrid w:val="0"/>
        <w:spacing w:line="360" w:lineRule="auto"/>
        <w:ind w:firstLine="480" w:firstLineChars="200"/>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投标保证金账户：</w:t>
      </w:r>
    </w:p>
    <w:p>
      <w:pPr>
        <w:adjustRightInd w:val="0"/>
        <w:snapToGrid w:val="0"/>
        <w:spacing w:line="360" w:lineRule="auto"/>
        <w:ind w:firstLine="480" w:firstLineChars="200"/>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户  名：重庆市大渡口区财政局</w:t>
      </w:r>
    </w:p>
    <w:p>
      <w:pPr>
        <w:adjustRightInd w:val="0"/>
        <w:snapToGrid w:val="0"/>
        <w:spacing w:line="360" w:lineRule="auto"/>
        <w:ind w:firstLine="480" w:firstLineChars="200"/>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开户行：建行大渡口支行</w:t>
      </w:r>
    </w:p>
    <w:p>
      <w:pPr>
        <w:adjustRightInd w:val="0"/>
        <w:snapToGrid w:val="0"/>
        <w:spacing w:line="360" w:lineRule="auto"/>
        <w:ind w:firstLine="480" w:firstLineChars="200"/>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帐  号：50001103600050004159-142</w:t>
      </w:r>
      <w:r>
        <w:rPr>
          <w:rFonts w:hint="eastAsia" w:ascii="宋体" w:hAnsi="宋体" w:cs="宋体"/>
          <w:color w:val="auto"/>
          <w:kern w:val="0"/>
          <w:sz w:val="24"/>
          <w:szCs w:val="24"/>
          <w:shd w:val="clear" w:color="auto" w:fill="FFFFFF"/>
          <w:lang w:val="en-US" w:eastAsia="zh-CN" w:bidi="ar"/>
        </w:rPr>
        <w:t>009</w:t>
      </w:r>
    </w:p>
    <w:p>
      <w:pPr>
        <w:adjustRightInd w:val="0"/>
        <w:snapToGrid w:val="0"/>
        <w:spacing w:line="360" w:lineRule="auto"/>
        <w:ind w:firstLine="480" w:firstLineChars="200"/>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并在备注或用途中注明“**单位缴纳</w:t>
      </w:r>
      <w:r>
        <w:rPr>
          <w:rFonts w:hint="eastAsia" w:ascii="宋体" w:hAnsi="宋体" w:cs="宋体"/>
          <w:color w:val="auto"/>
          <w:kern w:val="0"/>
          <w:sz w:val="24"/>
          <w:szCs w:val="24"/>
          <w:shd w:val="clear" w:color="auto" w:fill="FFFFFF"/>
          <w:lang w:val="en-US" w:eastAsia="zh-CN" w:bidi="ar"/>
        </w:rPr>
        <w:t>大渡口区实验小学锦天校区过道排危及主席台沉降、背景墙改造项目</w:t>
      </w:r>
      <w:r>
        <w:rPr>
          <w:rFonts w:hint="eastAsia" w:ascii="宋体" w:hAnsi="宋体" w:cs="宋体"/>
          <w:color w:val="auto"/>
          <w:kern w:val="0"/>
          <w:sz w:val="24"/>
          <w:szCs w:val="24"/>
          <w:shd w:val="clear" w:color="auto" w:fill="FFFFFF"/>
          <w:lang w:bidi="ar"/>
        </w:rPr>
        <w:t>”，否则投标保证金无效。供应商自行考虑汇入时间风险（如同城汇入、异地汇入、跨行汇入的时间要求）。供应商提交的投标保证金未由供应商的基本银行账户划付或划付的投标保证金金额不足的，其投标保证金无效。</w:t>
      </w:r>
    </w:p>
    <w:p>
      <w:pPr>
        <w:adjustRightInd w:val="0"/>
        <w:snapToGrid w:val="0"/>
        <w:spacing w:line="360" w:lineRule="auto"/>
        <w:ind w:firstLine="480" w:firstLineChars="200"/>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②投标保证金为：</w:t>
      </w:r>
      <w:r>
        <w:rPr>
          <w:rFonts w:hint="eastAsia" w:ascii="宋体" w:hAnsi="宋体" w:cs="宋体"/>
          <w:color w:val="auto"/>
          <w:kern w:val="0"/>
          <w:sz w:val="24"/>
          <w:szCs w:val="24"/>
          <w:highlight w:val="none"/>
          <w:shd w:val="clear" w:color="auto" w:fill="FFFFFF"/>
          <w:lang w:bidi="ar"/>
        </w:rPr>
        <w:t>人民币壹万元整（￥1</w:t>
      </w:r>
      <w:r>
        <w:rPr>
          <w:rFonts w:hint="eastAsia" w:ascii="宋体" w:hAnsi="宋体" w:cs="宋体"/>
          <w:color w:val="auto"/>
          <w:kern w:val="0"/>
          <w:sz w:val="24"/>
          <w:szCs w:val="24"/>
          <w:highlight w:val="none"/>
          <w:shd w:val="clear" w:color="auto" w:fill="FFFFFF"/>
          <w:lang w:val="en-US" w:eastAsia="zh-CN" w:bidi="ar"/>
        </w:rPr>
        <w:t>0</w:t>
      </w:r>
      <w:r>
        <w:rPr>
          <w:rFonts w:hint="eastAsia" w:ascii="宋体" w:hAnsi="宋体" w:cs="宋体"/>
          <w:color w:val="auto"/>
          <w:kern w:val="0"/>
          <w:sz w:val="24"/>
          <w:szCs w:val="24"/>
          <w:highlight w:val="none"/>
          <w:shd w:val="clear" w:color="auto" w:fill="FFFFFF"/>
          <w:lang w:bidi="ar"/>
        </w:rPr>
        <w:t>000.00元）。</w:t>
      </w:r>
    </w:p>
    <w:p>
      <w:pPr>
        <w:adjustRightInd w:val="0"/>
        <w:snapToGrid w:val="0"/>
        <w:spacing w:line="360" w:lineRule="auto"/>
        <w:ind w:firstLine="480" w:firstLineChars="200"/>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③投标保证金有效期等同投标有效期。</w:t>
      </w:r>
    </w:p>
    <w:p>
      <w:pPr>
        <w:pStyle w:val="45"/>
        <w:spacing w:before="0" w:beforeAutospacing="0" w:after="0" w:afterAutospacing="0" w:line="360" w:lineRule="auto"/>
        <w:ind w:firstLine="480" w:firstLineChars="200"/>
        <w:jc w:val="both"/>
        <w:rPr>
          <w:color w:val="auto"/>
          <w:shd w:val="clear" w:color="auto" w:fill="FFFFFF"/>
          <w:lang w:bidi="ar"/>
        </w:rPr>
      </w:pPr>
      <w:r>
        <w:rPr>
          <w:rFonts w:hint="eastAsia"/>
          <w:color w:val="auto"/>
          <w:shd w:val="clear" w:color="auto" w:fill="FFFFFF"/>
          <w:lang w:bidi="ar"/>
        </w:rPr>
        <w:t>④未在指定时间内到账的投标保证金为无效投标保证金，当场退还响应文件。</w:t>
      </w:r>
    </w:p>
    <w:p>
      <w:pPr>
        <w:pStyle w:val="45"/>
        <w:spacing w:before="0" w:beforeAutospacing="0" w:after="0" w:afterAutospacing="0" w:line="360" w:lineRule="auto"/>
        <w:ind w:firstLine="480" w:firstLineChars="200"/>
        <w:jc w:val="both"/>
        <w:rPr>
          <w:color w:val="auto"/>
          <w:shd w:val="clear" w:color="auto" w:fill="FFFFFF"/>
          <w:lang w:bidi="ar"/>
        </w:rPr>
      </w:pPr>
      <w:r>
        <w:rPr>
          <w:rFonts w:hint="eastAsia"/>
          <w:color w:val="auto"/>
          <w:shd w:val="clear" w:color="auto" w:fill="FFFFFF"/>
          <w:lang w:bidi="ar"/>
        </w:rPr>
        <w:t>⑤供应商应将单位基本银行账户的开户许可证（或开户证明）复印件及投标保证金进账凭据原件带至开标现场查验。</w:t>
      </w:r>
    </w:p>
    <w:p>
      <w:pPr>
        <w:adjustRightInd w:val="0"/>
        <w:snapToGrid w:val="0"/>
        <w:spacing w:line="360" w:lineRule="auto"/>
        <w:ind w:firstLine="480" w:firstLineChars="200"/>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（二）保证金退还方式</w:t>
      </w:r>
    </w:p>
    <w:p>
      <w:pPr>
        <w:tabs>
          <w:tab w:val="left" w:pos="2460"/>
        </w:tabs>
        <w:spacing w:line="360" w:lineRule="auto"/>
        <w:ind w:firstLine="480" w:firstLineChars="200"/>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《投标保证金退款申请表》（见后附件）由各供应商填写并盖章后在开标现场递交。未成交供应商的投标保证金在成交通知书发出后</w:t>
      </w:r>
      <w:r>
        <w:rPr>
          <w:rFonts w:hint="eastAsia" w:ascii="宋体" w:hAnsi="宋体" w:cs="宋体"/>
          <w:color w:val="auto"/>
          <w:kern w:val="0"/>
          <w:sz w:val="24"/>
          <w:szCs w:val="24"/>
          <w:shd w:val="clear" w:color="auto" w:fill="FFFFFF"/>
          <w:lang w:val="en-US" w:eastAsia="zh-CN" w:bidi="ar"/>
        </w:rPr>
        <w:t>5</w:t>
      </w:r>
      <w:r>
        <w:rPr>
          <w:rFonts w:hint="eastAsia" w:ascii="宋体" w:hAnsi="宋体" w:cs="宋体"/>
          <w:color w:val="auto"/>
          <w:kern w:val="0"/>
          <w:sz w:val="24"/>
          <w:szCs w:val="24"/>
          <w:shd w:val="clear" w:color="auto" w:fill="FFFFFF"/>
          <w:lang w:bidi="ar"/>
        </w:rPr>
        <w:t>个工作日内无息退还，成交供应商的投标保证金在合同签订后</w:t>
      </w:r>
      <w:r>
        <w:rPr>
          <w:rFonts w:hint="eastAsia" w:ascii="宋体" w:hAnsi="宋体" w:cs="宋体"/>
          <w:color w:val="auto"/>
          <w:kern w:val="0"/>
          <w:sz w:val="24"/>
          <w:szCs w:val="24"/>
          <w:shd w:val="clear" w:color="auto" w:fill="FFFFFF"/>
          <w:lang w:val="en-US" w:eastAsia="zh-CN" w:bidi="ar"/>
        </w:rPr>
        <w:t>5</w:t>
      </w:r>
      <w:r>
        <w:rPr>
          <w:rFonts w:hint="eastAsia" w:ascii="宋体" w:hAnsi="宋体" w:cs="宋体"/>
          <w:color w:val="auto"/>
          <w:kern w:val="0"/>
          <w:sz w:val="24"/>
          <w:szCs w:val="24"/>
          <w:shd w:val="clear" w:color="auto" w:fill="FFFFFF"/>
          <w:lang w:bidi="ar"/>
        </w:rPr>
        <w:t>个工作日内无息退还。投标保证金通过对公转账的方式退还至各供应商缴纳保证金的账户（请确保该账户为对公账户，否则后果自行承担）。</w:t>
      </w:r>
    </w:p>
    <w:p>
      <w:pPr>
        <w:pStyle w:val="46"/>
        <w:spacing w:line="360" w:lineRule="auto"/>
        <w:ind w:firstLine="0" w:firstLineChars="0"/>
        <w:rPr>
          <w:rFonts w:hAnsi="宋体" w:cs="宋体"/>
          <w:color w:val="auto"/>
          <w:sz w:val="24"/>
          <w:szCs w:val="24"/>
        </w:rPr>
      </w:pPr>
      <w:r>
        <w:rPr>
          <w:rFonts w:hint="eastAsia" w:hAnsi="宋体" w:cs="宋体"/>
          <w:color w:val="auto"/>
          <w:sz w:val="24"/>
          <w:szCs w:val="24"/>
          <w:shd w:val="clear" w:color="auto" w:fill="FFFFFF"/>
          <w:lang w:bidi="ar"/>
        </w:rPr>
        <w:t>特别提醒：若发现投标保证金存在伪造网上银行电子回单或其他单位印章等违法行为，一经核实，将立即移交司法机关处理。</w:t>
      </w:r>
    </w:p>
    <w:p>
      <w:pPr>
        <w:spacing w:line="360" w:lineRule="auto"/>
        <w:ind w:firstLine="281" w:firstLineChars="100"/>
        <w:outlineLvl w:val="1"/>
        <w:rPr>
          <w:rFonts w:ascii="宋体" w:hAnsi="宋体" w:cs="宋体"/>
          <w:b/>
          <w:bCs/>
          <w:color w:val="auto"/>
          <w:szCs w:val="28"/>
        </w:rPr>
      </w:pPr>
      <w:bookmarkStart w:id="35" w:name="_Toc29951"/>
      <w:bookmarkStart w:id="36" w:name="_Toc19858"/>
      <w:r>
        <w:rPr>
          <w:rFonts w:hint="eastAsia" w:ascii="宋体" w:hAnsi="宋体" w:cs="宋体"/>
          <w:b/>
          <w:bCs/>
          <w:color w:val="auto"/>
          <w:szCs w:val="28"/>
        </w:rPr>
        <w:t>六、联系方式</w:t>
      </w:r>
      <w:bookmarkEnd w:id="35"/>
      <w:bookmarkEnd w:id="36"/>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（一）采购人：重庆市大渡口区实验小学</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联系人：张老师</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电  话：023—86197850</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地  址：</w:t>
      </w:r>
      <w:bookmarkStart w:id="37" w:name="OLE_LINK3"/>
      <w:r>
        <w:rPr>
          <w:rFonts w:hint="eastAsia" w:ascii="宋体" w:hAnsi="宋体" w:cs="宋体"/>
          <w:color w:val="auto"/>
          <w:sz w:val="24"/>
          <w:szCs w:val="24"/>
          <w:lang w:eastAsia="zh-CN"/>
        </w:rPr>
        <w:t>重庆市</w:t>
      </w:r>
      <w:r>
        <w:rPr>
          <w:rFonts w:hint="eastAsia" w:ascii="宋体" w:hAnsi="宋体" w:cs="宋体"/>
          <w:color w:val="auto"/>
          <w:sz w:val="24"/>
          <w:szCs w:val="24"/>
        </w:rPr>
        <w:t>大渡口区创新村4号</w:t>
      </w:r>
      <w:bookmarkEnd w:id="37"/>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（二）采购代理机构： </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"https://zjcs.cqggzy.com/cq-zjcs-pub/myItems" \o "" </w:instrText>
      </w:r>
      <w:r>
        <w:rPr>
          <w:rFonts w:hint="eastAsia" w:ascii="宋体" w:hAnsi="宋体" w:cs="宋体"/>
          <w:color w:val="auto"/>
          <w:sz w:val="24"/>
          <w:szCs w:val="24"/>
        </w:rPr>
        <w:fldChar w:fldCharType="separate"/>
      </w:r>
      <w:r>
        <w:rPr>
          <w:rFonts w:hint="eastAsia" w:ascii="宋体" w:hAnsi="宋体" w:cs="宋体"/>
          <w:color w:val="auto"/>
          <w:sz w:val="24"/>
          <w:szCs w:val="24"/>
        </w:rPr>
        <w:t>重庆速知达工程咨询有限公司</w:t>
      </w:r>
      <w:r>
        <w:rPr>
          <w:rFonts w:hint="eastAsia" w:ascii="宋体" w:hAnsi="宋体" w:cs="宋体"/>
          <w:color w:val="auto"/>
          <w:sz w:val="24"/>
          <w:szCs w:val="24"/>
        </w:rPr>
        <w:fldChar w:fldCharType="end"/>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段</w:t>
      </w:r>
      <w:r>
        <w:rPr>
          <w:rFonts w:hint="eastAsia" w:ascii="宋体" w:hAnsi="宋体" w:cs="宋体"/>
          <w:color w:val="auto"/>
          <w:sz w:val="24"/>
          <w:szCs w:val="24"/>
        </w:rPr>
        <w:t>老师</w:t>
      </w:r>
    </w:p>
    <w:p>
      <w:pPr>
        <w:snapToGrid w:val="0"/>
        <w:spacing w:line="40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电  话：</w:t>
      </w:r>
      <w:r>
        <w:rPr>
          <w:rFonts w:hint="eastAsia" w:ascii="宋体" w:hAnsi="宋体" w:cs="宋体"/>
          <w:color w:val="auto"/>
          <w:sz w:val="24"/>
          <w:szCs w:val="24"/>
          <w:lang w:val="en-US" w:eastAsia="zh-CN"/>
        </w:rPr>
        <w:t>18983626189</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地  址：</w:t>
      </w:r>
      <w:bookmarkStart w:id="38" w:name="OLE_LINK4"/>
      <w:bookmarkStart w:id="188" w:name="_GoBack"/>
      <w:r>
        <w:rPr>
          <w:rFonts w:hint="eastAsia" w:ascii="宋体" w:hAnsi="宋体" w:cs="宋体"/>
          <w:color w:val="auto"/>
          <w:sz w:val="24"/>
          <w:szCs w:val="24"/>
        </w:rPr>
        <w:t>重庆市大渡口区移动互联网产业园</w:t>
      </w:r>
      <w:r>
        <w:rPr>
          <w:rFonts w:hint="eastAsia" w:ascii="宋体" w:hAnsi="宋体" w:cs="宋体"/>
          <w:color w:val="auto"/>
          <w:sz w:val="24"/>
          <w:szCs w:val="24"/>
          <w:lang w:val="en-US" w:eastAsia="zh-CN"/>
        </w:rPr>
        <w:t>1楼</w:t>
      </w:r>
      <w:bookmarkEnd w:id="188"/>
      <w:bookmarkEnd w:id="38"/>
      <w:r>
        <w:rPr>
          <w:rFonts w:hint="eastAsia" w:ascii="宋体" w:hAnsi="宋体" w:cs="宋体"/>
          <w:color w:val="auto"/>
          <w:sz w:val="24"/>
          <w:szCs w:val="24"/>
        </w:rPr>
        <w:t xml:space="preserve">   </w:t>
      </w:r>
    </w:p>
    <w:p>
      <w:pPr>
        <w:snapToGrid w:val="0"/>
        <w:spacing w:line="400" w:lineRule="exact"/>
        <w:ind w:firstLine="480" w:firstLineChars="200"/>
        <w:rPr>
          <w:rFonts w:ascii="宋体" w:hAnsi="宋体" w:cs="宋体"/>
          <w:color w:val="auto"/>
          <w:sz w:val="24"/>
          <w:szCs w:val="24"/>
        </w:rPr>
        <w:sectPr>
          <w:pgSz w:w="11907" w:h="16840"/>
          <w:pgMar w:top="1134" w:right="1418" w:bottom="1134" w:left="1418" w:header="964" w:footer="992" w:gutter="0"/>
          <w:pgNumType w:fmt="numberInDash"/>
          <w:cols w:space="720" w:num="1"/>
          <w:docGrid w:linePitch="312" w:charSpace="0"/>
        </w:sectPr>
      </w:pPr>
    </w:p>
    <w:p>
      <w:pPr>
        <w:pStyle w:val="2"/>
        <w:spacing w:line="360" w:lineRule="auto"/>
        <w:jc w:val="center"/>
        <w:rPr>
          <w:rFonts w:ascii="宋体" w:hAnsi="宋体" w:cs="宋体"/>
          <w:color w:val="auto"/>
          <w:sz w:val="32"/>
          <w:szCs w:val="15"/>
        </w:rPr>
      </w:pPr>
      <w:bookmarkStart w:id="39" w:name="_Toc908"/>
      <w:r>
        <w:rPr>
          <w:rFonts w:hint="eastAsia" w:ascii="宋体" w:hAnsi="宋体" w:cs="宋体"/>
          <w:color w:val="auto"/>
          <w:sz w:val="32"/>
          <w:szCs w:val="15"/>
        </w:rPr>
        <w:t>第二篇  项目技术需求</w:t>
      </w:r>
      <w:bookmarkEnd w:id="39"/>
    </w:p>
    <w:p>
      <w:pPr>
        <w:pStyle w:val="4"/>
        <w:adjustRightInd w:val="0"/>
        <w:snapToGrid w:val="0"/>
        <w:spacing w:before="0" w:after="0" w:line="400" w:lineRule="exact"/>
        <w:ind w:firstLine="482" w:firstLineChars="200"/>
        <w:rPr>
          <w:rFonts w:ascii="宋体" w:hAnsi="宋体" w:cs="宋体"/>
          <w:color w:val="auto"/>
          <w:sz w:val="24"/>
        </w:rPr>
      </w:pPr>
      <w:bookmarkStart w:id="40" w:name="_Toc792"/>
      <w:bookmarkStart w:id="41" w:name="_Toc76462325"/>
      <w:r>
        <w:rPr>
          <w:rFonts w:hint="eastAsia" w:ascii="宋体" w:hAnsi="宋体" w:cs="宋体"/>
          <w:color w:val="auto"/>
          <w:sz w:val="24"/>
        </w:rPr>
        <w:t>一、项目基本概况</w:t>
      </w:r>
      <w:bookmarkEnd w:id="40"/>
      <w:bookmarkEnd w:id="41"/>
    </w:p>
    <w:p>
      <w:pPr>
        <w:snapToGrid w:val="0"/>
        <w:spacing w:line="400" w:lineRule="exact"/>
        <w:ind w:firstLine="480" w:firstLineChars="200"/>
        <w:outlineLvl w:val="2"/>
        <w:rPr>
          <w:rFonts w:hint="eastAsia" w:ascii="宋体" w:hAnsi="宋体" w:eastAsia="宋体" w:cs="宋体"/>
          <w:color w:val="auto"/>
          <w:sz w:val="24"/>
          <w:szCs w:val="24"/>
          <w:lang w:val="en-US" w:eastAsia="zh-CN"/>
        </w:rPr>
      </w:pPr>
      <w:r>
        <w:rPr>
          <w:rFonts w:hint="eastAsia" w:ascii="宋体" w:hAnsi="宋体" w:cs="宋体"/>
          <w:color w:val="auto"/>
          <w:sz w:val="24"/>
          <w:szCs w:val="24"/>
        </w:rPr>
        <w:t>（一）项目名称：</w:t>
      </w:r>
      <w:r>
        <w:rPr>
          <w:rFonts w:hint="eastAsia" w:ascii="宋体" w:hAnsi="宋体" w:cs="宋体"/>
          <w:color w:val="auto"/>
          <w:sz w:val="24"/>
          <w:szCs w:val="24"/>
          <w:lang w:val="en-US" w:eastAsia="zh-CN"/>
        </w:rPr>
        <w:t>大渡口区实验小学锦天校区过道排危及主席台沉降、背景墙改造项目</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二）项目概况：学校教学楼过道排危找平，修补空鼓，张贴橡胶弹性地坪，厕所雨棚拆除，地面找平及透水砖铺装，外墙铲除、墙面真石漆粉刷，幼儿园大门排危改造，主席台沉降铺装透水砖，框架修复，加装背景墙LED屏及垃圾清运等。</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（三）采购范围：包括施工图所示的全部内容，最终以发出的采购文件、工程量清单及其编制说明为准。施工设计图和工程量清单不一致时</w:t>
      </w:r>
      <w:r>
        <w:rPr>
          <w:rFonts w:hint="eastAsia" w:ascii="宋体" w:hAnsi="宋体" w:cs="宋体"/>
          <w:color w:val="auto"/>
          <w:sz w:val="24"/>
          <w:szCs w:val="24"/>
          <w:lang w:val="en-US" w:eastAsia="zh-CN"/>
        </w:rPr>
        <w:t>按计价规范相关要求执行</w:t>
      </w:r>
      <w:r>
        <w:rPr>
          <w:rFonts w:hint="eastAsia" w:ascii="宋体" w:hAnsi="宋体" w:cs="宋体"/>
          <w:color w:val="auto"/>
          <w:sz w:val="24"/>
          <w:szCs w:val="24"/>
        </w:rPr>
        <w:t>。</w:t>
      </w:r>
    </w:p>
    <w:p>
      <w:pPr>
        <w:pStyle w:val="4"/>
        <w:adjustRightInd w:val="0"/>
        <w:snapToGrid w:val="0"/>
        <w:spacing w:before="0" w:after="0" w:line="400" w:lineRule="exact"/>
        <w:ind w:firstLine="482" w:firstLineChars="200"/>
        <w:rPr>
          <w:rFonts w:ascii="宋体" w:hAnsi="宋体" w:cs="宋体"/>
          <w:color w:val="auto"/>
          <w:sz w:val="24"/>
        </w:rPr>
      </w:pPr>
      <w:bookmarkStart w:id="42" w:name="_Toc22724"/>
      <w:r>
        <w:rPr>
          <w:rFonts w:hint="eastAsia" w:ascii="宋体" w:hAnsi="宋体" w:cs="宋体"/>
          <w:color w:val="auto"/>
          <w:sz w:val="24"/>
        </w:rPr>
        <w:t>二、项目技术需求</w:t>
      </w:r>
      <w:bookmarkEnd w:id="42"/>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1、详见施工图和工程量清单。</w:t>
      </w:r>
    </w:p>
    <w:p>
      <w:pPr>
        <w:spacing w:line="540" w:lineRule="exact"/>
        <w:ind w:firstLine="470"/>
        <w:rPr>
          <w:rFonts w:ascii="宋体" w:hAnsi="宋体" w:cs="宋体"/>
          <w:b/>
          <w:color w:val="auto"/>
          <w:sz w:val="24"/>
        </w:rPr>
      </w:pPr>
      <w:bookmarkStart w:id="43" w:name="_Toc23736"/>
      <w:bookmarkStart w:id="44" w:name="_Toc28592"/>
      <w:bookmarkStart w:id="45" w:name="_Toc14593"/>
      <w:r>
        <w:rPr>
          <w:rFonts w:hint="eastAsia" w:ascii="宋体" w:hAnsi="宋体" w:cs="宋体"/>
          <w:b/>
          <w:color w:val="auto"/>
          <w:sz w:val="24"/>
        </w:rPr>
        <w:t>三、工程量清单（详见附件）</w:t>
      </w:r>
      <w:bookmarkEnd w:id="43"/>
      <w:bookmarkEnd w:id="44"/>
      <w:bookmarkEnd w:id="45"/>
    </w:p>
    <w:p>
      <w:pPr>
        <w:snapToGrid w:val="0"/>
        <w:spacing w:line="400" w:lineRule="exact"/>
        <w:ind w:firstLine="480" w:firstLineChars="200"/>
        <w:outlineLvl w:val="2"/>
        <w:rPr>
          <w:color w:val="auto"/>
        </w:rPr>
      </w:pPr>
      <w:r>
        <w:rPr>
          <w:rFonts w:hint="eastAsia" w:ascii="宋体" w:hAnsi="宋体" w:cs="宋体"/>
          <w:color w:val="auto"/>
          <w:sz w:val="24"/>
          <w:szCs w:val="24"/>
        </w:rPr>
        <w:t>具体工程量清单及工艺要求等在行采家（www.gec123.com/）上发布，各供应商自行下载。</w:t>
      </w:r>
    </w:p>
    <w:p>
      <w:pPr>
        <w:spacing w:line="540" w:lineRule="exact"/>
        <w:ind w:firstLine="470"/>
        <w:rPr>
          <w:rFonts w:ascii="宋体" w:hAnsi="宋体" w:cs="宋体"/>
          <w:b/>
          <w:color w:val="auto"/>
          <w:sz w:val="24"/>
        </w:rPr>
      </w:pPr>
      <w:bookmarkStart w:id="46" w:name="_Toc31440"/>
      <w:bookmarkStart w:id="47" w:name="_Toc10608"/>
      <w:bookmarkStart w:id="48" w:name="_Toc27158"/>
      <w:bookmarkStart w:id="49" w:name="_Toc2202"/>
      <w:r>
        <w:rPr>
          <w:rFonts w:hint="eastAsia" w:ascii="宋体" w:hAnsi="宋体" w:cs="宋体"/>
          <w:b/>
          <w:color w:val="auto"/>
          <w:sz w:val="24"/>
        </w:rPr>
        <w:t>四、项目管理班子人员配备要求</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（一）项目经理（1人）</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供应商拟派的项目经理须在供应商单位注册，应同时具有建筑工程专业二级及以上注册建造师执业资格，并提供无在建项目的声明。</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（提供人员相应证书复印件、供应商为其缴纳的投标截止前连续三个月社保证明材料复印件、项目经理未在其他在建项目任职的声明（格式自拟）并加盖供应商公章）。</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（二）技术负责人（1人）</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供应商拟派的技术负责人应具有工程类中级及以上职称。（提供人员相应证书复印件、供应商为其缴纳的投标截止前连续三个月社保证明材料复印件并加盖供应商公章）。</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（三）其他主要管理人员：</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供应商自行承诺成交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供应商为其缴纳的养老保险证明材料。成交后不能满足该要求的，采购人可取消其成交资格，给采购人造成损失的，供应商依法承担违约赔偿责任。该项目实际到场管理人员必须与投标时提交人员一致，如不一致，采购人有权解除合同，并没收履约保证金。（供应商提供承诺，格式自拟）</w:t>
      </w:r>
    </w:p>
    <w:p>
      <w:pPr>
        <w:spacing w:line="540" w:lineRule="exact"/>
        <w:ind w:firstLine="470"/>
        <w:rPr>
          <w:rFonts w:ascii="宋体" w:hAnsi="宋体" w:cs="宋体"/>
          <w:b/>
          <w:color w:val="auto"/>
          <w:sz w:val="24"/>
        </w:rPr>
      </w:pPr>
      <w:r>
        <w:rPr>
          <w:rFonts w:hint="eastAsia" w:ascii="宋体" w:hAnsi="宋体" w:cs="宋体"/>
          <w:b/>
          <w:color w:val="auto"/>
          <w:sz w:val="24"/>
        </w:rPr>
        <w:t>五、其他</w:t>
      </w:r>
      <w:bookmarkEnd w:id="46"/>
      <w:bookmarkEnd w:id="47"/>
      <w:bookmarkEnd w:id="48"/>
      <w:bookmarkEnd w:id="49"/>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一）、现场踏勘：请供应商自行踏勘以充分了解工地位置、地质情况、进出场道路、储存空间、装卸限制、行车干扰及任何其它足以影响承包价格的情况，任何因忽视或误解工地情况而导致的索赔或工期延长申请将不获批准。开标时如未踏堪现场视为已踏堪，踏勘费用由供应商自行承担。</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二）、采购人将进一步核查供应商在响应文件中的提供的投标资料，若在评标期间有供应商投诉并经查实或评标委员会发现供应商提供了虚假资料，采购人将对供应商的响应文件作否决处理。采购人若在合同实施期间发现供应商提供虚假资料或以供应商承诺不相符合内容，采购人将从工程支付款扣除不超过签约合同价的10%的金额作为违约金，采购人将终止本合同。</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（三）、成交供应商在作业过程中不得损害业主的相关设施或妨碍辖区居民的正常生产工作秩序；</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（四）、施工所需设施、设备、用具等全部由成交供应商自行负责；</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（五）、施工过程中不能阻断交通，以及施工过程中的一切安全责任由成交供应商自行负责；</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（六）、施工过程中的用水、用电、临时占地和青苗补偿由成交供应商自行协调解决，并承担相应费用。</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（七）、供应商在中标后派驻现场的项目经理必须是参与投标时所拟定的项目经理，未经采购人同意不得更换，否则终止合同。</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八）、承包人不得将合同的任何部分或采购方的任何权利、利益或责任转让、委派、许诺、安排给其他人；不得通过租用、借用他人资质证书承揽工程，承包人如有上述行为，发包人有权立即终止合同，承包人应承担由此引起的违约责任及相关法律法规责任。</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九）、施工单位须做好施工全过程中相关工程资料的留存，须有施工现场的施工前后及期间相应节点的对比影像资料（特别是隐蔽工程及暂列金额工程）用于后期结算。因缺少影像资料造成无法办理相关工程内容结算的损失由施工单位自行承担。</w:t>
      </w:r>
    </w:p>
    <w:p>
      <w:pPr>
        <w:snapToGrid w:val="0"/>
        <w:spacing w:line="400" w:lineRule="exact"/>
        <w:ind w:firstLine="480" w:firstLineChars="200"/>
        <w:outlineLvl w:val="2"/>
        <w:rPr>
          <w:rFonts w:ascii="宋体" w:hAnsi="宋体" w:cs="宋体"/>
          <w:color w:val="auto"/>
          <w:sz w:val="24"/>
          <w:szCs w:val="24"/>
        </w:rPr>
      </w:pPr>
      <w:r>
        <w:rPr>
          <w:rFonts w:hint="eastAsia" w:ascii="宋体" w:hAnsi="宋体" w:cs="宋体"/>
          <w:color w:val="auto"/>
          <w:sz w:val="24"/>
          <w:szCs w:val="24"/>
        </w:rPr>
        <w:t>（十）、供应商必须在响应文件中对以上条款和服务承诺明确列出，承诺内容必须达到本篇及谈判文件其他条款的要求。</w:t>
      </w:r>
    </w:p>
    <w:p>
      <w:pPr>
        <w:ind w:firstLine="480" w:firstLineChars="200"/>
        <w:rPr>
          <w:rFonts w:ascii="宋体" w:hAnsi="宋体" w:cs="宋体"/>
          <w:color w:val="auto"/>
          <w:sz w:val="32"/>
          <w:szCs w:val="15"/>
        </w:rPr>
      </w:pPr>
      <w:bookmarkStart w:id="50" w:name="_Toc16204"/>
      <w:bookmarkStart w:id="51" w:name="_Toc21036"/>
      <w:bookmarkStart w:id="52" w:name="_Toc6700"/>
      <w:r>
        <w:rPr>
          <w:rFonts w:hint="eastAsia" w:ascii="宋体" w:hAnsi="宋体" w:cs="宋体"/>
          <w:color w:val="auto"/>
          <w:sz w:val="24"/>
          <w:szCs w:val="24"/>
        </w:rPr>
        <w:t>（十一）、其他未尽事宜由供需双方在采购合同中详细约定。</w:t>
      </w:r>
      <w:bookmarkEnd w:id="50"/>
      <w:bookmarkEnd w:id="51"/>
      <w:bookmarkEnd w:id="52"/>
    </w:p>
    <w:p>
      <w:pPr>
        <w:pStyle w:val="12"/>
        <w:rPr>
          <w:rFonts w:ascii="宋体" w:hAnsi="宋体" w:cs="宋体"/>
          <w:color w:val="auto"/>
          <w:szCs w:val="15"/>
        </w:rPr>
      </w:pPr>
    </w:p>
    <w:p>
      <w:pPr>
        <w:rPr>
          <w:rFonts w:ascii="宋体" w:hAnsi="宋体" w:cs="宋体"/>
          <w:color w:val="auto"/>
          <w:sz w:val="32"/>
          <w:szCs w:val="15"/>
        </w:rPr>
      </w:pPr>
    </w:p>
    <w:p>
      <w:pPr>
        <w:pStyle w:val="12"/>
        <w:rPr>
          <w:rFonts w:ascii="宋体" w:hAnsi="宋体" w:cs="宋体"/>
          <w:color w:val="auto"/>
          <w:szCs w:val="15"/>
        </w:rPr>
      </w:pPr>
    </w:p>
    <w:p>
      <w:pPr>
        <w:rPr>
          <w:rFonts w:ascii="宋体" w:hAnsi="宋体" w:cs="宋体"/>
          <w:color w:val="auto"/>
          <w:sz w:val="32"/>
          <w:szCs w:val="15"/>
        </w:rPr>
      </w:pPr>
    </w:p>
    <w:p>
      <w:pPr>
        <w:pStyle w:val="12"/>
        <w:rPr>
          <w:rFonts w:ascii="宋体" w:hAnsi="宋体" w:cs="宋体"/>
          <w:color w:val="auto"/>
          <w:szCs w:val="15"/>
        </w:rPr>
      </w:pPr>
    </w:p>
    <w:p>
      <w:pPr>
        <w:rPr>
          <w:rFonts w:ascii="宋体" w:hAnsi="宋体" w:cs="宋体"/>
          <w:color w:val="auto"/>
          <w:sz w:val="32"/>
          <w:szCs w:val="15"/>
        </w:rPr>
      </w:pPr>
    </w:p>
    <w:p>
      <w:pPr>
        <w:pStyle w:val="2"/>
        <w:spacing w:line="360" w:lineRule="auto"/>
        <w:jc w:val="center"/>
        <w:rPr>
          <w:rFonts w:ascii="宋体" w:hAnsi="宋体" w:cs="宋体"/>
          <w:color w:val="auto"/>
          <w:sz w:val="32"/>
          <w:szCs w:val="15"/>
        </w:rPr>
      </w:pPr>
      <w:bookmarkStart w:id="53" w:name="_Toc7601"/>
      <w:r>
        <w:rPr>
          <w:rFonts w:hint="eastAsia" w:ascii="宋体" w:hAnsi="宋体" w:cs="宋体"/>
          <w:color w:val="auto"/>
          <w:sz w:val="32"/>
          <w:szCs w:val="15"/>
        </w:rPr>
        <w:t>第三篇  项目商务需求</w:t>
      </w:r>
      <w:bookmarkEnd w:id="53"/>
    </w:p>
    <w:bookmarkEnd w:id="2"/>
    <w:bookmarkEnd w:id="3"/>
    <w:bookmarkEnd w:id="4"/>
    <w:p>
      <w:pPr>
        <w:snapToGrid w:val="0"/>
        <w:spacing w:line="400" w:lineRule="exact"/>
        <w:ind w:firstLine="540"/>
        <w:rPr>
          <w:rFonts w:ascii="宋体" w:hAnsi="宋体" w:cs="宋体"/>
          <w:b/>
          <w:color w:val="auto"/>
          <w:sz w:val="24"/>
        </w:rPr>
      </w:pPr>
      <w:bookmarkStart w:id="54" w:name="_Toc24655"/>
      <w:bookmarkStart w:id="55" w:name="_Toc76462328"/>
      <w:bookmarkStart w:id="56" w:name="_Toc344475120"/>
      <w:r>
        <w:rPr>
          <w:rFonts w:hint="eastAsia" w:ascii="宋体" w:hAnsi="宋体" w:cs="宋体"/>
          <w:b/>
          <w:color w:val="auto"/>
          <w:sz w:val="24"/>
        </w:rPr>
        <w:t>一、服务期、地点及验收方式</w:t>
      </w:r>
      <w:bookmarkEnd w:id="54"/>
      <w:bookmarkEnd w:id="55"/>
      <w:bookmarkEnd w:id="56"/>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 xml:space="preserve">（一）施工工期： </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30</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日历天。</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（二）建设地点：采购人指定地点</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三）验收方式：施工过程应遵照现行国家有关规范进行，按照有关要求进行检查验收。成交供应商应保证工程质量，工程用建筑材料须符合国家标准和行业标准。工程完工后，按国家相关标准验收程序和规程进行验收，双方签字确认。验收的相关费用由成交供应商承担。成交供应商未达到采购文件的要求，且对采购人造成损失的，由成交供应商承担一切责任，并赔偿所造成的损失。</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（四）质量、安全要求：</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1、 达到国家、行业和重庆市有关施工质量验收规范、技术规范、技术标准、规程、文件等相关规定。</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2、安全要求达到国家现行施工安全规范标准。</w:t>
      </w:r>
    </w:p>
    <w:p>
      <w:pPr>
        <w:snapToGrid w:val="0"/>
        <w:spacing w:line="400" w:lineRule="exact"/>
        <w:ind w:firstLine="540"/>
        <w:rPr>
          <w:rFonts w:ascii="宋体" w:hAnsi="宋体" w:cs="宋体"/>
          <w:b/>
          <w:color w:val="auto"/>
          <w:sz w:val="24"/>
        </w:rPr>
      </w:pPr>
      <w:bookmarkStart w:id="57" w:name="_Toc344475121"/>
      <w:bookmarkStart w:id="58" w:name="_Toc76462329"/>
      <w:bookmarkStart w:id="59" w:name="_Toc28590"/>
      <w:r>
        <w:rPr>
          <w:rFonts w:hint="eastAsia" w:ascii="宋体" w:hAnsi="宋体" w:cs="宋体"/>
          <w:b/>
          <w:color w:val="auto"/>
          <w:sz w:val="24"/>
        </w:rPr>
        <w:t>二、</w:t>
      </w:r>
      <w:bookmarkEnd w:id="57"/>
      <w:r>
        <w:rPr>
          <w:rFonts w:hint="eastAsia" w:ascii="宋体" w:hAnsi="宋体" w:cs="宋体"/>
          <w:b/>
          <w:color w:val="auto"/>
          <w:sz w:val="24"/>
        </w:rPr>
        <w:t>报价要求</w:t>
      </w:r>
      <w:bookmarkEnd w:id="58"/>
      <w:bookmarkEnd w:id="59"/>
    </w:p>
    <w:p>
      <w:pPr>
        <w:spacing w:line="460" w:lineRule="exact"/>
        <w:ind w:firstLine="480" w:firstLineChars="200"/>
        <w:rPr>
          <w:rFonts w:ascii="宋体" w:hAnsi="宋体" w:cs="宋体"/>
          <w:color w:val="auto"/>
          <w:sz w:val="24"/>
          <w:szCs w:val="24"/>
        </w:rPr>
      </w:pPr>
      <w:bookmarkStart w:id="60" w:name="_Toc9983"/>
      <w:bookmarkStart w:id="61" w:name="_Toc13798"/>
      <w:r>
        <w:rPr>
          <w:rFonts w:hint="eastAsia" w:ascii="宋体" w:hAnsi="宋体" w:cs="宋体"/>
          <w:color w:val="auto"/>
          <w:sz w:val="24"/>
          <w:szCs w:val="24"/>
        </w:rPr>
        <w:t>（一）本工程采用固定综合单价合同，计价采用工程量清单计价模式。本工程由供应商以采购文件、合同条件、工程量清单、本次采购范围的施工设计图纸、现场踏勘情况、周边环境、国家技术和经济规范及标准、《工程量清单计价规范》、《建设工程工程量清单计价规范》（GB50500-2013)、《重庆市建设工程工程量清单计价规则》（CQJJGZ-2013)、《重庆市房屋建筑与装饰工程计价定额》（CQJZZSDE-2018）、《重庆市园林绿化工程计价定额》（CQYLLHDE-2018）、《重庆市通用安装工程计价定额》（CQAZDE-2018）、《重庆市市政工程计价定额》（CQSZDE-2018）、《重庆市建设工程混凝土及砂浆配合比表》CQPHBB-2018、《重庆市建设工程费用定额》CQFYDE-2018）及相关配套文件等为依据，由供应商结合自身实力、市场行情自主合理报价。响应报价应包括完成采购范围内工程项目的人工费、材料费、机械费、企业管理费、利润、风险费用、措施费（含易撒漏物资密闭运输的费用及弃渣费用和安全文明施工费）、规费、税金、政策性文件规定的所有费用。采购人除此以外不支付其它费用。</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二）本工程采用固定综合单价，综合单价应包括完成该子项所需的人工费、材料费、机械费、管理费、利润、风险费用等除措施费、安全文明施工费、规费、税金外的所有费用。工程量清单中安全文明施工费暂定金额、暂估价以及暂列金额都不能进行改动，须按照采购人给出的金额报价，否则视为无效响应。</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（三）</w:t>
      </w:r>
      <w:r>
        <w:rPr>
          <w:rFonts w:hint="eastAsia" w:hAnsi="宋体"/>
          <w:color w:val="auto"/>
          <w:sz w:val="24"/>
          <w:szCs w:val="24"/>
        </w:rPr>
        <w:t>本工程将设置总价最高限价、每项清单单价最高限</w:t>
      </w:r>
      <w:r>
        <w:rPr>
          <w:rFonts w:hint="eastAsia" w:hAnsi="宋体"/>
          <w:color w:val="auto"/>
          <w:sz w:val="24"/>
          <w:szCs w:val="24"/>
          <w:highlight w:val="none"/>
        </w:rPr>
        <w:t>价</w:t>
      </w:r>
      <w:r>
        <w:rPr>
          <w:rFonts w:hint="eastAsia" w:hAnsi="宋体"/>
          <w:b/>
          <w:bCs/>
          <w:color w:val="auto"/>
          <w:sz w:val="24"/>
          <w:szCs w:val="24"/>
          <w:highlight w:val="none"/>
        </w:rPr>
        <w:t>，最高限价为人民币</w:t>
      </w:r>
      <w:r>
        <w:rPr>
          <w:rFonts w:hint="eastAsia" w:hAnsi="宋体"/>
          <w:b/>
          <w:bCs/>
          <w:color w:val="auto"/>
          <w:sz w:val="24"/>
          <w:szCs w:val="24"/>
          <w:highlight w:val="none"/>
          <w:u w:val="single"/>
          <w:lang w:val="en-US" w:eastAsia="zh-CN"/>
        </w:rPr>
        <w:t>692624.9</w:t>
      </w:r>
      <w:r>
        <w:rPr>
          <w:rFonts w:hint="eastAsia" w:hAnsi="宋体"/>
          <w:b/>
          <w:bCs/>
          <w:color w:val="auto"/>
          <w:sz w:val="24"/>
          <w:szCs w:val="24"/>
          <w:highlight w:val="none"/>
          <w:u w:val="single"/>
        </w:rPr>
        <w:t xml:space="preserve"> </w:t>
      </w:r>
      <w:r>
        <w:rPr>
          <w:rFonts w:hint="eastAsia" w:hAnsi="宋体"/>
          <w:b/>
          <w:bCs/>
          <w:color w:val="auto"/>
          <w:sz w:val="24"/>
          <w:szCs w:val="24"/>
          <w:highlight w:val="none"/>
        </w:rPr>
        <w:t>元（大写：</w:t>
      </w:r>
      <w:r>
        <w:rPr>
          <w:rFonts w:hint="eastAsia" w:hAnsi="宋体"/>
          <w:b/>
          <w:bCs/>
          <w:color w:val="auto"/>
          <w:sz w:val="24"/>
          <w:szCs w:val="24"/>
          <w:highlight w:val="none"/>
          <w:u w:val="single"/>
        </w:rPr>
        <w:t xml:space="preserve"> </w:t>
      </w:r>
      <w:r>
        <w:rPr>
          <w:rFonts w:hint="eastAsia" w:hAnsi="宋体"/>
          <w:b/>
          <w:bCs/>
          <w:color w:val="auto"/>
          <w:sz w:val="24"/>
          <w:szCs w:val="24"/>
          <w:highlight w:val="none"/>
          <w:u w:val="single"/>
          <w:lang w:val="en-US" w:eastAsia="zh-CN"/>
        </w:rPr>
        <w:t>陆拾玖万贰仟陆佰贰拾肆元玖角</w:t>
      </w:r>
      <w:r>
        <w:rPr>
          <w:rFonts w:hint="eastAsia" w:hAnsi="宋体"/>
          <w:b/>
          <w:bCs/>
          <w:color w:val="auto"/>
          <w:sz w:val="24"/>
          <w:szCs w:val="24"/>
          <w:highlight w:val="none"/>
        </w:rPr>
        <w:t>），含安全文明施工费</w:t>
      </w:r>
      <w:r>
        <w:rPr>
          <w:rFonts w:hint="eastAsia" w:hAnsi="宋体"/>
          <w:b/>
          <w:bCs/>
          <w:color w:val="auto"/>
          <w:sz w:val="24"/>
          <w:szCs w:val="24"/>
          <w:highlight w:val="none"/>
          <w:u w:val="single"/>
        </w:rPr>
        <w:t xml:space="preserve">  17162.03 </w:t>
      </w:r>
      <w:r>
        <w:rPr>
          <w:rFonts w:hint="eastAsia" w:hAnsi="宋体"/>
          <w:b/>
          <w:bCs/>
          <w:color w:val="auto"/>
          <w:sz w:val="24"/>
          <w:szCs w:val="24"/>
          <w:highlight w:val="none"/>
        </w:rPr>
        <w:t>元（安全文明施工费按此填报不得浮动），</w:t>
      </w:r>
      <w:r>
        <w:rPr>
          <w:rFonts w:hint="eastAsia" w:hAnsi="宋体"/>
          <w:color w:val="auto"/>
          <w:sz w:val="24"/>
          <w:szCs w:val="24"/>
          <w:highlight w:val="none"/>
        </w:rPr>
        <w:t>每项</w:t>
      </w:r>
      <w:r>
        <w:rPr>
          <w:rFonts w:hint="eastAsia" w:hAnsi="宋体"/>
          <w:color w:val="auto"/>
          <w:sz w:val="24"/>
          <w:szCs w:val="24"/>
        </w:rPr>
        <w:t>清单单价最高限价详见附件工程量清单。供应商的投标总报价、每项清单的投标单价，均不得超过相应的最高限价，否则按无效投标文件处理。</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四）供应商应认真填写工程量清单中所列的本合同各工程子目的单价和总价。供应商没有填入单价和总价的工程子目，采购人将认为该子目的价款已包括在工程量清单其他子目的单价和总价中。成交供应商必须按采购人指令完成工程量清单中未填入单价或价格的子目，但不能得到结算与支付。供应商在工程量清单中多报的子目和单价或总价采购人将不予接受，并将被视为重大偏差，响应文件作无效响应处理。</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五）供应商在编制报价时不得改变工程量清单中的项目编码、项目名称、项目特征、计量单位及工程量，否则响应文件作无效响应处理。工程量清单中的“项目特征”描述不作为报价的唯一依据，供应商应根据分部分项工程量清单计价表中“项目特征”的描述结合采购文件中的供应商须知、技术标准和要求和对现场的勘察情况等一起阅读和理解并确定报价。</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（六）措施费：措施项目费包括组织措施费和技术措施费。</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施工组织措施项目费：招标人给出的施工组织措施项目清单仅供供应商参考，供应商在投标报价时可参照招标人给出的施工组织措施项目清单并结合本工程的实际情况和国家及重庆市相关管理规定自行增减项目，并进行报价。如果漏项或不报价，视为已包含在其他项目清单综合单价内。中标后施工组织措施项目费用（除安全文明施工费外）一概不作调整。</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2.施工技术措施项目费：</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（1）技术措施清单中以项计列的项目，由供应商根据现场踏勘情况及本工程的实际情况结合自身施工经验及施工组织设计，以项为单位自行报价，包干使用，结算时不作调整。</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技术措施清单中以项目编码、项目名称、项目特征、工程内容、工程量及计量单位列项的项目，供应商必须按采购人给出的施工技术措施项目清单进行报价，不得擅自变改采购人提供的施工技术措施项目清单中的序号、项目编码、项目名称、项目特征、工程内容、工程量及计量单位，否则响应文件作无效响应处理。工程量执行分部分项工程量清单结算原则。</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（3）施工技术措施项目费以暂列金额形式计入报价的(如果有)，根据采购人核定的价格按实结算或按照工程变更或新增项目清单结算原则执行。</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（七）安全文明施工费：</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1.按</w:t>
      </w:r>
      <w:r>
        <w:rPr>
          <w:rFonts w:hint="eastAsia" w:ascii="宋体" w:hAnsi="宋体" w:cs="宋体"/>
          <w:bCs/>
          <w:color w:val="auto"/>
          <w:sz w:val="24"/>
          <w:szCs w:val="24"/>
        </w:rPr>
        <w:t>《重庆市建设工程安全文明施工费计取及使用管理规定》的通知（渝建管〔2024〕38号）</w:t>
      </w:r>
      <w:r>
        <w:rPr>
          <w:rFonts w:hint="eastAsia" w:ascii="宋体" w:hAnsi="宋体" w:cs="宋体"/>
          <w:color w:val="auto"/>
          <w:sz w:val="24"/>
          <w:szCs w:val="24"/>
        </w:rPr>
        <w:t>文件计取。</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2.《报价函》及工程量清单报价中的安全文明施工费必须按照采购人给出的暂定金额填报，否则视为对采购文件不作实质性响应，响应文件作无效响应处理。</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八）本工程所需材料、设备由成交供应商人自行采购，但所采购的材料、设备必须符合国家及重庆市规范标准及设计文件、采购文件要求，并提供相应合格证明资料、质保书等，并由监理人（若有）、采购人验收合格后方可用于施工，如果成交供应商采购的材料、设备未经监理人（若有）和采购人验收直接用于施工，则采购人有权要求成交供应商无条件的更换至符合采购人要求，且成交供应商不得以此为由要求延长工期和增加费用。 </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九）供应商应先到工地踏勘以充分了解工地位置、情况、道路、储存空间、装卸限制及任何其他足以影响承包价的情况，自行做好与施工现场其他单位及行政主管部门的协调工作，负责当地群众矛盾协调工作，做好施工成品的保护，因施工发生的一切施工成品损坏及其他相关经济、法律责任由施工单位自行承担，任何因忽视或误解工地情况而导致的索赔或工期延长申请将不被批准。</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（十）税金 </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 供应商按《重庆市建设工程费用定额》（CQFYDE-2018）、渝建〔2019〕143号及相关规定进行填报，实施本合同工程需缴纳的一切税费由供应商承担，包含在所报的总额价内。</w:t>
      </w:r>
    </w:p>
    <w:p>
      <w:pPr>
        <w:numPr>
          <w:ilvl w:val="255"/>
          <w:numId w:val="0"/>
        </w:num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（十一）材料价格 </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1 、本工程所需材料、设备由成交供应商自行采购，所采购的材料必须符合国家规范标准及设计文件、采购文件要求，并提供相应合格证明资料、质保书等，成交供应商采购材料、设备前应向采购人提交材料、设备采购计划表并经采购人和监理工程师（若有）签字确认后方可实施。</w:t>
      </w:r>
    </w:p>
    <w:p>
      <w:pPr>
        <w:spacing w:line="460" w:lineRule="exact"/>
        <w:ind w:firstLine="480" w:firstLineChars="200"/>
        <w:rPr>
          <w:rFonts w:ascii="宋体" w:hAnsi="宋体" w:cs="宋体"/>
          <w:color w:val="auto"/>
          <w:sz w:val="24"/>
          <w:szCs w:val="24"/>
        </w:rPr>
      </w:pPr>
      <w:r>
        <w:rPr>
          <w:rFonts w:hint="eastAsia" w:ascii="宋体" w:hAnsi="宋体" w:cs="宋体"/>
          <w:color w:val="auto"/>
          <w:sz w:val="24"/>
          <w:szCs w:val="24"/>
        </w:rPr>
        <w:t>2 、本工程所需的全部材料由各供应商参照重庆市建设工程造价总站主办的《重庆工程造价信息》</w:t>
      </w:r>
      <w:r>
        <w:rPr>
          <w:rFonts w:hint="eastAsia" w:ascii="宋体" w:hAnsi="宋体" w:cs="宋体"/>
          <w:color w:val="auto"/>
          <w:sz w:val="24"/>
          <w:szCs w:val="24"/>
          <w:lang w:val="en-US" w:eastAsia="zh-CN"/>
        </w:rPr>
        <w:t>最新一期</w:t>
      </w:r>
      <w:r>
        <w:rPr>
          <w:rFonts w:hint="eastAsia" w:ascii="宋体" w:hAnsi="宋体" w:cs="宋体"/>
          <w:color w:val="auto"/>
          <w:sz w:val="24"/>
          <w:szCs w:val="24"/>
        </w:rPr>
        <w:t>公布的信息价，并结合市场行情以及供应商的自身实力自主报价。成交后所有材料、设备按响应报价包干使用，不作任何调整。材料、设备运输距离（包括二次或多次转运费）、运杂费、装卸费、运输损耗费、采购及保管费、检测试验和保险费由供应商根据自身情况及踏勘现场情况自行确定，成交后不调整。</w:t>
      </w:r>
    </w:p>
    <w:p>
      <w:pPr>
        <w:numPr>
          <w:ilvl w:val="0"/>
          <w:numId w:val="2"/>
        </w:numPr>
        <w:snapToGrid w:val="0"/>
        <w:spacing w:line="400" w:lineRule="exact"/>
        <w:ind w:firstLine="540"/>
        <w:rPr>
          <w:rFonts w:ascii="宋体" w:hAnsi="宋体" w:cs="宋体"/>
          <w:color w:val="auto"/>
          <w:sz w:val="24"/>
          <w:szCs w:val="24"/>
        </w:rPr>
      </w:pPr>
      <w:r>
        <w:rPr>
          <w:rFonts w:hint="eastAsia" w:ascii="宋体" w:hAnsi="宋体" w:cs="宋体"/>
          <w:color w:val="auto"/>
          <w:sz w:val="24"/>
          <w:szCs w:val="24"/>
        </w:rPr>
        <w:t>人工价格：本工程人工单价参照重庆市建设工程造价总站主办的《重庆工程造价信息》</w:t>
      </w:r>
      <w:r>
        <w:rPr>
          <w:rFonts w:hint="eastAsia" w:ascii="宋体" w:hAnsi="宋体" w:cs="宋体"/>
          <w:color w:val="auto"/>
          <w:sz w:val="24"/>
          <w:szCs w:val="24"/>
          <w:lang w:val="en-US" w:eastAsia="zh-CN"/>
        </w:rPr>
        <w:t>最新一期</w:t>
      </w:r>
      <w:r>
        <w:rPr>
          <w:rFonts w:hint="eastAsia" w:ascii="宋体" w:hAnsi="宋体" w:cs="宋体"/>
          <w:color w:val="auto"/>
          <w:sz w:val="24"/>
          <w:szCs w:val="24"/>
        </w:rPr>
        <w:t>主城区人工信息价执行，成交后不再调整。</w:t>
      </w:r>
    </w:p>
    <w:p>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三、</w:t>
      </w:r>
      <w:bookmarkStart w:id="62" w:name="_Toc21343"/>
      <w:bookmarkStart w:id="63" w:name="_Toc28718"/>
      <w:bookmarkStart w:id="64" w:name="_Toc7714"/>
      <w:bookmarkStart w:id="65" w:name="_Toc12705"/>
      <w:bookmarkStart w:id="66" w:name="_Toc30514"/>
      <w:r>
        <w:rPr>
          <w:rFonts w:hint="eastAsia" w:ascii="宋体" w:hAnsi="宋体" w:cs="宋体"/>
          <w:b/>
          <w:color w:val="auto"/>
          <w:sz w:val="24"/>
        </w:rPr>
        <w:t>工程结算</w:t>
      </w:r>
      <w:bookmarkEnd w:id="60"/>
      <w:bookmarkEnd w:id="62"/>
      <w:bookmarkEnd w:id="63"/>
      <w:bookmarkEnd w:id="64"/>
      <w:bookmarkEnd w:id="65"/>
      <w:bookmarkEnd w:id="66"/>
      <w:bookmarkStart w:id="67" w:name="_Toc24639"/>
      <w:bookmarkStart w:id="68" w:name="_Toc30353"/>
    </w:p>
    <w:bookmarkEnd w:id="67"/>
    <w:p>
      <w:pPr>
        <w:spacing w:line="540" w:lineRule="exact"/>
        <w:ind w:firstLine="360" w:firstLineChars="150"/>
        <w:rPr>
          <w:rFonts w:ascii="宋体" w:hAnsi="宋体" w:cs="宋体"/>
          <w:color w:val="auto"/>
          <w:sz w:val="24"/>
          <w:szCs w:val="24"/>
        </w:rPr>
      </w:pPr>
      <w:bookmarkStart w:id="69" w:name="_Toc28925"/>
      <w:r>
        <w:rPr>
          <w:rFonts w:hint="eastAsia" w:ascii="宋体" w:hAnsi="宋体" w:cs="宋体"/>
          <w:color w:val="auto"/>
          <w:sz w:val="24"/>
          <w:szCs w:val="24"/>
        </w:rPr>
        <w:t>1.结算总价＝分部分项工程量清单综合单价×子项工程量+其他项目费+设计变更及新增部分金额+合同约定的其它费用（合同如果没有约定，则去消此项目）。</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2.各部分的结算原则如下：</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（1）分部分项工程量清单结算价：</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分部分项工程量清单项目按成交单价实行综合单价包干。工程结算时，以成交人最后成交单价为结算单价依据，乘以按照国家及重庆市相关工程量清单计算规则计算出且经采购人及监理工程师（有监理单位的情况下）审核的施工图及设计变更的工程量，作为该子项的结算合价。各分部分项工程量清单子项合价累计相加，得出分部分项工程量清单结算价。</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2）本工程设计变更、采购工程量清单漏项或新增项目价款结算办法：工程设计的变更确定后，设计变更涉及工程价款调整的，或采购工程量清单中有漏项或工程施工中出现新增项目，由成交人在变更项目启动前7天内向采购人提出，按大渡口区相关文件规定报批同意后调整合同价款。调整方法如下：</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 xml:space="preserve"> ①变更（包括签证）工程与竞标报价的工程量清单中有相同的子项，则按竞标时的相同子项的综合单价报价执行；</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 xml:space="preserve">  ②变更（包括签证）工程与工程量清单中有类似项目时，应参照类似项目只对价差进行调整（类似项目即为工程量清单中工程内容和工程特征均有2/3及以相似）；</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 xml:space="preserve"> ③变更（包括签证）工程与工程量清单中无相同子项或类似子项的，按《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房屋修缮工程计价定额》（CQXSDE-2018）、《重庆市绿色建筑工程计价定额》（CQLSJZDE-2018）、《重庆市建设工程费用定额》（CQFYDE-2018）、《重庆市建设工程施工机械台班定额》（CQJXDE-2018）、《重庆市建设工程混凝土及砂浆配合比表》（CQPHBB-2018）的规定进行组价，其中的人工工日单价、材料价格和未计价材料价格按以下办法调整：</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A材料由成交人进行采购。竞标报价中有的材料价格按竞标报价执行；竞标报价中没有的材料价格，成交人需在采购前报监理人和招标人核质核价后再进行采购，按核定价格进行结算，如《重庆工程造价信息》中有的材料，其核定价格不得高于施工期间《重庆工程造价信息》公布的大渡口区材料价格的算术平均值。</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 xml:space="preserve"> B人工工日单价按竞标报价中的人工工日单价执行 ，竞标报价中没有的则按施工期间《重庆工程造价信息》公布的大渡口区人工指导价的算术平均值执行。</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 xml:space="preserve">  ④变更工程量按《重庆市建设工程工程量计算规则》（CQJLGZ-2013）的规定的计量规则计算。</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（3）其他项目清单结算金额</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 xml:space="preserve"> ①本工程材料采用暂估价格采购，结算时则按经监理人、采购人认质核价后的材料价格进行结算。</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 xml:space="preserve"> ②本工程采用专业工程暂估价或暂列金额采购的，结算时按实结算。其中以暂列金额采购的施工内容实施与否由采购人决定。</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（4）采购人要求成交人完成合同以外施工范围内或施工范围外，但与本施工项目有密切关系的零星项目，成交人应接受采购人施工要求，并向采购人提出工程量签证。</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3.本工程结算金额最终以审计机构审定的金额为准</w:t>
      </w:r>
    </w:p>
    <w:p>
      <w:pPr>
        <w:pStyle w:val="4"/>
        <w:adjustRightInd w:val="0"/>
        <w:snapToGrid w:val="0"/>
        <w:spacing w:before="0" w:after="0" w:line="400" w:lineRule="exact"/>
        <w:ind w:firstLine="482" w:firstLineChars="200"/>
        <w:rPr>
          <w:rFonts w:ascii="宋体" w:hAnsi="宋体" w:cs="宋体"/>
          <w:color w:val="auto"/>
          <w:sz w:val="24"/>
        </w:rPr>
      </w:pPr>
      <w:r>
        <w:rPr>
          <w:rFonts w:hint="eastAsia" w:ascii="宋体" w:hAnsi="宋体" w:cs="宋体"/>
          <w:color w:val="auto"/>
          <w:sz w:val="24"/>
        </w:rPr>
        <w:t>四、</w:t>
      </w:r>
      <w:bookmarkEnd w:id="61"/>
      <w:bookmarkEnd w:id="68"/>
      <w:r>
        <w:rPr>
          <w:rFonts w:hint="eastAsia" w:ascii="宋体" w:hAnsi="宋体" w:cs="宋体"/>
          <w:color w:val="auto"/>
          <w:sz w:val="24"/>
        </w:rPr>
        <w:t>质量保证及售后服务</w:t>
      </w:r>
      <w:bookmarkEnd w:id="69"/>
    </w:p>
    <w:p>
      <w:pPr>
        <w:spacing w:line="540" w:lineRule="exact"/>
        <w:ind w:firstLine="360" w:firstLineChars="150"/>
        <w:rPr>
          <w:rFonts w:ascii="宋体" w:hAnsi="宋体" w:cs="宋体"/>
          <w:color w:val="auto"/>
          <w:sz w:val="24"/>
          <w:szCs w:val="24"/>
        </w:rPr>
      </w:pPr>
      <w:bookmarkStart w:id="70" w:name="_Toc4323"/>
      <w:r>
        <w:rPr>
          <w:rFonts w:hint="eastAsia" w:ascii="宋体" w:hAnsi="宋体" w:cs="宋体"/>
          <w:color w:val="auto"/>
          <w:sz w:val="24"/>
          <w:szCs w:val="24"/>
        </w:rPr>
        <w:t>（一）工程缺陷责任期为24个月。</w:t>
      </w:r>
      <w:bookmarkEnd w:id="70"/>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（二）质量保修期</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根据《建设工程质量管理条例》及有关规定，本工程质量保修期约定如下：保修期限：</w:t>
      </w:r>
      <w:r>
        <w:rPr>
          <w:rFonts w:hint="eastAsia" w:ascii="宋体" w:hAnsi="宋体" w:cs="宋体"/>
          <w:color w:val="auto"/>
          <w:sz w:val="24"/>
          <w:szCs w:val="24"/>
          <w:lang w:val="en-US" w:eastAsia="zh-CN"/>
        </w:rPr>
        <w:t>一般装修工程</w:t>
      </w:r>
      <w:r>
        <w:rPr>
          <w:rFonts w:hint="eastAsia" w:ascii="宋体" w:hAnsi="宋体" w:cs="宋体"/>
          <w:color w:val="auto"/>
          <w:sz w:val="24"/>
          <w:szCs w:val="24"/>
        </w:rPr>
        <w:t>2年；</w:t>
      </w:r>
      <w:r>
        <w:rPr>
          <w:rFonts w:hint="eastAsia" w:ascii="宋体" w:hAnsi="宋体" w:cs="宋体"/>
          <w:color w:val="auto"/>
          <w:sz w:val="24"/>
          <w:szCs w:val="24"/>
          <w:lang w:val="en-US" w:eastAsia="zh-CN"/>
        </w:rPr>
        <w:t>防水工程5年；</w:t>
      </w:r>
      <w:r>
        <w:rPr>
          <w:rFonts w:hint="eastAsia" w:ascii="宋体" w:hAnsi="宋体" w:cs="宋体"/>
          <w:color w:val="auto"/>
          <w:sz w:val="24"/>
          <w:szCs w:val="24"/>
        </w:rPr>
        <w:t>建设工程的保修期，自工程交工验收合格之日起计算。</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（三）质量保修责任</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1.属于保修范围、内容的项目，承包人应当在接到保修通知之日起7天内派人保修。承包人不在约定期限内派人保修的，发包人可以委托他人修理。</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2.发生紧急事故需抢修的，承包人在接到事故通知后，应当立即到达事故现场抢修。</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3.质量保修完成后，由发包人组织验收。</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（四）保修费用</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保修费用由质量缺陷的责任方承担。</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（五）双方约定的其他工程质量保修事项</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按国家相关法律和规定执行。</w:t>
      </w:r>
    </w:p>
    <w:p>
      <w:pPr>
        <w:pStyle w:val="4"/>
        <w:adjustRightInd w:val="0"/>
        <w:snapToGrid w:val="0"/>
        <w:spacing w:before="0" w:after="0" w:line="400" w:lineRule="exact"/>
        <w:ind w:firstLine="482" w:firstLineChars="200"/>
        <w:rPr>
          <w:rFonts w:ascii="宋体" w:hAnsi="宋体" w:cs="宋体"/>
          <w:color w:val="auto"/>
          <w:sz w:val="24"/>
        </w:rPr>
      </w:pPr>
      <w:bookmarkStart w:id="71" w:name="_Toc15806"/>
      <w:bookmarkStart w:id="72" w:name="_Toc19073"/>
      <w:bookmarkStart w:id="73" w:name="_Toc8361"/>
      <w:r>
        <w:rPr>
          <w:rFonts w:hint="eastAsia" w:ascii="宋体" w:hAnsi="宋体" w:cs="宋体"/>
          <w:color w:val="auto"/>
          <w:sz w:val="24"/>
        </w:rPr>
        <w:t>五、履约担保及付款方式</w:t>
      </w:r>
      <w:bookmarkEnd w:id="71"/>
      <w:bookmarkEnd w:id="72"/>
      <w:bookmarkEnd w:id="73"/>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（一）履约担保</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1.担保形式：以支票、汇票、电子保函、本票或者金融机构、担保机构出具的保函等非现金形式提交。</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2.担保金额：签约合同价格的10%。</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3.提交时间：成交供应商应在成交通知书发出后10个工作日内，将履约保证金汇入采购人指定账户，不计息；或将符合要求且经采购人认可的履约保函交至采购人（保函格式见附件），履约保证金的缴纳或履约保函的提交作为签订合同的必要条件。</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4.退还时间：采用现金转账的，履约保证金在本项目竣工验收合格后30日内无息退还；采用履约保函的，履约保函在本项目竣工验收合格30日后自动失效。</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5.担保的期限：自提交履约担保之日起至竣工验收合格之日止。</w:t>
      </w:r>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（二）付款方式：</w:t>
      </w:r>
    </w:p>
    <w:p>
      <w:pPr>
        <w:snapToGrid w:val="0"/>
        <w:spacing w:line="540" w:lineRule="exact"/>
        <w:ind w:firstLine="480" w:firstLineChars="200"/>
        <w:rPr>
          <w:rFonts w:ascii="宋体" w:hAnsi="宋体" w:cs="宋体"/>
          <w:bCs/>
          <w:color w:val="auto"/>
          <w:sz w:val="24"/>
          <w:highlight w:val="none"/>
        </w:rPr>
      </w:pPr>
      <w:bookmarkStart w:id="74" w:name="_Toc5540"/>
      <w:bookmarkStart w:id="75" w:name="_Toc7123"/>
      <w:bookmarkStart w:id="76" w:name="_Toc3814"/>
      <w:bookmarkStart w:id="77" w:name="_Toc14712"/>
      <w:r>
        <w:rPr>
          <w:rFonts w:hint="eastAsia" w:ascii="宋体" w:hAnsi="宋体" w:cs="宋体"/>
          <w:bCs/>
          <w:color w:val="auto"/>
          <w:sz w:val="24"/>
          <w:highlight w:val="none"/>
        </w:rPr>
        <w:t>1、</w:t>
      </w:r>
      <w:r>
        <w:rPr>
          <w:rFonts w:hint="eastAsia" w:ascii="宋体" w:hAnsi="宋体" w:cs="宋体"/>
          <w:color w:val="auto"/>
          <w:sz w:val="24"/>
          <w:szCs w:val="24"/>
          <w:highlight w:val="none"/>
        </w:rPr>
        <w:t>工程竣工验收合格后，施工单位出具施工人员工酬支付证明，采购人支付至合同金额的</w:t>
      </w:r>
      <w:r>
        <w:rPr>
          <w:rFonts w:hint="eastAsia" w:ascii="宋体" w:hAnsi="宋体" w:cs="宋体"/>
          <w:color w:val="auto"/>
          <w:sz w:val="24"/>
          <w:szCs w:val="24"/>
          <w:highlight w:val="none"/>
          <w:lang w:val="en-US" w:eastAsia="zh-CN"/>
        </w:rPr>
        <w:t>70</w:t>
      </w:r>
      <w:r>
        <w:rPr>
          <w:rFonts w:hint="eastAsia" w:ascii="宋体" w:hAnsi="宋体" w:cs="宋体"/>
          <w:color w:val="auto"/>
          <w:sz w:val="24"/>
          <w:szCs w:val="24"/>
          <w:highlight w:val="none"/>
        </w:rPr>
        <w:t>%</w:t>
      </w:r>
      <w:r>
        <w:rPr>
          <w:rFonts w:hint="eastAsia" w:ascii="宋体" w:hAnsi="宋体" w:cs="宋体"/>
          <w:bCs/>
          <w:color w:val="auto"/>
          <w:sz w:val="24"/>
          <w:highlight w:val="none"/>
        </w:rPr>
        <w:t>；</w:t>
      </w:r>
    </w:p>
    <w:p>
      <w:pPr>
        <w:snapToGrid w:val="0"/>
        <w:spacing w:line="540" w:lineRule="exact"/>
        <w:ind w:firstLine="480" w:firstLineChars="200"/>
        <w:rPr>
          <w:rFonts w:ascii="宋体" w:hAnsi="宋体" w:cs="宋体"/>
          <w:bCs/>
          <w:color w:val="auto"/>
          <w:sz w:val="24"/>
        </w:rPr>
      </w:pPr>
      <w:r>
        <w:rPr>
          <w:rFonts w:hint="eastAsia" w:ascii="宋体" w:hAnsi="宋体" w:cs="宋体"/>
          <w:bCs/>
          <w:color w:val="auto"/>
          <w:sz w:val="24"/>
        </w:rPr>
        <w:t>2、项目结算评审后，采购人在30个工作日内向成交供应商付至审定金额的97%；</w:t>
      </w:r>
    </w:p>
    <w:p>
      <w:pPr>
        <w:snapToGrid w:val="0"/>
        <w:spacing w:line="540" w:lineRule="exact"/>
        <w:ind w:firstLine="480" w:firstLineChars="200"/>
        <w:rPr>
          <w:rFonts w:ascii="宋体" w:hAnsi="宋体" w:cs="宋体"/>
          <w:bCs/>
          <w:color w:val="auto"/>
          <w:sz w:val="24"/>
        </w:rPr>
      </w:pPr>
      <w:r>
        <w:rPr>
          <w:rFonts w:hint="eastAsia" w:ascii="宋体" w:hAnsi="宋体" w:cs="宋体"/>
          <w:bCs/>
          <w:color w:val="auto"/>
          <w:sz w:val="24"/>
        </w:rPr>
        <w:t>3、最终结算审定金额的3%作为质量保证金</w:t>
      </w:r>
      <w:r>
        <w:rPr>
          <w:rFonts w:hint="eastAsia" w:ascii="宋体" w:hAnsi="宋体" w:cs="宋体"/>
          <w:bCs/>
          <w:color w:val="auto"/>
          <w:sz w:val="24"/>
          <w:lang w:eastAsia="zh-CN"/>
        </w:rPr>
        <w:t>，</w:t>
      </w:r>
      <w:r>
        <w:rPr>
          <w:rFonts w:hint="eastAsia" w:ascii="宋体" w:hAnsi="宋体" w:cs="宋体"/>
          <w:bCs/>
          <w:color w:val="auto"/>
          <w:sz w:val="24"/>
        </w:rPr>
        <w:t>待缺陷责任期满后且无质量缺陷30日内支付（工程款、质保金均不计息）。</w:t>
      </w:r>
    </w:p>
    <w:p>
      <w:pPr>
        <w:snapToGrid w:val="0"/>
        <w:spacing w:line="540" w:lineRule="exact"/>
        <w:ind w:firstLine="480" w:firstLineChars="200"/>
        <w:rPr>
          <w:rFonts w:ascii="宋体" w:hAnsi="宋体" w:cs="宋体"/>
          <w:b/>
          <w:color w:val="auto"/>
          <w:sz w:val="24"/>
        </w:rPr>
      </w:pPr>
      <w:r>
        <w:rPr>
          <w:rFonts w:hint="eastAsia" w:ascii="宋体" w:hAnsi="宋体" w:cs="宋体"/>
          <w:bCs/>
          <w:color w:val="auto"/>
          <w:sz w:val="24"/>
        </w:rPr>
        <w:t>成交供应商收款之前，应当提供等额合法发票给采购人，但成交供应商的开票金额并不视为采购人对应付款金额的认可，每期应付款金额应由采购人审核认定为准。</w:t>
      </w:r>
    </w:p>
    <w:p>
      <w:pPr>
        <w:snapToGrid w:val="0"/>
        <w:spacing w:line="540" w:lineRule="exact"/>
        <w:ind w:firstLine="482" w:firstLineChars="200"/>
        <w:rPr>
          <w:rFonts w:ascii="宋体" w:hAnsi="宋体" w:cs="宋体"/>
          <w:b/>
          <w:color w:val="auto"/>
          <w:sz w:val="24"/>
        </w:rPr>
      </w:pPr>
      <w:r>
        <w:rPr>
          <w:rFonts w:hint="eastAsia" w:ascii="宋体" w:hAnsi="宋体" w:cs="宋体"/>
          <w:b/>
          <w:color w:val="auto"/>
          <w:sz w:val="24"/>
        </w:rPr>
        <w:t>六、其他</w:t>
      </w:r>
      <w:bookmarkEnd w:id="74"/>
      <w:bookmarkEnd w:id="75"/>
      <w:bookmarkEnd w:id="76"/>
      <w:bookmarkEnd w:id="77"/>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（一）供应商必须在投标文件中对以上条款和服务承诺明确列出，承诺内容必须达到本篇及招标文件其他条款的要求。</w:t>
      </w:r>
      <w:bookmarkStart w:id="78" w:name="_Toc10573"/>
    </w:p>
    <w:p>
      <w:pPr>
        <w:spacing w:line="540" w:lineRule="exact"/>
        <w:ind w:firstLine="360" w:firstLineChars="150"/>
        <w:rPr>
          <w:rFonts w:ascii="宋体" w:hAnsi="宋体" w:cs="宋体"/>
          <w:color w:val="auto"/>
          <w:sz w:val="24"/>
          <w:szCs w:val="24"/>
        </w:rPr>
      </w:pPr>
      <w:r>
        <w:rPr>
          <w:rFonts w:hint="eastAsia" w:ascii="宋体" w:hAnsi="宋体" w:cs="宋体"/>
          <w:color w:val="auto"/>
          <w:sz w:val="24"/>
          <w:szCs w:val="24"/>
        </w:rPr>
        <w:t>（二）成交人应在保证服务期和服务质量的前提下履行合同。服务中的一切风险（包括安全事故责任）由成交人承担。</w:t>
      </w:r>
      <w:bookmarkEnd w:id="78"/>
    </w:p>
    <w:p>
      <w:pPr>
        <w:spacing w:line="540" w:lineRule="exact"/>
        <w:ind w:firstLine="360" w:firstLineChars="150"/>
        <w:rPr>
          <w:rFonts w:ascii="宋体" w:hAnsi="宋体" w:cs="宋体"/>
          <w:color w:val="auto"/>
          <w:sz w:val="24"/>
          <w:szCs w:val="24"/>
        </w:rPr>
      </w:pPr>
      <w:bookmarkStart w:id="79" w:name="_Toc3359"/>
      <w:bookmarkStart w:id="80" w:name="_Toc491"/>
      <w:bookmarkStart w:id="81" w:name="_Toc2222"/>
      <w:r>
        <w:rPr>
          <w:rFonts w:hint="eastAsia" w:ascii="宋体" w:hAnsi="宋体" w:cs="宋体"/>
          <w:color w:val="auto"/>
          <w:sz w:val="24"/>
          <w:szCs w:val="24"/>
        </w:rPr>
        <w:t>（三）其他未尽事宜由供需双方在采购合同中详细约定。</w:t>
      </w:r>
      <w:bookmarkEnd w:id="79"/>
      <w:bookmarkEnd w:id="80"/>
      <w:bookmarkEnd w:id="81"/>
    </w:p>
    <w:p>
      <w:pPr>
        <w:pStyle w:val="5"/>
        <w:rPr>
          <w:color w:val="auto"/>
        </w:rPr>
      </w:pPr>
    </w:p>
    <w:p>
      <w:pPr>
        <w:rPr>
          <w:color w:val="auto"/>
        </w:rPr>
      </w:pPr>
    </w:p>
    <w:p>
      <w:pPr>
        <w:rPr>
          <w:color w:val="auto"/>
        </w:rPr>
      </w:pPr>
    </w:p>
    <w:p>
      <w:pPr>
        <w:rPr>
          <w:color w:val="auto"/>
        </w:rPr>
      </w:pPr>
    </w:p>
    <w:p>
      <w:pPr>
        <w:rPr>
          <w:color w:val="auto"/>
        </w:rPr>
      </w:pPr>
    </w:p>
    <w:p>
      <w:pPr>
        <w:rPr>
          <w:color w:val="auto"/>
        </w:rPr>
      </w:pPr>
    </w:p>
    <w:bookmarkEnd w:id="5"/>
    <w:bookmarkEnd w:id="6"/>
    <w:bookmarkEnd w:id="7"/>
    <w:bookmarkEnd w:id="8"/>
    <w:bookmarkEnd w:id="9"/>
    <w:bookmarkEnd w:id="10"/>
    <w:bookmarkEnd w:id="11"/>
    <w:bookmarkEnd w:id="12"/>
    <w:p>
      <w:pPr>
        <w:pStyle w:val="2"/>
        <w:spacing w:line="360" w:lineRule="auto"/>
        <w:jc w:val="center"/>
        <w:rPr>
          <w:rFonts w:ascii="宋体" w:hAnsi="宋体" w:cs="宋体"/>
          <w:color w:val="auto"/>
          <w:sz w:val="32"/>
          <w:szCs w:val="15"/>
        </w:rPr>
        <w:sectPr>
          <w:pgSz w:w="11906" w:h="16838"/>
          <w:pgMar w:top="1134" w:right="1134" w:bottom="1134" w:left="1417" w:header="851" w:footer="992" w:gutter="0"/>
          <w:cols w:space="425" w:num="1"/>
          <w:docGrid w:type="lines" w:linePitch="312" w:charSpace="0"/>
        </w:sectPr>
      </w:pPr>
      <w:bookmarkStart w:id="82" w:name="_Toc16987"/>
      <w:bookmarkStart w:id="83" w:name="_Toc19098"/>
    </w:p>
    <w:p>
      <w:pPr>
        <w:pStyle w:val="2"/>
        <w:spacing w:line="360" w:lineRule="auto"/>
        <w:jc w:val="center"/>
        <w:rPr>
          <w:rFonts w:ascii="宋体" w:hAnsi="宋体" w:cs="宋体"/>
          <w:color w:val="auto"/>
          <w:sz w:val="32"/>
          <w:szCs w:val="15"/>
        </w:rPr>
      </w:pPr>
      <w:bookmarkStart w:id="84" w:name="_Toc23580"/>
      <w:r>
        <w:rPr>
          <w:rFonts w:hint="eastAsia" w:ascii="宋体" w:hAnsi="宋体" w:cs="宋体"/>
          <w:color w:val="auto"/>
          <w:sz w:val="32"/>
          <w:szCs w:val="15"/>
        </w:rPr>
        <w:t>第四篇 评选方法、 评审标准、无效响应、采购终止</w:t>
      </w:r>
      <w:bookmarkEnd w:id="84"/>
    </w:p>
    <w:p>
      <w:pPr>
        <w:spacing w:line="360" w:lineRule="auto"/>
        <w:ind w:firstLine="281" w:firstLineChars="100"/>
        <w:outlineLvl w:val="1"/>
        <w:rPr>
          <w:rFonts w:ascii="宋体" w:hAnsi="宋体" w:cs="宋体"/>
          <w:b/>
          <w:bCs/>
          <w:color w:val="auto"/>
          <w:szCs w:val="28"/>
        </w:rPr>
      </w:pPr>
      <w:bookmarkStart w:id="85" w:name="_Toc7840"/>
      <w:r>
        <w:rPr>
          <w:rFonts w:hint="eastAsia" w:ascii="宋体" w:hAnsi="宋体" w:cs="宋体"/>
          <w:b/>
          <w:bCs/>
          <w:color w:val="auto"/>
          <w:szCs w:val="28"/>
        </w:rPr>
        <w:t>一、评选方法及标准</w:t>
      </w:r>
      <w:bookmarkEnd w:id="82"/>
      <w:bookmarkEnd w:id="83"/>
      <w:bookmarkEnd w:id="85"/>
    </w:p>
    <w:p>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综合评分法。采购人对各供应商的资格条件、响应文件的有效性、完整性和响应程度进行资格性和符合性审查，各供应商只有在完全符合要求的前提下，才能成为入围供应商。评审小组对入围供应商的报价和响应文件按照评审因素的量化指标评审得分最高的供应商为成交候选供应商。供应商总得分为采购报价、服务部分、商务部分等评定因素分别按照相应权重值计算分项得分后相加，满分为100分（详见评审标准）若供应商的评审得分相同的，按照采购报价由高到低的顺序排列推荐。评审得分且采购报价相同的，按照服务指标优劣顺序排列推荐。</w:t>
      </w:r>
    </w:p>
    <w:p>
      <w:pPr>
        <w:wordWrap w:val="0"/>
        <w:spacing w:line="360" w:lineRule="auto"/>
        <w:ind w:firstLine="560"/>
        <w:rPr>
          <w:rFonts w:ascii="宋体" w:hAnsi="宋体" w:cs="宋体"/>
          <w:color w:val="auto"/>
          <w:sz w:val="24"/>
          <w:szCs w:val="24"/>
        </w:rPr>
      </w:pPr>
      <w:r>
        <w:rPr>
          <w:rFonts w:hint="eastAsia" w:ascii="宋体" w:hAnsi="宋体" w:cs="宋体"/>
          <w:color w:val="auto"/>
          <w:sz w:val="24"/>
          <w:szCs w:val="24"/>
        </w:rPr>
        <w:t>资格性和符合性审查的内容如下：</w:t>
      </w:r>
    </w:p>
    <w:p>
      <w:pPr>
        <w:snapToGrid w:val="0"/>
        <w:spacing w:line="360" w:lineRule="auto"/>
        <w:ind w:firstLine="560"/>
        <w:rPr>
          <w:rFonts w:ascii="宋体" w:hAnsi="宋体" w:cs="宋体"/>
          <w:color w:val="auto"/>
          <w:kern w:val="0"/>
          <w:sz w:val="24"/>
          <w:szCs w:val="24"/>
        </w:rPr>
      </w:pPr>
      <w:r>
        <w:rPr>
          <w:rFonts w:hint="eastAsia" w:ascii="宋体" w:hAnsi="宋体" w:cs="宋体"/>
          <w:color w:val="auto"/>
          <w:kern w:val="0"/>
          <w:sz w:val="24"/>
          <w:szCs w:val="24"/>
        </w:rPr>
        <w:t>1、资格性审查。依据法律法规和采购文件的规定，对响应文件中的资格证明等进行审查，以确定供应商是否具备</w:t>
      </w:r>
      <w:r>
        <w:rPr>
          <w:rFonts w:hint="eastAsia" w:ascii="宋体" w:hAnsi="宋体" w:cs="宋体"/>
          <w:color w:val="auto"/>
          <w:sz w:val="24"/>
          <w:szCs w:val="24"/>
        </w:rPr>
        <w:t>采购</w:t>
      </w:r>
      <w:r>
        <w:rPr>
          <w:rFonts w:hint="eastAsia" w:ascii="宋体" w:hAnsi="宋体" w:cs="宋体"/>
          <w:color w:val="auto"/>
          <w:kern w:val="0"/>
          <w:sz w:val="24"/>
          <w:szCs w:val="24"/>
        </w:rPr>
        <w:t>资格。资格性审查资料表如下：</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4"/>
                <w:szCs w:val="24"/>
              </w:rPr>
            </w:pPr>
            <w:r>
              <w:rPr>
                <w:rFonts w:hint="eastAsia" w:ascii="宋体" w:hAnsi="宋体" w:cs="宋体"/>
                <w:b/>
                <w:color w:val="auto"/>
                <w:kern w:val="0"/>
                <w:sz w:val="24"/>
                <w:szCs w:val="24"/>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4"/>
                <w:szCs w:val="24"/>
              </w:rPr>
            </w:pPr>
            <w:r>
              <w:rPr>
                <w:rFonts w:hint="eastAsia" w:ascii="宋体" w:hAnsi="宋体" w:cs="宋体"/>
                <w:b/>
                <w:color w:val="auto"/>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color w:val="auto"/>
                <w:sz w:val="24"/>
                <w:szCs w:val="24"/>
              </w:rPr>
            </w:pPr>
            <w:r>
              <w:rPr>
                <w:rFonts w:hint="eastAsia" w:ascii="宋体" w:hAnsi="宋体" w:cs="宋体"/>
                <w:color w:val="auto"/>
                <w:sz w:val="24"/>
                <w:szCs w:val="24"/>
              </w:rPr>
              <w:t>（一）</w:t>
            </w:r>
          </w:p>
        </w:tc>
        <w:tc>
          <w:tcPr>
            <w:tcW w:w="709" w:type="dxa"/>
            <w:vMerge w:val="restart"/>
            <w:vAlign w:val="center"/>
          </w:tcPr>
          <w:p>
            <w:pPr>
              <w:rPr>
                <w:rFonts w:ascii="宋体" w:hAnsi="宋体" w:cs="宋体"/>
                <w:color w:val="auto"/>
                <w:sz w:val="24"/>
                <w:szCs w:val="24"/>
                <w:lang w:val="zh-CN"/>
              </w:rPr>
            </w:pPr>
            <w:r>
              <w:rPr>
                <w:rFonts w:hint="eastAsia" w:ascii="宋体" w:hAnsi="宋体" w:cs="宋体"/>
                <w:color w:val="auto"/>
                <w:sz w:val="24"/>
                <w:szCs w:val="24"/>
                <w:lang w:val="zh-CN"/>
              </w:rPr>
              <w:t>《中华人民共和国政府采购法》第二十二条规定</w:t>
            </w:r>
          </w:p>
        </w:tc>
        <w:tc>
          <w:tcPr>
            <w:tcW w:w="3118" w:type="dxa"/>
            <w:vAlign w:val="center"/>
          </w:tcPr>
          <w:p>
            <w:pPr>
              <w:rPr>
                <w:rFonts w:ascii="宋体" w:hAnsi="宋体" w:cs="宋体"/>
                <w:color w:val="auto"/>
                <w:sz w:val="24"/>
                <w:szCs w:val="24"/>
              </w:rPr>
            </w:pPr>
            <w:r>
              <w:rPr>
                <w:rFonts w:hint="eastAsia" w:ascii="宋体" w:hAnsi="宋体" w:cs="宋体"/>
                <w:color w:val="auto"/>
                <w:sz w:val="24"/>
                <w:szCs w:val="24"/>
              </w:rPr>
              <w:t>1.具有独立承担民事责任的能力</w:t>
            </w:r>
          </w:p>
        </w:tc>
        <w:tc>
          <w:tcPr>
            <w:tcW w:w="4984" w:type="dxa"/>
            <w:vAlign w:val="center"/>
          </w:tcPr>
          <w:p>
            <w:pPr>
              <w:rPr>
                <w:rFonts w:ascii="宋体" w:hAnsi="宋体" w:cs="宋体"/>
                <w:color w:val="auto"/>
                <w:sz w:val="24"/>
                <w:szCs w:val="24"/>
              </w:rPr>
            </w:pPr>
            <w:r>
              <w:rPr>
                <w:rFonts w:hint="eastAsia" w:ascii="宋体" w:hAnsi="宋体" w:cs="宋体"/>
                <w:color w:val="auto"/>
                <w:sz w:val="24"/>
                <w:szCs w:val="24"/>
              </w:rPr>
              <w:t xml:space="preserve">1.供应商法人营业执照（副本）或事业单位法人证书（副本）或个体工商户营业执照或有效的自然人身份证明或社会团体法人登记证书（提供复印件）。 </w:t>
            </w:r>
          </w:p>
          <w:p>
            <w:pPr>
              <w:rPr>
                <w:rFonts w:ascii="宋体" w:hAnsi="宋体" w:cs="宋体"/>
                <w:color w:val="auto"/>
                <w:sz w:val="24"/>
                <w:szCs w:val="24"/>
              </w:rPr>
            </w:pPr>
            <w:r>
              <w:rPr>
                <w:rFonts w:hint="eastAsia" w:ascii="宋体" w:hAnsi="宋体" w:cs="宋体"/>
                <w:color w:val="auto"/>
                <w:sz w:val="24"/>
                <w:szCs w:val="24"/>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4"/>
                <w:szCs w:val="24"/>
              </w:rPr>
            </w:pPr>
          </w:p>
        </w:tc>
        <w:tc>
          <w:tcPr>
            <w:tcW w:w="709" w:type="dxa"/>
            <w:vMerge w:val="continue"/>
            <w:vAlign w:val="center"/>
          </w:tcPr>
          <w:p>
            <w:pPr>
              <w:rPr>
                <w:rFonts w:ascii="宋体" w:hAnsi="宋体" w:cs="宋体"/>
                <w:color w:val="auto"/>
                <w:sz w:val="24"/>
                <w:szCs w:val="24"/>
                <w:lang w:val="zh-CN"/>
              </w:rPr>
            </w:pPr>
          </w:p>
        </w:tc>
        <w:tc>
          <w:tcPr>
            <w:tcW w:w="3118" w:type="dxa"/>
            <w:vAlign w:val="center"/>
          </w:tcPr>
          <w:p>
            <w:pPr>
              <w:rPr>
                <w:rFonts w:ascii="宋体" w:hAnsi="宋体" w:cs="宋体"/>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rPr>
              <w:t>具有良好的商业信誉和健全的财务会计制度</w:t>
            </w:r>
          </w:p>
        </w:tc>
        <w:tc>
          <w:tcPr>
            <w:tcW w:w="4984" w:type="dxa"/>
            <w:vMerge w:val="restart"/>
            <w:vAlign w:val="center"/>
          </w:tcPr>
          <w:p>
            <w:pPr>
              <w:rPr>
                <w:rFonts w:ascii="宋体" w:hAnsi="宋体" w:cs="宋体"/>
                <w:b/>
                <w:color w:val="auto"/>
                <w:sz w:val="24"/>
                <w:szCs w:val="24"/>
              </w:rPr>
            </w:pPr>
            <w:r>
              <w:rPr>
                <w:rFonts w:hint="eastAsia" w:ascii="宋体" w:hAnsi="宋体" w:cs="宋体"/>
                <w:color w:val="auto"/>
                <w:sz w:val="24"/>
                <w:szCs w:val="24"/>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4"/>
                <w:szCs w:val="24"/>
              </w:rPr>
            </w:pPr>
          </w:p>
        </w:tc>
        <w:tc>
          <w:tcPr>
            <w:tcW w:w="709" w:type="dxa"/>
            <w:vMerge w:val="continue"/>
            <w:vAlign w:val="center"/>
          </w:tcPr>
          <w:p>
            <w:pPr>
              <w:rPr>
                <w:rFonts w:ascii="宋体" w:hAnsi="宋体" w:cs="宋体"/>
                <w:color w:val="auto"/>
                <w:sz w:val="24"/>
                <w:szCs w:val="24"/>
                <w:lang w:val="zh-CN"/>
              </w:rPr>
            </w:pPr>
          </w:p>
        </w:tc>
        <w:tc>
          <w:tcPr>
            <w:tcW w:w="3118" w:type="dxa"/>
            <w:vAlign w:val="center"/>
          </w:tcPr>
          <w:p>
            <w:pPr>
              <w:rPr>
                <w:rFonts w:ascii="宋体" w:hAnsi="宋体" w:cs="宋体"/>
                <w:color w:val="auto"/>
                <w:sz w:val="24"/>
                <w:szCs w:val="24"/>
                <w:lang w:val="zh-CN"/>
              </w:rPr>
            </w:pPr>
            <w:r>
              <w:rPr>
                <w:rFonts w:hint="eastAsia" w:ascii="宋体" w:hAnsi="宋体" w:cs="宋体"/>
                <w:color w:val="auto"/>
                <w:sz w:val="24"/>
                <w:szCs w:val="24"/>
                <w:lang w:val="zh-CN"/>
              </w:rPr>
              <w:t>3.具有履行合同所必需的设备和专业技术能力</w:t>
            </w:r>
          </w:p>
        </w:tc>
        <w:tc>
          <w:tcPr>
            <w:tcW w:w="4984" w:type="dxa"/>
            <w:vMerge w:val="continue"/>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4"/>
                <w:szCs w:val="24"/>
              </w:rPr>
            </w:pPr>
          </w:p>
        </w:tc>
        <w:tc>
          <w:tcPr>
            <w:tcW w:w="709" w:type="dxa"/>
            <w:vMerge w:val="continue"/>
            <w:vAlign w:val="center"/>
          </w:tcPr>
          <w:p>
            <w:pPr>
              <w:rPr>
                <w:rFonts w:ascii="宋体" w:hAnsi="宋体" w:cs="宋体"/>
                <w:color w:val="auto"/>
                <w:sz w:val="24"/>
                <w:szCs w:val="24"/>
                <w:lang w:val="zh-CN"/>
              </w:rPr>
            </w:pPr>
          </w:p>
        </w:tc>
        <w:tc>
          <w:tcPr>
            <w:tcW w:w="3118" w:type="dxa"/>
            <w:vAlign w:val="center"/>
          </w:tcPr>
          <w:p>
            <w:pPr>
              <w:rPr>
                <w:rFonts w:ascii="宋体" w:hAnsi="宋体" w:cs="宋体"/>
                <w:color w:val="auto"/>
                <w:sz w:val="24"/>
                <w:szCs w:val="24"/>
                <w:lang w:val="zh-CN"/>
              </w:rPr>
            </w:pPr>
            <w:r>
              <w:rPr>
                <w:rFonts w:hint="eastAsia" w:ascii="宋体" w:hAnsi="宋体" w:cs="宋体"/>
                <w:color w:val="auto"/>
                <w:sz w:val="24"/>
                <w:szCs w:val="24"/>
                <w:lang w:val="zh-CN"/>
              </w:rPr>
              <w:t>4.有依法缴纳税收和社会保障金的良好记录</w:t>
            </w:r>
          </w:p>
        </w:tc>
        <w:tc>
          <w:tcPr>
            <w:tcW w:w="4984" w:type="dxa"/>
            <w:vMerge w:val="continue"/>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color w:val="auto"/>
                <w:sz w:val="24"/>
                <w:szCs w:val="24"/>
              </w:rPr>
            </w:pPr>
          </w:p>
        </w:tc>
        <w:tc>
          <w:tcPr>
            <w:tcW w:w="709" w:type="dxa"/>
            <w:vMerge w:val="continue"/>
            <w:vAlign w:val="center"/>
          </w:tcPr>
          <w:p>
            <w:pPr>
              <w:rPr>
                <w:rFonts w:ascii="宋体" w:hAnsi="宋体" w:cs="宋体"/>
                <w:color w:val="auto"/>
                <w:sz w:val="24"/>
                <w:szCs w:val="24"/>
                <w:lang w:val="zh-CN"/>
              </w:rPr>
            </w:pPr>
          </w:p>
        </w:tc>
        <w:tc>
          <w:tcPr>
            <w:tcW w:w="3118" w:type="dxa"/>
            <w:vAlign w:val="center"/>
          </w:tcPr>
          <w:p>
            <w:pPr>
              <w:rPr>
                <w:rFonts w:ascii="宋体" w:hAnsi="宋体" w:cs="宋体"/>
                <w:color w:val="auto"/>
                <w:sz w:val="24"/>
                <w:szCs w:val="24"/>
                <w:lang w:val="zh-CN"/>
              </w:rPr>
            </w:pPr>
            <w:r>
              <w:rPr>
                <w:rFonts w:hint="eastAsia" w:ascii="宋体" w:hAnsi="宋体" w:cs="宋体"/>
                <w:color w:val="auto"/>
                <w:sz w:val="24"/>
                <w:szCs w:val="24"/>
              </w:rPr>
              <w:t>5.参加政府采购活动前三年内，在经营活动中没有重大违法记录</w:t>
            </w:r>
          </w:p>
        </w:tc>
        <w:tc>
          <w:tcPr>
            <w:tcW w:w="4984" w:type="dxa"/>
            <w:vMerge w:val="continue"/>
            <w:vAlign w:val="center"/>
          </w:tcPr>
          <w:p>
            <w:pPr>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color w:val="auto"/>
                <w:sz w:val="24"/>
                <w:szCs w:val="24"/>
              </w:rPr>
            </w:pPr>
          </w:p>
        </w:tc>
        <w:tc>
          <w:tcPr>
            <w:tcW w:w="709" w:type="dxa"/>
            <w:vMerge w:val="continue"/>
            <w:vAlign w:val="center"/>
          </w:tcPr>
          <w:p>
            <w:pPr>
              <w:rPr>
                <w:rFonts w:ascii="宋体" w:hAnsi="宋体" w:cs="宋体"/>
                <w:color w:val="auto"/>
                <w:sz w:val="24"/>
                <w:szCs w:val="24"/>
              </w:rPr>
            </w:pPr>
          </w:p>
        </w:tc>
        <w:tc>
          <w:tcPr>
            <w:tcW w:w="3118" w:type="dxa"/>
            <w:vAlign w:val="center"/>
          </w:tcPr>
          <w:p>
            <w:pPr>
              <w:rPr>
                <w:rFonts w:ascii="宋体" w:hAnsi="宋体" w:cs="宋体"/>
                <w:color w:val="auto"/>
                <w:sz w:val="24"/>
                <w:szCs w:val="24"/>
              </w:rPr>
            </w:pPr>
            <w:r>
              <w:rPr>
                <w:rFonts w:hint="eastAsia" w:ascii="宋体" w:hAnsi="宋体" w:cs="宋体"/>
                <w:color w:val="auto"/>
                <w:sz w:val="24"/>
                <w:szCs w:val="24"/>
              </w:rPr>
              <w:t>6.法律、行政法规规定的其他条件</w:t>
            </w:r>
          </w:p>
        </w:tc>
        <w:tc>
          <w:tcPr>
            <w:tcW w:w="4984"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color w:val="auto"/>
                <w:sz w:val="24"/>
                <w:szCs w:val="24"/>
              </w:rPr>
            </w:pPr>
          </w:p>
        </w:tc>
        <w:tc>
          <w:tcPr>
            <w:tcW w:w="709" w:type="dxa"/>
            <w:vMerge w:val="continue"/>
            <w:vAlign w:val="center"/>
          </w:tcPr>
          <w:p>
            <w:pPr>
              <w:rPr>
                <w:rFonts w:ascii="宋体" w:hAnsi="宋体" w:cs="宋体"/>
                <w:color w:val="auto"/>
                <w:sz w:val="24"/>
                <w:szCs w:val="24"/>
              </w:rPr>
            </w:pPr>
          </w:p>
        </w:tc>
        <w:tc>
          <w:tcPr>
            <w:tcW w:w="3118" w:type="dxa"/>
            <w:vAlign w:val="center"/>
          </w:tcPr>
          <w:p>
            <w:pPr>
              <w:rPr>
                <w:rFonts w:ascii="宋体" w:hAnsi="宋体" w:cs="宋体"/>
                <w:color w:val="auto"/>
                <w:sz w:val="24"/>
                <w:szCs w:val="24"/>
              </w:rPr>
            </w:pPr>
            <w:r>
              <w:rPr>
                <w:rFonts w:hint="eastAsia" w:ascii="宋体" w:hAnsi="宋体" w:cs="宋体"/>
                <w:color w:val="auto"/>
                <w:sz w:val="24"/>
                <w:szCs w:val="24"/>
              </w:rPr>
              <w:t>7.本项目的特定资格要求</w:t>
            </w:r>
          </w:p>
        </w:tc>
        <w:tc>
          <w:tcPr>
            <w:tcW w:w="4984" w:type="dxa"/>
            <w:vAlign w:val="center"/>
          </w:tcPr>
          <w:p>
            <w:pPr>
              <w:rPr>
                <w:rFonts w:ascii="宋体" w:hAnsi="宋体" w:cs="宋体"/>
                <w:color w:val="auto"/>
                <w:sz w:val="24"/>
                <w:szCs w:val="24"/>
              </w:rPr>
            </w:pPr>
            <w:r>
              <w:rPr>
                <w:rFonts w:hint="eastAsia" w:ascii="宋体" w:hAnsi="宋体" w:cs="宋体"/>
                <w:color w:val="auto"/>
                <w:sz w:val="24"/>
                <w:szCs w:val="24"/>
              </w:rPr>
              <w:t>按“第一篇二、供应商资格要求（二）本项目的特定资格要求”的要求提交（如果有）。</w:t>
            </w:r>
          </w:p>
        </w:tc>
      </w:tr>
    </w:tbl>
    <w:p>
      <w:pPr>
        <w:snapToGrid w:val="0"/>
        <w:spacing w:line="360" w:lineRule="auto"/>
        <w:ind w:firstLine="560"/>
        <w:rPr>
          <w:rFonts w:ascii="宋体" w:hAnsi="宋体" w:cs="宋体"/>
          <w:color w:val="auto"/>
          <w:kern w:val="0"/>
          <w:sz w:val="24"/>
          <w:szCs w:val="24"/>
        </w:rPr>
      </w:pPr>
      <w:r>
        <w:rPr>
          <w:rFonts w:hint="eastAsia" w:ascii="宋体" w:hAnsi="宋体" w:cs="宋体"/>
          <w:color w:val="auto"/>
          <w:kern w:val="0"/>
          <w:sz w:val="24"/>
          <w:szCs w:val="24"/>
        </w:rPr>
        <w:t>注：</w:t>
      </w:r>
    </w:p>
    <w:p>
      <w:pPr>
        <w:snapToGrid w:val="0"/>
        <w:spacing w:line="360" w:lineRule="auto"/>
        <w:ind w:firstLine="480" w:firstLineChars="200"/>
        <w:rPr>
          <w:rFonts w:ascii="宋体" w:hAnsi="宋体" w:cs="宋体"/>
          <w:color w:val="auto"/>
          <w:kern w:val="0"/>
          <w:sz w:val="24"/>
          <w:szCs w:val="24"/>
        </w:rPr>
      </w:pPr>
      <w:r>
        <w:rPr>
          <w:rStyle w:val="30"/>
          <w:rFonts w:hint="eastAsia" w:ascii="宋体" w:hAnsi="宋体" w:cs="宋体"/>
          <w:color w:val="auto"/>
          <w:kern w:val="0"/>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pPr>
        <w:snapToGrid w:val="0"/>
        <w:spacing w:line="360" w:lineRule="auto"/>
        <w:ind w:firstLine="560"/>
        <w:rPr>
          <w:rFonts w:ascii="宋体" w:hAnsi="宋体" w:cs="宋体"/>
          <w:color w:val="auto"/>
          <w:kern w:val="0"/>
          <w:sz w:val="24"/>
          <w:szCs w:val="24"/>
        </w:rPr>
      </w:pPr>
      <w:r>
        <w:rPr>
          <w:rFonts w:hint="eastAsia" w:ascii="宋体" w:hAnsi="宋体" w:cs="宋体"/>
          <w:color w:val="auto"/>
          <w:kern w:val="0"/>
          <w:sz w:val="24"/>
          <w:szCs w:val="24"/>
        </w:rPr>
        <w:t>2、符合性审查。依据采购文件的规定，从响应文件的有效性、完整性和对采购文件的响应程度进行审查，以确定是否对采购文件的实质性要求作出响应。符合性审查资料表如下：</w:t>
      </w:r>
    </w:p>
    <w:tbl>
      <w:tblPr>
        <w:tblStyle w:val="26"/>
        <w:tblpPr w:leftFromText="180" w:rightFromText="180" w:vertAnchor="text" w:horzAnchor="page" w:tblpX="1389" w:tblpY="293"/>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11"/>
        <w:gridCol w:w="2192"/>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63" w:type="dxa"/>
            <w:vAlign w:val="center"/>
          </w:tcPr>
          <w:p>
            <w:pPr>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3503" w:type="dxa"/>
            <w:gridSpan w:val="2"/>
            <w:vAlign w:val="center"/>
          </w:tcPr>
          <w:p>
            <w:pPr>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评审因素</w:t>
            </w:r>
          </w:p>
        </w:tc>
        <w:tc>
          <w:tcPr>
            <w:tcW w:w="5262" w:type="dxa"/>
            <w:vAlign w:val="center"/>
          </w:tcPr>
          <w:p>
            <w:pPr>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63" w:type="dxa"/>
            <w:vMerge w:val="restart"/>
            <w:vAlign w:val="center"/>
          </w:tcPr>
          <w:p>
            <w:pPr>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311" w:type="dxa"/>
            <w:vMerge w:val="restart"/>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有效性审查</w:t>
            </w:r>
          </w:p>
        </w:tc>
        <w:tc>
          <w:tcPr>
            <w:tcW w:w="2192" w:type="dxa"/>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rPr>
              <w:t>响应文件签署</w:t>
            </w:r>
          </w:p>
        </w:tc>
        <w:tc>
          <w:tcPr>
            <w:tcW w:w="5262" w:type="dxa"/>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3" w:type="dxa"/>
            <w:vMerge w:val="continue"/>
            <w:vAlign w:val="center"/>
          </w:tcPr>
          <w:p>
            <w:pPr>
              <w:spacing w:line="360" w:lineRule="auto"/>
              <w:jc w:val="center"/>
              <w:rPr>
                <w:rFonts w:ascii="宋体" w:hAnsi="宋体" w:cs="宋体"/>
                <w:color w:val="auto"/>
                <w:kern w:val="0"/>
                <w:sz w:val="24"/>
                <w:szCs w:val="24"/>
              </w:rPr>
            </w:pPr>
          </w:p>
        </w:tc>
        <w:tc>
          <w:tcPr>
            <w:tcW w:w="1311" w:type="dxa"/>
            <w:vMerge w:val="continue"/>
            <w:vAlign w:val="center"/>
          </w:tcPr>
          <w:p>
            <w:pPr>
              <w:spacing w:line="360" w:lineRule="auto"/>
              <w:rPr>
                <w:rFonts w:ascii="宋体" w:hAnsi="宋体" w:cs="宋体"/>
                <w:color w:val="auto"/>
                <w:kern w:val="0"/>
                <w:sz w:val="24"/>
                <w:szCs w:val="24"/>
              </w:rPr>
            </w:pPr>
          </w:p>
        </w:tc>
        <w:tc>
          <w:tcPr>
            <w:tcW w:w="219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法定代表人身份证明及授权委托书</w:t>
            </w:r>
          </w:p>
        </w:tc>
        <w:tc>
          <w:tcPr>
            <w:tcW w:w="5262"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法定代表人身份证明及授权委托书有效，符合采购文件规定的格式，签字或盖章齐全。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63" w:type="dxa"/>
            <w:vMerge w:val="continue"/>
            <w:vAlign w:val="center"/>
          </w:tcPr>
          <w:p>
            <w:pPr>
              <w:spacing w:line="360" w:lineRule="auto"/>
              <w:jc w:val="center"/>
              <w:rPr>
                <w:rFonts w:ascii="宋体" w:hAnsi="宋体" w:cs="宋体"/>
                <w:color w:val="auto"/>
                <w:kern w:val="0"/>
                <w:sz w:val="24"/>
                <w:szCs w:val="24"/>
              </w:rPr>
            </w:pPr>
          </w:p>
        </w:tc>
        <w:tc>
          <w:tcPr>
            <w:tcW w:w="1311" w:type="dxa"/>
            <w:vMerge w:val="continue"/>
            <w:vAlign w:val="center"/>
          </w:tcPr>
          <w:p>
            <w:pPr>
              <w:spacing w:line="360" w:lineRule="auto"/>
              <w:rPr>
                <w:rFonts w:ascii="宋体" w:hAnsi="宋体" w:cs="宋体"/>
                <w:color w:val="auto"/>
                <w:kern w:val="0"/>
                <w:sz w:val="24"/>
                <w:szCs w:val="24"/>
              </w:rPr>
            </w:pPr>
          </w:p>
        </w:tc>
        <w:tc>
          <w:tcPr>
            <w:tcW w:w="2192" w:type="dxa"/>
            <w:vAlign w:val="center"/>
          </w:tcPr>
          <w:p>
            <w:pPr>
              <w:spacing w:line="360" w:lineRule="auto"/>
              <w:rPr>
                <w:rFonts w:ascii="宋体" w:hAnsi="宋体" w:cs="宋体"/>
                <w:color w:val="auto"/>
                <w:sz w:val="24"/>
                <w:szCs w:val="24"/>
                <w:lang w:val="zh-CN"/>
              </w:rPr>
            </w:pPr>
            <w:r>
              <w:rPr>
                <w:rFonts w:hint="eastAsia" w:ascii="宋体" w:hAnsi="宋体" w:cs="宋体"/>
                <w:color w:val="auto"/>
                <w:sz w:val="24"/>
                <w:szCs w:val="24"/>
              </w:rPr>
              <w:t>响应</w:t>
            </w:r>
            <w:r>
              <w:rPr>
                <w:rFonts w:hint="eastAsia" w:ascii="宋体" w:hAnsi="宋体" w:cs="宋体"/>
                <w:color w:val="auto"/>
                <w:sz w:val="24"/>
                <w:szCs w:val="24"/>
                <w:lang w:val="zh-CN"/>
              </w:rPr>
              <w:t>方案</w:t>
            </w:r>
          </w:p>
        </w:tc>
        <w:tc>
          <w:tcPr>
            <w:tcW w:w="5262" w:type="dxa"/>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lang w:val="zh-CN"/>
              </w:rPr>
              <w:t>只能有一个</w:t>
            </w:r>
            <w:r>
              <w:rPr>
                <w:rFonts w:hint="eastAsia" w:ascii="宋体" w:hAnsi="宋体" w:cs="宋体"/>
                <w:color w:val="auto"/>
                <w:sz w:val="24"/>
                <w:szCs w:val="24"/>
              </w:rPr>
              <w:t>响应</w:t>
            </w:r>
            <w:r>
              <w:rPr>
                <w:rFonts w:hint="eastAsia" w:ascii="宋体" w:hAnsi="宋体" w:cs="宋体"/>
                <w:color w:val="auto"/>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3" w:type="dxa"/>
            <w:vMerge w:val="continue"/>
            <w:vAlign w:val="center"/>
          </w:tcPr>
          <w:p>
            <w:pPr>
              <w:spacing w:line="360" w:lineRule="auto"/>
              <w:jc w:val="center"/>
              <w:rPr>
                <w:rFonts w:ascii="宋体" w:hAnsi="宋体" w:cs="宋体"/>
                <w:color w:val="auto"/>
                <w:kern w:val="0"/>
                <w:sz w:val="24"/>
                <w:szCs w:val="24"/>
              </w:rPr>
            </w:pPr>
          </w:p>
        </w:tc>
        <w:tc>
          <w:tcPr>
            <w:tcW w:w="1311" w:type="dxa"/>
            <w:vMerge w:val="continue"/>
            <w:vAlign w:val="center"/>
          </w:tcPr>
          <w:p>
            <w:pPr>
              <w:spacing w:line="360" w:lineRule="auto"/>
              <w:rPr>
                <w:rFonts w:ascii="宋体" w:hAnsi="宋体" w:cs="宋体"/>
                <w:color w:val="auto"/>
                <w:kern w:val="0"/>
                <w:sz w:val="24"/>
                <w:szCs w:val="24"/>
              </w:rPr>
            </w:pPr>
          </w:p>
        </w:tc>
        <w:tc>
          <w:tcPr>
            <w:tcW w:w="2192" w:type="dxa"/>
            <w:vAlign w:val="center"/>
          </w:tcPr>
          <w:p>
            <w:pPr>
              <w:spacing w:line="360" w:lineRule="auto"/>
              <w:rPr>
                <w:rFonts w:ascii="宋体" w:hAnsi="宋体" w:cs="宋体"/>
                <w:color w:val="auto"/>
                <w:sz w:val="24"/>
                <w:szCs w:val="24"/>
                <w:lang w:val="zh-CN"/>
              </w:rPr>
            </w:pPr>
            <w:r>
              <w:rPr>
                <w:rFonts w:hint="eastAsia" w:ascii="宋体" w:hAnsi="宋体" w:cs="宋体"/>
                <w:color w:val="auto"/>
                <w:sz w:val="24"/>
                <w:szCs w:val="24"/>
              </w:rPr>
              <w:t>报价唯一</w:t>
            </w:r>
          </w:p>
        </w:tc>
        <w:tc>
          <w:tcPr>
            <w:tcW w:w="5262" w:type="dxa"/>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3" w:type="dxa"/>
            <w:vMerge w:val="restart"/>
            <w:vAlign w:val="center"/>
          </w:tcPr>
          <w:p>
            <w:pPr>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1311" w:type="dxa"/>
            <w:vMerge w:val="restart"/>
            <w:vAlign w:val="center"/>
          </w:tcPr>
          <w:p>
            <w:pPr>
              <w:spacing w:line="360" w:lineRule="auto"/>
              <w:rPr>
                <w:rFonts w:ascii="宋体" w:hAnsi="宋体" w:cs="宋体"/>
                <w:color w:val="auto"/>
                <w:sz w:val="24"/>
                <w:szCs w:val="24"/>
                <w:lang w:val="zh-CN"/>
              </w:rPr>
            </w:pPr>
            <w:r>
              <w:rPr>
                <w:rFonts w:hint="eastAsia" w:ascii="宋体" w:hAnsi="宋体" w:cs="宋体"/>
                <w:color w:val="auto"/>
                <w:kern w:val="0"/>
                <w:sz w:val="24"/>
                <w:szCs w:val="24"/>
              </w:rPr>
              <w:t>采购文件的响应程度审查</w:t>
            </w:r>
          </w:p>
        </w:tc>
        <w:tc>
          <w:tcPr>
            <w:tcW w:w="2192" w:type="dxa"/>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lang w:val="zh-CN"/>
              </w:rPr>
              <w:t>响应文件内容</w:t>
            </w:r>
          </w:p>
        </w:tc>
        <w:tc>
          <w:tcPr>
            <w:tcW w:w="5262" w:type="dxa"/>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lang w:val="zh-CN"/>
              </w:rPr>
              <w:t>对采购文件“</w:t>
            </w:r>
            <w:r>
              <w:rPr>
                <w:rFonts w:hint="eastAsia" w:ascii="宋体" w:hAnsi="宋体" w:cs="宋体"/>
                <w:color w:val="auto"/>
                <w:sz w:val="24"/>
                <w:szCs w:val="24"/>
              </w:rPr>
              <w:t xml:space="preserve"> 第二篇项目技术需求</w:t>
            </w:r>
            <w:r>
              <w:rPr>
                <w:rFonts w:hint="eastAsia" w:ascii="宋体" w:hAnsi="宋体" w:cs="宋体"/>
                <w:color w:val="auto"/>
                <w:sz w:val="24"/>
                <w:szCs w:val="24"/>
                <w:lang w:val="zh-CN"/>
              </w:rPr>
              <w:t>”和“</w:t>
            </w:r>
            <w:r>
              <w:rPr>
                <w:rFonts w:hint="eastAsia" w:ascii="宋体" w:hAnsi="宋体" w:cs="宋体"/>
                <w:color w:val="auto"/>
                <w:sz w:val="24"/>
                <w:szCs w:val="24"/>
              </w:rPr>
              <w:t>第三篇项目商务需求</w:t>
            </w:r>
            <w:r>
              <w:rPr>
                <w:rFonts w:hint="eastAsia" w:ascii="宋体" w:hAnsi="宋体" w:cs="宋体"/>
                <w:color w:val="auto"/>
                <w:sz w:val="24"/>
                <w:szCs w:val="24"/>
                <w:lang w:val="zh-CN"/>
              </w:rPr>
              <w:t>”</w:t>
            </w:r>
            <w:r>
              <w:rPr>
                <w:rFonts w:hint="eastAsia" w:ascii="宋体" w:hAnsi="宋体" w:cs="宋体"/>
                <w:color w:val="auto"/>
                <w:sz w:val="24"/>
                <w:szCs w:val="24"/>
              </w:rPr>
              <w:t>中的</w:t>
            </w:r>
            <w:r>
              <w:rPr>
                <w:rFonts w:hint="eastAsia" w:ascii="宋体" w:hAnsi="宋体" w:cs="宋体"/>
                <w:color w:val="auto"/>
                <w:sz w:val="24"/>
                <w:szCs w:val="24"/>
                <w:lang w:val="zh-CN"/>
              </w:rPr>
              <w:t>内容进行</w:t>
            </w:r>
            <w:r>
              <w:rPr>
                <w:rFonts w:hint="eastAsia" w:ascii="宋体" w:hAnsi="宋体" w:cs="宋体"/>
                <w:color w:val="auto"/>
                <w:sz w:val="24"/>
                <w:szCs w:val="24"/>
              </w:rPr>
              <w:t>实质</w:t>
            </w:r>
            <w:r>
              <w:rPr>
                <w:rFonts w:hint="eastAsia" w:ascii="宋体" w:hAnsi="宋体" w:cs="宋体"/>
                <w:color w:val="auto"/>
                <w:sz w:val="24"/>
                <w:szCs w:val="24"/>
                <w:lang w:val="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63" w:type="dxa"/>
            <w:vMerge w:val="continue"/>
            <w:vAlign w:val="center"/>
          </w:tcPr>
          <w:p>
            <w:pPr>
              <w:spacing w:line="360" w:lineRule="auto"/>
              <w:jc w:val="center"/>
              <w:rPr>
                <w:rFonts w:ascii="宋体" w:hAnsi="宋体" w:cs="宋体"/>
                <w:color w:val="auto"/>
                <w:kern w:val="0"/>
                <w:sz w:val="24"/>
                <w:szCs w:val="24"/>
              </w:rPr>
            </w:pPr>
          </w:p>
        </w:tc>
        <w:tc>
          <w:tcPr>
            <w:tcW w:w="1311" w:type="dxa"/>
            <w:vMerge w:val="continue"/>
            <w:vAlign w:val="center"/>
          </w:tcPr>
          <w:p>
            <w:pPr>
              <w:spacing w:line="360" w:lineRule="auto"/>
              <w:rPr>
                <w:rFonts w:ascii="宋体" w:hAnsi="宋体" w:cs="宋体"/>
                <w:color w:val="auto"/>
                <w:sz w:val="24"/>
                <w:szCs w:val="24"/>
                <w:lang w:val="zh-CN"/>
              </w:rPr>
            </w:pPr>
          </w:p>
        </w:tc>
        <w:tc>
          <w:tcPr>
            <w:tcW w:w="2192" w:type="dxa"/>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采购有效期</w:t>
            </w:r>
          </w:p>
        </w:tc>
        <w:tc>
          <w:tcPr>
            <w:tcW w:w="5262" w:type="dxa"/>
            <w:vAlign w:val="center"/>
          </w:tcPr>
          <w:p>
            <w:pPr>
              <w:spacing w:line="360" w:lineRule="auto"/>
              <w:rPr>
                <w:rFonts w:ascii="宋体" w:hAnsi="宋体" w:cs="宋体"/>
                <w:color w:val="auto"/>
                <w:kern w:val="0"/>
                <w:sz w:val="24"/>
                <w:szCs w:val="24"/>
              </w:rPr>
            </w:pPr>
            <w:r>
              <w:rPr>
                <w:rFonts w:hint="eastAsia" w:ascii="宋体" w:hAnsi="宋体" w:cs="宋体"/>
                <w:color w:val="auto"/>
                <w:kern w:val="0"/>
                <w:sz w:val="24"/>
                <w:szCs w:val="24"/>
              </w:rPr>
              <w:t>满足采购文件</w:t>
            </w:r>
            <w:r>
              <w:rPr>
                <w:rFonts w:hint="eastAsia" w:ascii="宋体" w:hAnsi="宋体" w:cs="宋体"/>
                <w:color w:val="auto"/>
                <w:sz w:val="24"/>
                <w:szCs w:val="24"/>
                <w:lang w:val="zh-CN"/>
              </w:rPr>
              <w:t>规定。</w:t>
            </w:r>
          </w:p>
        </w:tc>
      </w:tr>
    </w:tbl>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澄清有关问题。对响应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2、比较与评价。按采购文件中规定的评标方法和标准，对资格审查和符合性审查合格的响应文件进行商务和技术评估。</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评标委员会各成员独立对每个有效供应商（通过资格审查、符合性审查的供应商）的响应文件进行评价、打分，然后由评标委员会对各成员打分情况进行核查及复核，复核后，评标委员会汇总每个供应商每项评分因素的得分。</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3、推荐中标候选人名单。</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按评审后得分由高到低的排列顺序推荐综合得分排名前三的供应商为本包（项目）中标候选人，排名第一的为第一中标候选人。</w:t>
      </w:r>
    </w:p>
    <w:p>
      <w:pPr>
        <w:spacing w:line="360" w:lineRule="auto"/>
        <w:ind w:firstLine="281" w:firstLineChars="100"/>
        <w:outlineLvl w:val="1"/>
        <w:rPr>
          <w:rFonts w:ascii="宋体" w:hAnsi="宋体" w:cs="宋体"/>
          <w:b/>
          <w:bCs/>
          <w:color w:val="auto"/>
          <w:szCs w:val="28"/>
        </w:rPr>
        <w:sectPr>
          <w:pgSz w:w="11906" w:h="16838"/>
          <w:pgMar w:top="1134" w:right="1134" w:bottom="1134" w:left="1417" w:header="851" w:footer="992" w:gutter="0"/>
          <w:cols w:space="425" w:num="1"/>
          <w:docGrid w:type="lines" w:linePitch="312" w:charSpace="0"/>
        </w:sectPr>
      </w:pPr>
    </w:p>
    <w:p>
      <w:pPr>
        <w:numPr>
          <w:ilvl w:val="0"/>
          <w:numId w:val="3"/>
        </w:numPr>
        <w:spacing w:line="360" w:lineRule="auto"/>
        <w:ind w:firstLine="281" w:firstLineChars="100"/>
        <w:outlineLvl w:val="1"/>
        <w:rPr>
          <w:rFonts w:ascii="宋体" w:hAnsi="宋体" w:cs="宋体"/>
          <w:b/>
          <w:bCs/>
          <w:color w:val="auto"/>
          <w:szCs w:val="28"/>
        </w:rPr>
      </w:pPr>
      <w:bookmarkStart w:id="86" w:name="_Toc17165"/>
      <w:r>
        <w:rPr>
          <w:rFonts w:hint="eastAsia" w:ascii="宋体" w:hAnsi="宋体" w:cs="宋体"/>
          <w:b/>
          <w:bCs/>
          <w:color w:val="auto"/>
          <w:szCs w:val="28"/>
        </w:rPr>
        <w:t>评审标准</w:t>
      </w:r>
      <w:bookmarkEnd w:id="86"/>
    </w:p>
    <w:tbl>
      <w:tblPr>
        <w:tblStyle w:val="26"/>
        <w:tblW w:w="10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200"/>
        <w:gridCol w:w="851"/>
        <w:gridCol w:w="4677"/>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78" w:type="dxa"/>
            <w:vAlign w:val="center"/>
          </w:tcPr>
          <w:p>
            <w:pPr>
              <w:spacing w:line="400" w:lineRule="exact"/>
              <w:jc w:val="center"/>
              <w:rPr>
                <w:rFonts w:ascii="宋体" w:hAnsi="宋体" w:cs="宋体"/>
                <w:b/>
                <w:color w:val="auto"/>
                <w:sz w:val="24"/>
                <w:szCs w:val="24"/>
              </w:rPr>
            </w:pPr>
            <w:bookmarkStart w:id="87" w:name="_Toc100424186"/>
            <w:r>
              <w:rPr>
                <w:rFonts w:hint="eastAsia" w:ascii="宋体" w:hAnsi="宋体" w:cs="宋体"/>
                <w:b/>
                <w:color w:val="auto"/>
                <w:sz w:val="24"/>
                <w:szCs w:val="24"/>
              </w:rPr>
              <w:t>序号</w:t>
            </w:r>
          </w:p>
        </w:tc>
        <w:tc>
          <w:tcPr>
            <w:tcW w:w="1200" w:type="dxa"/>
            <w:vAlign w:val="center"/>
          </w:tcPr>
          <w:p>
            <w:pPr>
              <w:spacing w:line="400" w:lineRule="exact"/>
              <w:jc w:val="center"/>
              <w:rPr>
                <w:rFonts w:ascii="宋体" w:hAnsi="宋体" w:cs="宋体"/>
                <w:b/>
                <w:color w:val="auto"/>
                <w:sz w:val="24"/>
                <w:szCs w:val="24"/>
              </w:rPr>
            </w:pPr>
            <w:r>
              <w:rPr>
                <w:rFonts w:hint="eastAsia" w:ascii="宋体" w:hAnsi="宋体" w:cs="宋体"/>
                <w:b/>
                <w:color w:val="auto"/>
                <w:sz w:val="24"/>
                <w:szCs w:val="24"/>
              </w:rPr>
              <w:t>评分因素</w:t>
            </w:r>
          </w:p>
          <w:p>
            <w:pPr>
              <w:spacing w:line="400" w:lineRule="exact"/>
              <w:jc w:val="center"/>
              <w:rPr>
                <w:rFonts w:ascii="宋体" w:hAnsi="宋体" w:cs="宋体"/>
                <w:b/>
                <w:color w:val="auto"/>
                <w:sz w:val="24"/>
                <w:szCs w:val="24"/>
              </w:rPr>
            </w:pPr>
            <w:r>
              <w:rPr>
                <w:rFonts w:hint="eastAsia" w:ascii="宋体" w:hAnsi="宋体" w:cs="宋体"/>
                <w:b/>
                <w:color w:val="auto"/>
                <w:sz w:val="24"/>
                <w:szCs w:val="24"/>
              </w:rPr>
              <w:t>及权重</w:t>
            </w:r>
          </w:p>
        </w:tc>
        <w:tc>
          <w:tcPr>
            <w:tcW w:w="851" w:type="dxa"/>
            <w:vAlign w:val="center"/>
          </w:tcPr>
          <w:p>
            <w:pPr>
              <w:spacing w:line="40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4677" w:type="dxa"/>
            <w:vAlign w:val="center"/>
          </w:tcPr>
          <w:p>
            <w:pPr>
              <w:spacing w:line="400" w:lineRule="exact"/>
              <w:jc w:val="center"/>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2724" w:type="dxa"/>
            <w:vAlign w:val="center"/>
          </w:tcPr>
          <w:p>
            <w:pPr>
              <w:pStyle w:val="43"/>
              <w:spacing w:before="0" w:after="0" w:line="400" w:lineRule="exact"/>
              <w:rPr>
                <w:rFonts w:ascii="宋体" w:hAnsi="宋体" w:eastAsia="宋体" w:cs="宋体"/>
                <w:color w:val="auto"/>
                <w:sz w:val="24"/>
                <w:szCs w:val="24"/>
              </w:rPr>
            </w:pPr>
            <w:r>
              <w:rPr>
                <w:rFonts w:hint="eastAsia" w:ascii="宋体" w:hAnsi="宋体" w:eastAsia="宋体" w:cs="宋体"/>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78" w:type="dxa"/>
            <w:vAlign w:val="center"/>
          </w:tcPr>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w:t>
            </w:r>
          </w:p>
        </w:tc>
        <w:tc>
          <w:tcPr>
            <w:tcW w:w="1200" w:type="dxa"/>
            <w:vAlign w:val="center"/>
          </w:tcPr>
          <w:p>
            <w:pPr>
              <w:snapToGrid w:val="0"/>
              <w:spacing w:line="400" w:lineRule="exact"/>
              <w:rPr>
                <w:rFonts w:ascii="宋体" w:hAnsi="宋体" w:cs="宋体"/>
                <w:color w:val="auto"/>
                <w:sz w:val="24"/>
                <w:szCs w:val="24"/>
              </w:rPr>
            </w:pPr>
            <w:r>
              <w:rPr>
                <w:rFonts w:hint="eastAsia" w:ascii="宋体" w:hAnsi="宋体" w:cs="宋体"/>
                <w:color w:val="auto"/>
                <w:sz w:val="24"/>
                <w:szCs w:val="24"/>
              </w:rPr>
              <w:t>投标报价</w:t>
            </w:r>
          </w:p>
          <w:p>
            <w:pPr>
              <w:snapToGrid w:val="0"/>
              <w:spacing w:line="400" w:lineRule="exact"/>
              <w:rPr>
                <w:rFonts w:ascii="宋体" w:hAnsi="宋体" w:cs="宋体"/>
                <w:color w:val="auto"/>
                <w:sz w:val="24"/>
                <w:szCs w:val="24"/>
              </w:rPr>
            </w:pPr>
            <w:r>
              <w:rPr>
                <w:rFonts w:hint="eastAsia" w:ascii="宋体" w:hAnsi="宋体" w:cs="宋体"/>
                <w:color w:val="auto"/>
                <w:sz w:val="24"/>
                <w:szCs w:val="24"/>
              </w:rPr>
              <w:t>（50%）</w:t>
            </w:r>
          </w:p>
        </w:tc>
        <w:tc>
          <w:tcPr>
            <w:tcW w:w="851" w:type="dxa"/>
            <w:vAlign w:val="center"/>
          </w:tcPr>
          <w:p>
            <w:pPr>
              <w:snapToGrid w:val="0"/>
              <w:spacing w:line="400" w:lineRule="exact"/>
              <w:jc w:val="center"/>
              <w:rPr>
                <w:rFonts w:ascii="宋体" w:hAnsi="宋体" w:cs="宋体"/>
                <w:color w:val="auto"/>
                <w:sz w:val="24"/>
                <w:szCs w:val="24"/>
              </w:rPr>
            </w:pPr>
            <w:r>
              <w:rPr>
                <w:rFonts w:hint="eastAsia" w:ascii="宋体" w:hAnsi="宋体" w:cs="宋体"/>
                <w:color w:val="auto"/>
                <w:sz w:val="24"/>
                <w:szCs w:val="24"/>
              </w:rPr>
              <w:t>50</w:t>
            </w:r>
          </w:p>
        </w:tc>
        <w:tc>
          <w:tcPr>
            <w:tcW w:w="4677" w:type="dxa"/>
            <w:vAlign w:val="center"/>
          </w:tcPr>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满足资格性、符合性要求且总报价最低</w:t>
            </w:r>
            <w:r>
              <w:rPr>
                <w:rFonts w:hint="eastAsia" w:ascii="宋体" w:hAnsi="宋体" w:cs="宋体"/>
                <w:bCs/>
                <w:color w:val="auto"/>
                <w:sz w:val="24"/>
                <w:szCs w:val="24"/>
              </w:rPr>
              <w:t>的供应商的价格</w:t>
            </w:r>
            <w:r>
              <w:rPr>
                <w:rFonts w:hint="eastAsia" w:ascii="宋体" w:hAnsi="宋体" w:cs="宋体"/>
                <w:color w:val="auto"/>
                <w:sz w:val="24"/>
                <w:szCs w:val="24"/>
              </w:rPr>
              <w:t>为评标基准价，按照下列公式计算每个供应商的报价得分。报价得分＝（基准价÷报价）×50%×100（保留两位小数）。</w:t>
            </w:r>
          </w:p>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注：以报价为准，报价得分保留小数点后两位，小数点后第三位四舍五入。</w:t>
            </w:r>
          </w:p>
        </w:tc>
        <w:tc>
          <w:tcPr>
            <w:tcW w:w="2724" w:type="dxa"/>
            <w:vAlign w:val="center"/>
          </w:tcPr>
          <w:p>
            <w:pPr>
              <w:snapToGrid w:val="0"/>
              <w:spacing w:line="400" w:lineRule="exact"/>
              <w:ind w:firstLine="480" w:firstLineChars="200"/>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878" w:type="dxa"/>
            <w:vAlign w:val="center"/>
          </w:tcPr>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2</w:t>
            </w:r>
          </w:p>
        </w:tc>
        <w:tc>
          <w:tcPr>
            <w:tcW w:w="1200" w:type="dxa"/>
            <w:vAlign w:val="center"/>
          </w:tcPr>
          <w:p>
            <w:pPr>
              <w:snapToGrid w:val="0"/>
              <w:spacing w:line="400" w:lineRule="exact"/>
              <w:rPr>
                <w:rFonts w:ascii="宋体" w:hAnsi="宋体" w:cs="宋体"/>
                <w:color w:val="auto"/>
                <w:sz w:val="24"/>
                <w:szCs w:val="24"/>
              </w:rPr>
            </w:pPr>
            <w:r>
              <w:rPr>
                <w:rFonts w:hint="eastAsia" w:ascii="宋体" w:hAnsi="宋体" w:cs="宋体"/>
                <w:color w:val="auto"/>
                <w:sz w:val="24"/>
                <w:szCs w:val="24"/>
              </w:rPr>
              <w:t>技术部分</w:t>
            </w:r>
          </w:p>
          <w:p>
            <w:pPr>
              <w:snapToGrid w:val="0"/>
              <w:spacing w:line="400" w:lineRule="exact"/>
              <w:rPr>
                <w:rFonts w:ascii="宋体" w:hAnsi="宋体" w:cs="宋体"/>
                <w:color w:val="auto"/>
                <w:sz w:val="24"/>
                <w:szCs w:val="24"/>
              </w:rPr>
            </w:pPr>
            <w:r>
              <w:rPr>
                <w:rFonts w:hint="eastAsia" w:ascii="宋体" w:hAnsi="宋体" w:cs="宋体"/>
                <w:color w:val="auto"/>
                <w:sz w:val="24"/>
                <w:szCs w:val="24"/>
              </w:rPr>
              <w:t>（30%）</w:t>
            </w:r>
          </w:p>
        </w:tc>
        <w:tc>
          <w:tcPr>
            <w:tcW w:w="851" w:type="dxa"/>
            <w:vAlign w:val="center"/>
          </w:tcPr>
          <w:p>
            <w:pPr>
              <w:snapToGrid w:val="0"/>
              <w:spacing w:line="400" w:lineRule="exact"/>
              <w:jc w:val="center"/>
              <w:rPr>
                <w:rFonts w:ascii="宋体" w:hAnsi="宋体" w:cs="宋体"/>
                <w:color w:val="auto"/>
                <w:sz w:val="24"/>
                <w:szCs w:val="24"/>
              </w:rPr>
            </w:pPr>
            <w:r>
              <w:rPr>
                <w:rFonts w:hint="eastAsia" w:ascii="宋体" w:hAnsi="宋体" w:cs="宋体"/>
                <w:color w:val="auto"/>
                <w:sz w:val="24"/>
                <w:szCs w:val="24"/>
              </w:rPr>
              <w:t>30</w:t>
            </w:r>
          </w:p>
        </w:tc>
        <w:tc>
          <w:tcPr>
            <w:tcW w:w="4677" w:type="dxa"/>
            <w:vAlign w:val="center"/>
          </w:tcPr>
          <w:p>
            <w:pPr>
              <w:adjustRightInd w:val="0"/>
              <w:snapToGrid w:val="0"/>
              <w:rPr>
                <w:rFonts w:ascii="宋体" w:hAnsi="宋体" w:cs="宋体"/>
                <w:color w:val="auto"/>
                <w:kern w:val="0"/>
                <w:sz w:val="24"/>
                <w:szCs w:val="24"/>
              </w:rPr>
            </w:pPr>
            <w:r>
              <w:rPr>
                <w:rFonts w:hint="eastAsia" w:ascii="宋体" w:hAnsi="宋体" w:cs="宋体"/>
                <w:b/>
                <w:bCs/>
                <w:color w:val="auto"/>
                <w:kern w:val="0"/>
                <w:sz w:val="24"/>
                <w:szCs w:val="24"/>
              </w:rPr>
              <w:t>1、</w:t>
            </w:r>
            <w:r>
              <w:rPr>
                <w:rFonts w:hint="eastAsia" w:ascii="宋体" w:hAnsi="宋体" w:cs="宋体"/>
                <w:b/>
                <w:bCs/>
                <w:color w:val="auto"/>
                <w:kern w:val="0"/>
                <w:sz w:val="24"/>
                <w:szCs w:val="24"/>
                <w:lang w:val="en-US" w:eastAsia="zh-CN"/>
              </w:rPr>
              <w:t>项目理解与重难点分析</w:t>
            </w:r>
            <w:r>
              <w:rPr>
                <w:rFonts w:hint="eastAsia" w:ascii="宋体" w:hAnsi="宋体" w:cs="宋体"/>
                <w:b/>
                <w:bCs/>
                <w:color w:val="auto"/>
                <w:kern w:val="0"/>
                <w:sz w:val="24"/>
                <w:szCs w:val="24"/>
              </w:rPr>
              <w:t>（</w:t>
            </w:r>
            <w:r>
              <w:rPr>
                <w:rFonts w:hint="eastAsia" w:ascii="宋体" w:hAnsi="宋体" w:cs="宋体"/>
                <w:b/>
                <w:bCs/>
                <w:color w:val="auto"/>
                <w:kern w:val="0"/>
                <w:sz w:val="24"/>
                <w:szCs w:val="24"/>
                <w:lang w:val="en-US" w:eastAsia="zh-CN"/>
              </w:rPr>
              <w:t>5</w:t>
            </w:r>
            <w:r>
              <w:rPr>
                <w:rFonts w:hint="eastAsia" w:ascii="宋体" w:hAnsi="宋体" w:cs="宋体"/>
                <w:b/>
                <w:bCs/>
                <w:color w:val="auto"/>
                <w:kern w:val="0"/>
                <w:sz w:val="24"/>
                <w:szCs w:val="24"/>
              </w:rPr>
              <w:t>分）</w:t>
            </w:r>
            <w:r>
              <w:rPr>
                <w:rFonts w:hint="eastAsia" w:ascii="宋体" w:hAnsi="宋体" w:cs="宋体"/>
                <w:color w:val="auto"/>
                <w:kern w:val="0"/>
                <w:sz w:val="24"/>
                <w:szCs w:val="24"/>
              </w:rPr>
              <w:t xml:space="preserve">   </w:t>
            </w:r>
          </w:p>
          <w:p>
            <w:pPr>
              <w:pStyle w:val="12"/>
              <w:rPr>
                <w:rFonts w:hint="eastAsia" w:ascii="宋体" w:hAnsi="宋体" w:eastAsia="宋体" w:cs="宋体"/>
                <w:color w:val="auto"/>
                <w:kern w:val="0"/>
                <w:sz w:val="24"/>
                <w:szCs w:val="24"/>
                <w:lang w:val="en-US" w:eastAsia="zh-CN"/>
              </w:rPr>
            </w:pPr>
            <w:bookmarkStart w:id="88" w:name="_Toc16782"/>
            <w:r>
              <w:rPr>
                <w:rFonts w:hint="eastAsia" w:ascii="宋体" w:hAnsi="宋体" w:eastAsia="宋体" w:cs="宋体"/>
                <w:color w:val="auto"/>
                <w:kern w:val="0"/>
                <w:sz w:val="24"/>
                <w:szCs w:val="24"/>
                <w:lang w:val="en-US" w:eastAsia="zh-CN"/>
              </w:rPr>
              <w:t>编制要点：针对本项目背景阐述现场情况概述、主要材料质量保证、项目重点难点分析（包括LED显示屏、橡胶弹性地坪等重点内容）以及解决办法等方面打分。</w:t>
            </w:r>
            <w:bookmarkEnd w:id="88"/>
          </w:p>
          <w:p>
            <w:pPr>
              <w:pStyle w:val="12"/>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方案内容不存在瑕疵得5分，方案内容存在1处瑕疵得3分，方案内容存在2处瑕疵得1分，方案内容存在3处及以上瑕疵得0分。</w:t>
            </w:r>
          </w:p>
          <w:p>
            <w:pPr>
              <w:adjustRightInd w:val="0"/>
              <w:snapToGrid w:val="0"/>
              <w:rPr>
                <w:rFonts w:ascii="宋体" w:hAnsi="宋体" w:cs="宋体"/>
                <w:b/>
                <w:bCs/>
                <w:color w:val="auto"/>
                <w:kern w:val="0"/>
                <w:sz w:val="24"/>
                <w:szCs w:val="24"/>
              </w:rPr>
            </w:pPr>
            <w:r>
              <w:rPr>
                <w:rFonts w:hint="eastAsia" w:ascii="宋体" w:hAnsi="宋体" w:cs="宋体"/>
                <w:b/>
                <w:bCs/>
                <w:color w:val="auto"/>
                <w:kern w:val="0"/>
                <w:sz w:val="24"/>
                <w:szCs w:val="24"/>
              </w:rPr>
              <w:t>2、施工方案与技术措施（</w:t>
            </w:r>
            <w:r>
              <w:rPr>
                <w:rFonts w:hint="eastAsia" w:ascii="宋体" w:hAnsi="宋体" w:cs="宋体"/>
                <w:b/>
                <w:bCs/>
                <w:color w:val="auto"/>
                <w:kern w:val="0"/>
                <w:sz w:val="24"/>
                <w:szCs w:val="24"/>
                <w:lang w:val="en-US" w:eastAsia="zh-CN"/>
              </w:rPr>
              <w:t>5</w:t>
            </w:r>
            <w:r>
              <w:rPr>
                <w:rFonts w:hint="eastAsia" w:ascii="宋体" w:hAnsi="宋体" w:cs="宋体"/>
                <w:b/>
                <w:bCs/>
                <w:color w:val="auto"/>
                <w:kern w:val="0"/>
                <w:sz w:val="24"/>
                <w:szCs w:val="24"/>
              </w:rPr>
              <w:t>分）</w:t>
            </w:r>
          </w:p>
          <w:p>
            <w:pPr>
              <w:pStyle w:val="1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编制要点：施工总体部署合理、图示清晰，施工阶段划分合理、交叉作业的可操作性强，技术措施阐述全面，主要技术措施在质量、安全、进度上的保障性强。</w:t>
            </w:r>
          </w:p>
          <w:p>
            <w:pPr>
              <w:pStyle w:val="12"/>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方案内容不存在瑕疵得5分，方案内容存在1处瑕疵得3分，方案内容存在2处瑕疵得1分，方案内容存在3处及以上瑕疵得0分。</w:t>
            </w:r>
            <w:r>
              <w:rPr>
                <w:rFonts w:hint="eastAsia" w:ascii="宋体" w:hAnsi="宋体" w:eastAsia="宋体" w:cs="宋体"/>
                <w:color w:val="auto"/>
                <w:kern w:val="0"/>
                <w:sz w:val="24"/>
                <w:szCs w:val="24"/>
              </w:rPr>
              <w:t xml:space="preserve">                                                          </w:t>
            </w:r>
          </w:p>
          <w:p>
            <w:pPr>
              <w:adjustRightInd w:val="0"/>
              <w:snapToGrid w:val="0"/>
              <w:rPr>
                <w:rFonts w:ascii="宋体" w:hAnsi="宋体" w:cs="宋体"/>
                <w:b/>
                <w:bCs/>
                <w:color w:val="auto"/>
                <w:kern w:val="0"/>
                <w:sz w:val="24"/>
                <w:szCs w:val="24"/>
              </w:rPr>
            </w:pPr>
            <w:r>
              <w:rPr>
                <w:rFonts w:hint="eastAsia" w:ascii="宋体" w:hAnsi="宋体" w:cs="宋体"/>
                <w:b/>
                <w:bCs/>
                <w:color w:val="auto"/>
                <w:kern w:val="0"/>
                <w:sz w:val="24"/>
                <w:szCs w:val="24"/>
              </w:rPr>
              <w:t>3、质量管理体系与措施（</w:t>
            </w:r>
            <w:r>
              <w:rPr>
                <w:rFonts w:hint="eastAsia" w:ascii="宋体" w:hAnsi="宋体" w:cs="宋体"/>
                <w:b/>
                <w:bCs/>
                <w:color w:val="auto"/>
                <w:kern w:val="0"/>
                <w:sz w:val="24"/>
                <w:szCs w:val="24"/>
                <w:lang w:val="en-US" w:eastAsia="zh-CN"/>
              </w:rPr>
              <w:t>5</w:t>
            </w:r>
            <w:r>
              <w:rPr>
                <w:rFonts w:hint="eastAsia" w:ascii="宋体" w:hAnsi="宋体" w:cs="宋体"/>
                <w:b/>
                <w:bCs/>
                <w:color w:val="auto"/>
                <w:kern w:val="0"/>
                <w:sz w:val="24"/>
                <w:szCs w:val="24"/>
              </w:rPr>
              <w:t>分）</w:t>
            </w:r>
          </w:p>
          <w:p>
            <w:pPr>
              <w:pStyle w:val="1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编制要点：需涵盖施工准备阶段、施工过程以及成品阶段，体系完善、针对性、可行性及可靠性强、重难点把握准确、符合规范要求。</w:t>
            </w:r>
          </w:p>
          <w:p>
            <w:pPr>
              <w:adjustRightInd w:val="0"/>
              <w:snapToGrid w:val="0"/>
              <w:rPr>
                <w:rFonts w:ascii="宋体" w:hAnsi="宋体" w:cs="宋体"/>
                <w:b/>
                <w:bCs/>
                <w:color w:val="auto"/>
                <w:kern w:val="0"/>
                <w:sz w:val="24"/>
                <w:szCs w:val="24"/>
              </w:rPr>
            </w:pPr>
            <w:r>
              <w:rPr>
                <w:rFonts w:hint="eastAsia" w:ascii="宋体" w:hAnsi="宋体" w:eastAsia="宋体" w:cs="宋体"/>
                <w:color w:val="auto"/>
                <w:kern w:val="0"/>
                <w:sz w:val="24"/>
                <w:szCs w:val="24"/>
                <w:lang w:val="en-US" w:eastAsia="zh-CN"/>
              </w:rPr>
              <w:t>方案内容不存在瑕疵得</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分，方案内容存在1处瑕疵得3分，方案内容存在2处瑕疵得1分，方案内容存在3处及以上瑕疵得0分。</w:t>
            </w:r>
            <w:r>
              <w:rPr>
                <w:rFonts w:hint="eastAsia" w:ascii="宋体" w:hAnsi="宋体" w:cs="宋体"/>
                <w:b/>
                <w:bCs/>
                <w:color w:val="auto"/>
                <w:kern w:val="0"/>
                <w:sz w:val="24"/>
                <w:szCs w:val="24"/>
              </w:rPr>
              <w:t>4、安全管理体系与措施（</w:t>
            </w:r>
            <w:r>
              <w:rPr>
                <w:rFonts w:hint="eastAsia" w:ascii="宋体" w:hAnsi="宋体" w:cs="宋体"/>
                <w:b/>
                <w:bCs/>
                <w:color w:val="auto"/>
                <w:kern w:val="0"/>
                <w:sz w:val="24"/>
                <w:szCs w:val="24"/>
                <w:lang w:val="en-US" w:eastAsia="zh-CN"/>
              </w:rPr>
              <w:t>5</w:t>
            </w:r>
            <w:r>
              <w:rPr>
                <w:rFonts w:hint="eastAsia" w:ascii="宋体" w:hAnsi="宋体" w:cs="宋体"/>
                <w:b/>
                <w:bCs/>
                <w:color w:val="auto"/>
                <w:kern w:val="0"/>
                <w:sz w:val="24"/>
                <w:szCs w:val="24"/>
              </w:rPr>
              <w:t>分）</w:t>
            </w:r>
          </w:p>
          <w:p>
            <w:pPr>
              <w:pStyle w:val="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编制要点：需涵盖施工准备阶段、施工过程以及成品阶段，体系健全、架构完善、目标可量化、针对性、可行性及可靠性强、重难点把握准确、符合规范要求</w:t>
            </w:r>
            <w:r>
              <w:rPr>
                <w:rFonts w:hint="eastAsia" w:ascii="宋体" w:hAnsi="宋体" w:eastAsia="宋体" w:cs="宋体"/>
                <w:color w:val="auto"/>
                <w:sz w:val="24"/>
                <w:szCs w:val="24"/>
                <w:highlight w:val="none"/>
              </w:rPr>
              <w:t>。</w:t>
            </w:r>
          </w:p>
          <w:p>
            <w:pPr>
              <w:pStyle w:val="12"/>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方案内容不存在瑕疵得5分，方案内容存在1处瑕疵得3分，方案内容存在2处瑕疵得1分，方案内容存在3处及以上瑕疵得0分。</w:t>
            </w:r>
          </w:p>
          <w:p>
            <w:pPr>
              <w:adjustRightInd w:val="0"/>
              <w:snapToGrid w:val="0"/>
              <w:rPr>
                <w:rFonts w:ascii="宋体" w:hAnsi="宋体" w:cs="宋体"/>
                <w:b/>
                <w:bCs/>
                <w:color w:val="auto"/>
                <w:kern w:val="0"/>
                <w:sz w:val="24"/>
                <w:szCs w:val="24"/>
              </w:rPr>
            </w:pPr>
            <w:r>
              <w:rPr>
                <w:rFonts w:hint="eastAsia" w:ascii="宋体" w:hAnsi="宋体" w:cs="宋体"/>
                <w:b/>
                <w:bCs/>
                <w:color w:val="auto"/>
                <w:kern w:val="0"/>
                <w:sz w:val="24"/>
                <w:szCs w:val="24"/>
              </w:rPr>
              <w:t>5、工程进度计划与措施（</w:t>
            </w:r>
            <w:r>
              <w:rPr>
                <w:rFonts w:hint="eastAsia" w:ascii="宋体" w:hAnsi="宋体" w:cs="宋体"/>
                <w:b/>
                <w:bCs/>
                <w:color w:val="auto"/>
                <w:kern w:val="0"/>
                <w:sz w:val="24"/>
                <w:szCs w:val="24"/>
                <w:lang w:val="en-US" w:eastAsia="zh-CN"/>
              </w:rPr>
              <w:t>5</w:t>
            </w:r>
            <w:r>
              <w:rPr>
                <w:rFonts w:hint="eastAsia" w:ascii="宋体" w:hAnsi="宋体" w:cs="宋体"/>
                <w:b/>
                <w:bCs/>
                <w:color w:val="auto"/>
                <w:kern w:val="0"/>
                <w:sz w:val="24"/>
                <w:szCs w:val="24"/>
              </w:rPr>
              <w:t>分）</w:t>
            </w:r>
          </w:p>
          <w:p>
            <w:pPr>
              <w:pStyle w:val="12"/>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编制要点：总体进度计划合理，各关键节点的工期清晰呈现，保障工期的相关措施（含补救措施）切实可行。供应商还应结合本项目</w:t>
            </w:r>
            <w:r>
              <w:rPr>
                <w:rFonts w:hint="eastAsia" w:ascii="宋体" w:hAnsi="宋体" w:eastAsia="宋体" w:cs="宋体"/>
                <w:color w:val="auto"/>
                <w:kern w:val="0"/>
                <w:sz w:val="24"/>
                <w:szCs w:val="24"/>
              </w:rPr>
              <w:t>特点，</w:t>
            </w:r>
            <w:r>
              <w:rPr>
                <w:rFonts w:hint="eastAsia" w:ascii="宋体" w:hAnsi="宋体" w:eastAsia="宋体" w:cs="宋体"/>
                <w:color w:val="auto"/>
                <w:kern w:val="0"/>
                <w:sz w:val="24"/>
                <w:szCs w:val="24"/>
                <w:lang w:val="en-US" w:eastAsia="zh-CN"/>
              </w:rPr>
              <w:t>有针对性地</w:t>
            </w:r>
            <w:r>
              <w:rPr>
                <w:rFonts w:hint="eastAsia" w:ascii="宋体" w:hAnsi="宋体" w:eastAsia="宋体" w:cs="宋体"/>
                <w:color w:val="auto"/>
                <w:kern w:val="0"/>
                <w:sz w:val="24"/>
                <w:szCs w:val="24"/>
              </w:rPr>
              <w:t>从办理各项相关手续、选择队伍、加工制作、现场安装、各专业交叉施工、场内材料周转运输等方面</w:t>
            </w:r>
            <w:r>
              <w:rPr>
                <w:rFonts w:hint="eastAsia" w:ascii="宋体" w:hAnsi="宋体" w:eastAsia="宋体" w:cs="宋体"/>
                <w:color w:val="auto"/>
                <w:kern w:val="0"/>
                <w:sz w:val="24"/>
                <w:szCs w:val="24"/>
                <w:lang w:val="en-US" w:eastAsia="zh-CN"/>
              </w:rPr>
              <w:t>进行详细阐述</w:t>
            </w:r>
            <w:r>
              <w:rPr>
                <w:rFonts w:hint="eastAsia" w:ascii="宋体" w:hAnsi="宋体" w:eastAsia="宋体" w:cs="宋体"/>
                <w:color w:val="auto"/>
                <w:kern w:val="0"/>
                <w:sz w:val="24"/>
                <w:szCs w:val="24"/>
              </w:rPr>
              <w:t>。</w:t>
            </w:r>
          </w:p>
          <w:p>
            <w:pPr>
              <w:pStyle w:val="1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方案内容不存在瑕疵得5分，方案内容存在1处瑕疵得3分，方案内容存在2处瑕疵得1分，方案内容存在3处及以上瑕疵得0分。</w:t>
            </w:r>
          </w:p>
          <w:p>
            <w:pPr>
              <w:adjustRightInd w:val="0"/>
              <w:snapToGrid w:val="0"/>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6</w:t>
            </w:r>
            <w:r>
              <w:rPr>
                <w:rFonts w:hint="eastAsia" w:ascii="宋体" w:hAnsi="宋体" w:cs="宋体"/>
                <w:b/>
                <w:bCs/>
                <w:color w:val="auto"/>
                <w:kern w:val="0"/>
                <w:sz w:val="24"/>
                <w:szCs w:val="24"/>
              </w:rPr>
              <w:t>、责任缺陷期质保方案（</w:t>
            </w:r>
            <w:r>
              <w:rPr>
                <w:rFonts w:hint="eastAsia" w:ascii="宋体" w:hAnsi="宋体" w:cs="宋体"/>
                <w:b/>
                <w:bCs/>
                <w:color w:val="auto"/>
                <w:kern w:val="0"/>
                <w:sz w:val="24"/>
                <w:szCs w:val="24"/>
                <w:lang w:val="en-US" w:eastAsia="zh-CN"/>
              </w:rPr>
              <w:t>5</w:t>
            </w:r>
            <w:r>
              <w:rPr>
                <w:rFonts w:hint="eastAsia" w:ascii="宋体" w:hAnsi="宋体" w:cs="宋体"/>
                <w:b/>
                <w:bCs/>
                <w:color w:val="auto"/>
                <w:kern w:val="0"/>
                <w:sz w:val="24"/>
                <w:szCs w:val="24"/>
              </w:rPr>
              <w:t>分）</w:t>
            </w:r>
          </w:p>
          <w:p>
            <w:pPr>
              <w:pStyle w:val="12"/>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编制要点：供应商针对本项目制定质保方案，方案内容应包括责任缺陷期服务机制及分工；责任缺陷期更换、维修质量措施；响应时间及服务承诺。</w:t>
            </w:r>
          </w:p>
          <w:p>
            <w:r>
              <w:rPr>
                <w:rFonts w:hint="eastAsia" w:ascii="宋体" w:hAnsi="宋体" w:eastAsia="宋体" w:cs="宋体"/>
                <w:color w:val="auto"/>
                <w:kern w:val="0"/>
                <w:sz w:val="24"/>
                <w:szCs w:val="24"/>
                <w:lang w:val="en-US" w:eastAsia="zh-CN"/>
              </w:rPr>
              <w:t>方案内容不存在瑕疵得5分，方案内容存在1处瑕疵得3分，方案内容存在2处瑕疵得1分，方案内容存在3处及以上瑕疵得0分。</w:t>
            </w:r>
          </w:p>
        </w:tc>
        <w:tc>
          <w:tcPr>
            <w:tcW w:w="2724" w:type="dxa"/>
            <w:vAlign w:val="center"/>
          </w:tcPr>
          <w:p>
            <w:pPr>
              <w:snapToGrid w:val="0"/>
              <w:spacing w:line="400" w:lineRule="exact"/>
              <w:rPr>
                <w:rFonts w:hint="eastAsia" w:ascii="宋体" w:hAnsi="宋体" w:cs="宋体"/>
                <w:color w:val="auto"/>
                <w:sz w:val="24"/>
                <w:szCs w:val="24"/>
              </w:rPr>
            </w:pPr>
            <w:r>
              <w:rPr>
                <w:rFonts w:hint="eastAsia" w:ascii="宋体" w:hAnsi="宋体" w:cs="宋体"/>
                <w:color w:val="auto"/>
                <w:sz w:val="24"/>
                <w:szCs w:val="24"/>
              </w:rPr>
              <w:t>注:</w:t>
            </w:r>
            <w:r>
              <w:rPr>
                <w:rFonts w:hint="eastAsia" w:ascii="宋体" w:hAnsi="宋体" w:cs="宋体"/>
                <w:color w:val="auto"/>
                <w:sz w:val="24"/>
                <w:szCs w:val="24"/>
                <w:lang w:val="en-US" w:eastAsia="zh-CN"/>
              </w:rPr>
              <w:t>1.</w:t>
            </w:r>
            <w:r>
              <w:rPr>
                <w:rFonts w:hint="eastAsia" w:ascii="宋体" w:hAnsi="宋体" w:cs="宋体"/>
                <w:color w:val="auto"/>
                <w:sz w:val="24"/>
                <w:szCs w:val="24"/>
              </w:rPr>
              <w:t>本项内容中所称的“瑕疵”指方案内容缺项、内容表述不完整或缺少关键分析点，方案不具体，不完善、不完整、不合理、不可靠，现场考虑不充分、可实施程度低、关键性工序考虑不充分，现场实际情况勘查不全面、现状分析不透彻、解决方案不完善、不具体、不合理，方案内容表述前后矛盾、无连贯性，内容存在逻辑漏洞错误等任意一种情形。</w:t>
            </w:r>
          </w:p>
          <w:p>
            <w:pPr>
              <w:snapToGrid w:val="0"/>
              <w:spacing w:line="40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方案中出现不适用本项目特性或非专门针对本项目制定、方案中提出的措施举措不利于本项目目标的实现、现有技术条件下不可能的情形，得0分。</w:t>
            </w:r>
          </w:p>
          <w:p>
            <w:pPr>
              <w:snapToGrid w:val="0"/>
              <w:spacing w:line="400" w:lineRule="exact"/>
              <w:rPr>
                <w:rFonts w:ascii="宋体" w:hAnsi="宋体" w:cs="宋体"/>
                <w:color w:val="auto"/>
                <w:sz w:val="24"/>
                <w:szCs w:val="24"/>
              </w:rPr>
            </w:pPr>
            <w:r>
              <w:rPr>
                <w:rFonts w:hint="eastAsia" w:ascii="宋体" w:hAnsi="宋体" w:cs="宋体"/>
                <w:color w:val="auto"/>
                <w:sz w:val="24"/>
                <w:szCs w:val="24"/>
                <w:lang w:val="en-US" w:eastAsia="zh-CN"/>
              </w:rPr>
              <w:t>2.评审专家对每份技术方案独立打分。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878" w:type="dxa"/>
            <w:vAlign w:val="center"/>
          </w:tcPr>
          <w:p>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3</w:t>
            </w:r>
          </w:p>
        </w:tc>
        <w:tc>
          <w:tcPr>
            <w:tcW w:w="1200" w:type="dxa"/>
            <w:vAlign w:val="center"/>
          </w:tcPr>
          <w:p>
            <w:pPr>
              <w:snapToGrid w:val="0"/>
              <w:spacing w:line="400" w:lineRule="exact"/>
              <w:rPr>
                <w:rFonts w:ascii="宋体" w:hAnsi="宋体" w:cs="宋体"/>
                <w:color w:val="auto"/>
                <w:sz w:val="24"/>
                <w:szCs w:val="24"/>
              </w:rPr>
            </w:pPr>
            <w:r>
              <w:rPr>
                <w:rFonts w:hint="eastAsia" w:ascii="宋体" w:hAnsi="宋体" w:cs="宋体"/>
                <w:color w:val="auto"/>
                <w:sz w:val="24"/>
                <w:szCs w:val="24"/>
              </w:rPr>
              <w:t>商务部分（20%）</w:t>
            </w:r>
          </w:p>
        </w:tc>
        <w:tc>
          <w:tcPr>
            <w:tcW w:w="851" w:type="dxa"/>
            <w:vAlign w:val="center"/>
          </w:tcPr>
          <w:p>
            <w:pPr>
              <w:snapToGrid w:val="0"/>
              <w:spacing w:line="400" w:lineRule="exact"/>
              <w:jc w:val="center"/>
              <w:rPr>
                <w:rFonts w:ascii="宋体" w:hAnsi="宋体" w:cs="宋体"/>
                <w:color w:val="auto"/>
                <w:sz w:val="24"/>
                <w:szCs w:val="24"/>
              </w:rPr>
            </w:pPr>
            <w:r>
              <w:rPr>
                <w:rFonts w:hint="eastAsia" w:ascii="宋体" w:hAnsi="宋体" w:cs="宋体"/>
                <w:color w:val="auto"/>
                <w:sz w:val="24"/>
                <w:szCs w:val="24"/>
              </w:rPr>
              <w:t>业绩</w:t>
            </w:r>
          </w:p>
        </w:tc>
        <w:tc>
          <w:tcPr>
            <w:tcW w:w="4677" w:type="dxa"/>
            <w:vAlign w:val="center"/>
          </w:tcPr>
          <w:p>
            <w:pPr>
              <w:snapToGrid w:val="0"/>
              <w:spacing w:line="400" w:lineRule="exact"/>
              <w:rPr>
                <w:rFonts w:ascii="宋体" w:hAnsi="宋体" w:cs="宋体"/>
                <w:color w:val="auto"/>
                <w:kern w:val="0"/>
                <w:sz w:val="24"/>
                <w:szCs w:val="24"/>
              </w:rPr>
            </w:pPr>
            <w:r>
              <w:rPr>
                <w:rFonts w:hint="eastAsia" w:ascii="宋体" w:hAnsi="宋体" w:cs="宋体"/>
                <w:color w:val="auto"/>
                <w:kern w:val="0"/>
                <w:sz w:val="24"/>
                <w:szCs w:val="24"/>
              </w:rPr>
              <w:t>供应商自202</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年1月1日起至投标截止日止（以合同签订时间为准），每提供1个与本项目类似的施工业绩得</w:t>
            </w:r>
            <w:r>
              <w:rPr>
                <w:rFonts w:hint="eastAsia" w:ascii="宋体" w:hAnsi="宋体" w:cs="宋体"/>
                <w:color w:val="auto"/>
                <w:kern w:val="0"/>
                <w:sz w:val="24"/>
                <w:szCs w:val="24"/>
                <w:lang w:val="en-US" w:eastAsia="zh-CN"/>
              </w:rPr>
              <w:t>5分</w:t>
            </w:r>
            <w:r>
              <w:rPr>
                <w:rFonts w:hint="eastAsia" w:ascii="宋体" w:hAnsi="宋体" w:cs="宋体"/>
                <w:color w:val="auto"/>
                <w:kern w:val="0"/>
                <w:sz w:val="24"/>
                <w:szCs w:val="24"/>
              </w:rPr>
              <w:t>，最多得20分。</w:t>
            </w:r>
          </w:p>
        </w:tc>
        <w:tc>
          <w:tcPr>
            <w:tcW w:w="2724" w:type="dxa"/>
            <w:vAlign w:val="center"/>
          </w:tcPr>
          <w:p>
            <w:pPr>
              <w:snapToGrid w:val="0"/>
              <w:spacing w:line="400" w:lineRule="exact"/>
              <w:rPr>
                <w:rFonts w:ascii="宋体" w:hAnsi="宋体" w:cs="宋体"/>
                <w:color w:val="auto"/>
                <w:sz w:val="24"/>
                <w:szCs w:val="24"/>
              </w:rPr>
            </w:pPr>
            <w:r>
              <w:rPr>
                <w:rFonts w:hint="eastAsia" w:ascii="宋体" w:hAnsi="宋体" w:cs="宋体"/>
                <w:color w:val="auto"/>
                <w:sz w:val="24"/>
                <w:szCs w:val="24"/>
              </w:rPr>
              <w:t>提供合同复印件并加盖供应商公章。</w:t>
            </w:r>
          </w:p>
        </w:tc>
      </w:tr>
    </w:tbl>
    <w:p>
      <w:pPr>
        <w:spacing w:line="360" w:lineRule="auto"/>
        <w:ind w:firstLine="562" w:firstLineChars="200"/>
        <w:outlineLvl w:val="1"/>
        <w:rPr>
          <w:rFonts w:ascii="宋体" w:hAnsi="宋体" w:cs="宋体"/>
          <w:b/>
          <w:bCs/>
          <w:color w:val="auto"/>
          <w:szCs w:val="28"/>
        </w:rPr>
      </w:pPr>
      <w:bookmarkStart w:id="89" w:name="_Toc6413"/>
      <w:r>
        <w:rPr>
          <w:rFonts w:hint="eastAsia" w:ascii="宋体" w:hAnsi="宋体" w:cs="宋体"/>
          <w:b/>
          <w:bCs/>
          <w:color w:val="auto"/>
          <w:szCs w:val="28"/>
        </w:rPr>
        <w:t>三、无效响应</w:t>
      </w:r>
      <w:bookmarkEnd w:id="87"/>
      <w:bookmarkEnd w:id="89"/>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（一）供应商不符合规定的基本资格条件、特定资格条件、符合性审查的；</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（二）供应商所提交的响应文件不按第六篇“响应文件编制要求”规定签字、盖章；</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（三）供应商的最后报价超过采购预算的；</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（四）法定代表人为同一个人的两个及两个以上法人，母公司、全资子公司及其控股公司，在同一分包采购中同时参与采购；</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（六）供应商的交货期、报价要求及采购有效期不满足采购文件要求的；</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（七）供应商响应文件内容有与国家现行法律法规相违背的内容，或附有采购人无法接受的条件。</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（八）供应商被列入失信被执行人、重大税收违法案件当事人名单、政府采购严重违法失信行为记录名单及其他不符合《中华人民共和国政府采购法》第二十二条规定条件的。</w:t>
      </w:r>
    </w:p>
    <w:p>
      <w:pPr>
        <w:snapToGrid w:val="0"/>
        <w:spacing w:line="360" w:lineRule="auto"/>
        <w:rPr>
          <w:rFonts w:ascii="宋体" w:hAnsi="宋体" w:cs="宋体"/>
          <w:color w:val="auto"/>
          <w:sz w:val="24"/>
          <w:szCs w:val="24"/>
        </w:rPr>
      </w:pPr>
      <w:r>
        <w:rPr>
          <w:rFonts w:hint="eastAsia" w:ascii="宋体" w:hAnsi="宋体" w:cs="宋体"/>
          <w:color w:val="auto"/>
          <w:sz w:val="24"/>
          <w:szCs w:val="24"/>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pPr>
        <w:spacing w:line="360" w:lineRule="auto"/>
        <w:ind w:firstLine="562" w:firstLineChars="200"/>
        <w:outlineLvl w:val="1"/>
        <w:rPr>
          <w:rFonts w:ascii="宋体" w:hAnsi="宋体" w:cs="宋体"/>
          <w:b/>
          <w:bCs/>
          <w:color w:val="auto"/>
          <w:szCs w:val="28"/>
        </w:rPr>
      </w:pPr>
      <w:bookmarkStart w:id="90" w:name="_Toc30628"/>
      <w:r>
        <w:rPr>
          <w:rFonts w:hint="eastAsia" w:ascii="宋体" w:hAnsi="宋体" w:cs="宋体"/>
          <w:b/>
          <w:bCs/>
          <w:color w:val="auto"/>
          <w:szCs w:val="28"/>
        </w:rPr>
        <w:t>四、采购终止</w:t>
      </w:r>
      <w:bookmarkEnd w:id="90"/>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出现下列情形之一的，采购人或者采购代理机构应当终止采购采购活动，发布项目终止公告并说明原因，重新开展采购活动：</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（一）因情况变化，不再符合规定的采购采购方式适用情形的；</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（二）出现影响采购公正的违法、违规行为的；</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（三）在采购过程中符合要求的供应商或者报价未超过采购预算的供应商不足3家的以废标处置。</w:t>
      </w:r>
    </w:p>
    <w:p>
      <w:pPr>
        <w:pStyle w:val="12"/>
        <w:spacing w:line="360" w:lineRule="auto"/>
        <w:rPr>
          <w:rFonts w:ascii="宋体" w:hAnsi="宋体" w:eastAsia="宋体" w:cs="宋体"/>
          <w:b/>
          <w:color w:val="auto"/>
          <w:szCs w:val="15"/>
        </w:rPr>
        <w:sectPr>
          <w:pgSz w:w="11906" w:h="16838"/>
          <w:pgMar w:top="1134" w:right="1134" w:bottom="1134" w:left="1417" w:header="851" w:footer="992" w:gutter="0"/>
          <w:cols w:space="425" w:num="1"/>
          <w:docGrid w:type="lines" w:linePitch="312" w:charSpace="0"/>
        </w:sectPr>
      </w:pPr>
    </w:p>
    <w:p>
      <w:pPr>
        <w:pStyle w:val="3"/>
        <w:spacing w:before="0" w:after="0" w:line="360" w:lineRule="auto"/>
        <w:jc w:val="center"/>
        <w:rPr>
          <w:rFonts w:ascii="宋体" w:hAnsi="宋体" w:eastAsia="宋体" w:cs="宋体"/>
          <w:color w:val="auto"/>
          <w:sz w:val="36"/>
          <w:szCs w:val="30"/>
        </w:rPr>
      </w:pPr>
      <w:bookmarkStart w:id="91" w:name="_Toc26366"/>
      <w:bookmarkStart w:id="92" w:name="_Toc15779"/>
      <w:bookmarkStart w:id="93" w:name="_Toc15371840"/>
      <w:bookmarkStart w:id="94" w:name="_Toc31431"/>
      <w:r>
        <w:rPr>
          <w:rFonts w:hint="eastAsia" w:ascii="宋体" w:hAnsi="宋体" w:eastAsia="宋体" w:cs="宋体"/>
          <w:color w:val="auto"/>
          <w:sz w:val="36"/>
          <w:szCs w:val="30"/>
        </w:rPr>
        <w:t>第五篇  供应商须知</w:t>
      </w:r>
      <w:bookmarkEnd w:id="91"/>
      <w:bookmarkEnd w:id="92"/>
    </w:p>
    <w:p>
      <w:pPr>
        <w:pStyle w:val="4"/>
        <w:adjustRightInd w:val="0"/>
        <w:snapToGrid w:val="0"/>
        <w:spacing w:before="0" w:after="0" w:line="360" w:lineRule="auto"/>
        <w:ind w:firstLine="482" w:firstLineChars="200"/>
        <w:rPr>
          <w:rFonts w:ascii="宋体" w:hAnsi="宋体" w:cs="宋体"/>
          <w:color w:val="auto"/>
          <w:sz w:val="24"/>
        </w:rPr>
      </w:pPr>
      <w:bookmarkStart w:id="95" w:name="_Toc11900"/>
      <w:bookmarkStart w:id="96" w:name="_Toc148691584"/>
      <w:bookmarkStart w:id="97" w:name="_Toc76462338"/>
      <w:bookmarkStart w:id="98" w:name="_Toc26479"/>
      <w:bookmarkStart w:id="99" w:name="_Toc342913389"/>
      <w:bookmarkStart w:id="100" w:name="_Toc26656"/>
      <w:bookmarkStart w:id="101" w:name="_Toc21856"/>
      <w:r>
        <w:rPr>
          <w:rFonts w:hint="eastAsia" w:ascii="宋体" w:hAnsi="宋体" w:cs="宋体"/>
          <w:color w:val="auto"/>
          <w:sz w:val="24"/>
        </w:rPr>
        <w:t>一、投标费用</w:t>
      </w:r>
      <w:bookmarkEnd w:id="95"/>
      <w:bookmarkEnd w:id="96"/>
      <w:bookmarkEnd w:id="97"/>
      <w:bookmarkEnd w:id="98"/>
      <w:bookmarkEnd w:id="99"/>
      <w:bookmarkEnd w:id="100"/>
      <w:bookmarkEnd w:id="101"/>
    </w:p>
    <w:p>
      <w:pPr>
        <w:pStyle w:val="38"/>
        <w:spacing w:line="360" w:lineRule="auto"/>
        <w:ind w:firstLine="480" w:firstLineChars="200"/>
        <w:rPr>
          <w:rFonts w:hAnsi="宋体" w:cs="宋体"/>
          <w:color w:val="auto"/>
          <w:sz w:val="24"/>
          <w:szCs w:val="24"/>
        </w:rPr>
      </w:pPr>
      <w:r>
        <w:rPr>
          <w:rFonts w:hint="eastAsia" w:hAnsi="宋体" w:cs="宋体"/>
          <w:color w:val="auto"/>
          <w:sz w:val="24"/>
          <w:szCs w:val="24"/>
        </w:rPr>
        <w:t>参与投标的供应商应承担其编制响应文件与递交响应文件所涉及的一切费用，不论投标结果如何，采购人和采购代理机构在任何情况下无义务也无责任承担这些费用。</w:t>
      </w:r>
    </w:p>
    <w:p>
      <w:pPr>
        <w:pStyle w:val="4"/>
        <w:adjustRightInd w:val="0"/>
        <w:snapToGrid w:val="0"/>
        <w:spacing w:before="0" w:after="0" w:line="360" w:lineRule="auto"/>
        <w:ind w:firstLine="482" w:firstLineChars="200"/>
        <w:rPr>
          <w:rFonts w:ascii="宋体" w:hAnsi="宋体" w:cs="宋体"/>
          <w:color w:val="auto"/>
          <w:sz w:val="24"/>
        </w:rPr>
      </w:pPr>
      <w:bookmarkStart w:id="102" w:name="_Toc11313"/>
      <w:bookmarkStart w:id="103" w:name="_Toc342913391"/>
      <w:bookmarkStart w:id="104" w:name="_Toc30477"/>
      <w:bookmarkStart w:id="105" w:name="_Toc148691585"/>
      <w:bookmarkStart w:id="106" w:name="_Toc76462339"/>
      <w:bookmarkStart w:id="107" w:name="_Toc31850"/>
      <w:bookmarkStart w:id="108" w:name="_Toc8348"/>
      <w:r>
        <w:rPr>
          <w:rFonts w:hint="eastAsia" w:ascii="宋体" w:hAnsi="宋体" w:cs="宋体"/>
          <w:color w:val="auto"/>
          <w:sz w:val="24"/>
        </w:rPr>
        <w:t>二、采购文件</w:t>
      </w:r>
      <w:bookmarkEnd w:id="102"/>
      <w:bookmarkEnd w:id="103"/>
      <w:bookmarkEnd w:id="104"/>
      <w:bookmarkEnd w:id="105"/>
      <w:bookmarkEnd w:id="106"/>
      <w:bookmarkEnd w:id="107"/>
      <w:bookmarkEnd w:id="108"/>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（一）采购文件由采购邀请书、项目技术需求、项目商务需求、评选方法、 评审标准、无效响应、采购终止、供应商须知</w:t>
      </w:r>
      <w:r>
        <w:rPr>
          <w:rFonts w:hint="eastAsia" w:ascii="宋体" w:hAnsi="宋体" w:cs="宋体"/>
          <w:b/>
          <w:color w:val="auto"/>
          <w:sz w:val="24"/>
          <w:szCs w:val="24"/>
        </w:rPr>
        <w:t>、</w:t>
      </w:r>
      <w:r>
        <w:rPr>
          <w:rFonts w:hint="eastAsia" w:ascii="宋体" w:hAnsi="宋体" w:cs="宋体"/>
          <w:color w:val="auto"/>
          <w:sz w:val="24"/>
          <w:szCs w:val="24"/>
        </w:rPr>
        <w:t>采购合同</w:t>
      </w:r>
      <w:r>
        <w:rPr>
          <w:rFonts w:hint="eastAsia" w:ascii="宋体" w:hAnsi="宋体" w:cs="宋体"/>
          <w:b/>
          <w:color w:val="auto"/>
          <w:sz w:val="24"/>
          <w:szCs w:val="24"/>
        </w:rPr>
        <w:t>、</w:t>
      </w:r>
      <w:r>
        <w:rPr>
          <w:rFonts w:hint="eastAsia" w:ascii="宋体" w:hAnsi="宋体" w:cs="宋体"/>
          <w:bCs/>
          <w:color w:val="auto"/>
          <w:sz w:val="24"/>
          <w:szCs w:val="24"/>
        </w:rPr>
        <w:t>响应文件格式</w:t>
      </w:r>
      <w:r>
        <w:rPr>
          <w:rFonts w:hint="eastAsia" w:ascii="宋体" w:hAnsi="宋体" w:cs="宋体"/>
          <w:color w:val="auto"/>
          <w:sz w:val="24"/>
          <w:szCs w:val="24"/>
        </w:rPr>
        <w:t>七部分组成。</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（二）采购人（或采购代理机构）所作的一切有效的书面通知、修改及补充，都是采购文件不可分割的部分。</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（三）采购文件的解释</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如对采购文件有疑问，必须以书面形式在提交响应文件截止时间3个工作日前向采购人（或采购代理机构）要求澄清，采购人（或采购代理机构）可视具体情况做出处理或答复。如供应商未提出疑问，视为完全理解并同意本采购文件。一经进入投标程序，即视为供应商已详细阅读全部文件资料，完全理解采购文件所有条款内容并同意放弃对这方面有不明白及误解的权利。</w:t>
      </w:r>
      <w:bookmarkStart w:id="109" w:name="_Toc318159780"/>
      <w:bookmarkStart w:id="110" w:name="_Toc318166429"/>
      <w:bookmarkStart w:id="111" w:name="_Toc318159160"/>
      <w:bookmarkStart w:id="112" w:name="_Toc318159349"/>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（四）本采购文件中，投标小组根据与供应商进行投标可能实质性变动的内容为采购文件第二、三、六篇全部内容。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（五）评审的依据为采购文件和响应文件（含有效的书面承诺）。投标小组判断响应文件对采购文件的响应，仅基于响应文件本身而不靠外部证据。</w:t>
      </w:r>
    </w:p>
    <w:bookmarkEnd w:id="109"/>
    <w:bookmarkEnd w:id="110"/>
    <w:bookmarkEnd w:id="111"/>
    <w:bookmarkEnd w:id="112"/>
    <w:p>
      <w:pPr>
        <w:pStyle w:val="4"/>
        <w:adjustRightInd w:val="0"/>
        <w:snapToGrid w:val="0"/>
        <w:spacing w:before="0" w:after="0" w:line="360" w:lineRule="auto"/>
        <w:ind w:firstLine="482" w:firstLineChars="200"/>
        <w:rPr>
          <w:rFonts w:ascii="宋体" w:hAnsi="宋体" w:cs="宋体"/>
          <w:color w:val="auto"/>
          <w:sz w:val="24"/>
        </w:rPr>
      </w:pPr>
      <w:bookmarkStart w:id="113" w:name="_Toc102227318"/>
      <w:bookmarkStart w:id="114" w:name="_Toc342913392"/>
      <w:bookmarkStart w:id="115" w:name="_Toc1338"/>
      <w:bookmarkStart w:id="116" w:name="_Toc2811"/>
      <w:bookmarkStart w:id="117" w:name="_Toc148691586"/>
      <w:bookmarkStart w:id="118" w:name="_Toc76462340"/>
      <w:bookmarkStart w:id="119" w:name="_Toc16276"/>
      <w:bookmarkStart w:id="120" w:name="_Toc179714297"/>
      <w:bookmarkStart w:id="121" w:name="_Toc6393"/>
      <w:r>
        <w:rPr>
          <w:rFonts w:hint="eastAsia" w:ascii="宋体" w:hAnsi="宋体" w:cs="宋体"/>
          <w:color w:val="auto"/>
          <w:sz w:val="24"/>
        </w:rPr>
        <w:t>三、投标要求</w:t>
      </w:r>
      <w:bookmarkEnd w:id="113"/>
      <w:bookmarkEnd w:id="114"/>
      <w:bookmarkEnd w:id="115"/>
      <w:bookmarkEnd w:id="116"/>
      <w:bookmarkEnd w:id="117"/>
      <w:bookmarkEnd w:id="118"/>
      <w:bookmarkEnd w:id="119"/>
      <w:bookmarkEnd w:id="120"/>
      <w:bookmarkEnd w:id="121"/>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（一）响应文件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1.供应商应当按照采购文件的要求编制响应文件，并对采购文件提出的要求和条件作出，响应文件采用软面订本，应编制目录、逐页编制完整的页码。</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响应文件由“</w:t>
      </w:r>
      <w:r>
        <w:rPr>
          <w:rFonts w:hint="eastAsia" w:ascii="宋体" w:hAnsi="宋体" w:cs="宋体"/>
          <w:bCs/>
          <w:color w:val="auto"/>
          <w:sz w:val="24"/>
          <w:szCs w:val="24"/>
        </w:rPr>
        <w:t>响应文件格式</w:t>
      </w:r>
      <w:r>
        <w:rPr>
          <w:rFonts w:hint="eastAsia" w:ascii="宋体" w:hAnsi="宋体" w:cs="宋体"/>
          <w:color w:val="auto"/>
          <w:sz w:val="24"/>
          <w:szCs w:val="24"/>
        </w:rPr>
        <w:t>”规定的部分和供应商所作的一切有效补充、修改和承诺等文件组成，供应商应按照“</w:t>
      </w:r>
      <w:r>
        <w:rPr>
          <w:rFonts w:hint="eastAsia" w:ascii="宋体" w:hAnsi="宋体" w:cs="宋体"/>
          <w:bCs/>
          <w:color w:val="auto"/>
          <w:sz w:val="24"/>
          <w:szCs w:val="24"/>
        </w:rPr>
        <w:t>响应文件格式</w:t>
      </w:r>
      <w:r>
        <w:rPr>
          <w:rFonts w:hint="eastAsia" w:ascii="宋体" w:hAnsi="宋体" w:cs="宋体"/>
          <w:color w:val="auto"/>
          <w:sz w:val="24"/>
          <w:szCs w:val="24"/>
        </w:rPr>
        <w:t>”规定的目录顺序组织编写和装订，也可在基本格式基础上对表格进行扩展，未规定格式的由供应商自定格式。</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（二）联合体</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本项目不接受联合体参与投标。</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（三）投标有效期：响应文件及有关承诺文件有效期为提交响应文件截止时间起90天。</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（四）修正错误</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1.若供应商所递交的响应文件价格出现大写金额和小写金额不一致的错误，以大写金额修正为准。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2.评标小组按上述修正错误的原则及方法修正供应商的报价，供应商同意并签字确认后，修正后的报价对供应商具有约束作用。如果供应商不接受修正后的价格，将失去成为成交供应商的资格。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响应文件一式四份，其中正本一份，副本二份，电子文档一份（电子文档内容应与纸质文件正本一致，如不一致以纸质文件正本为准。推荐采用光盘或U盘为电子文档载体），每套响应文件须在封面清楚地标明“正本”、“副本”或“电子文档”，副本应为正本的完整复印件，副本与正本不一致时以正本为准。</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2.在响应文件正本中，投标文件第七篇投标文件格式中规定签署、盖章的地方必须按其规定签署、盖章。</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3.若供应商对响应文件的错处作必要修改，则应在修改处加盖供应商公章或由法定代表人（或其授权代表）或自然人（供应商为自然人）签署确认。</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4.电报、电话、传真形式的响应文件概不接受。</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pPr>
        <w:pStyle w:val="15"/>
        <w:spacing w:line="360" w:lineRule="auto"/>
        <w:ind w:firstLine="480" w:firstLineChars="200"/>
        <w:rPr>
          <w:rFonts w:hAnsi="宋体" w:cs="宋体"/>
          <w:color w:val="auto"/>
          <w:sz w:val="24"/>
        </w:rPr>
      </w:pPr>
      <w:r>
        <w:rPr>
          <w:rFonts w:hint="eastAsia" w:hAnsi="宋体" w:cs="宋体"/>
          <w:color w:val="auto"/>
          <w:sz w:val="24"/>
        </w:rPr>
        <w:t>响应文件的正本、副本以及电子文档均应密封送达投标地点，应在封套上注明项目名称、供应商名称。若正本、副本以及电子文档分别进行密封的，还应在封套上注明“正本”、“副本”、“电子文档”字样。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（七）供应商参与人员</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各个供应商应当派1-2名代表参与投标，至少1人应为法定代表人（或其授权代表）或自然人（供应商为自然人）。</w:t>
      </w:r>
    </w:p>
    <w:p>
      <w:pPr>
        <w:pStyle w:val="4"/>
        <w:adjustRightInd w:val="0"/>
        <w:snapToGrid w:val="0"/>
        <w:spacing w:before="0" w:after="0" w:line="360" w:lineRule="auto"/>
        <w:ind w:firstLine="482" w:firstLineChars="200"/>
        <w:rPr>
          <w:rFonts w:ascii="宋体" w:hAnsi="宋体" w:cs="宋体"/>
          <w:color w:val="auto"/>
          <w:sz w:val="24"/>
        </w:rPr>
      </w:pPr>
      <w:bookmarkStart w:id="122" w:name="_Toc76462341"/>
      <w:bookmarkStart w:id="123" w:name="_Toc19291"/>
      <w:bookmarkStart w:id="124" w:name="_Toc13139"/>
      <w:bookmarkStart w:id="125" w:name="_Toc148691587"/>
      <w:bookmarkStart w:id="126" w:name="_Toc30223"/>
      <w:bookmarkStart w:id="127" w:name="_Toc25144"/>
      <w:r>
        <w:rPr>
          <w:rFonts w:hint="eastAsia" w:ascii="宋体" w:hAnsi="宋体" w:cs="宋体"/>
          <w:color w:val="auto"/>
          <w:sz w:val="24"/>
        </w:rPr>
        <w:t>四、成交供应商的确认和变更</w:t>
      </w:r>
      <w:bookmarkEnd w:id="122"/>
      <w:bookmarkEnd w:id="123"/>
      <w:bookmarkEnd w:id="124"/>
      <w:bookmarkEnd w:id="125"/>
      <w:bookmarkEnd w:id="126"/>
      <w:bookmarkEnd w:id="127"/>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（一）成交供应商的确认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投标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（二）成交供应商的变更</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rPr>
        <w:t>成交供应商拒绝与采购人签订合同的，采购人可以按照评标报告推荐的成交候选供应商顺序，确定排名下一位的候选人为成交供应商，也可以重新开展政府采购活动。</w:t>
      </w:r>
    </w:p>
    <w:p>
      <w:pPr>
        <w:pStyle w:val="4"/>
        <w:adjustRightInd w:val="0"/>
        <w:snapToGrid w:val="0"/>
        <w:spacing w:before="0" w:after="0" w:line="360" w:lineRule="auto"/>
        <w:ind w:firstLine="482" w:firstLineChars="200"/>
        <w:rPr>
          <w:rFonts w:ascii="宋体" w:hAnsi="宋体" w:cs="宋体"/>
          <w:color w:val="auto"/>
          <w:sz w:val="24"/>
        </w:rPr>
      </w:pPr>
      <w:bookmarkStart w:id="128" w:name="_Toc342913395"/>
      <w:bookmarkStart w:id="129" w:name="_Toc18132"/>
      <w:bookmarkStart w:id="130" w:name="_Toc20270"/>
      <w:bookmarkStart w:id="131" w:name="_Toc76462342"/>
      <w:bookmarkStart w:id="132" w:name="_Toc102227321"/>
      <w:bookmarkStart w:id="133" w:name="_Toc634"/>
      <w:bookmarkStart w:id="134" w:name="_Toc148691588"/>
      <w:r>
        <w:rPr>
          <w:rFonts w:hint="eastAsia" w:ascii="宋体" w:hAnsi="宋体" w:cs="宋体"/>
          <w:color w:val="auto"/>
          <w:sz w:val="24"/>
        </w:rPr>
        <w:t>五、成交通知</w:t>
      </w:r>
      <w:bookmarkEnd w:id="128"/>
      <w:bookmarkEnd w:id="129"/>
      <w:bookmarkEnd w:id="130"/>
      <w:bookmarkEnd w:id="131"/>
      <w:bookmarkEnd w:id="132"/>
      <w:bookmarkEnd w:id="133"/>
      <w:bookmarkEnd w:id="134"/>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（一）成交供应商确定后，采购代理机构将在行采家”平台（http://www.gec123.com）上发布成交结果公告。</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pPr>
        <w:pStyle w:val="4"/>
        <w:adjustRightInd w:val="0"/>
        <w:snapToGrid w:val="0"/>
        <w:spacing w:before="0" w:after="0" w:line="360" w:lineRule="auto"/>
        <w:ind w:firstLine="482" w:firstLineChars="200"/>
        <w:rPr>
          <w:rFonts w:ascii="宋体" w:hAnsi="宋体" w:cs="宋体"/>
          <w:color w:val="auto"/>
          <w:sz w:val="24"/>
        </w:rPr>
      </w:pPr>
      <w:bookmarkStart w:id="135" w:name="_Toc5792"/>
      <w:bookmarkStart w:id="136" w:name="_Toc20555"/>
      <w:bookmarkStart w:id="137" w:name="_Toc76462343"/>
      <w:bookmarkStart w:id="138" w:name="_Toc148691589"/>
      <w:bookmarkStart w:id="139" w:name="_Toc2006"/>
      <w:r>
        <w:rPr>
          <w:rFonts w:hint="eastAsia" w:ascii="宋体" w:hAnsi="宋体" w:cs="宋体"/>
          <w:color w:val="auto"/>
          <w:sz w:val="24"/>
        </w:rPr>
        <w:t>六、关于质疑和投诉</w:t>
      </w:r>
      <w:bookmarkEnd w:id="135"/>
      <w:bookmarkEnd w:id="136"/>
      <w:bookmarkEnd w:id="137"/>
      <w:bookmarkEnd w:id="138"/>
      <w:bookmarkEnd w:id="139"/>
    </w:p>
    <w:p>
      <w:pPr>
        <w:spacing w:line="360" w:lineRule="auto"/>
        <w:ind w:firstLine="480" w:firstLineChars="200"/>
        <w:outlineLvl w:val="2"/>
        <w:rPr>
          <w:rFonts w:ascii="宋体" w:hAnsi="宋体" w:cs="宋体"/>
          <w:color w:val="auto"/>
          <w:sz w:val="24"/>
          <w:szCs w:val="24"/>
        </w:rPr>
      </w:pPr>
      <w:r>
        <w:rPr>
          <w:rFonts w:hint="eastAsia" w:ascii="宋体" w:hAnsi="宋体" w:cs="宋体"/>
          <w:color w:val="auto"/>
          <w:sz w:val="24"/>
          <w:szCs w:val="24"/>
        </w:rPr>
        <w:t>（一）质疑</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供应商认为采购文件、采购过程和成交结果使自己的权益收到伤害的，可向采购人或采购代理机构以书面形式提出质疑。</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提出质疑的应当是参与所质疑项目采购活动的供应商。 </w:t>
      </w:r>
    </w:p>
    <w:p>
      <w:pPr>
        <w:spacing w:line="360" w:lineRule="auto"/>
        <w:ind w:right="12" w:firstLine="480"/>
        <w:outlineLvl w:val="2"/>
        <w:rPr>
          <w:rFonts w:ascii="宋体" w:hAnsi="宋体" w:cs="宋体"/>
          <w:color w:val="auto"/>
          <w:sz w:val="24"/>
        </w:rPr>
      </w:pPr>
      <w:r>
        <w:rPr>
          <w:rFonts w:hint="eastAsia" w:ascii="宋体" w:hAnsi="宋体" w:cs="宋体"/>
          <w:color w:val="auto"/>
          <w:sz w:val="24"/>
        </w:rPr>
        <w:t>1.质疑时限、内容</w:t>
      </w:r>
    </w:p>
    <w:p>
      <w:pPr>
        <w:spacing w:line="360" w:lineRule="auto"/>
        <w:ind w:right="12" w:firstLine="480"/>
        <w:rPr>
          <w:rFonts w:ascii="宋体" w:hAnsi="宋体" w:cs="宋体"/>
          <w:color w:val="auto"/>
          <w:sz w:val="24"/>
        </w:rPr>
      </w:pPr>
      <w:r>
        <w:rPr>
          <w:rFonts w:hint="eastAsia" w:ascii="宋体" w:hAnsi="宋体" w:cs="宋体"/>
          <w:color w:val="auto"/>
          <w:sz w:val="24"/>
        </w:rPr>
        <w:t>供应商认为采购文件、采购过程、成交结果使自己的权益受到损害的，可以在知道或者应知其权益受到损害之日起3日内，以书面形式向采购人、采购代理机构提出质疑。</w:t>
      </w:r>
    </w:p>
    <w:p>
      <w:pPr>
        <w:spacing w:line="360" w:lineRule="auto"/>
        <w:ind w:right="12" w:firstLine="480"/>
        <w:rPr>
          <w:rFonts w:ascii="宋体" w:hAnsi="宋体" w:cs="宋体"/>
          <w:color w:val="auto"/>
          <w:sz w:val="24"/>
        </w:rPr>
      </w:pPr>
      <w:r>
        <w:rPr>
          <w:rFonts w:hint="eastAsia" w:ascii="宋体" w:hAnsi="宋体" w:cs="宋体"/>
          <w:color w:val="auto"/>
          <w:sz w:val="24"/>
        </w:rPr>
        <w:t>1.2供应商提出质疑应当提交质疑函和必要的证明材料，质疑函应当包括下列内容：</w:t>
      </w:r>
    </w:p>
    <w:p>
      <w:pPr>
        <w:spacing w:line="360" w:lineRule="auto"/>
        <w:ind w:right="12" w:firstLine="480"/>
        <w:rPr>
          <w:rFonts w:ascii="宋体" w:hAnsi="宋体" w:cs="宋体"/>
          <w:color w:val="auto"/>
          <w:sz w:val="24"/>
        </w:rPr>
      </w:pPr>
      <w:r>
        <w:rPr>
          <w:rFonts w:hint="eastAsia" w:ascii="宋体" w:hAnsi="宋体" w:cs="宋体"/>
          <w:color w:val="auto"/>
          <w:sz w:val="24"/>
        </w:rPr>
        <w:t>1.2.1供应商的姓名或者名称、地址、邮编、联系人及联系电话；</w:t>
      </w:r>
    </w:p>
    <w:p>
      <w:pPr>
        <w:spacing w:line="360" w:lineRule="auto"/>
        <w:ind w:right="12" w:firstLine="480"/>
        <w:rPr>
          <w:rFonts w:ascii="宋体" w:hAnsi="宋体" w:cs="宋体"/>
          <w:color w:val="auto"/>
          <w:sz w:val="24"/>
        </w:rPr>
      </w:pPr>
      <w:r>
        <w:rPr>
          <w:rFonts w:hint="eastAsia" w:ascii="宋体" w:hAnsi="宋体" w:cs="宋体"/>
          <w:color w:val="auto"/>
          <w:sz w:val="24"/>
        </w:rPr>
        <w:t>1.2.2质疑项目的名称、项目号以及采购执行编号；</w:t>
      </w:r>
    </w:p>
    <w:p>
      <w:pPr>
        <w:spacing w:line="360" w:lineRule="auto"/>
        <w:ind w:right="12" w:firstLine="480"/>
        <w:rPr>
          <w:rFonts w:ascii="宋体" w:hAnsi="宋体" w:cs="宋体"/>
          <w:color w:val="auto"/>
          <w:sz w:val="24"/>
        </w:rPr>
      </w:pPr>
      <w:r>
        <w:rPr>
          <w:rFonts w:hint="eastAsia" w:ascii="宋体" w:hAnsi="宋体" w:cs="宋体"/>
          <w:color w:val="auto"/>
          <w:sz w:val="24"/>
        </w:rPr>
        <w:t>1.2.3具体、明确的质疑事项和与质疑事项相关的请求；</w:t>
      </w:r>
    </w:p>
    <w:p>
      <w:pPr>
        <w:spacing w:line="360" w:lineRule="auto"/>
        <w:ind w:right="12" w:firstLine="480"/>
        <w:rPr>
          <w:rFonts w:ascii="宋体" w:hAnsi="宋体" w:cs="宋体"/>
          <w:color w:val="auto"/>
          <w:sz w:val="24"/>
        </w:rPr>
      </w:pPr>
      <w:r>
        <w:rPr>
          <w:rFonts w:hint="eastAsia" w:ascii="宋体" w:hAnsi="宋体" w:cs="宋体"/>
          <w:color w:val="auto"/>
          <w:sz w:val="24"/>
        </w:rPr>
        <w:t>1.2.4事实依据；</w:t>
      </w:r>
    </w:p>
    <w:p>
      <w:pPr>
        <w:spacing w:line="360" w:lineRule="auto"/>
        <w:ind w:right="12" w:firstLine="480"/>
        <w:rPr>
          <w:rFonts w:ascii="宋体" w:hAnsi="宋体" w:cs="宋体"/>
          <w:color w:val="auto"/>
          <w:sz w:val="24"/>
        </w:rPr>
      </w:pPr>
      <w:r>
        <w:rPr>
          <w:rFonts w:hint="eastAsia" w:ascii="宋体" w:hAnsi="宋体" w:cs="宋体"/>
          <w:color w:val="auto"/>
          <w:sz w:val="24"/>
        </w:rPr>
        <w:t>1.2.5必要的法律依据；</w:t>
      </w:r>
    </w:p>
    <w:p>
      <w:pPr>
        <w:spacing w:line="360" w:lineRule="auto"/>
        <w:ind w:right="12" w:firstLine="480"/>
        <w:rPr>
          <w:rFonts w:ascii="宋体" w:hAnsi="宋体" w:cs="宋体"/>
          <w:color w:val="auto"/>
          <w:sz w:val="24"/>
        </w:rPr>
      </w:pPr>
      <w:r>
        <w:rPr>
          <w:rFonts w:hint="eastAsia" w:ascii="宋体" w:hAnsi="宋体" w:cs="宋体"/>
          <w:color w:val="auto"/>
          <w:sz w:val="24"/>
        </w:rPr>
        <w:t>1.2.6提出质疑的日期；</w:t>
      </w:r>
    </w:p>
    <w:p>
      <w:pPr>
        <w:spacing w:line="360" w:lineRule="auto"/>
        <w:ind w:right="12" w:firstLine="480"/>
        <w:rPr>
          <w:rFonts w:ascii="宋体" w:hAnsi="宋体" w:cs="宋体"/>
          <w:color w:val="auto"/>
          <w:sz w:val="24"/>
        </w:rPr>
      </w:pPr>
      <w:r>
        <w:rPr>
          <w:rFonts w:hint="eastAsia" w:ascii="宋体" w:hAnsi="宋体" w:cs="宋体"/>
          <w:color w:val="auto"/>
          <w:sz w:val="24"/>
        </w:rPr>
        <w:t>1.2.7营业执照（或事业单位法人证书，或个体工商户营业执照或有效的自然人身份证明）复印件；</w:t>
      </w:r>
    </w:p>
    <w:p>
      <w:pPr>
        <w:spacing w:line="360" w:lineRule="auto"/>
        <w:ind w:right="12" w:firstLine="480"/>
        <w:rPr>
          <w:rFonts w:ascii="宋体" w:hAnsi="宋体" w:cs="宋体"/>
          <w:color w:val="auto"/>
          <w:sz w:val="24"/>
        </w:rPr>
      </w:pPr>
      <w:r>
        <w:rPr>
          <w:rFonts w:hint="eastAsia" w:ascii="宋体" w:hAnsi="宋体" w:cs="宋体"/>
          <w:color w:val="auto"/>
          <w:sz w:val="24"/>
        </w:rPr>
        <w:t>1.2.8法定代表人授权委托书原件、法定代表人身份证复印件和其授权代表的身份证复印件（供应商为自然人的提供自然人身份证复印件）；</w:t>
      </w:r>
    </w:p>
    <w:p>
      <w:pPr>
        <w:spacing w:line="360" w:lineRule="auto"/>
        <w:ind w:right="12" w:firstLine="480"/>
        <w:rPr>
          <w:rFonts w:ascii="宋体" w:hAnsi="宋体" w:cs="宋体"/>
          <w:color w:val="auto"/>
          <w:sz w:val="24"/>
        </w:rPr>
      </w:pPr>
      <w:r>
        <w:rPr>
          <w:rFonts w:hint="eastAsia" w:ascii="宋体" w:hAnsi="宋体" w:cs="宋体"/>
          <w:color w:val="auto"/>
          <w:sz w:val="24"/>
        </w:rPr>
        <w:t>1.3供应商为自然人的，质疑函应当由本人签字；供应商为法人或者其他组织的，质疑函应当由法定代表人、主要负责人，或者其授权代表签字或者盖章，并加盖公章。</w:t>
      </w:r>
    </w:p>
    <w:p>
      <w:pPr>
        <w:spacing w:line="360" w:lineRule="auto"/>
        <w:ind w:right="12" w:firstLine="480"/>
        <w:outlineLvl w:val="2"/>
        <w:rPr>
          <w:rFonts w:ascii="宋体" w:hAnsi="宋体" w:cs="宋体"/>
          <w:color w:val="auto"/>
          <w:sz w:val="24"/>
        </w:rPr>
      </w:pPr>
      <w:r>
        <w:rPr>
          <w:rFonts w:hint="eastAsia" w:ascii="宋体" w:hAnsi="宋体" w:cs="宋体"/>
          <w:color w:val="auto"/>
          <w:sz w:val="24"/>
        </w:rPr>
        <w:t>2.质疑答复</w:t>
      </w:r>
    </w:p>
    <w:p>
      <w:pPr>
        <w:spacing w:line="360" w:lineRule="auto"/>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pPr>
        <w:spacing w:line="360" w:lineRule="auto"/>
        <w:ind w:right="12" w:firstLine="480"/>
        <w:outlineLvl w:val="2"/>
        <w:rPr>
          <w:rFonts w:ascii="宋体" w:hAnsi="宋体" w:cs="宋体"/>
          <w:color w:val="auto"/>
          <w:sz w:val="24"/>
        </w:rPr>
      </w:pPr>
      <w:r>
        <w:rPr>
          <w:rFonts w:hint="eastAsia" w:ascii="宋体" w:hAnsi="宋体" w:cs="宋体"/>
          <w:color w:val="auto"/>
          <w:sz w:val="24"/>
        </w:rPr>
        <w:t>3.其他</w:t>
      </w:r>
    </w:p>
    <w:p>
      <w:pPr>
        <w:spacing w:line="360" w:lineRule="auto"/>
        <w:ind w:right="12" w:firstLine="480"/>
        <w:rPr>
          <w:rFonts w:ascii="宋体" w:hAnsi="宋体" w:cs="宋体"/>
          <w:color w:val="auto"/>
          <w:sz w:val="24"/>
        </w:rPr>
      </w:pPr>
      <w:r>
        <w:rPr>
          <w:rFonts w:hint="eastAsia" w:ascii="宋体" w:hAnsi="宋体" w:cs="宋体"/>
          <w:color w:val="auto"/>
          <w:sz w:val="24"/>
        </w:rPr>
        <w:t>3.1供应商应按照《政府采购质疑和投诉办法》（财政部令第94号）及相关法律法规要求，在法定质疑期内一次性提出针对同一采购程序环节的质疑。</w:t>
      </w:r>
    </w:p>
    <w:p>
      <w:pPr>
        <w:spacing w:line="360" w:lineRule="auto"/>
        <w:ind w:right="12" w:firstLine="480"/>
        <w:rPr>
          <w:rFonts w:ascii="宋体" w:hAnsi="宋体" w:cs="宋体"/>
          <w:color w:val="auto"/>
          <w:sz w:val="24"/>
        </w:rPr>
      </w:pPr>
      <w:r>
        <w:rPr>
          <w:rFonts w:hint="eastAsia" w:ascii="宋体" w:hAnsi="宋体" w:cs="宋体"/>
          <w:color w:val="auto"/>
          <w:sz w:val="24"/>
        </w:rPr>
        <w:t>3.2质疑函范本可在财政部门户网站和中国政府采购网下载。</w:t>
      </w:r>
    </w:p>
    <w:p>
      <w:pPr>
        <w:spacing w:line="360" w:lineRule="auto"/>
        <w:ind w:right="12" w:firstLine="480"/>
        <w:outlineLvl w:val="2"/>
        <w:rPr>
          <w:rFonts w:ascii="宋体" w:hAnsi="宋体" w:cs="宋体"/>
          <w:color w:val="auto"/>
          <w:sz w:val="24"/>
        </w:rPr>
      </w:pPr>
      <w:r>
        <w:rPr>
          <w:rFonts w:hint="eastAsia" w:ascii="宋体" w:hAnsi="宋体" w:cs="宋体"/>
          <w:color w:val="auto"/>
          <w:sz w:val="24"/>
        </w:rPr>
        <w:t>（二）投诉</w:t>
      </w:r>
    </w:p>
    <w:p>
      <w:pPr>
        <w:spacing w:line="360" w:lineRule="auto"/>
        <w:ind w:right="12" w:firstLine="480"/>
        <w:rPr>
          <w:rFonts w:ascii="宋体" w:hAnsi="宋体" w:cs="宋体"/>
          <w:color w:val="auto"/>
          <w:sz w:val="24"/>
        </w:rPr>
      </w:pPr>
      <w:r>
        <w:rPr>
          <w:rFonts w:hint="eastAsia" w:ascii="宋体" w:hAnsi="宋体" w:cs="宋体"/>
          <w:color w:val="auto"/>
          <w:sz w:val="24"/>
        </w:rPr>
        <w:t>1.供应商对采购人、采购代理机构的答复不满意，或者采购人、采购代理机构未在规定时间内作出答复的，可以在答复期满后15个工作日内按照相关法律法规向财政部门提起投诉。</w:t>
      </w:r>
    </w:p>
    <w:p>
      <w:pPr>
        <w:spacing w:line="360" w:lineRule="auto"/>
        <w:ind w:right="12" w:firstLine="480"/>
        <w:rPr>
          <w:rFonts w:ascii="宋体" w:hAnsi="宋体" w:cs="宋体"/>
          <w:color w:val="auto"/>
          <w:sz w:val="24"/>
        </w:rPr>
      </w:pPr>
      <w:r>
        <w:rPr>
          <w:rFonts w:hint="eastAsia" w:ascii="宋体" w:hAnsi="宋体" w:cs="宋体"/>
          <w:color w:val="auto"/>
          <w:sz w:val="24"/>
        </w:rPr>
        <w:t>2.供应商应按照《政府采购质疑和投诉办法》（财政部令第94号）及相关法律法规要求递交投诉书和必要的证明材料。投诉书范本可在财政部门户网站和中国政府采购网下载。</w:t>
      </w:r>
    </w:p>
    <w:p>
      <w:pPr>
        <w:spacing w:line="360" w:lineRule="auto"/>
        <w:ind w:right="12" w:firstLine="480"/>
        <w:rPr>
          <w:rFonts w:ascii="宋体" w:hAnsi="宋体" w:cs="宋体"/>
          <w:color w:val="auto"/>
          <w:sz w:val="24"/>
        </w:rPr>
      </w:pPr>
      <w:r>
        <w:rPr>
          <w:rFonts w:hint="eastAsia" w:ascii="宋体" w:hAnsi="宋体" w:cs="宋体"/>
          <w:color w:val="auto"/>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360" w:lineRule="auto"/>
        <w:ind w:firstLine="482" w:firstLineChars="200"/>
        <w:rPr>
          <w:rFonts w:ascii="宋体" w:hAnsi="宋体" w:cs="宋体"/>
          <w:color w:val="auto"/>
          <w:sz w:val="24"/>
        </w:rPr>
      </w:pPr>
      <w:bookmarkStart w:id="140" w:name="_Toc14465"/>
      <w:bookmarkStart w:id="141" w:name="_Toc148691590"/>
      <w:bookmarkStart w:id="142" w:name="_Toc7739"/>
      <w:bookmarkStart w:id="143" w:name="_Toc76462344"/>
      <w:bookmarkStart w:id="144" w:name="_Toc4671"/>
      <w:r>
        <w:rPr>
          <w:rFonts w:hint="eastAsia" w:ascii="宋体" w:hAnsi="宋体" w:cs="宋体"/>
          <w:color w:val="auto"/>
          <w:sz w:val="24"/>
        </w:rPr>
        <w:t>七、采购代理服务费</w:t>
      </w:r>
      <w:bookmarkEnd w:id="140"/>
      <w:bookmarkEnd w:id="141"/>
      <w:bookmarkEnd w:id="142"/>
      <w:bookmarkEnd w:id="143"/>
      <w:bookmarkEnd w:id="144"/>
    </w:p>
    <w:p>
      <w:pPr>
        <w:spacing w:line="400" w:lineRule="exact"/>
        <w:ind w:firstLine="480" w:firstLineChars="200"/>
        <w:rPr>
          <w:rFonts w:ascii="宋体" w:hAnsi="宋体" w:cs="宋体"/>
          <w:color w:val="auto"/>
          <w:sz w:val="24"/>
        </w:rPr>
      </w:pPr>
      <w:bookmarkStart w:id="145" w:name="_Toc102227322"/>
      <w:bookmarkStart w:id="146" w:name="_Toc76462346"/>
      <w:bookmarkStart w:id="147" w:name="_Toc342913396"/>
      <w:r>
        <w:rPr>
          <w:rFonts w:hint="eastAsia" w:ascii="宋体" w:hAnsi="宋体" w:cs="宋体"/>
          <w:color w:val="auto"/>
          <w:sz w:val="24"/>
        </w:rPr>
        <w:t>（一）供应商成交后向采购代理机构缴纳采购代理服务费，采购代理服务费的收取标准按照以下标准的</w:t>
      </w:r>
      <w:r>
        <w:rPr>
          <w:rFonts w:hint="eastAsia" w:ascii="宋体" w:hAnsi="宋体" w:cs="宋体"/>
          <w:color w:val="auto"/>
          <w:sz w:val="24"/>
          <w:lang w:val="en-US" w:eastAsia="zh-CN"/>
        </w:rPr>
        <w:t>8</w:t>
      </w:r>
      <w:r>
        <w:rPr>
          <w:rFonts w:hint="eastAsia" w:ascii="宋体" w:hAnsi="宋体" w:cs="宋体"/>
          <w:color w:val="auto"/>
          <w:sz w:val="24"/>
        </w:rPr>
        <w:t>0%执行，代理费不足3000元的按3000元收取。</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280"/>
        <w:gridCol w:w="228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599" w:type="dxa"/>
            <w:tcBorders>
              <w:tl2br w:val="single" w:color="auto" w:sz="4" w:space="0"/>
            </w:tcBorders>
            <w:noWrap/>
          </w:tcPr>
          <w:p>
            <w:pPr>
              <w:spacing w:line="400" w:lineRule="exact"/>
              <w:ind w:firstLine="960" w:firstLineChars="400"/>
              <w:rPr>
                <w:rFonts w:ascii="宋体" w:hAnsi="宋体" w:cs="宋体"/>
                <w:color w:val="auto"/>
                <w:sz w:val="24"/>
                <w:szCs w:val="24"/>
              </w:rPr>
            </w:pPr>
            <w:r>
              <w:rPr>
                <w:rFonts w:ascii="宋体" w:hAnsi="宋体" w:cs="宋体"/>
                <w:color w:val="auto"/>
                <w:sz w:val="24"/>
                <w:szCs w:val="24"/>
              </w:rPr>
              <mc:AlternateContent>
                <mc:Choice Requires="wps">
                  <w:drawing>
                    <wp:anchor distT="0" distB="0" distL="114300" distR="114300" simplePos="0" relativeHeight="251659264" behindDoc="0" locked="0" layoutInCell="0" allowOverlap="1">
                      <wp:simplePos x="0" y="0"/>
                      <wp:positionH relativeFrom="column">
                        <wp:posOffset>-113665</wp:posOffset>
                      </wp:positionH>
                      <wp:positionV relativeFrom="paragraph">
                        <wp:posOffset>-5715</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95pt;margin-top:-0.45pt;height:0.05pt;width:0.05pt;z-index:251659264;mso-width-relative:page;mso-height-relative:page;" filled="f" stroked="t" coordsize="21600,21600" o:allowincell="f" o:gfxdata="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6Flcb&#10;1AAAAAcBAAAPAAAAAAAAAAEAIAAAACIAAABkcnMvZG93bnJldi54bWxQSwECFAAUAAAACACHTuJA&#10;din7L+wBAADkAwAADgAAAAAAAAABACAAAAAjAQAAZHJzL2Uyb0RvYy54bWxQSwUGAAAAAAYABgBZ&#10;AQAAgQUAAAAA&#10;">
                      <v:fill on="f" focussize="0,0"/>
                      <v:stroke color="#000000" joinstyle="round"/>
                      <v:imagedata o:title=""/>
                      <o:lock v:ext="edit" aspectratio="f"/>
                    </v:line>
                  </w:pict>
                </mc:Fallback>
              </mc:AlternateContent>
            </w:r>
            <w:r>
              <w:rPr>
                <w:rFonts w:hint="eastAsia" w:ascii="宋体" w:hAnsi="宋体" w:cs="宋体"/>
                <w:color w:val="auto"/>
                <w:sz w:val="24"/>
                <w:szCs w:val="24"/>
              </w:rPr>
              <w:t>采购类型</w:t>
            </w:r>
          </w:p>
          <w:p>
            <w:pPr>
              <w:spacing w:line="400" w:lineRule="exact"/>
              <w:rPr>
                <w:rFonts w:ascii="宋体" w:hAnsi="宋体" w:cs="宋体"/>
                <w:color w:val="auto"/>
                <w:sz w:val="24"/>
                <w:szCs w:val="24"/>
              </w:rPr>
            </w:pPr>
            <w:r>
              <w:rPr>
                <w:rFonts w:hint="eastAsia" w:ascii="宋体" w:hAnsi="宋体" w:cs="宋体"/>
                <w:color w:val="auto"/>
                <w:sz w:val="24"/>
                <w:szCs w:val="24"/>
              </w:rPr>
              <w:t>中标金额（万元）</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货物类</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服务类</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599"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100以下</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1.5%</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1.5%</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599"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100-500</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1.1%</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0.8%</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599"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500-1000</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0.8%</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0.45%</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599"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1000-5000</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0.5%</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0.25%</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599"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5000-10000</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0.25%</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0.1%</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599"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10000-100000</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0.05%</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0.05%</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599"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100000以上</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0.01%</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0.01%</w:t>
            </w:r>
          </w:p>
        </w:tc>
        <w:tc>
          <w:tcPr>
            <w:tcW w:w="2280" w:type="dxa"/>
            <w:noWrap/>
            <w:vAlign w:val="center"/>
          </w:tcPr>
          <w:p>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0.01%</w:t>
            </w:r>
          </w:p>
        </w:tc>
      </w:tr>
    </w:tbl>
    <w:p>
      <w:pPr>
        <w:spacing w:line="360" w:lineRule="auto"/>
        <w:ind w:firstLine="480" w:firstLineChars="200"/>
        <w:rPr>
          <w:rFonts w:ascii="宋体" w:hAnsi="宋体" w:cs="宋体"/>
          <w:color w:val="auto"/>
          <w:sz w:val="24"/>
        </w:rPr>
      </w:pPr>
      <w:r>
        <w:rPr>
          <w:rFonts w:hint="eastAsia" w:ascii="宋体" w:hAnsi="宋体" w:cs="宋体"/>
          <w:color w:val="auto"/>
          <w:sz w:val="24"/>
        </w:rPr>
        <w:t>注：招标代理服务收费按差额定率累进法计算</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八、签订</w:t>
      </w:r>
      <w:bookmarkEnd w:id="145"/>
      <w:r>
        <w:rPr>
          <w:rFonts w:hint="eastAsia" w:ascii="宋体" w:hAnsi="宋体" w:cs="宋体"/>
          <w:b/>
          <w:bCs/>
          <w:color w:val="auto"/>
          <w:sz w:val="24"/>
        </w:rPr>
        <w:t>合同</w:t>
      </w:r>
      <w:bookmarkEnd w:id="146"/>
      <w:bookmarkEnd w:id="147"/>
    </w:p>
    <w:p>
      <w:pPr>
        <w:snapToGrid w:val="0"/>
        <w:spacing w:line="360" w:lineRule="auto"/>
        <w:ind w:firstLine="360" w:firstLineChars="150"/>
        <w:textAlignment w:val="baseline"/>
        <w:rPr>
          <w:rFonts w:ascii="宋体" w:hAnsi="宋体" w:cs="宋体"/>
          <w:color w:val="auto"/>
          <w:sz w:val="24"/>
          <w:szCs w:val="24"/>
        </w:rPr>
      </w:pPr>
      <w:bookmarkStart w:id="148" w:name="_Toc7030"/>
      <w:bookmarkStart w:id="149" w:name="_Toc20094"/>
      <w:bookmarkStart w:id="150" w:name="_Toc148691591"/>
      <w:r>
        <w:rPr>
          <w:rFonts w:hint="eastAsia" w:ascii="宋体" w:hAnsi="宋体" w:cs="宋体"/>
          <w:color w:val="auto"/>
          <w:sz w:val="24"/>
          <w:szCs w:val="24"/>
        </w:rPr>
        <w:t>（一）成交供应商应在领取成交通知书后20日内与采购人签订采购合同。</w:t>
      </w:r>
    </w:p>
    <w:p>
      <w:pPr>
        <w:snapToGrid w:val="0"/>
        <w:spacing w:line="360" w:lineRule="auto"/>
        <w:ind w:firstLine="360" w:firstLineChars="150"/>
        <w:textAlignment w:val="baseline"/>
        <w:rPr>
          <w:rFonts w:ascii="宋体" w:hAnsi="宋体" w:cs="宋体"/>
          <w:color w:val="auto"/>
          <w:sz w:val="24"/>
          <w:szCs w:val="24"/>
        </w:rPr>
      </w:pPr>
      <w:r>
        <w:rPr>
          <w:rFonts w:hint="eastAsia" w:ascii="宋体" w:hAnsi="宋体" w:cs="宋体"/>
          <w:color w:val="auto"/>
          <w:sz w:val="24"/>
          <w:szCs w:val="24"/>
        </w:rPr>
        <w:t>成交供应商逾期或拒绝或不按成交状态签订合同的，按政府采购法的有关规定进行严肃处理。</w:t>
      </w:r>
    </w:p>
    <w:p>
      <w:pPr>
        <w:snapToGrid w:val="0"/>
        <w:spacing w:line="360" w:lineRule="auto"/>
        <w:ind w:firstLine="360" w:firstLineChars="150"/>
        <w:textAlignment w:val="baseline"/>
        <w:rPr>
          <w:rFonts w:ascii="宋体" w:hAnsi="宋体" w:cs="宋体"/>
          <w:color w:val="auto"/>
          <w:sz w:val="24"/>
          <w:szCs w:val="24"/>
        </w:rPr>
      </w:pPr>
      <w:r>
        <w:rPr>
          <w:rFonts w:hint="eastAsia" w:ascii="宋体" w:hAnsi="宋体" w:cs="宋体"/>
          <w:color w:val="auto"/>
          <w:sz w:val="24"/>
          <w:szCs w:val="24"/>
        </w:rPr>
        <w:t>（二）采购采购文件、供应商的响应文件及澄清文件等，均为签订政府采购合同的依据。</w:t>
      </w:r>
    </w:p>
    <w:p>
      <w:pPr>
        <w:snapToGrid w:val="0"/>
        <w:spacing w:line="360" w:lineRule="auto"/>
        <w:ind w:firstLine="360" w:firstLineChars="150"/>
        <w:textAlignment w:val="baseline"/>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pPr>
        <w:snapToGrid w:val="0"/>
        <w:spacing w:line="360" w:lineRule="auto"/>
        <w:ind w:firstLine="360" w:firstLineChars="150"/>
        <w:textAlignment w:val="baseline"/>
        <w:rPr>
          <w:rFonts w:ascii="宋体" w:hAnsi="宋体" w:cs="宋体"/>
          <w:color w:val="auto"/>
          <w:sz w:val="24"/>
          <w:szCs w:val="24"/>
        </w:rPr>
      </w:pPr>
      <w:r>
        <w:rPr>
          <w:rFonts w:hint="eastAsia" w:ascii="宋体" w:hAnsi="宋体" w:cs="宋体"/>
          <w:color w:val="auto"/>
          <w:sz w:val="24"/>
          <w:szCs w:val="24"/>
        </w:rPr>
        <w:t>（四）合同原则上应按照本采购文件合同格式签订。</w:t>
      </w:r>
    </w:p>
    <w:p>
      <w:pPr>
        <w:snapToGrid w:val="0"/>
        <w:spacing w:line="360" w:lineRule="auto"/>
        <w:ind w:firstLine="360" w:firstLineChars="150"/>
        <w:textAlignment w:val="baseline"/>
        <w:rPr>
          <w:rFonts w:ascii="宋体" w:hAnsi="宋体" w:cs="宋体"/>
          <w:color w:val="auto"/>
          <w:sz w:val="24"/>
        </w:rPr>
      </w:pPr>
      <w:r>
        <w:rPr>
          <w:rFonts w:hint="eastAsia" w:ascii="宋体" w:hAnsi="宋体" w:cs="宋体"/>
          <w:color w:val="auto"/>
          <w:sz w:val="24"/>
          <w:szCs w:val="24"/>
        </w:rPr>
        <w:t>（五）采购人要求成交供应商提供履约保证金的，应当在采购采购文件中予以约定。成交供应商履约完毕后，采购人</w:t>
      </w:r>
      <w:r>
        <w:rPr>
          <w:rFonts w:hint="eastAsia" w:ascii="宋体" w:hAnsi="宋体" w:cs="宋体"/>
          <w:color w:val="auto"/>
          <w:sz w:val="24"/>
        </w:rPr>
        <w:t>应按采购文件及合同的约定无息退还其履约保证金。</w:t>
      </w:r>
    </w:p>
    <w:p>
      <w:pPr>
        <w:pStyle w:val="4"/>
        <w:adjustRightInd w:val="0"/>
        <w:snapToGrid w:val="0"/>
        <w:spacing w:before="0" w:after="0" w:line="360" w:lineRule="auto"/>
        <w:ind w:firstLine="480" w:firstLineChars="200"/>
        <w:rPr>
          <w:rFonts w:ascii="宋体" w:hAnsi="宋体" w:cs="宋体"/>
          <w:color w:val="auto"/>
          <w:sz w:val="24"/>
          <w:szCs w:val="24"/>
        </w:rPr>
      </w:pPr>
      <w:bookmarkStart w:id="151" w:name="_Toc5270"/>
      <w:r>
        <w:rPr>
          <w:rFonts w:hint="eastAsia" w:ascii="宋体" w:hAnsi="宋体" w:cs="宋体"/>
          <w:b w:val="0"/>
          <w:color w:val="auto"/>
          <w:sz w:val="24"/>
        </w:rPr>
        <w:t>（六）施工合同签订期间，必须由企业法定代表人或授权代表持身份证原件与采购人签订合同。供应商须以书面形式在响应文件中承诺本条要求（格式自拟）</w:t>
      </w:r>
      <w:r>
        <w:rPr>
          <w:rFonts w:hint="eastAsia" w:ascii="宋体" w:hAnsi="宋体" w:cs="宋体"/>
          <w:color w:val="auto"/>
          <w:sz w:val="24"/>
          <w:szCs w:val="24"/>
        </w:rPr>
        <w:t>。</w:t>
      </w:r>
      <w:bookmarkEnd w:id="151"/>
    </w:p>
    <w:p>
      <w:pPr>
        <w:pStyle w:val="4"/>
        <w:adjustRightInd w:val="0"/>
        <w:snapToGrid w:val="0"/>
        <w:spacing w:before="0" w:after="0" w:line="360" w:lineRule="auto"/>
        <w:ind w:firstLine="482" w:firstLineChars="200"/>
        <w:rPr>
          <w:rFonts w:ascii="宋体" w:hAnsi="宋体" w:cs="宋体"/>
          <w:color w:val="auto"/>
          <w:sz w:val="24"/>
        </w:rPr>
      </w:pPr>
      <w:bookmarkStart w:id="152" w:name="_Toc11471"/>
      <w:r>
        <w:rPr>
          <w:rFonts w:hint="eastAsia" w:ascii="宋体" w:hAnsi="宋体" w:cs="宋体"/>
          <w:color w:val="auto"/>
          <w:sz w:val="24"/>
        </w:rPr>
        <w:t>九、项目验收</w:t>
      </w:r>
      <w:bookmarkEnd w:id="148"/>
      <w:bookmarkEnd w:id="149"/>
      <w:bookmarkEnd w:id="150"/>
      <w:bookmarkEnd w:id="152"/>
    </w:p>
    <w:p>
      <w:pPr>
        <w:spacing w:line="360" w:lineRule="auto"/>
        <w:ind w:firstLine="480" w:firstLineChars="200"/>
        <w:rPr>
          <w:rFonts w:ascii="宋体" w:hAnsi="宋体" w:cs="宋体"/>
          <w:color w:val="auto"/>
          <w:sz w:val="24"/>
          <w:szCs w:val="24"/>
        </w:rPr>
      </w:pPr>
      <w:r>
        <w:rPr>
          <w:rFonts w:hint="eastAsia" w:ascii="宋体" w:hAnsi="宋体" w:cs="宋体"/>
          <w:color w:val="auto"/>
          <w:sz w:val="24"/>
        </w:rPr>
        <w:t>合同执行完毕，采购人或采购代理机构原则上应在7个工作日内组织履约情况验收，不得无故拖延或附加额外条件。</w:t>
      </w:r>
    </w:p>
    <w:p>
      <w:pPr>
        <w:pStyle w:val="2"/>
        <w:spacing w:line="360" w:lineRule="auto"/>
        <w:jc w:val="center"/>
        <w:rPr>
          <w:rFonts w:ascii="宋体" w:hAnsi="宋体" w:cs="宋体"/>
          <w:color w:val="auto"/>
          <w:sz w:val="32"/>
          <w:szCs w:val="15"/>
        </w:rPr>
      </w:pPr>
    </w:p>
    <w:p>
      <w:pPr>
        <w:rPr>
          <w:rFonts w:ascii="宋体" w:hAnsi="宋体" w:cs="宋体"/>
          <w:color w:val="auto"/>
          <w:sz w:val="32"/>
          <w:szCs w:val="15"/>
        </w:rPr>
      </w:pPr>
    </w:p>
    <w:p>
      <w:pPr>
        <w:rPr>
          <w:rFonts w:ascii="宋体" w:hAnsi="宋体" w:cs="宋体"/>
          <w:color w:val="auto"/>
          <w:sz w:val="32"/>
          <w:szCs w:val="15"/>
        </w:rPr>
      </w:pPr>
    </w:p>
    <w:p>
      <w:pPr>
        <w:pStyle w:val="12"/>
        <w:rPr>
          <w:color w:val="auto"/>
        </w:rPr>
      </w:pPr>
    </w:p>
    <w:bookmarkEnd w:id="93"/>
    <w:bookmarkEnd w:id="94"/>
    <w:p>
      <w:pPr>
        <w:pStyle w:val="2"/>
        <w:numPr>
          <w:ilvl w:val="0"/>
          <w:numId w:val="4"/>
        </w:numPr>
        <w:spacing w:line="360" w:lineRule="auto"/>
        <w:jc w:val="center"/>
        <w:rPr>
          <w:rFonts w:ascii="宋体" w:hAnsi="宋体" w:cs="宋体"/>
          <w:color w:val="auto"/>
          <w:sz w:val="32"/>
          <w:szCs w:val="15"/>
        </w:rPr>
      </w:pPr>
      <w:r>
        <w:rPr>
          <w:rFonts w:hint="eastAsia" w:ascii="宋体" w:hAnsi="宋体" w:cs="宋体"/>
          <w:color w:val="auto"/>
          <w:sz w:val="32"/>
          <w:szCs w:val="15"/>
        </w:rPr>
        <w:t>合同条款及格式</w:t>
      </w:r>
    </w:p>
    <w:p>
      <w:pPr>
        <w:tabs>
          <w:tab w:val="left" w:pos="9000"/>
        </w:tabs>
        <w:spacing w:line="36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详见附件</w:t>
      </w:r>
    </w:p>
    <w:p>
      <w:pPr>
        <w:spacing w:line="360" w:lineRule="auto"/>
        <w:ind w:firstLine="200"/>
        <w:rPr>
          <w:rFonts w:ascii="宋体" w:hAnsi="宋体" w:cs="宋体"/>
          <w:color w:val="auto"/>
        </w:rPr>
      </w:pPr>
      <w:bookmarkStart w:id="153" w:name="baidusnap3"/>
      <w:bookmarkEnd w:id="153"/>
      <w:bookmarkStart w:id="154" w:name="baidusnap7"/>
      <w:bookmarkEnd w:id="154"/>
      <w:r>
        <w:rPr>
          <w:rFonts w:hint="eastAsia" w:ascii="宋体" w:hAnsi="宋体" w:cs="宋体"/>
          <w:color w:val="auto"/>
          <w:sz w:val="24"/>
          <w:szCs w:val="24"/>
        </w:rPr>
        <w:br w:type="page"/>
      </w:r>
    </w:p>
    <w:p>
      <w:pPr>
        <w:pStyle w:val="2"/>
        <w:spacing w:line="360" w:lineRule="auto"/>
        <w:jc w:val="center"/>
        <w:rPr>
          <w:rFonts w:ascii="宋体" w:hAnsi="宋体" w:cs="宋体"/>
          <w:color w:val="auto"/>
          <w:sz w:val="32"/>
          <w:szCs w:val="15"/>
        </w:rPr>
      </w:pPr>
      <w:bookmarkStart w:id="155" w:name="_Toc4763"/>
      <w:r>
        <w:rPr>
          <w:rFonts w:hint="eastAsia" w:ascii="宋体" w:hAnsi="宋体" w:cs="宋体"/>
          <w:color w:val="auto"/>
          <w:sz w:val="32"/>
          <w:szCs w:val="15"/>
        </w:rPr>
        <w:t>第七篇 响应文件格式</w:t>
      </w:r>
      <w:bookmarkEnd w:id="155"/>
    </w:p>
    <w:p>
      <w:pPr>
        <w:spacing w:line="360" w:lineRule="auto"/>
        <w:rPr>
          <w:rFonts w:ascii="宋体" w:hAnsi="宋体" w:cs="宋体"/>
          <w:color w:val="auto"/>
        </w:rPr>
      </w:pPr>
    </w:p>
    <w:p>
      <w:pPr>
        <w:spacing w:line="360" w:lineRule="auto"/>
        <w:rPr>
          <w:rFonts w:ascii="宋体" w:hAnsi="宋体" w:cs="宋体"/>
          <w:color w:val="auto"/>
        </w:rPr>
        <w:sectPr>
          <w:footerReference r:id="rId5" w:type="default"/>
          <w:pgSz w:w="11906" w:h="16838"/>
          <w:pgMar w:top="1134" w:right="1134" w:bottom="1134" w:left="1417" w:header="851" w:footer="992" w:gutter="0"/>
          <w:cols w:space="425" w:num="1"/>
          <w:docGrid w:type="lines" w:linePitch="312" w:charSpace="0"/>
        </w:sectPr>
      </w:pPr>
    </w:p>
    <w:p>
      <w:pPr>
        <w:tabs>
          <w:tab w:val="left" w:pos="5955"/>
        </w:tabs>
        <w:autoSpaceDE w:val="0"/>
        <w:autoSpaceDN w:val="0"/>
        <w:adjustRightInd w:val="0"/>
        <w:snapToGrid w:val="0"/>
        <w:spacing w:line="360" w:lineRule="auto"/>
        <w:ind w:firstLine="664" w:firstLineChars="245"/>
        <w:jc w:val="left"/>
        <w:rPr>
          <w:rFonts w:ascii="宋体" w:hAnsi="宋体" w:cs="宋体"/>
          <w:b/>
          <w:color w:val="auto"/>
          <w:kern w:val="0"/>
          <w:sz w:val="27"/>
          <w:szCs w:val="27"/>
        </w:rPr>
      </w:pPr>
      <w:r>
        <w:rPr>
          <w:rFonts w:hint="eastAsia" w:ascii="宋体" w:hAnsi="宋体" w:cs="宋体"/>
          <w:b/>
          <w:color w:val="auto"/>
          <w:kern w:val="0"/>
          <w:sz w:val="27"/>
          <w:szCs w:val="27"/>
          <w:u w:val="single"/>
        </w:rPr>
        <w:tab/>
      </w:r>
      <w:r>
        <w:rPr>
          <w:rFonts w:hint="eastAsia" w:ascii="宋体" w:hAnsi="宋体" w:cs="宋体"/>
          <w:b/>
          <w:color w:val="auto"/>
          <w:w w:val="99"/>
          <w:kern w:val="0"/>
          <w:sz w:val="27"/>
          <w:szCs w:val="27"/>
        </w:rPr>
        <w:t>（项目名称</w:t>
      </w:r>
      <w:r>
        <w:rPr>
          <w:rFonts w:hint="eastAsia" w:ascii="宋体" w:hAnsi="宋体" w:cs="宋体"/>
          <w:b/>
          <w:color w:val="auto"/>
          <w:spacing w:val="1"/>
          <w:w w:val="99"/>
          <w:kern w:val="0"/>
          <w:sz w:val="27"/>
          <w:szCs w:val="27"/>
        </w:rPr>
        <w:t>）</w:t>
      </w: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2"/>
          <w:szCs w:val="42"/>
        </w:rPr>
      </w:pPr>
    </w:p>
    <w:p>
      <w:pPr>
        <w:tabs>
          <w:tab w:val="left" w:pos="3600"/>
          <w:tab w:val="left" w:pos="4480"/>
          <w:tab w:val="left" w:pos="5360"/>
        </w:tabs>
        <w:autoSpaceDE w:val="0"/>
        <w:autoSpaceDN w:val="0"/>
        <w:adjustRightInd w:val="0"/>
        <w:snapToGrid w:val="0"/>
        <w:spacing w:line="360" w:lineRule="auto"/>
        <w:jc w:val="left"/>
        <w:rPr>
          <w:rFonts w:ascii="宋体" w:hAnsi="宋体" w:cs="宋体"/>
          <w:color w:val="auto"/>
          <w:kern w:val="0"/>
          <w:sz w:val="42"/>
          <w:szCs w:val="42"/>
        </w:rPr>
      </w:pPr>
    </w:p>
    <w:p>
      <w:pPr>
        <w:tabs>
          <w:tab w:val="left" w:pos="3600"/>
          <w:tab w:val="left" w:pos="4480"/>
          <w:tab w:val="left" w:pos="5360"/>
        </w:tabs>
        <w:autoSpaceDE w:val="0"/>
        <w:autoSpaceDN w:val="0"/>
        <w:adjustRightInd w:val="0"/>
        <w:snapToGrid w:val="0"/>
        <w:spacing w:line="360" w:lineRule="auto"/>
        <w:jc w:val="center"/>
        <w:rPr>
          <w:rFonts w:ascii="宋体" w:hAnsi="宋体" w:cs="宋体"/>
          <w:b/>
          <w:color w:val="auto"/>
          <w:kern w:val="0"/>
          <w:sz w:val="81"/>
          <w:szCs w:val="81"/>
        </w:rPr>
      </w:pPr>
      <w:r>
        <w:rPr>
          <w:rFonts w:hint="eastAsia" w:ascii="宋体" w:hAnsi="宋体" w:cs="宋体"/>
          <w:b/>
          <w:color w:val="auto"/>
          <w:kern w:val="0"/>
          <w:sz w:val="81"/>
          <w:szCs w:val="81"/>
        </w:rPr>
        <w:t>响  应  文  件</w:t>
      </w:r>
    </w:p>
    <w:p>
      <w:pPr>
        <w:autoSpaceDE w:val="0"/>
        <w:autoSpaceDN w:val="0"/>
        <w:adjustRightInd w:val="0"/>
        <w:snapToGrid w:val="0"/>
        <w:spacing w:line="360" w:lineRule="auto"/>
        <w:jc w:val="left"/>
        <w:rPr>
          <w:rFonts w:ascii="宋体" w:hAnsi="宋体" w:cs="宋体"/>
          <w:color w:val="auto"/>
          <w:kern w:val="0"/>
          <w:sz w:val="15"/>
          <w:szCs w:val="15"/>
        </w:rPr>
      </w:pPr>
    </w:p>
    <w:p>
      <w:pPr>
        <w:autoSpaceDE w:val="0"/>
        <w:autoSpaceDN w:val="0"/>
        <w:adjustRightInd w:val="0"/>
        <w:snapToGrid w:val="0"/>
        <w:spacing w:line="360" w:lineRule="auto"/>
        <w:jc w:val="left"/>
        <w:rPr>
          <w:rFonts w:ascii="宋体" w:hAnsi="宋体" w:cs="宋体"/>
          <w:b/>
          <w:color w:val="auto"/>
          <w:kern w:val="0"/>
          <w:sz w:val="19"/>
          <w:szCs w:val="19"/>
        </w:rPr>
      </w:pPr>
    </w:p>
    <w:p>
      <w:pPr>
        <w:autoSpaceDE w:val="0"/>
        <w:autoSpaceDN w:val="0"/>
        <w:adjustRightInd w:val="0"/>
        <w:snapToGrid w:val="0"/>
        <w:spacing w:line="360" w:lineRule="auto"/>
        <w:jc w:val="left"/>
        <w:rPr>
          <w:rFonts w:ascii="宋体" w:hAnsi="宋体" w:cs="宋体"/>
          <w:b/>
          <w:color w:val="auto"/>
          <w:kern w:val="0"/>
          <w:sz w:val="19"/>
          <w:szCs w:val="19"/>
        </w:rPr>
      </w:pPr>
    </w:p>
    <w:p>
      <w:pPr>
        <w:autoSpaceDE w:val="0"/>
        <w:autoSpaceDN w:val="0"/>
        <w:adjustRightInd w:val="0"/>
        <w:snapToGrid w:val="0"/>
        <w:spacing w:line="360" w:lineRule="auto"/>
        <w:jc w:val="left"/>
        <w:rPr>
          <w:rFonts w:ascii="宋体" w:hAnsi="宋体" w:cs="宋体"/>
          <w:b/>
          <w:color w:val="auto"/>
          <w:kern w:val="0"/>
          <w:sz w:val="19"/>
          <w:szCs w:val="19"/>
        </w:rPr>
      </w:pPr>
    </w:p>
    <w:p>
      <w:pPr>
        <w:autoSpaceDE w:val="0"/>
        <w:autoSpaceDN w:val="0"/>
        <w:adjustRightInd w:val="0"/>
        <w:snapToGrid w:val="0"/>
        <w:spacing w:line="360" w:lineRule="auto"/>
        <w:jc w:val="left"/>
        <w:rPr>
          <w:rFonts w:ascii="宋体" w:hAnsi="宋体" w:cs="宋体"/>
          <w:b/>
          <w:color w:val="auto"/>
          <w:kern w:val="0"/>
          <w:sz w:val="19"/>
          <w:szCs w:val="19"/>
        </w:rPr>
      </w:pPr>
    </w:p>
    <w:p>
      <w:pPr>
        <w:autoSpaceDE w:val="0"/>
        <w:autoSpaceDN w:val="0"/>
        <w:adjustRightInd w:val="0"/>
        <w:snapToGrid w:val="0"/>
        <w:spacing w:line="360" w:lineRule="auto"/>
        <w:jc w:val="left"/>
        <w:rPr>
          <w:rFonts w:ascii="宋体" w:hAnsi="宋体" w:cs="宋体"/>
          <w:b/>
          <w:color w:val="auto"/>
          <w:kern w:val="0"/>
          <w:sz w:val="19"/>
          <w:szCs w:val="19"/>
        </w:rPr>
      </w:pPr>
    </w:p>
    <w:p>
      <w:pPr>
        <w:autoSpaceDE w:val="0"/>
        <w:autoSpaceDN w:val="0"/>
        <w:adjustRightInd w:val="0"/>
        <w:snapToGrid w:val="0"/>
        <w:spacing w:line="360" w:lineRule="auto"/>
        <w:jc w:val="left"/>
        <w:rPr>
          <w:rFonts w:ascii="宋体" w:hAnsi="宋体" w:cs="宋体"/>
          <w:b/>
          <w:color w:val="auto"/>
          <w:kern w:val="0"/>
          <w:sz w:val="19"/>
          <w:szCs w:val="19"/>
        </w:rPr>
      </w:pPr>
    </w:p>
    <w:p>
      <w:pPr>
        <w:autoSpaceDE w:val="0"/>
        <w:autoSpaceDN w:val="0"/>
        <w:adjustRightInd w:val="0"/>
        <w:snapToGrid w:val="0"/>
        <w:spacing w:line="360" w:lineRule="auto"/>
        <w:jc w:val="left"/>
        <w:rPr>
          <w:rFonts w:ascii="宋体" w:hAnsi="宋体" w:cs="宋体"/>
          <w:b/>
          <w:color w:val="auto"/>
          <w:kern w:val="0"/>
          <w:sz w:val="19"/>
          <w:szCs w:val="19"/>
        </w:rPr>
      </w:pPr>
    </w:p>
    <w:p>
      <w:pPr>
        <w:autoSpaceDE w:val="0"/>
        <w:autoSpaceDN w:val="0"/>
        <w:adjustRightInd w:val="0"/>
        <w:snapToGrid w:val="0"/>
        <w:spacing w:line="360" w:lineRule="auto"/>
        <w:jc w:val="left"/>
        <w:rPr>
          <w:rFonts w:ascii="宋体" w:hAnsi="宋体" w:cs="宋体"/>
          <w:b/>
          <w:color w:val="auto"/>
          <w:kern w:val="0"/>
          <w:sz w:val="19"/>
          <w:szCs w:val="19"/>
        </w:rPr>
      </w:pPr>
    </w:p>
    <w:p>
      <w:pPr>
        <w:autoSpaceDE w:val="0"/>
        <w:autoSpaceDN w:val="0"/>
        <w:adjustRightInd w:val="0"/>
        <w:snapToGrid w:val="0"/>
        <w:spacing w:line="360" w:lineRule="auto"/>
        <w:jc w:val="left"/>
        <w:rPr>
          <w:rFonts w:ascii="宋体" w:hAnsi="宋体" w:cs="宋体"/>
          <w:b/>
          <w:color w:val="auto"/>
          <w:kern w:val="0"/>
          <w:sz w:val="19"/>
          <w:szCs w:val="19"/>
        </w:rPr>
      </w:pPr>
    </w:p>
    <w:p>
      <w:pPr>
        <w:autoSpaceDE w:val="0"/>
        <w:autoSpaceDN w:val="0"/>
        <w:adjustRightInd w:val="0"/>
        <w:snapToGrid w:val="0"/>
        <w:spacing w:line="360" w:lineRule="auto"/>
        <w:jc w:val="left"/>
        <w:rPr>
          <w:rFonts w:ascii="宋体" w:hAnsi="宋体" w:cs="宋体"/>
          <w:b/>
          <w:color w:val="auto"/>
          <w:kern w:val="0"/>
          <w:sz w:val="19"/>
          <w:szCs w:val="19"/>
        </w:rPr>
      </w:pPr>
    </w:p>
    <w:p>
      <w:pPr>
        <w:autoSpaceDE w:val="0"/>
        <w:autoSpaceDN w:val="0"/>
        <w:adjustRightInd w:val="0"/>
        <w:snapToGrid w:val="0"/>
        <w:spacing w:line="360" w:lineRule="auto"/>
        <w:jc w:val="left"/>
        <w:rPr>
          <w:rFonts w:ascii="宋体" w:hAnsi="宋体" w:cs="宋体"/>
          <w:b/>
          <w:color w:val="auto"/>
          <w:kern w:val="0"/>
          <w:sz w:val="19"/>
          <w:szCs w:val="19"/>
        </w:rPr>
      </w:pPr>
    </w:p>
    <w:p>
      <w:pPr>
        <w:autoSpaceDE w:val="0"/>
        <w:autoSpaceDN w:val="0"/>
        <w:adjustRightInd w:val="0"/>
        <w:snapToGrid w:val="0"/>
        <w:spacing w:line="360" w:lineRule="auto"/>
        <w:jc w:val="left"/>
        <w:rPr>
          <w:rFonts w:ascii="宋体" w:hAnsi="宋体" w:cs="宋体"/>
          <w:b/>
          <w:color w:val="auto"/>
          <w:kern w:val="0"/>
          <w:sz w:val="19"/>
          <w:szCs w:val="19"/>
        </w:rPr>
      </w:pPr>
    </w:p>
    <w:p>
      <w:pPr>
        <w:tabs>
          <w:tab w:val="left" w:pos="6080"/>
          <w:tab w:val="left" w:pos="6640"/>
        </w:tabs>
        <w:autoSpaceDE w:val="0"/>
        <w:autoSpaceDN w:val="0"/>
        <w:adjustRightInd w:val="0"/>
        <w:snapToGrid w:val="0"/>
        <w:spacing w:line="360" w:lineRule="auto"/>
        <w:jc w:val="center"/>
        <w:rPr>
          <w:rFonts w:ascii="宋体" w:hAnsi="宋体" w:cs="宋体"/>
          <w:b/>
          <w:color w:val="auto"/>
          <w:w w:val="99"/>
          <w:kern w:val="0"/>
          <w:sz w:val="27"/>
          <w:szCs w:val="27"/>
        </w:rPr>
      </w:pPr>
      <w:r>
        <w:rPr>
          <w:rFonts w:hint="eastAsia" w:ascii="宋体" w:hAnsi="宋体" w:cs="宋体"/>
          <w:b/>
          <w:color w:val="auto"/>
          <w:w w:val="99"/>
          <w:kern w:val="0"/>
          <w:sz w:val="27"/>
          <w:szCs w:val="27"/>
        </w:rPr>
        <w:t>供应商</w:t>
      </w:r>
      <w:r>
        <w:rPr>
          <w:rFonts w:hint="eastAsia" w:ascii="宋体" w:hAnsi="宋体" w:cs="宋体"/>
          <w:b/>
          <w:color w:val="auto"/>
          <w:spacing w:val="1"/>
          <w:w w:val="99"/>
          <w:kern w:val="0"/>
          <w:sz w:val="27"/>
          <w:szCs w:val="27"/>
        </w:rPr>
        <w:t>：</w:t>
      </w:r>
      <w:r>
        <w:rPr>
          <w:rFonts w:hint="eastAsia" w:ascii="宋体" w:hAnsi="宋体" w:cs="宋体"/>
          <w:b/>
          <w:color w:val="auto"/>
          <w:w w:val="198"/>
          <w:kern w:val="0"/>
          <w:sz w:val="27"/>
          <w:szCs w:val="27"/>
          <w:u w:val="single"/>
        </w:rPr>
        <w:t>　　　　 　　</w:t>
      </w:r>
      <w:r>
        <w:rPr>
          <w:rFonts w:hint="eastAsia" w:ascii="宋体" w:hAnsi="宋体" w:cs="宋体"/>
          <w:b/>
          <w:color w:val="auto"/>
          <w:w w:val="99"/>
          <w:kern w:val="0"/>
          <w:sz w:val="27"/>
          <w:szCs w:val="27"/>
        </w:rPr>
        <w:t>（盖单位公章）</w:t>
      </w:r>
    </w:p>
    <w:p>
      <w:pPr>
        <w:tabs>
          <w:tab w:val="left" w:pos="6080"/>
          <w:tab w:val="left" w:pos="6640"/>
        </w:tabs>
        <w:autoSpaceDE w:val="0"/>
        <w:autoSpaceDN w:val="0"/>
        <w:adjustRightInd w:val="0"/>
        <w:snapToGrid w:val="0"/>
        <w:spacing w:line="360" w:lineRule="auto"/>
        <w:jc w:val="center"/>
        <w:rPr>
          <w:rFonts w:ascii="宋体" w:hAnsi="宋体" w:cs="宋体"/>
          <w:b/>
          <w:color w:val="auto"/>
          <w:kern w:val="0"/>
          <w:sz w:val="27"/>
          <w:szCs w:val="27"/>
        </w:rPr>
      </w:pPr>
      <w:r>
        <w:rPr>
          <w:rFonts w:hint="eastAsia" w:ascii="宋体" w:hAnsi="宋体" w:cs="宋体"/>
          <w:b/>
          <w:color w:val="auto"/>
          <w:w w:val="99"/>
          <w:kern w:val="0"/>
          <w:sz w:val="27"/>
          <w:szCs w:val="27"/>
        </w:rPr>
        <w:t>法定代表人或其委托代理人：</w:t>
      </w:r>
      <w:r>
        <w:rPr>
          <w:rFonts w:hint="eastAsia" w:ascii="宋体" w:hAnsi="宋体" w:cs="宋体"/>
          <w:b/>
          <w:color w:val="auto"/>
          <w:w w:val="198"/>
          <w:kern w:val="0"/>
          <w:sz w:val="27"/>
          <w:szCs w:val="27"/>
          <w:u w:val="single"/>
        </w:rPr>
        <w:t>　　 　</w:t>
      </w:r>
      <w:r>
        <w:rPr>
          <w:rFonts w:hint="eastAsia" w:ascii="宋体" w:hAnsi="宋体" w:cs="宋体"/>
          <w:b/>
          <w:color w:val="auto"/>
          <w:w w:val="99"/>
          <w:kern w:val="0"/>
          <w:sz w:val="27"/>
          <w:szCs w:val="27"/>
        </w:rPr>
        <w:t>（签字）</w:t>
      </w:r>
    </w:p>
    <w:p>
      <w:pPr>
        <w:tabs>
          <w:tab w:val="left" w:pos="3280"/>
          <w:tab w:val="left" w:pos="4680"/>
          <w:tab w:val="left" w:pos="6080"/>
        </w:tabs>
        <w:autoSpaceDE w:val="0"/>
        <w:autoSpaceDN w:val="0"/>
        <w:adjustRightInd w:val="0"/>
        <w:snapToGrid w:val="0"/>
        <w:spacing w:line="360" w:lineRule="auto"/>
        <w:jc w:val="center"/>
        <w:rPr>
          <w:rFonts w:ascii="宋体" w:hAnsi="宋体" w:cs="宋体"/>
          <w:b/>
          <w:color w:val="auto"/>
          <w:kern w:val="0"/>
          <w:sz w:val="27"/>
          <w:szCs w:val="27"/>
        </w:rPr>
      </w:pPr>
      <w:r>
        <w:rPr>
          <w:rFonts w:hint="eastAsia" w:ascii="宋体" w:hAnsi="宋体" w:cs="宋体"/>
          <w:b/>
          <w:color w:val="auto"/>
          <w:w w:val="99"/>
          <w:kern w:val="0"/>
          <w:sz w:val="27"/>
          <w:szCs w:val="27"/>
        </w:rPr>
        <w:t xml:space="preserve">     年   月   日</w:t>
      </w:r>
    </w:p>
    <w:p>
      <w:pPr>
        <w:autoSpaceDE w:val="0"/>
        <w:autoSpaceDN w:val="0"/>
        <w:adjustRightInd w:val="0"/>
        <w:snapToGrid w:val="0"/>
        <w:spacing w:line="360" w:lineRule="auto"/>
        <w:jc w:val="left"/>
        <w:rPr>
          <w:rFonts w:ascii="宋体" w:hAnsi="宋体" w:cs="宋体"/>
          <w:color w:val="auto"/>
          <w:kern w:val="0"/>
          <w:sz w:val="23"/>
          <w:szCs w:val="23"/>
        </w:rPr>
      </w:pPr>
    </w:p>
    <w:p>
      <w:pPr>
        <w:autoSpaceDE w:val="0"/>
        <w:autoSpaceDN w:val="0"/>
        <w:adjustRightInd w:val="0"/>
        <w:snapToGrid w:val="0"/>
        <w:spacing w:line="360" w:lineRule="auto"/>
        <w:jc w:val="center"/>
        <w:rPr>
          <w:rFonts w:ascii="宋体" w:hAnsi="宋体" w:cs="宋体"/>
          <w:b/>
          <w:color w:val="auto"/>
          <w:kern w:val="0"/>
          <w:sz w:val="32"/>
          <w:szCs w:val="32"/>
        </w:rPr>
      </w:pPr>
    </w:p>
    <w:p>
      <w:pPr>
        <w:autoSpaceDE w:val="0"/>
        <w:autoSpaceDN w:val="0"/>
        <w:adjustRightInd w:val="0"/>
        <w:snapToGrid w:val="0"/>
        <w:spacing w:line="360" w:lineRule="auto"/>
        <w:rPr>
          <w:rFonts w:ascii="宋体" w:hAnsi="宋体" w:cs="宋体"/>
          <w:b/>
          <w:color w:val="auto"/>
          <w:kern w:val="0"/>
          <w:sz w:val="32"/>
          <w:szCs w:val="32"/>
        </w:rPr>
      </w:pPr>
    </w:p>
    <w:p>
      <w:pPr>
        <w:autoSpaceDE w:val="0"/>
        <w:autoSpaceDN w:val="0"/>
        <w:adjustRightInd w:val="0"/>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目     录</w:t>
      </w:r>
    </w:p>
    <w:p>
      <w:pPr>
        <w:spacing w:line="360" w:lineRule="auto"/>
        <w:ind w:firstLine="562" w:firstLineChars="200"/>
        <w:rPr>
          <w:rFonts w:ascii="宋体" w:hAnsi="宋体" w:cs="宋体"/>
          <w:b/>
          <w:bCs/>
          <w:color w:val="auto"/>
        </w:rPr>
      </w:pPr>
    </w:p>
    <w:p>
      <w:pPr>
        <w:spacing w:line="360" w:lineRule="auto"/>
        <w:ind w:firstLine="562" w:firstLineChars="200"/>
        <w:rPr>
          <w:rFonts w:ascii="宋体" w:hAnsi="宋体" w:cs="宋体"/>
          <w:b/>
          <w:bCs/>
          <w:color w:val="auto"/>
        </w:rPr>
      </w:pPr>
      <w:r>
        <w:rPr>
          <w:rFonts w:hint="eastAsia" w:ascii="宋体" w:hAnsi="宋体" w:cs="宋体"/>
          <w:b/>
          <w:bCs/>
          <w:color w:val="auto"/>
        </w:rPr>
        <w:t>一、报价函</w:t>
      </w:r>
    </w:p>
    <w:p>
      <w:pPr>
        <w:spacing w:line="360" w:lineRule="auto"/>
        <w:ind w:firstLine="560" w:firstLineChars="200"/>
        <w:rPr>
          <w:rFonts w:ascii="宋体" w:hAnsi="宋体" w:cs="宋体"/>
          <w:color w:val="auto"/>
        </w:rPr>
      </w:pPr>
      <w:r>
        <w:rPr>
          <w:rFonts w:hint="eastAsia" w:ascii="宋体" w:hAnsi="宋体" w:cs="宋体"/>
          <w:color w:val="auto"/>
        </w:rPr>
        <w:t>（一）报价函</w:t>
      </w:r>
    </w:p>
    <w:p>
      <w:pPr>
        <w:spacing w:line="360" w:lineRule="auto"/>
        <w:ind w:firstLine="560" w:firstLineChars="200"/>
        <w:rPr>
          <w:color w:val="auto"/>
        </w:rPr>
      </w:pPr>
      <w:r>
        <w:rPr>
          <w:rFonts w:hint="eastAsia" w:ascii="宋体" w:hAnsi="宋体" w:cs="宋体"/>
          <w:color w:val="auto"/>
        </w:rPr>
        <w:t>（二）报价清单</w:t>
      </w:r>
    </w:p>
    <w:p>
      <w:pPr>
        <w:spacing w:line="360" w:lineRule="auto"/>
        <w:ind w:firstLine="562" w:firstLineChars="200"/>
        <w:rPr>
          <w:rFonts w:ascii="宋体" w:hAnsi="宋体" w:cs="宋体"/>
          <w:b/>
          <w:bCs/>
          <w:color w:val="auto"/>
        </w:rPr>
      </w:pPr>
      <w:r>
        <w:rPr>
          <w:rFonts w:hint="eastAsia" w:ascii="宋体" w:hAnsi="宋体" w:cs="宋体"/>
          <w:b/>
          <w:bCs/>
          <w:color w:val="auto"/>
        </w:rPr>
        <w:t>二、技术部分</w:t>
      </w:r>
    </w:p>
    <w:p>
      <w:pPr>
        <w:spacing w:line="360" w:lineRule="auto"/>
        <w:ind w:firstLine="560" w:firstLineChars="200"/>
        <w:rPr>
          <w:rFonts w:ascii="宋体" w:hAnsi="宋体" w:cs="宋体"/>
          <w:color w:val="auto"/>
        </w:rPr>
      </w:pPr>
      <w:r>
        <w:rPr>
          <w:rFonts w:hint="eastAsia" w:ascii="宋体" w:hAnsi="宋体" w:cs="宋体"/>
          <w:color w:val="auto"/>
        </w:rPr>
        <w:t>（一）技术方案</w:t>
      </w:r>
    </w:p>
    <w:p>
      <w:pPr>
        <w:spacing w:line="360" w:lineRule="auto"/>
        <w:ind w:firstLine="560" w:firstLineChars="200"/>
        <w:rPr>
          <w:rFonts w:ascii="宋体" w:hAnsi="宋体" w:cs="宋体"/>
          <w:color w:val="auto"/>
        </w:rPr>
      </w:pPr>
      <w:r>
        <w:rPr>
          <w:rFonts w:hint="eastAsia" w:ascii="宋体" w:hAnsi="宋体" w:cs="宋体"/>
          <w:color w:val="auto"/>
        </w:rPr>
        <w:t>（二）采购项目技术需求差异表</w:t>
      </w:r>
    </w:p>
    <w:p>
      <w:pPr>
        <w:spacing w:line="360" w:lineRule="auto"/>
        <w:ind w:firstLine="562" w:firstLineChars="200"/>
        <w:rPr>
          <w:rFonts w:ascii="宋体" w:hAnsi="宋体" w:cs="宋体"/>
          <w:b/>
          <w:bCs/>
          <w:color w:val="auto"/>
        </w:rPr>
      </w:pPr>
      <w:r>
        <w:rPr>
          <w:rFonts w:hint="eastAsia" w:ascii="宋体" w:hAnsi="宋体" w:cs="宋体"/>
          <w:b/>
          <w:bCs/>
          <w:color w:val="auto"/>
        </w:rPr>
        <w:t>三、商务部分</w:t>
      </w:r>
    </w:p>
    <w:p>
      <w:pPr>
        <w:spacing w:line="360" w:lineRule="auto"/>
        <w:ind w:firstLine="560" w:firstLineChars="200"/>
        <w:rPr>
          <w:rFonts w:ascii="宋体" w:hAnsi="宋体" w:cs="宋体"/>
          <w:color w:val="auto"/>
        </w:rPr>
      </w:pPr>
      <w:r>
        <w:rPr>
          <w:rFonts w:hint="eastAsia" w:ascii="宋体" w:hAnsi="宋体" w:cs="宋体"/>
          <w:color w:val="auto"/>
        </w:rPr>
        <w:t>（一）采购项目商务需求差异表</w:t>
      </w:r>
    </w:p>
    <w:p>
      <w:pPr>
        <w:spacing w:line="360" w:lineRule="auto"/>
        <w:ind w:firstLine="560" w:firstLineChars="200"/>
        <w:rPr>
          <w:rFonts w:ascii="宋体" w:hAnsi="宋体" w:cs="宋体"/>
          <w:color w:val="auto"/>
        </w:rPr>
      </w:pPr>
      <w:r>
        <w:rPr>
          <w:rFonts w:hint="eastAsia" w:ascii="宋体" w:hAnsi="宋体" w:cs="宋体"/>
          <w:color w:val="auto"/>
        </w:rPr>
        <w:t>（二）其他应提供资料</w:t>
      </w:r>
    </w:p>
    <w:p>
      <w:pPr>
        <w:spacing w:line="360" w:lineRule="auto"/>
        <w:ind w:firstLine="562" w:firstLineChars="200"/>
        <w:rPr>
          <w:rFonts w:ascii="宋体" w:hAnsi="宋体" w:cs="宋体"/>
          <w:b/>
          <w:bCs/>
          <w:color w:val="auto"/>
        </w:rPr>
      </w:pPr>
      <w:r>
        <w:rPr>
          <w:rFonts w:hint="eastAsia" w:ascii="宋体" w:hAnsi="宋体" w:cs="宋体"/>
          <w:b/>
          <w:bCs/>
          <w:color w:val="auto"/>
        </w:rPr>
        <w:t>四、资格条件及其他</w:t>
      </w:r>
    </w:p>
    <w:p>
      <w:pPr>
        <w:spacing w:line="360" w:lineRule="auto"/>
        <w:ind w:firstLine="560" w:firstLineChars="200"/>
        <w:rPr>
          <w:rFonts w:ascii="宋体" w:hAnsi="宋体" w:cs="宋体"/>
          <w:color w:val="auto"/>
        </w:rPr>
      </w:pPr>
      <w:r>
        <w:rPr>
          <w:rFonts w:hint="eastAsia" w:ascii="宋体" w:hAnsi="宋体" w:cs="宋体"/>
          <w:color w:val="auto"/>
        </w:rPr>
        <w:t>（一）法人营业执照（副本）或事业单位法人证书（副本）或个体工商户营业执照或有效的自然人身份证明或社会团体法人登记证书复印件</w:t>
      </w:r>
    </w:p>
    <w:p>
      <w:pPr>
        <w:spacing w:line="360" w:lineRule="auto"/>
        <w:ind w:firstLine="560" w:firstLineChars="200"/>
        <w:rPr>
          <w:rFonts w:ascii="宋体" w:hAnsi="宋体" w:cs="宋体"/>
          <w:color w:val="auto"/>
        </w:rPr>
      </w:pPr>
      <w:r>
        <w:rPr>
          <w:rFonts w:hint="eastAsia" w:ascii="宋体" w:hAnsi="宋体" w:cs="宋体"/>
          <w:color w:val="auto"/>
        </w:rPr>
        <w:t>（二）法定代表人身份证明书（格式）</w:t>
      </w:r>
    </w:p>
    <w:p>
      <w:pPr>
        <w:spacing w:line="360" w:lineRule="auto"/>
        <w:ind w:firstLine="560" w:firstLineChars="200"/>
        <w:rPr>
          <w:rFonts w:ascii="宋体" w:hAnsi="宋体" w:cs="宋体"/>
          <w:color w:val="auto"/>
        </w:rPr>
      </w:pPr>
      <w:r>
        <w:rPr>
          <w:rFonts w:hint="eastAsia" w:ascii="宋体" w:hAnsi="宋体" w:cs="宋体"/>
          <w:color w:val="auto"/>
        </w:rPr>
        <w:t>（三）法定代表人授权委托书（格式）</w:t>
      </w:r>
    </w:p>
    <w:p>
      <w:pPr>
        <w:spacing w:line="360" w:lineRule="auto"/>
        <w:ind w:firstLine="560" w:firstLineChars="200"/>
        <w:rPr>
          <w:rFonts w:ascii="宋体" w:hAnsi="宋体" w:cs="宋体"/>
          <w:color w:val="auto"/>
        </w:rPr>
      </w:pPr>
      <w:r>
        <w:rPr>
          <w:rFonts w:hint="eastAsia" w:ascii="宋体" w:hAnsi="宋体" w:cs="宋体"/>
          <w:color w:val="auto"/>
        </w:rPr>
        <w:t>（四）基本资格条件承诺函（格式）</w:t>
      </w:r>
    </w:p>
    <w:p>
      <w:pPr>
        <w:spacing w:line="360" w:lineRule="auto"/>
        <w:ind w:firstLine="560" w:firstLineChars="200"/>
        <w:rPr>
          <w:rFonts w:ascii="宋体" w:hAnsi="宋体" w:cs="宋体"/>
          <w:color w:val="auto"/>
        </w:rPr>
      </w:pPr>
      <w:r>
        <w:rPr>
          <w:rFonts w:hint="eastAsia" w:ascii="宋体" w:hAnsi="宋体" w:cs="宋体"/>
          <w:color w:val="auto"/>
        </w:rPr>
        <w:t>（五）特定资格条件证书或证明文件</w:t>
      </w:r>
    </w:p>
    <w:p>
      <w:pPr>
        <w:spacing w:line="360" w:lineRule="auto"/>
        <w:ind w:firstLine="562" w:firstLineChars="200"/>
        <w:rPr>
          <w:rFonts w:ascii="宋体" w:hAnsi="宋体" w:cs="宋体"/>
          <w:b/>
          <w:bCs/>
          <w:color w:val="auto"/>
        </w:rPr>
      </w:pPr>
      <w:r>
        <w:rPr>
          <w:rFonts w:hint="eastAsia" w:ascii="宋体" w:hAnsi="宋体" w:cs="宋体"/>
          <w:b/>
          <w:bCs/>
          <w:color w:val="auto"/>
        </w:rPr>
        <w:t>五、其他应提供的资料</w:t>
      </w:r>
    </w:p>
    <w:p>
      <w:pPr>
        <w:spacing w:line="360" w:lineRule="auto"/>
        <w:ind w:firstLine="560" w:firstLineChars="200"/>
        <w:rPr>
          <w:rFonts w:ascii="宋体" w:hAnsi="宋体" w:cs="宋体"/>
          <w:color w:val="auto"/>
        </w:rPr>
        <w:sectPr>
          <w:footerReference r:id="rId6" w:type="default"/>
          <w:pgSz w:w="11907" w:h="16840"/>
          <w:pgMar w:top="1134" w:right="1191" w:bottom="1134" w:left="1304" w:header="851" w:footer="850" w:gutter="0"/>
          <w:cols w:space="720" w:num="1"/>
        </w:sectPr>
      </w:pPr>
      <w:r>
        <w:rPr>
          <w:rFonts w:hint="eastAsia" w:ascii="宋体" w:hAnsi="宋体" w:cs="宋体"/>
          <w:color w:val="auto"/>
        </w:rPr>
        <w:t>（一）其他与项目有关的资料（自附）</w:t>
      </w:r>
    </w:p>
    <w:p>
      <w:pPr>
        <w:snapToGrid w:val="0"/>
        <w:spacing w:line="360" w:lineRule="auto"/>
        <w:outlineLvl w:val="1"/>
        <w:rPr>
          <w:rFonts w:ascii="宋体" w:hAnsi="宋体" w:cs="宋体"/>
          <w:b/>
          <w:bCs/>
          <w:color w:val="auto"/>
          <w:szCs w:val="28"/>
        </w:rPr>
      </w:pPr>
      <w:bookmarkStart w:id="156" w:name="_Toc11676"/>
      <w:bookmarkStart w:id="157" w:name="_Toc287607867"/>
      <w:bookmarkStart w:id="158" w:name="_Toc19531"/>
      <w:bookmarkStart w:id="159" w:name="_Toc277082643"/>
      <w:bookmarkStart w:id="160" w:name="_Toc224103495"/>
      <w:bookmarkStart w:id="161" w:name="_Toc386029715"/>
      <w:r>
        <w:rPr>
          <w:rFonts w:hint="eastAsia" w:ascii="宋体" w:hAnsi="宋体" w:cs="宋体"/>
          <w:b/>
          <w:bCs/>
          <w:color w:val="auto"/>
          <w:szCs w:val="28"/>
        </w:rPr>
        <w:t>一、报价函</w:t>
      </w:r>
      <w:bookmarkEnd w:id="156"/>
    </w:p>
    <w:p>
      <w:pPr>
        <w:snapToGrid w:val="0"/>
        <w:spacing w:line="360" w:lineRule="auto"/>
        <w:ind w:firstLine="482" w:firstLineChars="200"/>
        <w:jc w:val="center"/>
        <w:rPr>
          <w:rFonts w:ascii="宋体" w:hAnsi="宋体" w:cs="宋体"/>
          <w:b/>
          <w:bCs/>
          <w:color w:val="auto"/>
          <w:sz w:val="24"/>
          <w:szCs w:val="24"/>
        </w:rPr>
      </w:pPr>
      <w:r>
        <w:rPr>
          <w:rFonts w:hint="eastAsia" w:ascii="宋体" w:hAnsi="宋体" w:cs="宋体"/>
          <w:b/>
          <w:bCs/>
          <w:color w:val="auto"/>
          <w:sz w:val="24"/>
          <w:szCs w:val="24"/>
        </w:rPr>
        <w:t>报价函</w:t>
      </w:r>
      <w:bookmarkEnd w:id="157"/>
      <w:bookmarkEnd w:id="158"/>
      <w:bookmarkEnd w:id="159"/>
      <w:bookmarkEnd w:id="160"/>
      <w:bookmarkEnd w:id="161"/>
    </w:p>
    <w:p>
      <w:pPr>
        <w:snapToGrid w:val="0"/>
        <w:spacing w:line="360" w:lineRule="auto"/>
        <w:ind w:firstLine="480" w:firstLineChars="200"/>
        <w:rPr>
          <w:rFonts w:ascii="宋体" w:hAnsi="宋体" w:cs="宋体"/>
          <w:color w:val="auto"/>
          <w:sz w:val="24"/>
          <w:szCs w:val="24"/>
        </w:rPr>
      </w:pPr>
    </w:p>
    <w:p>
      <w:pPr>
        <w:tabs>
          <w:tab w:val="left" w:pos="6300"/>
        </w:tabs>
        <w:snapToGrid w:val="0"/>
        <w:spacing w:line="360" w:lineRule="auto"/>
        <w:rPr>
          <w:rFonts w:ascii="宋体" w:hAnsi="宋体" w:cs="宋体"/>
          <w:color w:val="auto"/>
          <w:sz w:val="24"/>
          <w:szCs w:val="24"/>
        </w:rPr>
      </w:pPr>
      <w:bookmarkStart w:id="162" w:name="_Toc325910670"/>
      <w:bookmarkStart w:id="163" w:name="_Toc330980525"/>
      <w:r>
        <w:rPr>
          <w:rFonts w:hint="eastAsia" w:ascii="宋体" w:hAnsi="宋体" w:cs="宋体"/>
          <w:color w:val="auto"/>
          <w:sz w:val="24"/>
          <w:szCs w:val="24"/>
          <w:u w:val="single"/>
        </w:rPr>
        <w:t>致：（采购代理机构名称）</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我方收到____________________________（采购项目名称）的采购文件，经详细研究，决定参加该项目的采购。</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1.愿意按照采购文件中的一切要求，提供本项目的技术服务，报价为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3.我方承诺：本次采购的有效期为提交响应文件截止时间起90天。</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4.我方完全理解和接受贵方采购文件的一切规定和要求及评审办法。</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5.在整个采购过程中，我方若有违规行为，接受按照《中华人民共和国政府采购法》和《采购文件》之规定给予惩罚。</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6.我方若成为成交供应商，将按照最终采购结果签订合同，并且严格履行合同义务。本承诺函将成为合同不可分割的一部分，与合同具有同等的法律效力。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w:t>
      </w:r>
      <w:r>
        <w:rPr>
          <w:rFonts w:hint="eastAsia" w:ascii="宋体" w:hAnsi="宋体" w:cs="宋体"/>
          <w:color w:val="auto"/>
          <w:sz w:val="24"/>
        </w:rPr>
        <w:t>缴纳</w:t>
      </w:r>
      <w:r>
        <w:rPr>
          <w:rFonts w:hint="eastAsia" w:ascii="宋体" w:hAnsi="宋体" w:cs="宋体"/>
          <w:color w:val="auto"/>
          <w:sz w:val="24"/>
          <w:szCs w:val="24"/>
        </w:rPr>
        <w:t>采购文件规定的采购代理服务费。</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供应商（公章）：</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地址：  </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电话：                                             传真：</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网址：                                             邮编：</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联系人：</w:t>
      </w:r>
    </w:p>
    <w:p>
      <w:pPr>
        <w:snapToGrid w:val="0"/>
        <w:spacing w:line="360" w:lineRule="auto"/>
        <w:ind w:firstLine="480" w:firstLineChars="200"/>
        <w:rPr>
          <w:rFonts w:ascii="宋体" w:hAnsi="宋体" w:cs="宋体"/>
          <w:color w:val="auto"/>
          <w:sz w:val="24"/>
          <w:szCs w:val="24"/>
        </w:rPr>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pPr>
      <w:r>
        <w:rPr>
          <w:rFonts w:hint="eastAsia" w:ascii="宋体" w:hAnsi="宋体" w:cs="宋体"/>
          <w:color w:val="auto"/>
          <w:sz w:val="24"/>
          <w:szCs w:val="24"/>
        </w:rPr>
        <w:t xml:space="preserve">                                                  年   月   </w:t>
      </w:r>
    </w:p>
    <w:bookmarkEnd w:id="162"/>
    <w:bookmarkEnd w:id="163"/>
    <w:p>
      <w:pPr>
        <w:snapToGrid w:val="0"/>
        <w:spacing w:line="360" w:lineRule="auto"/>
        <w:ind w:firstLine="560" w:firstLineChars="200"/>
        <w:outlineLvl w:val="1"/>
        <w:rPr>
          <w:rFonts w:ascii="宋体" w:hAnsi="宋体" w:cs="宋体"/>
          <w:color w:val="auto"/>
          <w:szCs w:val="28"/>
        </w:rPr>
      </w:pPr>
      <w:bookmarkStart w:id="164" w:name="_Toc8851"/>
      <w:r>
        <w:rPr>
          <w:rFonts w:hint="eastAsia" w:ascii="宋体" w:hAnsi="宋体" w:cs="宋体"/>
          <w:color w:val="auto"/>
          <w:szCs w:val="28"/>
        </w:rPr>
        <w:t>二、报价清单（注：已标价工程量清单纸质版可不提供单价分析表，但须将单价分析表刻入电子文档中）</w:t>
      </w:r>
      <w:bookmarkEnd w:id="164"/>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p>
    <w:p>
      <w:pPr>
        <w:snapToGrid w:val="0"/>
        <w:spacing w:line="360" w:lineRule="auto"/>
        <w:ind w:firstLine="562" w:firstLineChars="200"/>
        <w:outlineLvl w:val="1"/>
        <w:rPr>
          <w:rFonts w:ascii="宋体" w:hAnsi="宋体" w:cs="宋体"/>
          <w:b/>
          <w:bCs/>
          <w:color w:val="auto"/>
          <w:szCs w:val="28"/>
        </w:rPr>
      </w:pPr>
      <w:bookmarkStart w:id="165" w:name="_Toc26991"/>
      <w:r>
        <w:rPr>
          <w:rFonts w:hint="eastAsia" w:ascii="宋体" w:hAnsi="宋体" w:cs="宋体"/>
          <w:b/>
          <w:bCs/>
          <w:color w:val="auto"/>
          <w:szCs w:val="28"/>
        </w:rPr>
        <w:t>二、技术部分</w:t>
      </w:r>
      <w:bookmarkEnd w:id="165"/>
    </w:p>
    <w:p>
      <w:pPr>
        <w:snapToGrid w:val="0"/>
        <w:spacing w:line="360" w:lineRule="auto"/>
        <w:ind w:firstLine="480" w:firstLineChars="200"/>
        <w:outlineLvl w:val="1"/>
        <w:rPr>
          <w:rFonts w:ascii="宋体" w:hAnsi="宋体" w:cs="宋体"/>
          <w:color w:val="auto"/>
          <w:sz w:val="24"/>
          <w:szCs w:val="24"/>
        </w:rPr>
      </w:pPr>
      <w:bookmarkStart w:id="166" w:name="_Toc31878"/>
      <w:r>
        <w:rPr>
          <w:rFonts w:hint="eastAsia" w:ascii="宋体" w:hAnsi="宋体" w:cs="宋体"/>
          <w:color w:val="auto"/>
          <w:sz w:val="24"/>
          <w:szCs w:val="24"/>
        </w:rPr>
        <w:t>（一）技术方案</w:t>
      </w:r>
      <w:bookmarkEnd w:id="166"/>
    </w:p>
    <w:p>
      <w:pPr>
        <w:snapToGrid w:val="0"/>
        <w:spacing w:line="360" w:lineRule="auto"/>
        <w:jc w:val="center"/>
        <w:rPr>
          <w:rFonts w:ascii="宋体" w:hAnsi="宋体" w:cs="宋体"/>
          <w:color w:val="auto"/>
          <w:sz w:val="24"/>
          <w:szCs w:val="24"/>
        </w:rPr>
      </w:pPr>
      <w:r>
        <w:rPr>
          <w:rFonts w:hint="eastAsia" w:ascii="宋体" w:hAnsi="宋体" w:cs="宋体"/>
          <w:color w:val="auto"/>
          <w:sz w:val="24"/>
          <w:szCs w:val="24"/>
        </w:rPr>
        <w:t>（格式自拟）</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br w:type="page"/>
      </w:r>
    </w:p>
    <w:p>
      <w:pPr>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（二）采购项目技术需求差异表</w:t>
      </w:r>
    </w:p>
    <w:p>
      <w:pPr>
        <w:spacing w:line="360" w:lineRule="auto"/>
        <w:jc w:val="center"/>
        <w:rPr>
          <w:rFonts w:ascii="宋体" w:hAnsi="宋体" w:cs="宋体"/>
          <w:color w:val="auto"/>
          <w:sz w:val="24"/>
          <w:szCs w:val="18"/>
        </w:rPr>
      </w:pPr>
      <w:r>
        <w:rPr>
          <w:rFonts w:hint="eastAsia" w:ascii="宋体" w:hAnsi="宋体" w:cs="宋体"/>
          <w:color w:val="auto"/>
          <w:sz w:val="24"/>
          <w:szCs w:val="18"/>
        </w:rPr>
        <w:t>项目技术需求差异表</w:t>
      </w:r>
    </w:p>
    <w:p>
      <w:pPr>
        <w:spacing w:line="360" w:lineRule="auto"/>
        <w:rPr>
          <w:rFonts w:ascii="宋体" w:hAnsi="宋体" w:cs="宋体"/>
          <w:color w:val="auto"/>
          <w:sz w:val="24"/>
          <w:szCs w:val="18"/>
        </w:rPr>
      </w:pPr>
      <w:r>
        <w:rPr>
          <w:rFonts w:hint="eastAsia" w:ascii="宋体" w:hAnsi="宋体" w:cs="宋体"/>
          <w:color w:val="auto"/>
          <w:sz w:val="24"/>
          <w:szCs w:val="18"/>
        </w:rPr>
        <w:t>项目编号：</w:t>
      </w:r>
    </w:p>
    <w:p>
      <w:pPr>
        <w:spacing w:line="360" w:lineRule="auto"/>
        <w:rPr>
          <w:rFonts w:ascii="宋体" w:hAnsi="宋体" w:cs="宋体"/>
          <w:color w:val="auto"/>
          <w:sz w:val="24"/>
          <w:szCs w:val="18"/>
        </w:rPr>
      </w:pPr>
      <w:r>
        <w:rPr>
          <w:rFonts w:hint="eastAsia" w:ascii="宋体" w:hAnsi="宋体" w:cs="宋体"/>
          <w:color w:val="auto"/>
          <w:sz w:val="24"/>
          <w:szCs w:val="18"/>
        </w:rPr>
        <w:t>采购项目名称：</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950"/>
        <w:gridCol w:w="3061"/>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1"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序号</w:t>
            </w:r>
          </w:p>
        </w:tc>
        <w:tc>
          <w:tcPr>
            <w:tcW w:w="2950"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采购需求</w:t>
            </w:r>
          </w:p>
        </w:tc>
        <w:tc>
          <w:tcPr>
            <w:tcW w:w="3061"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响应情况</w:t>
            </w:r>
          </w:p>
        </w:tc>
        <w:tc>
          <w:tcPr>
            <w:tcW w:w="2293" w:type="dxa"/>
            <w:vAlign w:val="center"/>
          </w:tcPr>
          <w:p>
            <w:pPr>
              <w:spacing w:line="360" w:lineRule="auto"/>
              <w:rPr>
                <w:rFonts w:ascii="宋体" w:hAnsi="宋体" w:cs="宋体"/>
                <w:color w:val="auto"/>
                <w:sz w:val="24"/>
                <w:szCs w:val="24"/>
              </w:rPr>
            </w:pPr>
            <w:r>
              <w:rPr>
                <w:rFonts w:hint="eastAsia" w:ascii="宋体" w:hAnsi="宋体" w:cs="宋体"/>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color w:val="auto"/>
                <w:sz w:val="24"/>
                <w:szCs w:val="24"/>
              </w:rPr>
            </w:pPr>
          </w:p>
        </w:tc>
        <w:tc>
          <w:tcPr>
            <w:tcW w:w="2950" w:type="dxa"/>
            <w:vAlign w:val="center"/>
          </w:tcPr>
          <w:p>
            <w:pPr>
              <w:spacing w:line="360" w:lineRule="auto"/>
              <w:rPr>
                <w:rFonts w:ascii="宋体" w:hAnsi="宋体" w:cs="宋体"/>
                <w:color w:val="auto"/>
                <w:sz w:val="24"/>
                <w:szCs w:val="24"/>
              </w:rPr>
            </w:pPr>
          </w:p>
        </w:tc>
        <w:tc>
          <w:tcPr>
            <w:tcW w:w="3061" w:type="dxa"/>
            <w:vAlign w:val="center"/>
          </w:tcPr>
          <w:p>
            <w:pPr>
              <w:spacing w:line="360" w:lineRule="auto"/>
              <w:rPr>
                <w:rFonts w:ascii="宋体" w:hAnsi="宋体" w:cs="宋体"/>
                <w:color w:val="auto"/>
                <w:sz w:val="24"/>
                <w:szCs w:val="24"/>
              </w:rPr>
            </w:pPr>
          </w:p>
        </w:tc>
        <w:tc>
          <w:tcPr>
            <w:tcW w:w="2293"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color w:val="auto"/>
                <w:sz w:val="24"/>
                <w:szCs w:val="24"/>
              </w:rPr>
            </w:pPr>
          </w:p>
        </w:tc>
        <w:tc>
          <w:tcPr>
            <w:tcW w:w="2950" w:type="dxa"/>
            <w:vAlign w:val="center"/>
          </w:tcPr>
          <w:p>
            <w:pPr>
              <w:spacing w:line="360" w:lineRule="auto"/>
              <w:rPr>
                <w:rFonts w:ascii="宋体" w:hAnsi="宋体" w:cs="宋体"/>
                <w:color w:val="auto"/>
                <w:sz w:val="24"/>
                <w:szCs w:val="24"/>
              </w:rPr>
            </w:pPr>
          </w:p>
        </w:tc>
        <w:tc>
          <w:tcPr>
            <w:tcW w:w="3061" w:type="dxa"/>
            <w:vAlign w:val="center"/>
          </w:tcPr>
          <w:p>
            <w:pPr>
              <w:spacing w:line="360" w:lineRule="auto"/>
              <w:rPr>
                <w:rFonts w:ascii="宋体" w:hAnsi="宋体" w:cs="宋体"/>
                <w:color w:val="auto"/>
                <w:sz w:val="24"/>
                <w:szCs w:val="24"/>
              </w:rPr>
            </w:pPr>
          </w:p>
        </w:tc>
        <w:tc>
          <w:tcPr>
            <w:tcW w:w="2293"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color w:val="auto"/>
                <w:sz w:val="24"/>
                <w:szCs w:val="24"/>
              </w:rPr>
            </w:pPr>
          </w:p>
        </w:tc>
        <w:tc>
          <w:tcPr>
            <w:tcW w:w="2950" w:type="dxa"/>
            <w:vAlign w:val="center"/>
          </w:tcPr>
          <w:p>
            <w:pPr>
              <w:spacing w:line="360" w:lineRule="auto"/>
              <w:rPr>
                <w:rFonts w:ascii="宋体" w:hAnsi="宋体" w:cs="宋体"/>
                <w:color w:val="auto"/>
                <w:sz w:val="24"/>
                <w:szCs w:val="24"/>
              </w:rPr>
            </w:pPr>
          </w:p>
        </w:tc>
        <w:tc>
          <w:tcPr>
            <w:tcW w:w="3061" w:type="dxa"/>
            <w:vAlign w:val="center"/>
          </w:tcPr>
          <w:p>
            <w:pPr>
              <w:spacing w:line="360" w:lineRule="auto"/>
              <w:rPr>
                <w:rFonts w:ascii="宋体" w:hAnsi="宋体" w:cs="宋体"/>
                <w:color w:val="auto"/>
                <w:sz w:val="24"/>
                <w:szCs w:val="24"/>
              </w:rPr>
            </w:pPr>
          </w:p>
        </w:tc>
        <w:tc>
          <w:tcPr>
            <w:tcW w:w="2293"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color w:val="auto"/>
                <w:sz w:val="24"/>
                <w:szCs w:val="24"/>
              </w:rPr>
            </w:pPr>
          </w:p>
        </w:tc>
        <w:tc>
          <w:tcPr>
            <w:tcW w:w="2950" w:type="dxa"/>
            <w:vAlign w:val="center"/>
          </w:tcPr>
          <w:p>
            <w:pPr>
              <w:spacing w:line="360" w:lineRule="auto"/>
              <w:rPr>
                <w:rFonts w:ascii="宋体" w:hAnsi="宋体" w:cs="宋体"/>
                <w:color w:val="auto"/>
                <w:sz w:val="24"/>
                <w:szCs w:val="24"/>
              </w:rPr>
            </w:pPr>
          </w:p>
        </w:tc>
        <w:tc>
          <w:tcPr>
            <w:tcW w:w="3061" w:type="dxa"/>
            <w:vAlign w:val="center"/>
          </w:tcPr>
          <w:p>
            <w:pPr>
              <w:spacing w:line="360" w:lineRule="auto"/>
              <w:rPr>
                <w:rFonts w:ascii="宋体" w:hAnsi="宋体" w:cs="宋体"/>
                <w:color w:val="auto"/>
                <w:sz w:val="24"/>
                <w:szCs w:val="24"/>
              </w:rPr>
            </w:pPr>
          </w:p>
        </w:tc>
        <w:tc>
          <w:tcPr>
            <w:tcW w:w="2293"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color w:val="auto"/>
                <w:sz w:val="24"/>
                <w:szCs w:val="24"/>
              </w:rPr>
            </w:pPr>
          </w:p>
        </w:tc>
        <w:tc>
          <w:tcPr>
            <w:tcW w:w="2950" w:type="dxa"/>
            <w:vAlign w:val="center"/>
          </w:tcPr>
          <w:p>
            <w:pPr>
              <w:spacing w:line="360" w:lineRule="auto"/>
              <w:rPr>
                <w:rFonts w:ascii="宋体" w:hAnsi="宋体" w:cs="宋体"/>
                <w:color w:val="auto"/>
                <w:sz w:val="24"/>
                <w:szCs w:val="24"/>
              </w:rPr>
            </w:pPr>
          </w:p>
        </w:tc>
        <w:tc>
          <w:tcPr>
            <w:tcW w:w="3061" w:type="dxa"/>
            <w:vAlign w:val="center"/>
          </w:tcPr>
          <w:p>
            <w:pPr>
              <w:spacing w:line="360" w:lineRule="auto"/>
              <w:rPr>
                <w:rFonts w:ascii="宋体" w:hAnsi="宋体" w:cs="宋体"/>
                <w:color w:val="auto"/>
                <w:sz w:val="24"/>
                <w:szCs w:val="24"/>
              </w:rPr>
            </w:pPr>
          </w:p>
        </w:tc>
        <w:tc>
          <w:tcPr>
            <w:tcW w:w="2293"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color w:val="auto"/>
                <w:sz w:val="24"/>
                <w:szCs w:val="24"/>
              </w:rPr>
            </w:pPr>
          </w:p>
        </w:tc>
        <w:tc>
          <w:tcPr>
            <w:tcW w:w="2950" w:type="dxa"/>
            <w:vAlign w:val="center"/>
          </w:tcPr>
          <w:p>
            <w:pPr>
              <w:spacing w:line="360" w:lineRule="auto"/>
              <w:rPr>
                <w:rFonts w:ascii="宋体" w:hAnsi="宋体" w:cs="宋体"/>
                <w:color w:val="auto"/>
                <w:sz w:val="24"/>
                <w:szCs w:val="24"/>
              </w:rPr>
            </w:pPr>
          </w:p>
        </w:tc>
        <w:tc>
          <w:tcPr>
            <w:tcW w:w="3061" w:type="dxa"/>
            <w:vAlign w:val="center"/>
          </w:tcPr>
          <w:p>
            <w:pPr>
              <w:spacing w:line="360" w:lineRule="auto"/>
              <w:rPr>
                <w:rFonts w:ascii="宋体" w:hAnsi="宋体" w:cs="宋体"/>
                <w:color w:val="auto"/>
                <w:sz w:val="24"/>
                <w:szCs w:val="24"/>
              </w:rPr>
            </w:pPr>
          </w:p>
        </w:tc>
        <w:tc>
          <w:tcPr>
            <w:tcW w:w="2293"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color w:val="auto"/>
                <w:sz w:val="24"/>
                <w:szCs w:val="24"/>
              </w:rPr>
            </w:pPr>
          </w:p>
        </w:tc>
        <w:tc>
          <w:tcPr>
            <w:tcW w:w="2950" w:type="dxa"/>
            <w:vAlign w:val="center"/>
          </w:tcPr>
          <w:p>
            <w:pPr>
              <w:spacing w:line="360" w:lineRule="auto"/>
              <w:rPr>
                <w:rFonts w:ascii="宋体" w:hAnsi="宋体" w:cs="宋体"/>
                <w:color w:val="auto"/>
                <w:sz w:val="24"/>
                <w:szCs w:val="24"/>
              </w:rPr>
            </w:pPr>
          </w:p>
        </w:tc>
        <w:tc>
          <w:tcPr>
            <w:tcW w:w="3061" w:type="dxa"/>
            <w:vAlign w:val="center"/>
          </w:tcPr>
          <w:p>
            <w:pPr>
              <w:spacing w:line="360" w:lineRule="auto"/>
              <w:rPr>
                <w:rFonts w:ascii="宋体" w:hAnsi="宋体" w:cs="宋体"/>
                <w:color w:val="auto"/>
                <w:sz w:val="24"/>
                <w:szCs w:val="24"/>
              </w:rPr>
            </w:pPr>
          </w:p>
        </w:tc>
        <w:tc>
          <w:tcPr>
            <w:tcW w:w="2293"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color w:val="auto"/>
                <w:sz w:val="24"/>
                <w:szCs w:val="24"/>
              </w:rPr>
            </w:pPr>
          </w:p>
        </w:tc>
        <w:tc>
          <w:tcPr>
            <w:tcW w:w="2950" w:type="dxa"/>
            <w:vAlign w:val="center"/>
          </w:tcPr>
          <w:p>
            <w:pPr>
              <w:spacing w:line="360" w:lineRule="auto"/>
              <w:rPr>
                <w:rFonts w:ascii="宋体" w:hAnsi="宋体" w:cs="宋体"/>
                <w:color w:val="auto"/>
                <w:sz w:val="24"/>
                <w:szCs w:val="24"/>
              </w:rPr>
            </w:pPr>
          </w:p>
        </w:tc>
        <w:tc>
          <w:tcPr>
            <w:tcW w:w="3061" w:type="dxa"/>
            <w:vAlign w:val="center"/>
          </w:tcPr>
          <w:p>
            <w:pPr>
              <w:spacing w:line="360" w:lineRule="auto"/>
              <w:rPr>
                <w:rFonts w:ascii="宋体" w:hAnsi="宋体" w:cs="宋体"/>
                <w:color w:val="auto"/>
                <w:sz w:val="24"/>
                <w:szCs w:val="24"/>
              </w:rPr>
            </w:pPr>
          </w:p>
        </w:tc>
        <w:tc>
          <w:tcPr>
            <w:tcW w:w="2293"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color w:val="auto"/>
                <w:sz w:val="24"/>
                <w:szCs w:val="24"/>
              </w:rPr>
            </w:pPr>
          </w:p>
        </w:tc>
        <w:tc>
          <w:tcPr>
            <w:tcW w:w="2950" w:type="dxa"/>
            <w:vAlign w:val="center"/>
          </w:tcPr>
          <w:p>
            <w:pPr>
              <w:spacing w:line="360" w:lineRule="auto"/>
              <w:rPr>
                <w:rFonts w:ascii="宋体" w:hAnsi="宋体" w:cs="宋体"/>
                <w:color w:val="auto"/>
                <w:sz w:val="24"/>
                <w:szCs w:val="24"/>
              </w:rPr>
            </w:pPr>
          </w:p>
        </w:tc>
        <w:tc>
          <w:tcPr>
            <w:tcW w:w="3061" w:type="dxa"/>
            <w:vAlign w:val="center"/>
          </w:tcPr>
          <w:p>
            <w:pPr>
              <w:spacing w:line="360" w:lineRule="auto"/>
              <w:rPr>
                <w:rFonts w:ascii="宋体" w:hAnsi="宋体" w:cs="宋体"/>
                <w:color w:val="auto"/>
                <w:sz w:val="24"/>
                <w:szCs w:val="24"/>
              </w:rPr>
            </w:pPr>
          </w:p>
        </w:tc>
        <w:tc>
          <w:tcPr>
            <w:tcW w:w="2293"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41" w:type="dxa"/>
            <w:vAlign w:val="center"/>
          </w:tcPr>
          <w:p>
            <w:pPr>
              <w:spacing w:line="360" w:lineRule="auto"/>
              <w:rPr>
                <w:rFonts w:ascii="宋体" w:hAnsi="宋体" w:cs="宋体"/>
                <w:color w:val="auto"/>
                <w:sz w:val="24"/>
                <w:szCs w:val="24"/>
              </w:rPr>
            </w:pPr>
          </w:p>
        </w:tc>
        <w:tc>
          <w:tcPr>
            <w:tcW w:w="2950" w:type="dxa"/>
            <w:vAlign w:val="center"/>
          </w:tcPr>
          <w:p>
            <w:pPr>
              <w:spacing w:line="360" w:lineRule="auto"/>
              <w:rPr>
                <w:rFonts w:ascii="宋体" w:hAnsi="宋体" w:cs="宋体"/>
                <w:color w:val="auto"/>
                <w:sz w:val="24"/>
                <w:szCs w:val="24"/>
              </w:rPr>
            </w:pPr>
          </w:p>
        </w:tc>
        <w:tc>
          <w:tcPr>
            <w:tcW w:w="3061" w:type="dxa"/>
            <w:vAlign w:val="center"/>
          </w:tcPr>
          <w:p>
            <w:pPr>
              <w:spacing w:line="360" w:lineRule="auto"/>
              <w:rPr>
                <w:rFonts w:ascii="宋体" w:hAnsi="宋体" w:cs="宋体"/>
                <w:color w:val="auto"/>
                <w:sz w:val="24"/>
                <w:szCs w:val="24"/>
              </w:rPr>
            </w:pPr>
          </w:p>
        </w:tc>
        <w:tc>
          <w:tcPr>
            <w:tcW w:w="2293" w:type="dxa"/>
            <w:vAlign w:val="center"/>
          </w:tcPr>
          <w:p>
            <w:pPr>
              <w:spacing w:line="360" w:lineRule="auto"/>
              <w:rPr>
                <w:rFonts w:ascii="宋体" w:hAnsi="宋体" w:cs="宋体"/>
                <w:color w:val="auto"/>
                <w:sz w:val="24"/>
                <w:szCs w:val="24"/>
              </w:rPr>
            </w:pPr>
          </w:p>
        </w:tc>
      </w:tr>
    </w:tbl>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                      法定代表人（或法定代表人授权代表）：</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（供应商公章）                               （签署或盖章）</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年     月     日</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注：</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1.本表即为对本项目“第二篇项目技术需求”中所列服务要求进行比较和响应；</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2.该表必须按照采购文件要求逐条如实填写。</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3.该表可扩展，并逐页签字或盖章；</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4.可附相关技术支撑材料（格式自定）。</w:t>
      </w:r>
    </w:p>
    <w:p>
      <w:pPr>
        <w:spacing w:line="360" w:lineRule="auto"/>
        <w:jc w:val="center"/>
        <w:rPr>
          <w:rFonts w:ascii="宋体" w:hAnsi="宋体" w:cs="宋体"/>
          <w:color w:val="auto"/>
          <w:sz w:val="24"/>
          <w:szCs w:val="24"/>
        </w:rPr>
      </w:pPr>
    </w:p>
    <w:p>
      <w:pPr>
        <w:spacing w:line="360" w:lineRule="auto"/>
        <w:rPr>
          <w:rFonts w:ascii="宋体" w:hAnsi="宋体" w:cs="宋体"/>
          <w:color w:val="auto"/>
        </w:rPr>
      </w:pPr>
    </w:p>
    <w:p>
      <w:pPr>
        <w:pStyle w:val="12"/>
        <w:rPr>
          <w:color w:val="auto"/>
        </w:rPr>
      </w:pPr>
    </w:p>
    <w:p>
      <w:pPr>
        <w:spacing w:line="360" w:lineRule="auto"/>
        <w:rPr>
          <w:rFonts w:ascii="宋体" w:hAnsi="宋体" w:cs="宋体"/>
          <w:color w:val="auto"/>
        </w:rPr>
      </w:pPr>
    </w:p>
    <w:p>
      <w:pPr>
        <w:snapToGrid w:val="0"/>
        <w:spacing w:line="360" w:lineRule="auto"/>
        <w:ind w:firstLine="562" w:firstLineChars="200"/>
        <w:outlineLvl w:val="1"/>
        <w:rPr>
          <w:rFonts w:ascii="宋体" w:hAnsi="宋体" w:cs="宋体"/>
          <w:b/>
          <w:bCs/>
          <w:color w:val="auto"/>
          <w:szCs w:val="28"/>
        </w:rPr>
      </w:pPr>
      <w:bookmarkStart w:id="167" w:name="_Toc16749"/>
      <w:r>
        <w:rPr>
          <w:rFonts w:hint="eastAsia" w:ascii="宋体" w:hAnsi="宋体" w:cs="宋体"/>
          <w:b/>
          <w:bCs/>
          <w:color w:val="auto"/>
          <w:szCs w:val="28"/>
        </w:rPr>
        <w:t>三、商务部分</w:t>
      </w:r>
      <w:bookmarkEnd w:id="167"/>
    </w:p>
    <w:p>
      <w:pPr>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（一）采购项目商务要求差异表</w:t>
      </w:r>
    </w:p>
    <w:p>
      <w:pPr>
        <w:snapToGrid w:val="0"/>
        <w:spacing w:line="360" w:lineRule="auto"/>
        <w:ind w:firstLine="482" w:firstLineChars="200"/>
        <w:jc w:val="center"/>
        <w:rPr>
          <w:rFonts w:ascii="宋体" w:hAnsi="宋体" w:cs="宋体"/>
          <w:b/>
          <w:bCs/>
          <w:color w:val="auto"/>
          <w:sz w:val="24"/>
          <w:szCs w:val="28"/>
        </w:rPr>
      </w:pPr>
      <w:r>
        <w:rPr>
          <w:rFonts w:hint="eastAsia" w:ascii="宋体" w:hAnsi="宋体" w:cs="宋体"/>
          <w:b/>
          <w:bCs/>
          <w:color w:val="auto"/>
          <w:sz w:val="24"/>
          <w:szCs w:val="28"/>
        </w:rPr>
        <w:t>项目商务要求差异表</w:t>
      </w:r>
    </w:p>
    <w:p>
      <w:pPr>
        <w:spacing w:line="360" w:lineRule="auto"/>
        <w:rPr>
          <w:rFonts w:ascii="宋体" w:hAnsi="宋体" w:cs="宋体"/>
          <w:color w:val="auto"/>
          <w:sz w:val="24"/>
          <w:szCs w:val="18"/>
        </w:rPr>
      </w:pPr>
      <w:r>
        <w:rPr>
          <w:rFonts w:hint="eastAsia" w:ascii="宋体" w:hAnsi="宋体" w:cs="宋体"/>
          <w:color w:val="auto"/>
          <w:sz w:val="24"/>
          <w:szCs w:val="18"/>
        </w:rPr>
        <w:t xml:space="preserve">项目号：                                 </w:t>
      </w:r>
    </w:p>
    <w:p>
      <w:pPr>
        <w:spacing w:line="360" w:lineRule="auto"/>
        <w:rPr>
          <w:rFonts w:ascii="宋体" w:hAnsi="宋体" w:cs="宋体"/>
          <w:color w:val="auto"/>
          <w:sz w:val="24"/>
          <w:szCs w:val="18"/>
        </w:rPr>
      </w:pPr>
      <w:r>
        <w:rPr>
          <w:rFonts w:hint="eastAsia" w:ascii="宋体" w:hAnsi="宋体" w:cs="宋体"/>
          <w:color w:val="auto"/>
          <w:sz w:val="24"/>
          <w:szCs w:val="18"/>
        </w:rPr>
        <w:t xml:space="preserve">采购项目名称： </w:t>
      </w:r>
    </w:p>
    <w:tbl>
      <w:tblPr>
        <w:tblStyle w:val="26"/>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229"/>
        <w:gridCol w:w="2472"/>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39" w:type="dxa"/>
            <w:vAlign w:val="center"/>
          </w:tcPr>
          <w:p>
            <w:pPr>
              <w:spacing w:line="360" w:lineRule="auto"/>
              <w:rPr>
                <w:rFonts w:ascii="宋体" w:hAnsi="宋体" w:cs="宋体"/>
                <w:color w:val="auto"/>
                <w:sz w:val="24"/>
                <w:szCs w:val="18"/>
              </w:rPr>
            </w:pPr>
            <w:r>
              <w:rPr>
                <w:rFonts w:hint="eastAsia" w:ascii="宋体" w:hAnsi="宋体" w:cs="宋体"/>
                <w:color w:val="auto"/>
                <w:sz w:val="24"/>
                <w:szCs w:val="18"/>
              </w:rPr>
              <w:t>序号</w:t>
            </w:r>
          </w:p>
        </w:tc>
        <w:tc>
          <w:tcPr>
            <w:tcW w:w="3229" w:type="dxa"/>
            <w:vAlign w:val="center"/>
          </w:tcPr>
          <w:p>
            <w:pPr>
              <w:spacing w:line="360" w:lineRule="auto"/>
              <w:rPr>
                <w:rFonts w:ascii="宋体" w:hAnsi="宋体" w:cs="宋体"/>
                <w:color w:val="auto"/>
                <w:sz w:val="24"/>
                <w:szCs w:val="18"/>
              </w:rPr>
            </w:pPr>
            <w:r>
              <w:rPr>
                <w:rFonts w:hint="eastAsia" w:ascii="宋体" w:hAnsi="宋体" w:cs="宋体"/>
                <w:color w:val="auto"/>
                <w:sz w:val="24"/>
                <w:szCs w:val="18"/>
              </w:rPr>
              <w:t>项目要求</w:t>
            </w:r>
          </w:p>
        </w:tc>
        <w:tc>
          <w:tcPr>
            <w:tcW w:w="2472" w:type="dxa"/>
            <w:vAlign w:val="center"/>
          </w:tcPr>
          <w:p>
            <w:pPr>
              <w:spacing w:line="360" w:lineRule="auto"/>
              <w:rPr>
                <w:rFonts w:ascii="宋体" w:hAnsi="宋体" w:cs="宋体"/>
                <w:color w:val="auto"/>
                <w:sz w:val="24"/>
                <w:szCs w:val="18"/>
              </w:rPr>
            </w:pPr>
            <w:r>
              <w:rPr>
                <w:rFonts w:hint="eastAsia" w:ascii="宋体" w:hAnsi="宋体" w:cs="宋体"/>
                <w:color w:val="auto"/>
                <w:sz w:val="24"/>
                <w:szCs w:val="18"/>
              </w:rPr>
              <w:t>响应情况</w:t>
            </w:r>
          </w:p>
        </w:tc>
        <w:tc>
          <w:tcPr>
            <w:tcW w:w="2392" w:type="dxa"/>
            <w:vAlign w:val="center"/>
          </w:tcPr>
          <w:p>
            <w:pPr>
              <w:spacing w:line="360" w:lineRule="auto"/>
              <w:rPr>
                <w:rFonts w:ascii="宋体" w:hAnsi="宋体" w:cs="宋体"/>
                <w:color w:val="auto"/>
                <w:sz w:val="24"/>
                <w:szCs w:val="18"/>
              </w:rPr>
            </w:pPr>
            <w:r>
              <w:rPr>
                <w:rFonts w:hint="eastAsia" w:ascii="宋体" w:hAnsi="宋体" w:cs="宋体"/>
                <w:color w:val="auto"/>
                <w:sz w:val="24"/>
                <w:szCs w:val="1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9" w:type="dxa"/>
            <w:vAlign w:val="center"/>
          </w:tcPr>
          <w:p>
            <w:pPr>
              <w:spacing w:line="360" w:lineRule="auto"/>
              <w:rPr>
                <w:rFonts w:ascii="宋体" w:hAnsi="宋体" w:cs="宋体"/>
                <w:color w:val="auto"/>
                <w:sz w:val="24"/>
                <w:szCs w:val="18"/>
              </w:rPr>
            </w:pPr>
          </w:p>
        </w:tc>
        <w:tc>
          <w:tcPr>
            <w:tcW w:w="3229" w:type="dxa"/>
            <w:vAlign w:val="center"/>
          </w:tcPr>
          <w:p>
            <w:pPr>
              <w:spacing w:line="360" w:lineRule="auto"/>
              <w:rPr>
                <w:rFonts w:ascii="宋体" w:hAnsi="宋体" w:cs="宋体"/>
                <w:color w:val="auto"/>
                <w:sz w:val="24"/>
                <w:szCs w:val="18"/>
              </w:rPr>
            </w:pPr>
          </w:p>
        </w:tc>
        <w:tc>
          <w:tcPr>
            <w:tcW w:w="2472" w:type="dxa"/>
            <w:vAlign w:val="center"/>
          </w:tcPr>
          <w:p>
            <w:pPr>
              <w:spacing w:line="360" w:lineRule="auto"/>
              <w:rPr>
                <w:rFonts w:ascii="宋体" w:hAnsi="宋体" w:cs="宋体"/>
                <w:color w:val="auto"/>
                <w:sz w:val="24"/>
                <w:szCs w:val="18"/>
              </w:rPr>
            </w:pPr>
          </w:p>
        </w:tc>
        <w:tc>
          <w:tcPr>
            <w:tcW w:w="2392" w:type="dxa"/>
            <w:vAlign w:val="center"/>
          </w:tcPr>
          <w:p>
            <w:pPr>
              <w:spacing w:line="360" w:lineRule="auto"/>
              <w:rPr>
                <w:rFonts w:ascii="宋体" w:hAnsi="宋体" w:cs="宋体"/>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9" w:type="dxa"/>
            <w:vAlign w:val="center"/>
          </w:tcPr>
          <w:p>
            <w:pPr>
              <w:spacing w:line="360" w:lineRule="auto"/>
              <w:rPr>
                <w:rFonts w:ascii="宋体" w:hAnsi="宋体" w:cs="宋体"/>
                <w:color w:val="auto"/>
                <w:sz w:val="24"/>
                <w:szCs w:val="18"/>
              </w:rPr>
            </w:pPr>
          </w:p>
        </w:tc>
        <w:tc>
          <w:tcPr>
            <w:tcW w:w="3229" w:type="dxa"/>
            <w:vAlign w:val="center"/>
          </w:tcPr>
          <w:p>
            <w:pPr>
              <w:spacing w:line="360" w:lineRule="auto"/>
              <w:rPr>
                <w:rFonts w:ascii="宋体" w:hAnsi="宋体" w:cs="宋体"/>
                <w:color w:val="auto"/>
                <w:sz w:val="24"/>
                <w:szCs w:val="18"/>
              </w:rPr>
            </w:pPr>
          </w:p>
        </w:tc>
        <w:tc>
          <w:tcPr>
            <w:tcW w:w="2472" w:type="dxa"/>
            <w:vAlign w:val="center"/>
          </w:tcPr>
          <w:p>
            <w:pPr>
              <w:spacing w:line="360" w:lineRule="auto"/>
              <w:rPr>
                <w:rFonts w:ascii="宋体" w:hAnsi="宋体" w:cs="宋体"/>
                <w:color w:val="auto"/>
                <w:sz w:val="24"/>
                <w:szCs w:val="18"/>
              </w:rPr>
            </w:pPr>
          </w:p>
        </w:tc>
        <w:tc>
          <w:tcPr>
            <w:tcW w:w="2392" w:type="dxa"/>
            <w:vAlign w:val="center"/>
          </w:tcPr>
          <w:p>
            <w:pPr>
              <w:spacing w:line="360" w:lineRule="auto"/>
              <w:rPr>
                <w:rFonts w:ascii="宋体" w:hAnsi="宋体" w:cs="宋体"/>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9" w:type="dxa"/>
            <w:vAlign w:val="center"/>
          </w:tcPr>
          <w:p>
            <w:pPr>
              <w:spacing w:line="360" w:lineRule="auto"/>
              <w:rPr>
                <w:rFonts w:ascii="宋体" w:hAnsi="宋体" w:cs="宋体"/>
                <w:color w:val="auto"/>
                <w:sz w:val="24"/>
                <w:szCs w:val="18"/>
              </w:rPr>
            </w:pPr>
          </w:p>
        </w:tc>
        <w:tc>
          <w:tcPr>
            <w:tcW w:w="3229" w:type="dxa"/>
            <w:vAlign w:val="center"/>
          </w:tcPr>
          <w:p>
            <w:pPr>
              <w:spacing w:line="360" w:lineRule="auto"/>
              <w:rPr>
                <w:rFonts w:ascii="宋体" w:hAnsi="宋体" w:cs="宋体"/>
                <w:color w:val="auto"/>
                <w:sz w:val="24"/>
                <w:szCs w:val="18"/>
              </w:rPr>
            </w:pPr>
          </w:p>
        </w:tc>
        <w:tc>
          <w:tcPr>
            <w:tcW w:w="2472" w:type="dxa"/>
            <w:vAlign w:val="center"/>
          </w:tcPr>
          <w:p>
            <w:pPr>
              <w:spacing w:line="360" w:lineRule="auto"/>
              <w:rPr>
                <w:rFonts w:ascii="宋体" w:hAnsi="宋体" w:cs="宋体"/>
                <w:color w:val="auto"/>
                <w:sz w:val="24"/>
                <w:szCs w:val="18"/>
              </w:rPr>
            </w:pPr>
          </w:p>
        </w:tc>
        <w:tc>
          <w:tcPr>
            <w:tcW w:w="2392" w:type="dxa"/>
            <w:vAlign w:val="center"/>
          </w:tcPr>
          <w:p>
            <w:pPr>
              <w:spacing w:line="360" w:lineRule="auto"/>
              <w:rPr>
                <w:rFonts w:ascii="宋体" w:hAnsi="宋体" w:cs="宋体"/>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9" w:type="dxa"/>
            <w:vAlign w:val="center"/>
          </w:tcPr>
          <w:p>
            <w:pPr>
              <w:spacing w:line="360" w:lineRule="auto"/>
              <w:rPr>
                <w:rFonts w:ascii="宋体" w:hAnsi="宋体" w:cs="宋体"/>
                <w:color w:val="auto"/>
                <w:sz w:val="24"/>
                <w:szCs w:val="18"/>
              </w:rPr>
            </w:pPr>
          </w:p>
        </w:tc>
        <w:tc>
          <w:tcPr>
            <w:tcW w:w="3229" w:type="dxa"/>
            <w:vAlign w:val="center"/>
          </w:tcPr>
          <w:p>
            <w:pPr>
              <w:spacing w:line="360" w:lineRule="auto"/>
              <w:rPr>
                <w:rFonts w:ascii="宋体" w:hAnsi="宋体" w:cs="宋体"/>
                <w:color w:val="auto"/>
                <w:sz w:val="24"/>
                <w:szCs w:val="18"/>
              </w:rPr>
            </w:pPr>
          </w:p>
        </w:tc>
        <w:tc>
          <w:tcPr>
            <w:tcW w:w="2472" w:type="dxa"/>
            <w:vAlign w:val="center"/>
          </w:tcPr>
          <w:p>
            <w:pPr>
              <w:spacing w:line="360" w:lineRule="auto"/>
              <w:rPr>
                <w:rFonts w:ascii="宋体" w:hAnsi="宋体" w:cs="宋体"/>
                <w:color w:val="auto"/>
                <w:sz w:val="24"/>
                <w:szCs w:val="18"/>
              </w:rPr>
            </w:pPr>
          </w:p>
        </w:tc>
        <w:tc>
          <w:tcPr>
            <w:tcW w:w="2392" w:type="dxa"/>
            <w:vAlign w:val="center"/>
          </w:tcPr>
          <w:p>
            <w:pPr>
              <w:spacing w:line="360" w:lineRule="auto"/>
              <w:rPr>
                <w:rFonts w:ascii="宋体" w:hAnsi="宋体" w:cs="宋体"/>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9" w:type="dxa"/>
            <w:vAlign w:val="center"/>
          </w:tcPr>
          <w:p>
            <w:pPr>
              <w:spacing w:line="360" w:lineRule="auto"/>
              <w:rPr>
                <w:rFonts w:ascii="宋体" w:hAnsi="宋体" w:cs="宋体"/>
                <w:color w:val="auto"/>
                <w:sz w:val="24"/>
                <w:szCs w:val="18"/>
              </w:rPr>
            </w:pPr>
          </w:p>
        </w:tc>
        <w:tc>
          <w:tcPr>
            <w:tcW w:w="3229" w:type="dxa"/>
            <w:vAlign w:val="center"/>
          </w:tcPr>
          <w:p>
            <w:pPr>
              <w:spacing w:line="360" w:lineRule="auto"/>
              <w:rPr>
                <w:rFonts w:ascii="宋体" w:hAnsi="宋体" w:cs="宋体"/>
                <w:color w:val="auto"/>
                <w:sz w:val="24"/>
                <w:szCs w:val="18"/>
              </w:rPr>
            </w:pPr>
          </w:p>
        </w:tc>
        <w:tc>
          <w:tcPr>
            <w:tcW w:w="2472" w:type="dxa"/>
            <w:vAlign w:val="center"/>
          </w:tcPr>
          <w:p>
            <w:pPr>
              <w:spacing w:line="360" w:lineRule="auto"/>
              <w:rPr>
                <w:rFonts w:ascii="宋体" w:hAnsi="宋体" w:cs="宋体"/>
                <w:color w:val="auto"/>
                <w:sz w:val="24"/>
                <w:szCs w:val="18"/>
              </w:rPr>
            </w:pPr>
          </w:p>
        </w:tc>
        <w:tc>
          <w:tcPr>
            <w:tcW w:w="2392" w:type="dxa"/>
            <w:vAlign w:val="center"/>
          </w:tcPr>
          <w:p>
            <w:pPr>
              <w:spacing w:line="360" w:lineRule="auto"/>
              <w:rPr>
                <w:rFonts w:ascii="宋体" w:hAnsi="宋体" w:cs="宋体"/>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9" w:type="dxa"/>
            <w:vAlign w:val="center"/>
          </w:tcPr>
          <w:p>
            <w:pPr>
              <w:spacing w:line="360" w:lineRule="auto"/>
              <w:rPr>
                <w:rFonts w:ascii="宋体" w:hAnsi="宋体" w:cs="宋体"/>
                <w:color w:val="auto"/>
                <w:sz w:val="24"/>
                <w:szCs w:val="18"/>
              </w:rPr>
            </w:pPr>
          </w:p>
        </w:tc>
        <w:tc>
          <w:tcPr>
            <w:tcW w:w="3229" w:type="dxa"/>
            <w:vAlign w:val="center"/>
          </w:tcPr>
          <w:p>
            <w:pPr>
              <w:spacing w:line="360" w:lineRule="auto"/>
              <w:rPr>
                <w:rFonts w:ascii="宋体" w:hAnsi="宋体" w:cs="宋体"/>
                <w:color w:val="auto"/>
                <w:sz w:val="24"/>
                <w:szCs w:val="18"/>
              </w:rPr>
            </w:pPr>
          </w:p>
        </w:tc>
        <w:tc>
          <w:tcPr>
            <w:tcW w:w="2472" w:type="dxa"/>
            <w:vAlign w:val="center"/>
          </w:tcPr>
          <w:p>
            <w:pPr>
              <w:spacing w:line="360" w:lineRule="auto"/>
              <w:rPr>
                <w:rFonts w:ascii="宋体" w:hAnsi="宋体" w:cs="宋体"/>
                <w:color w:val="auto"/>
                <w:sz w:val="24"/>
                <w:szCs w:val="18"/>
              </w:rPr>
            </w:pPr>
          </w:p>
        </w:tc>
        <w:tc>
          <w:tcPr>
            <w:tcW w:w="2392" w:type="dxa"/>
            <w:vAlign w:val="center"/>
          </w:tcPr>
          <w:p>
            <w:pPr>
              <w:spacing w:line="360" w:lineRule="auto"/>
              <w:rPr>
                <w:rFonts w:ascii="宋体" w:hAnsi="宋体" w:cs="宋体"/>
                <w:color w:val="auto"/>
                <w:sz w:val="24"/>
                <w:szCs w:val="18"/>
              </w:rPr>
            </w:pPr>
          </w:p>
        </w:tc>
      </w:tr>
    </w:tbl>
    <w:p>
      <w:pPr>
        <w:snapToGrid w:val="0"/>
        <w:spacing w:line="360" w:lineRule="auto"/>
        <w:ind w:firstLine="465"/>
        <w:rPr>
          <w:rFonts w:ascii="宋体" w:hAnsi="宋体" w:cs="宋体"/>
          <w:color w:val="auto"/>
          <w:sz w:val="24"/>
          <w:szCs w:val="24"/>
        </w:rPr>
      </w:pP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                                    法定代表人授权代表：</w:t>
      </w:r>
    </w:p>
    <w:p>
      <w:pPr>
        <w:tabs>
          <w:tab w:val="left" w:pos="6300"/>
        </w:tabs>
        <w:snapToGrid w:val="0"/>
        <w:spacing w:line="360" w:lineRule="auto"/>
        <w:ind w:firstLine="480" w:firstLineChars="200"/>
        <w:rPr>
          <w:rFonts w:ascii="宋体" w:hAnsi="宋体" w:cs="宋体"/>
          <w:color w:val="auto"/>
          <w:sz w:val="24"/>
        </w:rPr>
      </w:pP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（供应商公章）                                 （签字或盖章）</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年     月     日</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注：</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1.本表即为对本项目“第三篇项目商务需求”中所列服务要求进行比较和响应；</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2.该表必须按照采购文件要求逐条如实填写。</w:t>
      </w:r>
    </w:p>
    <w:p>
      <w:pPr>
        <w:tabs>
          <w:tab w:val="left" w:pos="630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3.该表可扩展，并逐页签字或盖章。</w:t>
      </w:r>
    </w:p>
    <w:p>
      <w:pPr>
        <w:spacing w:line="360" w:lineRule="auto"/>
        <w:rPr>
          <w:rFonts w:ascii="宋体" w:hAnsi="宋体" w:cs="宋体"/>
          <w:color w:val="auto"/>
          <w:sz w:val="24"/>
          <w:szCs w:val="24"/>
        </w:rPr>
      </w:pPr>
      <w:r>
        <w:rPr>
          <w:rFonts w:hint="eastAsia" w:ascii="宋体" w:hAnsi="宋体" w:cs="宋体"/>
          <w:color w:val="auto"/>
          <w:sz w:val="24"/>
          <w:szCs w:val="24"/>
        </w:rPr>
        <w:br w:type="page"/>
      </w:r>
    </w:p>
    <w:p>
      <w:pPr>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（二）其他应提供资料</w:t>
      </w:r>
    </w:p>
    <w:p>
      <w:pPr>
        <w:tabs>
          <w:tab w:val="left" w:pos="5160"/>
          <w:tab w:val="left" w:pos="5940"/>
        </w:tabs>
        <w:autoSpaceDE w:val="0"/>
        <w:autoSpaceDN w:val="0"/>
        <w:adjustRightInd w:val="0"/>
        <w:snapToGrid w:val="0"/>
        <w:spacing w:line="360" w:lineRule="auto"/>
        <w:ind w:right="480" w:firstLine="708" w:firstLineChars="294"/>
        <w:rPr>
          <w:rFonts w:ascii="宋体" w:hAnsi="宋体" w:cs="宋体"/>
          <w:b/>
          <w:color w:val="auto"/>
          <w:kern w:val="0"/>
          <w:sz w:val="24"/>
          <w:szCs w:val="24"/>
          <w:u w:val="single"/>
        </w:rPr>
      </w:pPr>
    </w:p>
    <w:p>
      <w:pPr>
        <w:spacing w:line="360" w:lineRule="auto"/>
        <w:rPr>
          <w:rFonts w:ascii="宋体" w:hAnsi="宋体" w:cs="宋体"/>
          <w:color w:val="auto"/>
        </w:rPr>
      </w:pPr>
      <w:bookmarkStart w:id="168" w:name="_Toc277082657"/>
      <w:bookmarkStart w:id="169" w:name="_Toc224103511"/>
      <w:bookmarkStart w:id="170" w:name="_Toc287607883"/>
      <w:bookmarkStart w:id="171" w:name="_Toc498"/>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bookmarkEnd w:id="168"/>
    <w:bookmarkEnd w:id="169"/>
    <w:bookmarkEnd w:id="170"/>
    <w:bookmarkEnd w:id="171"/>
    <w:p>
      <w:pPr>
        <w:pStyle w:val="4"/>
        <w:snapToGrid w:val="0"/>
        <w:spacing w:before="120" w:beforeLines="50" w:line="360" w:lineRule="auto"/>
        <w:rPr>
          <w:rFonts w:ascii="宋体" w:hAnsi="宋体" w:cs="宋体"/>
          <w:snapToGrid w:val="0"/>
          <w:color w:val="auto"/>
          <w:sz w:val="31"/>
          <w:szCs w:val="31"/>
        </w:rPr>
        <w:sectPr>
          <w:pgSz w:w="11906" w:h="16838"/>
          <w:pgMar w:top="1134" w:right="1134" w:bottom="1134" w:left="1418" w:header="851" w:footer="850" w:gutter="0"/>
          <w:cols w:space="720" w:num="1"/>
          <w:titlePg/>
          <w:docGrid w:linePitch="312" w:charSpace="0"/>
        </w:sectPr>
      </w:pPr>
      <w:bookmarkStart w:id="172" w:name="_Toc297303196"/>
      <w:bookmarkStart w:id="173" w:name="_Toc325910675"/>
      <w:bookmarkStart w:id="174" w:name="_Toc330980530"/>
      <w:bookmarkStart w:id="175" w:name="_Toc322559743"/>
    </w:p>
    <w:p>
      <w:pPr>
        <w:snapToGrid w:val="0"/>
        <w:spacing w:line="360" w:lineRule="auto"/>
        <w:ind w:firstLine="562" w:firstLineChars="200"/>
        <w:outlineLvl w:val="1"/>
        <w:rPr>
          <w:rFonts w:ascii="宋体" w:hAnsi="宋体" w:cs="宋体"/>
          <w:b/>
          <w:bCs/>
          <w:color w:val="auto"/>
          <w:szCs w:val="28"/>
        </w:rPr>
      </w:pPr>
      <w:bookmarkStart w:id="176" w:name="_Toc6305"/>
      <w:r>
        <w:rPr>
          <w:rFonts w:hint="eastAsia" w:ascii="宋体" w:hAnsi="宋体" w:cs="宋体"/>
          <w:b/>
          <w:bCs/>
          <w:color w:val="auto"/>
          <w:szCs w:val="28"/>
        </w:rPr>
        <w:t>四、资格条件及相关资质及其他</w:t>
      </w:r>
      <w:bookmarkEnd w:id="176"/>
    </w:p>
    <w:bookmarkEnd w:id="172"/>
    <w:bookmarkEnd w:id="173"/>
    <w:bookmarkEnd w:id="174"/>
    <w:bookmarkEnd w:id="175"/>
    <w:p>
      <w:pPr>
        <w:spacing w:line="360" w:lineRule="auto"/>
        <w:ind w:firstLine="480" w:firstLineChars="200"/>
        <w:rPr>
          <w:rFonts w:ascii="宋体" w:hAnsi="宋体" w:cs="宋体"/>
          <w:color w:val="auto"/>
          <w:sz w:val="24"/>
          <w:szCs w:val="18"/>
        </w:rPr>
      </w:pPr>
      <w:r>
        <w:rPr>
          <w:rFonts w:hint="eastAsia" w:ascii="宋体" w:hAnsi="宋体" w:cs="宋体"/>
          <w:color w:val="auto"/>
          <w:sz w:val="24"/>
          <w:szCs w:val="18"/>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ascii="宋体" w:hAnsi="宋体" w:cs="宋体"/>
          <w:color w:val="auto"/>
          <w:sz w:val="24"/>
          <w:szCs w:val="24"/>
        </w:rPr>
      </w:pPr>
    </w:p>
    <w:p>
      <w:pPr>
        <w:snapToGrid w:val="0"/>
        <w:spacing w:line="360" w:lineRule="auto"/>
        <w:jc w:val="left"/>
        <w:rPr>
          <w:rFonts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 xml:space="preserve">     （二）法定代表人身份证明书（格式）</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jc w:val="center"/>
        <w:rPr>
          <w:rFonts w:ascii="宋体" w:hAnsi="宋体" w:cs="宋体"/>
          <w:color w:val="auto"/>
          <w:sz w:val="24"/>
          <w:szCs w:val="24"/>
        </w:rPr>
      </w:pPr>
      <w:r>
        <w:rPr>
          <w:rFonts w:hint="eastAsia" w:ascii="宋体" w:hAnsi="宋体" w:cs="宋体"/>
          <w:color w:val="auto"/>
          <w:sz w:val="36"/>
          <w:szCs w:val="36"/>
        </w:rPr>
        <w:t>法定代表人身份证明书</w:t>
      </w: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项目名称：</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u w:val="single"/>
        </w:rPr>
        <w:t>（法定代表人姓名）</w:t>
      </w:r>
      <w:r>
        <w:rPr>
          <w:rFonts w:hint="eastAsia" w:ascii="宋体" w:hAnsi="宋体" w:cs="宋体"/>
          <w:color w:val="auto"/>
          <w:sz w:val="24"/>
          <w:szCs w:val="24"/>
        </w:rPr>
        <w:t>在</w:t>
      </w:r>
      <w:r>
        <w:rPr>
          <w:rFonts w:hint="eastAsia" w:ascii="宋体" w:hAnsi="宋体" w:cs="宋体"/>
          <w:color w:val="auto"/>
          <w:sz w:val="24"/>
          <w:szCs w:val="24"/>
          <w:u w:val="single"/>
        </w:rPr>
        <w:t>（供应商名称）</w:t>
      </w:r>
      <w:r>
        <w:rPr>
          <w:rFonts w:hint="eastAsia" w:ascii="宋体" w:hAnsi="宋体" w:cs="宋体"/>
          <w:color w:val="auto"/>
          <w:sz w:val="24"/>
          <w:szCs w:val="24"/>
        </w:rPr>
        <w:t>任</w:t>
      </w:r>
      <w:r>
        <w:rPr>
          <w:rFonts w:hint="eastAsia" w:ascii="宋体" w:hAnsi="宋体" w:cs="宋体"/>
          <w:color w:val="auto"/>
          <w:sz w:val="24"/>
          <w:szCs w:val="24"/>
          <w:u w:val="single"/>
        </w:rPr>
        <w:t>（职务名称）</w:t>
      </w:r>
      <w:r>
        <w:rPr>
          <w:rFonts w:hint="eastAsia" w:ascii="宋体" w:hAnsi="宋体" w:cs="宋体"/>
          <w:color w:val="auto"/>
          <w:sz w:val="24"/>
          <w:szCs w:val="24"/>
        </w:rPr>
        <w:t>职务，是</w:t>
      </w:r>
      <w:r>
        <w:rPr>
          <w:rFonts w:hint="eastAsia" w:ascii="宋体" w:hAnsi="宋体" w:cs="宋体"/>
          <w:color w:val="auto"/>
          <w:sz w:val="24"/>
          <w:szCs w:val="24"/>
          <w:u w:val="single"/>
        </w:rPr>
        <w:t>（供应商名称）</w:t>
      </w:r>
      <w:r>
        <w:rPr>
          <w:rFonts w:hint="eastAsia" w:ascii="宋体" w:hAnsi="宋体" w:cs="宋体"/>
          <w:color w:val="auto"/>
          <w:sz w:val="24"/>
          <w:szCs w:val="24"/>
        </w:rPr>
        <w:t>的法定代表人。</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特此证明。</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 xml:space="preserve">                                             （供应商公章）</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 xml:space="preserve">                                             年   月   日</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（附：法定代表人身份证正反面复印件）</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snapToGrid w:val="0"/>
        <w:spacing w:line="360" w:lineRule="auto"/>
        <w:jc w:val="left"/>
        <w:rPr>
          <w:rFonts w:ascii="宋体" w:hAnsi="宋体" w:cs="宋体"/>
          <w:color w:val="auto"/>
          <w:sz w:val="24"/>
          <w:szCs w:val="24"/>
        </w:rPr>
      </w:pPr>
      <w:r>
        <w:rPr>
          <w:rFonts w:hint="eastAsia" w:ascii="宋体" w:hAnsi="宋体" w:cs="宋体"/>
          <w:color w:val="auto"/>
          <w:sz w:val="24"/>
          <w:szCs w:val="24"/>
        </w:rPr>
        <w:br w:type="column"/>
      </w:r>
      <w:r>
        <w:rPr>
          <w:rFonts w:hint="eastAsia" w:ascii="宋体" w:hAnsi="宋体" w:cs="宋体"/>
          <w:color w:val="auto"/>
          <w:sz w:val="24"/>
          <w:szCs w:val="24"/>
        </w:rPr>
        <w:t>（三）法定代表人授权委托书（格式）</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jc w:val="center"/>
        <w:rPr>
          <w:rFonts w:ascii="宋体" w:hAnsi="宋体" w:cs="宋体"/>
          <w:color w:val="auto"/>
          <w:sz w:val="44"/>
          <w:szCs w:val="44"/>
        </w:rPr>
      </w:pPr>
      <w:r>
        <w:rPr>
          <w:rFonts w:hint="eastAsia" w:ascii="宋体" w:hAnsi="宋体" w:cs="宋体"/>
          <w:color w:val="auto"/>
          <w:sz w:val="44"/>
          <w:szCs w:val="44"/>
        </w:rPr>
        <w:t>法定代表人授权委托书</w:t>
      </w:r>
    </w:p>
    <w:p>
      <w:pPr>
        <w:tabs>
          <w:tab w:val="left" w:pos="6300"/>
        </w:tabs>
        <w:snapToGrid w:val="0"/>
        <w:spacing w:line="360" w:lineRule="auto"/>
        <w:ind w:firstLine="480" w:firstLineChars="200"/>
        <w:rPr>
          <w:rFonts w:ascii="宋体" w:hAnsi="宋体" w:cs="宋体"/>
          <w:color w:val="auto"/>
          <w:sz w:val="24"/>
          <w:szCs w:val="24"/>
        </w:rPr>
      </w:pP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项目名称：</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u w:val="single"/>
        </w:rPr>
        <w:t>（供应商法定代表人名称）</w:t>
      </w:r>
      <w:r>
        <w:rPr>
          <w:rFonts w:hint="eastAsia" w:ascii="宋体" w:hAnsi="宋体" w:cs="宋体"/>
          <w:color w:val="auto"/>
          <w:sz w:val="24"/>
          <w:szCs w:val="24"/>
        </w:rPr>
        <w:t>是</w:t>
      </w:r>
      <w:r>
        <w:rPr>
          <w:rFonts w:hint="eastAsia" w:ascii="宋体" w:hAnsi="宋体" w:cs="宋体"/>
          <w:color w:val="auto"/>
          <w:sz w:val="24"/>
          <w:szCs w:val="24"/>
          <w:u w:val="single"/>
        </w:rPr>
        <w:t>（供应商名称）</w:t>
      </w:r>
      <w:r>
        <w:rPr>
          <w:rFonts w:hint="eastAsia" w:ascii="宋体" w:hAnsi="宋体" w:cs="宋体"/>
          <w:color w:val="auto"/>
          <w:sz w:val="24"/>
          <w:szCs w:val="24"/>
        </w:rPr>
        <w:t>的法定代表人，特授权</w:t>
      </w:r>
      <w:r>
        <w:rPr>
          <w:rFonts w:hint="eastAsia" w:ascii="宋体" w:hAnsi="宋体" w:cs="宋体"/>
          <w:color w:val="auto"/>
          <w:sz w:val="24"/>
          <w:szCs w:val="24"/>
          <w:u w:val="single"/>
        </w:rPr>
        <w:t>（被授权人姓名及身份证代码）</w:t>
      </w:r>
      <w:r>
        <w:rPr>
          <w:rFonts w:hint="eastAsia" w:ascii="宋体" w:hAnsi="宋体" w:cs="宋体"/>
          <w:color w:val="auto"/>
          <w:sz w:val="24"/>
          <w:szCs w:val="24"/>
        </w:rPr>
        <w:t>代表我单位全权办理上述项目的采购、签约等具体工作，并签署全部有关文件、协议及合同。</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我单位对被授权人的签字负全部责任。</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在撤销授权的书面通知以前，本授权书一直有效。被授权人在授权书有效期内签署的所有文件不因授权的撤销而失效。</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被授权人：                                   供应商法定代表人：</w:t>
      </w: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（签字或盖章）                              （签字或盖章）</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r>
        <w:rPr>
          <w:rFonts w:hint="eastAsia" w:ascii="宋体" w:hAnsi="宋体" w:cs="宋体"/>
          <w:color w:val="auto"/>
          <w:sz w:val="24"/>
          <w:szCs w:val="24"/>
        </w:rPr>
        <w:t>（附：被授权人身份证正反面复印件）</w:t>
      </w: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right="480" w:firstLine="570"/>
        <w:jc w:val="right"/>
        <w:rPr>
          <w:rFonts w:ascii="宋体" w:hAnsi="宋体" w:cs="宋体"/>
          <w:color w:val="auto"/>
          <w:sz w:val="24"/>
          <w:szCs w:val="24"/>
        </w:rPr>
      </w:pPr>
      <w:r>
        <w:rPr>
          <w:rFonts w:hint="eastAsia" w:ascii="宋体" w:hAnsi="宋体" w:cs="宋体"/>
          <w:color w:val="auto"/>
          <w:sz w:val="24"/>
          <w:szCs w:val="24"/>
        </w:rPr>
        <w:t>（供应商公章）</w:t>
      </w:r>
    </w:p>
    <w:p>
      <w:pPr>
        <w:tabs>
          <w:tab w:val="left" w:pos="6300"/>
        </w:tabs>
        <w:snapToGrid w:val="0"/>
        <w:spacing w:line="360" w:lineRule="auto"/>
        <w:ind w:right="480" w:firstLine="570"/>
        <w:jc w:val="right"/>
        <w:rPr>
          <w:rFonts w:ascii="宋体" w:hAnsi="宋体" w:cs="宋体"/>
          <w:color w:val="auto"/>
          <w:sz w:val="24"/>
          <w:szCs w:val="24"/>
        </w:rPr>
      </w:pPr>
      <w:r>
        <w:rPr>
          <w:rFonts w:hint="eastAsia" w:ascii="宋体" w:hAnsi="宋体" w:cs="宋体"/>
          <w:color w:val="auto"/>
          <w:sz w:val="24"/>
          <w:szCs w:val="24"/>
        </w:rPr>
        <w:t>年   月   日</w:t>
      </w:r>
    </w:p>
    <w:p>
      <w:pPr>
        <w:pStyle w:val="12"/>
        <w:spacing w:line="360" w:lineRule="auto"/>
        <w:rPr>
          <w:rFonts w:ascii="宋体" w:hAnsi="宋体" w:eastAsia="宋体" w:cs="宋体"/>
          <w:color w:val="auto"/>
          <w:sz w:val="24"/>
          <w:szCs w:val="24"/>
        </w:rPr>
      </w:pPr>
    </w:p>
    <w:p>
      <w:pPr>
        <w:pStyle w:val="12"/>
        <w:spacing w:line="360" w:lineRule="auto"/>
        <w:rPr>
          <w:rFonts w:ascii="宋体" w:hAnsi="宋体" w:eastAsia="宋体" w:cs="宋体"/>
          <w:color w:val="auto"/>
          <w:sz w:val="24"/>
          <w:szCs w:val="24"/>
        </w:rPr>
      </w:pPr>
    </w:p>
    <w:p>
      <w:pPr>
        <w:pStyle w:val="12"/>
        <w:spacing w:line="360" w:lineRule="auto"/>
        <w:rPr>
          <w:rFonts w:ascii="宋体" w:hAnsi="宋体" w:eastAsia="宋体" w:cs="宋体"/>
          <w:color w:val="auto"/>
          <w:sz w:val="24"/>
          <w:szCs w:val="24"/>
        </w:rPr>
      </w:pPr>
    </w:p>
    <w:p>
      <w:pPr>
        <w:pStyle w:val="12"/>
        <w:spacing w:line="360" w:lineRule="auto"/>
        <w:rPr>
          <w:rFonts w:ascii="宋体" w:hAnsi="宋体" w:eastAsia="宋体" w:cs="宋体"/>
          <w:color w:val="auto"/>
          <w:sz w:val="24"/>
          <w:szCs w:val="24"/>
        </w:rPr>
      </w:pPr>
    </w:p>
    <w:p>
      <w:pPr>
        <w:pStyle w:val="12"/>
        <w:spacing w:line="360" w:lineRule="auto"/>
        <w:rPr>
          <w:rFonts w:ascii="宋体" w:hAnsi="宋体" w:eastAsia="宋体" w:cs="宋体"/>
          <w:color w:val="auto"/>
          <w:sz w:val="24"/>
          <w:szCs w:val="24"/>
        </w:rPr>
      </w:pPr>
    </w:p>
    <w:p>
      <w:pPr>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（四）基本资格条件承诺函（格式）</w:t>
      </w:r>
    </w:p>
    <w:p>
      <w:pPr>
        <w:spacing w:line="360" w:lineRule="auto"/>
        <w:jc w:val="center"/>
        <w:rPr>
          <w:rFonts w:ascii="宋体" w:hAnsi="宋体" w:cs="宋体"/>
          <w:b/>
          <w:bCs/>
          <w:color w:val="auto"/>
          <w:sz w:val="32"/>
          <w:szCs w:val="32"/>
          <w:lang w:val="zh-CN"/>
        </w:rPr>
      </w:pPr>
      <w:r>
        <w:rPr>
          <w:rFonts w:hint="eastAsia" w:ascii="宋体" w:hAnsi="宋体" w:cs="宋体"/>
          <w:b/>
          <w:bCs/>
          <w:color w:val="auto"/>
          <w:sz w:val="32"/>
          <w:szCs w:val="32"/>
          <w:lang w:val="zh-CN"/>
        </w:rPr>
        <w:t>基本资格条件承诺函</w:t>
      </w:r>
    </w:p>
    <w:p>
      <w:pPr>
        <w:tabs>
          <w:tab w:val="left" w:pos="6300"/>
        </w:tabs>
        <w:snapToGrid w:val="0"/>
        <w:spacing w:line="360" w:lineRule="auto"/>
        <w:rPr>
          <w:rFonts w:ascii="宋体" w:hAnsi="宋体" w:cs="宋体"/>
          <w:color w:val="auto"/>
          <w:sz w:val="24"/>
        </w:rPr>
      </w:pPr>
    </w:p>
    <w:p>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（采购代理机构名称）   </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（供应商名称）郑重承诺：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1.我方具有良好的商业信誉和健全的财务会计制度，具有履行合同所必需的设备和专业技术能力，具</w:t>
      </w:r>
      <w:r>
        <w:rPr>
          <w:rFonts w:hint="eastAsia" w:ascii="宋体" w:hAnsi="宋体" w:cs="宋体"/>
          <w:color w:val="auto"/>
          <w:sz w:val="24"/>
          <w:szCs w:val="24"/>
          <w:lang w:val="zh-CN"/>
        </w:rPr>
        <w:t>有依法缴纳税收和社会保障金的良好记录</w:t>
      </w:r>
      <w:r>
        <w:rPr>
          <w:rFonts w:hint="eastAsia" w:ascii="宋体" w:hAnsi="宋体" w:cs="宋体"/>
          <w:color w:val="auto"/>
          <w:sz w:val="24"/>
          <w:szCs w:val="24"/>
        </w:rPr>
        <w:t>，参加本项目采购活动前三年内无重大违法活动记录。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我方对以上承诺负全部法律责任。</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特此承诺。</w:t>
      </w:r>
    </w:p>
    <w:p>
      <w:pPr>
        <w:tabs>
          <w:tab w:val="left" w:pos="6300"/>
        </w:tabs>
        <w:snapToGrid w:val="0"/>
        <w:spacing w:line="360" w:lineRule="auto"/>
        <w:rPr>
          <w:rFonts w:ascii="宋体" w:hAnsi="宋体" w:cs="宋体"/>
          <w:color w:val="auto"/>
          <w:sz w:val="24"/>
          <w:szCs w:val="24"/>
        </w:rPr>
      </w:pPr>
    </w:p>
    <w:p>
      <w:pPr>
        <w:tabs>
          <w:tab w:val="left" w:pos="6300"/>
        </w:tabs>
        <w:snapToGrid w:val="0"/>
        <w:spacing w:line="360" w:lineRule="auto"/>
        <w:ind w:right="424" w:firstLine="570"/>
        <w:jc w:val="right"/>
        <w:rPr>
          <w:rFonts w:ascii="宋体" w:hAnsi="宋体" w:cs="宋体"/>
          <w:color w:val="auto"/>
          <w:sz w:val="24"/>
          <w:szCs w:val="24"/>
        </w:rPr>
      </w:pPr>
      <w:r>
        <w:rPr>
          <w:rFonts w:hint="eastAsia" w:ascii="宋体" w:hAnsi="宋体" w:cs="宋体"/>
          <w:color w:val="auto"/>
          <w:sz w:val="24"/>
          <w:szCs w:val="24"/>
        </w:rPr>
        <w:t>（供应商公章）</w:t>
      </w:r>
    </w:p>
    <w:p>
      <w:pPr>
        <w:snapToGrid w:val="0"/>
        <w:spacing w:line="360" w:lineRule="auto"/>
        <w:ind w:right="480" w:firstLine="570"/>
        <w:jc w:val="right"/>
        <w:rPr>
          <w:rFonts w:ascii="宋体" w:hAnsi="宋体" w:cs="宋体"/>
          <w:color w:val="auto"/>
          <w:sz w:val="24"/>
          <w:szCs w:val="24"/>
        </w:rPr>
      </w:pPr>
      <w:r>
        <w:rPr>
          <w:rFonts w:hint="eastAsia" w:ascii="宋体" w:hAnsi="宋体" w:cs="宋体"/>
          <w:color w:val="auto"/>
          <w:sz w:val="24"/>
          <w:szCs w:val="24"/>
        </w:rPr>
        <w:t>年   月   日</w:t>
      </w:r>
    </w:p>
    <w:p>
      <w:pPr>
        <w:snapToGrid w:val="0"/>
        <w:spacing w:line="360" w:lineRule="auto"/>
        <w:jc w:val="left"/>
        <w:rPr>
          <w:rFonts w:ascii="宋体" w:hAnsi="宋体" w:cs="宋体"/>
          <w:color w:val="auto"/>
          <w:sz w:val="24"/>
          <w:szCs w:val="24"/>
        </w:rPr>
      </w:pPr>
      <w:bookmarkStart w:id="177" w:name="_Toc486608281"/>
      <w:bookmarkStart w:id="178" w:name="_Toc11824"/>
      <w:bookmarkStart w:id="179" w:name="_Toc29032"/>
      <w:bookmarkStart w:id="180" w:name="_Toc486585244"/>
      <w:bookmarkStart w:id="181" w:name="_Toc487204801"/>
      <w:r>
        <w:rPr>
          <w:rFonts w:hint="eastAsia" w:ascii="宋体" w:hAnsi="宋体" w:cs="宋体"/>
          <w:color w:val="auto"/>
          <w:sz w:val="24"/>
          <w:szCs w:val="24"/>
        </w:rPr>
        <w:br w:type="page"/>
      </w:r>
      <w:r>
        <w:rPr>
          <w:rFonts w:hint="eastAsia" w:ascii="宋体" w:hAnsi="宋体" w:cs="宋体"/>
          <w:color w:val="auto"/>
          <w:sz w:val="24"/>
          <w:szCs w:val="24"/>
        </w:rPr>
        <w:t xml:space="preserve">    （五）特定资格条件证书或证明文件</w:t>
      </w:r>
    </w:p>
    <w:p>
      <w:pPr>
        <w:snapToGrid w:val="0"/>
        <w:spacing w:line="360" w:lineRule="auto"/>
        <w:ind w:firstLine="480" w:firstLineChars="200"/>
        <w:outlineLvl w:val="1"/>
        <w:rPr>
          <w:rFonts w:ascii="宋体" w:hAnsi="宋体" w:cs="宋体"/>
          <w:color w:val="auto"/>
          <w:sz w:val="24"/>
          <w:szCs w:val="24"/>
        </w:rPr>
      </w:pPr>
      <w:r>
        <w:rPr>
          <w:rFonts w:hint="eastAsia" w:ascii="宋体" w:hAnsi="宋体" w:cs="宋体"/>
          <w:color w:val="auto"/>
          <w:sz w:val="24"/>
          <w:szCs w:val="24"/>
        </w:rPr>
        <w:br w:type="page"/>
      </w:r>
      <w:bookmarkStart w:id="182" w:name="_Toc32765"/>
      <w:bookmarkStart w:id="183" w:name="_Toc27085"/>
      <w:r>
        <w:rPr>
          <w:rFonts w:hint="eastAsia" w:ascii="宋体" w:hAnsi="宋体" w:cs="宋体"/>
          <w:b/>
          <w:bCs/>
          <w:color w:val="auto"/>
          <w:szCs w:val="28"/>
        </w:rPr>
        <w:t>五、其他应提供的资料</w:t>
      </w:r>
      <w:bookmarkEnd w:id="177"/>
      <w:bookmarkEnd w:id="178"/>
      <w:bookmarkEnd w:id="179"/>
      <w:bookmarkEnd w:id="180"/>
      <w:bookmarkEnd w:id="181"/>
      <w:bookmarkEnd w:id="182"/>
      <w:bookmarkEnd w:id="183"/>
    </w:p>
    <w:p>
      <w:pPr>
        <w:spacing w:line="360" w:lineRule="auto"/>
        <w:ind w:firstLine="480" w:firstLineChars="200"/>
        <w:rPr>
          <w:rFonts w:ascii="宋体" w:hAnsi="宋体" w:cs="宋体"/>
          <w:color w:val="auto"/>
          <w:sz w:val="24"/>
          <w:szCs w:val="18"/>
        </w:rPr>
      </w:pPr>
      <w:r>
        <w:rPr>
          <w:rFonts w:hint="eastAsia" w:ascii="宋体" w:hAnsi="宋体" w:cs="宋体"/>
          <w:color w:val="auto"/>
          <w:sz w:val="24"/>
          <w:szCs w:val="18"/>
        </w:rPr>
        <w:t>（一）其他与项目有关的资料（自附）</w:t>
      </w: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pStyle w:val="12"/>
        <w:spacing w:line="360" w:lineRule="auto"/>
        <w:rPr>
          <w:rFonts w:ascii="宋体" w:hAnsi="宋体" w:eastAsia="宋体" w:cs="宋体"/>
          <w:color w:val="auto"/>
          <w:sz w:val="24"/>
          <w:szCs w:val="24"/>
        </w:rPr>
      </w:pPr>
    </w:p>
    <w:p>
      <w:pPr>
        <w:pStyle w:val="12"/>
        <w:spacing w:line="360" w:lineRule="auto"/>
        <w:rPr>
          <w:rFonts w:ascii="宋体" w:hAnsi="宋体" w:eastAsia="宋体" w:cs="宋体"/>
          <w:color w:val="auto"/>
          <w:sz w:val="24"/>
          <w:szCs w:val="24"/>
        </w:rPr>
      </w:pPr>
    </w:p>
    <w:p>
      <w:pPr>
        <w:spacing w:line="360" w:lineRule="auto"/>
        <w:rPr>
          <w:rFonts w:ascii="宋体" w:hAnsi="宋体" w:cs="宋体"/>
          <w:color w:val="auto"/>
          <w:sz w:val="24"/>
          <w:szCs w:val="24"/>
        </w:rPr>
      </w:pPr>
    </w:p>
    <w:p>
      <w:pPr>
        <w:pStyle w:val="12"/>
        <w:spacing w:line="360" w:lineRule="auto"/>
        <w:rPr>
          <w:rFonts w:ascii="宋体" w:hAnsi="宋体" w:eastAsia="宋体" w:cs="宋体"/>
          <w:color w:val="auto"/>
          <w:sz w:val="24"/>
          <w:szCs w:val="24"/>
        </w:rPr>
      </w:pPr>
    </w:p>
    <w:p>
      <w:pPr>
        <w:spacing w:line="360" w:lineRule="auto"/>
        <w:rPr>
          <w:rFonts w:ascii="宋体" w:hAnsi="宋体" w:cs="宋体"/>
          <w:color w:val="auto"/>
          <w:sz w:val="24"/>
          <w:szCs w:val="24"/>
        </w:rPr>
      </w:pPr>
    </w:p>
    <w:p>
      <w:pPr>
        <w:pStyle w:val="12"/>
        <w:spacing w:line="360" w:lineRule="auto"/>
        <w:rPr>
          <w:rFonts w:ascii="宋体" w:hAnsi="宋体" w:eastAsia="宋体" w:cs="宋体"/>
          <w:color w:val="auto"/>
          <w:sz w:val="24"/>
          <w:szCs w:val="24"/>
        </w:rPr>
      </w:pPr>
    </w:p>
    <w:p>
      <w:pPr>
        <w:spacing w:line="360" w:lineRule="auto"/>
        <w:rPr>
          <w:rFonts w:ascii="宋体" w:hAnsi="宋体" w:cs="宋体"/>
          <w:color w:val="auto"/>
          <w:sz w:val="24"/>
          <w:szCs w:val="24"/>
        </w:rPr>
      </w:pPr>
    </w:p>
    <w:p>
      <w:pPr>
        <w:pStyle w:val="12"/>
        <w:spacing w:line="360" w:lineRule="auto"/>
        <w:rPr>
          <w:rFonts w:ascii="宋体" w:hAnsi="宋体" w:eastAsia="宋体" w:cs="宋体"/>
          <w:color w:val="auto"/>
          <w:sz w:val="24"/>
          <w:szCs w:val="24"/>
        </w:rPr>
      </w:pPr>
    </w:p>
    <w:p>
      <w:pPr>
        <w:spacing w:line="360" w:lineRule="auto"/>
        <w:jc w:val="center"/>
        <w:rPr>
          <w:rFonts w:ascii="宋体" w:hAnsi="宋体" w:cs="宋体"/>
          <w:color w:val="auto"/>
        </w:rPr>
      </w:pPr>
      <w:r>
        <w:rPr>
          <w:rFonts w:hint="eastAsia" w:ascii="宋体" w:hAnsi="宋体" w:cs="宋体"/>
          <w:color w:val="auto"/>
        </w:rPr>
        <w:t>（结束）</w:t>
      </w:r>
    </w:p>
    <w:p>
      <w:pPr>
        <w:widowControl/>
        <w:spacing w:line="360" w:lineRule="auto"/>
        <w:jc w:val="center"/>
        <w:rPr>
          <w:rFonts w:ascii="宋体" w:hAnsi="宋体" w:cs="宋体"/>
          <w:color w:val="auto"/>
          <w:sz w:val="24"/>
          <w:szCs w:val="24"/>
        </w:rPr>
      </w:pPr>
    </w:p>
    <w:p>
      <w:pPr>
        <w:widowControl/>
        <w:spacing w:line="360" w:lineRule="auto"/>
        <w:jc w:val="center"/>
        <w:rPr>
          <w:rFonts w:ascii="宋体" w:hAnsi="宋体" w:cs="宋体"/>
          <w:color w:val="auto"/>
          <w:sz w:val="24"/>
          <w:szCs w:val="24"/>
        </w:rPr>
      </w:pPr>
    </w:p>
    <w:p>
      <w:pPr>
        <w:widowControl/>
        <w:spacing w:line="360" w:lineRule="auto"/>
        <w:jc w:val="center"/>
        <w:rPr>
          <w:rFonts w:ascii="宋体" w:hAnsi="宋体" w:cs="宋体"/>
          <w:color w:val="auto"/>
          <w:sz w:val="24"/>
          <w:szCs w:val="24"/>
        </w:rPr>
      </w:pPr>
    </w:p>
    <w:p>
      <w:pPr>
        <w:pStyle w:val="12"/>
        <w:spacing w:line="360" w:lineRule="auto"/>
        <w:rPr>
          <w:rFonts w:ascii="宋体" w:hAnsi="宋体" w:eastAsia="宋体" w:cs="宋体"/>
          <w:color w:val="auto"/>
        </w:rPr>
      </w:pPr>
    </w:p>
    <w:p>
      <w:pPr>
        <w:pStyle w:val="32"/>
        <w:spacing w:line="360" w:lineRule="auto"/>
        <w:rPr>
          <w:rFonts w:hAnsi="宋体" w:cs="宋体"/>
          <w:color w:val="auto"/>
        </w:rPr>
      </w:pPr>
    </w:p>
    <w:p>
      <w:pPr>
        <w:pStyle w:val="33"/>
        <w:ind w:firstLine="560"/>
        <w:rPr>
          <w:rFonts w:hAnsi="宋体" w:cs="宋体"/>
          <w:color w:val="auto"/>
        </w:rPr>
      </w:pPr>
    </w:p>
    <w:p>
      <w:pPr>
        <w:pStyle w:val="34"/>
        <w:rPr>
          <w:rFonts w:hAnsi="宋体" w:cs="宋体"/>
          <w:color w:val="auto"/>
        </w:rPr>
      </w:pPr>
    </w:p>
    <w:p>
      <w:pPr>
        <w:rPr>
          <w:rFonts w:hAnsi="宋体" w:cs="宋体"/>
          <w:color w:val="auto"/>
        </w:rPr>
      </w:pPr>
    </w:p>
    <w:p>
      <w:pPr>
        <w:pStyle w:val="12"/>
        <w:rPr>
          <w:rFonts w:hAnsi="宋体" w:cs="宋体"/>
          <w:color w:val="auto"/>
        </w:rPr>
      </w:pPr>
    </w:p>
    <w:p>
      <w:pPr>
        <w:rPr>
          <w:rFonts w:hAnsi="宋体" w:cs="宋体"/>
          <w:color w:val="auto"/>
        </w:rPr>
      </w:pPr>
    </w:p>
    <w:p>
      <w:pPr>
        <w:pStyle w:val="12"/>
        <w:rPr>
          <w:rFonts w:hAnsi="宋体" w:cs="宋体"/>
          <w:color w:val="auto"/>
        </w:rPr>
      </w:pPr>
    </w:p>
    <w:p>
      <w:pPr>
        <w:rPr>
          <w:rFonts w:hAnsi="宋体" w:cs="宋体"/>
          <w:color w:val="auto"/>
        </w:rPr>
      </w:pPr>
    </w:p>
    <w:p>
      <w:pPr>
        <w:pStyle w:val="23"/>
        <w:widowControl/>
        <w:spacing w:beforeAutospacing="0" w:afterAutospacing="0" w:line="360" w:lineRule="auto"/>
        <w:rPr>
          <w:rFonts w:ascii="宋体" w:hAnsi="宋体" w:cs="宋体"/>
          <w:color w:val="auto"/>
          <w:szCs w:val="24"/>
          <w:lang w:bidi="ar"/>
        </w:rPr>
      </w:pPr>
      <w:r>
        <w:rPr>
          <w:rFonts w:hint="eastAsia" w:ascii="宋体" w:hAnsi="宋体" w:cs="宋体"/>
          <w:color w:val="auto"/>
          <w:szCs w:val="24"/>
          <w:lang w:bidi="ar"/>
        </w:rPr>
        <w:t>附件：工程量清单、施工图纸随采购文件一并在</w:t>
      </w:r>
      <w:r>
        <w:rPr>
          <w:rFonts w:hint="eastAsia" w:ascii="宋体" w:hAnsi="宋体" w:cs="宋体"/>
          <w:color w:val="auto"/>
          <w:szCs w:val="24"/>
          <w:shd w:val="clear" w:color="auto" w:fill="FFFFFF"/>
          <w:lang w:bidi="ar"/>
        </w:rPr>
        <w:t>“行采家”平台（https://www.gec123.com）</w:t>
      </w:r>
      <w:r>
        <w:rPr>
          <w:rFonts w:hint="eastAsia" w:ascii="宋体" w:hAnsi="宋体" w:cs="宋体"/>
          <w:color w:val="auto"/>
          <w:szCs w:val="24"/>
          <w:lang w:bidi="ar"/>
        </w:rPr>
        <w:t>发布</w:t>
      </w:r>
    </w:p>
    <w:p>
      <w:pPr>
        <w:pStyle w:val="12"/>
        <w:spacing w:after="120" w:line="360" w:lineRule="auto"/>
        <w:ind w:right="-470" w:rightChars="-168"/>
        <w:jc w:val="left"/>
        <w:outlineLvl w:val="1"/>
        <w:rPr>
          <w:rFonts w:ascii="宋体" w:hAnsi="宋体" w:eastAsia="宋体" w:cs="宋体"/>
          <w:color w:val="auto"/>
          <w:kern w:val="0"/>
          <w:sz w:val="24"/>
          <w:szCs w:val="24"/>
          <w:lang w:bidi="ar"/>
        </w:rPr>
      </w:pPr>
      <w:bookmarkStart w:id="184" w:name="_Toc169269801"/>
      <w:bookmarkStart w:id="185" w:name="_Toc169271250"/>
      <w:bookmarkStart w:id="186" w:name="_Toc169271301"/>
      <w:bookmarkStart w:id="187" w:name="_Toc169271359"/>
      <w:r>
        <w:rPr>
          <w:rFonts w:hint="eastAsia" w:ascii="宋体" w:hAnsi="宋体" w:eastAsia="宋体" w:cs="宋体"/>
          <w:color w:val="auto"/>
          <w:kern w:val="0"/>
          <w:sz w:val="24"/>
          <w:szCs w:val="24"/>
          <w:lang w:bidi="ar"/>
        </w:rPr>
        <w:t> </w:t>
      </w:r>
      <w:bookmarkEnd w:id="184"/>
      <w:bookmarkEnd w:id="185"/>
      <w:bookmarkEnd w:id="186"/>
      <w:bookmarkEnd w:id="187"/>
    </w:p>
    <w:p>
      <w:pPr>
        <w:rPr>
          <w:rFonts w:ascii="宋体" w:hAnsi="宋体" w:cs="宋体"/>
          <w:color w:val="auto"/>
          <w:lang w:bidi="ar"/>
        </w:rPr>
      </w:pPr>
    </w:p>
    <w:p>
      <w:pPr>
        <w:pStyle w:val="23"/>
        <w:widowControl/>
        <w:spacing w:beforeAutospacing="0" w:afterAutospacing="0" w:line="360" w:lineRule="auto"/>
        <w:rPr>
          <w:rFonts w:ascii="宋体" w:hAnsi="宋体" w:cs="宋体"/>
          <w:color w:val="auto"/>
          <w:szCs w:val="24"/>
        </w:rPr>
      </w:pPr>
      <w:r>
        <w:rPr>
          <w:rFonts w:hint="eastAsia" w:ascii="宋体" w:hAnsi="宋体" w:cs="宋体"/>
          <w:color w:val="auto"/>
          <w:szCs w:val="24"/>
          <w:shd w:val="clear" w:color="auto" w:fill="FFFFFF"/>
        </w:rPr>
        <w:t> </w:t>
      </w:r>
    </w:p>
    <w:tbl>
      <w:tblPr>
        <w:tblStyle w:val="26"/>
        <w:tblpPr w:leftFromText="180" w:rightFromText="180" w:vertAnchor="text" w:horzAnchor="page" w:tblpX="1587" w:tblpY="-56"/>
        <w:tblOverlap w:val="never"/>
        <w:tblW w:w="9546" w:type="dxa"/>
        <w:tblInd w:w="0" w:type="dxa"/>
        <w:tblLayout w:type="autofit"/>
        <w:tblCellMar>
          <w:top w:w="0" w:type="dxa"/>
          <w:left w:w="108" w:type="dxa"/>
          <w:bottom w:w="0" w:type="dxa"/>
          <w:right w:w="108" w:type="dxa"/>
        </w:tblCellMar>
      </w:tblPr>
      <w:tblGrid>
        <w:gridCol w:w="1327"/>
        <w:gridCol w:w="1699"/>
        <w:gridCol w:w="1514"/>
        <w:gridCol w:w="894"/>
        <w:gridCol w:w="1179"/>
        <w:gridCol w:w="1407"/>
        <w:gridCol w:w="1526"/>
      </w:tblGrid>
      <w:tr>
        <w:tblPrEx>
          <w:tblCellMar>
            <w:top w:w="0" w:type="dxa"/>
            <w:left w:w="108" w:type="dxa"/>
            <w:bottom w:w="0" w:type="dxa"/>
            <w:right w:w="108" w:type="dxa"/>
          </w:tblCellMar>
        </w:tblPrEx>
        <w:trPr>
          <w:trHeight w:val="456" w:hRule="atLeast"/>
        </w:trPr>
        <w:tc>
          <w:tcPr>
            <w:tcW w:w="9546" w:type="dxa"/>
            <w:gridSpan w:val="7"/>
            <w:tcBorders>
              <w:top w:val="nil"/>
              <w:left w:val="nil"/>
              <w:bottom w:val="nil"/>
              <w:right w:val="nil"/>
            </w:tcBorders>
            <w:noWrap/>
            <w:vAlign w:val="center"/>
          </w:tcPr>
          <w:p>
            <w:pPr>
              <w:widowControl/>
              <w:spacing w:line="360" w:lineRule="auto"/>
              <w:jc w:val="center"/>
              <w:rPr>
                <w:rFonts w:ascii="宋体" w:hAnsi="宋体" w:cs="宋体"/>
                <w:b/>
                <w:bCs/>
                <w:color w:val="auto"/>
                <w:kern w:val="0"/>
                <w:sz w:val="40"/>
                <w:szCs w:val="40"/>
              </w:rPr>
            </w:pPr>
            <w:r>
              <w:rPr>
                <w:rFonts w:hint="eastAsia" w:ascii="宋体" w:hAnsi="宋体" w:cs="宋体"/>
                <w:b/>
                <w:bCs/>
                <w:color w:val="auto"/>
                <w:kern w:val="0"/>
                <w:sz w:val="40"/>
                <w:szCs w:val="40"/>
              </w:rPr>
              <w:t>投标保证金退还申请表</w:t>
            </w:r>
          </w:p>
        </w:tc>
      </w:tr>
      <w:tr>
        <w:tblPrEx>
          <w:tblCellMar>
            <w:top w:w="0" w:type="dxa"/>
            <w:left w:w="108" w:type="dxa"/>
            <w:bottom w:w="0" w:type="dxa"/>
            <w:right w:w="108" w:type="dxa"/>
          </w:tblCellMar>
        </w:tblPrEx>
        <w:trPr>
          <w:trHeight w:val="714" w:hRule="atLeast"/>
        </w:trPr>
        <w:tc>
          <w:tcPr>
            <w:tcW w:w="13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2"/>
                <w:szCs w:val="22"/>
              </w:rPr>
            </w:pPr>
            <w:r>
              <w:rPr>
                <w:rFonts w:hint="eastAsia" w:ascii="宋体" w:hAnsi="宋体" w:cs="宋体"/>
                <w:b/>
                <w:color w:val="auto"/>
                <w:kern w:val="0"/>
                <w:sz w:val="22"/>
                <w:szCs w:val="22"/>
              </w:rPr>
              <w:t>投标项目名称</w:t>
            </w:r>
          </w:p>
        </w:tc>
        <w:tc>
          <w:tcPr>
            <w:tcW w:w="8219" w:type="dxa"/>
            <w:gridSpan w:val="6"/>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2"/>
                <w:szCs w:val="22"/>
              </w:rPr>
            </w:pPr>
            <w:r>
              <w:rPr>
                <w:rFonts w:hint="eastAsia" w:ascii="宋体" w:hAnsi="宋体" w:cs="宋体"/>
                <w:b/>
                <w:color w:val="auto"/>
                <w:kern w:val="0"/>
                <w:sz w:val="22"/>
                <w:szCs w:val="22"/>
              </w:rPr>
              <w:t>　</w:t>
            </w:r>
          </w:p>
        </w:tc>
      </w:tr>
      <w:tr>
        <w:tblPrEx>
          <w:tblCellMar>
            <w:top w:w="0" w:type="dxa"/>
            <w:left w:w="108" w:type="dxa"/>
            <w:bottom w:w="0" w:type="dxa"/>
            <w:right w:w="108" w:type="dxa"/>
          </w:tblCellMar>
        </w:tblPrEx>
        <w:trPr>
          <w:trHeight w:val="714" w:hRule="atLeast"/>
        </w:trPr>
        <w:tc>
          <w:tcPr>
            <w:tcW w:w="1327" w:type="dxa"/>
            <w:vMerge w:val="restart"/>
            <w:tcBorders>
              <w:top w:val="nil"/>
              <w:left w:val="single" w:color="auto" w:sz="4" w:space="0"/>
              <w:bottom w:val="single" w:color="auto" w:sz="4" w:space="0"/>
              <w:right w:val="single" w:color="auto" w:sz="4" w:space="0"/>
            </w:tcBorders>
            <w:noWrap/>
            <w:textDirection w:val="tbRlV"/>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交款单位信息</w:t>
            </w:r>
          </w:p>
        </w:tc>
        <w:tc>
          <w:tcPr>
            <w:tcW w:w="169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名称</w:t>
            </w:r>
          </w:p>
        </w:tc>
        <w:tc>
          <w:tcPr>
            <w:tcW w:w="6520" w:type="dxa"/>
            <w:gridSpan w:val="5"/>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714" w:hRule="atLeast"/>
        </w:trPr>
        <w:tc>
          <w:tcPr>
            <w:tcW w:w="132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169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户名</w:t>
            </w:r>
          </w:p>
        </w:tc>
        <w:tc>
          <w:tcPr>
            <w:tcW w:w="6520" w:type="dxa"/>
            <w:gridSpan w:val="5"/>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714" w:hRule="atLeast"/>
        </w:trPr>
        <w:tc>
          <w:tcPr>
            <w:tcW w:w="132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169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账号</w:t>
            </w:r>
          </w:p>
        </w:tc>
        <w:tc>
          <w:tcPr>
            <w:tcW w:w="6520" w:type="dxa"/>
            <w:gridSpan w:val="5"/>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714" w:hRule="atLeast"/>
        </w:trPr>
        <w:tc>
          <w:tcPr>
            <w:tcW w:w="1327"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 w:val="22"/>
                <w:szCs w:val="22"/>
              </w:rPr>
            </w:pPr>
          </w:p>
        </w:tc>
        <w:tc>
          <w:tcPr>
            <w:tcW w:w="169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开户行</w:t>
            </w:r>
          </w:p>
        </w:tc>
        <w:tc>
          <w:tcPr>
            <w:tcW w:w="6520" w:type="dxa"/>
            <w:gridSpan w:val="5"/>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714" w:hRule="atLeast"/>
        </w:trPr>
        <w:tc>
          <w:tcPr>
            <w:tcW w:w="1327"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保证金缴纳信息</w:t>
            </w:r>
          </w:p>
        </w:tc>
        <w:tc>
          <w:tcPr>
            <w:tcW w:w="169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缴纳金额（元）</w:t>
            </w:r>
          </w:p>
        </w:tc>
        <w:tc>
          <w:tcPr>
            <w:tcW w:w="2408" w:type="dxa"/>
            <w:gridSpan w:val="2"/>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17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缴纳日期</w:t>
            </w:r>
          </w:p>
        </w:tc>
        <w:tc>
          <w:tcPr>
            <w:tcW w:w="2933" w:type="dxa"/>
            <w:gridSpan w:val="2"/>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714" w:hRule="atLeast"/>
        </w:trPr>
        <w:tc>
          <w:tcPr>
            <w:tcW w:w="1327"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退还理由    （在正确选项后打“√”）</w:t>
            </w:r>
          </w:p>
        </w:tc>
        <w:tc>
          <w:tcPr>
            <w:tcW w:w="169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未投标</w:t>
            </w:r>
          </w:p>
        </w:tc>
        <w:tc>
          <w:tcPr>
            <w:tcW w:w="151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89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未中标</w:t>
            </w:r>
          </w:p>
        </w:tc>
        <w:tc>
          <w:tcPr>
            <w:tcW w:w="1179"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407"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已缴纳履约</w:t>
            </w:r>
          </w:p>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保证金</w:t>
            </w:r>
          </w:p>
        </w:tc>
        <w:tc>
          <w:tcPr>
            <w:tcW w:w="152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971" w:hRule="atLeast"/>
        </w:trPr>
        <w:tc>
          <w:tcPr>
            <w:tcW w:w="1327"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经办人姓名</w:t>
            </w:r>
          </w:p>
        </w:tc>
        <w:tc>
          <w:tcPr>
            <w:tcW w:w="1699"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514"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联系方式</w:t>
            </w:r>
          </w:p>
        </w:tc>
        <w:tc>
          <w:tcPr>
            <w:tcW w:w="2073" w:type="dxa"/>
            <w:gridSpan w:val="2"/>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407"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auto"/>
                <w:kern w:val="0"/>
                <w:sz w:val="22"/>
                <w:szCs w:val="22"/>
              </w:rPr>
            </w:pPr>
            <w:r>
              <w:rPr>
                <w:rFonts w:hint="eastAsia" w:ascii="宋体" w:hAnsi="宋体" w:cs="宋体"/>
                <w:color w:val="auto"/>
                <w:kern w:val="0"/>
                <w:sz w:val="22"/>
                <w:szCs w:val="22"/>
              </w:rPr>
              <w:t>日期</w:t>
            </w:r>
          </w:p>
        </w:tc>
        <w:tc>
          <w:tcPr>
            <w:tcW w:w="1526"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12"/>
        <w:rPr>
          <w:color w:val="auto"/>
        </w:rPr>
      </w:pPr>
    </w:p>
    <w:sectPr>
      <w:footerReference r:id="rId9" w:type="default"/>
      <w:pgSz w:w="11906" w:h="16838"/>
      <w:pgMar w:top="1134"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F08936-5826-42B2-8594-BB38168BCE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A91CE204-7E44-4FEA-B258-7BCED8FDA0A5}"/>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1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wsGyIMQIAAFIEAAAOAAAAZHJzL2Uyb0RvYy54bWytVMFu2zAMvQ/Y&#10;Pwi6L06api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zGo8vL&#10;SQTJnu46H/CdAsOikXNPrUuKiv19wC61T4mlLKxqrVP7tGVNzq/G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MLBsiDECAABSBAAADgAAAAAAAAABACAAAAAg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sz w:val="21"/>
        <w:szCs w:val="21"/>
      </w:rPr>
    </w:pPr>
    <w:r>
      <w:rPr>
        <w:rFonts w:ascii="宋体" w:hAnsi="宋体"/>
        <w:sz w:val="21"/>
        <w:szCs w:val="21"/>
      </w:rPr>
      <w:fldChar w:fldCharType="begin"/>
    </w:r>
    <w:r>
      <w:rPr>
        <w:rStyle w:val="28"/>
        <w:rFonts w:ascii="宋体" w:hAnsi="宋体"/>
        <w:sz w:val="21"/>
        <w:szCs w:val="21"/>
      </w:rPr>
      <w:instrText xml:space="preserve"> PAGE </w:instrText>
    </w:r>
    <w:r>
      <w:rPr>
        <w:rFonts w:ascii="宋体" w:hAnsi="宋体"/>
        <w:sz w:val="21"/>
        <w:szCs w:val="21"/>
      </w:rPr>
      <w:fldChar w:fldCharType="separate"/>
    </w:r>
    <w:r>
      <w:rPr>
        <w:rStyle w:val="28"/>
        <w:rFonts w:ascii="宋体" w:hAnsi="宋体"/>
        <w:sz w:val="21"/>
        <w:szCs w:val="21"/>
      </w:rPr>
      <w:t>20</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727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w="9525">
                        <a:noFill/>
                      </a:ln>
                      <a:effectLst/>
                    </wps:spPr>
                    <wps:txbx>
                      <w:txbxContent>
                        <w:p>
                          <w:pPr>
                            <w:pStyle w:val="18"/>
                            <w:jc w:val="center"/>
                          </w:pPr>
                          <w:r>
                            <w:rPr>
                              <w:rFonts w:ascii="宋体" w:hAnsi="宋体" w:cs="宋体"/>
                              <w:sz w:val="21"/>
                              <w:szCs w:val="21"/>
                            </w:rPr>
                            <w:fldChar w:fldCharType="begin"/>
                          </w:r>
                          <w:r>
                            <w:rPr>
                              <w:rStyle w:val="28"/>
                              <w:rFonts w:ascii="宋体" w:hAnsi="宋体" w:cs="宋体"/>
                              <w:sz w:val="21"/>
                              <w:szCs w:val="21"/>
                            </w:rPr>
                            <w:instrText xml:space="preserve"> PAGE </w:instrText>
                          </w:r>
                          <w:r>
                            <w:rPr>
                              <w:rFonts w:ascii="宋体" w:hAnsi="宋体" w:cs="宋体"/>
                              <w:sz w:val="21"/>
                              <w:szCs w:val="21"/>
                            </w:rPr>
                            <w:fldChar w:fldCharType="separate"/>
                          </w:r>
                          <w:r>
                            <w:rPr>
                              <w:rStyle w:val="28"/>
                              <w:rFonts w:ascii="宋体" w:hAnsi="宋体" w:cs="宋体"/>
                              <w:sz w:val="21"/>
                              <w:szCs w:val="21"/>
                            </w:rPr>
                            <w:t>33</w:t>
                          </w:r>
                          <w:r>
                            <w:rPr>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5pt;mso-position-horizontal:center;mso-position-horizontal-relative:margin;mso-wrap-style:none;z-index:251661312;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Owoj/QAAAAAwEAAA8AAAAAAAAAAQAg&#10;AAAAIgAAAGRycy9kb3ducmV2LnhtbFBLAQIUABQAAAAIAIdO4kAn2i//3QEAAK4DAAAOAAAAAAAA&#10;AAEAIAAAAB8BAABkcnMvZTJvRG9jLnhtbFBLBQYAAAAABgAGAFkBAABuBQAAAAA=&#10;">
              <v:fill on="f" focussize="0,0"/>
              <v:stroke on="f"/>
              <v:imagedata o:title=""/>
              <o:lock v:ext="edit" aspectratio="f"/>
              <v:textbox inset="0mm,0mm,0mm,0mm" style="mso-fit-shape-to-text:t;">
                <w:txbxContent>
                  <w:p>
                    <w:pPr>
                      <w:pStyle w:val="18"/>
                      <w:jc w:val="center"/>
                    </w:pPr>
                    <w:r>
                      <w:rPr>
                        <w:rFonts w:ascii="宋体" w:hAnsi="宋体" w:cs="宋体"/>
                        <w:sz w:val="21"/>
                        <w:szCs w:val="21"/>
                      </w:rPr>
                      <w:fldChar w:fldCharType="begin"/>
                    </w:r>
                    <w:r>
                      <w:rPr>
                        <w:rStyle w:val="28"/>
                        <w:rFonts w:ascii="宋体" w:hAnsi="宋体" w:cs="宋体"/>
                        <w:sz w:val="21"/>
                        <w:szCs w:val="21"/>
                      </w:rPr>
                      <w:instrText xml:space="preserve"> PAGE </w:instrText>
                    </w:r>
                    <w:r>
                      <w:rPr>
                        <w:rFonts w:ascii="宋体" w:hAnsi="宋体" w:cs="宋体"/>
                        <w:sz w:val="21"/>
                        <w:szCs w:val="21"/>
                      </w:rPr>
                      <w:fldChar w:fldCharType="separate"/>
                    </w:r>
                    <w:r>
                      <w:rPr>
                        <w:rStyle w:val="28"/>
                        <w:rFonts w:ascii="宋体" w:hAnsi="宋体" w:cs="宋体"/>
                        <w:sz w:val="21"/>
                        <w:szCs w:val="21"/>
                      </w:rPr>
                      <w:t>33</w:t>
                    </w:r>
                    <w:r>
                      <w:rPr>
                        <w:rFonts w:ascii="宋体" w:hAnsi="宋体" w:cs="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sz w:val="21"/>
        <w:szCs w:val="21"/>
      </w:rPr>
    </w:pPr>
    <w:r>
      <w:rPr>
        <w:rFonts w:ascii="宋体" w:hAnsi="宋体"/>
        <w:sz w:val="21"/>
        <w:szCs w:val="21"/>
      </w:rPr>
      <w:fldChar w:fldCharType="begin"/>
    </w:r>
    <w:r>
      <w:rPr>
        <w:rStyle w:val="28"/>
        <w:rFonts w:ascii="宋体" w:hAnsi="宋体"/>
        <w:sz w:val="21"/>
        <w:szCs w:val="21"/>
      </w:rPr>
      <w:instrText xml:space="preserve"> PAGE </w:instrText>
    </w:r>
    <w:r>
      <w:rPr>
        <w:rFonts w:ascii="宋体" w:hAnsi="宋体"/>
        <w:sz w:val="21"/>
        <w:szCs w:val="21"/>
      </w:rPr>
      <w:fldChar w:fldCharType="separate"/>
    </w:r>
    <w:r>
      <w:rPr>
        <w:rStyle w:val="28"/>
        <w:rFonts w:ascii="宋体" w:hAnsi="宋体"/>
        <w:sz w:val="21"/>
        <w:szCs w:val="21"/>
      </w:rPr>
      <w:t>39</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9525" b="0"/>
              <wp:wrapNone/>
              <wp:docPr id="4" name="文本框 4"/>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w="9525">
                        <a:noFill/>
                      </a:ln>
                      <a:effectLst/>
                    </wps:spPr>
                    <wps:txbx>
                      <w:txbxContent>
                        <w:p>
                          <w:pPr>
                            <w:pStyle w:val="1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41</w:t>
                          </w:r>
                          <w:r>
                            <w:rPr>
                              <w:rFonts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ulvw/RAAAAAwEAAA8AAAAAAAAAAQAg&#10;AAAAIgAAAGRycy9kb3ducmV2LnhtbFBLAQIUABQAAAAIAIdO4kDqhbTP3AEAAK4DAAAOAAAAAAAA&#10;AAEAIAAAACABAABkcnMvZTJvRG9jLnhtbFBLBQYAAAAABgAGAFkBAABuBQAAAAA=&#10;">
              <v:fill on="f" focussize="0,0"/>
              <v:stroke on="f"/>
              <v:imagedata o:title=""/>
              <o:lock v:ext="edit" aspectratio="f"/>
              <v:textbox inset="0mm,0mm,0mm,0mm" style="mso-fit-shape-to-text:t;">
                <w:txbxContent>
                  <w:p>
                    <w:pPr>
                      <w:pStyle w:val="18"/>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41</w:t>
                    </w:r>
                    <w:r>
                      <w:rPr>
                        <w:rFonts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firstLine="210" w:firstLineChars="100"/>
      <w:outlineLvl w:val="0"/>
      <w:rPr>
        <w:rFonts w:ascii="宋体" w:hAnsi="宋体" w:cs="宋体"/>
        <w:sz w:val="21"/>
        <w:szCs w:val="21"/>
        <w:u w:val="single"/>
      </w:rPr>
    </w:pPr>
    <w:r>
      <w:rPr>
        <w:rFonts w:hint="eastAsia" w:ascii="宋体" w:hAnsi="宋体" w:cs="宋体"/>
        <w:sz w:val="21"/>
        <w:szCs w:val="24"/>
        <w:u w:val="single"/>
      </w:rPr>
      <w:t xml:space="preserve">                                                                           </w:t>
    </w: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7932B"/>
    <w:multiLevelType w:val="singleLevel"/>
    <w:tmpl w:val="C897932B"/>
    <w:lvl w:ilvl="0" w:tentative="0">
      <w:start w:val="12"/>
      <w:numFmt w:val="chineseCounting"/>
      <w:suff w:val="nothing"/>
      <w:lvlText w:val="（%1）"/>
      <w:lvlJc w:val="left"/>
      <w:rPr>
        <w:rFonts w:hint="eastAsia"/>
      </w:rPr>
    </w:lvl>
  </w:abstractNum>
  <w:abstractNum w:abstractNumId="1">
    <w:nsid w:val="D9DD87C7"/>
    <w:multiLevelType w:val="singleLevel"/>
    <w:tmpl w:val="D9DD87C7"/>
    <w:lvl w:ilvl="0" w:tentative="0">
      <w:start w:val="1"/>
      <w:numFmt w:val="chineseCounting"/>
      <w:suff w:val="space"/>
      <w:lvlText w:val="第%1篇"/>
      <w:lvlJc w:val="left"/>
      <w:rPr>
        <w:rFonts w:hint="eastAsia"/>
      </w:rPr>
    </w:lvl>
  </w:abstractNum>
  <w:abstractNum w:abstractNumId="2">
    <w:nsid w:val="EFF7EFA0"/>
    <w:multiLevelType w:val="singleLevel"/>
    <w:tmpl w:val="EFF7EFA0"/>
    <w:lvl w:ilvl="0" w:tentative="0">
      <w:start w:val="6"/>
      <w:numFmt w:val="chineseCounting"/>
      <w:suff w:val="space"/>
      <w:lvlText w:val="第%1篇"/>
      <w:lvlJc w:val="left"/>
      <w:rPr>
        <w:rFonts w:hint="eastAsia"/>
      </w:rPr>
    </w:lvl>
  </w:abstractNum>
  <w:abstractNum w:abstractNumId="3">
    <w:nsid w:val="FED447E4"/>
    <w:multiLevelType w:val="singleLevel"/>
    <w:tmpl w:val="FED447E4"/>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ZmM1MDNkZWU1NDlhOGYxMjQwNDdhMjg5NWVjY2EifQ=="/>
    <w:docVar w:name="KSO_WPS_MARK_KEY" w:val="808bea85-7178-4ef5-bbee-6b615211458b"/>
  </w:docVars>
  <w:rsids>
    <w:rsidRoot w:val="62E50297"/>
    <w:rsid w:val="0009039A"/>
    <w:rsid w:val="000A4269"/>
    <w:rsid w:val="000E6EDB"/>
    <w:rsid w:val="000E75FE"/>
    <w:rsid w:val="00177D7D"/>
    <w:rsid w:val="001D7901"/>
    <w:rsid w:val="001E08FC"/>
    <w:rsid w:val="00201A31"/>
    <w:rsid w:val="002038E7"/>
    <w:rsid w:val="002367C2"/>
    <w:rsid w:val="00296206"/>
    <w:rsid w:val="002A1568"/>
    <w:rsid w:val="002B27F4"/>
    <w:rsid w:val="002C6037"/>
    <w:rsid w:val="002D09D4"/>
    <w:rsid w:val="002D0EEC"/>
    <w:rsid w:val="002D403C"/>
    <w:rsid w:val="002E4451"/>
    <w:rsid w:val="00317DF7"/>
    <w:rsid w:val="00343ECE"/>
    <w:rsid w:val="00346FFD"/>
    <w:rsid w:val="003C6B95"/>
    <w:rsid w:val="003D39F2"/>
    <w:rsid w:val="00413D73"/>
    <w:rsid w:val="00450F55"/>
    <w:rsid w:val="0045354A"/>
    <w:rsid w:val="004803E1"/>
    <w:rsid w:val="00481748"/>
    <w:rsid w:val="004A0D92"/>
    <w:rsid w:val="004C2205"/>
    <w:rsid w:val="004F6B84"/>
    <w:rsid w:val="00506E62"/>
    <w:rsid w:val="005356C7"/>
    <w:rsid w:val="0054143C"/>
    <w:rsid w:val="005448A5"/>
    <w:rsid w:val="005D01C1"/>
    <w:rsid w:val="005D0D70"/>
    <w:rsid w:val="005F2A53"/>
    <w:rsid w:val="00632B34"/>
    <w:rsid w:val="00651DE6"/>
    <w:rsid w:val="0065303D"/>
    <w:rsid w:val="00694B31"/>
    <w:rsid w:val="006A6E9A"/>
    <w:rsid w:val="006C44B4"/>
    <w:rsid w:val="00706752"/>
    <w:rsid w:val="00712F58"/>
    <w:rsid w:val="0076021C"/>
    <w:rsid w:val="007812FB"/>
    <w:rsid w:val="00790A8A"/>
    <w:rsid w:val="0079758F"/>
    <w:rsid w:val="007A2E66"/>
    <w:rsid w:val="007C3B75"/>
    <w:rsid w:val="007D0EE6"/>
    <w:rsid w:val="00854517"/>
    <w:rsid w:val="00891474"/>
    <w:rsid w:val="00892011"/>
    <w:rsid w:val="0089279A"/>
    <w:rsid w:val="008953F8"/>
    <w:rsid w:val="00896283"/>
    <w:rsid w:val="008B236C"/>
    <w:rsid w:val="008D0DFC"/>
    <w:rsid w:val="008D2B41"/>
    <w:rsid w:val="008D50CE"/>
    <w:rsid w:val="00941EB0"/>
    <w:rsid w:val="00965426"/>
    <w:rsid w:val="00986026"/>
    <w:rsid w:val="009E3D5C"/>
    <w:rsid w:val="009E5B7C"/>
    <w:rsid w:val="00A16AC1"/>
    <w:rsid w:val="00A5504C"/>
    <w:rsid w:val="00A607B2"/>
    <w:rsid w:val="00A623DA"/>
    <w:rsid w:val="00AB5319"/>
    <w:rsid w:val="00AD7338"/>
    <w:rsid w:val="00B3496D"/>
    <w:rsid w:val="00B4289E"/>
    <w:rsid w:val="00B50BE2"/>
    <w:rsid w:val="00B73F4A"/>
    <w:rsid w:val="00B83835"/>
    <w:rsid w:val="00BB54E2"/>
    <w:rsid w:val="00BC184E"/>
    <w:rsid w:val="00BE3DCC"/>
    <w:rsid w:val="00BF2943"/>
    <w:rsid w:val="00C43687"/>
    <w:rsid w:val="00CA6ECB"/>
    <w:rsid w:val="00CF57EC"/>
    <w:rsid w:val="00D4234D"/>
    <w:rsid w:val="00D5703D"/>
    <w:rsid w:val="00D830A9"/>
    <w:rsid w:val="00DA5410"/>
    <w:rsid w:val="00DB3D93"/>
    <w:rsid w:val="00DE26D9"/>
    <w:rsid w:val="00DF755E"/>
    <w:rsid w:val="00E00F1B"/>
    <w:rsid w:val="00E0283C"/>
    <w:rsid w:val="00E15DA5"/>
    <w:rsid w:val="00E3591E"/>
    <w:rsid w:val="00E54486"/>
    <w:rsid w:val="00E5609B"/>
    <w:rsid w:val="00E83B86"/>
    <w:rsid w:val="00F051E6"/>
    <w:rsid w:val="00F329A8"/>
    <w:rsid w:val="00F35F12"/>
    <w:rsid w:val="00F84383"/>
    <w:rsid w:val="00FD2B3E"/>
    <w:rsid w:val="015D0D5E"/>
    <w:rsid w:val="01AE033B"/>
    <w:rsid w:val="01D16DE2"/>
    <w:rsid w:val="01F7413D"/>
    <w:rsid w:val="021644F3"/>
    <w:rsid w:val="022922CE"/>
    <w:rsid w:val="02380E83"/>
    <w:rsid w:val="02C1531D"/>
    <w:rsid w:val="02D6570B"/>
    <w:rsid w:val="02E83731"/>
    <w:rsid w:val="03562885"/>
    <w:rsid w:val="035C3635"/>
    <w:rsid w:val="03885E3A"/>
    <w:rsid w:val="03B509EE"/>
    <w:rsid w:val="043869A6"/>
    <w:rsid w:val="0463574E"/>
    <w:rsid w:val="047343F5"/>
    <w:rsid w:val="048A3A39"/>
    <w:rsid w:val="048E08C2"/>
    <w:rsid w:val="049125AB"/>
    <w:rsid w:val="04BE2226"/>
    <w:rsid w:val="04E672BC"/>
    <w:rsid w:val="05740424"/>
    <w:rsid w:val="05946D18"/>
    <w:rsid w:val="05F44283"/>
    <w:rsid w:val="061B1EBC"/>
    <w:rsid w:val="06C47189"/>
    <w:rsid w:val="06FB53DE"/>
    <w:rsid w:val="0702556F"/>
    <w:rsid w:val="07107259"/>
    <w:rsid w:val="073F2CB4"/>
    <w:rsid w:val="078C2F71"/>
    <w:rsid w:val="07A364B6"/>
    <w:rsid w:val="07DC0503"/>
    <w:rsid w:val="07E95234"/>
    <w:rsid w:val="080D08F2"/>
    <w:rsid w:val="082D1E8E"/>
    <w:rsid w:val="08332819"/>
    <w:rsid w:val="08CB7C43"/>
    <w:rsid w:val="09CB4812"/>
    <w:rsid w:val="0A2763AD"/>
    <w:rsid w:val="0A690774"/>
    <w:rsid w:val="0A9E0420"/>
    <w:rsid w:val="0AEC3153"/>
    <w:rsid w:val="0B224FF6"/>
    <w:rsid w:val="0BA516B1"/>
    <w:rsid w:val="0BA63302"/>
    <w:rsid w:val="0BE91440"/>
    <w:rsid w:val="0C17625B"/>
    <w:rsid w:val="0C370F4A"/>
    <w:rsid w:val="0CFD1647"/>
    <w:rsid w:val="0D417ED1"/>
    <w:rsid w:val="0D5D3E94"/>
    <w:rsid w:val="0D780CCE"/>
    <w:rsid w:val="0DDA7292"/>
    <w:rsid w:val="0E12486C"/>
    <w:rsid w:val="0E772D33"/>
    <w:rsid w:val="0F000B29"/>
    <w:rsid w:val="0F743BD9"/>
    <w:rsid w:val="0FB53557"/>
    <w:rsid w:val="0FF76110"/>
    <w:rsid w:val="10223A7C"/>
    <w:rsid w:val="1072498F"/>
    <w:rsid w:val="10A34B1F"/>
    <w:rsid w:val="10E741A0"/>
    <w:rsid w:val="113B0990"/>
    <w:rsid w:val="115832F0"/>
    <w:rsid w:val="1159003F"/>
    <w:rsid w:val="116F5A66"/>
    <w:rsid w:val="11F86147"/>
    <w:rsid w:val="12331667"/>
    <w:rsid w:val="124A70DD"/>
    <w:rsid w:val="127046F4"/>
    <w:rsid w:val="12B11FA7"/>
    <w:rsid w:val="12C31326"/>
    <w:rsid w:val="12FC2B62"/>
    <w:rsid w:val="13105AD1"/>
    <w:rsid w:val="13BF4C25"/>
    <w:rsid w:val="14096B23"/>
    <w:rsid w:val="143058B1"/>
    <w:rsid w:val="148F6B9B"/>
    <w:rsid w:val="14C75C50"/>
    <w:rsid w:val="14CB229C"/>
    <w:rsid w:val="157006ED"/>
    <w:rsid w:val="1587126A"/>
    <w:rsid w:val="15B64A89"/>
    <w:rsid w:val="1656698F"/>
    <w:rsid w:val="16844E40"/>
    <w:rsid w:val="16B26392"/>
    <w:rsid w:val="17145BD5"/>
    <w:rsid w:val="17214184"/>
    <w:rsid w:val="172503B8"/>
    <w:rsid w:val="176C53FF"/>
    <w:rsid w:val="178D1A71"/>
    <w:rsid w:val="17F92A0B"/>
    <w:rsid w:val="181822CA"/>
    <w:rsid w:val="181B2309"/>
    <w:rsid w:val="18641D06"/>
    <w:rsid w:val="18B55E75"/>
    <w:rsid w:val="18FF4D4D"/>
    <w:rsid w:val="191C0955"/>
    <w:rsid w:val="19396595"/>
    <w:rsid w:val="19670574"/>
    <w:rsid w:val="198A7B5E"/>
    <w:rsid w:val="199A6DC4"/>
    <w:rsid w:val="1A200631"/>
    <w:rsid w:val="1A562397"/>
    <w:rsid w:val="1AD96085"/>
    <w:rsid w:val="1B326546"/>
    <w:rsid w:val="1B817FB8"/>
    <w:rsid w:val="1BF63E31"/>
    <w:rsid w:val="1C372948"/>
    <w:rsid w:val="1C8036FB"/>
    <w:rsid w:val="1C816045"/>
    <w:rsid w:val="1CAF05D1"/>
    <w:rsid w:val="1CEA33EA"/>
    <w:rsid w:val="1D476C3E"/>
    <w:rsid w:val="1D57445C"/>
    <w:rsid w:val="1D8334A3"/>
    <w:rsid w:val="1D937766"/>
    <w:rsid w:val="1DDF07A3"/>
    <w:rsid w:val="1E016168"/>
    <w:rsid w:val="1E0D73A1"/>
    <w:rsid w:val="1E195696"/>
    <w:rsid w:val="1E3022B7"/>
    <w:rsid w:val="1E490276"/>
    <w:rsid w:val="1E6E3802"/>
    <w:rsid w:val="1E7C2F2A"/>
    <w:rsid w:val="1E971619"/>
    <w:rsid w:val="1EA25BAA"/>
    <w:rsid w:val="1ECE6E75"/>
    <w:rsid w:val="1ED3045A"/>
    <w:rsid w:val="1EE64087"/>
    <w:rsid w:val="1F073C5F"/>
    <w:rsid w:val="1F1662E8"/>
    <w:rsid w:val="1F603A69"/>
    <w:rsid w:val="1F616823"/>
    <w:rsid w:val="1FD16C60"/>
    <w:rsid w:val="1FEA2D4C"/>
    <w:rsid w:val="1FEB026C"/>
    <w:rsid w:val="209D093F"/>
    <w:rsid w:val="212D48E8"/>
    <w:rsid w:val="214A6A99"/>
    <w:rsid w:val="217276D8"/>
    <w:rsid w:val="218563E4"/>
    <w:rsid w:val="219D0A86"/>
    <w:rsid w:val="21A86F1F"/>
    <w:rsid w:val="21BD7D78"/>
    <w:rsid w:val="22284619"/>
    <w:rsid w:val="2265761B"/>
    <w:rsid w:val="22C70E0A"/>
    <w:rsid w:val="22D62696"/>
    <w:rsid w:val="22D97F09"/>
    <w:rsid w:val="23393472"/>
    <w:rsid w:val="235A1E66"/>
    <w:rsid w:val="23B1018D"/>
    <w:rsid w:val="23C12F77"/>
    <w:rsid w:val="23DC390D"/>
    <w:rsid w:val="24816262"/>
    <w:rsid w:val="24CC3981"/>
    <w:rsid w:val="250B1A03"/>
    <w:rsid w:val="251009CC"/>
    <w:rsid w:val="251C1380"/>
    <w:rsid w:val="252051D9"/>
    <w:rsid w:val="252C0248"/>
    <w:rsid w:val="258770F5"/>
    <w:rsid w:val="25C22198"/>
    <w:rsid w:val="25C603D0"/>
    <w:rsid w:val="25CD6ECB"/>
    <w:rsid w:val="25DD396C"/>
    <w:rsid w:val="262E47D4"/>
    <w:rsid w:val="266A3762"/>
    <w:rsid w:val="2679795E"/>
    <w:rsid w:val="268F110A"/>
    <w:rsid w:val="26B66387"/>
    <w:rsid w:val="27382B4D"/>
    <w:rsid w:val="275C3BF8"/>
    <w:rsid w:val="27736336"/>
    <w:rsid w:val="279A1EA6"/>
    <w:rsid w:val="27E20B57"/>
    <w:rsid w:val="27F84A8D"/>
    <w:rsid w:val="27FF406E"/>
    <w:rsid w:val="280260F1"/>
    <w:rsid w:val="284D6B87"/>
    <w:rsid w:val="285A12A4"/>
    <w:rsid w:val="287852BE"/>
    <w:rsid w:val="287F0D0A"/>
    <w:rsid w:val="28987558"/>
    <w:rsid w:val="28E82D54"/>
    <w:rsid w:val="29087CB1"/>
    <w:rsid w:val="291F373F"/>
    <w:rsid w:val="29406D7D"/>
    <w:rsid w:val="29462A29"/>
    <w:rsid w:val="294E5D6E"/>
    <w:rsid w:val="296D15DA"/>
    <w:rsid w:val="296E7010"/>
    <w:rsid w:val="2996630C"/>
    <w:rsid w:val="29B23ABB"/>
    <w:rsid w:val="2ABA24CE"/>
    <w:rsid w:val="2B6B4108"/>
    <w:rsid w:val="2BB60EE7"/>
    <w:rsid w:val="2BC17499"/>
    <w:rsid w:val="2BFC08F2"/>
    <w:rsid w:val="2C0C11E5"/>
    <w:rsid w:val="2C0E56CF"/>
    <w:rsid w:val="2C1125C1"/>
    <w:rsid w:val="2C2A4AA2"/>
    <w:rsid w:val="2C6459D2"/>
    <w:rsid w:val="2C685FC0"/>
    <w:rsid w:val="2CCA2E9C"/>
    <w:rsid w:val="2CD226C8"/>
    <w:rsid w:val="2D4B38B1"/>
    <w:rsid w:val="2D5E419C"/>
    <w:rsid w:val="2D9E208D"/>
    <w:rsid w:val="2ECC6DB3"/>
    <w:rsid w:val="2F472522"/>
    <w:rsid w:val="2F520F27"/>
    <w:rsid w:val="2F892CAE"/>
    <w:rsid w:val="2FC040E2"/>
    <w:rsid w:val="2FC431A9"/>
    <w:rsid w:val="2FD11A1C"/>
    <w:rsid w:val="2FD933F6"/>
    <w:rsid w:val="30654CFC"/>
    <w:rsid w:val="308F000E"/>
    <w:rsid w:val="30C40013"/>
    <w:rsid w:val="30F600B9"/>
    <w:rsid w:val="314174A5"/>
    <w:rsid w:val="31853836"/>
    <w:rsid w:val="31BE4652"/>
    <w:rsid w:val="31C87B2F"/>
    <w:rsid w:val="324441EF"/>
    <w:rsid w:val="3276317E"/>
    <w:rsid w:val="32BA12BD"/>
    <w:rsid w:val="32BA2709"/>
    <w:rsid w:val="32D43818"/>
    <w:rsid w:val="32DA54BB"/>
    <w:rsid w:val="33137290"/>
    <w:rsid w:val="338E62A6"/>
    <w:rsid w:val="33B04069"/>
    <w:rsid w:val="33D000A1"/>
    <w:rsid w:val="33E37F8B"/>
    <w:rsid w:val="3402418B"/>
    <w:rsid w:val="3416678C"/>
    <w:rsid w:val="3452692B"/>
    <w:rsid w:val="34682580"/>
    <w:rsid w:val="348900A5"/>
    <w:rsid w:val="34AA1E7D"/>
    <w:rsid w:val="34D44341"/>
    <w:rsid w:val="34F82570"/>
    <w:rsid w:val="35466E38"/>
    <w:rsid w:val="35900660"/>
    <w:rsid w:val="359A7184"/>
    <w:rsid w:val="35CF32D1"/>
    <w:rsid w:val="35D41953"/>
    <w:rsid w:val="35E76EBD"/>
    <w:rsid w:val="35E86141"/>
    <w:rsid w:val="367312C2"/>
    <w:rsid w:val="371F6321"/>
    <w:rsid w:val="3795312A"/>
    <w:rsid w:val="37A36E1F"/>
    <w:rsid w:val="37A64B7F"/>
    <w:rsid w:val="37C24C19"/>
    <w:rsid w:val="3823688F"/>
    <w:rsid w:val="385201EA"/>
    <w:rsid w:val="38584982"/>
    <w:rsid w:val="387316A1"/>
    <w:rsid w:val="38857D94"/>
    <w:rsid w:val="38DF7CCF"/>
    <w:rsid w:val="38E5044C"/>
    <w:rsid w:val="392C17E8"/>
    <w:rsid w:val="39352595"/>
    <w:rsid w:val="394F56E0"/>
    <w:rsid w:val="397325EB"/>
    <w:rsid w:val="39B5458C"/>
    <w:rsid w:val="39C92311"/>
    <w:rsid w:val="39F94DC1"/>
    <w:rsid w:val="3A067166"/>
    <w:rsid w:val="3A5C604C"/>
    <w:rsid w:val="3A601248"/>
    <w:rsid w:val="3A7F7C87"/>
    <w:rsid w:val="3A805AD1"/>
    <w:rsid w:val="3AAB5128"/>
    <w:rsid w:val="3AB14E6A"/>
    <w:rsid w:val="3ADA4E31"/>
    <w:rsid w:val="3ADB286E"/>
    <w:rsid w:val="3B1F5B4D"/>
    <w:rsid w:val="3B253993"/>
    <w:rsid w:val="3B6B7BED"/>
    <w:rsid w:val="3B7044DA"/>
    <w:rsid w:val="3B7D37CF"/>
    <w:rsid w:val="3B9603ED"/>
    <w:rsid w:val="3BD12EDC"/>
    <w:rsid w:val="3BD45317"/>
    <w:rsid w:val="3BE178BA"/>
    <w:rsid w:val="3BE61128"/>
    <w:rsid w:val="3BEB1E66"/>
    <w:rsid w:val="3C2F0BE8"/>
    <w:rsid w:val="3C666012"/>
    <w:rsid w:val="3C67303F"/>
    <w:rsid w:val="3CC571DC"/>
    <w:rsid w:val="3CE755AC"/>
    <w:rsid w:val="3D681100"/>
    <w:rsid w:val="3D7242CB"/>
    <w:rsid w:val="3D793FE2"/>
    <w:rsid w:val="3D7ED30B"/>
    <w:rsid w:val="3DB64D77"/>
    <w:rsid w:val="3E1A5306"/>
    <w:rsid w:val="3E465C90"/>
    <w:rsid w:val="3EE020AB"/>
    <w:rsid w:val="3F6902F3"/>
    <w:rsid w:val="3FA806EF"/>
    <w:rsid w:val="3FCA4B09"/>
    <w:rsid w:val="3FE21E53"/>
    <w:rsid w:val="40844BB4"/>
    <w:rsid w:val="409B0C49"/>
    <w:rsid w:val="40ED0AAF"/>
    <w:rsid w:val="41284A91"/>
    <w:rsid w:val="41AA4C2C"/>
    <w:rsid w:val="41B96BE3"/>
    <w:rsid w:val="422A3514"/>
    <w:rsid w:val="42672AE3"/>
    <w:rsid w:val="428734CC"/>
    <w:rsid w:val="42E45EE2"/>
    <w:rsid w:val="431F37EA"/>
    <w:rsid w:val="43227841"/>
    <w:rsid w:val="43B835F7"/>
    <w:rsid w:val="44C267FC"/>
    <w:rsid w:val="44EC2CD8"/>
    <w:rsid w:val="44F16DA1"/>
    <w:rsid w:val="452F5B3A"/>
    <w:rsid w:val="455C00D8"/>
    <w:rsid w:val="45C716E6"/>
    <w:rsid w:val="45DC0E9F"/>
    <w:rsid w:val="45E76BB2"/>
    <w:rsid w:val="461629E0"/>
    <w:rsid w:val="46893028"/>
    <w:rsid w:val="470F3C69"/>
    <w:rsid w:val="47472AA4"/>
    <w:rsid w:val="475950F1"/>
    <w:rsid w:val="47722E0C"/>
    <w:rsid w:val="479E48B1"/>
    <w:rsid w:val="47D328F9"/>
    <w:rsid w:val="47F97006"/>
    <w:rsid w:val="482F5E51"/>
    <w:rsid w:val="489D100D"/>
    <w:rsid w:val="48A07715"/>
    <w:rsid w:val="48C91A85"/>
    <w:rsid w:val="48FC79EC"/>
    <w:rsid w:val="49031AB5"/>
    <w:rsid w:val="49276B29"/>
    <w:rsid w:val="49290AF3"/>
    <w:rsid w:val="49494CF1"/>
    <w:rsid w:val="4970315F"/>
    <w:rsid w:val="4972588A"/>
    <w:rsid w:val="497A30FC"/>
    <w:rsid w:val="499132A7"/>
    <w:rsid w:val="49926698"/>
    <w:rsid w:val="49A76D7F"/>
    <w:rsid w:val="49B4660E"/>
    <w:rsid w:val="4A17094B"/>
    <w:rsid w:val="4A64169E"/>
    <w:rsid w:val="4A6B78A3"/>
    <w:rsid w:val="4A7913AC"/>
    <w:rsid w:val="4AA54826"/>
    <w:rsid w:val="4AF7147C"/>
    <w:rsid w:val="4AF76D93"/>
    <w:rsid w:val="4B256332"/>
    <w:rsid w:val="4B502367"/>
    <w:rsid w:val="4B75350F"/>
    <w:rsid w:val="4B8E5887"/>
    <w:rsid w:val="4BA45F7F"/>
    <w:rsid w:val="4BC1398E"/>
    <w:rsid w:val="4C3C6802"/>
    <w:rsid w:val="4C5E6D05"/>
    <w:rsid w:val="4C8E5D3B"/>
    <w:rsid w:val="4CF53F5B"/>
    <w:rsid w:val="4CF547AA"/>
    <w:rsid w:val="4D007DBC"/>
    <w:rsid w:val="4D194AB7"/>
    <w:rsid w:val="4D61085B"/>
    <w:rsid w:val="4D993084"/>
    <w:rsid w:val="4DB5381E"/>
    <w:rsid w:val="4E281379"/>
    <w:rsid w:val="4E4361B3"/>
    <w:rsid w:val="4E553D46"/>
    <w:rsid w:val="4E6961E1"/>
    <w:rsid w:val="4F6309D8"/>
    <w:rsid w:val="4FB77130"/>
    <w:rsid w:val="4FB86B52"/>
    <w:rsid w:val="5060129E"/>
    <w:rsid w:val="508F064C"/>
    <w:rsid w:val="509330FC"/>
    <w:rsid w:val="50B73D85"/>
    <w:rsid w:val="50B77DB7"/>
    <w:rsid w:val="50C730CB"/>
    <w:rsid w:val="51C16859"/>
    <w:rsid w:val="51CB4919"/>
    <w:rsid w:val="52060ADF"/>
    <w:rsid w:val="522510AD"/>
    <w:rsid w:val="52756B57"/>
    <w:rsid w:val="528B3F5C"/>
    <w:rsid w:val="52944B16"/>
    <w:rsid w:val="52A511EA"/>
    <w:rsid w:val="52D643E5"/>
    <w:rsid w:val="52E641F6"/>
    <w:rsid w:val="531511DA"/>
    <w:rsid w:val="53544667"/>
    <w:rsid w:val="53854257"/>
    <w:rsid w:val="53BD41CE"/>
    <w:rsid w:val="53D03696"/>
    <w:rsid w:val="53DF24DA"/>
    <w:rsid w:val="544B7E40"/>
    <w:rsid w:val="549F478F"/>
    <w:rsid w:val="549F610D"/>
    <w:rsid w:val="54A97A02"/>
    <w:rsid w:val="54C31DFB"/>
    <w:rsid w:val="54D8641C"/>
    <w:rsid w:val="553B7BE4"/>
    <w:rsid w:val="553E1482"/>
    <w:rsid w:val="55482300"/>
    <w:rsid w:val="55D63679"/>
    <w:rsid w:val="55DC77BD"/>
    <w:rsid w:val="561D378D"/>
    <w:rsid w:val="562240B7"/>
    <w:rsid w:val="564B02FA"/>
    <w:rsid w:val="56AF0889"/>
    <w:rsid w:val="570851BD"/>
    <w:rsid w:val="570E7FFE"/>
    <w:rsid w:val="57901798"/>
    <w:rsid w:val="57AA42B0"/>
    <w:rsid w:val="57D04F5B"/>
    <w:rsid w:val="57D10688"/>
    <w:rsid w:val="57F47CC5"/>
    <w:rsid w:val="580A1AEF"/>
    <w:rsid w:val="58905E3D"/>
    <w:rsid w:val="58922659"/>
    <w:rsid w:val="58BB2725"/>
    <w:rsid w:val="58C25462"/>
    <w:rsid w:val="58CF5213"/>
    <w:rsid w:val="58D00F8B"/>
    <w:rsid w:val="58E346F7"/>
    <w:rsid w:val="59113798"/>
    <w:rsid w:val="59223B2F"/>
    <w:rsid w:val="5923735A"/>
    <w:rsid w:val="59673B9B"/>
    <w:rsid w:val="59681FB8"/>
    <w:rsid w:val="59807555"/>
    <w:rsid w:val="59A044B9"/>
    <w:rsid w:val="59D50F91"/>
    <w:rsid w:val="5A1B4488"/>
    <w:rsid w:val="5A504F51"/>
    <w:rsid w:val="5A60317D"/>
    <w:rsid w:val="5B3A0642"/>
    <w:rsid w:val="5B3B37E1"/>
    <w:rsid w:val="5B441028"/>
    <w:rsid w:val="5B97777F"/>
    <w:rsid w:val="5BD91F04"/>
    <w:rsid w:val="5BDF2FA5"/>
    <w:rsid w:val="5BE404B4"/>
    <w:rsid w:val="5C045C34"/>
    <w:rsid w:val="5CA22ECD"/>
    <w:rsid w:val="5CBD748C"/>
    <w:rsid w:val="5D387C6E"/>
    <w:rsid w:val="5D766A59"/>
    <w:rsid w:val="5DAF4D9E"/>
    <w:rsid w:val="5E383D3B"/>
    <w:rsid w:val="5E39312E"/>
    <w:rsid w:val="5E5F0DE7"/>
    <w:rsid w:val="5E870A7B"/>
    <w:rsid w:val="5E87324E"/>
    <w:rsid w:val="5EAE58CA"/>
    <w:rsid w:val="5EDA0F44"/>
    <w:rsid w:val="5EDE5782"/>
    <w:rsid w:val="5EED1C74"/>
    <w:rsid w:val="5F2E6A0B"/>
    <w:rsid w:val="5F356B01"/>
    <w:rsid w:val="6034633E"/>
    <w:rsid w:val="604417C2"/>
    <w:rsid w:val="609A4358"/>
    <w:rsid w:val="60AF76D8"/>
    <w:rsid w:val="60E62582"/>
    <w:rsid w:val="61323F23"/>
    <w:rsid w:val="6141054A"/>
    <w:rsid w:val="61515DC1"/>
    <w:rsid w:val="615D17EC"/>
    <w:rsid w:val="6162474A"/>
    <w:rsid w:val="61A54ACD"/>
    <w:rsid w:val="61FF459C"/>
    <w:rsid w:val="62643CCF"/>
    <w:rsid w:val="62C91C6E"/>
    <w:rsid w:val="62E50297"/>
    <w:rsid w:val="62E801AF"/>
    <w:rsid w:val="63585E05"/>
    <w:rsid w:val="63717690"/>
    <w:rsid w:val="637565E5"/>
    <w:rsid w:val="64046E46"/>
    <w:rsid w:val="64525A76"/>
    <w:rsid w:val="649015CE"/>
    <w:rsid w:val="64AB7A12"/>
    <w:rsid w:val="64B928D3"/>
    <w:rsid w:val="65684687"/>
    <w:rsid w:val="6596634C"/>
    <w:rsid w:val="65B34119"/>
    <w:rsid w:val="65B3698A"/>
    <w:rsid w:val="65D8147F"/>
    <w:rsid w:val="6600130C"/>
    <w:rsid w:val="660109D5"/>
    <w:rsid w:val="662B7800"/>
    <w:rsid w:val="66617C01"/>
    <w:rsid w:val="66DF5F0F"/>
    <w:rsid w:val="670E78EA"/>
    <w:rsid w:val="67577A53"/>
    <w:rsid w:val="67612692"/>
    <w:rsid w:val="678278F4"/>
    <w:rsid w:val="67B53825"/>
    <w:rsid w:val="67CD7EB1"/>
    <w:rsid w:val="67D77C40"/>
    <w:rsid w:val="67FC10EE"/>
    <w:rsid w:val="68081863"/>
    <w:rsid w:val="6808601E"/>
    <w:rsid w:val="680D6BD5"/>
    <w:rsid w:val="681542C4"/>
    <w:rsid w:val="68394457"/>
    <w:rsid w:val="683B39B3"/>
    <w:rsid w:val="68420E31"/>
    <w:rsid w:val="68615334"/>
    <w:rsid w:val="68843049"/>
    <w:rsid w:val="68B00491"/>
    <w:rsid w:val="68C1269E"/>
    <w:rsid w:val="692C5ECF"/>
    <w:rsid w:val="696A3312"/>
    <w:rsid w:val="696E6382"/>
    <w:rsid w:val="697B23D7"/>
    <w:rsid w:val="69933032"/>
    <w:rsid w:val="69EF02B7"/>
    <w:rsid w:val="6A503CD9"/>
    <w:rsid w:val="6A6E5F0E"/>
    <w:rsid w:val="6AD97927"/>
    <w:rsid w:val="6B174F6F"/>
    <w:rsid w:val="6B2D183A"/>
    <w:rsid w:val="6B3B2131"/>
    <w:rsid w:val="6B735ED1"/>
    <w:rsid w:val="6B795CAB"/>
    <w:rsid w:val="6B987545"/>
    <w:rsid w:val="6BA84528"/>
    <w:rsid w:val="6BD24BEE"/>
    <w:rsid w:val="6C123F77"/>
    <w:rsid w:val="6C316DA2"/>
    <w:rsid w:val="6C784B44"/>
    <w:rsid w:val="6CE07597"/>
    <w:rsid w:val="6D585D85"/>
    <w:rsid w:val="6D8012D5"/>
    <w:rsid w:val="6D865452"/>
    <w:rsid w:val="6D9739CD"/>
    <w:rsid w:val="6DB61FA8"/>
    <w:rsid w:val="6DED7F0C"/>
    <w:rsid w:val="6DFF6305"/>
    <w:rsid w:val="6E034A6B"/>
    <w:rsid w:val="6E3B07FD"/>
    <w:rsid w:val="6E6506EE"/>
    <w:rsid w:val="6EA24817"/>
    <w:rsid w:val="6EB760D5"/>
    <w:rsid w:val="6EC759DF"/>
    <w:rsid w:val="6F260569"/>
    <w:rsid w:val="6F3D61C6"/>
    <w:rsid w:val="6F490CF7"/>
    <w:rsid w:val="6F5C396C"/>
    <w:rsid w:val="6F712728"/>
    <w:rsid w:val="6F9D74E2"/>
    <w:rsid w:val="6FB82179"/>
    <w:rsid w:val="6FC37E88"/>
    <w:rsid w:val="7040034C"/>
    <w:rsid w:val="70FC5CD3"/>
    <w:rsid w:val="712115FB"/>
    <w:rsid w:val="71360F73"/>
    <w:rsid w:val="71A462ED"/>
    <w:rsid w:val="71B47F51"/>
    <w:rsid w:val="71C91C6D"/>
    <w:rsid w:val="720D0234"/>
    <w:rsid w:val="722D3F99"/>
    <w:rsid w:val="724D2EF5"/>
    <w:rsid w:val="7252306F"/>
    <w:rsid w:val="72793D25"/>
    <w:rsid w:val="727F33AE"/>
    <w:rsid w:val="72985BFE"/>
    <w:rsid w:val="72B9329B"/>
    <w:rsid w:val="732D580E"/>
    <w:rsid w:val="73A34E7A"/>
    <w:rsid w:val="74210666"/>
    <w:rsid w:val="745778C5"/>
    <w:rsid w:val="74A60486"/>
    <w:rsid w:val="74CD183F"/>
    <w:rsid w:val="75070D8C"/>
    <w:rsid w:val="754937FF"/>
    <w:rsid w:val="755521A4"/>
    <w:rsid w:val="75614FED"/>
    <w:rsid w:val="75706FDE"/>
    <w:rsid w:val="75986535"/>
    <w:rsid w:val="75BC75C3"/>
    <w:rsid w:val="75CB61FB"/>
    <w:rsid w:val="75DD4D96"/>
    <w:rsid w:val="75E27F05"/>
    <w:rsid w:val="76A67006"/>
    <w:rsid w:val="76C00A6A"/>
    <w:rsid w:val="76C75876"/>
    <w:rsid w:val="76CA4E14"/>
    <w:rsid w:val="7709406E"/>
    <w:rsid w:val="77487F90"/>
    <w:rsid w:val="778B00FF"/>
    <w:rsid w:val="779632AD"/>
    <w:rsid w:val="77BD7908"/>
    <w:rsid w:val="77C8615C"/>
    <w:rsid w:val="77CD6969"/>
    <w:rsid w:val="77D31AA6"/>
    <w:rsid w:val="77DA2E34"/>
    <w:rsid w:val="77E3682C"/>
    <w:rsid w:val="78391AA3"/>
    <w:rsid w:val="78395DAD"/>
    <w:rsid w:val="7878159A"/>
    <w:rsid w:val="78915DBE"/>
    <w:rsid w:val="78AD0549"/>
    <w:rsid w:val="78ED00D3"/>
    <w:rsid w:val="78EE1F34"/>
    <w:rsid w:val="79A311F0"/>
    <w:rsid w:val="79CE4A43"/>
    <w:rsid w:val="7A7A12CA"/>
    <w:rsid w:val="7B0D52CF"/>
    <w:rsid w:val="7B203254"/>
    <w:rsid w:val="7B475B0C"/>
    <w:rsid w:val="7B8E4A10"/>
    <w:rsid w:val="7B9A1258"/>
    <w:rsid w:val="7BC26A51"/>
    <w:rsid w:val="7C584880"/>
    <w:rsid w:val="7C9537CE"/>
    <w:rsid w:val="7CC37953"/>
    <w:rsid w:val="7CDA6070"/>
    <w:rsid w:val="7CF70E45"/>
    <w:rsid w:val="7D8B495A"/>
    <w:rsid w:val="7D9957DF"/>
    <w:rsid w:val="7DDF0F6D"/>
    <w:rsid w:val="7DE60785"/>
    <w:rsid w:val="7DFC3B04"/>
    <w:rsid w:val="7E245A9C"/>
    <w:rsid w:val="7E701060"/>
    <w:rsid w:val="7E7A40F2"/>
    <w:rsid w:val="7E9C7095"/>
    <w:rsid w:val="7EEA6053"/>
    <w:rsid w:val="7EFE00B4"/>
    <w:rsid w:val="7F380810"/>
    <w:rsid w:val="7F3F084B"/>
    <w:rsid w:val="7F42712F"/>
    <w:rsid w:val="7F71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9"/>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unhideWhenUsed/>
    <w:qFormat/>
    <w:uiPriority w:val="0"/>
    <w:pPr>
      <w:keepNext/>
      <w:keepLines/>
      <w:spacing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line="317" w:lineRule="auto"/>
      <w:outlineLvl w:val="6"/>
    </w:pPr>
    <w:rPr>
      <w:b/>
      <w:sz w:val="24"/>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9">
    <w:name w:val="table of authorities"/>
    <w:basedOn w:val="1"/>
    <w:next w:val="1"/>
    <w:unhideWhenUsed/>
    <w:qFormat/>
    <w:uiPriority w:val="99"/>
    <w:pPr>
      <w:ind w:left="420" w:leftChars="200"/>
    </w:pPr>
  </w:style>
  <w:style w:type="paragraph" w:styleId="10">
    <w:name w:val="Normal Indent"/>
    <w:basedOn w:val="1"/>
    <w:qFormat/>
    <w:uiPriority w:val="0"/>
    <w:pPr>
      <w:adjustRightInd w:val="0"/>
      <w:snapToGrid w:val="0"/>
      <w:spacing w:line="360" w:lineRule="auto"/>
      <w:ind w:firstLine="420"/>
    </w:pPr>
    <w:rPr>
      <w:sz w:val="24"/>
    </w:rPr>
  </w:style>
  <w:style w:type="paragraph" w:styleId="11">
    <w:name w:val="annotation text"/>
    <w:basedOn w:val="1"/>
    <w:qFormat/>
    <w:uiPriority w:val="0"/>
    <w:pPr>
      <w:jc w:val="left"/>
    </w:pPr>
  </w:style>
  <w:style w:type="paragraph" w:styleId="12">
    <w:name w:val="Body Text"/>
    <w:basedOn w:val="1"/>
    <w:next w:val="1"/>
    <w:qFormat/>
    <w:uiPriority w:val="0"/>
    <w:rPr>
      <w:rFonts w:ascii="仿宋_GB2312" w:eastAsia="仿宋_GB2312"/>
      <w:sz w:val="32"/>
    </w:rPr>
  </w:style>
  <w:style w:type="paragraph" w:styleId="13">
    <w:name w:val="Body Text Indent"/>
    <w:basedOn w:val="1"/>
    <w:next w:val="14"/>
    <w:qFormat/>
    <w:uiPriority w:val="99"/>
    <w:pPr>
      <w:spacing w:line="700" w:lineRule="exact"/>
      <w:ind w:left="960"/>
    </w:pPr>
    <w:rPr>
      <w:sz w:val="44"/>
    </w:rPr>
  </w:style>
  <w:style w:type="paragraph" w:styleId="14">
    <w:name w:val="envelope return"/>
    <w:basedOn w:val="1"/>
    <w:semiHidden/>
    <w:qFormat/>
    <w:uiPriority w:val="0"/>
    <w:pPr>
      <w:snapToGrid w:val="0"/>
    </w:pPr>
    <w:rPr>
      <w:rFonts w:ascii="Arial" w:hAnsi="Arial" w:cs="Arial"/>
    </w:rPr>
  </w:style>
  <w:style w:type="paragraph" w:styleId="15">
    <w:name w:val="Plain Text"/>
    <w:basedOn w:val="1"/>
    <w:qFormat/>
    <w:uiPriority w:val="0"/>
    <w:rPr>
      <w:rFonts w:ascii="宋体" w:hAnsi="Courier New"/>
      <w:sz w:val="21"/>
    </w:rPr>
  </w:style>
  <w:style w:type="paragraph" w:styleId="16">
    <w:name w:val="Body Text Indent 2"/>
    <w:basedOn w:val="1"/>
    <w:qFormat/>
    <w:uiPriority w:val="0"/>
    <w:pPr>
      <w:snapToGrid w:val="0"/>
      <w:spacing w:line="560" w:lineRule="atLeast"/>
      <w:ind w:firstLine="540"/>
    </w:pPr>
  </w:style>
  <w:style w:type="paragraph" w:styleId="17">
    <w:name w:val="Balloon Text"/>
    <w:basedOn w:val="1"/>
    <w:link w:val="42"/>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180" w:lineRule="auto"/>
      <w:jc w:val="center"/>
    </w:pPr>
    <w:rPr>
      <w:sz w:val="30"/>
    </w:rPr>
  </w:style>
  <w:style w:type="paragraph" w:styleId="21">
    <w:name w:val="toc 2"/>
    <w:basedOn w:val="1"/>
    <w:next w:val="1"/>
    <w:qFormat/>
    <w:uiPriority w:val="0"/>
    <w:pPr>
      <w:ind w:left="420" w:leftChars="200"/>
    </w:pPr>
  </w:style>
  <w:style w:type="paragraph" w:styleId="22">
    <w:name w:val="Body Text 2"/>
    <w:basedOn w:val="1"/>
    <w:qFormat/>
    <w:uiPriority w:val="0"/>
    <w:pPr>
      <w:adjustRightInd w:val="0"/>
      <w:snapToGrid w:val="0"/>
      <w:spacing w:after="120" w:line="480" w:lineRule="auto"/>
    </w:pPr>
    <w:rPr>
      <w:sz w:val="24"/>
    </w:rPr>
  </w:style>
  <w:style w:type="paragraph" w:styleId="23">
    <w:name w:val="Normal (Web)"/>
    <w:basedOn w:val="1"/>
    <w:qFormat/>
    <w:uiPriority w:val="0"/>
    <w:pPr>
      <w:spacing w:beforeAutospacing="1" w:afterAutospacing="1"/>
      <w:jc w:val="left"/>
    </w:pPr>
    <w:rPr>
      <w:kern w:val="0"/>
      <w:sz w:val="24"/>
    </w:rPr>
  </w:style>
  <w:style w:type="paragraph" w:styleId="24">
    <w:name w:val="Body Text First Indent"/>
    <w:basedOn w:val="12"/>
    <w:next w:val="25"/>
    <w:qFormat/>
    <w:uiPriority w:val="0"/>
    <w:pPr>
      <w:spacing w:line="360" w:lineRule="auto"/>
      <w:ind w:firstLine="420"/>
    </w:pPr>
    <w:rPr>
      <w:rFonts w:ascii="宋体" w:hAnsi="宋体"/>
      <w:sz w:val="24"/>
    </w:rPr>
  </w:style>
  <w:style w:type="paragraph" w:styleId="25">
    <w:name w:val="Body Text First Indent 2"/>
    <w:basedOn w:val="13"/>
    <w:next w:val="1"/>
    <w:qFormat/>
    <w:uiPriority w:val="99"/>
    <w:pPr>
      <w:spacing w:after="120" w:line="240" w:lineRule="auto"/>
      <w:ind w:left="420" w:leftChars="200" w:firstLine="420" w:firstLineChars="200"/>
    </w:pPr>
  </w:style>
  <w:style w:type="character" w:styleId="28">
    <w:name w:val="page number"/>
    <w:basedOn w:val="27"/>
    <w:qFormat/>
    <w:uiPriority w:val="0"/>
  </w:style>
  <w:style w:type="paragraph" w:customStyle="1" w:styleId="29">
    <w:name w:val="Heading3"/>
    <w:basedOn w:val="1"/>
    <w:next w:val="1"/>
    <w:qFormat/>
    <w:uiPriority w:val="0"/>
    <w:pPr>
      <w:keepNext/>
      <w:keepLines/>
      <w:spacing w:before="260" w:after="260" w:line="413" w:lineRule="auto"/>
      <w:textAlignment w:val="baseline"/>
    </w:pPr>
    <w:rPr>
      <w:rFonts w:eastAsia="方正仿宋_GBK"/>
      <w:b/>
      <w:bCs/>
      <w:sz w:val="32"/>
      <w:szCs w:val="32"/>
    </w:rPr>
  </w:style>
  <w:style w:type="character" w:customStyle="1" w:styleId="30">
    <w:name w:val="NormalCharacter"/>
    <w:qFormat/>
    <w:uiPriority w:val="0"/>
    <w:rPr>
      <w:rFonts w:ascii="Tahoma" w:hAnsi="Tahoma"/>
      <w:sz w:val="24"/>
    </w:rPr>
  </w:style>
  <w:style w:type="paragraph" w:customStyle="1" w:styleId="31">
    <w:name w:val="表内容"/>
    <w:basedOn w:val="1"/>
    <w:next w:val="1"/>
    <w:qFormat/>
    <w:uiPriority w:val="0"/>
    <w:pPr>
      <w:jc w:val="center"/>
    </w:pPr>
    <w:rPr>
      <w:rFonts w:ascii="Calibri" w:hAnsi="Calibri"/>
      <w:sz w:val="21"/>
      <w:szCs w:val="24"/>
    </w:rPr>
  </w:style>
  <w:style w:type="paragraph" w:customStyle="1" w:styleId="32">
    <w:name w:val="BodyTextIndent"/>
    <w:next w:val="33"/>
    <w:qFormat/>
    <w:uiPriority w:val="0"/>
    <w:pPr>
      <w:spacing w:before="100" w:beforeAutospacing="1" w:after="100" w:afterAutospacing="1" w:line="288" w:lineRule="auto"/>
      <w:ind w:left="200" w:hanging="20"/>
      <w:jc w:val="both"/>
    </w:pPr>
    <w:rPr>
      <w:rFonts w:ascii="宋体" w:hAnsi="Times New Roman" w:eastAsia="宋体" w:cs="Times New Roman"/>
      <w:kern w:val="2"/>
      <w:sz w:val="24"/>
      <w:szCs w:val="24"/>
      <w:lang w:val="en-US" w:eastAsia="zh-CN" w:bidi="ar-SA"/>
    </w:rPr>
  </w:style>
  <w:style w:type="paragraph" w:customStyle="1" w:styleId="33">
    <w:name w:val="UserStyle_0"/>
    <w:next w:val="34"/>
    <w:qFormat/>
    <w:uiPriority w:val="0"/>
    <w:pPr>
      <w:snapToGrid w:val="0"/>
      <w:spacing w:line="560" w:lineRule="exact"/>
      <w:ind w:firstLine="200" w:firstLineChars="200"/>
      <w:jc w:val="both"/>
    </w:pPr>
    <w:rPr>
      <w:rFonts w:ascii="仿宋_GB2312" w:hAnsi="Times New Roman" w:eastAsia="仿宋_GB2312" w:cs="Times New Roman"/>
      <w:kern w:val="2"/>
      <w:sz w:val="28"/>
      <w:szCs w:val="28"/>
      <w:lang w:val="en-US" w:eastAsia="zh-CN" w:bidi="ar-SA"/>
    </w:rPr>
  </w:style>
  <w:style w:type="paragraph" w:customStyle="1" w:styleId="34">
    <w:name w:val="Index6"/>
    <w:basedOn w:val="1"/>
    <w:next w:val="1"/>
    <w:qFormat/>
    <w:uiPriority w:val="0"/>
    <w:pPr>
      <w:ind w:left="2100"/>
    </w:pPr>
  </w:style>
  <w:style w:type="paragraph" w:customStyle="1" w:styleId="3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6">
    <w:name w:val="WPSOffice手动目录 1"/>
    <w:qFormat/>
    <w:uiPriority w:val="0"/>
    <w:rPr>
      <w:rFonts w:asciiTheme="minorHAnsi" w:hAnsiTheme="minorHAnsi" w:eastAsiaTheme="minorEastAsia" w:cstheme="minorBidi"/>
      <w:lang w:val="en-US" w:eastAsia="zh-CN" w:bidi="ar-SA"/>
    </w:rPr>
  </w:style>
  <w:style w:type="paragraph" w:customStyle="1" w:styleId="3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8">
    <w:name w:val="1"/>
    <w:basedOn w:val="1"/>
    <w:next w:val="15"/>
    <w:qFormat/>
    <w:uiPriority w:val="0"/>
    <w:rPr>
      <w:rFonts w:ascii="宋体" w:hAnsi="Courier New"/>
      <w:sz w:val="21"/>
    </w:rPr>
  </w:style>
  <w:style w:type="character" w:customStyle="1" w:styleId="39">
    <w:name w:val="HTML Markup"/>
    <w:qFormat/>
    <w:uiPriority w:val="0"/>
    <w:rPr>
      <w:vanish/>
      <w:color w:val="FF0000"/>
    </w:rPr>
  </w:style>
  <w:style w:type="paragraph" w:customStyle="1" w:styleId="40">
    <w:name w:val="Blockquote"/>
    <w:basedOn w:val="1"/>
    <w:qFormat/>
    <w:uiPriority w:val="0"/>
    <w:pPr>
      <w:autoSpaceDE w:val="0"/>
      <w:autoSpaceDN w:val="0"/>
      <w:adjustRightInd w:val="0"/>
      <w:spacing w:before="100" w:after="100"/>
      <w:ind w:left="360" w:right="360"/>
      <w:jc w:val="left"/>
    </w:pPr>
    <w:rPr>
      <w:kern w:val="0"/>
      <w:sz w:val="24"/>
    </w:rPr>
  </w:style>
  <w:style w:type="paragraph" w:styleId="41">
    <w:name w:val="List Paragraph"/>
    <w:basedOn w:val="1"/>
    <w:qFormat/>
    <w:uiPriority w:val="34"/>
    <w:pPr>
      <w:ind w:firstLine="420" w:firstLineChars="200"/>
    </w:pPr>
    <w:rPr>
      <w:szCs w:val="28"/>
    </w:rPr>
  </w:style>
  <w:style w:type="character" w:customStyle="1" w:styleId="42">
    <w:name w:val="批注框文本 Char"/>
    <w:basedOn w:val="27"/>
    <w:link w:val="17"/>
    <w:qFormat/>
    <w:uiPriority w:val="0"/>
    <w:rPr>
      <w:kern w:val="2"/>
      <w:sz w:val="18"/>
      <w:szCs w:val="18"/>
    </w:rPr>
  </w:style>
  <w:style w:type="paragraph" w:customStyle="1" w:styleId="43">
    <w:name w:val="图例"/>
    <w:basedOn w:val="1"/>
    <w:qFormat/>
    <w:uiPriority w:val="0"/>
    <w:pPr>
      <w:spacing w:before="120" w:after="120" w:line="360" w:lineRule="auto"/>
      <w:jc w:val="center"/>
    </w:pPr>
    <w:rPr>
      <w:rFonts w:eastAsia="仿宋_GB2312"/>
      <w:b/>
      <w:sz w:val="24"/>
    </w:rPr>
  </w:style>
  <w:style w:type="paragraph" w:customStyle="1" w:styleId="4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5">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17485</Words>
  <Characters>18329</Characters>
  <Lines>179</Lines>
  <Paragraphs>50</Paragraphs>
  <TotalTime>5</TotalTime>
  <ScaleCrop>false</ScaleCrop>
  <LinksUpToDate>false</LinksUpToDate>
  <CharactersWithSpaces>19167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2023-03-22T17:51:00Z</dcterms:created>
  <dc:creator>聚创</dc:creator>
  <cp:lastModifiedBy>大大大胆王</cp:lastModifiedBy>
  <cp:lastPrinted>2024-07-02T08:01:00Z</cp:lastPrinted>
  <dcterms:modified xsi:type="dcterms:W3CDTF">2025-07-04T06:46:10Z</dcterms:modified>
  <dc:title>重庆市空气质量数据与气象、下垫面要素特征研究项目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7BC0BB7DA55C40029A9F353C47F967EE_13</vt:lpwstr>
  </property>
  <property fmtid="{D5CDD505-2E9C-101B-9397-08002B2CF9AE}" pid="4" name="KSOTemplateDocerSaveRecord">
    <vt:lpwstr>eyJoZGlkIjoiZmU5YTBlODAwYzVhYWZiZDE5MGJlZTQzZDVmNDdkMzMiLCJ1c2VySWQiOiIzMTM4NDcyMDAifQ==</vt:lpwstr>
  </property>
</Properties>
</file>