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A1BD2">
      <w:pPr>
        <w:ind w:firstLine="567"/>
        <w:jc w:val="center"/>
        <w:rPr>
          <w:rFonts w:hint="eastAsia" w:ascii="仿宋" w:hAnsi="仿宋" w:eastAsia="仿宋" w:cs="仿宋"/>
          <w:b/>
          <w:bCs/>
          <w:color w:val="auto"/>
          <w:sz w:val="144"/>
          <w:szCs w:val="52"/>
          <w:highlight w:val="none"/>
        </w:rPr>
      </w:pPr>
      <w:bookmarkStart w:id="0" w:name="_Toc30711"/>
      <w:bookmarkStart w:id="1" w:name="_Toc30988"/>
      <w:bookmarkStart w:id="2" w:name="_Toc19609"/>
      <w:bookmarkStart w:id="3" w:name="_Toc16779"/>
      <w:bookmarkStart w:id="4" w:name="_Toc17591"/>
      <w:bookmarkStart w:id="5" w:name="_Toc31370"/>
      <w:bookmarkStart w:id="6" w:name="_Toc7408"/>
      <w:bookmarkStart w:id="7" w:name="_Toc31917"/>
      <w:r>
        <w:rPr>
          <w:rFonts w:hint="eastAsia" w:ascii="仿宋" w:hAnsi="仿宋" w:eastAsia="仿宋" w:cs="仿宋"/>
          <w:b/>
          <w:bCs/>
          <w:color w:val="auto"/>
          <w:sz w:val="144"/>
          <w:szCs w:val="52"/>
          <w:highlight w:val="none"/>
        </w:rPr>
        <w:t>国企采购</w:t>
      </w:r>
    </w:p>
    <w:p w14:paraId="15BA1F7C">
      <w:pPr>
        <w:ind w:firstLine="567"/>
        <w:jc w:val="center"/>
        <w:rPr>
          <w:rFonts w:hint="eastAsia" w:ascii="仿宋" w:hAnsi="仿宋" w:eastAsia="仿宋" w:cs="仿宋"/>
          <w:b/>
          <w:bCs/>
          <w:color w:val="auto"/>
          <w:sz w:val="144"/>
          <w:szCs w:val="52"/>
          <w:highlight w:val="none"/>
        </w:rPr>
      </w:pPr>
      <w:r>
        <w:rPr>
          <w:rFonts w:hint="eastAsia" w:ascii="仿宋" w:hAnsi="仿宋" w:eastAsia="仿宋" w:cs="仿宋"/>
          <w:b/>
          <w:bCs/>
          <w:color w:val="auto"/>
          <w:sz w:val="144"/>
          <w:szCs w:val="52"/>
          <w:highlight w:val="none"/>
        </w:rPr>
        <w:t>竞采文件</w:t>
      </w:r>
    </w:p>
    <w:bookmarkEnd w:id="0"/>
    <w:bookmarkEnd w:id="1"/>
    <w:bookmarkEnd w:id="2"/>
    <w:bookmarkEnd w:id="3"/>
    <w:bookmarkEnd w:id="4"/>
    <w:bookmarkEnd w:id="5"/>
    <w:bookmarkEnd w:id="6"/>
    <w:bookmarkEnd w:id="7"/>
    <w:p w14:paraId="3E55C4C9">
      <w:pPr>
        <w:ind w:firstLine="567"/>
        <w:jc w:val="center"/>
        <w:rPr>
          <w:rFonts w:hint="eastAsia" w:ascii="仿宋" w:hAnsi="仿宋" w:eastAsia="仿宋" w:cs="仿宋"/>
          <w:b/>
          <w:bCs/>
          <w:color w:val="auto"/>
          <w:spacing w:val="80"/>
          <w:sz w:val="44"/>
          <w:szCs w:val="44"/>
          <w:highlight w:val="none"/>
        </w:rPr>
      </w:pPr>
      <w:r>
        <w:rPr>
          <w:rFonts w:hint="eastAsia" w:ascii="仿宋" w:hAnsi="仿宋" w:eastAsia="仿宋" w:cs="仿宋"/>
          <w:b/>
          <w:bCs/>
          <w:color w:val="auto"/>
          <w:sz w:val="72"/>
          <w:szCs w:val="44"/>
          <w:highlight w:val="none"/>
        </w:rPr>
        <w:t>（综合评分）</w:t>
      </w:r>
    </w:p>
    <w:p w14:paraId="23C6F3E0">
      <w:pPr>
        <w:ind w:firstLine="720" w:firstLineChars="200"/>
        <w:jc w:val="center"/>
        <w:rPr>
          <w:rFonts w:hint="eastAsia" w:ascii="仿宋" w:hAnsi="仿宋" w:eastAsia="仿宋" w:cs="仿宋"/>
          <w:color w:val="auto"/>
          <w:sz w:val="36"/>
          <w:szCs w:val="30"/>
          <w:highlight w:val="none"/>
          <w:lang w:val="en-US" w:eastAsia="zh-CN"/>
        </w:rPr>
      </w:pPr>
      <w:r>
        <w:rPr>
          <w:rFonts w:hint="eastAsia" w:ascii="仿宋" w:hAnsi="仿宋" w:eastAsia="仿宋" w:cs="仿宋"/>
          <w:color w:val="auto"/>
          <w:sz w:val="36"/>
          <w:szCs w:val="30"/>
          <w:highlight w:val="none"/>
          <w:lang w:val="en-US" w:eastAsia="zh-CN"/>
        </w:rPr>
        <w:t xml:space="preserve">项目编号：lfjt25C00084 </w:t>
      </w:r>
    </w:p>
    <w:p w14:paraId="235BC612">
      <w:pPr>
        <w:ind w:firstLine="720" w:firstLineChars="200"/>
        <w:jc w:val="left"/>
        <w:rPr>
          <w:rFonts w:hint="eastAsia" w:ascii="仿宋" w:hAnsi="仿宋" w:eastAsia="仿宋" w:cs="仿宋"/>
          <w:color w:val="auto"/>
          <w:sz w:val="36"/>
          <w:szCs w:val="30"/>
          <w:highlight w:val="none"/>
        </w:rPr>
      </w:pPr>
    </w:p>
    <w:p w14:paraId="78C09B35">
      <w:pPr>
        <w:ind w:firstLine="720" w:firstLineChars="200"/>
        <w:jc w:val="left"/>
        <w:rPr>
          <w:rFonts w:hint="eastAsia" w:ascii="仿宋" w:hAnsi="仿宋" w:eastAsia="仿宋" w:cs="仿宋"/>
          <w:color w:val="auto"/>
          <w:sz w:val="36"/>
          <w:szCs w:val="30"/>
          <w:highlight w:val="none"/>
        </w:rPr>
      </w:pPr>
    </w:p>
    <w:p w14:paraId="351AB2F0">
      <w:pPr>
        <w:ind w:firstLine="720" w:firstLineChars="200"/>
        <w:jc w:val="left"/>
        <w:rPr>
          <w:rFonts w:hint="eastAsia" w:ascii="仿宋" w:hAnsi="仿宋" w:eastAsia="仿宋" w:cs="仿宋"/>
          <w:color w:val="auto"/>
          <w:sz w:val="36"/>
          <w:szCs w:val="30"/>
          <w:highlight w:val="none"/>
        </w:rPr>
      </w:pPr>
    </w:p>
    <w:p w14:paraId="74479111">
      <w:pPr>
        <w:pStyle w:val="6"/>
        <w:jc w:val="center"/>
        <w:rPr>
          <w:rFonts w:hint="eastAsia" w:ascii="仿宋" w:hAnsi="仿宋" w:eastAsia="仿宋" w:cs="仿宋"/>
          <w:color w:val="auto"/>
          <w:sz w:val="36"/>
          <w:szCs w:val="30"/>
          <w:highlight w:val="none"/>
          <w:lang w:eastAsia="zh-CN"/>
        </w:rPr>
      </w:pPr>
      <w:bookmarkStart w:id="8" w:name="_Hlk111636989"/>
      <w:r>
        <w:rPr>
          <w:rFonts w:hint="eastAsia" w:ascii="仿宋" w:hAnsi="仿宋" w:eastAsia="仿宋" w:cs="仿宋"/>
          <w:color w:val="auto"/>
          <w:sz w:val="36"/>
          <w:szCs w:val="30"/>
          <w:highlight w:val="none"/>
        </w:rPr>
        <w:t>项目名称：</w:t>
      </w:r>
      <w:bookmarkEnd w:id="8"/>
      <w:bookmarkStart w:id="224" w:name="_GoBack"/>
      <w:r>
        <w:rPr>
          <w:rFonts w:hint="eastAsia" w:ascii="仿宋" w:hAnsi="仿宋" w:eastAsia="仿宋" w:cs="仿宋"/>
          <w:color w:val="auto"/>
          <w:sz w:val="36"/>
          <w:szCs w:val="30"/>
          <w:highlight w:val="none"/>
          <w:lang w:eastAsia="zh-CN"/>
        </w:rPr>
        <w:t>生物制造中试平台项目申报咨询服务采购</w:t>
      </w:r>
      <w:bookmarkEnd w:id="224"/>
      <w:r>
        <w:rPr>
          <w:rFonts w:hint="eastAsia" w:ascii="仿宋" w:hAnsi="仿宋" w:eastAsia="仿宋" w:cs="仿宋"/>
          <w:color w:val="auto"/>
          <w:sz w:val="36"/>
          <w:szCs w:val="30"/>
          <w:highlight w:val="none"/>
          <w:lang w:eastAsia="zh-CN"/>
        </w:rPr>
        <w:t>(第二次)</w:t>
      </w:r>
    </w:p>
    <w:p w14:paraId="789537CD">
      <w:pPr>
        <w:pStyle w:val="6"/>
        <w:ind w:firstLine="640"/>
        <w:rPr>
          <w:rFonts w:hint="eastAsia" w:ascii="仿宋" w:hAnsi="仿宋" w:eastAsia="仿宋" w:cs="仿宋"/>
          <w:color w:val="auto"/>
          <w:highlight w:val="none"/>
        </w:rPr>
      </w:pPr>
    </w:p>
    <w:p w14:paraId="30F83EFB">
      <w:pPr>
        <w:pStyle w:val="6"/>
        <w:ind w:firstLine="640"/>
        <w:rPr>
          <w:rFonts w:hint="eastAsia" w:ascii="仿宋" w:hAnsi="仿宋" w:eastAsia="仿宋" w:cs="仿宋"/>
          <w:color w:val="auto"/>
          <w:highlight w:val="none"/>
        </w:rPr>
      </w:pPr>
    </w:p>
    <w:p w14:paraId="72E15630">
      <w:pPr>
        <w:pStyle w:val="6"/>
        <w:ind w:firstLine="640"/>
        <w:rPr>
          <w:rFonts w:hint="eastAsia" w:ascii="仿宋" w:hAnsi="仿宋" w:eastAsia="仿宋" w:cs="仿宋"/>
          <w:color w:val="auto"/>
          <w:highlight w:val="none"/>
        </w:rPr>
      </w:pPr>
    </w:p>
    <w:p w14:paraId="53357226">
      <w:pPr>
        <w:pStyle w:val="6"/>
        <w:ind w:firstLine="640"/>
        <w:rPr>
          <w:rFonts w:hint="eastAsia" w:ascii="仿宋" w:hAnsi="仿宋" w:eastAsia="仿宋" w:cs="仿宋"/>
          <w:color w:val="auto"/>
          <w:highlight w:val="none"/>
        </w:rPr>
      </w:pPr>
    </w:p>
    <w:p w14:paraId="0887F96C">
      <w:pPr>
        <w:pStyle w:val="6"/>
        <w:ind w:firstLine="640"/>
        <w:rPr>
          <w:rFonts w:hint="eastAsia" w:ascii="仿宋" w:hAnsi="仿宋" w:eastAsia="仿宋" w:cs="仿宋"/>
          <w:color w:val="auto"/>
          <w:highlight w:val="none"/>
        </w:rPr>
      </w:pPr>
    </w:p>
    <w:p w14:paraId="0F8AB2C7">
      <w:pPr>
        <w:pStyle w:val="6"/>
        <w:ind w:firstLine="640"/>
        <w:rPr>
          <w:rFonts w:hint="eastAsia" w:ascii="仿宋" w:hAnsi="仿宋" w:eastAsia="仿宋" w:cs="仿宋"/>
          <w:color w:val="auto"/>
          <w:highlight w:val="none"/>
        </w:rPr>
      </w:pPr>
    </w:p>
    <w:p w14:paraId="56F94725">
      <w:pPr>
        <w:ind w:firstLine="720" w:firstLineChars="200"/>
        <w:jc w:val="left"/>
        <w:rPr>
          <w:rFonts w:hint="eastAsia" w:ascii="仿宋" w:hAnsi="仿宋" w:eastAsia="仿宋" w:cs="仿宋"/>
          <w:color w:val="auto"/>
          <w:sz w:val="36"/>
          <w:szCs w:val="30"/>
          <w:highlight w:val="none"/>
          <w:lang w:eastAsia="zh-CN"/>
        </w:rPr>
      </w:pPr>
      <w:r>
        <w:rPr>
          <w:rFonts w:hint="eastAsia" w:ascii="仿宋" w:hAnsi="仿宋" w:eastAsia="仿宋" w:cs="仿宋"/>
          <w:color w:val="auto"/>
          <w:sz w:val="36"/>
          <w:szCs w:val="30"/>
          <w:highlight w:val="none"/>
        </w:rPr>
        <w:t>采购人：</w:t>
      </w:r>
      <w:r>
        <w:rPr>
          <w:rFonts w:hint="eastAsia" w:ascii="仿宋" w:hAnsi="仿宋" w:eastAsia="仿宋" w:cs="仿宋"/>
          <w:color w:val="auto"/>
          <w:sz w:val="36"/>
          <w:szCs w:val="30"/>
          <w:highlight w:val="none"/>
          <w:lang w:eastAsia="zh-CN"/>
        </w:rPr>
        <w:t>重庆绿发实业集团有限公司</w:t>
      </w:r>
    </w:p>
    <w:p w14:paraId="342B41E4">
      <w:pPr>
        <w:ind w:firstLine="720" w:firstLineChars="200"/>
        <w:jc w:val="left"/>
        <w:rPr>
          <w:rFonts w:hint="eastAsia" w:ascii="仿宋" w:hAnsi="仿宋" w:eastAsia="仿宋" w:cs="仿宋"/>
          <w:color w:val="auto"/>
          <w:sz w:val="36"/>
          <w:szCs w:val="30"/>
          <w:highlight w:val="none"/>
          <w:lang w:eastAsia="zh-CN"/>
        </w:rPr>
      </w:pPr>
      <w:r>
        <w:rPr>
          <w:rFonts w:hint="eastAsia" w:ascii="仿宋" w:hAnsi="仿宋" w:eastAsia="仿宋" w:cs="仿宋"/>
          <w:color w:val="auto"/>
          <w:sz w:val="36"/>
          <w:szCs w:val="30"/>
          <w:highlight w:val="none"/>
        </w:rPr>
        <w:t>采购代理机构：</w:t>
      </w:r>
      <w:r>
        <w:rPr>
          <w:rFonts w:hint="eastAsia" w:ascii="仿宋" w:hAnsi="仿宋" w:eastAsia="仿宋" w:cs="仿宋"/>
          <w:color w:val="auto"/>
          <w:sz w:val="36"/>
          <w:szCs w:val="30"/>
          <w:highlight w:val="none"/>
          <w:lang w:eastAsia="zh-CN"/>
        </w:rPr>
        <w:t>重庆标友工程管理咨询有限公司</w:t>
      </w:r>
    </w:p>
    <w:p w14:paraId="7A8B8D6F">
      <w:pPr>
        <w:pStyle w:val="6"/>
        <w:ind w:firstLine="640"/>
        <w:rPr>
          <w:rFonts w:hint="eastAsia" w:ascii="仿宋" w:hAnsi="仿宋" w:eastAsia="仿宋" w:cs="仿宋"/>
          <w:color w:val="auto"/>
          <w:highlight w:val="none"/>
        </w:rPr>
      </w:pPr>
    </w:p>
    <w:p w14:paraId="56BDD1B6">
      <w:pPr>
        <w:pStyle w:val="6"/>
        <w:ind w:firstLine="640"/>
        <w:rPr>
          <w:rFonts w:hint="eastAsia" w:ascii="仿宋" w:hAnsi="仿宋" w:eastAsia="仿宋" w:cs="仿宋"/>
          <w:color w:val="auto"/>
          <w:highlight w:val="none"/>
        </w:rPr>
      </w:pPr>
    </w:p>
    <w:p w14:paraId="4B230CA8">
      <w:pPr>
        <w:pStyle w:val="6"/>
        <w:jc w:val="center"/>
        <w:rPr>
          <w:rFonts w:hint="eastAsia" w:ascii="仿宋" w:hAnsi="仿宋" w:eastAsia="仿宋" w:cs="仿宋"/>
          <w:color w:val="auto"/>
          <w:sz w:val="36"/>
          <w:szCs w:val="30"/>
          <w:highlight w:val="none"/>
        </w:rPr>
      </w:pPr>
      <w:r>
        <w:rPr>
          <w:rFonts w:hint="eastAsia" w:ascii="仿宋" w:hAnsi="仿宋" w:eastAsia="仿宋" w:cs="仿宋"/>
          <w:color w:val="auto"/>
          <w:sz w:val="36"/>
          <w:szCs w:val="30"/>
          <w:highlight w:val="none"/>
        </w:rPr>
        <w:t>二〇二五年</w:t>
      </w:r>
      <w:r>
        <w:rPr>
          <w:rFonts w:hint="eastAsia" w:ascii="仿宋" w:hAnsi="仿宋" w:eastAsia="仿宋" w:cs="仿宋"/>
          <w:color w:val="auto"/>
          <w:sz w:val="36"/>
          <w:szCs w:val="30"/>
          <w:highlight w:val="none"/>
          <w:lang w:val="en-US" w:eastAsia="zh-CN"/>
        </w:rPr>
        <w:t>五</w:t>
      </w:r>
      <w:r>
        <w:rPr>
          <w:rFonts w:hint="eastAsia" w:ascii="仿宋" w:hAnsi="仿宋" w:eastAsia="仿宋" w:cs="仿宋"/>
          <w:color w:val="auto"/>
          <w:sz w:val="36"/>
          <w:szCs w:val="30"/>
          <w:highlight w:val="none"/>
        </w:rPr>
        <w:t>月</w:t>
      </w:r>
    </w:p>
    <w:p w14:paraId="61DE40DB">
      <w:pPr>
        <w:pStyle w:val="6"/>
        <w:ind w:firstLine="640"/>
        <w:rPr>
          <w:rFonts w:hint="eastAsia" w:ascii="仿宋" w:hAnsi="仿宋" w:eastAsia="仿宋" w:cs="仿宋"/>
          <w:color w:val="auto"/>
          <w:highlight w:val="none"/>
        </w:rPr>
      </w:pPr>
    </w:p>
    <w:p w14:paraId="71875AB0">
      <w:pPr>
        <w:pStyle w:val="6"/>
        <w:ind w:firstLine="640"/>
        <w:rPr>
          <w:rFonts w:hint="eastAsia" w:ascii="仿宋" w:hAnsi="仿宋" w:eastAsia="仿宋" w:cs="仿宋"/>
          <w:color w:val="auto"/>
          <w:highlight w:val="none"/>
        </w:rPr>
      </w:pPr>
    </w:p>
    <w:p w14:paraId="6272DE9F">
      <w:pPr>
        <w:rPr>
          <w:rFonts w:hint="eastAsia" w:ascii="仿宋" w:hAnsi="仿宋" w:eastAsia="仿宋" w:cs="仿宋"/>
          <w:color w:val="auto"/>
          <w:highlight w:val="none"/>
        </w:rPr>
      </w:pPr>
      <w:r>
        <w:rPr>
          <w:rFonts w:hint="eastAsia" w:ascii="仿宋" w:hAnsi="仿宋" w:eastAsia="仿宋" w:cs="仿宋"/>
          <w:color w:val="auto"/>
          <w:highlight w:val="none"/>
        </w:rPr>
        <w:br w:type="page"/>
      </w:r>
    </w:p>
    <w:sdt>
      <w:sdtPr>
        <w:rPr>
          <w:rFonts w:hint="eastAsia" w:ascii="仿宋" w:hAnsi="仿宋" w:eastAsia="仿宋" w:cs="仿宋"/>
          <w:color w:val="auto"/>
          <w:sz w:val="21"/>
          <w:highlight w:val="none"/>
        </w:rPr>
        <w:id w:val="147465042"/>
        <w15:color w:val="DBDBDB"/>
        <w:docPartObj>
          <w:docPartGallery w:val="Table of Contents"/>
          <w:docPartUnique/>
        </w:docPartObj>
      </w:sdtPr>
      <w:sdtEndPr>
        <w:rPr>
          <w:rFonts w:hint="eastAsia" w:ascii="仿宋" w:hAnsi="仿宋" w:eastAsia="仿宋" w:cs="仿宋"/>
          <w:color w:val="auto"/>
          <w:sz w:val="28"/>
          <w:szCs w:val="28"/>
          <w:highlight w:val="none"/>
        </w:rPr>
      </w:sdtEndPr>
      <w:sdtContent>
        <w:p w14:paraId="6F9BF2AC">
          <w:pPr>
            <w:ind w:firstLine="420"/>
            <w:jc w:val="center"/>
            <w:rPr>
              <w:rFonts w:hint="eastAsia" w:ascii="仿宋" w:hAnsi="仿宋" w:eastAsia="仿宋" w:cs="仿宋"/>
              <w:color w:val="auto"/>
              <w:szCs w:val="28"/>
              <w:highlight w:val="none"/>
            </w:rPr>
          </w:pPr>
          <w:r>
            <w:rPr>
              <w:rFonts w:hint="eastAsia" w:ascii="仿宋" w:hAnsi="仿宋" w:eastAsia="仿宋" w:cs="仿宋"/>
              <w:color w:val="auto"/>
              <w:sz w:val="40"/>
              <w:szCs w:val="40"/>
              <w:highlight w:val="none"/>
            </w:rPr>
            <w:t>目录</w:t>
          </w:r>
        </w:p>
        <w:p w14:paraId="26CCCECB">
          <w:pPr>
            <w:pStyle w:val="14"/>
            <w:tabs>
              <w:tab w:val="right" w:leader="dot" w:pos="9402"/>
            </w:tabs>
            <w:ind w:firstLine="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"1-3"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"_Toc183783127"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第一篇  竞采邀请书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_Toc183783127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A2616CB">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"_Toc183783128"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一、竞采项目内容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_Toc183783128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2452371">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"_Toc183783129"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二、资金来源</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_Toc183783129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16D7AA4">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"_Toc183783130"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三、竞采资格条件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006E88E">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"_Toc183783131"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四、竞采有关说明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414568A">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"_Toc183783132"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五、联系方式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B48ECDC">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"_Toc183783133"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六、其它有关规定</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7B39029">
          <w:pPr>
            <w:pStyle w:val="14"/>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"_Toc183783134"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第二篇  项目服务需求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EAE3F5F">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"_Toc183783135"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一、 招标项目一览表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DC20E7C">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"_Toc183783136"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二、招标项目服务需求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8B25EE5">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"_Toc183783137"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三、其他要求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DEF6BB5">
          <w:pPr>
            <w:pStyle w:val="14"/>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"_Toc183783138"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第三篇 项目商务需求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503C38B">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"_Toc183783139"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一、服务期、地点及验收方式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C71553A">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"_Toc183783140"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二、报价要求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2DF98F1">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"_Toc183783141"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三、付款方式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6FB2D97">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"_Toc183783142"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四、安全责任</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D10E41B">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"_Toc183783143"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五、其他商务要求内容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C0BA92A">
          <w:pPr>
            <w:pStyle w:val="14"/>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"_Toc183783144"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第四篇  竞采程序、评标办法、无效响应及采购终止</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- 8 -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665836D">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"_Toc183783145"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一、网上竞采程序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- 8 -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F6FDE44">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"_Toc183783146"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二、评审标准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- 9 -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1AE9F3C">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"_Toc183783147"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三、无效响应</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- 12 -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31F940B">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"_Toc183783148"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四、采购终止</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- 12 -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D7F3C44">
          <w:pPr>
            <w:pStyle w:val="14"/>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"_Toc183783149"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 xml:space="preserve">第五篇 </w:t>
          </w:r>
          <w:r>
            <w:rPr>
              <w:rStyle w:val="21"/>
              <w:rFonts w:hint="eastAsia" w:ascii="仿宋" w:hAnsi="仿宋" w:eastAsia="仿宋" w:cs="仿宋"/>
              <w:color w:val="auto"/>
              <w:highlight w:val="none"/>
              <w:lang w:eastAsia="zh-CN"/>
            </w:rPr>
            <w:t>供应商</w:t>
          </w:r>
          <w:r>
            <w:rPr>
              <w:rStyle w:val="21"/>
              <w:rFonts w:hint="eastAsia" w:ascii="仿宋" w:hAnsi="仿宋" w:eastAsia="仿宋" w:cs="仿宋"/>
              <w:color w:val="auto"/>
              <w:highlight w:val="none"/>
            </w:rPr>
            <w:t>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537E779">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"_Toc183783150"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一、竞采费用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CB806F0">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"_Toc183783151"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二、竞采文件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AEF1A4D">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"_Toc183783152"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三、竞采要求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1D0D238">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"_Toc183783153"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五、成交通知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31D6471">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"_Toc183783154"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六、关于质疑和投诉</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9A32270">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"_Toc183783155"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七、采购代理服务费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26CF5EE">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"_Toc183783156"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八、签订合同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923A419">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"_Toc183783157"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九、项目验收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75B177E">
          <w:pPr>
            <w:pStyle w:val="14"/>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"_Toc183783158"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第六篇  网上竞采合同（格式）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CA11065">
          <w:pPr>
            <w:pStyle w:val="14"/>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"_Toc183783159"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第七篇  响应文件编制要求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9FEC172">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"_Toc183783160"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一、经济部分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D4FE239">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"_Toc183783161"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二、服务部分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CA653D6">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"_Toc183783162"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三、商务文件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3EB1C40">
          <w:pPr>
            <w:pStyle w:val="16"/>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"_Toc183783163" </w:instrText>
          </w:r>
          <w:r>
            <w:rPr>
              <w:rFonts w:hint="eastAsia" w:ascii="仿宋" w:hAnsi="仿宋" w:eastAsia="仿宋" w:cs="仿宋"/>
              <w:color w:val="auto"/>
              <w:highlight w:val="none"/>
            </w:rPr>
            <w:fldChar w:fldCharType="separate"/>
          </w:r>
          <w:r>
            <w:rPr>
              <w:rStyle w:val="21"/>
              <w:rFonts w:hint="eastAsia" w:ascii="仿宋" w:hAnsi="仿宋" w:eastAsia="仿宋" w:cs="仿宋"/>
              <w:color w:val="auto"/>
              <w:highlight w:val="none"/>
            </w:rPr>
            <w:t>四、资格证明文件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- 29 -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CD298A7">
          <w:pPr>
            <w:pStyle w:val="16"/>
            <w:tabs>
              <w:tab w:val="right" w:leader="dot" w:pos="9402"/>
            </w:tabs>
            <w:ind w:left="560"/>
            <w:rPr>
              <w:rFonts w:hint="eastAsia" w:ascii="仿宋" w:hAnsi="仿宋" w:eastAsia="仿宋" w:cs="仿宋"/>
              <w:color w:val="auto"/>
              <w:szCs w:val="28"/>
              <w:highlight w:val="none"/>
            </w:rPr>
          </w:pPr>
          <w:r>
            <w:rPr>
              <w:rFonts w:hint="eastAsia" w:ascii="仿宋" w:hAnsi="仿宋" w:eastAsia="仿宋" w:cs="仿宋"/>
              <w:color w:val="auto"/>
              <w:szCs w:val="28"/>
              <w:highlight w:val="none"/>
            </w:rPr>
            <w:fldChar w:fldCharType="end"/>
          </w:r>
        </w:p>
      </w:sdtContent>
    </w:sdt>
    <w:p w14:paraId="46370D45">
      <w:pPr>
        <w:pStyle w:val="6"/>
        <w:ind w:firstLine="880"/>
        <w:jc w:val="center"/>
        <w:rPr>
          <w:rFonts w:hint="eastAsia" w:ascii="仿宋" w:hAnsi="仿宋" w:eastAsia="仿宋" w:cs="仿宋"/>
          <w:b/>
          <w:bCs/>
          <w:color w:val="auto"/>
          <w:spacing w:val="80"/>
          <w:sz w:val="44"/>
          <w:szCs w:val="44"/>
          <w:highlight w:val="none"/>
        </w:rPr>
      </w:pPr>
      <w:r>
        <w:rPr>
          <w:rFonts w:hint="eastAsia" w:ascii="仿宋" w:hAnsi="仿宋" w:eastAsia="仿宋" w:cs="仿宋"/>
          <w:color w:val="auto"/>
          <w:sz w:val="44"/>
          <w:szCs w:val="28"/>
          <w:highlight w:val="none"/>
        </w:rPr>
        <w:t xml:space="preserve">   </w:t>
      </w:r>
      <w:r>
        <w:rPr>
          <w:rFonts w:hint="eastAsia" w:ascii="仿宋" w:hAnsi="仿宋" w:eastAsia="仿宋" w:cs="仿宋"/>
          <w:color w:val="auto"/>
          <w:sz w:val="44"/>
          <w:szCs w:val="28"/>
          <w:highlight w:val="none"/>
        </w:rPr>
        <w:br w:type="page"/>
      </w:r>
    </w:p>
    <w:p w14:paraId="4904D84C">
      <w:pPr>
        <w:pStyle w:val="2"/>
        <w:spacing w:line="240" w:lineRule="auto"/>
        <w:ind w:firstLine="883"/>
        <w:jc w:val="center"/>
        <w:rPr>
          <w:rFonts w:hint="eastAsia" w:ascii="仿宋" w:hAnsi="仿宋" w:eastAsia="仿宋" w:cs="仿宋"/>
          <w:color w:val="auto"/>
          <w:highlight w:val="none"/>
        </w:rPr>
      </w:pPr>
      <w:bookmarkStart w:id="9" w:name="_Toc106030870"/>
      <w:bookmarkStart w:id="10" w:name="_Toc11641050"/>
      <w:bookmarkStart w:id="11" w:name="_Toc183783127"/>
      <w:bookmarkStart w:id="12" w:name="_Toc12789052"/>
      <w:bookmarkStart w:id="13" w:name="_Toc76462316"/>
      <w:r>
        <w:rPr>
          <w:rFonts w:hint="eastAsia" w:ascii="仿宋" w:hAnsi="仿宋" w:eastAsia="仿宋" w:cs="仿宋"/>
          <w:color w:val="auto"/>
          <w:highlight w:val="none"/>
        </w:rPr>
        <w:t>第一篇  竞采邀请书</w:t>
      </w:r>
      <w:bookmarkEnd w:id="9"/>
      <w:bookmarkEnd w:id="10"/>
      <w:bookmarkEnd w:id="11"/>
      <w:bookmarkEnd w:id="12"/>
      <w:bookmarkEnd w:id="13"/>
    </w:p>
    <w:p w14:paraId="1CD547BA">
      <w:pPr>
        <w:snapToGrid w:val="0"/>
        <w:ind w:firstLine="480" w:firstLineChars="200"/>
        <w:rPr>
          <w:rFonts w:hint="eastAsia" w:ascii="仿宋" w:hAnsi="仿宋" w:eastAsia="仿宋" w:cs="仿宋"/>
          <w:b/>
          <w:bCs/>
          <w:color w:val="auto"/>
          <w:spacing w:val="80"/>
          <w:sz w:val="44"/>
          <w:szCs w:val="44"/>
          <w:highlight w:val="none"/>
        </w:rPr>
      </w:pPr>
      <w:r>
        <w:rPr>
          <w:rFonts w:hint="eastAsia" w:ascii="仿宋" w:hAnsi="仿宋" w:eastAsia="仿宋" w:cs="仿宋"/>
          <w:color w:val="auto"/>
          <w:sz w:val="24"/>
          <w:szCs w:val="24"/>
          <w:highlight w:val="none"/>
          <w:u w:val="single"/>
          <w:lang w:eastAsia="zh-CN"/>
        </w:rPr>
        <w:t>重庆标友工程管理咨询有限公司</w:t>
      </w:r>
      <w:r>
        <w:rPr>
          <w:rFonts w:hint="eastAsia" w:ascii="仿宋" w:hAnsi="仿宋" w:eastAsia="仿宋" w:cs="仿宋"/>
          <w:color w:val="auto"/>
          <w:sz w:val="24"/>
          <w:szCs w:val="24"/>
          <w:highlight w:val="none"/>
        </w:rPr>
        <w:t>（以下简称：采购代理机构）受</w:t>
      </w:r>
      <w:r>
        <w:rPr>
          <w:rFonts w:hint="eastAsia" w:ascii="仿宋" w:hAnsi="仿宋" w:eastAsia="仿宋" w:cs="仿宋"/>
          <w:color w:val="auto"/>
          <w:sz w:val="24"/>
          <w:szCs w:val="24"/>
          <w:highlight w:val="none"/>
          <w:u w:val="single"/>
          <w:lang w:eastAsia="zh-CN"/>
        </w:rPr>
        <w:t>重庆绿发实业集团有限公司</w:t>
      </w:r>
      <w:r>
        <w:rPr>
          <w:rFonts w:hint="eastAsia" w:ascii="仿宋" w:hAnsi="仿宋" w:eastAsia="仿宋" w:cs="仿宋"/>
          <w:color w:val="auto"/>
          <w:sz w:val="24"/>
          <w:szCs w:val="24"/>
          <w:highlight w:val="none"/>
        </w:rPr>
        <w:t>（以下简称：采购人）的委托，对</w:t>
      </w:r>
      <w:r>
        <w:rPr>
          <w:rFonts w:hint="eastAsia" w:ascii="仿宋" w:hAnsi="仿宋" w:eastAsia="仿宋" w:cs="仿宋"/>
          <w:color w:val="auto"/>
          <w:sz w:val="24"/>
          <w:szCs w:val="24"/>
          <w:highlight w:val="none"/>
          <w:u w:val="single"/>
          <w:lang w:eastAsia="zh-CN"/>
        </w:rPr>
        <w:t>生物制造中试平台项目申报咨询服务采购(第二次)</w:t>
      </w:r>
      <w:r>
        <w:rPr>
          <w:rFonts w:hint="eastAsia" w:ascii="仿宋" w:hAnsi="仿宋" w:eastAsia="仿宋" w:cs="仿宋"/>
          <w:color w:val="auto"/>
          <w:sz w:val="24"/>
          <w:szCs w:val="24"/>
          <w:highlight w:val="none"/>
        </w:rPr>
        <w:t>进行网上竞采采购。欢迎有资格的供应商前来参与网上竞采。</w:t>
      </w:r>
    </w:p>
    <w:p w14:paraId="3D2D6D7B">
      <w:pPr>
        <w:pStyle w:val="3"/>
        <w:spacing w:line="240" w:lineRule="auto"/>
        <w:ind w:firstLine="643"/>
        <w:rPr>
          <w:rFonts w:hint="eastAsia" w:ascii="仿宋" w:hAnsi="仿宋" w:eastAsia="仿宋" w:cs="仿宋"/>
          <w:color w:val="auto"/>
          <w:highlight w:val="none"/>
        </w:rPr>
      </w:pPr>
      <w:bookmarkStart w:id="14" w:name="_Toc12808"/>
      <w:bookmarkStart w:id="15" w:name="_Toc183783128"/>
      <w:bookmarkStart w:id="16" w:name="_Toc313893526"/>
      <w:bookmarkStart w:id="17" w:name="_Toc18881"/>
      <w:bookmarkStart w:id="18" w:name="_Toc317775175"/>
      <w:bookmarkStart w:id="19" w:name="_Toc7625"/>
      <w:bookmarkStart w:id="20" w:name="_Toc25458"/>
      <w:bookmarkStart w:id="21" w:name="_Toc18159"/>
      <w:bookmarkStart w:id="22" w:name="_Toc3463"/>
      <w:bookmarkStart w:id="23" w:name="_Toc26820"/>
      <w:r>
        <w:rPr>
          <w:rFonts w:hint="eastAsia" w:ascii="仿宋" w:hAnsi="仿宋" w:eastAsia="仿宋" w:cs="仿宋"/>
          <w:color w:val="auto"/>
          <w:highlight w:val="none"/>
        </w:rPr>
        <w:t>一、竞采项目内容</w:t>
      </w:r>
      <w:bookmarkEnd w:id="14"/>
      <w:bookmarkEnd w:id="15"/>
      <w:bookmarkEnd w:id="16"/>
      <w:bookmarkEnd w:id="17"/>
      <w:bookmarkEnd w:id="18"/>
      <w:bookmarkEnd w:id="19"/>
      <w:bookmarkEnd w:id="20"/>
      <w:bookmarkEnd w:id="21"/>
      <w:bookmarkEnd w:id="22"/>
      <w:bookmarkEnd w:id="23"/>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7"/>
        <w:gridCol w:w="1988"/>
        <w:gridCol w:w="1500"/>
        <w:gridCol w:w="2071"/>
      </w:tblGrid>
      <w:tr w14:paraId="7A52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9" w:type="pct"/>
            <w:tcBorders>
              <w:top w:val="single" w:color="auto" w:sz="4" w:space="0"/>
              <w:left w:val="single" w:color="auto" w:sz="4" w:space="0"/>
              <w:right w:val="single" w:color="auto" w:sz="4" w:space="0"/>
            </w:tcBorders>
            <w:vAlign w:val="center"/>
          </w:tcPr>
          <w:p w14:paraId="12CDE965">
            <w:pPr>
              <w:widowControl/>
              <w:ind w:firstLine="482"/>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项目名称</w:t>
            </w:r>
          </w:p>
        </w:tc>
        <w:tc>
          <w:tcPr>
            <w:tcW w:w="990" w:type="pct"/>
            <w:tcBorders>
              <w:top w:val="single" w:color="auto" w:sz="4" w:space="0"/>
              <w:left w:val="single" w:color="auto" w:sz="4" w:space="0"/>
              <w:right w:val="single" w:color="auto" w:sz="4" w:space="0"/>
            </w:tcBorders>
            <w:vAlign w:val="center"/>
          </w:tcPr>
          <w:p w14:paraId="34D5FB9B">
            <w:pPr>
              <w:widowControl/>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最高限价（元）</w:t>
            </w:r>
          </w:p>
        </w:tc>
        <w:tc>
          <w:tcPr>
            <w:tcW w:w="747" w:type="pct"/>
            <w:tcBorders>
              <w:top w:val="single" w:color="auto" w:sz="4" w:space="0"/>
              <w:left w:val="single" w:color="auto" w:sz="4" w:space="0"/>
              <w:right w:val="single" w:color="auto" w:sz="4" w:space="0"/>
            </w:tcBorders>
            <w:vAlign w:val="center"/>
          </w:tcPr>
          <w:p w14:paraId="10223883">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成交供应商数量（名）</w:t>
            </w:r>
          </w:p>
        </w:tc>
        <w:tc>
          <w:tcPr>
            <w:tcW w:w="1031" w:type="pct"/>
            <w:tcBorders>
              <w:top w:val="single" w:color="auto" w:sz="4" w:space="0"/>
              <w:left w:val="single" w:color="auto" w:sz="4" w:space="0"/>
              <w:right w:val="single" w:color="auto" w:sz="4" w:space="0"/>
            </w:tcBorders>
            <w:vAlign w:val="center"/>
          </w:tcPr>
          <w:p w14:paraId="0BDEB859">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14:paraId="545D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229" w:type="pct"/>
            <w:tcBorders>
              <w:top w:val="single" w:color="auto" w:sz="4" w:space="0"/>
              <w:left w:val="single" w:color="auto" w:sz="4" w:space="0"/>
              <w:right w:val="single" w:color="auto" w:sz="4" w:space="0"/>
            </w:tcBorders>
            <w:vAlign w:val="center"/>
          </w:tcPr>
          <w:p w14:paraId="56843CC4">
            <w:pPr>
              <w:widowControl/>
              <w:jc w:val="center"/>
              <w:rPr>
                <w:rFonts w:hint="eastAsia" w:ascii="仿宋" w:hAnsi="仿宋" w:eastAsia="仿宋" w:cs="仿宋"/>
                <w:color w:val="auto"/>
                <w:kern w:val="0"/>
                <w:sz w:val="24"/>
                <w:szCs w:val="24"/>
                <w:highlight w:val="none"/>
                <w:lang w:eastAsia="zh-CN"/>
              </w:rPr>
            </w:pPr>
            <w:bookmarkStart w:id="24" w:name="_Hlk344477914"/>
            <w:r>
              <w:rPr>
                <w:rFonts w:hint="eastAsia" w:ascii="仿宋" w:hAnsi="仿宋" w:eastAsia="仿宋" w:cs="仿宋"/>
                <w:color w:val="auto"/>
                <w:kern w:val="0"/>
                <w:sz w:val="24"/>
                <w:szCs w:val="24"/>
                <w:highlight w:val="none"/>
                <w:lang w:eastAsia="zh-CN"/>
              </w:rPr>
              <w:t>生物制造中试平台项目申报咨询服务采购(第二次)</w:t>
            </w:r>
          </w:p>
        </w:tc>
        <w:tc>
          <w:tcPr>
            <w:tcW w:w="990" w:type="pct"/>
            <w:tcBorders>
              <w:top w:val="single" w:color="auto" w:sz="4" w:space="0"/>
              <w:left w:val="single" w:color="auto" w:sz="4" w:space="0"/>
              <w:right w:val="single" w:color="auto" w:sz="4" w:space="0"/>
            </w:tcBorders>
            <w:vAlign w:val="center"/>
          </w:tcPr>
          <w:p w14:paraId="2A1C0B7D">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840000.00</w:t>
            </w:r>
          </w:p>
        </w:tc>
        <w:tc>
          <w:tcPr>
            <w:tcW w:w="747" w:type="pct"/>
            <w:tcBorders>
              <w:top w:val="single" w:color="auto" w:sz="4" w:space="0"/>
              <w:left w:val="single" w:color="auto" w:sz="4" w:space="0"/>
              <w:right w:val="single" w:color="auto" w:sz="4" w:space="0"/>
            </w:tcBorders>
            <w:vAlign w:val="center"/>
          </w:tcPr>
          <w:p w14:paraId="10F17D8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031" w:type="pct"/>
            <w:tcBorders>
              <w:top w:val="single" w:color="auto" w:sz="4" w:space="0"/>
              <w:left w:val="single" w:color="auto" w:sz="4" w:space="0"/>
              <w:right w:val="single" w:color="auto" w:sz="4" w:space="0"/>
            </w:tcBorders>
            <w:vAlign w:val="center"/>
          </w:tcPr>
          <w:p w14:paraId="1B6A341C">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r>
      <w:bookmarkEnd w:id="24"/>
    </w:tbl>
    <w:p w14:paraId="3024336A">
      <w:pPr>
        <w:pStyle w:val="3"/>
        <w:spacing w:line="240" w:lineRule="auto"/>
        <w:ind w:firstLine="643"/>
        <w:rPr>
          <w:rFonts w:hint="eastAsia" w:ascii="仿宋" w:hAnsi="仿宋" w:eastAsia="仿宋" w:cs="仿宋"/>
          <w:color w:val="auto"/>
          <w:highlight w:val="none"/>
        </w:rPr>
      </w:pPr>
      <w:bookmarkStart w:id="25" w:name="_Toc183783129"/>
      <w:bookmarkStart w:id="26" w:name="_Toc25190"/>
      <w:bookmarkStart w:id="27" w:name="_Toc22399"/>
      <w:bookmarkStart w:id="28" w:name="_Toc19437"/>
      <w:bookmarkStart w:id="29" w:name="_Toc15727"/>
      <w:bookmarkStart w:id="30" w:name="_Toc15576"/>
      <w:bookmarkStart w:id="31" w:name="_Toc1790"/>
      <w:bookmarkStart w:id="32" w:name="_Toc6462"/>
      <w:bookmarkStart w:id="33" w:name="_Toc317775178"/>
      <w:bookmarkStart w:id="34" w:name="_Toc373860293"/>
      <w:r>
        <w:rPr>
          <w:rFonts w:hint="eastAsia" w:ascii="仿宋" w:hAnsi="仿宋" w:eastAsia="仿宋" w:cs="仿宋"/>
          <w:color w:val="auto"/>
          <w:highlight w:val="none"/>
        </w:rPr>
        <w:t>二、资金来源</w:t>
      </w:r>
      <w:bookmarkEnd w:id="25"/>
    </w:p>
    <w:p w14:paraId="77D52E24">
      <w:pPr>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单位自筹资金，预算金额</w:t>
      </w:r>
      <w:r>
        <w:rPr>
          <w:rFonts w:hint="eastAsia" w:ascii="仿宋" w:hAnsi="仿宋" w:eastAsia="仿宋" w:cs="仿宋"/>
          <w:color w:val="auto"/>
          <w:sz w:val="24"/>
          <w:szCs w:val="24"/>
          <w:highlight w:val="none"/>
          <w:lang w:val="en-US" w:eastAsia="zh-CN"/>
        </w:rPr>
        <w:t>840000.00</w:t>
      </w:r>
      <w:r>
        <w:rPr>
          <w:rFonts w:hint="eastAsia" w:ascii="仿宋" w:hAnsi="仿宋" w:eastAsia="仿宋" w:cs="仿宋"/>
          <w:color w:val="auto"/>
          <w:sz w:val="24"/>
          <w:szCs w:val="24"/>
          <w:highlight w:val="none"/>
        </w:rPr>
        <w:t>元。</w:t>
      </w:r>
    </w:p>
    <w:p w14:paraId="4858039A">
      <w:pPr>
        <w:pStyle w:val="3"/>
        <w:spacing w:line="240" w:lineRule="auto"/>
        <w:ind w:firstLine="643"/>
        <w:rPr>
          <w:rFonts w:hint="eastAsia" w:ascii="仿宋" w:hAnsi="仿宋" w:eastAsia="仿宋" w:cs="仿宋"/>
          <w:color w:val="auto"/>
          <w:highlight w:val="none"/>
        </w:rPr>
      </w:pPr>
      <w:bookmarkStart w:id="35" w:name="_Toc183783130"/>
      <w:r>
        <w:rPr>
          <w:rFonts w:hint="eastAsia" w:ascii="仿宋" w:hAnsi="仿宋" w:eastAsia="仿宋" w:cs="仿宋"/>
          <w:color w:val="auto"/>
          <w:highlight w:val="none"/>
        </w:rPr>
        <w:t>三、</w:t>
      </w:r>
      <w:bookmarkEnd w:id="26"/>
      <w:bookmarkEnd w:id="27"/>
      <w:bookmarkEnd w:id="28"/>
      <w:bookmarkEnd w:id="29"/>
      <w:bookmarkEnd w:id="30"/>
      <w:bookmarkEnd w:id="31"/>
      <w:bookmarkEnd w:id="32"/>
      <w:r>
        <w:rPr>
          <w:rFonts w:hint="eastAsia" w:ascii="仿宋" w:hAnsi="仿宋" w:eastAsia="仿宋" w:cs="仿宋"/>
          <w:color w:val="auto"/>
          <w:highlight w:val="none"/>
        </w:rPr>
        <w:t>竞采资格条件</w:t>
      </w:r>
      <w:bookmarkEnd w:id="35"/>
    </w:p>
    <w:p w14:paraId="738F13C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（一）基本条件</w:t>
      </w:r>
    </w:p>
    <w:p w14:paraId="52F64AD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满足《中华人民共和国政府采购法》第二十二条规定；　</w:t>
      </w:r>
    </w:p>
    <w:p w14:paraId="4DA16DF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（二）特定资格条件</w:t>
      </w:r>
    </w:p>
    <w:bookmarkEnd w:id="33"/>
    <w:bookmarkEnd w:id="34"/>
    <w:p w14:paraId="732324E1">
      <w:pPr>
        <w:ind w:firstLine="480" w:firstLineChars="200"/>
        <w:rPr>
          <w:rFonts w:hint="eastAsia" w:ascii="仿宋" w:hAnsi="仿宋" w:eastAsia="仿宋" w:cs="仿宋"/>
          <w:b/>
          <w:color w:val="auto"/>
          <w:sz w:val="32"/>
          <w:highlight w:val="none"/>
        </w:rPr>
      </w:pPr>
      <w:bookmarkStart w:id="36" w:name="_Toc183783131"/>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w:t>
      </w:r>
    </w:p>
    <w:p w14:paraId="4504C3D2">
      <w:pPr>
        <w:ind w:firstLine="643" w:firstLineChars="2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四、竞采有关说明</w:t>
      </w:r>
      <w:bookmarkEnd w:id="36"/>
    </w:p>
    <w:p w14:paraId="62D92B6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（一）供应商应通过行采家采购服务平台（www.gec123.com）登记加入“重庆市政府采购供应商库”。</w:t>
      </w:r>
    </w:p>
    <w:p w14:paraId="4061E4C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凡有意参加采购的供应商，请在“行采家（https://www.gec123.com/）”下载或到采购代理机构处领取本项目询价采购文件以及图纸、澄清等报价前公布的所有项目资料，无论供应商下载或领取与否，均视为已知晓所有实质性要求内容。</w:t>
      </w:r>
    </w:p>
    <w:p w14:paraId="243D185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（三）线上报价</w:t>
      </w:r>
    </w:p>
    <w:p w14:paraId="56DBFFE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1.线上报价时间：按本项目网上公告规定的报价截止时间为准。</w:t>
      </w:r>
    </w:p>
    <w:p w14:paraId="50F5E8A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2.线上报价要求：按本项目规定的时间在“行采家（https://www.gec123.com/）”进行网上报价。</w:t>
      </w:r>
    </w:p>
    <w:p w14:paraId="04EB72C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（四）供应商须在平台上报价并按要求上传响应文件，未按要求提供的为无效供应商。</w:t>
      </w:r>
    </w:p>
    <w:p w14:paraId="579E74B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74F13E9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1.供应商线上报价时须上传响应文件一份。</w:t>
      </w:r>
    </w:p>
    <w:p w14:paraId="65FB0F1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2.采购人将以平台的线上资料作为评判依据。</w:t>
      </w:r>
    </w:p>
    <w:p w14:paraId="6B7E659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3.供应商上传的响应文件应按照响应文件编制要求制作，规定签字、盖章的地方必须按规定签字、盖章，未按要求制作响应文件的作无效标处理。</w:t>
      </w:r>
    </w:p>
    <w:p w14:paraId="75422FA3">
      <w:pPr>
        <w:pStyle w:val="3"/>
        <w:spacing w:line="240" w:lineRule="auto"/>
        <w:ind w:firstLine="643"/>
        <w:rPr>
          <w:rFonts w:hint="eastAsia" w:ascii="仿宋" w:hAnsi="仿宋" w:eastAsia="仿宋" w:cs="仿宋"/>
          <w:color w:val="auto"/>
          <w:highlight w:val="none"/>
        </w:rPr>
      </w:pPr>
      <w:bookmarkStart w:id="37" w:name="_Toc183783132"/>
      <w:r>
        <w:rPr>
          <w:rFonts w:hint="eastAsia" w:ascii="仿宋" w:hAnsi="仿宋" w:eastAsia="仿宋" w:cs="仿宋"/>
          <w:color w:val="auto"/>
          <w:highlight w:val="none"/>
        </w:rPr>
        <w:t>五、</w:t>
      </w:r>
      <w:bookmarkStart w:id="38" w:name="_Toc25886"/>
      <w:bookmarkStart w:id="39" w:name="_Toc9654"/>
      <w:bookmarkStart w:id="40" w:name="_Toc11828"/>
      <w:bookmarkStart w:id="41" w:name="_Toc3475"/>
      <w:bookmarkStart w:id="42" w:name="_Toc27955"/>
      <w:bookmarkStart w:id="43" w:name="_Toc20778"/>
      <w:bookmarkStart w:id="44" w:name="_Toc5085"/>
      <w:bookmarkStart w:id="45" w:name="_Toc15478"/>
      <w:bookmarkStart w:id="46" w:name="_Toc14778"/>
      <w:bookmarkStart w:id="47" w:name="_Toc13969"/>
      <w:bookmarkStart w:id="48" w:name="_Toc31315"/>
      <w:bookmarkStart w:id="49" w:name="_Toc25516"/>
      <w:bookmarkStart w:id="50" w:name="_Toc19730"/>
      <w:bookmarkStart w:id="51" w:name="_Toc9027"/>
      <w:r>
        <w:rPr>
          <w:rFonts w:hint="eastAsia" w:ascii="仿宋" w:hAnsi="仿宋" w:eastAsia="仿宋" w:cs="仿宋"/>
          <w:color w:val="auto"/>
          <w:highlight w:val="none"/>
        </w:rPr>
        <w:t>联系方式</w:t>
      </w:r>
      <w:bookmarkEnd w:id="37"/>
      <w:bookmarkEnd w:id="38"/>
      <w:bookmarkEnd w:id="39"/>
      <w:bookmarkEnd w:id="40"/>
      <w:bookmarkEnd w:id="41"/>
      <w:bookmarkEnd w:id="42"/>
      <w:bookmarkEnd w:id="43"/>
      <w:bookmarkEnd w:id="44"/>
    </w:p>
    <w:p w14:paraId="072A6931">
      <w:pP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（一）采购人：</w:t>
      </w:r>
      <w:r>
        <w:rPr>
          <w:rFonts w:hint="eastAsia" w:ascii="仿宋" w:hAnsi="仿宋" w:eastAsia="仿宋" w:cs="仿宋"/>
          <w:color w:val="auto"/>
          <w:sz w:val="24"/>
          <w:szCs w:val="24"/>
          <w:highlight w:val="none"/>
          <w:lang w:eastAsia="zh-CN"/>
        </w:rPr>
        <w:t>重庆绿发实业集团有限公司</w:t>
      </w:r>
    </w:p>
    <w:p w14:paraId="011242B7">
      <w:pPr>
        <w:shd w:val="clea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 xml:space="preserve">吴老师  </w:t>
      </w:r>
    </w:p>
    <w:p w14:paraId="349605A7">
      <w:pPr>
        <w:shd w:val="clea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电  话：13883302230</w:t>
      </w:r>
      <w:r>
        <w:rPr>
          <w:rFonts w:hint="eastAsia" w:ascii="仿宋" w:hAnsi="仿宋" w:eastAsia="仿宋" w:cs="仿宋"/>
          <w:color w:val="auto"/>
          <w:sz w:val="24"/>
          <w:szCs w:val="24"/>
          <w:highlight w:val="none"/>
          <w:lang w:val="en-US" w:eastAsia="zh-CN"/>
        </w:rPr>
        <w:t xml:space="preserve">  </w:t>
      </w:r>
    </w:p>
    <w:p w14:paraId="7A63A0B9">
      <w:pPr>
        <w:shd w:val="clea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  址：重庆市璧山区璧泉街道双星大道50号1幢</w:t>
      </w:r>
      <w:r>
        <w:rPr>
          <w:rFonts w:hint="eastAsia" w:ascii="仿宋" w:hAnsi="仿宋" w:eastAsia="仿宋" w:cs="仿宋"/>
          <w:color w:val="auto"/>
          <w:sz w:val="24"/>
          <w:szCs w:val="24"/>
          <w:highlight w:val="none"/>
          <w:lang w:val="en-US" w:eastAsia="zh-CN"/>
        </w:rPr>
        <w:t xml:space="preserve">  </w:t>
      </w:r>
    </w:p>
    <w:p w14:paraId="5B19C25E">
      <w:pP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（二）采购代理机构：</w:t>
      </w:r>
      <w:r>
        <w:rPr>
          <w:rFonts w:hint="eastAsia" w:ascii="仿宋" w:hAnsi="仿宋" w:eastAsia="仿宋" w:cs="仿宋"/>
          <w:color w:val="auto"/>
          <w:sz w:val="24"/>
          <w:szCs w:val="24"/>
          <w:highlight w:val="none"/>
          <w:lang w:eastAsia="zh-CN"/>
        </w:rPr>
        <w:t>重庆标友工程管理咨询有限公司</w:t>
      </w:r>
    </w:p>
    <w:p w14:paraId="06427AA0">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杨</w:t>
      </w:r>
      <w:r>
        <w:rPr>
          <w:rFonts w:hint="eastAsia" w:ascii="仿宋" w:hAnsi="仿宋" w:eastAsia="仿宋" w:cs="仿宋"/>
          <w:color w:val="auto"/>
          <w:sz w:val="24"/>
          <w:szCs w:val="24"/>
          <w:highlight w:val="none"/>
        </w:rPr>
        <w:t>老师</w:t>
      </w:r>
    </w:p>
    <w:p w14:paraId="3F6703DF">
      <w:pPr>
        <w:snapToGrid w:val="0"/>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15696551371</w:t>
      </w:r>
    </w:p>
    <w:p w14:paraId="6BFB828E">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址：重庆市渝北区龙溪街道新牌坊三路369号天和美舍1幢</w:t>
      </w:r>
    </w:p>
    <w:p w14:paraId="2ACC6551">
      <w:pPr>
        <w:pStyle w:val="3"/>
        <w:spacing w:line="240" w:lineRule="auto"/>
        <w:ind w:firstLine="643"/>
        <w:rPr>
          <w:rFonts w:hint="eastAsia" w:ascii="仿宋" w:hAnsi="仿宋" w:eastAsia="仿宋" w:cs="仿宋"/>
          <w:color w:val="auto"/>
          <w:highlight w:val="none"/>
        </w:rPr>
      </w:pPr>
      <w:bookmarkStart w:id="52" w:name="_Toc183783133"/>
      <w:r>
        <w:rPr>
          <w:rFonts w:hint="eastAsia" w:ascii="仿宋" w:hAnsi="仿宋" w:eastAsia="仿宋" w:cs="仿宋"/>
          <w:color w:val="auto"/>
          <w:highlight w:val="none"/>
        </w:rPr>
        <w:t>六、</w:t>
      </w:r>
      <w:bookmarkEnd w:id="45"/>
      <w:bookmarkEnd w:id="46"/>
      <w:bookmarkEnd w:id="47"/>
      <w:bookmarkEnd w:id="48"/>
      <w:bookmarkEnd w:id="49"/>
      <w:bookmarkEnd w:id="50"/>
      <w:bookmarkEnd w:id="51"/>
      <w:r>
        <w:rPr>
          <w:rFonts w:hint="eastAsia" w:ascii="仿宋" w:hAnsi="仿宋" w:eastAsia="仿宋" w:cs="仿宋"/>
          <w:color w:val="auto"/>
          <w:highlight w:val="none"/>
        </w:rPr>
        <w:t>其它有关规定</w:t>
      </w:r>
      <w:bookmarkEnd w:id="52"/>
    </w:p>
    <w:p w14:paraId="7E57A545">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（一）单位负责人为同一人或者存在直接控股、管理关系的不同供应商，不得参加同一合同项（分包）下的竞采活动，否则均为无效响应。</w:t>
      </w:r>
    </w:p>
    <w:p w14:paraId="036C47E6">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（二）为采购项目提供整体设计、规范编制或者项目管理、监理、检测等服务的供应商，不得再参加该采购项目的其他采购活动。</w:t>
      </w:r>
    </w:p>
    <w:p w14:paraId="6C0EF188">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（三）本项目的变更等文件（如果有）一律在“行采家（https://www.gec123.com/）”上发布，请各供应商注意下载；无论供应商下载与否，均视同供应商已知晓本项目澄清文件（如果有）的内容。</w:t>
      </w:r>
    </w:p>
    <w:p w14:paraId="1454EA57">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（四）超过响应文件截止时间递交的响应文件，恕不接收。</w:t>
      </w:r>
    </w:p>
    <w:p w14:paraId="18AECFDE">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（五）竞采费用：无论竞采结果如何，供应商参与本项目竞采的所有成本费用均应由供应商自行承担。</w:t>
      </w:r>
    </w:p>
    <w:p w14:paraId="05693D56">
      <w:pPr>
        <w:snapToGrid w:val="0"/>
        <w:ind w:firstLine="361" w:firstLineChars="15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（六）本项目不接受联合体参与竞采</w:t>
      </w:r>
      <w:r>
        <w:rPr>
          <w:rFonts w:hint="eastAsia" w:ascii="仿宋" w:hAnsi="仿宋" w:eastAsia="仿宋" w:cs="仿宋"/>
          <w:color w:val="auto"/>
          <w:sz w:val="24"/>
          <w:szCs w:val="24"/>
          <w:highlight w:val="none"/>
        </w:rPr>
        <w:t>。</w:t>
      </w:r>
    </w:p>
    <w:p w14:paraId="4435E3E5">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云平台相关规则、规定的供应商，将拒绝其参与网上竞采活动。</w:t>
      </w:r>
      <w:bookmarkStart w:id="53" w:name="_Toc106030878"/>
      <w:bookmarkStart w:id="54" w:name="_Toc76462324"/>
    </w:p>
    <w:p w14:paraId="21544055">
      <w:pPr>
        <w:widowControl/>
        <w:jc w:val="left"/>
        <w:rPr>
          <w:rFonts w:hint="eastAsia" w:ascii="仿宋" w:hAnsi="仿宋" w:eastAsia="仿宋" w:cs="仿宋"/>
          <w:b/>
          <w:color w:val="auto"/>
          <w:kern w:val="44"/>
          <w:sz w:val="44"/>
          <w:highlight w:val="none"/>
        </w:rPr>
      </w:pPr>
      <w:r>
        <w:rPr>
          <w:rFonts w:hint="eastAsia" w:ascii="仿宋" w:hAnsi="仿宋" w:eastAsia="仿宋" w:cs="仿宋"/>
          <w:color w:val="auto"/>
          <w:highlight w:val="none"/>
        </w:rPr>
        <w:br w:type="page"/>
      </w:r>
    </w:p>
    <w:p w14:paraId="55ABAAE0">
      <w:pPr>
        <w:pStyle w:val="2"/>
        <w:spacing w:line="240" w:lineRule="auto"/>
        <w:ind w:firstLine="883"/>
        <w:jc w:val="center"/>
        <w:rPr>
          <w:rFonts w:hint="eastAsia" w:ascii="仿宋" w:hAnsi="仿宋" w:eastAsia="仿宋" w:cs="仿宋"/>
          <w:color w:val="auto"/>
          <w:highlight w:val="none"/>
        </w:rPr>
      </w:pPr>
      <w:bookmarkStart w:id="55" w:name="_Toc183783134"/>
      <w:r>
        <w:rPr>
          <w:rFonts w:hint="eastAsia" w:ascii="仿宋" w:hAnsi="仿宋" w:eastAsia="仿宋" w:cs="仿宋"/>
          <w:color w:val="auto"/>
          <w:highlight w:val="none"/>
        </w:rPr>
        <w:t>第二篇  项目</w:t>
      </w:r>
      <w:bookmarkEnd w:id="53"/>
      <w:bookmarkEnd w:id="54"/>
      <w:r>
        <w:rPr>
          <w:rFonts w:hint="eastAsia" w:ascii="仿宋" w:hAnsi="仿宋" w:eastAsia="仿宋" w:cs="仿宋"/>
          <w:color w:val="auto"/>
          <w:highlight w:val="none"/>
        </w:rPr>
        <w:t>服务需</w:t>
      </w:r>
      <w:bookmarkStart w:id="56" w:name="_Toc76462325"/>
      <w:bookmarkStart w:id="57" w:name="_Toc12789058"/>
      <w:r>
        <w:rPr>
          <w:rFonts w:hint="eastAsia" w:ascii="仿宋" w:hAnsi="仿宋" w:eastAsia="仿宋" w:cs="仿宋"/>
          <w:color w:val="auto"/>
          <w:highlight w:val="none"/>
        </w:rPr>
        <w:t>求</w:t>
      </w:r>
      <w:bookmarkEnd w:id="55"/>
    </w:p>
    <w:p w14:paraId="56257EF4">
      <w:pPr>
        <w:ind w:firstLine="482"/>
        <w:rPr>
          <w:rFonts w:hint="eastAsia" w:ascii="仿宋" w:hAnsi="仿宋" w:eastAsia="仿宋" w:cs="仿宋"/>
          <w:color w:val="auto"/>
          <w:highlight w:val="none"/>
        </w:rPr>
      </w:pPr>
      <w:r>
        <w:rPr>
          <w:rFonts w:hint="eastAsia" w:ascii="仿宋" w:hAnsi="仿宋" w:eastAsia="仿宋" w:cs="仿宋"/>
          <w:b/>
          <w:bCs/>
          <w:color w:val="auto"/>
          <w:sz w:val="24"/>
          <w:szCs w:val="24"/>
          <w:highlight w:val="none"/>
          <w:u w:val="single"/>
        </w:rPr>
        <w:t>本篇服务需求为符合性审查中的实质性要求，响应文件若不满足按无效投标处理。</w:t>
      </w:r>
    </w:p>
    <w:bookmarkEnd w:id="56"/>
    <w:p w14:paraId="3931D9B5">
      <w:pPr>
        <w:pStyle w:val="3"/>
        <w:numPr>
          <w:ilvl w:val="0"/>
          <w:numId w:val="1"/>
        </w:numPr>
        <w:spacing w:line="240" w:lineRule="auto"/>
        <w:ind w:firstLine="643"/>
        <w:rPr>
          <w:rFonts w:hint="eastAsia" w:ascii="仿宋" w:hAnsi="仿宋" w:eastAsia="仿宋" w:cs="仿宋"/>
          <w:color w:val="auto"/>
          <w:highlight w:val="none"/>
        </w:rPr>
      </w:pPr>
      <w:bookmarkStart w:id="58" w:name="_Toc183783135"/>
      <w:r>
        <w:rPr>
          <w:rFonts w:hint="eastAsia" w:ascii="仿宋" w:hAnsi="仿宋" w:eastAsia="仿宋" w:cs="仿宋"/>
          <w:color w:val="auto"/>
          <w:highlight w:val="none"/>
        </w:rPr>
        <w:t>招标项目一览表</w:t>
      </w:r>
      <w:bookmarkEnd w:id="58"/>
    </w:p>
    <w:tbl>
      <w:tblPr>
        <w:tblStyle w:val="18"/>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172"/>
        <w:gridCol w:w="1694"/>
        <w:gridCol w:w="798"/>
        <w:gridCol w:w="1666"/>
        <w:gridCol w:w="532"/>
      </w:tblGrid>
      <w:tr w14:paraId="28CC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6" w:type="dxa"/>
            <w:vAlign w:val="center"/>
          </w:tcPr>
          <w:p w14:paraId="4879CE5E">
            <w:pPr>
              <w:widowControl/>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序号</w:t>
            </w:r>
          </w:p>
        </w:tc>
        <w:tc>
          <w:tcPr>
            <w:tcW w:w="3172" w:type="dxa"/>
            <w:vAlign w:val="center"/>
          </w:tcPr>
          <w:p w14:paraId="03EECF48">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服务名称</w:t>
            </w:r>
          </w:p>
        </w:tc>
        <w:tc>
          <w:tcPr>
            <w:tcW w:w="1694" w:type="dxa"/>
            <w:vAlign w:val="center"/>
          </w:tcPr>
          <w:p w14:paraId="7B92BC8B">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服务范围、标准及</w:t>
            </w:r>
            <w:r>
              <w:rPr>
                <w:rFonts w:hint="eastAsia" w:ascii="仿宋" w:hAnsi="仿宋" w:eastAsia="仿宋" w:cs="仿宋"/>
                <w:b/>
                <w:bCs/>
                <w:color w:val="auto"/>
                <w:kern w:val="0"/>
                <w:sz w:val="24"/>
                <w:szCs w:val="24"/>
                <w:highlight w:val="none"/>
              </w:rPr>
              <w:t>要求</w:t>
            </w:r>
          </w:p>
        </w:tc>
        <w:tc>
          <w:tcPr>
            <w:tcW w:w="798" w:type="dxa"/>
            <w:vAlign w:val="center"/>
          </w:tcPr>
          <w:p w14:paraId="19029AC3">
            <w:pPr>
              <w:widowControl/>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数量</w:t>
            </w:r>
          </w:p>
        </w:tc>
        <w:tc>
          <w:tcPr>
            <w:tcW w:w="1666" w:type="dxa"/>
            <w:vAlign w:val="center"/>
          </w:tcPr>
          <w:p w14:paraId="13F7EEE1">
            <w:pPr>
              <w:widowControl/>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最高限价金额</w:t>
            </w:r>
          </w:p>
        </w:tc>
        <w:tc>
          <w:tcPr>
            <w:tcW w:w="532" w:type="dxa"/>
            <w:vAlign w:val="center"/>
          </w:tcPr>
          <w:p w14:paraId="2993DE85">
            <w:pPr>
              <w:widowControl/>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1A61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6" w:type="dxa"/>
            <w:vAlign w:val="center"/>
          </w:tcPr>
          <w:p w14:paraId="415817FE">
            <w:pPr>
              <w:widowControl/>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3172" w:type="dxa"/>
            <w:vAlign w:val="center"/>
          </w:tcPr>
          <w:p w14:paraId="6B9D525F">
            <w:pPr>
              <w:widowControl/>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生物制造中试平台项目申报咨询服务采购(第二次)</w:t>
            </w:r>
          </w:p>
        </w:tc>
        <w:tc>
          <w:tcPr>
            <w:tcW w:w="1694" w:type="dxa"/>
            <w:vAlign w:val="center"/>
          </w:tcPr>
          <w:p w14:paraId="0D6E0452">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rPr>
              <w:t>文件</w:t>
            </w:r>
          </w:p>
        </w:tc>
        <w:tc>
          <w:tcPr>
            <w:tcW w:w="798" w:type="dxa"/>
            <w:vAlign w:val="center"/>
          </w:tcPr>
          <w:p w14:paraId="68EB90E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66" w:type="dxa"/>
            <w:vAlign w:val="center"/>
          </w:tcPr>
          <w:p w14:paraId="3023B894">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840000</w:t>
            </w:r>
            <w:r>
              <w:rPr>
                <w:rFonts w:hint="eastAsia" w:ascii="仿宋" w:hAnsi="仿宋" w:eastAsia="仿宋" w:cs="仿宋"/>
                <w:color w:val="auto"/>
                <w:sz w:val="24"/>
                <w:szCs w:val="24"/>
                <w:highlight w:val="none"/>
              </w:rPr>
              <w:t>元</w:t>
            </w:r>
          </w:p>
        </w:tc>
        <w:tc>
          <w:tcPr>
            <w:tcW w:w="532" w:type="dxa"/>
            <w:vAlign w:val="center"/>
          </w:tcPr>
          <w:p w14:paraId="656CCF7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r>
    </w:tbl>
    <w:p w14:paraId="2BA85609">
      <w:pPr>
        <w:pStyle w:val="3"/>
        <w:spacing w:line="240" w:lineRule="auto"/>
        <w:rPr>
          <w:rFonts w:hint="eastAsia" w:ascii="仿宋" w:hAnsi="仿宋" w:eastAsia="仿宋" w:cs="仿宋"/>
          <w:color w:val="auto"/>
          <w:highlight w:val="none"/>
        </w:rPr>
      </w:pPr>
      <w:bookmarkStart w:id="59" w:name="_Toc106030880"/>
      <w:bookmarkStart w:id="60" w:name="_Toc183783136"/>
      <w:r>
        <w:rPr>
          <w:rFonts w:hint="eastAsia" w:ascii="仿宋" w:hAnsi="仿宋" w:eastAsia="仿宋" w:cs="仿宋"/>
          <w:color w:val="auto"/>
          <w:highlight w:val="none"/>
        </w:rPr>
        <w:t>二、</w:t>
      </w:r>
      <w:bookmarkEnd w:id="59"/>
      <w:r>
        <w:rPr>
          <w:rFonts w:hint="eastAsia" w:ascii="仿宋" w:hAnsi="仿宋" w:eastAsia="仿宋" w:cs="仿宋"/>
          <w:color w:val="auto"/>
          <w:highlight w:val="none"/>
        </w:rPr>
        <w:t>招标项目服务</w:t>
      </w:r>
      <w:bookmarkEnd w:id="60"/>
      <w:r>
        <w:rPr>
          <w:rFonts w:hint="eastAsia" w:ascii="仿宋" w:hAnsi="仿宋" w:eastAsia="仿宋" w:cs="仿宋"/>
          <w:color w:val="auto"/>
          <w:highlight w:val="none"/>
        </w:rPr>
        <w:t>需求</w:t>
      </w:r>
    </w:p>
    <w:p w14:paraId="15A329DE">
      <w:pPr>
        <w:spacing w:line="594" w:lineRule="exact"/>
        <w:ind w:firstLine="640" w:firstLineChars="200"/>
        <w:rPr>
          <w:rFonts w:hint="eastAsia" w:ascii="仿宋" w:hAnsi="仿宋" w:eastAsia="仿宋" w:cs="仿宋"/>
          <w:color w:val="auto"/>
          <w:sz w:val="32"/>
          <w:szCs w:val="32"/>
          <w:highlight w:val="none"/>
        </w:rPr>
      </w:pPr>
      <w:bookmarkStart w:id="61" w:name="_Toc344475116"/>
      <w:bookmarkStart w:id="62" w:name="_Toc106030881"/>
      <w:bookmarkStart w:id="63" w:name="_Toc76462326"/>
      <w:bookmarkStart w:id="64" w:name="_Toc313536013"/>
      <w:bookmarkStart w:id="65" w:name="_Toc183783137"/>
      <w:r>
        <w:rPr>
          <w:rFonts w:hint="eastAsia" w:ascii="仿宋" w:hAnsi="仿宋" w:eastAsia="仿宋" w:cs="仿宋"/>
          <w:color w:val="auto"/>
          <w:sz w:val="32"/>
          <w:szCs w:val="32"/>
          <w:highlight w:val="none"/>
        </w:rPr>
        <w:t>服务内容</w:t>
      </w:r>
    </w:p>
    <w:p w14:paraId="32EBD139">
      <w:pPr>
        <w:ind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（一）生物制造产业区域政策及典型做法分析</w:t>
      </w:r>
    </w:p>
    <w:p w14:paraId="4AEF8AFE">
      <w:pPr>
        <w:ind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系统梳理国家部委、省级及重点城市（不少于6个省市）发布的生物制造产业政策文件，形成涵盖专项政策、产业规划、补贴细则的汇编报告（包含政策解读及匹配清单），重点分析和调研北京、上海、广东、安徽、湖北等核心区域的差异化支持措施（如中试平台建设奖励、研发投入补贴、产业基金配套等），提炼政策适配性清单，形成生物制造产业区域政策对比分析报告，字数不少于3万字，为项目申报、落地及资源对接提供精准支撑。</w:t>
      </w:r>
    </w:p>
    <w:p w14:paraId="70DF138B">
      <w:pPr>
        <w:ind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（二）生物制造产业动态发展追踪研究</w:t>
      </w:r>
    </w:p>
    <w:p w14:paraId="277156AA">
      <w:pPr>
        <w:ind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围绕合成生物学底层技术突破（如AI驱动的酶设计）、产业集群分化趋势（包括长三角侧重生物医药、京津冀聚焦绿色制造），形成不少于4期调研报告；针对菌种自主化等热点领域，形成不少于6篇专业追踪简报。调研报告和专业追踪简报整体篇幅不少于2万字，为项目技术方案迭代及战略定位提供数据与决策依据。</w:t>
      </w:r>
    </w:p>
    <w:p w14:paraId="7F2E9EBD">
      <w:pPr>
        <w:ind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（三）编制项目资金申请报告</w:t>
      </w:r>
    </w:p>
    <w:p w14:paraId="18A26005">
      <w:pPr>
        <w:ind w:firstLine="48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严格依照申报文件、上位文件及地方规划要求编制项目资金申请报告，包括详细论述项目建设背景与意义、提供完整合理的项目方案、细化申报资金明细等等；统筹协调各方资源，规范整理相关文件并形成报告，确保报告编制工作有序推进。提供全流程咨询辅导服务，明确申报条件、流程与要点，协助准备项目立项、入库、申报、评审过程中所需的材料；严格审核申请报告，组织资深专家团队对报告进行全面审核。</w:t>
      </w:r>
    </w:p>
    <w:p w14:paraId="44755C93">
      <w:pPr>
        <w:ind w:firstLine="480"/>
        <w:jc w:val="left"/>
        <w:rPr>
          <w:rFonts w:hint="eastAsia" w:ascii="仿宋" w:hAnsi="仿宋" w:eastAsia="仿宋" w:cs="仿宋"/>
          <w:color w:val="auto"/>
          <w:sz w:val="24"/>
          <w:szCs w:val="24"/>
          <w:highlight w:val="none"/>
          <w:lang w:val="en-US" w:eastAsia="zh-CN"/>
        </w:rPr>
      </w:pPr>
      <w:bookmarkStart w:id="66" w:name="OLE_LINK3"/>
    </w:p>
    <w:bookmarkEnd w:id="66"/>
    <w:p w14:paraId="5A3C6D3F">
      <w:pPr>
        <w:pStyle w:val="3"/>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三、</w:t>
      </w:r>
      <w:bookmarkEnd w:id="61"/>
      <w:bookmarkEnd w:id="62"/>
      <w:bookmarkEnd w:id="63"/>
      <w:bookmarkEnd w:id="64"/>
      <w:r>
        <w:rPr>
          <w:rFonts w:hint="eastAsia" w:ascii="仿宋" w:hAnsi="仿宋" w:eastAsia="仿宋" w:cs="仿宋"/>
          <w:color w:val="auto"/>
          <w:highlight w:val="none"/>
        </w:rPr>
        <w:t>其他要求</w:t>
      </w:r>
      <w:bookmarkEnd w:id="65"/>
    </w:p>
    <w:p w14:paraId="5B37FF86">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w:t>
      </w:r>
    </w:p>
    <w:p w14:paraId="2D25B30E">
      <w:pPr>
        <w:pStyle w:val="6"/>
        <w:rPr>
          <w:rFonts w:hint="eastAsia" w:ascii="仿宋" w:hAnsi="仿宋" w:eastAsia="仿宋" w:cs="仿宋"/>
          <w:color w:val="auto"/>
          <w:sz w:val="24"/>
          <w:szCs w:val="24"/>
          <w:highlight w:val="none"/>
        </w:rPr>
      </w:pPr>
    </w:p>
    <w:p w14:paraId="172C777E">
      <w:pPr>
        <w:rPr>
          <w:rFonts w:hint="eastAsia" w:ascii="仿宋" w:hAnsi="仿宋" w:eastAsia="仿宋" w:cs="仿宋"/>
          <w:color w:val="auto"/>
          <w:sz w:val="24"/>
          <w:szCs w:val="24"/>
          <w:highlight w:val="none"/>
        </w:rPr>
      </w:pPr>
    </w:p>
    <w:p w14:paraId="02EEAAD1">
      <w:pPr>
        <w:pStyle w:val="6"/>
        <w:rPr>
          <w:rFonts w:hint="eastAsia" w:ascii="仿宋" w:hAnsi="仿宋" w:eastAsia="仿宋" w:cs="仿宋"/>
          <w:color w:val="auto"/>
          <w:sz w:val="24"/>
          <w:szCs w:val="24"/>
          <w:highlight w:val="none"/>
        </w:rPr>
      </w:pPr>
    </w:p>
    <w:p w14:paraId="32F4E398">
      <w:pPr>
        <w:rPr>
          <w:rFonts w:hint="eastAsia" w:ascii="仿宋" w:hAnsi="仿宋" w:eastAsia="仿宋" w:cs="仿宋"/>
          <w:color w:val="auto"/>
          <w:sz w:val="24"/>
          <w:szCs w:val="24"/>
          <w:highlight w:val="none"/>
        </w:rPr>
      </w:pPr>
    </w:p>
    <w:p w14:paraId="7BE4E018">
      <w:pPr>
        <w:pStyle w:val="6"/>
        <w:rPr>
          <w:rFonts w:hint="eastAsia" w:ascii="仿宋" w:hAnsi="仿宋" w:eastAsia="仿宋" w:cs="仿宋"/>
          <w:color w:val="auto"/>
          <w:sz w:val="24"/>
          <w:szCs w:val="24"/>
          <w:highlight w:val="none"/>
        </w:rPr>
      </w:pPr>
    </w:p>
    <w:p w14:paraId="461B8637">
      <w:pPr>
        <w:rPr>
          <w:rFonts w:hint="eastAsia" w:ascii="仿宋" w:hAnsi="仿宋" w:eastAsia="仿宋" w:cs="仿宋"/>
          <w:color w:val="auto"/>
          <w:highlight w:val="none"/>
        </w:rPr>
      </w:pPr>
    </w:p>
    <w:p w14:paraId="0E529844">
      <w:pPr>
        <w:ind w:firstLine="480"/>
        <w:jc w:val="left"/>
        <w:rPr>
          <w:rFonts w:hint="eastAsia" w:ascii="仿宋" w:hAnsi="仿宋" w:eastAsia="仿宋" w:cs="仿宋"/>
          <w:color w:val="auto"/>
          <w:sz w:val="24"/>
          <w:szCs w:val="24"/>
          <w:highlight w:val="none"/>
        </w:rPr>
      </w:pPr>
    </w:p>
    <w:bookmarkEnd w:id="57"/>
    <w:p w14:paraId="38AF34BA">
      <w:pPr>
        <w:pStyle w:val="2"/>
        <w:numPr>
          <w:ilvl w:val="0"/>
          <w:numId w:val="2"/>
        </w:numPr>
        <w:spacing w:line="240" w:lineRule="auto"/>
        <w:ind w:firstLine="883"/>
        <w:jc w:val="center"/>
        <w:rPr>
          <w:rFonts w:hint="eastAsia" w:ascii="仿宋" w:hAnsi="仿宋" w:eastAsia="仿宋" w:cs="仿宋"/>
          <w:color w:val="auto"/>
          <w:highlight w:val="none"/>
        </w:rPr>
      </w:pPr>
      <w:bookmarkStart w:id="67" w:name="_Toc183783138"/>
      <w:bookmarkStart w:id="68" w:name="_Toc106030882"/>
      <w:bookmarkStart w:id="69" w:name="_Toc76462327"/>
      <w:r>
        <w:rPr>
          <w:rFonts w:hint="eastAsia" w:ascii="仿宋" w:hAnsi="仿宋" w:eastAsia="仿宋" w:cs="仿宋"/>
          <w:color w:val="auto"/>
          <w:highlight w:val="none"/>
        </w:rPr>
        <w:t>项目商务需求</w:t>
      </w:r>
      <w:bookmarkEnd w:id="67"/>
      <w:bookmarkEnd w:id="68"/>
      <w:bookmarkEnd w:id="69"/>
    </w:p>
    <w:p w14:paraId="34869338">
      <w:pPr>
        <w:ind w:firstLine="482"/>
        <w:rPr>
          <w:rFonts w:hint="eastAsia" w:ascii="仿宋" w:hAnsi="仿宋" w:eastAsia="仿宋" w:cs="仿宋"/>
          <w:color w:val="auto"/>
          <w:highlight w:val="none"/>
        </w:rPr>
      </w:pPr>
      <w:r>
        <w:rPr>
          <w:rFonts w:hint="eastAsia" w:ascii="仿宋" w:hAnsi="仿宋" w:eastAsia="仿宋" w:cs="仿宋"/>
          <w:b/>
          <w:bCs/>
          <w:color w:val="auto"/>
          <w:sz w:val="24"/>
          <w:szCs w:val="24"/>
          <w:highlight w:val="none"/>
          <w:u w:val="single"/>
        </w:rPr>
        <w:t>本篇商务需求为符合性审查中的实质性要求，响应文件若不满足按无效投标处理。</w:t>
      </w:r>
    </w:p>
    <w:p w14:paraId="29CAA868">
      <w:pPr>
        <w:pStyle w:val="3"/>
        <w:spacing w:line="240" w:lineRule="auto"/>
        <w:ind w:firstLine="643"/>
        <w:rPr>
          <w:rFonts w:hint="eastAsia" w:ascii="仿宋" w:hAnsi="仿宋" w:eastAsia="仿宋" w:cs="仿宋"/>
          <w:color w:val="auto"/>
          <w:highlight w:val="none"/>
        </w:rPr>
      </w:pPr>
      <w:bookmarkStart w:id="70" w:name="_Toc344475120"/>
      <w:bookmarkStart w:id="71" w:name="_Toc106030883"/>
      <w:bookmarkStart w:id="72" w:name="_Toc76462328"/>
      <w:bookmarkStart w:id="73" w:name="_Toc183783139"/>
      <w:r>
        <w:rPr>
          <w:rFonts w:hint="eastAsia" w:ascii="仿宋" w:hAnsi="仿宋" w:eastAsia="仿宋" w:cs="仿宋"/>
          <w:color w:val="auto"/>
          <w:highlight w:val="none"/>
        </w:rPr>
        <w:t>一、服务期、地点及验收方式</w:t>
      </w:r>
      <w:bookmarkEnd w:id="70"/>
      <w:bookmarkEnd w:id="71"/>
      <w:bookmarkEnd w:id="72"/>
      <w:bookmarkEnd w:id="73"/>
    </w:p>
    <w:p w14:paraId="5F42DDAC">
      <w:pPr>
        <w:ind w:firstLine="480"/>
        <w:rPr>
          <w:rFonts w:hint="eastAsia" w:ascii="仿宋" w:hAnsi="仿宋" w:eastAsia="仿宋" w:cs="仿宋"/>
          <w:color w:val="auto"/>
          <w:sz w:val="24"/>
          <w:szCs w:val="18"/>
          <w:highlight w:val="none"/>
        </w:rPr>
      </w:pPr>
      <w:bookmarkStart w:id="74" w:name="_Toc344475121"/>
      <w:bookmarkStart w:id="75" w:name="_Toc106030884"/>
      <w:bookmarkStart w:id="76" w:name="_Toc76462329"/>
      <w:r>
        <w:rPr>
          <w:rFonts w:hint="eastAsia" w:ascii="仿宋" w:hAnsi="仿宋" w:eastAsia="仿宋" w:cs="仿宋"/>
          <w:color w:val="auto"/>
          <w:sz w:val="24"/>
          <w:szCs w:val="18"/>
          <w:highlight w:val="none"/>
        </w:rPr>
        <w:t>（一）服务期：</w:t>
      </w:r>
      <w:bookmarkStart w:id="77" w:name="_Hlk187327333"/>
      <w:r>
        <w:rPr>
          <w:rFonts w:hint="eastAsia" w:ascii="仿宋" w:hAnsi="仿宋" w:eastAsia="仿宋" w:cs="仿宋"/>
          <w:color w:val="auto"/>
          <w:sz w:val="24"/>
          <w:szCs w:val="18"/>
          <w:highlight w:val="none"/>
        </w:rPr>
        <w:t>签订服务合同之日起至所有服务内容完成之日</w:t>
      </w:r>
      <w:r>
        <w:rPr>
          <w:rFonts w:hint="eastAsia" w:ascii="仿宋" w:hAnsi="仿宋" w:eastAsia="仿宋" w:cs="仿宋"/>
          <w:color w:val="auto"/>
          <w:sz w:val="24"/>
          <w:szCs w:val="18"/>
          <w:highlight w:val="none"/>
          <w:lang w:val="en-US" w:eastAsia="zh-CN"/>
        </w:rPr>
        <w:t>止</w:t>
      </w:r>
      <w:r>
        <w:rPr>
          <w:rFonts w:hint="eastAsia" w:ascii="仿宋" w:hAnsi="仿宋" w:eastAsia="仿宋" w:cs="仿宋"/>
          <w:color w:val="auto"/>
          <w:sz w:val="24"/>
          <w:szCs w:val="18"/>
          <w:highlight w:val="none"/>
        </w:rPr>
        <w:t>。</w:t>
      </w:r>
      <w:bookmarkEnd w:id="77"/>
    </w:p>
    <w:p w14:paraId="70C8BB12">
      <w:pP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（二）服务地点：采购人指定地点。</w:t>
      </w:r>
    </w:p>
    <w:p w14:paraId="5AE1B17B">
      <w:pP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（三）验收方式：</w:t>
      </w:r>
    </w:p>
    <w:p w14:paraId="1E716411">
      <w:pP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1.由采购方自行验收；</w:t>
      </w:r>
    </w:p>
    <w:p w14:paraId="5FBDA63C">
      <w:pP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2.供应商提供的服务未达到</w:t>
      </w:r>
      <w:r>
        <w:rPr>
          <w:rFonts w:hint="eastAsia" w:ascii="仿宋" w:hAnsi="仿宋" w:eastAsia="仿宋" w:cs="仿宋"/>
          <w:color w:val="auto"/>
          <w:sz w:val="24"/>
          <w:szCs w:val="18"/>
          <w:highlight w:val="none"/>
          <w:lang w:val="en-US" w:eastAsia="zh-CN"/>
        </w:rPr>
        <w:t>询比</w:t>
      </w:r>
      <w:r>
        <w:rPr>
          <w:rFonts w:hint="eastAsia" w:ascii="仿宋" w:hAnsi="仿宋" w:eastAsia="仿宋" w:cs="仿宋"/>
          <w:color w:val="auto"/>
          <w:sz w:val="24"/>
          <w:szCs w:val="18"/>
          <w:highlight w:val="none"/>
        </w:rPr>
        <w:t>文件规定要求，且对采购方造成损失的，由供应商承担一切责任，并赔偿所造成的损失。</w:t>
      </w:r>
    </w:p>
    <w:p w14:paraId="099F4004">
      <w:pPr>
        <w:pStyle w:val="3"/>
        <w:spacing w:line="240" w:lineRule="auto"/>
        <w:ind w:firstLine="643"/>
        <w:rPr>
          <w:rFonts w:hint="eastAsia" w:ascii="仿宋" w:hAnsi="仿宋" w:eastAsia="仿宋" w:cs="仿宋"/>
          <w:color w:val="auto"/>
          <w:highlight w:val="none"/>
        </w:rPr>
      </w:pPr>
      <w:bookmarkStart w:id="78" w:name="_Toc183783140"/>
      <w:r>
        <w:rPr>
          <w:rFonts w:hint="eastAsia" w:ascii="仿宋" w:hAnsi="仿宋" w:eastAsia="仿宋" w:cs="仿宋"/>
          <w:color w:val="auto"/>
          <w:highlight w:val="none"/>
        </w:rPr>
        <w:t>二、</w:t>
      </w:r>
      <w:bookmarkEnd w:id="74"/>
      <w:r>
        <w:rPr>
          <w:rFonts w:hint="eastAsia" w:ascii="仿宋" w:hAnsi="仿宋" w:eastAsia="仿宋" w:cs="仿宋"/>
          <w:color w:val="auto"/>
          <w:highlight w:val="none"/>
        </w:rPr>
        <w:t>报价要求</w:t>
      </w:r>
      <w:bookmarkEnd w:id="75"/>
      <w:bookmarkEnd w:id="76"/>
      <w:bookmarkEnd w:id="78"/>
    </w:p>
    <w:p w14:paraId="5C143E92">
      <w:pPr>
        <w:ind w:firstLine="480" w:firstLineChars="200"/>
        <w:jc w:val="left"/>
        <w:rPr>
          <w:rFonts w:hint="eastAsia" w:ascii="仿宋" w:hAnsi="仿宋" w:eastAsia="仿宋" w:cs="仿宋"/>
          <w:color w:val="auto"/>
          <w:sz w:val="24"/>
          <w:szCs w:val="18"/>
          <w:highlight w:val="none"/>
          <w:lang w:eastAsia="zh-CN"/>
        </w:rPr>
      </w:pPr>
      <w:r>
        <w:rPr>
          <w:rFonts w:hint="eastAsia" w:ascii="仿宋" w:hAnsi="仿宋" w:eastAsia="仿宋" w:cs="仿宋"/>
          <w:color w:val="auto"/>
          <w:sz w:val="24"/>
          <w:szCs w:val="18"/>
          <w:highlight w:val="none"/>
          <w:lang w:eastAsia="zh-CN"/>
        </w:rPr>
        <w:t>本次报价为人民币报价，包括但不限于完成本项目所需的服务费、人员费、税金、企业管理费、利润、保险费等一切费用。</w:t>
      </w:r>
    </w:p>
    <w:p w14:paraId="59DF61D8">
      <w:pPr>
        <w:ind w:firstLine="480" w:firstLineChars="200"/>
        <w:jc w:val="left"/>
        <w:rPr>
          <w:rFonts w:hint="eastAsia" w:ascii="仿宋" w:hAnsi="仿宋" w:eastAsia="仿宋" w:cs="仿宋"/>
          <w:color w:val="auto"/>
          <w:sz w:val="24"/>
          <w:szCs w:val="18"/>
          <w:highlight w:val="none"/>
          <w:lang w:val="en-US" w:eastAsia="zh-CN"/>
        </w:rPr>
      </w:pPr>
      <w:r>
        <w:rPr>
          <w:rFonts w:hint="eastAsia" w:ascii="仿宋" w:hAnsi="仿宋" w:eastAsia="仿宋" w:cs="仿宋"/>
          <w:color w:val="auto"/>
          <w:sz w:val="24"/>
          <w:szCs w:val="18"/>
          <w:highlight w:val="none"/>
          <w:lang w:eastAsia="zh-CN"/>
        </w:rPr>
        <w:t>因成交供应商自身原因造成漏报、少报皆由其自行承担责任，采购方不再补偿，</w:t>
      </w:r>
      <w:r>
        <w:rPr>
          <w:rFonts w:hint="eastAsia" w:ascii="仿宋" w:hAnsi="仿宋" w:eastAsia="仿宋" w:cs="仿宋"/>
          <w:color w:val="auto"/>
          <w:sz w:val="24"/>
          <w:szCs w:val="18"/>
          <w:highlight w:val="none"/>
          <w:lang w:val="en-US" w:eastAsia="zh-CN"/>
        </w:rPr>
        <w:t>本项目为总价限价及分项清单限价，限价清单如下：</w:t>
      </w:r>
    </w:p>
    <w:tbl>
      <w:tblPr>
        <w:tblStyle w:val="18"/>
        <w:tblW w:w="98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47"/>
        <w:gridCol w:w="3406"/>
        <w:gridCol w:w="2946"/>
      </w:tblGrid>
      <w:tr w14:paraId="20AB5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6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DCEA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明细清单名称</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05C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单项最高限价(元)</w:t>
            </w:r>
          </w:p>
        </w:tc>
      </w:tr>
      <w:tr w14:paraId="46EDC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B86A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生物制造产业区域政策及典型做法分析</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E767">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320000</w:t>
            </w:r>
            <w:r>
              <w:rPr>
                <w:rFonts w:hint="eastAsia" w:ascii="仿宋" w:hAnsi="仿宋" w:eastAsia="仿宋" w:cs="仿宋"/>
                <w:i w:val="0"/>
                <w:iCs w:val="0"/>
                <w:color w:val="auto"/>
                <w:kern w:val="0"/>
                <w:sz w:val="24"/>
                <w:szCs w:val="24"/>
                <w:highlight w:val="none"/>
                <w:u w:val="none"/>
                <w:lang w:val="en-US" w:eastAsia="zh-CN" w:bidi="ar"/>
              </w:rPr>
              <w:t>.00</w:t>
            </w:r>
          </w:p>
        </w:tc>
      </w:tr>
      <w:tr w14:paraId="447E2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D6F9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生物制造产业动态发展追踪研究</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8432">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270000</w:t>
            </w:r>
            <w:r>
              <w:rPr>
                <w:rFonts w:hint="eastAsia" w:ascii="仿宋" w:hAnsi="仿宋" w:eastAsia="仿宋" w:cs="仿宋"/>
                <w:i w:val="0"/>
                <w:iCs w:val="0"/>
                <w:color w:val="auto"/>
                <w:kern w:val="0"/>
                <w:sz w:val="24"/>
                <w:szCs w:val="24"/>
                <w:highlight w:val="none"/>
                <w:u w:val="none"/>
                <w:lang w:val="en-US" w:eastAsia="zh-CN" w:bidi="ar"/>
              </w:rPr>
              <w:t>.00</w:t>
            </w:r>
          </w:p>
        </w:tc>
      </w:tr>
      <w:tr w14:paraId="64E45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BDC2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编制项目资金申请报告</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9D64">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250000.00</w:t>
            </w:r>
          </w:p>
        </w:tc>
      </w:tr>
      <w:tr w14:paraId="28CB2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B62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投标总报价最高限价（元）</w:t>
            </w:r>
          </w:p>
        </w:tc>
        <w:tc>
          <w:tcPr>
            <w:tcW w:w="6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027A8">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840000.00</w:t>
            </w:r>
          </w:p>
        </w:tc>
      </w:tr>
      <w:tr w14:paraId="44251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9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1499B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注：如果单价报价与总价报价不一致，以单价报价为准</w:t>
            </w:r>
          </w:p>
        </w:tc>
      </w:tr>
    </w:tbl>
    <w:p w14:paraId="45247D87">
      <w:pPr>
        <w:ind w:firstLine="480" w:firstLineChars="200"/>
        <w:jc w:val="left"/>
        <w:rPr>
          <w:rFonts w:hint="default" w:ascii="仿宋" w:hAnsi="仿宋" w:eastAsia="仿宋" w:cs="仿宋"/>
          <w:color w:val="auto"/>
          <w:sz w:val="24"/>
          <w:szCs w:val="18"/>
          <w:highlight w:val="none"/>
          <w:lang w:val="en-US" w:eastAsia="zh-CN"/>
        </w:rPr>
      </w:pPr>
    </w:p>
    <w:p w14:paraId="47010A5E">
      <w:pPr>
        <w:pStyle w:val="3"/>
        <w:spacing w:line="240" w:lineRule="auto"/>
        <w:ind w:firstLine="643"/>
        <w:rPr>
          <w:rFonts w:hint="eastAsia" w:ascii="仿宋" w:hAnsi="仿宋" w:eastAsia="仿宋" w:cs="仿宋"/>
          <w:color w:val="auto"/>
          <w:highlight w:val="none"/>
        </w:rPr>
      </w:pPr>
      <w:r>
        <w:rPr>
          <w:rFonts w:hint="eastAsia" w:ascii="仿宋" w:hAnsi="仿宋" w:eastAsia="仿宋" w:cs="仿宋"/>
          <w:b/>
          <w:color w:val="auto"/>
          <w:sz w:val="32"/>
          <w:highlight w:val="none"/>
        </w:rPr>
        <w:t>三、</w:t>
      </w:r>
      <w:bookmarkStart w:id="79" w:name="_Toc183783141"/>
      <w:r>
        <w:rPr>
          <w:rFonts w:hint="eastAsia" w:ascii="仿宋" w:hAnsi="仿宋" w:eastAsia="仿宋" w:cs="仿宋"/>
          <w:color w:val="auto"/>
          <w:highlight w:val="none"/>
        </w:rPr>
        <w:t>付款方式</w:t>
      </w:r>
      <w:bookmarkEnd w:id="79"/>
    </w:p>
    <w:p w14:paraId="52E24EAF">
      <w:pPr>
        <w:ind w:firstLine="480" w:firstLineChars="200"/>
        <w:jc w:val="left"/>
        <w:rPr>
          <w:rFonts w:hint="default" w:ascii="仿宋" w:hAnsi="仿宋" w:eastAsia="仿宋" w:cs="仿宋"/>
          <w:color w:val="auto"/>
          <w:sz w:val="24"/>
          <w:szCs w:val="18"/>
          <w:highlight w:val="none"/>
          <w:lang w:val="en-US" w:eastAsia="zh-CN"/>
        </w:rPr>
      </w:pPr>
      <w:r>
        <w:rPr>
          <w:rFonts w:hint="eastAsia" w:ascii="仿宋" w:hAnsi="仿宋" w:eastAsia="仿宋" w:cs="仿宋"/>
          <w:color w:val="auto"/>
          <w:sz w:val="24"/>
          <w:szCs w:val="18"/>
          <w:highlight w:val="none"/>
          <w:lang w:val="en-US" w:eastAsia="zh-CN"/>
        </w:rPr>
        <w:t>分项支付，具体支付方式如下：</w:t>
      </w:r>
    </w:p>
    <w:p w14:paraId="29578054">
      <w:pPr>
        <w:ind w:firstLine="480" w:firstLineChars="200"/>
        <w:jc w:val="left"/>
        <w:rPr>
          <w:rFonts w:hint="eastAsia" w:ascii="仿宋" w:hAnsi="仿宋" w:eastAsia="仿宋" w:cs="仿宋"/>
          <w:color w:val="auto"/>
          <w:sz w:val="24"/>
          <w:szCs w:val="18"/>
          <w:highlight w:val="none"/>
          <w:lang w:eastAsia="zh-CN"/>
        </w:rPr>
      </w:pPr>
      <w:r>
        <w:rPr>
          <w:rFonts w:hint="eastAsia" w:ascii="仿宋" w:hAnsi="仿宋" w:eastAsia="仿宋" w:cs="仿宋"/>
          <w:color w:val="auto"/>
          <w:sz w:val="24"/>
          <w:szCs w:val="18"/>
          <w:highlight w:val="none"/>
          <w:lang w:eastAsia="zh-CN"/>
        </w:rPr>
        <w:t>（一）生物制造产业区域政策及典型做法分析</w:t>
      </w:r>
    </w:p>
    <w:p w14:paraId="6F42AFB5">
      <w:pPr>
        <w:ind w:firstLine="480" w:firstLineChars="200"/>
        <w:jc w:val="left"/>
        <w:rPr>
          <w:rFonts w:hint="eastAsia" w:ascii="仿宋" w:hAnsi="仿宋" w:eastAsia="仿宋" w:cs="仿宋"/>
          <w:color w:val="auto"/>
          <w:sz w:val="24"/>
          <w:szCs w:val="18"/>
          <w:highlight w:val="none"/>
          <w:lang w:eastAsia="zh-CN"/>
        </w:rPr>
      </w:pPr>
      <w:r>
        <w:rPr>
          <w:rFonts w:hint="eastAsia" w:ascii="仿宋" w:hAnsi="仿宋" w:eastAsia="仿宋" w:cs="仿宋"/>
          <w:color w:val="auto"/>
          <w:sz w:val="24"/>
          <w:szCs w:val="18"/>
          <w:highlight w:val="none"/>
          <w:lang w:eastAsia="zh-CN"/>
        </w:rPr>
        <w:t>供应商完成生物制造产业区域政策及典型做法分析报告并经采购人验收合格后，一次性付清</w:t>
      </w:r>
      <w:r>
        <w:rPr>
          <w:rFonts w:hint="eastAsia" w:ascii="仿宋" w:hAnsi="仿宋" w:eastAsia="仿宋" w:cs="仿宋"/>
          <w:color w:val="auto"/>
          <w:sz w:val="24"/>
          <w:szCs w:val="18"/>
          <w:highlight w:val="none"/>
          <w:lang w:val="en-US" w:eastAsia="zh-CN"/>
        </w:rPr>
        <w:t>此单项金额</w:t>
      </w:r>
      <w:r>
        <w:rPr>
          <w:rFonts w:hint="eastAsia" w:ascii="仿宋" w:hAnsi="仿宋" w:eastAsia="仿宋" w:cs="仿宋"/>
          <w:color w:val="auto"/>
          <w:sz w:val="24"/>
          <w:szCs w:val="18"/>
          <w:highlight w:val="none"/>
          <w:lang w:eastAsia="zh-CN"/>
        </w:rPr>
        <w:t>。</w:t>
      </w:r>
    </w:p>
    <w:p w14:paraId="3EFB8A17">
      <w:pPr>
        <w:ind w:firstLine="480" w:firstLineChars="200"/>
        <w:jc w:val="left"/>
        <w:rPr>
          <w:rFonts w:hint="eastAsia" w:ascii="仿宋" w:hAnsi="仿宋" w:eastAsia="仿宋" w:cs="仿宋"/>
          <w:color w:val="auto"/>
          <w:sz w:val="24"/>
          <w:szCs w:val="18"/>
          <w:highlight w:val="none"/>
          <w:lang w:eastAsia="zh-CN"/>
        </w:rPr>
      </w:pPr>
      <w:r>
        <w:rPr>
          <w:rFonts w:hint="eastAsia" w:ascii="仿宋" w:hAnsi="仿宋" w:eastAsia="仿宋" w:cs="仿宋"/>
          <w:color w:val="auto"/>
          <w:sz w:val="24"/>
          <w:szCs w:val="18"/>
          <w:highlight w:val="none"/>
          <w:lang w:eastAsia="zh-CN"/>
        </w:rPr>
        <w:t>（二）生物制造产业动态发展追踪研究</w:t>
      </w:r>
    </w:p>
    <w:p w14:paraId="3FD2B099">
      <w:pPr>
        <w:ind w:firstLine="480" w:firstLineChars="200"/>
        <w:jc w:val="left"/>
        <w:rPr>
          <w:rFonts w:hint="eastAsia" w:ascii="仿宋" w:hAnsi="仿宋" w:eastAsia="仿宋" w:cs="仿宋"/>
          <w:color w:val="auto"/>
          <w:sz w:val="24"/>
          <w:szCs w:val="18"/>
          <w:highlight w:val="none"/>
          <w:lang w:eastAsia="zh-CN"/>
        </w:rPr>
      </w:pPr>
      <w:r>
        <w:rPr>
          <w:rFonts w:hint="eastAsia" w:ascii="仿宋" w:hAnsi="仿宋" w:eastAsia="仿宋" w:cs="仿宋"/>
          <w:color w:val="auto"/>
          <w:sz w:val="24"/>
          <w:szCs w:val="18"/>
          <w:highlight w:val="none"/>
          <w:lang w:eastAsia="zh-CN"/>
        </w:rPr>
        <w:t>供应商</w:t>
      </w:r>
      <w:r>
        <w:rPr>
          <w:rFonts w:hint="eastAsia" w:ascii="仿宋" w:hAnsi="仿宋" w:eastAsia="仿宋" w:cs="仿宋"/>
          <w:color w:val="auto"/>
          <w:sz w:val="24"/>
          <w:szCs w:val="18"/>
          <w:highlight w:val="none"/>
          <w:lang w:val="en-US" w:eastAsia="zh-CN"/>
        </w:rPr>
        <w:t>完成</w:t>
      </w:r>
      <w:r>
        <w:rPr>
          <w:rFonts w:hint="eastAsia" w:ascii="仿宋" w:hAnsi="仿宋" w:eastAsia="仿宋" w:cs="仿宋"/>
          <w:color w:val="auto"/>
          <w:sz w:val="24"/>
          <w:szCs w:val="18"/>
          <w:highlight w:val="none"/>
          <w:lang w:eastAsia="zh-CN"/>
        </w:rPr>
        <w:t>生物制造产业动态发展追踪研究</w:t>
      </w:r>
      <w:r>
        <w:rPr>
          <w:rFonts w:hint="eastAsia" w:ascii="仿宋" w:hAnsi="仿宋" w:eastAsia="仿宋" w:cs="仿宋"/>
          <w:color w:val="auto"/>
          <w:sz w:val="24"/>
          <w:szCs w:val="18"/>
          <w:highlight w:val="none"/>
          <w:lang w:val="en-US" w:eastAsia="zh-CN"/>
        </w:rPr>
        <w:t>并提供5篇</w:t>
      </w:r>
      <w:r>
        <w:rPr>
          <w:rFonts w:hint="eastAsia" w:ascii="仿宋" w:hAnsi="仿宋" w:eastAsia="仿宋" w:cs="仿宋"/>
          <w:color w:val="auto"/>
          <w:sz w:val="24"/>
          <w:szCs w:val="18"/>
          <w:highlight w:val="none"/>
          <w:lang w:eastAsia="zh-CN"/>
        </w:rPr>
        <w:t>报告</w:t>
      </w:r>
      <w:r>
        <w:rPr>
          <w:rFonts w:hint="eastAsia" w:ascii="仿宋" w:hAnsi="仿宋" w:eastAsia="仿宋" w:cs="仿宋"/>
          <w:color w:val="auto"/>
          <w:sz w:val="24"/>
          <w:szCs w:val="18"/>
          <w:highlight w:val="none"/>
          <w:lang w:val="en-US" w:eastAsia="zh-CN"/>
        </w:rPr>
        <w:t>且</w:t>
      </w:r>
      <w:r>
        <w:rPr>
          <w:rFonts w:hint="eastAsia" w:ascii="仿宋" w:hAnsi="仿宋" w:eastAsia="仿宋" w:cs="仿宋"/>
          <w:color w:val="auto"/>
          <w:sz w:val="24"/>
          <w:szCs w:val="18"/>
          <w:highlight w:val="none"/>
          <w:lang w:eastAsia="zh-CN"/>
        </w:rPr>
        <w:t>经采购人验收合格后，支付</w:t>
      </w:r>
      <w:r>
        <w:rPr>
          <w:rFonts w:hint="eastAsia" w:ascii="仿宋" w:hAnsi="仿宋" w:eastAsia="仿宋" w:cs="仿宋"/>
          <w:color w:val="auto"/>
          <w:sz w:val="24"/>
          <w:szCs w:val="18"/>
          <w:highlight w:val="none"/>
          <w:lang w:val="en-US" w:eastAsia="zh-CN"/>
        </w:rPr>
        <w:t>此单项金额的</w:t>
      </w:r>
      <w:r>
        <w:rPr>
          <w:rFonts w:hint="eastAsia" w:ascii="仿宋" w:hAnsi="仿宋" w:eastAsia="仿宋" w:cs="仿宋"/>
          <w:color w:val="auto"/>
          <w:sz w:val="24"/>
          <w:szCs w:val="18"/>
          <w:highlight w:val="none"/>
          <w:lang w:eastAsia="zh-CN"/>
        </w:rPr>
        <w:t>50%。完成生物制造产业动态发展追踪研究</w:t>
      </w:r>
      <w:r>
        <w:rPr>
          <w:rFonts w:hint="eastAsia" w:ascii="仿宋" w:hAnsi="仿宋" w:eastAsia="仿宋" w:cs="仿宋"/>
          <w:color w:val="auto"/>
          <w:sz w:val="24"/>
          <w:szCs w:val="18"/>
          <w:highlight w:val="none"/>
          <w:lang w:val="en-US" w:eastAsia="zh-CN"/>
        </w:rPr>
        <w:t>并提供十篇</w:t>
      </w:r>
      <w:r>
        <w:rPr>
          <w:rFonts w:hint="eastAsia" w:ascii="仿宋" w:hAnsi="仿宋" w:eastAsia="仿宋" w:cs="仿宋"/>
          <w:color w:val="auto"/>
          <w:sz w:val="24"/>
          <w:szCs w:val="18"/>
          <w:highlight w:val="none"/>
          <w:lang w:eastAsia="zh-CN"/>
        </w:rPr>
        <w:t>报告</w:t>
      </w:r>
      <w:r>
        <w:rPr>
          <w:rFonts w:hint="eastAsia" w:ascii="仿宋" w:hAnsi="仿宋" w:eastAsia="仿宋" w:cs="仿宋"/>
          <w:color w:val="auto"/>
          <w:sz w:val="24"/>
          <w:szCs w:val="18"/>
          <w:highlight w:val="none"/>
          <w:lang w:val="en-US" w:eastAsia="zh-CN"/>
        </w:rPr>
        <w:t>且</w:t>
      </w:r>
      <w:r>
        <w:rPr>
          <w:rFonts w:hint="eastAsia" w:ascii="仿宋" w:hAnsi="仿宋" w:eastAsia="仿宋" w:cs="仿宋"/>
          <w:color w:val="auto"/>
          <w:sz w:val="24"/>
          <w:szCs w:val="18"/>
          <w:highlight w:val="none"/>
          <w:lang w:eastAsia="zh-CN"/>
        </w:rPr>
        <w:t>经采购人验收合格后，支付</w:t>
      </w:r>
      <w:r>
        <w:rPr>
          <w:rFonts w:hint="eastAsia" w:ascii="仿宋" w:hAnsi="仿宋" w:eastAsia="仿宋" w:cs="仿宋"/>
          <w:color w:val="auto"/>
          <w:sz w:val="24"/>
          <w:szCs w:val="18"/>
          <w:highlight w:val="none"/>
          <w:lang w:val="en-US" w:eastAsia="zh-CN"/>
        </w:rPr>
        <w:t>至此单项金额的10</w:t>
      </w:r>
      <w:r>
        <w:rPr>
          <w:rFonts w:hint="eastAsia" w:ascii="仿宋" w:hAnsi="仿宋" w:eastAsia="仿宋" w:cs="仿宋"/>
          <w:color w:val="auto"/>
          <w:sz w:val="24"/>
          <w:szCs w:val="18"/>
          <w:highlight w:val="none"/>
          <w:lang w:eastAsia="zh-CN"/>
        </w:rPr>
        <w:t>0%。</w:t>
      </w:r>
    </w:p>
    <w:p w14:paraId="7E4CD45B">
      <w:pPr>
        <w:ind w:firstLine="480" w:firstLineChars="200"/>
        <w:jc w:val="left"/>
        <w:rPr>
          <w:rFonts w:hint="eastAsia" w:ascii="仿宋" w:hAnsi="仿宋" w:eastAsia="仿宋" w:cs="仿宋"/>
          <w:color w:val="auto"/>
          <w:sz w:val="24"/>
          <w:szCs w:val="18"/>
          <w:highlight w:val="none"/>
          <w:lang w:eastAsia="zh-CN"/>
        </w:rPr>
      </w:pPr>
      <w:r>
        <w:rPr>
          <w:rFonts w:hint="eastAsia" w:ascii="仿宋" w:hAnsi="仿宋" w:eastAsia="仿宋" w:cs="仿宋"/>
          <w:color w:val="auto"/>
          <w:sz w:val="24"/>
          <w:szCs w:val="18"/>
          <w:highlight w:val="none"/>
          <w:lang w:eastAsia="zh-CN"/>
        </w:rPr>
        <w:t>（三）编制项目资金申请报告</w:t>
      </w:r>
    </w:p>
    <w:p w14:paraId="313DD37E">
      <w:pPr>
        <w:ind w:firstLine="480" w:firstLineChars="200"/>
        <w:jc w:val="left"/>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lang w:eastAsia="zh-CN"/>
        </w:rPr>
        <w:t>合同签订后10个工作日内支付</w:t>
      </w:r>
      <w:r>
        <w:rPr>
          <w:rFonts w:hint="eastAsia" w:ascii="仿宋" w:hAnsi="仿宋" w:eastAsia="仿宋" w:cs="仿宋"/>
          <w:color w:val="auto"/>
          <w:sz w:val="24"/>
          <w:szCs w:val="18"/>
          <w:highlight w:val="none"/>
          <w:lang w:val="en-US" w:eastAsia="zh-CN"/>
        </w:rPr>
        <w:t>此单项金额的</w:t>
      </w:r>
      <w:r>
        <w:rPr>
          <w:rFonts w:hint="eastAsia" w:ascii="仿宋" w:hAnsi="仿宋" w:eastAsia="仿宋" w:cs="仿宋"/>
          <w:color w:val="auto"/>
          <w:sz w:val="24"/>
          <w:szCs w:val="18"/>
          <w:highlight w:val="none"/>
          <w:lang w:eastAsia="zh-CN"/>
        </w:rPr>
        <w:t>40%，供应商完成报告</w:t>
      </w:r>
      <w:r>
        <w:rPr>
          <w:rFonts w:hint="eastAsia" w:ascii="仿宋" w:hAnsi="仿宋" w:eastAsia="仿宋" w:cs="仿宋"/>
          <w:color w:val="auto"/>
          <w:sz w:val="24"/>
          <w:szCs w:val="18"/>
          <w:highlight w:val="none"/>
          <w:lang w:val="en-US" w:eastAsia="zh-CN"/>
        </w:rPr>
        <w:t>并</w:t>
      </w:r>
      <w:r>
        <w:rPr>
          <w:rFonts w:hint="eastAsia" w:ascii="仿宋" w:hAnsi="仿宋" w:eastAsia="仿宋" w:cs="仿宋"/>
          <w:color w:val="auto"/>
          <w:sz w:val="24"/>
          <w:szCs w:val="18"/>
          <w:highlight w:val="none"/>
          <w:lang w:eastAsia="zh-CN"/>
        </w:rPr>
        <w:t>经采购人验收合格后支付</w:t>
      </w:r>
      <w:r>
        <w:rPr>
          <w:rFonts w:hint="eastAsia" w:ascii="仿宋" w:hAnsi="仿宋" w:eastAsia="仿宋" w:cs="仿宋"/>
          <w:color w:val="auto"/>
          <w:sz w:val="24"/>
          <w:szCs w:val="18"/>
          <w:highlight w:val="none"/>
          <w:lang w:val="en-US" w:eastAsia="zh-CN"/>
        </w:rPr>
        <w:t>至此单项金额的10</w:t>
      </w:r>
      <w:r>
        <w:rPr>
          <w:rFonts w:hint="eastAsia" w:ascii="仿宋" w:hAnsi="仿宋" w:eastAsia="仿宋" w:cs="仿宋"/>
          <w:color w:val="auto"/>
          <w:sz w:val="24"/>
          <w:szCs w:val="18"/>
          <w:highlight w:val="none"/>
          <w:lang w:eastAsia="zh-CN"/>
        </w:rPr>
        <w:t>0%。</w:t>
      </w:r>
    </w:p>
    <w:p w14:paraId="77AB2CAA">
      <w:pPr>
        <w:pStyle w:val="3"/>
        <w:spacing w:line="240" w:lineRule="auto"/>
        <w:ind w:firstLine="643"/>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知识产权</w:t>
      </w:r>
    </w:p>
    <w:p w14:paraId="0817E90E">
      <w:pPr>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18"/>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9BB7FFA">
      <w:pPr>
        <w:pStyle w:val="3"/>
        <w:spacing w:line="240" w:lineRule="auto"/>
        <w:ind w:firstLine="643"/>
        <w:rPr>
          <w:rFonts w:hint="eastAsia" w:ascii="仿宋" w:hAnsi="仿宋" w:eastAsia="仿宋" w:cs="仿宋"/>
          <w:color w:val="auto"/>
          <w:highlight w:val="none"/>
        </w:rPr>
      </w:pPr>
      <w:bookmarkStart w:id="80" w:name="_Toc267320054"/>
      <w:bookmarkStart w:id="81" w:name="_Toc17569"/>
      <w:bookmarkStart w:id="82" w:name="_Toc28513"/>
      <w:bookmarkStart w:id="83" w:name="_Toc14923"/>
      <w:bookmarkStart w:id="84" w:name="_Toc106030392"/>
      <w:bookmarkStart w:id="85" w:name="_Toc32308"/>
      <w:bookmarkStart w:id="86" w:name="_Toc23858"/>
      <w:bookmarkStart w:id="87" w:name="_Toc75793516"/>
      <w:bookmarkStart w:id="88" w:name="_Toc6099"/>
      <w:bookmarkStart w:id="89" w:name="_Toc10406"/>
      <w:bookmarkStart w:id="90" w:name="_Toc13936"/>
      <w:bookmarkStart w:id="91" w:name="_Toc27175"/>
      <w:bookmarkStart w:id="92" w:name="_Toc1138"/>
      <w:bookmarkStart w:id="93" w:name="_Toc6385"/>
      <w:bookmarkStart w:id="94" w:name="_Toc183783143"/>
      <w:bookmarkStart w:id="95" w:name="_Toc30515"/>
      <w:bookmarkStart w:id="96" w:name="_Toc4353"/>
      <w:bookmarkStart w:id="97" w:name="_Toc529"/>
      <w:r>
        <w:rPr>
          <w:rFonts w:hint="eastAsia" w:ascii="仿宋" w:hAnsi="仿宋" w:eastAsia="仿宋" w:cs="仿宋"/>
          <w:color w:val="auto"/>
          <w:highlight w:val="none"/>
          <w:lang w:val="en-US" w:eastAsia="zh-CN"/>
        </w:rPr>
        <w:t>五</w:t>
      </w:r>
      <w:r>
        <w:rPr>
          <w:rFonts w:hint="eastAsia" w:ascii="仿宋" w:hAnsi="仿宋" w:eastAsia="仿宋" w:cs="仿宋"/>
          <w:color w:val="auto"/>
          <w:highlight w:val="none"/>
        </w:rPr>
        <w:t>、</w:t>
      </w:r>
      <w:bookmarkEnd w:id="80"/>
      <w:r>
        <w:rPr>
          <w:rFonts w:hint="eastAsia" w:ascii="仿宋" w:hAnsi="仿宋" w:eastAsia="仿宋" w:cs="仿宋"/>
          <w:color w:val="auto"/>
          <w:highlight w:val="none"/>
        </w:rPr>
        <w:t>其他商务要求内容</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62AF1573">
      <w:pPr>
        <w:pStyle w:val="2"/>
        <w:spacing w:line="24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b w:val="0"/>
          <w:color w:val="auto"/>
          <w:kern w:val="2"/>
          <w:sz w:val="24"/>
          <w:szCs w:val="18"/>
          <w:highlight w:val="none"/>
          <w:lang w:val="en-US" w:eastAsia="zh-CN" w:bidi="ar-SA"/>
        </w:rPr>
        <w:t>其他未尽事宜由供需双方在合同中约定。</w:t>
      </w:r>
      <w:r>
        <w:rPr>
          <w:rFonts w:hint="eastAsia" w:ascii="仿宋" w:hAnsi="仿宋" w:eastAsia="仿宋" w:cs="仿宋"/>
          <w:color w:val="auto"/>
          <w:sz w:val="24"/>
          <w:szCs w:val="24"/>
          <w:highlight w:val="none"/>
        </w:rPr>
        <w:br w:type="page"/>
      </w:r>
      <w:bookmarkStart w:id="98" w:name="_Toc109836389"/>
      <w:bookmarkStart w:id="99" w:name="_Toc183783144"/>
      <w:r>
        <w:rPr>
          <w:rFonts w:hint="eastAsia" w:ascii="仿宋" w:hAnsi="仿宋" w:eastAsia="仿宋" w:cs="仿宋"/>
          <w:color w:val="auto"/>
          <w:sz w:val="40"/>
          <w:szCs w:val="18"/>
          <w:highlight w:val="none"/>
        </w:rPr>
        <w:t>第四篇  竞采程序、评标办法</w:t>
      </w:r>
      <w:bookmarkEnd w:id="98"/>
      <w:r>
        <w:rPr>
          <w:rFonts w:hint="eastAsia" w:ascii="仿宋" w:hAnsi="仿宋" w:eastAsia="仿宋" w:cs="仿宋"/>
          <w:color w:val="auto"/>
          <w:sz w:val="40"/>
          <w:szCs w:val="18"/>
          <w:highlight w:val="none"/>
        </w:rPr>
        <w:t>、无效响应及采购终止</w:t>
      </w:r>
      <w:bookmarkEnd w:id="99"/>
    </w:p>
    <w:p w14:paraId="71D6C48D">
      <w:pPr>
        <w:pStyle w:val="3"/>
        <w:spacing w:line="240" w:lineRule="auto"/>
        <w:ind w:firstLine="643"/>
        <w:rPr>
          <w:rFonts w:hint="eastAsia" w:ascii="仿宋" w:hAnsi="仿宋" w:eastAsia="仿宋" w:cs="仿宋"/>
          <w:color w:val="auto"/>
          <w:highlight w:val="none"/>
        </w:rPr>
      </w:pPr>
      <w:bookmarkStart w:id="100" w:name="_Toc10124"/>
      <w:bookmarkStart w:id="101" w:name="_Toc183783145"/>
      <w:r>
        <w:rPr>
          <w:rFonts w:hint="eastAsia" w:ascii="仿宋" w:hAnsi="仿宋" w:eastAsia="仿宋" w:cs="仿宋"/>
          <w:color w:val="auto"/>
          <w:highlight w:val="none"/>
        </w:rPr>
        <w:t>一、</w:t>
      </w:r>
      <w:bookmarkEnd w:id="100"/>
      <w:bookmarkStart w:id="102" w:name="_Toc75793518"/>
      <w:r>
        <w:rPr>
          <w:rFonts w:hint="eastAsia" w:ascii="仿宋" w:hAnsi="仿宋" w:eastAsia="仿宋" w:cs="仿宋"/>
          <w:color w:val="auto"/>
          <w:highlight w:val="none"/>
        </w:rPr>
        <w:t>网上竞采程序</w:t>
      </w:r>
      <w:bookmarkEnd w:id="101"/>
      <w:bookmarkEnd w:id="102"/>
    </w:p>
    <w:p w14:paraId="573F4504">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（一）报价截止后评审小组对各供应商的资格条件、响应文件的有效性、完整性和响应程度进行审查。各供应商只有在完全符合要求的前提下，才能参与正式评审。</w:t>
      </w:r>
    </w:p>
    <w:p w14:paraId="31478498">
      <w:pPr>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1.资格性检查。</w:t>
      </w:r>
      <w:r>
        <w:rPr>
          <w:rFonts w:hint="eastAsia" w:ascii="仿宋" w:hAnsi="仿宋" w:eastAsia="仿宋" w:cs="仿宋"/>
          <w:color w:val="auto"/>
          <w:sz w:val="24"/>
          <w:szCs w:val="24"/>
          <w:highlight w:val="none"/>
        </w:rPr>
        <w:t>依据法律法规和采购文件的规定，对响应文件中的资格证明等进行审查，以确定供应商是否具备资格。资格性检查资料表如下：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7354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1FB68267">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685" w:type="dxa"/>
            <w:gridSpan w:val="2"/>
            <w:vAlign w:val="center"/>
          </w:tcPr>
          <w:p w14:paraId="37B57253">
            <w:pPr>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检查因素</w:t>
            </w:r>
          </w:p>
        </w:tc>
        <w:tc>
          <w:tcPr>
            <w:tcW w:w="5155" w:type="dxa"/>
            <w:vAlign w:val="center"/>
          </w:tcPr>
          <w:p w14:paraId="46EFA9E0">
            <w:pPr>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检查内容</w:t>
            </w:r>
          </w:p>
        </w:tc>
      </w:tr>
      <w:tr w14:paraId="6517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194B8E1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09" w:type="dxa"/>
            <w:vMerge w:val="restart"/>
            <w:vAlign w:val="center"/>
          </w:tcPr>
          <w:p w14:paraId="0295E457">
            <w:pPr>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zh-CN"/>
              </w:rPr>
              <w:t>应符合的基本</w:t>
            </w:r>
            <w:r>
              <w:rPr>
                <w:rFonts w:hint="eastAsia" w:ascii="仿宋" w:hAnsi="仿宋" w:eastAsia="仿宋" w:cs="仿宋"/>
                <w:color w:val="auto"/>
                <w:sz w:val="24"/>
                <w:szCs w:val="24"/>
                <w:highlight w:val="none"/>
              </w:rPr>
              <w:t>资格</w:t>
            </w:r>
            <w:r>
              <w:rPr>
                <w:rFonts w:hint="eastAsia" w:ascii="仿宋" w:hAnsi="仿宋" w:eastAsia="仿宋" w:cs="仿宋"/>
                <w:color w:val="auto"/>
                <w:sz w:val="24"/>
                <w:szCs w:val="24"/>
                <w:highlight w:val="none"/>
                <w:lang w:val="zh-CN"/>
              </w:rPr>
              <w:t>条件</w:t>
            </w:r>
          </w:p>
        </w:tc>
        <w:tc>
          <w:tcPr>
            <w:tcW w:w="2976" w:type="dxa"/>
            <w:vAlign w:val="center"/>
          </w:tcPr>
          <w:p w14:paraId="4B659FF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5155" w:type="dxa"/>
            <w:vAlign w:val="center"/>
          </w:tcPr>
          <w:p w14:paraId="14B7AA9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供应商法人营业执照（副本）或事业单位法人证书（副本）； 供应商法定代表人身份证明和法定代表人授权代表委托书。</w:t>
            </w:r>
          </w:p>
        </w:tc>
      </w:tr>
      <w:tr w14:paraId="745C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C9549A8">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16379AB5">
            <w:pPr>
              <w:ind w:firstLine="480"/>
              <w:jc w:val="left"/>
              <w:rPr>
                <w:rFonts w:hint="eastAsia" w:ascii="仿宋" w:hAnsi="仿宋" w:eastAsia="仿宋" w:cs="仿宋"/>
                <w:color w:val="auto"/>
                <w:sz w:val="24"/>
                <w:szCs w:val="24"/>
                <w:highlight w:val="none"/>
                <w:lang w:val="zh-CN"/>
              </w:rPr>
            </w:pPr>
          </w:p>
        </w:tc>
        <w:tc>
          <w:tcPr>
            <w:tcW w:w="2976" w:type="dxa"/>
            <w:vAlign w:val="center"/>
          </w:tcPr>
          <w:p w14:paraId="6E36E21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tc>
        <w:tc>
          <w:tcPr>
            <w:tcW w:w="5155" w:type="dxa"/>
            <w:vMerge w:val="restart"/>
            <w:vAlign w:val="center"/>
          </w:tcPr>
          <w:p w14:paraId="4A8BE85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供应商提供承诺函（见格式文件）</w:t>
            </w:r>
          </w:p>
        </w:tc>
      </w:tr>
      <w:tr w14:paraId="0D5D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0BDABB1">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57705FF8">
            <w:pPr>
              <w:ind w:firstLine="480"/>
              <w:jc w:val="left"/>
              <w:rPr>
                <w:rFonts w:hint="eastAsia" w:ascii="仿宋" w:hAnsi="仿宋" w:eastAsia="仿宋" w:cs="仿宋"/>
                <w:color w:val="auto"/>
                <w:sz w:val="24"/>
                <w:szCs w:val="24"/>
                <w:highlight w:val="none"/>
                <w:lang w:val="zh-CN"/>
              </w:rPr>
            </w:pPr>
          </w:p>
        </w:tc>
        <w:tc>
          <w:tcPr>
            <w:tcW w:w="2976" w:type="dxa"/>
            <w:vAlign w:val="center"/>
          </w:tcPr>
          <w:p w14:paraId="0D1E8F8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tc>
        <w:tc>
          <w:tcPr>
            <w:tcW w:w="5155" w:type="dxa"/>
            <w:vMerge w:val="continue"/>
            <w:vAlign w:val="center"/>
          </w:tcPr>
          <w:p w14:paraId="6875E19F">
            <w:pPr>
              <w:ind w:firstLine="480"/>
              <w:jc w:val="left"/>
              <w:rPr>
                <w:rFonts w:hint="eastAsia" w:ascii="仿宋" w:hAnsi="仿宋" w:eastAsia="仿宋" w:cs="仿宋"/>
                <w:color w:val="auto"/>
                <w:sz w:val="24"/>
                <w:szCs w:val="24"/>
                <w:highlight w:val="none"/>
              </w:rPr>
            </w:pPr>
          </w:p>
        </w:tc>
      </w:tr>
      <w:tr w14:paraId="4F9F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vAlign w:val="center"/>
          </w:tcPr>
          <w:p w14:paraId="57759D96">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562B6041">
            <w:pPr>
              <w:ind w:firstLine="480"/>
              <w:jc w:val="left"/>
              <w:rPr>
                <w:rFonts w:hint="eastAsia" w:ascii="仿宋" w:hAnsi="仿宋" w:eastAsia="仿宋" w:cs="仿宋"/>
                <w:color w:val="auto"/>
                <w:sz w:val="24"/>
                <w:szCs w:val="24"/>
                <w:highlight w:val="none"/>
                <w:lang w:val="zh-CN"/>
              </w:rPr>
            </w:pPr>
          </w:p>
        </w:tc>
        <w:tc>
          <w:tcPr>
            <w:tcW w:w="2976" w:type="dxa"/>
            <w:vAlign w:val="center"/>
          </w:tcPr>
          <w:p w14:paraId="5918728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（4）有依法缴纳税收和社会保障金的良好记录</w:t>
            </w:r>
          </w:p>
        </w:tc>
        <w:tc>
          <w:tcPr>
            <w:tcW w:w="5155" w:type="dxa"/>
            <w:vMerge w:val="continue"/>
            <w:vAlign w:val="center"/>
          </w:tcPr>
          <w:p w14:paraId="19EDB75A">
            <w:pPr>
              <w:ind w:firstLine="480"/>
              <w:jc w:val="left"/>
              <w:rPr>
                <w:rFonts w:hint="eastAsia" w:ascii="仿宋" w:hAnsi="仿宋" w:eastAsia="仿宋" w:cs="仿宋"/>
                <w:color w:val="auto"/>
                <w:sz w:val="24"/>
                <w:szCs w:val="24"/>
                <w:highlight w:val="none"/>
              </w:rPr>
            </w:pPr>
          </w:p>
        </w:tc>
      </w:tr>
      <w:tr w14:paraId="29C4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BE9837C">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0865FA0D">
            <w:pPr>
              <w:ind w:firstLine="480"/>
              <w:jc w:val="left"/>
              <w:rPr>
                <w:rFonts w:hint="eastAsia" w:ascii="仿宋" w:hAnsi="仿宋" w:eastAsia="仿宋" w:cs="仿宋"/>
                <w:color w:val="auto"/>
                <w:sz w:val="24"/>
                <w:szCs w:val="24"/>
                <w:highlight w:val="none"/>
                <w:lang w:val="zh-CN"/>
              </w:rPr>
            </w:pPr>
          </w:p>
        </w:tc>
        <w:tc>
          <w:tcPr>
            <w:tcW w:w="2976" w:type="dxa"/>
            <w:vAlign w:val="center"/>
          </w:tcPr>
          <w:p w14:paraId="4B367B92">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w:t>
            </w:r>
          </w:p>
        </w:tc>
        <w:tc>
          <w:tcPr>
            <w:tcW w:w="5155" w:type="dxa"/>
            <w:vAlign w:val="center"/>
          </w:tcPr>
          <w:p w14:paraId="528B68D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1.供应商提供书面声明（见格式文件）；</w:t>
            </w:r>
          </w:p>
          <w:p w14:paraId="042F686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4AC1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669885B8">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044ED0F1">
            <w:pPr>
              <w:ind w:firstLine="480"/>
              <w:jc w:val="left"/>
              <w:rPr>
                <w:rFonts w:hint="eastAsia" w:ascii="仿宋" w:hAnsi="仿宋" w:eastAsia="仿宋" w:cs="仿宋"/>
                <w:color w:val="auto"/>
                <w:sz w:val="24"/>
                <w:szCs w:val="24"/>
                <w:highlight w:val="none"/>
                <w:lang w:val="zh-CN"/>
              </w:rPr>
            </w:pPr>
          </w:p>
        </w:tc>
        <w:tc>
          <w:tcPr>
            <w:tcW w:w="2976" w:type="dxa"/>
            <w:vAlign w:val="center"/>
          </w:tcPr>
          <w:p w14:paraId="5EB2730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5155" w:type="dxa"/>
            <w:vAlign w:val="center"/>
          </w:tcPr>
          <w:p w14:paraId="7EF2FC2C">
            <w:pPr>
              <w:ind w:firstLine="480"/>
              <w:jc w:val="left"/>
              <w:rPr>
                <w:rFonts w:hint="eastAsia" w:ascii="仿宋" w:hAnsi="仿宋" w:eastAsia="仿宋" w:cs="仿宋"/>
                <w:color w:val="auto"/>
                <w:sz w:val="24"/>
                <w:szCs w:val="24"/>
                <w:highlight w:val="none"/>
              </w:rPr>
            </w:pPr>
          </w:p>
        </w:tc>
      </w:tr>
      <w:tr w14:paraId="3D77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Align w:val="center"/>
          </w:tcPr>
          <w:p w14:paraId="6FC6C97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685" w:type="dxa"/>
            <w:gridSpan w:val="2"/>
            <w:vAlign w:val="center"/>
          </w:tcPr>
          <w:p w14:paraId="382C1ED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特定资格条件</w:t>
            </w:r>
          </w:p>
        </w:tc>
        <w:tc>
          <w:tcPr>
            <w:tcW w:w="5155" w:type="dxa"/>
            <w:vAlign w:val="center"/>
          </w:tcPr>
          <w:p w14:paraId="0FA80FE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按第一篇“三、供应商资格条件（二）本项目的特定资格要求”的要求提交</w:t>
            </w:r>
          </w:p>
        </w:tc>
      </w:tr>
    </w:tbl>
    <w:p w14:paraId="325640E5">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32046437">
      <w:pPr>
        <w:snapToGrid w:val="0"/>
        <w:ind w:firstLine="482" w:firstLineChars="20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2.符合性检查。</w:t>
      </w:r>
      <w:r>
        <w:rPr>
          <w:rFonts w:hint="eastAsia" w:ascii="仿宋" w:hAnsi="仿宋" w:eastAsia="仿宋" w:cs="仿宋"/>
          <w:color w:val="auto"/>
          <w:kern w:val="0"/>
          <w:sz w:val="24"/>
          <w:szCs w:val="24"/>
          <w:highlight w:val="none"/>
        </w:rPr>
        <w:t>依据网上竞采文件的规定，从响应文件的有效性、完整性和对网上竞采文件的响应程度进行审查，以确定是否对网上竞采文件的实质性要求作出响应。符合性检查资料表如下：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00"/>
        <w:gridCol w:w="1884"/>
        <w:gridCol w:w="5409"/>
      </w:tblGrid>
      <w:tr w14:paraId="06D9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5" w:type="dxa"/>
            <w:vAlign w:val="center"/>
          </w:tcPr>
          <w:p w14:paraId="6D854F58">
            <w:pP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384" w:type="dxa"/>
            <w:gridSpan w:val="2"/>
            <w:vAlign w:val="center"/>
          </w:tcPr>
          <w:p w14:paraId="2E41DA1B">
            <w:pPr>
              <w:ind w:firstLine="482"/>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w:t>
            </w:r>
            <w:r>
              <w:rPr>
                <w:rFonts w:hint="eastAsia" w:ascii="仿宋" w:hAnsi="仿宋" w:eastAsia="仿宋" w:cs="仿宋"/>
                <w:b/>
                <w:bCs/>
                <w:color w:val="auto"/>
                <w:sz w:val="24"/>
                <w:szCs w:val="24"/>
                <w:highlight w:val="none"/>
              </w:rPr>
              <w:t>因素</w:t>
            </w:r>
          </w:p>
        </w:tc>
        <w:tc>
          <w:tcPr>
            <w:tcW w:w="5409" w:type="dxa"/>
            <w:vAlign w:val="center"/>
          </w:tcPr>
          <w:p w14:paraId="2F591075">
            <w:pPr>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评审标准</w:t>
            </w:r>
          </w:p>
        </w:tc>
      </w:tr>
      <w:tr w14:paraId="1833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35" w:type="dxa"/>
            <w:vMerge w:val="restart"/>
            <w:vAlign w:val="center"/>
          </w:tcPr>
          <w:p w14:paraId="51AFF6B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vMerge w:val="restart"/>
            <w:vAlign w:val="center"/>
          </w:tcPr>
          <w:p w14:paraId="66984E60">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有效性</w:t>
            </w:r>
            <w:r>
              <w:rPr>
                <w:rFonts w:hint="eastAsia" w:ascii="仿宋" w:hAnsi="仿宋" w:eastAsia="仿宋" w:cs="仿宋"/>
                <w:color w:val="auto"/>
                <w:kern w:val="0"/>
                <w:sz w:val="24"/>
                <w:szCs w:val="24"/>
                <w:highlight w:val="none"/>
              </w:rPr>
              <w:t>审查</w:t>
            </w:r>
          </w:p>
        </w:tc>
        <w:tc>
          <w:tcPr>
            <w:tcW w:w="1884" w:type="dxa"/>
            <w:vAlign w:val="center"/>
          </w:tcPr>
          <w:p w14:paraId="7C03A3CB">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响应文件签署</w:t>
            </w:r>
          </w:p>
        </w:tc>
        <w:tc>
          <w:tcPr>
            <w:tcW w:w="5409" w:type="dxa"/>
            <w:vAlign w:val="center"/>
          </w:tcPr>
          <w:p w14:paraId="32AFAAAB">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highlight w:val="none"/>
              </w:rPr>
              <w:t>响应文件</w:t>
            </w:r>
            <w:r>
              <w:rPr>
                <w:rFonts w:hint="eastAsia" w:ascii="仿宋" w:hAnsi="仿宋" w:eastAsia="仿宋" w:cs="仿宋"/>
                <w:color w:val="auto"/>
                <w:sz w:val="24"/>
                <w:szCs w:val="24"/>
                <w:highlight w:val="none"/>
              </w:rPr>
              <w:t>上法定代表人或其授权代表人的签字齐全。</w:t>
            </w:r>
          </w:p>
        </w:tc>
      </w:tr>
      <w:tr w14:paraId="240D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35" w:type="dxa"/>
            <w:vMerge w:val="continue"/>
            <w:vAlign w:val="center"/>
          </w:tcPr>
          <w:p w14:paraId="7DB03F25">
            <w:pPr>
              <w:ind w:firstLine="480"/>
              <w:jc w:val="center"/>
              <w:rPr>
                <w:rFonts w:hint="eastAsia" w:ascii="仿宋" w:hAnsi="仿宋" w:eastAsia="仿宋" w:cs="仿宋"/>
                <w:color w:val="auto"/>
                <w:kern w:val="0"/>
                <w:sz w:val="24"/>
                <w:szCs w:val="24"/>
                <w:highlight w:val="none"/>
              </w:rPr>
            </w:pPr>
          </w:p>
        </w:tc>
        <w:tc>
          <w:tcPr>
            <w:tcW w:w="1500" w:type="dxa"/>
            <w:vMerge w:val="continue"/>
            <w:vAlign w:val="center"/>
          </w:tcPr>
          <w:p w14:paraId="6D735B03">
            <w:pPr>
              <w:ind w:firstLine="480"/>
              <w:rPr>
                <w:rFonts w:hint="eastAsia" w:ascii="仿宋" w:hAnsi="仿宋" w:eastAsia="仿宋" w:cs="仿宋"/>
                <w:color w:val="auto"/>
                <w:kern w:val="0"/>
                <w:sz w:val="24"/>
                <w:szCs w:val="24"/>
                <w:highlight w:val="none"/>
              </w:rPr>
            </w:pPr>
          </w:p>
        </w:tc>
        <w:tc>
          <w:tcPr>
            <w:tcW w:w="1884" w:type="dxa"/>
            <w:vAlign w:val="center"/>
          </w:tcPr>
          <w:p w14:paraId="7D77639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5409" w:type="dxa"/>
            <w:vAlign w:val="center"/>
          </w:tcPr>
          <w:p w14:paraId="6833BE04">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法定代表人身份证明及授权委托书有效，符合网上竞采文件规定的格式，签字或盖章齐全。</w:t>
            </w:r>
          </w:p>
        </w:tc>
      </w:tr>
      <w:tr w14:paraId="3AD8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5" w:type="dxa"/>
            <w:vMerge w:val="continue"/>
            <w:vAlign w:val="center"/>
          </w:tcPr>
          <w:p w14:paraId="352F35B1">
            <w:pPr>
              <w:ind w:firstLine="480"/>
              <w:jc w:val="center"/>
              <w:rPr>
                <w:rFonts w:hint="eastAsia" w:ascii="仿宋" w:hAnsi="仿宋" w:eastAsia="仿宋" w:cs="仿宋"/>
                <w:color w:val="auto"/>
                <w:kern w:val="0"/>
                <w:sz w:val="24"/>
                <w:szCs w:val="24"/>
                <w:highlight w:val="none"/>
              </w:rPr>
            </w:pPr>
          </w:p>
        </w:tc>
        <w:tc>
          <w:tcPr>
            <w:tcW w:w="1500" w:type="dxa"/>
            <w:vMerge w:val="continue"/>
            <w:vAlign w:val="center"/>
          </w:tcPr>
          <w:p w14:paraId="6F2BA7BB">
            <w:pPr>
              <w:ind w:firstLine="480"/>
              <w:rPr>
                <w:rFonts w:hint="eastAsia" w:ascii="仿宋" w:hAnsi="仿宋" w:eastAsia="仿宋" w:cs="仿宋"/>
                <w:color w:val="auto"/>
                <w:kern w:val="0"/>
                <w:sz w:val="24"/>
                <w:szCs w:val="24"/>
                <w:highlight w:val="none"/>
              </w:rPr>
            </w:pPr>
          </w:p>
        </w:tc>
        <w:tc>
          <w:tcPr>
            <w:tcW w:w="1884" w:type="dxa"/>
            <w:vAlign w:val="center"/>
          </w:tcPr>
          <w:p w14:paraId="78CEA85E">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c>
          <w:tcPr>
            <w:tcW w:w="5409" w:type="dxa"/>
            <w:vAlign w:val="center"/>
          </w:tcPr>
          <w:p w14:paraId="2B1E0CAB">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每个</w:t>
            </w:r>
            <w:r>
              <w:rPr>
                <w:rFonts w:hint="eastAsia" w:ascii="仿宋" w:hAnsi="仿宋" w:eastAsia="仿宋" w:cs="仿宋"/>
                <w:color w:val="auto"/>
                <w:sz w:val="24"/>
                <w:szCs w:val="24"/>
                <w:highlight w:val="none"/>
              </w:rPr>
              <w:t>分包</w:t>
            </w:r>
            <w:r>
              <w:rPr>
                <w:rFonts w:hint="eastAsia" w:ascii="仿宋" w:hAnsi="仿宋" w:eastAsia="仿宋" w:cs="仿宋"/>
                <w:color w:val="auto"/>
                <w:sz w:val="24"/>
                <w:szCs w:val="24"/>
                <w:highlight w:val="none"/>
                <w:lang w:val="zh-CN"/>
              </w:rPr>
              <w:t>只能有一个</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r>
      <w:tr w14:paraId="2874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35" w:type="dxa"/>
            <w:vMerge w:val="continue"/>
            <w:vAlign w:val="center"/>
          </w:tcPr>
          <w:p w14:paraId="2B221537">
            <w:pPr>
              <w:ind w:firstLine="480"/>
              <w:jc w:val="center"/>
              <w:rPr>
                <w:rFonts w:hint="eastAsia" w:ascii="仿宋" w:hAnsi="仿宋" w:eastAsia="仿宋" w:cs="仿宋"/>
                <w:color w:val="auto"/>
                <w:kern w:val="0"/>
                <w:sz w:val="24"/>
                <w:szCs w:val="24"/>
                <w:highlight w:val="none"/>
              </w:rPr>
            </w:pPr>
          </w:p>
        </w:tc>
        <w:tc>
          <w:tcPr>
            <w:tcW w:w="1500" w:type="dxa"/>
            <w:vMerge w:val="continue"/>
            <w:vAlign w:val="center"/>
          </w:tcPr>
          <w:p w14:paraId="55949D65">
            <w:pPr>
              <w:ind w:firstLine="480"/>
              <w:rPr>
                <w:rFonts w:hint="eastAsia" w:ascii="仿宋" w:hAnsi="仿宋" w:eastAsia="仿宋" w:cs="仿宋"/>
                <w:color w:val="auto"/>
                <w:kern w:val="0"/>
                <w:sz w:val="24"/>
                <w:szCs w:val="24"/>
                <w:highlight w:val="none"/>
              </w:rPr>
            </w:pPr>
          </w:p>
        </w:tc>
        <w:tc>
          <w:tcPr>
            <w:tcW w:w="1884" w:type="dxa"/>
            <w:vAlign w:val="center"/>
          </w:tcPr>
          <w:p w14:paraId="4167114B">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5409" w:type="dxa"/>
            <w:vAlign w:val="center"/>
          </w:tcPr>
          <w:p w14:paraId="2A0F4FC7">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只能在采购预算范围内报价，</w:t>
            </w:r>
            <w:r>
              <w:rPr>
                <w:rFonts w:hint="eastAsia" w:ascii="仿宋" w:hAnsi="仿宋" w:eastAsia="仿宋" w:cs="仿宋"/>
                <w:color w:val="auto"/>
                <w:sz w:val="24"/>
                <w:szCs w:val="24"/>
                <w:highlight w:val="none"/>
              </w:rPr>
              <w:t>只能有一个有效报价，不得提交选择性报价。</w:t>
            </w:r>
          </w:p>
        </w:tc>
      </w:tr>
      <w:tr w14:paraId="16B5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0E67C71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00" w:type="dxa"/>
            <w:vAlign w:val="center"/>
          </w:tcPr>
          <w:p w14:paraId="3E4D9FA9">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完整性</w:t>
            </w:r>
            <w:r>
              <w:rPr>
                <w:rFonts w:hint="eastAsia" w:ascii="仿宋" w:hAnsi="仿宋" w:eastAsia="仿宋" w:cs="仿宋"/>
                <w:color w:val="auto"/>
                <w:kern w:val="0"/>
                <w:sz w:val="24"/>
                <w:szCs w:val="24"/>
                <w:highlight w:val="none"/>
              </w:rPr>
              <w:t>审查</w:t>
            </w:r>
          </w:p>
        </w:tc>
        <w:tc>
          <w:tcPr>
            <w:tcW w:w="1884" w:type="dxa"/>
            <w:vAlign w:val="center"/>
          </w:tcPr>
          <w:p w14:paraId="42F2FC39">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文件份数</w:t>
            </w:r>
          </w:p>
        </w:tc>
        <w:tc>
          <w:tcPr>
            <w:tcW w:w="5409" w:type="dxa"/>
            <w:vAlign w:val="center"/>
          </w:tcPr>
          <w:p w14:paraId="7EC2EAC6">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响应</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zh-CN"/>
              </w:rPr>
              <w:t>数量（含电子文档）符合网上竞采文件要求。</w:t>
            </w:r>
          </w:p>
        </w:tc>
      </w:tr>
      <w:tr w14:paraId="7A70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51C0ED4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00" w:type="dxa"/>
            <w:vAlign w:val="center"/>
          </w:tcPr>
          <w:p w14:paraId="715C0E97">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kern w:val="0"/>
                <w:sz w:val="24"/>
                <w:szCs w:val="24"/>
                <w:highlight w:val="none"/>
              </w:rPr>
              <w:t>程度审查</w:t>
            </w:r>
          </w:p>
        </w:tc>
        <w:tc>
          <w:tcPr>
            <w:tcW w:w="1884" w:type="dxa"/>
            <w:vAlign w:val="center"/>
          </w:tcPr>
          <w:p w14:paraId="73A8A778">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409" w:type="dxa"/>
            <w:vAlign w:val="center"/>
          </w:tcPr>
          <w:p w14:paraId="282DA719">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对网上竞采文件第二篇、第三篇规定的内容作出实质性响应。</w:t>
            </w:r>
          </w:p>
        </w:tc>
      </w:tr>
    </w:tbl>
    <w:p w14:paraId="3D21A67B">
      <w:pPr>
        <w:snapToGrid w:val="0"/>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3.评选方法：综合评分法。</w:t>
      </w:r>
    </w:p>
    <w:p w14:paraId="4EFC886F">
      <w:pPr>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综合评分法，是指响应文件满足网上竞采文件全部实质性要求且按照评审因素的量化指标评审得分最高的供应商为成交候选供应商的评审方法。供应商总得分为价格、技术、商务等评定因素分别按照相应权重值计算分项得分后相加，满分为100分。按评审后得分由高到低的排列顺序推荐综合得分排名前三的供应商为本包（项目）中标候选人，排名第一的为第一中标候选人。得分相同的，按投标报价由低到高顺序排列。得分且投标报价相同的并列。</w:t>
      </w:r>
    </w:p>
    <w:p w14:paraId="490AFCAA">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58BE6A4">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31BF619">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（四）在网上竞采过程中网上竞采的任何一方不得向他人透露与网上竞采有关的服务资料、价格或其他信息。</w:t>
      </w:r>
    </w:p>
    <w:p w14:paraId="25B894A7">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（五）供应商在网上竞采时作出的所有书面承诺须由法定代表人或其授权代表签字。</w:t>
      </w:r>
    </w:p>
    <w:p w14:paraId="352B7E4C">
      <w:pPr>
        <w:pStyle w:val="3"/>
        <w:spacing w:line="240" w:lineRule="auto"/>
        <w:ind w:firstLine="643"/>
        <w:rPr>
          <w:rFonts w:hint="eastAsia" w:ascii="仿宋" w:hAnsi="仿宋" w:eastAsia="仿宋" w:cs="仿宋"/>
          <w:color w:val="auto"/>
          <w:highlight w:val="none"/>
        </w:rPr>
      </w:pPr>
      <w:bookmarkStart w:id="103" w:name="_Toc183783146"/>
      <w:r>
        <w:rPr>
          <w:rFonts w:hint="eastAsia" w:ascii="仿宋" w:hAnsi="仿宋" w:eastAsia="仿宋" w:cs="仿宋"/>
          <w:color w:val="auto"/>
          <w:highlight w:val="none"/>
        </w:rPr>
        <w:t>二、评审标准</w:t>
      </w:r>
      <w:bookmarkEnd w:id="103"/>
    </w:p>
    <w:p w14:paraId="6098F9DB">
      <w:pPr>
        <w:pStyle w:val="6"/>
        <w:ind w:firstLine="640"/>
        <w:rPr>
          <w:rFonts w:hint="eastAsia" w:ascii="仿宋" w:hAnsi="仿宋" w:eastAsia="仿宋" w:cs="仿宋"/>
          <w:color w:val="auto"/>
          <w:highlight w:val="none"/>
        </w:rPr>
      </w:pPr>
      <w:bookmarkStart w:id="104" w:name="_Hlk27399823"/>
      <w:r>
        <w:rPr>
          <w:rFonts w:hint="eastAsia" w:ascii="仿宋" w:hAnsi="仿宋" w:eastAsia="仿宋" w:cs="仿宋"/>
          <w:color w:val="auto"/>
          <w:highlight w:val="none"/>
        </w:rPr>
        <w:t>（一）评审因素</w:t>
      </w:r>
    </w:p>
    <w:tbl>
      <w:tblPr>
        <w:tblStyle w:val="18"/>
        <w:tblW w:w="8682"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219"/>
        <w:gridCol w:w="951"/>
        <w:gridCol w:w="832"/>
        <w:gridCol w:w="3742"/>
        <w:gridCol w:w="1375"/>
      </w:tblGrid>
      <w:tr w14:paraId="61BE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299C3043">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219" w:type="dxa"/>
            <w:vAlign w:val="center"/>
          </w:tcPr>
          <w:p w14:paraId="2336B8A2">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评分因素</w:t>
            </w:r>
          </w:p>
          <w:p w14:paraId="3F3C0DF4">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及权重</w:t>
            </w:r>
          </w:p>
        </w:tc>
        <w:tc>
          <w:tcPr>
            <w:tcW w:w="951" w:type="dxa"/>
            <w:vAlign w:val="center"/>
          </w:tcPr>
          <w:p w14:paraId="1E1DD091">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分值</w:t>
            </w:r>
          </w:p>
        </w:tc>
        <w:tc>
          <w:tcPr>
            <w:tcW w:w="4574" w:type="dxa"/>
            <w:gridSpan w:val="2"/>
            <w:vAlign w:val="center"/>
          </w:tcPr>
          <w:p w14:paraId="59D91F15">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tc>
        <w:tc>
          <w:tcPr>
            <w:tcW w:w="1375" w:type="dxa"/>
            <w:vAlign w:val="center"/>
          </w:tcPr>
          <w:p w14:paraId="7C908700">
            <w:pPr>
              <w:pStyle w:val="22"/>
              <w:spacing w:before="0" w:after="0"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说明</w:t>
            </w:r>
          </w:p>
        </w:tc>
      </w:tr>
      <w:tr w14:paraId="0EEC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0E708C1E">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219" w:type="dxa"/>
            <w:vAlign w:val="center"/>
          </w:tcPr>
          <w:p w14:paraId="1F8827D6">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竞采报价</w:t>
            </w:r>
          </w:p>
          <w:p w14:paraId="6CD254B6">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w:t>
            </w:r>
          </w:p>
        </w:tc>
        <w:tc>
          <w:tcPr>
            <w:tcW w:w="951" w:type="dxa"/>
            <w:vAlign w:val="center"/>
          </w:tcPr>
          <w:p w14:paraId="70C822C0">
            <w:pPr>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20分</w:t>
            </w:r>
          </w:p>
        </w:tc>
        <w:tc>
          <w:tcPr>
            <w:tcW w:w="4574" w:type="dxa"/>
            <w:gridSpan w:val="2"/>
            <w:vAlign w:val="center"/>
          </w:tcPr>
          <w:p w14:paraId="66AEC922">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满足资格性、符合性要求且</w:t>
            </w:r>
            <w:r>
              <w:rPr>
                <w:rFonts w:hint="eastAsia" w:ascii="仿宋" w:hAnsi="仿宋" w:eastAsia="仿宋" w:cs="仿宋"/>
                <w:color w:val="auto"/>
                <w:sz w:val="21"/>
                <w:szCs w:val="21"/>
                <w:highlight w:val="none"/>
                <w:lang w:val="en-US" w:eastAsia="zh-CN"/>
              </w:rPr>
              <w:t>报价</w:t>
            </w:r>
            <w:r>
              <w:rPr>
                <w:rFonts w:hint="eastAsia" w:ascii="仿宋" w:hAnsi="仿宋" w:eastAsia="仿宋" w:cs="仿宋"/>
                <w:color w:val="auto"/>
                <w:sz w:val="21"/>
                <w:szCs w:val="21"/>
                <w:highlight w:val="none"/>
              </w:rPr>
              <w:t>最低为竞采基准价，其价格分为满分。其他供应商的价格分统一按照下列公式计算：</w:t>
            </w:r>
          </w:p>
          <w:p w14:paraId="654EAC2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竞采报价得分=（竞采基准价/竞采</w:t>
            </w:r>
            <w:r>
              <w:rPr>
                <w:rFonts w:hint="eastAsia" w:ascii="仿宋" w:hAnsi="仿宋" w:eastAsia="仿宋" w:cs="仿宋"/>
                <w:color w:val="auto"/>
                <w:sz w:val="21"/>
                <w:szCs w:val="21"/>
                <w:highlight w:val="none"/>
                <w:lang w:val="en-US" w:eastAsia="zh-CN"/>
              </w:rPr>
              <w:t>报价</w:t>
            </w:r>
            <w:r>
              <w:rPr>
                <w:rFonts w:hint="eastAsia" w:ascii="仿宋" w:hAnsi="仿宋" w:eastAsia="仿宋" w:cs="仿宋"/>
                <w:color w:val="auto"/>
                <w:sz w:val="21"/>
                <w:szCs w:val="21"/>
                <w:highlight w:val="none"/>
              </w:rPr>
              <w:t>）×价格权值×100（按四舍五入法保留两位小数）</w:t>
            </w:r>
          </w:p>
        </w:tc>
        <w:tc>
          <w:tcPr>
            <w:tcW w:w="1375" w:type="dxa"/>
            <w:vAlign w:val="center"/>
          </w:tcPr>
          <w:p w14:paraId="76BE2889">
            <w:pPr>
              <w:ind w:left="-38"/>
              <w:rPr>
                <w:rFonts w:hint="eastAsia" w:ascii="仿宋" w:hAnsi="仿宋" w:eastAsia="仿宋" w:cs="仿宋"/>
                <w:color w:val="auto"/>
                <w:sz w:val="21"/>
                <w:szCs w:val="21"/>
                <w:highlight w:val="none"/>
              </w:rPr>
            </w:pPr>
          </w:p>
        </w:tc>
      </w:tr>
      <w:tr w14:paraId="52F3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563" w:type="dxa"/>
            <w:vMerge w:val="restart"/>
            <w:vAlign w:val="center"/>
          </w:tcPr>
          <w:p w14:paraId="729D4F9F">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219" w:type="dxa"/>
            <w:vMerge w:val="restart"/>
            <w:vAlign w:val="center"/>
          </w:tcPr>
          <w:p w14:paraId="50066B01">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服务部分</w:t>
            </w:r>
          </w:p>
          <w:p w14:paraId="12068065">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0%）</w:t>
            </w:r>
          </w:p>
        </w:tc>
        <w:tc>
          <w:tcPr>
            <w:tcW w:w="951" w:type="dxa"/>
            <w:vMerge w:val="restart"/>
            <w:vAlign w:val="center"/>
          </w:tcPr>
          <w:p w14:paraId="43829E5C">
            <w:pPr>
              <w:ind w:firstLine="28"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60分</w:t>
            </w:r>
          </w:p>
        </w:tc>
        <w:tc>
          <w:tcPr>
            <w:tcW w:w="832" w:type="dxa"/>
            <w:vAlign w:val="center"/>
          </w:tcPr>
          <w:p w14:paraId="72E42B9D">
            <w:pPr>
              <w:keepNext w:val="0"/>
              <w:keepLines w:val="0"/>
              <w:widowControl/>
              <w:suppressLineNumbers w:val="0"/>
              <w:jc w:val="left"/>
              <w:rPr>
                <w:color w:val="auto"/>
                <w:highlight w:val="none"/>
              </w:rPr>
            </w:pPr>
            <w:r>
              <w:rPr>
                <w:rFonts w:ascii="仿宋" w:hAnsi="仿宋" w:eastAsia="仿宋" w:cs="仿宋"/>
                <w:color w:val="auto"/>
                <w:kern w:val="0"/>
                <w:sz w:val="20"/>
                <w:szCs w:val="20"/>
                <w:highlight w:val="none"/>
                <w:lang w:val="en-US" w:eastAsia="zh-CN" w:bidi="ar"/>
              </w:rPr>
              <w:t>生物制造</w:t>
            </w:r>
            <w:r>
              <w:rPr>
                <w:rFonts w:hint="eastAsia" w:ascii="仿宋" w:hAnsi="仿宋" w:eastAsia="仿宋" w:cs="仿宋"/>
                <w:color w:val="auto"/>
                <w:kern w:val="0"/>
                <w:sz w:val="20"/>
                <w:szCs w:val="20"/>
                <w:highlight w:val="none"/>
                <w:lang w:val="en-US" w:eastAsia="zh-CN" w:bidi="ar"/>
              </w:rPr>
              <w:t xml:space="preserve">产业区域政策及典 </w:t>
            </w:r>
          </w:p>
          <w:p w14:paraId="7BFDE1DC">
            <w:pPr>
              <w:keepNext w:val="0"/>
              <w:keepLines w:val="0"/>
              <w:widowControl/>
              <w:suppressLineNumbers w:val="0"/>
              <w:jc w:val="left"/>
              <w:rPr>
                <w:color w:val="auto"/>
                <w:highlight w:val="none"/>
              </w:rPr>
            </w:pPr>
            <w:r>
              <w:rPr>
                <w:rFonts w:hint="eastAsia" w:ascii="仿宋" w:hAnsi="仿宋" w:eastAsia="仿宋" w:cs="仿宋"/>
                <w:color w:val="auto"/>
                <w:kern w:val="0"/>
                <w:sz w:val="20"/>
                <w:szCs w:val="20"/>
                <w:highlight w:val="none"/>
                <w:lang w:val="en-US" w:eastAsia="zh-CN" w:bidi="ar"/>
              </w:rPr>
              <w:t>型做法分析（20 分）</w:t>
            </w:r>
          </w:p>
          <w:p w14:paraId="46A8E544">
            <w:pPr>
              <w:rPr>
                <w:rFonts w:hint="eastAsia" w:ascii="仿宋" w:hAnsi="仿宋" w:eastAsia="仿宋" w:cs="仿宋"/>
                <w:color w:val="auto"/>
                <w:sz w:val="21"/>
                <w:szCs w:val="21"/>
                <w:highlight w:val="none"/>
                <w:lang w:val="en-US" w:eastAsia="zh-CN"/>
              </w:rPr>
            </w:pPr>
          </w:p>
        </w:tc>
        <w:tc>
          <w:tcPr>
            <w:tcW w:w="3742" w:type="dxa"/>
            <w:vAlign w:val="center"/>
          </w:tcPr>
          <w:p w14:paraId="564AD5C0">
            <w:pPr>
              <w:keepNext w:val="0"/>
              <w:keepLines w:val="0"/>
              <w:widowControl/>
              <w:suppressLineNumbers w:val="0"/>
              <w:jc w:val="left"/>
              <w:rPr>
                <w:color w:val="auto"/>
                <w:highlight w:val="none"/>
              </w:rPr>
            </w:pPr>
            <w:r>
              <w:rPr>
                <w:rFonts w:ascii="仿宋" w:hAnsi="仿宋" w:eastAsia="仿宋" w:cs="仿宋"/>
                <w:b/>
                <w:bCs/>
                <w:color w:val="auto"/>
                <w:kern w:val="0"/>
                <w:sz w:val="20"/>
                <w:szCs w:val="20"/>
                <w:highlight w:val="none"/>
                <w:lang w:val="en-US" w:eastAsia="zh-CN" w:bidi="ar"/>
              </w:rPr>
              <w:t xml:space="preserve">1.背景理解（10 分） </w:t>
            </w:r>
          </w:p>
          <w:p w14:paraId="3B417F63">
            <w:pPr>
              <w:keepNext w:val="0"/>
              <w:keepLines w:val="0"/>
              <w:widowControl/>
              <w:suppressLineNumbers w:val="0"/>
              <w:jc w:val="left"/>
              <w:rPr>
                <w:color w:val="auto"/>
                <w:highlight w:val="none"/>
              </w:rPr>
            </w:pPr>
            <w:r>
              <w:rPr>
                <w:rFonts w:hint="eastAsia" w:ascii="仿宋" w:hAnsi="仿宋" w:eastAsia="仿宋" w:cs="仿宋"/>
                <w:color w:val="auto"/>
                <w:kern w:val="0"/>
                <w:sz w:val="20"/>
                <w:szCs w:val="20"/>
                <w:highlight w:val="none"/>
                <w:lang w:val="en-US" w:eastAsia="zh-CN" w:bidi="ar"/>
              </w:rPr>
              <w:t xml:space="preserve">供应商针对本项目特点，提供了完整、详细的项目理解论述，项目背景分析清晰具体，重难点分析全面，得 10 分；提供了常规、通用的项目理解论述，得 8 分；提供了简单的项目理解论述，但基本满足采购要求，得 5分；提供的项目理解论述有偏差，不完全符合项目情况，得 2 分；未提供相关内容，得0 分。 </w:t>
            </w:r>
          </w:p>
          <w:p w14:paraId="1143099A">
            <w:pPr>
              <w:keepNext w:val="0"/>
              <w:keepLines w:val="0"/>
              <w:widowControl/>
              <w:suppressLineNumbers w:val="0"/>
              <w:jc w:val="left"/>
              <w:rPr>
                <w:color w:val="auto"/>
                <w:highlight w:val="none"/>
              </w:rPr>
            </w:pPr>
            <w:r>
              <w:rPr>
                <w:rFonts w:hint="eastAsia" w:ascii="仿宋" w:hAnsi="仿宋" w:eastAsia="仿宋" w:cs="仿宋"/>
                <w:b/>
                <w:bCs/>
                <w:color w:val="auto"/>
                <w:kern w:val="0"/>
                <w:sz w:val="20"/>
                <w:szCs w:val="20"/>
                <w:highlight w:val="none"/>
                <w:lang w:val="en-US" w:eastAsia="zh-CN" w:bidi="ar"/>
              </w:rPr>
              <w:t xml:space="preserve">2.编制思路及实施方案（10 分） </w:t>
            </w:r>
          </w:p>
          <w:p w14:paraId="65849D5C">
            <w:pPr>
              <w:keepNext w:val="0"/>
              <w:keepLines w:val="0"/>
              <w:widowControl/>
              <w:suppressLineNumbers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0"/>
                <w:szCs w:val="20"/>
                <w:highlight w:val="none"/>
                <w:lang w:val="en-US" w:eastAsia="zh-CN" w:bidi="ar"/>
              </w:rPr>
              <w:t>供应商针对本项目特点，提供了完整、详细的编制思路及实施方案，编制思路清晰、目标明确，与项目契合度高，实施方案可操作性强且充分，得 10 分；提供了常规、通用的编制思路及实施方案，实施方案可操作性较强较充分，得 8 分；提供了简单的编制思路及实施方案，但基本满足采购要求，得 5 分；提供的编制思路及实施方案有偏差，不完全符合项目情况，得 2 分；未提供相关内容，得 0 分。</w:t>
            </w:r>
          </w:p>
        </w:tc>
        <w:tc>
          <w:tcPr>
            <w:tcW w:w="1375" w:type="dxa"/>
            <w:vMerge w:val="restart"/>
            <w:vAlign w:val="center"/>
          </w:tcPr>
          <w:p w14:paraId="777EB05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格式自拟。</w:t>
            </w:r>
          </w:p>
        </w:tc>
      </w:tr>
      <w:tr w14:paraId="6296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trPr>
        <w:tc>
          <w:tcPr>
            <w:tcW w:w="563" w:type="dxa"/>
            <w:vMerge w:val="continue"/>
            <w:vAlign w:val="center"/>
          </w:tcPr>
          <w:p w14:paraId="124E8AD3">
            <w:pPr>
              <w:rPr>
                <w:rFonts w:hint="eastAsia" w:ascii="仿宋" w:hAnsi="仿宋" w:eastAsia="仿宋" w:cs="仿宋"/>
                <w:color w:val="auto"/>
                <w:highlight w:val="none"/>
              </w:rPr>
            </w:pPr>
          </w:p>
        </w:tc>
        <w:tc>
          <w:tcPr>
            <w:tcW w:w="1219" w:type="dxa"/>
            <w:vMerge w:val="continue"/>
            <w:vAlign w:val="center"/>
          </w:tcPr>
          <w:p w14:paraId="7A6E6B7E">
            <w:pPr>
              <w:rPr>
                <w:rFonts w:hint="eastAsia" w:ascii="仿宋" w:hAnsi="仿宋" w:eastAsia="仿宋" w:cs="仿宋"/>
                <w:color w:val="auto"/>
                <w:highlight w:val="none"/>
              </w:rPr>
            </w:pPr>
          </w:p>
        </w:tc>
        <w:tc>
          <w:tcPr>
            <w:tcW w:w="951" w:type="dxa"/>
            <w:vMerge w:val="continue"/>
            <w:vAlign w:val="center"/>
          </w:tcPr>
          <w:p w14:paraId="6346C956">
            <w:pPr>
              <w:rPr>
                <w:rFonts w:hint="eastAsia" w:ascii="仿宋" w:hAnsi="仿宋" w:eastAsia="仿宋" w:cs="仿宋"/>
                <w:color w:val="auto"/>
                <w:highlight w:val="none"/>
              </w:rPr>
            </w:pPr>
          </w:p>
        </w:tc>
        <w:tc>
          <w:tcPr>
            <w:tcW w:w="832" w:type="dxa"/>
            <w:vAlign w:val="center"/>
          </w:tcPr>
          <w:p w14:paraId="7B9E1C47">
            <w:pPr>
              <w:keepNext w:val="0"/>
              <w:keepLines w:val="0"/>
              <w:widowControl/>
              <w:suppressLineNumbers w:val="0"/>
              <w:jc w:val="left"/>
              <w:rPr>
                <w:color w:val="auto"/>
                <w:highlight w:val="none"/>
              </w:rPr>
            </w:pPr>
            <w:r>
              <w:rPr>
                <w:rFonts w:ascii="仿宋" w:hAnsi="仿宋" w:eastAsia="仿宋" w:cs="仿宋"/>
                <w:color w:val="auto"/>
                <w:kern w:val="0"/>
                <w:sz w:val="20"/>
                <w:szCs w:val="20"/>
                <w:highlight w:val="none"/>
                <w:lang w:val="en-US" w:eastAsia="zh-CN" w:bidi="ar"/>
              </w:rPr>
              <w:t>生物制造</w:t>
            </w:r>
            <w:r>
              <w:rPr>
                <w:rFonts w:hint="eastAsia" w:ascii="仿宋" w:hAnsi="仿宋" w:eastAsia="仿宋" w:cs="仿宋"/>
                <w:color w:val="auto"/>
                <w:kern w:val="0"/>
                <w:sz w:val="20"/>
                <w:szCs w:val="20"/>
                <w:highlight w:val="none"/>
                <w:lang w:val="en-US" w:eastAsia="zh-CN" w:bidi="ar"/>
              </w:rPr>
              <w:t xml:space="preserve">产业动态发展追踪 </w:t>
            </w:r>
          </w:p>
          <w:p w14:paraId="6B913D59">
            <w:pPr>
              <w:keepNext w:val="0"/>
              <w:keepLines w:val="0"/>
              <w:widowControl/>
              <w:suppressLineNumbers w:val="0"/>
              <w:jc w:val="left"/>
              <w:rPr>
                <w:color w:val="auto"/>
                <w:highlight w:val="none"/>
              </w:rPr>
            </w:pPr>
            <w:r>
              <w:rPr>
                <w:rFonts w:hint="eastAsia" w:ascii="仿宋" w:hAnsi="仿宋" w:eastAsia="仿宋" w:cs="仿宋"/>
                <w:color w:val="auto"/>
                <w:kern w:val="0"/>
                <w:sz w:val="20"/>
                <w:szCs w:val="20"/>
                <w:highlight w:val="none"/>
                <w:lang w:val="en-US" w:eastAsia="zh-CN" w:bidi="ar"/>
              </w:rPr>
              <w:t xml:space="preserve">研究（20 </w:t>
            </w:r>
          </w:p>
          <w:p w14:paraId="490BD75E">
            <w:pPr>
              <w:keepNext w:val="0"/>
              <w:keepLines w:val="0"/>
              <w:widowControl/>
              <w:suppressLineNumbers w:val="0"/>
              <w:jc w:val="left"/>
              <w:rPr>
                <w:color w:val="auto"/>
                <w:highlight w:val="none"/>
              </w:rPr>
            </w:pPr>
            <w:r>
              <w:rPr>
                <w:rFonts w:hint="eastAsia" w:ascii="仿宋" w:hAnsi="仿宋" w:eastAsia="仿宋" w:cs="仿宋"/>
                <w:color w:val="auto"/>
                <w:kern w:val="0"/>
                <w:sz w:val="20"/>
                <w:szCs w:val="20"/>
                <w:highlight w:val="none"/>
                <w:lang w:val="en-US" w:eastAsia="zh-CN" w:bidi="ar"/>
              </w:rPr>
              <w:t>分）</w:t>
            </w:r>
          </w:p>
          <w:p w14:paraId="0C7E871D">
            <w:pPr>
              <w:rPr>
                <w:rFonts w:hint="eastAsia" w:ascii="仿宋" w:hAnsi="仿宋" w:eastAsia="仿宋" w:cs="仿宋"/>
                <w:color w:val="auto"/>
                <w:sz w:val="21"/>
                <w:szCs w:val="21"/>
                <w:highlight w:val="none"/>
                <w:lang w:val="en-US" w:eastAsia="zh-CN"/>
              </w:rPr>
            </w:pPr>
          </w:p>
        </w:tc>
        <w:tc>
          <w:tcPr>
            <w:tcW w:w="3742" w:type="dxa"/>
            <w:vAlign w:val="center"/>
          </w:tcPr>
          <w:p w14:paraId="36C59A73">
            <w:pPr>
              <w:keepNext w:val="0"/>
              <w:keepLines w:val="0"/>
              <w:widowControl/>
              <w:suppressLineNumbers w:val="0"/>
              <w:jc w:val="left"/>
              <w:rPr>
                <w:color w:val="auto"/>
                <w:highlight w:val="none"/>
              </w:rPr>
            </w:pPr>
            <w:r>
              <w:rPr>
                <w:rFonts w:ascii="仿宋" w:hAnsi="仿宋" w:eastAsia="仿宋" w:cs="仿宋"/>
                <w:b/>
                <w:bCs/>
                <w:color w:val="auto"/>
                <w:kern w:val="0"/>
                <w:sz w:val="20"/>
                <w:szCs w:val="20"/>
                <w:highlight w:val="none"/>
                <w:lang w:val="en-US" w:eastAsia="zh-CN" w:bidi="ar"/>
              </w:rPr>
              <w:t xml:space="preserve">1.背景理解（10 分） </w:t>
            </w:r>
          </w:p>
          <w:p w14:paraId="17E73A36">
            <w:pPr>
              <w:keepNext w:val="0"/>
              <w:keepLines w:val="0"/>
              <w:widowControl/>
              <w:suppressLineNumbers w:val="0"/>
              <w:jc w:val="left"/>
              <w:rPr>
                <w:color w:val="auto"/>
                <w:highlight w:val="none"/>
              </w:rPr>
            </w:pPr>
            <w:r>
              <w:rPr>
                <w:rFonts w:hint="eastAsia" w:ascii="仿宋" w:hAnsi="仿宋" w:eastAsia="仿宋" w:cs="仿宋"/>
                <w:color w:val="auto"/>
                <w:kern w:val="0"/>
                <w:sz w:val="20"/>
                <w:szCs w:val="20"/>
                <w:highlight w:val="none"/>
                <w:lang w:val="en-US" w:eastAsia="zh-CN" w:bidi="ar"/>
              </w:rPr>
              <w:t xml:space="preserve">供应商针对本项目特点，提供了完整、详细的项目理解论述，项目背景分析清晰具体，重难点分析全面，得 10 分；提供了常规、通用的项目理解论述，得 8 分；提供了简单的项目理解论述，但基本满足采购要求，得 5分；提供的项目理解论述有偏差，不完全符合项目情况，得 2 分；未提供相关内容，得0 分。 </w:t>
            </w:r>
          </w:p>
          <w:p w14:paraId="25BBBB02">
            <w:pPr>
              <w:keepNext w:val="0"/>
              <w:keepLines w:val="0"/>
              <w:widowControl/>
              <w:suppressLineNumbers w:val="0"/>
              <w:jc w:val="left"/>
              <w:rPr>
                <w:color w:val="auto"/>
                <w:highlight w:val="none"/>
              </w:rPr>
            </w:pPr>
            <w:r>
              <w:rPr>
                <w:rFonts w:hint="eastAsia" w:ascii="仿宋" w:hAnsi="仿宋" w:eastAsia="仿宋" w:cs="仿宋"/>
                <w:b/>
                <w:bCs/>
                <w:color w:val="auto"/>
                <w:kern w:val="0"/>
                <w:sz w:val="20"/>
                <w:szCs w:val="20"/>
                <w:highlight w:val="none"/>
                <w:lang w:val="en-US" w:eastAsia="zh-CN" w:bidi="ar"/>
              </w:rPr>
              <w:t xml:space="preserve">2.编制思路及实施方案（10 分） </w:t>
            </w:r>
          </w:p>
          <w:p w14:paraId="5DC9F55E">
            <w:pPr>
              <w:keepNext w:val="0"/>
              <w:keepLines w:val="0"/>
              <w:widowControl/>
              <w:suppressLineNumbers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0"/>
                <w:szCs w:val="20"/>
                <w:highlight w:val="none"/>
                <w:lang w:val="en-US" w:eastAsia="zh-CN" w:bidi="ar"/>
              </w:rPr>
              <w:t>供应商针对本项目特点，提供了完整、详细的编制思路及实施方案，编制思路清晰、目标明确，与项目契合度高，实施方案可操作性强且充分，得 10 分；提供了常规、通用的</w:t>
            </w:r>
            <w:r>
              <w:rPr>
                <w:rFonts w:ascii="仿宋" w:hAnsi="仿宋" w:eastAsia="仿宋" w:cs="仿宋"/>
                <w:color w:val="auto"/>
                <w:kern w:val="0"/>
                <w:sz w:val="20"/>
                <w:szCs w:val="20"/>
                <w:highlight w:val="none"/>
                <w:lang w:val="en-US" w:eastAsia="zh-CN" w:bidi="ar"/>
              </w:rPr>
              <w:t>编制思路及实施方案，实施方案可操作性较</w:t>
            </w:r>
            <w:r>
              <w:rPr>
                <w:rFonts w:hint="eastAsia" w:ascii="仿宋" w:hAnsi="仿宋" w:eastAsia="仿宋" w:cs="仿宋"/>
                <w:color w:val="auto"/>
                <w:kern w:val="0"/>
                <w:sz w:val="20"/>
                <w:szCs w:val="20"/>
                <w:highlight w:val="none"/>
                <w:lang w:val="en-US" w:eastAsia="zh-CN" w:bidi="ar"/>
              </w:rPr>
              <w:t>强较充分，得 8 分；提供了简单的编制思路及实施方案，但基本满足采购要求，得 5 分；提供的编制思路及实施方案有偏差，不完全符合项目情况，得 2 分；未提供相关内容，得 0 分。</w:t>
            </w:r>
          </w:p>
        </w:tc>
        <w:tc>
          <w:tcPr>
            <w:tcW w:w="1375" w:type="dxa"/>
            <w:vMerge w:val="continue"/>
            <w:vAlign w:val="center"/>
          </w:tcPr>
          <w:p w14:paraId="60175F75">
            <w:pPr>
              <w:rPr>
                <w:rFonts w:hint="eastAsia" w:ascii="仿宋" w:hAnsi="仿宋" w:eastAsia="仿宋" w:cs="仿宋"/>
                <w:color w:val="auto"/>
                <w:highlight w:val="none"/>
              </w:rPr>
            </w:pPr>
          </w:p>
        </w:tc>
      </w:tr>
      <w:tr w14:paraId="7594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trPr>
        <w:tc>
          <w:tcPr>
            <w:tcW w:w="563" w:type="dxa"/>
            <w:vMerge w:val="continue"/>
            <w:vAlign w:val="center"/>
          </w:tcPr>
          <w:p w14:paraId="7B4615CD">
            <w:pPr>
              <w:rPr>
                <w:color w:val="auto"/>
                <w:highlight w:val="none"/>
              </w:rPr>
            </w:pPr>
          </w:p>
        </w:tc>
        <w:tc>
          <w:tcPr>
            <w:tcW w:w="1219" w:type="dxa"/>
            <w:vMerge w:val="continue"/>
            <w:vAlign w:val="center"/>
          </w:tcPr>
          <w:p w14:paraId="44016705">
            <w:pPr>
              <w:rPr>
                <w:color w:val="auto"/>
                <w:highlight w:val="none"/>
              </w:rPr>
            </w:pPr>
          </w:p>
        </w:tc>
        <w:tc>
          <w:tcPr>
            <w:tcW w:w="951" w:type="dxa"/>
            <w:vMerge w:val="continue"/>
            <w:vAlign w:val="center"/>
          </w:tcPr>
          <w:p w14:paraId="66015CD3">
            <w:pPr>
              <w:rPr>
                <w:color w:val="auto"/>
                <w:highlight w:val="none"/>
              </w:rPr>
            </w:pPr>
          </w:p>
        </w:tc>
        <w:tc>
          <w:tcPr>
            <w:tcW w:w="832" w:type="dxa"/>
            <w:vAlign w:val="center"/>
          </w:tcPr>
          <w:p w14:paraId="6D4E215D">
            <w:pPr>
              <w:keepNext w:val="0"/>
              <w:keepLines w:val="0"/>
              <w:widowControl/>
              <w:suppressLineNumbers w:val="0"/>
              <w:jc w:val="left"/>
              <w:rPr>
                <w:color w:val="auto"/>
                <w:highlight w:val="none"/>
              </w:rPr>
            </w:pPr>
            <w:r>
              <w:rPr>
                <w:rFonts w:ascii="仿宋" w:hAnsi="仿宋" w:eastAsia="仿宋" w:cs="仿宋"/>
                <w:color w:val="auto"/>
                <w:kern w:val="0"/>
                <w:sz w:val="20"/>
                <w:szCs w:val="20"/>
                <w:highlight w:val="none"/>
                <w:lang w:val="en-US" w:eastAsia="zh-CN" w:bidi="ar"/>
              </w:rPr>
              <w:t>资金申请</w:t>
            </w:r>
            <w:r>
              <w:rPr>
                <w:rFonts w:hint="eastAsia" w:ascii="仿宋" w:hAnsi="仿宋" w:eastAsia="仿宋" w:cs="仿宋"/>
                <w:color w:val="auto"/>
                <w:kern w:val="0"/>
                <w:sz w:val="20"/>
                <w:szCs w:val="20"/>
                <w:highlight w:val="none"/>
                <w:lang w:val="en-US" w:eastAsia="zh-CN" w:bidi="ar"/>
              </w:rPr>
              <w:t>报告编制（20 分）</w:t>
            </w:r>
          </w:p>
          <w:p w14:paraId="6BD7693E">
            <w:pPr>
              <w:rPr>
                <w:rFonts w:hint="eastAsia" w:ascii="仿宋" w:hAnsi="仿宋" w:eastAsia="仿宋" w:cs="仿宋"/>
                <w:color w:val="auto"/>
                <w:sz w:val="21"/>
                <w:szCs w:val="21"/>
                <w:highlight w:val="none"/>
                <w:lang w:val="en-US" w:eastAsia="zh-CN"/>
              </w:rPr>
            </w:pPr>
          </w:p>
        </w:tc>
        <w:tc>
          <w:tcPr>
            <w:tcW w:w="3742" w:type="dxa"/>
            <w:vAlign w:val="center"/>
          </w:tcPr>
          <w:p w14:paraId="1B61EEE1">
            <w:pPr>
              <w:keepNext w:val="0"/>
              <w:keepLines w:val="0"/>
              <w:widowControl/>
              <w:suppressLineNumbers w:val="0"/>
              <w:jc w:val="left"/>
              <w:rPr>
                <w:color w:val="auto"/>
                <w:highlight w:val="none"/>
              </w:rPr>
            </w:pPr>
            <w:r>
              <w:rPr>
                <w:rFonts w:ascii="仿宋" w:hAnsi="仿宋" w:eastAsia="仿宋" w:cs="仿宋"/>
                <w:b/>
                <w:bCs/>
                <w:color w:val="auto"/>
                <w:kern w:val="0"/>
                <w:sz w:val="20"/>
                <w:szCs w:val="20"/>
                <w:highlight w:val="none"/>
                <w:lang w:val="en-US" w:eastAsia="zh-CN" w:bidi="ar"/>
              </w:rPr>
              <w:t xml:space="preserve">1.背景理解（6 分） </w:t>
            </w:r>
          </w:p>
          <w:p w14:paraId="74AE81E0">
            <w:pPr>
              <w:keepNext w:val="0"/>
              <w:keepLines w:val="0"/>
              <w:widowControl/>
              <w:suppressLineNumbers w:val="0"/>
              <w:jc w:val="left"/>
              <w:rPr>
                <w:color w:val="auto"/>
                <w:highlight w:val="none"/>
              </w:rPr>
            </w:pPr>
            <w:r>
              <w:rPr>
                <w:rFonts w:hint="eastAsia" w:ascii="仿宋" w:hAnsi="仿宋" w:eastAsia="仿宋" w:cs="仿宋"/>
                <w:color w:val="auto"/>
                <w:kern w:val="0"/>
                <w:sz w:val="20"/>
                <w:szCs w:val="20"/>
                <w:highlight w:val="none"/>
                <w:lang w:val="en-US" w:eastAsia="zh-CN" w:bidi="ar"/>
              </w:rPr>
              <w:t xml:space="preserve">供应商针对本项目特点，提供了完整、详细的项目理解论述，项目背景分析清晰具体，重难点分析全面，得 6 分；提供了常规、通用的项目理解论述，得 4 分；提供了简单的项目理解论述，但基本满足采购要求，得 2分；提供的项目理解论述有偏差，不完全符合项目情况，得 1 分；未提供相关内容，得0 分。 </w:t>
            </w:r>
          </w:p>
          <w:p w14:paraId="718A3A4D">
            <w:pPr>
              <w:keepNext w:val="0"/>
              <w:keepLines w:val="0"/>
              <w:widowControl/>
              <w:suppressLineNumbers w:val="0"/>
              <w:jc w:val="left"/>
              <w:rPr>
                <w:color w:val="auto"/>
                <w:highlight w:val="none"/>
              </w:rPr>
            </w:pPr>
            <w:r>
              <w:rPr>
                <w:rFonts w:hint="eastAsia" w:ascii="仿宋" w:hAnsi="仿宋" w:eastAsia="仿宋" w:cs="仿宋"/>
                <w:b/>
                <w:bCs/>
                <w:color w:val="auto"/>
                <w:kern w:val="0"/>
                <w:sz w:val="20"/>
                <w:szCs w:val="20"/>
                <w:highlight w:val="none"/>
                <w:lang w:val="en-US" w:eastAsia="zh-CN" w:bidi="ar"/>
              </w:rPr>
              <w:t xml:space="preserve">2.编制思路及实施方案（8 分） </w:t>
            </w:r>
          </w:p>
          <w:p w14:paraId="18CA898D">
            <w:pPr>
              <w:keepNext w:val="0"/>
              <w:keepLines w:val="0"/>
              <w:widowControl/>
              <w:suppressLineNumbers w:val="0"/>
              <w:jc w:val="left"/>
              <w:rPr>
                <w:color w:val="auto"/>
                <w:highlight w:val="none"/>
              </w:rPr>
            </w:pPr>
            <w:r>
              <w:rPr>
                <w:rFonts w:hint="eastAsia" w:ascii="仿宋" w:hAnsi="仿宋" w:eastAsia="仿宋" w:cs="仿宋"/>
                <w:color w:val="auto"/>
                <w:kern w:val="0"/>
                <w:sz w:val="20"/>
                <w:szCs w:val="20"/>
                <w:highlight w:val="none"/>
                <w:lang w:val="en-US" w:eastAsia="zh-CN" w:bidi="ar"/>
              </w:rPr>
              <w:t xml:space="preserve">供应商针对本项目特点，提供了完整、详细的编制思路及实施方案，编制思路清晰、目标明确，与项目契合度高，实施方案可操作性强且充分，得 8 分；提供了常规、通用的编制思路及实施方案，实施方案可操作性较强较充分，得 6 分；提供了简单的编制思路及实施方案，但基本满足采购要求，得 4 分；提供的编制思路及实施方案有偏差，不完全符合项目情况，得 2 分；未提供相关内容，得 0 分。 </w:t>
            </w:r>
          </w:p>
          <w:p w14:paraId="1F3FAAF7">
            <w:pPr>
              <w:keepNext w:val="0"/>
              <w:keepLines w:val="0"/>
              <w:widowControl/>
              <w:suppressLineNumbers w:val="0"/>
              <w:jc w:val="left"/>
              <w:rPr>
                <w:color w:val="auto"/>
                <w:highlight w:val="none"/>
              </w:rPr>
            </w:pPr>
            <w:r>
              <w:rPr>
                <w:rFonts w:hint="eastAsia" w:ascii="仿宋" w:hAnsi="仿宋" w:eastAsia="仿宋" w:cs="仿宋"/>
                <w:b/>
                <w:bCs/>
                <w:color w:val="auto"/>
                <w:kern w:val="0"/>
                <w:sz w:val="20"/>
                <w:szCs w:val="20"/>
                <w:highlight w:val="none"/>
                <w:lang w:val="en-US" w:eastAsia="zh-CN" w:bidi="ar"/>
              </w:rPr>
              <w:t xml:space="preserve">3. 报告编制质量控制措施（6 分） </w:t>
            </w:r>
          </w:p>
          <w:p w14:paraId="597CE6D7">
            <w:pPr>
              <w:keepNext w:val="0"/>
              <w:keepLines w:val="0"/>
              <w:widowControl/>
              <w:suppressLineNumbers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0"/>
                <w:szCs w:val="20"/>
                <w:highlight w:val="none"/>
                <w:lang w:val="en-US" w:eastAsia="zh-CN" w:bidi="ar"/>
              </w:rPr>
              <w:t>供应商针对本项目特点，提供详细有效的质量保障控制措施，可操作性强，得 6 分；提供详细有效的质量保证体系和标准，可操作性一般,得 4 分；质量保障控制措施不规范，可操作性不强，得 2 分；未提供本项内容得 0 分。</w:t>
            </w:r>
          </w:p>
        </w:tc>
        <w:tc>
          <w:tcPr>
            <w:tcW w:w="1375" w:type="dxa"/>
            <w:vMerge w:val="continue"/>
            <w:vAlign w:val="center"/>
          </w:tcPr>
          <w:p w14:paraId="72F8B05F">
            <w:pPr>
              <w:rPr>
                <w:rFonts w:hint="eastAsia" w:ascii="仿宋" w:hAnsi="仿宋" w:eastAsia="仿宋" w:cs="仿宋"/>
                <w:color w:val="auto"/>
                <w:sz w:val="21"/>
                <w:szCs w:val="21"/>
                <w:highlight w:val="none"/>
                <w:lang w:val="en-US" w:eastAsia="zh-CN"/>
              </w:rPr>
            </w:pPr>
          </w:p>
        </w:tc>
      </w:tr>
      <w:tr w14:paraId="23B4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563" w:type="dxa"/>
            <w:vMerge w:val="restart"/>
            <w:vAlign w:val="center"/>
          </w:tcPr>
          <w:p w14:paraId="5BCC081C">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219" w:type="dxa"/>
            <w:vMerge w:val="restart"/>
            <w:vAlign w:val="center"/>
          </w:tcPr>
          <w:p w14:paraId="5344743C">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商务部分</w:t>
            </w:r>
          </w:p>
          <w:p w14:paraId="460101E8">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0%）</w:t>
            </w:r>
          </w:p>
        </w:tc>
        <w:tc>
          <w:tcPr>
            <w:tcW w:w="951" w:type="dxa"/>
            <w:vAlign w:val="center"/>
          </w:tcPr>
          <w:p w14:paraId="00DBE1AD">
            <w:pPr>
              <w:ind w:firstLine="28"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服务团队（10 分）</w:t>
            </w:r>
          </w:p>
        </w:tc>
        <w:tc>
          <w:tcPr>
            <w:tcW w:w="4574" w:type="dxa"/>
            <w:gridSpan w:val="2"/>
            <w:vAlign w:val="center"/>
          </w:tcPr>
          <w:p w14:paraId="28B6D68A">
            <w:pPr>
              <w:ind w:firstLine="28"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供应商拟派项目团队不少于 3 人，其中具有高级职称的，每提供一个得 3 分；具有咨询工程师（投资）执业资格的，每提供一个得 2 分；本项最高得 10 分。</w:t>
            </w:r>
          </w:p>
        </w:tc>
        <w:tc>
          <w:tcPr>
            <w:tcW w:w="1375" w:type="dxa"/>
            <w:vAlign w:val="center"/>
          </w:tcPr>
          <w:p w14:paraId="5E8F3FF5">
            <w:pPr>
              <w:keepNext w:val="0"/>
              <w:keepLines w:val="0"/>
              <w:widowControl/>
              <w:suppressLineNumbers w:val="0"/>
              <w:jc w:val="left"/>
              <w:rPr>
                <w:color w:val="auto"/>
                <w:highlight w:val="none"/>
              </w:rPr>
            </w:pPr>
            <w:r>
              <w:rPr>
                <w:rFonts w:ascii="仿宋" w:hAnsi="仿宋" w:eastAsia="仿宋" w:cs="仿宋"/>
                <w:color w:val="auto"/>
                <w:kern w:val="0"/>
                <w:sz w:val="20"/>
                <w:szCs w:val="20"/>
                <w:highlight w:val="none"/>
                <w:lang w:val="en-US" w:eastAsia="zh-CN" w:bidi="ar"/>
              </w:rPr>
              <w:t xml:space="preserve">提供服务团队相关人员 </w:t>
            </w:r>
          </w:p>
          <w:p w14:paraId="00EDBA5F">
            <w:pPr>
              <w:keepNext w:val="0"/>
              <w:keepLines w:val="0"/>
              <w:widowControl/>
              <w:suppressLineNumbers w:val="0"/>
              <w:jc w:val="left"/>
              <w:rPr>
                <w:color w:val="auto"/>
                <w:highlight w:val="none"/>
              </w:rPr>
            </w:pPr>
            <w:r>
              <w:rPr>
                <w:rFonts w:hint="eastAsia" w:ascii="仿宋" w:hAnsi="仿宋" w:eastAsia="仿宋" w:cs="仿宋"/>
                <w:color w:val="auto"/>
                <w:kern w:val="0"/>
                <w:sz w:val="20"/>
                <w:szCs w:val="20"/>
                <w:highlight w:val="none"/>
                <w:lang w:val="en-US" w:eastAsia="zh-CN" w:bidi="ar"/>
              </w:rPr>
              <w:t xml:space="preserve">在开标前近三个月的社 </w:t>
            </w:r>
          </w:p>
          <w:p w14:paraId="788F4D0B">
            <w:pPr>
              <w:keepNext w:val="0"/>
              <w:keepLines w:val="0"/>
              <w:widowControl/>
              <w:suppressLineNumbers w:val="0"/>
              <w:jc w:val="left"/>
              <w:rPr>
                <w:color w:val="auto"/>
                <w:highlight w:val="none"/>
              </w:rPr>
            </w:pPr>
            <w:r>
              <w:rPr>
                <w:rFonts w:hint="eastAsia" w:ascii="仿宋" w:hAnsi="仿宋" w:eastAsia="仿宋" w:cs="仿宋"/>
                <w:color w:val="auto"/>
                <w:kern w:val="0"/>
                <w:sz w:val="20"/>
                <w:szCs w:val="20"/>
                <w:highlight w:val="none"/>
                <w:lang w:val="en-US" w:eastAsia="zh-CN" w:bidi="ar"/>
              </w:rPr>
              <w:t xml:space="preserve">保证明并加盖供应商公 </w:t>
            </w:r>
          </w:p>
          <w:p w14:paraId="449A211F">
            <w:pPr>
              <w:keepNext w:val="0"/>
              <w:keepLines w:val="0"/>
              <w:widowControl/>
              <w:suppressLineNumbers w:val="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0"/>
                <w:szCs w:val="20"/>
                <w:highlight w:val="none"/>
                <w:lang w:val="en-US" w:eastAsia="zh-CN" w:bidi="ar"/>
              </w:rPr>
              <w:t>章。</w:t>
            </w:r>
          </w:p>
        </w:tc>
      </w:tr>
      <w:tr w14:paraId="2989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563" w:type="dxa"/>
            <w:vMerge w:val="continue"/>
            <w:vAlign w:val="center"/>
          </w:tcPr>
          <w:p w14:paraId="0CCAF770">
            <w:pPr>
              <w:ind w:firstLine="28" w:firstLineChars="0"/>
              <w:jc w:val="center"/>
              <w:rPr>
                <w:color w:val="auto"/>
                <w:highlight w:val="none"/>
              </w:rPr>
            </w:pPr>
          </w:p>
        </w:tc>
        <w:tc>
          <w:tcPr>
            <w:tcW w:w="1219" w:type="dxa"/>
            <w:vMerge w:val="continue"/>
            <w:vAlign w:val="center"/>
          </w:tcPr>
          <w:p w14:paraId="66F631C3">
            <w:pPr>
              <w:ind w:firstLine="28" w:firstLineChars="0"/>
              <w:jc w:val="center"/>
              <w:rPr>
                <w:color w:val="auto"/>
                <w:highlight w:val="none"/>
              </w:rPr>
            </w:pPr>
          </w:p>
        </w:tc>
        <w:tc>
          <w:tcPr>
            <w:tcW w:w="951" w:type="dxa"/>
            <w:vAlign w:val="center"/>
          </w:tcPr>
          <w:p w14:paraId="52F80A95">
            <w:pPr>
              <w:keepNext w:val="0"/>
              <w:keepLines w:val="0"/>
              <w:widowControl/>
              <w:suppressLineNumbers w:val="0"/>
              <w:jc w:val="left"/>
              <w:rPr>
                <w:color w:val="auto"/>
                <w:highlight w:val="none"/>
              </w:rPr>
            </w:pPr>
            <w:r>
              <w:rPr>
                <w:rFonts w:hint="eastAsia" w:ascii="仿宋" w:hAnsi="仿宋" w:eastAsia="仿宋" w:cs="仿宋"/>
                <w:color w:val="auto"/>
                <w:kern w:val="0"/>
                <w:sz w:val="20"/>
                <w:szCs w:val="20"/>
                <w:highlight w:val="none"/>
                <w:lang w:val="en-US" w:eastAsia="zh-CN" w:bidi="ar"/>
              </w:rPr>
              <w:t>供应商</w:t>
            </w:r>
            <w:r>
              <w:rPr>
                <w:rFonts w:ascii="仿宋" w:hAnsi="仿宋" w:eastAsia="仿宋" w:cs="仿宋"/>
                <w:color w:val="auto"/>
                <w:kern w:val="0"/>
                <w:sz w:val="20"/>
                <w:szCs w:val="20"/>
                <w:highlight w:val="none"/>
                <w:lang w:val="en-US" w:eastAsia="zh-CN" w:bidi="ar"/>
              </w:rPr>
              <w:t>业</w:t>
            </w:r>
            <w:r>
              <w:rPr>
                <w:rFonts w:hint="eastAsia" w:ascii="仿宋" w:hAnsi="仿宋" w:eastAsia="仿宋" w:cs="仿宋"/>
                <w:color w:val="auto"/>
                <w:kern w:val="0"/>
                <w:sz w:val="20"/>
                <w:szCs w:val="20"/>
                <w:highlight w:val="none"/>
                <w:lang w:val="en-US" w:eastAsia="zh-CN" w:bidi="ar"/>
              </w:rPr>
              <w:t>绩（10 分）</w:t>
            </w:r>
          </w:p>
          <w:p w14:paraId="2AF1C865">
            <w:pPr>
              <w:ind w:firstLine="28" w:firstLineChars="0"/>
              <w:jc w:val="center"/>
              <w:rPr>
                <w:rFonts w:hint="eastAsia" w:ascii="仿宋" w:hAnsi="仿宋" w:eastAsia="仿宋" w:cs="仿宋"/>
                <w:color w:val="auto"/>
                <w:sz w:val="21"/>
                <w:szCs w:val="21"/>
                <w:highlight w:val="none"/>
                <w:lang w:val="en-US" w:eastAsia="zh-CN"/>
              </w:rPr>
            </w:pPr>
          </w:p>
        </w:tc>
        <w:tc>
          <w:tcPr>
            <w:tcW w:w="4574" w:type="dxa"/>
            <w:gridSpan w:val="2"/>
            <w:vAlign w:val="center"/>
          </w:tcPr>
          <w:p w14:paraId="5AA9FDBD">
            <w:pPr>
              <w:keepNext w:val="0"/>
              <w:keepLines w:val="0"/>
              <w:widowControl/>
              <w:suppressLineNumbers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0"/>
                <w:szCs w:val="20"/>
                <w:highlight w:val="none"/>
                <w:lang w:val="en-US" w:eastAsia="zh-CN" w:bidi="ar"/>
              </w:rPr>
              <w:t>供应商</w:t>
            </w:r>
            <w:r>
              <w:rPr>
                <w:rFonts w:ascii="仿宋" w:hAnsi="仿宋" w:eastAsia="仿宋" w:cs="仿宋"/>
                <w:color w:val="auto"/>
                <w:kern w:val="0"/>
                <w:sz w:val="20"/>
                <w:szCs w:val="20"/>
                <w:highlight w:val="none"/>
                <w:lang w:val="en-US" w:eastAsia="zh-CN" w:bidi="ar"/>
              </w:rPr>
              <w:t>自 2023 年 4 月 1 日起（以合同签订时</w:t>
            </w:r>
            <w:r>
              <w:rPr>
                <w:rFonts w:hint="eastAsia" w:ascii="仿宋" w:hAnsi="仿宋" w:eastAsia="仿宋" w:cs="仿宋"/>
                <w:color w:val="auto"/>
                <w:kern w:val="0"/>
                <w:sz w:val="20"/>
                <w:szCs w:val="20"/>
                <w:highlight w:val="none"/>
                <w:lang w:val="en-US" w:eastAsia="zh-CN" w:bidi="ar"/>
              </w:rPr>
              <w:t>间为准），至投标截止日，承担过类似咨询项目服务项目</w:t>
            </w:r>
            <w:r>
              <w:rPr>
                <w:rFonts w:ascii="仿宋" w:hAnsi="仿宋" w:eastAsia="仿宋" w:cs="仿宋"/>
                <w:color w:val="auto"/>
                <w:kern w:val="0"/>
                <w:sz w:val="20"/>
                <w:szCs w:val="20"/>
                <w:highlight w:val="none"/>
                <w:lang w:val="en-US" w:eastAsia="zh-CN" w:bidi="ar"/>
              </w:rPr>
              <w:t>的</w:t>
            </w:r>
            <w:r>
              <w:rPr>
                <w:rFonts w:hint="eastAsia" w:ascii="仿宋" w:hAnsi="仿宋" w:eastAsia="仿宋" w:cs="仿宋"/>
                <w:color w:val="auto"/>
                <w:kern w:val="0"/>
                <w:sz w:val="20"/>
                <w:szCs w:val="20"/>
                <w:highlight w:val="none"/>
                <w:lang w:val="en-US" w:eastAsia="zh-CN" w:bidi="ar"/>
              </w:rPr>
              <w:t>每提供一个</w:t>
            </w:r>
            <w:r>
              <w:rPr>
                <w:rFonts w:ascii="仿宋" w:hAnsi="仿宋" w:eastAsia="仿宋" w:cs="仿宋"/>
                <w:color w:val="auto"/>
                <w:kern w:val="0"/>
                <w:sz w:val="20"/>
                <w:szCs w:val="20"/>
                <w:highlight w:val="none"/>
                <w:lang w:val="en-US" w:eastAsia="zh-CN" w:bidi="ar"/>
              </w:rPr>
              <w:t>得</w:t>
            </w:r>
            <w:r>
              <w:rPr>
                <w:rFonts w:hint="eastAsia" w:ascii="仿宋" w:hAnsi="仿宋" w:eastAsia="仿宋" w:cs="仿宋"/>
                <w:color w:val="auto"/>
                <w:kern w:val="0"/>
                <w:sz w:val="20"/>
                <w:szCs w:val="20"/>
                <w:highlight w:val="none"/>
                <w:lang w:val="en-US" w:eastAsia="zh-CN" w:bidi="ar"/>
              </w:rPr>
              <w:t>2</w:t>
            </w:r>
            <w:r>
              <w:rPr>
                <w:rFonts w:ascii="仿宋" w:hAnsi="仿宋" w:eastAsia="仿宋" w:cs="仿宋"/>
                <w:color w:val="auto"/>
                <w:kern w:val="0"/>
                <w:sz w:val="20"/>
                <w:szCs w:val="20"/>
                <w:highlight w:val="none"/>
                <w:lang w:val="en-US" w:eastAsia="zh-CN" w:bidi="ar"/>
              </w:rPr>
              <w:t>分；最高得</w:t>
            </w:r>
            <w:r>
              <w:rPr>
                <w:rFonts w:hint="eastAsia" w:ascii="仿宋" w:hAnsi="仿宋" w:eastAsia="仿宋" w:cs="仿宋"/>
                <w:color w:val="auto"/>
                <w:kern w:val="0"/>
                <w:sz w:val="20"/>
                <w:szCs w:val="20"/>
                <w:highlight w:val="none"/>
                <w:lang w:val="en-US" w:eastAsia="zh-CN" w:bidi="ar"/>
              </w:rPr>
              <w:t>10</w:t>
            </w:r>
            <w:r>
              <w:rPr>
                <w:rFonts w:ascii="仿宋" w:hAnsi="仿宋" w:eastAsia="仿宋" w:cs="仿宋"/>
                <w:color w:val="auto"/>
                <w:kern w:val="0"/>
                <w:sz w:val="20"/>
                <w:szCs w:val="20"/>
                <w:highlight w:val="none"/>
                <w:lang w:val="en-US" w:eastAsia="zh-CN" w:bidi="ar"/>
              </w:rPr>
              <w:t>分。</w:t>
            </w:r>
          </w:p>
        </w:tc>
        <w:tc>
          <w:tcPr>
            <w:tcW w:w="1375" w:type="dxa"/>
            <w:vAlign w:val="center"/>
          </w:tcPr>
          <w:p w14:paraId="454E9BCC">
            <w:pPr>
              <w:keepNext w:val="0"/>
              <w:keepLines w:val="0"/>
              <w:widowControl/>
              <w:suppressLineNumbers w:val="0"/>
              <w:jc w:val="left"/>
              <w:rPr>
                <w:color w:val="auto"/>
                <w:highlight w:val="none"/>
              </w:rPr>
            </w:pPr>
            <w:r>
              <w:rPr>
                <w:rFonts w:ascii="仿宋" w:hAnsi="仿宋" w:eastAsia="仿宋" w:cs="仿宋"/>
                <w:color w:val="auto"/>
                <w:kern w:val="0"/>
                <w:sz w:val="20"/>
                <w:szCs w:val="20"/>
                <w:highlight w:val="none"/>
                <w:lang w:val="en-US" w:eastAsia="zh-CN" w:bidi="ar"/>
              </w:rPr>
              <w:t xml:space="preserve">提供合同协议书复印件 </w:t>
            </w:r>
          </w:p>
          <w:p w14:paraId="50A764C5">
            <w:pPr>
              <w:keepNext w:val="0"/>
              <w:keepLines w:val="0"/>
              <w:widowControl/>
              <w:suppressLineNumbers w:val="0"/>
              <w:jc w:val="left"/>
              <w:rPr>
                <w:color w:val="auto"/>
                <w:highlight w:val="none"/>
              </w:rPr>
            </w:pPr>
            <w:r>
              <w:rPr>
                <w:rFonts w:hint="eastAsia" w:ascii="仿宋" w:hAnsi="仿宋" w:eastAsia="仿宋" w:cs="仿宋"/>
                <w:color w:val="auto"/>
                <w:kern w:val="0"/>
                <w:sz w:val="20"/>
                <w:szCs w:val="20"/>
                <w:highlight w:val="none"/>
                <w:lang w:val="en-US" w:eastAsia="zh-CN" w:bidi="ar"/>
              </w:rPr>
              <w:t>并加盖供应商公章。</w:t>
            </w:r>
          </w:p>
          <w:p w14:paraId="2ED13FCB">
            <w:pPr>
              <w:ind w:firstLine="28" w:firstLineChars="0"/>
              <w:jc w:val="center"/>
              <w:rPr>
                <w:rFonts w:hint="eastAsia" w:ascii="仿宋" w:hAnsi="仿宋" w:eastAsia="仿宋" w:cs="仿宋"/>
                <w:color w:val="auto"/>
                <w:sz w:val="21"/>
                <w:szCs w:val="21"/>
                <w:highlight w:val="none"/>
                <w:lang w:val="en-US" w:eastAsia="zh-CN"/>
              </w:rPr>
            </w:pPr>
          </w:p>
        </w:tc>
      </w:tr>
    </w:tbl>
    <w:p w14:paraId="21E2FFA6">
      <w:pPr>
        <w:rPr>
          <w:rFonts w:hint="eastAsia" w:ascii="仿宋" w:hAnsi="仿宋" w:eastAsia="仿宋" w:cs="仿宋"/>
          <w:color w:val="auto"/>
          <w:highlight w:val="none"/>
        </w:rPr>
      </w:pPr>
    </w:p>
    <w:bookmarkEnd w:id="104"/>
    <w:p w14:paraId="58AB485E">
      <w:pPr>
        <w:pStyle w:val="3"/>
        <w:spacing w:line="240" w:lineRule="auto"/>
        <w:ind w:firstLine="643"/>
        <w:rPr>
          <w:rFonts w:hint="eastAsia" w:ascii="仿宋" w:hAnsi="仿宋" w:eastAsia="仿宋" w:cs="仿宋"/>
          <w:color w:val="auto"/>
          <w:highlight w:val="none"/>
        </w:rPr>
      </w:pPr>
      <w:bookmarkStart w:id="105" w:name="_Toc183783147"/>
      <w:bookmarkStart w:id="106" w:name="_Toc102227313"/>
      <w:bookmarkStart w:id="107" w:name="_Toc76462337"/>
      <w:bookmarkStart w:id="108" w:name="_Toc106030892"/>
      <w:r>
        <w:rPr>
          <w:rFonts w:hint="eastAsia" w:ascii="仿宋" w:hAnsi="仿宋" w:eastAsia="仿宋" w:cs="仿宋"/>
          <w:color w:val="auto"/>
          <w:highlight w:val="none"/>
        </w:rPr>
        <w:t>三、无效响应</w:t>
      </w:r>
      <w:bookmarkEnd w:id="105"/>
    </w:p>
    <w:p w14:paraId="3E0434FC">
      <w:pPr>
        <w:snapToGrid w:val="0"/>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供应商发生以下条款情况之一者，视为无效报价：</w:t>
      </w:r>
    </w:p>
    <w:p w14:paraId="42718488">
      <w:pPr>
        <w:pStyle w:val="11"/>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（一）供应商不符合规定的资格条件的；</w:t>
      </w:r>
    </w:p>
    <w:p w14:paraId="17F63F35">
      <w:pPr>
        <w:pStyle w:val="11"/>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（二）供应商未通过实质性响应审查的；</w:t>
      </w:r>
    </w:p>
    <w:p w14:paraId="5CE39A03">
      <w:pPr>
        <w:pStyle w:val="11"/>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（三）供应商所提交的响应文件未按“第七篇响应文件格式要求”要求签署或盖章的；</w:t>
      </w:r>
    </w:p>
    <w:p w14:paraId="2298430D">
      <w:pPr>
        <w:pStyle w:val="11"/>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（四）供应商的报价超过采购预算或最高限价的；</w:t>
      </w:r>
    </w:p>
    <w:p w14:paraId="46511B05">
      <w:pPr>
        <w:pStyle w:val="11"/>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（五）单位负责人为同一人或者存在直接控股、管理关系的不同供应商，参加同一合同项（包）报价的；</w:t>
      </w:r>
    </w:p>
    <w:p w14:paraId="30866BBB">
      <w:pPr>
        <w:pStyle w:val="11"/>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（六）为采购项目提供整体设计、规范编制或者项目管理、监理、检测等服务的供应商再参加该采购项目的其他采购活动的；</w:t>
      </w:r>
    </w:p>
    <w:p w14:paraId="2FDFA167">
      <w:pPr>
        <w:pStyle w:val="11"/>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（七）法律、法规和竞采邀请书规定的其他无效情形。</w:t>
      </w:r>
    </w:p>
    <w:p w14:paraId="313FB64C">
      <w:pPr>
        <w:pStyle w:val="3"/>
        <w:spacing w:line="240" w:lineRule="auto"/>
        <w:ind w:firstLine="643"/>
        <w:rPr>
          <w:rFonts w:hint="eastAsia" w:ascii="仿宋" w:hAnsi="仿宋" w:eastAsia="仿宋" w:cs="仿宋"/>
          <w:color w:val="auto"/>
          <w:highlight w:val="none"/>
        </w:rPr>
      </w:pPr>
      <w:bookmarkStart w:id="109" w:name="_Toc106030398"/>
      <w:bookmarkStart w:id="110" w:name="_Toc21946"/>
      <w:bookmarkStart w:id="111" w:name="_Toc6956"/>
      <w:bookmarkStart w:id="112" w:name="_Toc14355"/>
      <w:bookmarkStart w:id="113" w:name="_Toc75793522"/>
      <w:bookmarkStart w:id="114" w:name="_Toc11293"/>
      <w:bookmarkStart w:id="115" w:name="_Toc25549"/>
      <w:bookmarkStart w:id="116" w:name="_Toc20005"/>
      <w:bookmarkStart w:id="117" w:name="_Toc7802"/>
      <w:bookmarkStart w:id="118" w:name="_Toc6719"/>
      <w:bookmarkStart w:id="119" w:name="_Toc27133"/>
      <w:bookmarkStart w:id="120" w:name="_Toc30605"/>
      <w:bookmarkStart w:id="121" w:name="_Toc25960"/>
      <w:bookmarkStart w:id="122" w:name="_Toc4422"/>
      <w:bookmarkStart w:id="123" w:name="_Toc23533"/>
      <w:bookmarkStart w:id="124" w:name="_Toc6204"/>
      <w:bookmarkStart w:id="125" w:name="_Toc183783148"/>
      <w:r>
        <w:rPr>
          <w:rFonts w:hint="eastAsia" w:ascii="仿宋" w:hAnsi="仿宋" w:eastAsia="仿宋" w:cs="仿宋"/>
          <w:color w:val="auto"/>
          <w:highlight w:val="none"/>
        </w:rPr>
        <w:t>四、</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Fonts w:hint="eastAsia" w:ascii="仿宋" w:hAnsi="仿宋" w:eastAsia="仿宋" w:cs="仿宋"/>
          <w:color w:val="auto"/>
          <w:highlight w:val="none"/>
        </w:rPr>
        <w:t>采购终止</w:t>
      </w:r>
      <w:bookmarkEnd w:id="125"/>
    </w:p>
    <w:p w14:paraId="74415F31">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出现下列情形之一的，采购人或者采购代理机构应当终止采购活动，发布项目终止公告并说明原因，重新开展采购活动：</w:t>
      </w:r>
    </w:p>
    <w:p w14:paraId="0AEDD5F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（一）因情况变化，不再符合规定的采购方式适用情形的；</w:t>
      </w:r>
    </w:p>
    <w:p w14:paraId="6136EFB3">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139686F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（三）在采购过程中符合竞采要求的供应商不足3家的。</w:t>
      </w:r>
    </w:p>
    <w:p w14:paraId="22DC9D35">
      <w:pPr>
        <w:snapToGrid w:val="0"/>
        <w:ind w:firstLine="480" w:firstLineChars="200"/>
        <w:rPr>
          <w:rFonts w:hint="eastAsia" w:ascii="仿宋" w:hAnsi="仿宋" w:eastAsia="仿宋" w:cs="仿宋"/>
          <w:b/>
          <w:bCs/>
          <w:color w:val="auto"/>
          <w:sz w:val="36"/>
          <w:szCs w:val="36"/>
          <w:highlight w:val="none"/>
        </w:rPr>
      </w:pPr>
      <w:r>
        <w:rPr>
          <w:rFonts w:hint="eastAsia" w:ascii="仿宋" w:hAnsi="仿宋" w:eastAsia="仿宋" w:cs="仿宋"/>
          <w:color w:val="auto"/>
          <w:sz w:val="24"/>
          <w:szCs w:val="24"/>
          <w:highlight w:val="none"/>
        </w:rPr>
        <w:t>（四）项目出现其他实质性影响，可能导致项目无法正常开展的情形。</w:t>
      </w:r>
    </w:p>
    <w:p w14:paraId="0487B826">
      <w:pPr>
        <w:pStyle w:val="23"/>
        <w:rPr>
          <w:rFonts w:hint="eastAsia" w:ascii="仿宋" w:hAnsi="仿宋" w:eastAsia="仿宋" w:cs="仿宋"/>
          <w:color w:val="auto"/>
          <w:highlight w:val="none"/>
        </w:rPr>
      </w:pPr>
    </w:p>
    <w:p w14:paraId="2B437FF5">
      <w:pPr>
        <w:widowControl/>
        <w:ind w:firstLine="723"/>
        <w:jc w:val="left"/>
        <w:rPr>
          <w:rFonts w:hint="eastAsia" w:ascii="仿宋" w:hAnsi="仿宋" w:eastAsia="仿宋" w:cs="仿宋"/>
          <w:b/>
          <w:bCs/>
          <w:color w:val="auto"/>
          <w:kern w:val="0"/>
          <w:sz w:val="36"/>
          <w:szCs w:val="36"/>
          <w:highlight w:val="none"/>
        </w:rPr>
      </w:pPr>
      <w:r>
        <w:rPr>
          <w:rFonts w:hint="eastAsia" w:ascii="仿宋" w:hAnsi="仿宋" w:eastAsia="仿宋" w:cs="仿宋"/>
          <w:b/>
          <w:bCs/>
          <w:color w:val="auto"/>
          <w:sz w:val="36"/>
          <w:szCs w:val="36"/>
          <w:highlight w:val="none"/>
        </w:rPr>
        <w:br w:type="page"/>
      </w:r>
    </w:p>
    <w:p w14:paraId="2C1E4470">
      <w:pPr>
        <w:pStyle w:val="2"/>
        <w:spacing w:line="240" w:lineRule="auto"/>
        <w:ind w:firstLine="883"/>
        <w:jc w:val="center"/>
        <w:rPr>
          <w:rFonts w:hint="eastAsia" w:ascii="仿宋" w:hAnsi="仿宋" w:eastAsia="仿宋" w:cs="仿宋"/>
          <w:color w:val="auto"/>
          <w:highlight w:val="none"/>
        </w:rPr>
      </w:pPr>
      <w:bookmarkStart w:id="126" w:name="_Toc183783149"/>
      <w:r>
        <w:rPr>
          <w:rFonts w:hint="eastAsia" w:ascii="仿宋" w:hAnsi="仿宋" w:eastAsia="仿宋" w:cs="仿宋"/>
          <w:color w:val="auto"/>
          <w:highlight w:val="none"/>
        </w:rPr>
        <w:t xml:space="preserve">第五篇 </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须知</w:t>
      </w:r>
      <w:bookmarkEnd w:id="106"/>
      <w:bookmarkEnd w:id="107"/>
      <w:bookmarkEnd w:id="108"/>
      <w:bookmarkEnd w:id="126"/>
    </w:p>
    <w:p w14:paraId="203451A9">
      <w:pPr>
        <w:pStyle w:val="3"/>
        <w:spacing w:line="240" w:lineRule="auto"/>
        <w:ind w:firstLine="643"/>
        <w:rPr>
          <w:rFonts w:hint="eastAsia" w:ascii="仿宋" w:hAnsi="仿宋" w:eastAsia="仿宋" w:cs="仿宋"/>
          <w:color w:val="auto"/>
          <w:highlight w:val="none"/>
        </w:rPr>
      </w:pPr>
      <w:bookmarkStart w:id="127" w:name="_Toc183783150"/>
      <w:bookmarkStart w:id="128" w:name="_Toc342913389"/>
      <w:bookmarkStart w:id="129" w:name="_Toc106030893"/>
      <w:bookmarkStart w:id="130" w:name="_Toc76462338"/>
      <w:r>
        <w:rPr>
          <w:rFonts w:hint="eastAsia" w:ascii="仿宋" w:hAnsi="仿宋" w:eastAsia="仿宋" w:cs="仿宋"/>
          <w:color w:val="auto"/>
          <w:highlight w:val="none"/>
        </w:rPr>
        <w:t>一、竞采费用</w:t>
      </w:r>
      <w:bookmarkEnd w:id="127"/>
      <w:bookmarkEnd w:id="128"/>
      <w:bookmarkEnd w:id="129"/>
      <w:bookmarkEnd w:id="130"/>
    </w:p>
    <w:p w14:paraId="122D7320">
      <w:pPr>
        <w:pStyle w:val="23"/>
        <w:rPr>
          <w:rFonts w:hint="eastAsia" w:ascii="仿宋" w:hAnsi="仿宋" w:eastAsia="仿宋" w:cs="仿宋"/>
          <w:color w:val="auto"/>
          <w:highlight w:val="none"/>
        </w:rPr>
      </w:pPr>
      <w:r>
        <w:rPr>
          <w:rFonts w:hint="eastAsia" w:ascii="仿宋" w:hAnsi="仿宋" w:eastAsia="仿宋" w:cs="仿宋"/>
          <w:color w:val="auto"/>
          <w:highlight w:val="none"/>
        </w:rPr>
        <w:t>参与竞采的供应商应承担其编制响应文件与递交响应文件所涉及的一切费用，不论竞采结果如何，采购人和采购代理机构在任何情况下无义务也无责任承担这些费用。</w:t>
      </w:r>
    </w:p>
    <w:p w14:paraId="74A644F9">
      <w:pPr>
        <w:pStyle w:val="3"/>
        <w:spacing w:line="240" w:lineRule="auto"/>
        <w:ind w:firstLine="643"/>
        <w:rPr>
          <w:rFonts w:hint="eastAsia" w:ascii="仿宋" w:hAnsi="仿宋" w:eastAsia="仿宋" w:cs="仿宋"/>
          <w:color w:val="auto"/>
          <w:highlight w:val="none"/>
        </w:rPr>
      </w:pPr>
      <w:bookmarkStart w:id="131" w:name="_Toc106030894"/>
      <w:bookmarkStart w:id="132" w:name="_Toc342913391"/>
      <w:bookmarkStart w:id="133" w:name="_Toc183783151"/>
      <w:bookmarkStart w:id="134" w:name="_Toc76462339"/>
      <w:r>
        <w:rPr>
          <w:rFonts w:hint="eastAsia" w:ascii="仿宋" w:hAnsi="仿宋" w:eastAsia="仿宋" w:cs="仿宋"/>
          <w:color w:val="auto"/>
          <w:highlight w:val="none"/>
        </w:rPr>
        <w:t>二、竞采文件</w:t>
      </w:r>
      <w:bookmarkEnd w:id="131"/>
      <w:bookmarkEnd w:id="132"/>
      <w:bookmarkEnd w:id="133"/>
      <w:bookmarkEnd w:id="134"/>
    </w:p>
    <w:p w14:paraId="29B1070F">
      <w:pPr>
        <w:pStyle w:val="23"/>
        <w:rPr>
          <w:rFonts w:hint="eastAsia" w:ascii="仿宋" w:hAnsi="仿宋" w:eastAsia="仿宋" w:cs="仿宋"/>
          <w:color w:val="auto"/>
          <w:highlight w:val="none"/>
        </w:rPr>
      </w:pPr>
      <w:r>
        <w:rPr>
          <w:rFonts w:hint="eastAsia" w:ascii="仿宋" w:hAnsi="仿宋" w:eastAsia="仿宋" w:cs="仿宋"/>
          <w:color w:val="auto"/>
          <w:highlight w:val="none"/>
        </w:rPr>
        <w:t>（一）竞采文件由采购邀请书、项目技术（质量）需求、供应商须知、项目商务需求、竞采程序及评审标准、政府采购合同、响应文件编制要求七部分组成。</w:t>
      </w:r>
    </w:p>
    <w:p w14:paraId="07689502">
      <w:pPr>
        <w:pStyle w:val="23"/>
        <w:rPr>
          <w:rFonts w:hint="eastAsia" w:ascii="仿宋" w:hAnsi="仿宋" w:eastAsia="仿宋" w:cs="仿宋"/>
          <w:color w:val="auto"/>
          <w:highlight w:val="none"/>
        </w:rPr>
      </w:pPr>
      <w:r>
        <w:rPr>
          <w:rFonts w:hint="eastAsia" w:ascii="仿宋" w:hAnsi="仿宋" w:eastAsia="仿宋" w:cs="仿宋"/>
          <w:color w:val="auto"/>
          <w:highlight w:val="none"/>
        </w:rPr>
        <w:t>（二）采购人（或采购代理机构）所作的一切有效的书面通知、修改及补充，都是竞采文件不可分割的部分。</w:t>
      </w:r>
    </w:p>
    <w:p w14:paraId="522916F0">
      <w:pPr>
        <w:pStyle w:val="23"/>
        <w:rPr>
          <w:rFonts w:hint="eastAsia" w:ascii="仿宋" w:hAnsi="仿宋" w:eastAsia="仿宋" w:cs="仿宋"/>
          <w:color w:val="auto"/>
          <w:highlight w:val="none"/>
        </w:rPr>
      </w:pPr>
      <w:r>
        <w:rPr>
          <w:rFonts w:hint="eastAsia" w:ascii="仿宋" w:hAnsi="仿宋" w:eastAsia="仿宋" w:cs="仿宋"/>
          <w:color w:val="auto"/>
          <w:highlight w:val="none"/>
        </w:rPr>
        <w:t>（三）竞采文件的解释</w:t>
      </w:r>
    </w:p>
    <w:p w14:paraId="0D61CB49">
      <w:pPr>
        <w:pStyle w:val="23"/>
        <w:rPr>
          <w:rFonts w:hint="eastAsia" w:ascii="仿宋" w:hAnsi="仿宋" w:eastAsia="仿宋" w:cs="仿宋"/>
          <w:color w:val="auto"/>
          <w:highlight w:val="none"/>
        </w:rPr>
      </w:pPr>
      <w:r>
        <w:rPr>
          <w:rFonts w:hint="eastAsia" w:ascii="仿宋" w:hAnsi="仿宋" w:eastAsia="仿宋" w:cs="仿宋"/>
          <w:color w:val="auto"/>
          <w:highlight w:val="none"/>
        </w:rPr>
        <w:t>供应商如对竞采文件有疑问，必须以书面形式在提交响应文件截止时间2个工作日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bookmarkStart w:id="135" w:name="_Toc318159780"/>
      <w:bookmarkStart w:id="136" w:name="_Toc318159160"/>
      <w:bookmarkStart w:id="137" w:name="_Toc318159349"/>
      <w:bookmarkStart w:id="138" w:name="_Toc318166429"/>
    </w:p>
    <w:p w14:paraId="7BC057AE">
      <w:pPr>
        <w:pStyle w:val="23"/>
        <w:rPr>
          <w:rFonts w:hint="eastAsia" w:ascii="仿宋" w:hAnsi="仿宋" w:eastAsia="仿宋" w:cs="仿宋"/>
          <w:color w:val="auto"/>
          <w:highlight w:val="none"/>
        </w:rPr>
      </w:pPr>
      <w:r>
        <w:rPr>
          <w:rFonts w:hint="eastAsia" w:ascii="仿宋" w:hAnsi="仿宋" w:eastAsia="仿宋" w:cs="仿宋"/>
          <w:color w:val="auto"/>
          <w:highlight w:val="none"/>
        </w:rPr>
        <w:t>（四）评审的依据为竞采文件和响应文件（含有效的书面承诺）。评审小组判断响应文件对竞采文件的响应，仅基于响应文件本身而不靠外部证据。</w:t>
      </w:r>
    </w:p>
    <w:bookmarkEnd w:id="135"/>
    <w:bookmarkEnd w:id="136"/>
    <w:bookmarkEnd w:id="137"/>
    <w:bookmarkEnd w:id="138"/>
    <w:p w14:paraId="1CF095D7">
      <w:pPr>
        <w:pStyle w:val="3"/>
        <w:spacing w:line="240" w:lineRule="auto"/>
        <w:ind w:firstLine="643"/>
        <w:rPr>
          <w:rFonts w:hint="eastAsia" w:ascii="仿宋" w:hAnsi="仿宋" w:eastAsia="仿宋" w:cs="仿宋"/>
          <w:color w:val="auto"/>
          <w:highlight w:val="none"/>
        </w:rPr>
      </w:pPr>
      <w:bookmarkStart w:id="139" w:name="_Toc106030895"/>
      <w:bookmarkStart w:id="140" w:name="_Toc183783152"/>
      <w:bookmarkStart w:id="141" w:name="_Toc179714297"/>
      <w:bookmarkStart w:id="142" w:name="_Toc102227318"/>
      <w:bookmarkStart w:id="143" w:name="_Toc342913392"/>
      <w:bookmarkStart w:id="144" w:name="_Toc76462340"/>
      <w:r>
        <w:rPr>
          <w:rFonts w:hint="eastAsia" w:ascii="仿宋" w:hAnsi="仿宋" w:eastAsia="仿宋" w:cs="仿宋"/>
          <w:color w:val="auto"/>
          <w:highlight w:val="none"/>
        </w:rPr>
        <w:t>三、竞采要求</w:t>
      </w:r>
      <w:bookmarkEnd w:id="139"/>
      <w:bookmarkEnd w:id="140"/>
      <w:bookmarkEnd w:id="141"/>
      <w:bookmarkEnd w:id="142"/>
      <w:bookmarkEnd w:id="143"/>
      <w:bookmarkEnd w:id="144"/>
    </w:p>
    <w:p w14:paraId="54B114AC">
      <w:pPr>
        <w:pStyle w:val="23"/>
        <w:rPr>
          <w:rFonts w:hint="eastAsia" w:ascii="仿宋" w:hAnsi="仿宋" w:eastAsia="仿宋" w:cs="仿宋"/>
          <w:color w:val="auto"/>
          <w:highlight w:val="none"/>
        </w:rPr>
      </w:pPr>
      <w:r>
        <w:rPr>
          <w:rFonts w:hint="eastAsia" w:ascii="仿宋" w:hAnsi="仿宋" w:eastAsia="仿宋" w:cs="仿宋"/>
          <w:color w:val="auto"/>
          <w:highlight w:val="none"/>
        </w:rPr>
        <w:t>（一）响应文件</w:t>
      </w:r>
    </w:p>
    <w:p w14:paraId="2872F3D6">
      <w:pPr>
        <w:pStyle w:val="23"/>
        <w:rPr>
          <w:rFonts w:hint="eastAsia" w:ascii="仿宋" w:hAnsi="仿宋" w:eastAsia="仿宋" w:cs="仿宋"/>
          <w:color w:val="auto"/>
          <w:highlight w:val="none"/>
        </w:rPr>
      </w:pPr>
      <w:r>
        <w:rPr>
          <w:rFonts w:hint="eastAsia" w:ascii="仿宋" w:hAnsi="仿宋" w:eastAsia="仿宋" w:cs="仿宋"/>
          <w:color w:val="auto"/>
          <w:highlight w:val="none"/>
        </w:rPr>
        <w:t>1.供应商应当按照竞采文件的要求编制响应文件，并对竞采文件提出的要求和条件作出实质性响应。</w:t>
      </w:r>
    </w:p>
    <w:p w14:paraId="5D011B0D">
      <w:pPr>
        <w:pStyle w:val="23"/>
        <w:rPr>
          <w:rFonts w:hint="eastAsia" w:ascii="仿宋" w:hAnsi="仿宋" w:eastAsia="仿宋" w:cs="仿宋"/>
          <w:color w:val="auto"/>
          <w:highlight w:val="none"/>
        </w:rPr>
      </w:pPr>
      <w:r>
        <w:rPr>
          <w:rFonts w:hint="eastAsia" w:ascii="仿宋" w:hAnsi="仿宋" w:eastAsia="仿宋" w:cs="仿宋"/>
          <w:color w:val="auto"/>
          <w:highlight w:val="none"/>
        </w:rPr>
        <w:t>2.响应文件组成</w:t>
      </w:r>
    </w:p>
    <w:p w14:paraId="0E77B86A">
      <w:pPr>
        <w:pStyle w:val="23"/>
        <w:rPr>
          <w:rFonts w:hint="eastAsia" w:ascii="仿宋" w:hAnsi="仿宋" w:eastAsia="仿宋" w:cs="仿宋"/>
          <w:color w:val="auto"/>
          <w:highlight w:val="none"/>
        </w:rPr>
      </w:pPr>
      <w:r>
        <w:rPr>
          <w:rFonts w:hint="eastAsia" w:ascii="仿宋" w:hAnsi="仿宋" w:eastAsia="仿宋" w:cs="仿宋"/>
          <w:color w:val="auto"/>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1EA6332">
      <w:pPr>
        <w:pStyle w:val="23"/>
        <w:rPr>
          <w:rFonts w:hint="eastAsia" w:ascii="仿宋" w:hAnsi="仿宋" w:eastAsia="仿宋" w:cs="仿宋"/>
          <w:color w:val="auto"/>
          <w:highlight w:val="none"/>
        </w:rPr>
      </w:pPr>
      <w:r>
        <w:rPr>
          <w:rFonts w:hint="eastAsia" w:ascii="仿宋" w:hAnsi="仿宋" w:eastAsia="仿宋" w:cs="仿宋"/>
          <w:color w:val="auto"/>
          <w:highlight w:val="none"/>
        </w:rPr>
        <w:t>（二）竞采有效期：响应文件及有关承诺文件有效期为提交响应文件截止时间起90天。</w:t>
      </w:r>
    </w:p>
    <w:p w14:paraId="37EC40D8">
      <w:pPr>
        <w:pStyle w:val="23"/>
        <w:rPr>
          <w:rFonts w:hint="eastAsia" w:ascii="仿宋" w:hAnsi="仿宋" w:eastAsia="仿宋" w:cs="仿宋"/>
          <w:color w:val="auto"/>
          <w:highlight w:val="none"/>
        </w:rPr>
      </w:pPr>
      <w:r>
        <w:rPr>
          <w:rFonts w:hint="eastAsia" w:ascii="仿宋" w:hAnsi="仿宋" w:eastAsia="仿宋" w:cs="仿宋"/>
          <w:color w:val="auto"/>
          <w:highlight w:val="none"/>
        </w:rPr>
        <w:t>（三）修正错误</w:t>
      </w:r>
    </w:p>
    <w:p w14:paraId="7D806379">
      <w:pPr>
        <w:pStyle w:val="23"/>
        <w:rPr>
          <w:rFonts w:hint="eastAsia" w:ascii="仿宋" w:hAnsi="仿宋" w:eastAsia="仿宋" w:cs="仿宋"/>
          <w:color w:val="auto"/>
          <w:highlight w:val="none"/>
        </w:rPr>
      </w:pPr>
      <w:r>
        <w:rPr>
          <w:rFonts w:hint="eastAsia" w:ascii="仿宋" w:hAnsi="仿宋" w:eastAsia="仿宋" w:cs="仿宋"/>
          <w:color w:val="auto"/>
          <w:highlight w:val="none"/>
        </w:rPr>
        <w:t>1.若供应商所递交的响应文件或最后报价中的价格出现大写金额和小写金额不一致的错误，以</w:t>
      </w:r>
      <w:r>
        <w:rPr>
          <w:rFonts w:hint="eastAsia" w:ascii="仿宋" w:hAnsi="仿宋" w:eastAsia="仿宋" w:cs="仿宋"/>
          <w:b/>
          <w:bCs/>
          <w:color w:val="auto"/>
          <w:highlight w:val="none"/>
          <w:u w:val="single"/>
        </w:rPr>
        <w:t>大写金额修正为准</w:t>
      </w:r>
      <w:r>
        <w:rPr>
          <w:rFonts w:hint="eastAsia" w:ascii="仿宋" w:hAnsi="仿宋" w:eastAsia="仿宋" w:cs="仿宋"/>
          <w:color w:val="auto"/>
          <w:highlight w:val="none"/>
        </w:rPr>
        <w:t>。</w:t>
      </w:r>
    </w:p>
    <w:p w14:paraId="41752453">
      <w:pPr>
        <w:pStyle w:val="23"/>
        <w:rPr>
          <w:rFonts w:hint="eastAsia" w:ascii="仿宋" w:hAnsi="仿宋" w:eastAsia="仿宋" w:cs="仿宋"/>
          <w:color w:val="auto"/>
          <w:highlight w:val="none"/>
        </w:rPr>
      </w:pPr>
      <w:r>
        <w:rPr>
          <w:rFonts w:hint="eastAsia" w:ascii="仿宋" w:hAnsi="仿宋" w:eastAsia="仿宋" w:cs="仿宋"/>
          <w:color w:val="auto"/>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45FF584C">
      <w:pPr>
        <w:pStyle w:val="23"/>
        <w:rPr>
          <w:rFonts w:hint="eastAsia" w:ascii="仿宋" w:hAnsi="仿宋" w:eastAsia="仿宋" w:cs="仿宋"/>
          <w:color w:val="auto"/>
          <w:highlight w:val="none"/>
        </w:rPr>
      </w:pPr>
      <w:r>
        <w:rPr>
          <w:rFonts w:hint="eastAsia" w:ascii="仿宋" w:hAnsi="仿宋" w:eastAsia="仿宋" w:cs="仿宋"/>
          <w:color w:val="auto"/>
          <w:highlight w:val="none"/>
        </w:rPr>
        <w:t>（四）提交响应文件的份数和签署</w:t>
      </w:r>
    </w:p>
    <w:p w14:paraId="6FEB34C5">
      <w:pPr>
        <w:pStyle w:val="23"/>
        <w:rPr>
          <w:rFonts w:hint="eastAsia" w:ascii="仿宋" w:hAnsi="仿宋" w:eastAsia="仿宋" w:cs="仿宋"/>
          <w:color w:val="auto"/>
          <w:highlight w:val="none"/>
        </w:rPr>
      </w:pPr>
      <w:r>
        <w:rPr>
          <w:rFonts w:hint="eastAsia" w:ascii="仿宋" w:hAnsi="仿宋" w:eastAsia="仿宋" w:cs="仿宋"/>
          <w:color w:val="auto"/>
          <w:highlight w:val="none"/>
        </w:rPr>
        <w:t>1.响应文件电子文档一份。</w:t>
      </w:r>
    </w:p>
    <w:p w14:paraId="2D546F9D">
      <w:pPr>
        <w:pStyle w:val="23"/>
        <w:rPr>
          <w:rFonts w:hint="eastAsia" w:ascii="仿宋" w:hAnsi="仿宋" w:eastAsia="仿宋" w:cs="仿宋"/>
          <w:color w:val="auto"/>
          <w:highlight w:val="none"/>
        </w:rPr>
      </w:pPr>
      <w:r>
        <w:rPr>
          <w:rFonts w:hint="eastAsia" w:ascii="仿宋" w:hAnsi="仿宋" w:eastAsia="仿宋" w:cs="仿宋"/>
          <w:color w:val="auto"/>
          <w:highlight w:val="none"/>
        </w:rPr>
        <w:t>2.响应文件按竞采文件“第七篇响应文件编制要求”要求签署或盖章。</w:t>
      </w:r>
    </w:p>
    <w:p w14:paraId="1B4AB23A">
      <w:pPr>
        <w:pStyle w:val="23"/>
        <w:rPr>
          <w:rFonts w:hint="eastAsia" w:ascii="仿宋" w:hAnsi="仿宋" w:eastAsia="仿宋" w:cs="仿宋"/>
          <w:color w:val="auto"/>
          <w:highlight w:val="none"/>
        </w:rPr>
      </w:pPr>
      <w:r>
        <w:rPr>
          <w:rFonts w:hint="eastAsia" w:ascii="仿宋" w:hAnsi="仿宋" w:eastAsia="仿宋" w:cs="仿宋"/>
          <w:color w:val="auto"/>
          <w:highlight w:val="none"/>
        </w:rPr>
        <w:t>（五）响应文件的递交</w:t>
      </w:r>
    </w:p>
    <w:p w14:paraId="1BA42CE5">
      <w:pPr>
        <w:pStyle w:val="23"/>
        <w:rPr>
          <w:rFonts w:hint="eastAsia" w:ascii="仿宋" w:hAnsi="仿宋" w:eastAsia="仿宋" w:cs="仿宋"/>
          <w:color w:val="auto"/>
          <w:highlight w:val="none"/>
        </w:rPr>
      </w:pPr>
      <w:r>
        <w:rPr>
          <w:rFonts w:hint="eastAsia" w:ascii="仿宋" w:hAnsi="仿宋" w:eastAsia="仿宋" w:cs="仿宋"/>
          <w:color w:val="auto"/>
          <w:highlight w:val="none"/>
        </w:rPr>
        <w:t>响应文件的电子文档应在有效报名时间段内，通过竞采系统在线提交。</w:t>
      </w:r>
    </w:p>
    <w:p w14:paraId="045B0E29">
      <w:pPr>
        <w:pStyle w:val="23"/>
        <w:rPr>
          <w:rFonts w:hint="eastAsia" w:ascii="仿宋" w:hAnsi="仿宋" w:eastAsia="仿宋" w:cs="仿宋"/>
          <w:color w:val="auto"/>
          <w:highlight w:val="none"/>
        </w:rPr>
      </w:pPr>
      <w:r>
        <w:rPr>
          <w:rFonts w:hint="eastAsia" w:ascii="仿宋" w:hAnsi="仿宋" w:eastAsia="仿宋" w:cs="仿宋"/>
          <w:color w:val="auto"/>
          <w:highlight w:val="none"/>
        </w:rPr>
        <w:t>（竞采项目实行在线报名、在线评审，非必需，原则上供应商不参与线下评审环节。）</w:t>
      </w:r>
    </w:p>
    <w:p w14:paraId="343ADA84">
      <w:pPr>
        <w:pStyle w:val="23"/>
        <w:rPr>
          <w:rFonts w:hint="eastAsia" w:ascii="仿宋" w:hAnsi="仿宋" w:eastAsia="仿宋" w:cs="仿宋"/>
          <w:color w:val="auto"/>
          <w:highlight w:val="none"/>
        </w:rPr>
      </w:pPr>
      <w:bookmarkStart w:id="145" w:name="_Toc76462341"/>
      <w:bookmarkStart w:id="146" w:name="_Toc106030896"/>
      <w:r>
        <w:rPr>
          <w:rFonts w:hint="eastAsia" w:ascii="仿宋" w:hAnsi="仿宋" w:eastAsia="仿宋" w:cs="仿宋"/>
          <w:color w:val="auto"/>
          <w:highlight w:val="none"/>
        </w:rPr>
        <w:t>四、成交供应商的确认和变更</w:t>
      </w:r>
      <w:bookmarkEnd w:id="145"/>
      <w:bookmarkEnd w:id="146"/>
    </w:p>
    <w:p w14:paraId="50DDC674">
      <w:pPr>
        <w:pStyle w:val="23"/>
        <w:rPr>
          <w:rFonts w:hint="eastAsia" w:ascii="仿宋" w:hAnsi="仿宋" w:eastAsia="仿宋" w:cs="仿宋"/>
          <w:color w:val="auto"/>
          <w:highlight w:val="none"/>
        </w:rPr>
      </w:pPr>
      <w:r>
        <w:rPr>
          <w:rFonts w:hint="eastAsia" w:ascii="仿宋" w:hAnsi="仿宋" w:eastAsia="仿宋" w:cs="仿宋"/>
          <w:color w:val="auto"/>
          <w:highlight w:val="none"/>
        </w:rPr>
        <w:t>（一）成交供应商的确认</w:t>
      </w:r>
    </w:p>
    <w:p w14:paraId="67133B70">
      <w:pPr>
        <w:pStyle w:val="23"/>
        <w:rPr>
          <w:rFonts w:hint="eastAsia" w:ascii="仿宋" w:hAnsi="仿宋" w:eastAsia="仿宋" w:cs="仿宋"/>
          <w:color w:val="auto"/>
          <w:highlight w:val="none"/>
        </w:rPr>
      </w:pPr>
      <w:r>
        <w:rPr>
          <w:rFonts w:hint="eastAsia" w:ascii="仿宋" w:hAnsi="仿宋" w:eastAsia="仿宋" w:cs="仿宋"/>
          <w:color w:val="auto"/>
          <w:highlight w:val="none"/>
        </w:rPr>
        <w:t>采购人应当在5个工作日内，从评审报告提出的成交候选供应商中，按照排序由高到低的原则确定成交供应商，也可以授权竞采小组直接确定成交供应商。</w:t>
      </w:r>
    </w:p>
    <w:p w14:paraId="67DC15B8">
      <w:pPr>
        <w:pStyle w:val="23"/>
        <w:rPr>
          <w:rFonts w:hint="eastAsia" w:ascii="仿宋" w:hAnsi="仿宋" w:eastAsia="仿宋" w:cs="仿宋"/>
          <w:color w:val="auto"/>
          <w:highlight w:val="none"/>
        </w:rPr>
      </w:pPr>
      <w:r>
        <w:rPr>
          <w:rFonts w:hint="eastAsia" w:ascii="仿宋" w:hAnsi="仿宋" w:eastAsia="仿宋" w:cs="仿宋"/>
          <w:color w:val="auto"/>
          <w:highlight w:val="none"/>
        </w:rPr>
        <w:t>（二）成交供应商的变更</w:t>
      </w:r>
    </w:p>
    <w:p w14:paraId="013A327A">
      <w:pPr>
        <w:pStyle w:val="23"/>
        <w:rPr>
          <w:rFonts w:hint="eastAsia" w:ascii="仿宋" w:hAnsi="仿宋" w:eastAsia="仿宋" w:cs="仿宋"/>
          <w:color w:val="auto"/>
          <w:highlight w:val="none"/>
        </w:rPr>
      </w:pPr>
      <w:r>
        <w:rPr>
          <w:rFonts w:hint="eastAsia" w:ascii="仿宋" w:hAnsi="仿宋" w:eastAsia="仿宋" w:cs="仿宋"/>
          <w:color w:val="auto"/>
          <w:highlight w:val="none"/>
        </w:rPr>
        <w:t>成交供应商拒绝与采购人签订合同的，采购人可以按照评标报告推荐的成交候选供应商顺序，确定排名下一位的候选人为成交供应商，也可以重新开展竞采活动。</w:t>
      </w:r>
    </w:p>
    <w:p w14:paraId="30AF24C0">
      <w:pPr>
        <w:pStyle w:val="3"/>
        <w:spacing w:line="240" w:lineRule="auto"/>
        <w:ind w:firstLine="643"/>
        <w:rPr>
          <w:rFonts w:hint="eastAsia" w:ascii="仿宋" w:hAnsi="仿宋" w:eastAsia="仿宋" w:cs="仿宋"/>
          <w:color w:val="auto"/>
          <w:highlight w:val="none"/>
        </w:rPr>
      </w:pPr>
      <w:bookmarkStart w:id="147" w:name="_Toc106030897"/>
      <w:bookmarkStart w:id="148" w:name="_Toc102227321"/>
      <w:bookmarkStart w:id="149" w:name="_Toc183783153"/>
      <w:bookmarkStart w:id="150" w:name="_Toc76462342"/>
      <w:bookmarkStart w:id="151" w:name="_Toc342913395"/>
      <w:r>
        <w:rPr>
          <w:rFonts w:hint="eastAsia" w:ascii="仿宋" w:hAnsi="仿宋" w:eastAsia="仿宋" w:cs="仿宋"/>
          <w:color w:val="auto"/>
          <w:highlight w:val="none"/>
        </w:rPr>
        <w:t>五、成交通知</w:t>
      </w:r>
      <w:bookmarkEnd w:id="147"/>
      <w:bookmarkEnd w:id="148"/>
      <w:bookmarkEnd w:id="149"/>
      <w:bookmarkEnd w:id="150"/>
      <w:bookmarkEnd w:id="151"/>
    </w:p>
    <w:p w14:paraId="4A219698">
      <w:pPr>
        <w:pStyle w:val="23"/>
        <w:rPr>
          <w:rFonts w:hint="eastAsia" w:ascii="仿宋" w:hAnsi="仿宋" w:eastAsia="仿宋" w:cs="仿宋"/>
          <w:color w:val="auto"/>
          <w:highlight w:val="none"/>
        </w:rPr>
      </w:pPr>
      <w:r>
        <w:rPr>
          <w:rFonts w:hint="eastAsia" w:ascii="仿宋" w:hAnsi="仿宋" w:eastAsia="仿宋" w:cs="仿宋"/>
          <w:color w:val="auto"/>
          <w:highlight w:val="none"/>
        </w:rPr>
        <w:t>（一）成交供应商确定后，采购人/代理机构将在</w:t>
      </w:r>
      <w:r>
        <w:rPr>
          <w:rFonts w:hint="eastAsia" w:ascii="仿宋" w:hAnsi="仿宋" w:eastAsia="仿宋" w:cs="仿宋"/>
          <w:color w:val="auto"/>
          <w:szCs w:val="24"/>
          <w:highlight w:val="none"/>
        </w:rPr>
        <w:t>（https://www.gec123.com/）行采家</w:t>
      </w:r>
      <w:r>
        <w:rPr>
          <w:rFonts w:hint="eastAsia" w:ascii="仿宋" w:hAnsi="仿宋" w:eastAsia="仿宋" w:cs="仿宋"/>
          <w:color w:val="auto"/>
          <w:highlight w:val="none"/>
        </w:rPr>
        <w:t>上发布成交结果公告。</w:t>
      </w:r>
    </w:p>
    <w:p w14:paraId="059B1715">
      <w:pPr>
        <w:pStyle w:val="23"/>
        <w:rPr>
          <w:rFonts w:hint="eastAsia" w:ascii="仿宋" w:hAnsi="仿宋" w:eastAsia="仿宋" w:cs="仿宋"/>
          <w:color w:val="auto"/>
          <w:highlight w:val="none"/>
        </w:rPr>
      </w:pPr>
      <w:r>
        <w:rPr>
          <w:rFonts w:hint="eastAsia" w:ascii="仿宋" w:hAnsi="仿宋" w:eastAsia="仿宋" w:cs="仿宋"/>
          <w:color w:val="auto"/>
          <w:highlight w:val="none"/>
        </w:rPr>
        <w:t>（二）结果公告发出同时，采购人/代理机构将以书面形式发出《成交通知书》。《成交通知书》一经发出即发生法律效力。</w:t>
      </w:r>
    </w:p>
    <w:p w14:paraId="29D131EF">
      <w:pPr>
        <w:pStyle w:val="23"/>
        <w:rPr>
          <w:rFonts w:hint="eastAsia" w:ascii="仿宋" w:hAnsi="仿宋" w:eastAsia="仿宋" w:cs="仿宋"/>
          <w:color w:val="auto"/>
          <w:highlight w:val="none"/>
        </w:rPr>
      </w:pPr>
      <w:r>
        <w:rPr>
          <w:rFonts w:hint="eastAsia" w:ascii="仿宋" w:hAnsi="仿宋" w:eastAsia="仿宋" w:cs="仿宋"/>
          <w:color w:val="auto"/>
          <w:highlight w:val="none"/>
        </w:rPr>
        <w:t>（三）《成交通知书》作为签订合同的依据。</w:t>
      </w:r>
    </w:p>
    <w:p w14:paraId="5975653B">
      <w:pPr>
        <w:pStyle w:val="3"/>
        <w:spacing w:line="240" w:lineRule="auto"/>
        <w:ind w:firstLine="643"/>
        <w:rPr>
          <w:rFonts w:hint="eastAsia" w:ascii="仿宋" w:hAnsi="仿宋" w:eastAsia="仿宋" w:cs="仿宋"/>
          <w:color w:val="auto"/>
          <w:highlight w:val="none"/>
        </w:rPr>
      </w:pPr>
      <w:bookmarkStart w:id="152" w:name="_Toc106030898"/>
      <w:bookmarkStart w:id="153" w:name="_Toc76462343"/>
      <w:bookmarkStart w:id="154" w:name="_Toc183783154"/>
      <w:r>
        <w:rPr>
          <w:rFonts w:hint="eastAsia" w:ascii="仿宋" w:hAnsi="仿宋" w:eastAsia="仿宋" w:cs="仿宋"/>
          <w:color w:val="auto"/>
          <w:highlight w:val="none"/>
        </w:rPr>
        <w:t>六、关于质疑和投诉</w:t>
      </w:r>
      <w:bookmarkEnd w:id="152"/>
      <w:bookmarkEnd w:id="153"/>
      <w:bookmarkEnd w:id="154"/>
    </w:p>
    <w:p w14:paraId="07B9663F">
      <w:pPr>
        <w:pStyle w:val="23"/>
        <w:rPr>
          <w:rFonts w:hint="eastAsia" w:ascii="仿宋" w:hAnsi="仿宋" w:eastAsia="仿宋" w:cs="仿宋"/>
          <w:color w:val="auto"/>
          <w:highlight w:val="none"/>
        </w:rPr>
      </w:pPr>
      <w:r>
        <w:rPr>
          <w:rFonts w:hint="eastAsia" w:ascii="仿宋" w:hAnsi="仿宋" w:eastAsia="仿宋" w:cs="仿宋"/>
          <w:color w:val="auto"/>
          <w:highlight w:val="none"/>
        </w:rPr>
        <w:t>（一）质疑</w:t>
      </w:r>
    </w:p>
    <w:p w14:paraId="6E94423F">
      <w:pPr>
        <w:pStyle w:val="23"/>
        <w:rPr>
          <w:rFonts w:hint="eastAsia" w:ascii="仿宋" w:hAnsi="仿宋" w:eastAsia="仿宋" w:cs="仿宋"/>
          <w:color w:val="auto"/>
          <w:highlight w:val="none"/>
        </w:rPr>
      </w:pPr>
      <w:r>
        <w:rPr>
          <w:rFonts w:hint="eastAsia" w:ascii="仿宋" w:hAnsi="仿宋" w:eastAsia="仿宋" w:cs="仿宋"/>
          <w:color w:val="auto"/>
          <w:highlight w:val="none"/>
        </w:rPr>
        <w:t>供应商认为采购文件、采购过程和成交结果使自己的权益收到伤害的，可向采购人或采购代理机构以书面形式提出质疑。</w:t>
      </w:r>
    </w:p>
    <w:p w14:paraId="48BE500A">
      <w:pPr>
        <w:pStyle w:val="23"/>
        <w:rPr>
          <w:rFonts w:hint="eastAsia" w:ascii="仿宋" w:hAnsi="仿宋" w:eastAsia="仿宋" w:cs="仿宋"/>
          <w:color w:val="auto"/>
          <w:highlight w:val="none"/>
        </w:rPr>
      </w:pPr>
      <w:r>
        <w:rPr>
          <w:rFonts w:hint="eastAsia" w:ascii="仿宋" w:hAnsi="仿宋" w:eastAsia="仿宋" w:cs="仿宋"/>
          <w:color w:val="auto"/>
          <w:highlight w:val="none"/>
        </w:rPr>
        <w:t xml:space="preserve">提出质疑的应当是参与所质疑项目采购活动的供应商。 </w:t>
      </w:r>
    </w:p>
    <w:p w14:paraId="481171DD">
      <w:pPr>
        <w:pStyle w:val="23"/>
        <w:rPr>
          <w:rFonts w:hint="eastAsia" w:ascii="仿宋" w:hAnsi="仿宋" w:eastAsia="仿宋" w:cs="仿宋"/>
          <w:color w:val="auto"/>
          <w:highlight w:val="none"/>
        </w:rPr>
      </w:pPr>
      <w:r>
        <w:rPr>
          <w:rFonts w:hint="eastAsia" w:ascii="仿宋" w:hAnsi="仿宋" w:eastAsia="仿宋" w:cs="仿宋"/>
          <w:color w:val="auto"/>
          <w:highlight w:val="none"/>
        </w:rPr>
        <w:t>1.质疑时限、内容</w:t>
      </w:r>
    </w:p>
    <w:p w14:paraId="604A0A25">
      <w:pPr>
        <w:pStyle w:val="23"/>
        <w:rPr>
          <w:rFonts w:hint="eastAsia" w:ascii="仿宋" w:hAnsi="仿宋" w:eastAsia="仿宋" w:cs="仿宋"/>
          <w:color w:val="auto"/>
          <w:highlight w:val="none"/>
        </w:rPr>
      </w:pPr>
      <w:r>
        <w:rPr>
          <w:rFonts w:hint="eastAsia" w:ascii="仿宋" w:hAnsi="仿宋" w:eastAsia="仿宋" w:cs="仿宋"/>
          <w:color w:val="auto"/>
          <w:highlight w:val="none"/>
        </w:rPr>
        <w:t>供应商认为采购文件、采购过程、成交结果使自己的权益受到损害的，可以在知道或者应知其权益受到损害之日起2个工作日内，以书面形式向采购人、采购代理机构提出质疑。</w:t>
      </w:r>
    </w:p>
    <w:p w14:paraId="137405A3">
      <w:pPr>
        <w:pStyle w:val="23"/>
        <w:rPr>
          <w:rFonts w:hint="eastAsia" w:ascii="仿宋" w:hAnsi="仿宋" w:eastAsia="仿宋" w:cs="仿宋"/>
          <w:color w:val="auto"/>
          <w:highlight w:val="none"/>
        </w:rPr>
      </w:pPr>
      <w:r>
        <w:rPr>
          <w:rFonts w:hint="eastAsia" w:ascii="仿宋" w:hAnsi="仿宋" w:eastAsia="仿宋" w:cs="仿宋"/>
          <w:color w:val="auto"/>
          <w:highlight w:val="none"/>
        </w:rPr>
        <w:t>1.2供应商提出质疑应当提交质疑函和必要的证明材料，质疑函应当包括下列内容：</w:t>
      </w:r>
    </w:p>
    <w:p w14:paraId="6508E9AC">
      <w:pPr>
        <w:pStyle w:val="23"/>
        <w:rPr>
          <w:rFonts w:hint="eastAsia" w:ascii="仿宋" w:hAnsi="仿宋" w:eastAsia="仿宋" w:cs="仿宋"/>
          <w:color w:val="auto"/>
          <w:highlight w:val="none"/>
        </w:rPr>
      </w:pPr>
      <w:r>
        <w:rPr>
          <w:rFonts w:hint="eastAsia" w:ascii="仿宋" w:hAnsi="仿宋" w:eastAsia="仿宋" w:cs="仿宋"/>
          <w:color w:val="auto"/>
          <w:highlight w:val="none"/>
        </w:rPr>
        <w:t>1.2.1供应商的名称、地址、联系人及联系电话；</w:t>
      </w:r>
    </w:p>
    <w:p w14:paraId="21F952D0">
      <w:pPr>
        <w:pStyle w:val="23"/>
        <w:rPr>
          <w:rFonts w:hint="eastAsia" w:ascii="仿宋" w:hAnsi="仿宋" w:eastAsia="仿宋" w:cs="仿宋"/>
          <w:color w:val="auto"/>
          <w:highlight w:val="none"/>
        </w:rPr>
      </w:pPr>
      <w:r>
        <w:rPr>
          <w:rFonts w:hint="eastAsia" w:ascii="仿宋" w:hAnsi="仿宋" w:eastAsia="仿宋" w:cs="仿宋"/>
          <w:color w:val="auto"/>
          <w:highlight w:val="none"/>
        </w:rPr>
        <w:t>1.2.2质疑项目的名称、采购编号；</w:t>
      </w:r>
    </w:p>
    <w:p w14:paraId="74EABB8B">
      <w:pPr>
        <w:pStyle w:val="23"/>
        <w:rPr>
          <w:rFonts w:hint="eastAsia" w:ascii="仿宋" w:hAnsi="仿宋" w:eastAsia="仿宋" w:cs="仿宋"/>
          <w:color w:val="auto"/>
          <w:highlight w:val="none"/>
        </w:rPr>
      </w:pPr>
      <w:r>
        <w:rPr>
          <w:rFonts w:hint="eastAsia" w:ascii="仿宋" w:hAnsi="仿宋" w:eastAsia="仿宋" w:cs="仿宋"/>
          <w:color w:val="auto"/>
          <w:highlight w:val="none"/>
        </w:rPr>
        <w:t>1.2.3具体、明确的质疑事项和与质疑事项相关的请求；</w:t>
      </w:r>
    </w:p>
    <w:p w14:paraId="6C29B65C">
      <w:pPr>
        <w:pStyle w:val="23"/>
        <w:rPr>
          <w:rFonts w:hint="eastAsia" w:ascii="仿宋" w:hAnsi="仿宋" w:eastAsia="仿宋" w:cs="仿宋"/>
          <w:color w:val="auto"/>
          <w:highlight w:val="none"/>
        </w:rPr>
      </w:pPr>
      <w:r>
        <w:rPr>
          <w:rFonts w:hint="eastAsia" w:ascii="仿宋" w:hAnsi="仿宋" w:eastAsia="仿宋" w:cs="仿宋"/>
          <w:color w:val="auto"/>
          <w:highlight w:val="none"/>
        </w:rPr>
        <w:t>1.2.4事实依据；</w:t>
      </w:r>
    </w:p>
    <w:p w14:paraId="1745D2CC">
      <w:pPr>
        <w:pStyle w:val="23"/>
        <w:rPr>
          <w:rFonts w:hint="eastAsia" w:ascii="仿宋" w:hAnsi="仿宋" w:eastAsia="仿宋" w:cs="仿宋"/>
          <w:color w:val="auto"/>
          <w:highlight w:val="none"/>
        </w:rPr>
      </w:pPr>
      <w:r>
        <w:rPr>
          <w:rFonts w:hint="eastAsia" w:ascii="仿宋" w:hAnsi="仿宋" w:eastAsia="仿宋" w:cs="仿宋"/>
          <w:color w:val="auto"/>
          <w:highlight w:val="none"/>
        </w:rPr>
        <w:t>1.2.5必要的法律依据；</w:t>
      </w:r>
    </w:p>
    <w:p w14:paraId="6CB49AD2">
      <w:pPr>
        <w:pStyle w:val="23"/>
        <w:rPr>
          <w:rFonts w:hint="eastAsia" w:ascii="仿宋" w:hAnsi="仿宋" w:eastAsia="仿宋" w:cs="仿宋"/>
          <w:color w:val="auto"/>
          <w:highlight w:val="none"/>
        </w:rPr>
      </w:pPr>
      <w:r>
        <w:rPr>
          <w:rFonts w:hint="eastAsia" w:ascii="仿宋" w:hAnsi="仿宋" w:eastAsia="仿宋" w:cs="仿宋"/>
          <w:color w:val="auto"/>
          <w:highlight w:val="none"/>
        </w:rPr>
        <w:t>1.2.6提出质疑的日期；</w:t>
      </w:r>
    </w:p>
    <w:p w14:paraId="67A46BC3">
      <w:pPr>
        <w:pStyle w:val="23"/>
        <w:rPr>
          <w:rFonts w:hint="eastAsia" w:ascii="仿宋" w:hAnsi="仿宋" w:eastAsia="仿宋" w:cs="仿宋"/>
          <w:color w:val="auto"/>
          <w:highlight w:val="none"/>
        </w:rPr>
      </w:pPr>
      <w:r>
        <w:rPr>
          <w:rFonts w:hint="eastAsia" w:ascii="仿宋" w:hAnsi="仿宋" w:eastAsia="仿宋" w:cs="仿宋"/>
          <w:color w:val="auto"/>
          <w:highlight w:val="none"/>
        </w:rPr>
        <w:t>1.2.7营业执照（或事业单位法人证书，或个体工商户营业执照或有效的自然人身份证明）复印件；</w:t>
      </w:r>
    </w:p>
    <w:p w14:paraId="29C71340">
      <w:pPr>
        <w:pStyle w:val="23"/>
        <w:rPr>
          <w:rFonts w:hint="eastAsia" w:ascii="仿宋" w:hAnsi="仿宋" w:eastAsia="仿宋" w:cs="仿宋"/>
          <w:color w:val="auto"/>
          <w:highlight w:val="none"/>
        </w:rPr>
      </w:pPr>
      <w:r>
        <w:rPr>
          <w:rFonts w:hint="eastAsia" w:ascii="仿宋" w:hAnsi="仿宋" w:eastAsia="仿宋" w:cs="仿宋"/>
          <w:color w:val="auto"/>
          <w:highlight w:val="none"/>
        </w:rPr>
        <w:t>1.2.8法定代表人授权委托书原件、法定代表人身份证复印件和其授权代表的身份证复印件（供应商为自然人的提供自然人身份证复印件）；</w:t>
      </w:r>
    </w:p>
    <w:p w14:paraId="553A37F2">
      <w:pPr>
        <w:pStyle w:val="23"/>
        <w:rPr>
          <w:rFonts w:hint="eastAsia" w:ascii="仿宋" w:hAnsi="仿宋" w:eastAsia="仿宋" w:cs="仿宋"/>
          <w:color w:val="auto"/>
          <w:highlight w:val="none"/>
        </w:rPr>
      </w:pPr>
      <w:r>
        <w:rPr>
          <w:rFonts w:hint="eastAsia" w:ascii="仿宋" w:hAnsi="仿宋" w:eastAsia="仿宋" w:cs="仿宋"/>
          <w:color w:val="auto"/>
          <w:highlight w:val="none"/>
        </w:rPr>
        <w:t>1.3供应商为自然人的，质疑函应当由本人签字；供应商为法人或者其他组织的，质疑函应当由法定代表人、主要负责人，或者其授权代表签字或者盖章，并加盖公章。</w:t>
      </w:r>
    </w:p>
    <w:p w14:paraId="35811382">
      <w:pPr>
        <w:pStyle w:val="23"/>
        <w:rPr>
          <w:rFonts w:hint="eastAsia" w:ascii="仿宋" w:hAnsi="仿宋" w:eastAsia="仿宋" w:cs="仿宋"/>
          <w:color w:val="auto"/>
          <w:highlight w:val="none"/>
        </w:rPr>
      </w:pPr>
      <w:r>
        <w:rPr>
          <w:rFonts w:hint="eastAsia" w:ascii="仿宋" w:hAnsi="仿宋" w:eastAsia="仿宋" w:cs="仿宋"/>
          <w:color w:val="auto"/>
          <w:highlight w:val="none"/>
        </w:rPr>
        <w:t>2.质疑答复</w:t>
      </w:r>
    </w:p>
    <w:p w14:paraId="33D63ED7">
      <w:pPr>
        <w:pStyle w:val="23"/>
        <w:rPr>
          <w:rFonts w:hint="eastAsia" w:ascii="仿宋" w:hAnsi="仿宋" w:eastAsia="仿宋" w:cs="仿宋"/>
          <w:color w:val="auto"/>
          <w:highlight w:val="none"/>
        </w:rPr>
      </w:pPr>
      <w:r>
        <w:rPr>
          <w:rFonts w:hint="eastAsia" w:ascii="仿宋" w:hAnsi="仿宋" w:eastAsia="仿宋" w:cs="仿宋"/>
          <w:color w:val="auto"/>
          <w:highlight w:val="none"/>
        </w:rPr>
        <w:t>采购人、采购代理机构应当在收到供应商的书面质疑后2个工作日内作出答复，并以书面形式通知质疑供应商和其他有关供应商。</w:t>
      </w:r>
    </w:p>
    <w:p w14:paraId="3D358510">
      <w:pPr>
        <w:pStyle w:val="23"/>
        <w:rPr>
          <w:rFonts w:hint="eastAsia" w:ascii="仿宋" w:hAnsi="仿宋" w:eastAsia="仿宋" w:cs="仿宋"/>
          <w:color w:val="auto"/>
          <w:highlight w:val="none"/>
        </w:rPr>
      </w:pPr>
      <w:r>
        <w:rPr>
          <w:rFonts w:hint="eastAsia" w:ascii="仿宋" w:hAnsi="仿宋" w:eastAsia="仿宋" w:cs="仿宋"/>
          <w:color w:val="auto"/>
          <w:highlight w:val="none"/>
        </w:rPr>
        <w:t>3.其他</w:t>
      </w:r>
    </w:p>
    <w:p w14:paraId="493E912D">
      <w:pPr>
        <w:pStyle w:val="23"/>
        <w:rPr>
          <w:rFonts w:hint="eastAsia" w:ascii="仿宋" w:hAnsi="仿宋" w:eastAsia="仿宋" w:cs="仿宋"/>
          <w:color w:val="auto"/>
          <w:highlight w:val="none"/>
        </w:rPr>
      </w:pPr>
      <w:r>
        <w:rPr>
          <w:rFonts w:hint="eastAsia" w:ascii="仿宋" w:hAnsi="仿宋" w:eastAsia="仿宋" w:cs="仿宋"/>
          <w:color w:val="auto"/>
          <w:highlight w:val="none"/>
        </w:rPr>
        <w:t>（如有）</w:t>
      </w:r>
    </w:p>
    <w:p w14:paraId="00544770">
      <w:pPr>
        <w:pStyle w:val="23"/>
        <w:rPr>
          <w:rFonts w:hint="eastAsia" w:ascii="仿宋" w:hAnsi="仿宋" w:eastAsia="仿宋" w:cs="仿宋"/>
          <w:color w:val="auto"/>
          <w:highlight w:val="none"/>
        </w:rPr>
      </w:pPr>
      <w:r>
        <w:rPr>
          <w:rFonts w:hint="eastAsia" w:ascii="仿宋" w:hAnsi="仿宋" w:eastAsia="仿宋" w:cs="仿宋"/>
          <w:color w:val="auto"/>
          <w:highlight w:val="none"/>
        </w:rPr>
        <w:t>（二）投诉</w:t>
      </w:r>
    </w:p>
    <w:p w14:paraId="3C45503B">
      <w:pPr>
        <w:pStyle w:val="23"/>
        <w:rPr>
          <w:rFonts w:hint="eastAsia" w:ascii="仿宋" w:hAnsi="仿宋" w:eastAsia="仿宋" w:cs="仿宋"/>
          <w:color w:val="auto"/>
          <w:highlight w:val="none"/>
        </w:rPr>
      </w:pPr>
      <w:r>
        <w:rPr>
          <w:rFonts w:hint="eastAsia" w:ascii="仿宋" w:hAnsi="仿宋" w:eastAsia="仿宋" w:cs="仿宋"/>
          <w:color w:val="auto"/>
          <w:highlight w:val="none"/>
        </w:rPr>
        <w:t>1.供应商对采购人、采购代理机构的答复不满意，或者采购人、采购代理机构未在规定时间内作出答复的，可以在答复期满后2个工作日内向璧山国资中心提起投诉。</w:t>
      </w:r>
    </w:p>
    <w:p w14:paraId="4A23B848">
      <w:pPr>
        <w:pStyle w:val="23"/>
        <w:rPr>
          <w:rFonts w:hint="eastAsia" w:ascii="仿宋" w:hAnsi="仿宋" w:eastAsia="仿宋" w:cs="仿宋"/>
          <w:color w:val="auto"/>
          <w:highlight w:val="none"/>
        </w:rPr>
      </w:pPr>
      <w:r>
        <w:rPr>
          <w:rFonts w:hint="eastAsia" w:ascii="仿宋" w:hAnsi="仿宋" w:eastAsia="仿宋" w:cs="仿宋"/>
          <w:color w:val="auto"/>
          <w:highlight w:val="none"/>
        </w:rPr>
        <w:t>2.在确定受理投诉后，璧山国资中心7个工作日内（需要检验、检测、鉴定、专家评审以及需要投诉人补正材料的，所需时间不计算在投诉处理期限内）对投诉事项做出处理决定。</w:t>
      </w:r>
    </w:p>
    <w:p w14:paraId="57618A01">
      <w:pPr>
        <w:pStyle w:val="3"/>
        <w:spacing w:line="240" w:lineRule="auto"/>
        <w:ind w:firstLine="643"/>
        <w:rPr>
          <w:rFonts w:hint="eastAsia" w:ascii="仿宋" w:hAnsi="仿宋" w:eastAsia="仿宋" w:cs="仿宋"/>
          <w:color w:val="auto"/>
          <w:highlight w:val="none"/>
        </w:rPr>
      </w:pPr>
      <w:bookmarkStart w:id="155" w:name="_Toc106030899"/>
      <w:bookmarkStart w:id="156" w:name="_Toc183783155"/>
      <w:bookmarkStart w:id="157" w:name="_Toc76462344"/>
      <w:r>
        <w:rPr>
          <w:rFonts w:hint="eastAsia" w:ascii="仿宋" w:hAnsi="仿宋" w:eastAsia="仿宋" w:cs="仿宋"/>
          <w:color w:val="auto"/>
          <w:highlight w:val="none"/>
        </w:rPr>
        <w:t>七、采购代理服务费</w:t>
      </w:r>
      <w:bookmarkEnd w:id="155"/>
      <w:bookmarkEnd w:id="156"/>
      <w:bookmarkEnd w:id="157"/>
    </w:p>
    <w:p w14:paraId="75242B88">
      <w:pPr>
        <w:pStyle w:val="23"/>
        <w:rPr>
          <w:rFonts w:hint="eastAsia" w:ascii="仿宋" w:hAnsi="仿宋" w:eastAsia="仿宋" w:cs="仿宋"/>
          <w:color w:val="auto"/>
          <w:highlight w:val="none"/>
        </w:rPr>
      </w:pPr>
      <w:bookmarkStart w:id="158" w:name="OLE_LINK8"/>
      <w:bookmarkStart w:id="159" w:name="OLE_LINK7"/>
      <w:r>
        <w:rPr>
          <w:rFonts w:hint="eastAsia" w:ascii="仿宋" w:hAnsi="仿宋" w:eastAsia="仿宋" w:cs="仿宋"/>
          <w:color w:val="auto"/>
          <w:highlight w:val="none"/>
        </w:rPr>
        <w:t>（一）供应商中标后向采购代理机构缴纳采购代理服务费，本次采购代理服务费</w:t>
      </w:r>
      <w:bookmarkEnd w:id="158"/>
      <w:bookmarkEnd w:id="159"/>
      <w:r>
        <w:rPr>
          <w:rFonts w:hint="eastAsia" w:ascii="仿宋" w:hAnsi="仿宋" w:eastAsia="仿宋" w:cs="仿宋"/>
          <w:color w:val="auto"/>
          <w:highlight w:val="none"/>
        </w:rPr>
        <w:t>为</w:t>
      </w:r>
      <w:r>
        <w:rPr>
          <w:rFonts w:hint="eastAsia" w:ascii="仿宋" w:hAnsi="仿宋" w:eastAsia="仿宋" w:cs="仿宋"/>
          <w:color w:val="auto"/>
          <w:highlight w:val="none"/>
          <w:lang w:val="en-US" w:eastAsia="zh-CN"/>
        </w:rPr>
        <w:t>9000</w:t>
      </w:r>
      <w:r>
        <w:rPr>
          <w:rFonts w:hint="eastAsia" w:ascii="仿宋" w:hAnsi="仿宋" w:eastAsia="仿宋" w:cs="仿宋"/>
          <w:color w:val="auto"/>
          <w:highlight w:val="none"/>
        </w:rPr>
        <w:t>元。</w:t>
      </w:r>
    </w:p>
    <w:p w14:paraId="34E6ACFD">
      <w:pPr>
        <w:pStyle w:val="23"/>
        <w:rPr>
          <w:rFonts w:hint="eastAsia" w:ascii="仿宋" w:hAnsi="仿宋" w:eastAsia="仿宋" w:cs="仿宋"/>
          <w:color w:val="auto"/>
          <w:highlight w:val="none"/>
        </w:rPr>
      </w:pPr>
      <w:r>
        <w:rPr>
          <w:rFonts w:hint="eastAsia" w:ascii="仿宋" w:hAnsi="仿宋" w:eastAsia="仿宋" w:cs="仿宋"/>
          <w:color w:val="auto"/>
          <w:highlight w:val="none"/>
        </w:rPr>
        <w:t>采购代理服务费指定收款账户信息：</w:t>
      </w:r>
    </w:p>
    <w:p w14:paraId="108728D3">
      <w:pPr>
        <w:pStyle w:val="23"/>
        <w:rPr>
          <w:rFonts w:hint="eastAsia" w:ascii="仿宋" w:hAnsi="仿宋" w:eastAsia="仿宋" w:cs="仿宋"/>
          <w:color w:val="auto"/>
          <w:highlight w:val="none"/>
          <w:lang w:eastAsia="zh-CN"/>
        </w:rPr>
      </w:pPr>
      <w:r>
        <w:rPr>
          <w:rFonts w:hint="eastAsia" w:ascii="仿宋" w:hAnsi="仿宋" w:eastAsia="仿宋" w:cs="仿宋"/>
          <w:color w:val="auto"/>
          <w:highlight w:val="none"/>
        </w:rPr>
        <w:t>户名：</w:t>
      </w:r>
      <w:r>
        <w:rPr>
          <w:rFonts w:hint="eastAsia" w:ascii="仿宋" w:hAnsi="仿宋" w:eastAsia="仿宋" w:cs="仿宋"/>
          <w:color w:val="auto"/>
          <w:highlight w:val="none"/>
          <w:lang w:eastAsia="zh-CN"/>
        </w:rPr>
        <w:t>重庆标友工程管理咨询有限公司</w:t>
      </w:r>
    </w:p>
    <w:p w14:paraId="2C35E1FF">
      <w:pPr>
        <w:pStyle w:val="23"/>
        <w:rPr>
          <w:rFonts w:hint="eastAsia" w:ascii="仿宋" w:hAnsi="仿宋" w:eastAsia="仿宋" w:cs="仿宋"/>
          <w:color w:val="auto"/>
          <w:highlight w:val="none"/>
        </w:rPr>
      </w:pPr>
      <w:r>
        <w:rPr>
          <w:rFonts w:hint="eastAsia" w:ascii="仿宋" w:hAnsi="仿宋" w:eastAsia="仿宋" w:cs="仿宋"/>
          <w:color w:val="auto"/>
          <w:highlight w:val="none"/>
        </w:rPr>
        <w:t>开户银行：交通银行股份有限公司重庆大坪支行</w:t>
      </w:r>
    </w:p>
    <w:p w14:paraId="53F83F20">
      <w:pPr>
        <w:pStyle w:val="23"/>
        <w:rPr>
          <w:rFonts w:hint="eastAsia" w:ascii="仿宋" w:hAnsi="仿宋" w:eastAsia="仿宋" w:cs="仿宋"/>
          <w:color w:val="auto"/>
          <w:highlight w:val="none"/>
        </w:rPr>
      </w:pPr>
      <w:r>
        <w:rPr>
          <w:rFonts w:hint="eastAsia" w:ascii="仿宋" w:hAnsi="仿宋" w:eastAsia="仿宋" w:cs="仿宋"/>
          <w:color w:val="auto"/>
          <w:highlight w:val="none"/>
        </w:rPr>
        <w:t>开户账号：500500106013001748296</w:t>
      </w:r>
    </w:p>
    <w:p w14:paraId="759A84A4">
      <w:pPr>
        <w:pStyle w:val="3"/>
        <w:spacing w:line="240" w:lineRule="auto"/>
        <w:ind w:firstLine="643"/>
        <w:rPr>
          <w:rFonts w:hint="eastAsia" w:ascii="仿宋" w:hAnsi="仿宋" w:eastAsia="仿宋" w:cs="仿宋"/>
          <w:color w:val="auto"/>
          <w:highlight w:val="none"/>
        </w:rPr>
      </w:pPr>
      <w:bookmarkStart w:id="160" w:name="_Toc102227322"/>
      <w:bookmarkStart w:id="161" w:name="_Toc342913396"/>
      <w:bookmarkStart w:id="162" w:name="_Toc76462346"/>
      <w:bookmarkStart w:id="163" w:name="_Toc183783156"/>
      <w:bookmarkStart w:id="164" w:name="_Toc106030901"/>
      <w:r>
        <w:rPr>
          <w:rFonts w:hint="eastAsia" w:ascii="仿宋" w:hAnsi="仿宋" w:eastAsia="仿宋" w:cs="仿宋"/>
          <w:color w:val="auto"/>
          <w:highlight w:val="none"/>
        </w:rPr>
        <w:t>八、签订</w:t>
      </w:r>
      <w:bookmarkEnd w:id="160"/>
      <w:r>
        <w:rPr>
          <w:rFonts w:hint="eastAsia" w:ascii="仿宋" w:hAnsi="仿宋" w:eastAsia="仿宋" w:cs="仿宋"/>
          <w:color w:val="auto"/>
          <w:highlight w:val="none"/>
        </w:rPr>
        <w:t>合同</w:t>
      </w:r>
      <w:bookmarkEnd w:id="161"/>
      <w:bookmarkEnd w:id="162"/>
      <w:bookmarkEnd w:id="163"/>
      <w:bookmarkEnd w:id="164"/>
    </w:p>
    <w:p w14:paraId="43DF757F">
      <w:pPr>
        <w:pStyle w:val="23"/>
        <w:rPr>
          <w:rFonts w:hint="eastAsia" w:ascii="仿宋" w:hAnsi="仿宋" w:eastAsia="仿宋" w:cs="仿宋"/>
          <w:color w:val="auto"/>
          <w:highlight w:val="none"/>
        </w:rPr>
      </w:pPr>
      <w:r>
        <w:rPr>
          <w:rFonts w:hint="eastAsia" w:ascii="仿宋" w:hAnsi="仿宋" w:eastAsia="仿宋" w:cs="仿宋"/>
          <w:color w:val="auto"/>
          <w:highlight w:val="none"/>
        </w:rPr>
        <w:t>（一）采购人原则上应在结果公告发出之日起</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个工作日内和成交供应商签订采购合同，无正当理由不得拒绝或拖延合同签订。所签订的合同不得对竞采文件和供应商的响应文件作实质性修改。其他未尽事宜由采购人和成交供应商在采购合同中详细约定。</w:t>
      </w:r>
    </w:p>
    <w:p w14:paraId="6EAB74F5">
      <w:pPr>
        <w:pStyle w:val="23"/>
        <w:rPr>
          <w:rFonts w:hint="eastAsia" w:ascii="仿宋" w:hAnsi="仿宋" w:eastAsia="仿宋" w:cs="仿宋"/>
          <w:color w:val="auto"/>
          <w:highlight w:val="none"/>
        </w:rPr>
      </w:pPr>
      <w:r>
        <w:rPr>
          <w:rFonts w:hint="eastAsia" w:ascii="仿宋" w:hAnsi="仿宋" w:eastAsia="仿宋" w:cs="仿宋"/>
          <w:color w:val="auto"/>
          <w:highlight w:val="none"/>
        </w:rPr>
        <w:t>（二）竞采文件、供应商的响应文件及澄清文件等，均为签订采购合同的依据。</w:t>
      </w:r>
    </w:p>
    <w:p w14:paraId="42B2C374">
      <w:pPr>
        <w:pStyle w:val="23"/>
        <w:rPr>
          <w:rFonts w:hint="eastAsia" w:ascii="仿宋" w:hAnsi="仿宋" w:eastAsia="仿宋" w:cs="仿宋"/>
          <w:color w:val="auto"/>
          <w:highlight w:val="none"/>
        </w:rPr>
      </w:pPr>
      <w:r>
        <w:rPr>
          <w:rFonts w:hint="eastAsia" w:ascii="仿宋" w:hAnsi="仿宋" w:eastAsia="仿宋" w:cs="仿宋"/>
          <w:color w:val="auto"/>
          <w:highlight w:val="none"/>
        </w:rPr>
        <w:t>（三）合同生效条款由供需双方约定，法律、行政法规规定应当办理批准、登记等手续后生效的合同，依照其规定。</w:t>
      </w:r>
    </w:p>
    <w:p w14:paraId="5F011B12">
      <w:pPr>
        <w:pStyle w:val="23"/>
        <w:rPr>
          <w:rFonts w:hint="eastAsia" w:ascii="仿宋" w:hAnsi="仿宋" w:eastAsia="仿宋" w:cs="仿宋"/>
          <w:color w:val="auto"/>
          <w:highlight w:val="none"/>
        </w:rPr>
      </w:pPr>
      <w:r>
        <w:rPr>
          <w:rFonts w:hint="eastAsia" w:ascii="仿宋" w:hAnsi="仿宋" w:eastAsia="仿宋" w:cs="仿宋"/>
          <w:color w:val="auto"/>
          <w:highlight w:val="none"/>
        </w:rPr>
        <w:t>（四）合同原则上应按照《璧山区国企采购合同》签订，相关单位要求适用合同通用格式版本的，应按其要求另行签订其他合同。</w:t>
      </w:r>
    </w:p>
    <w:p w14:paraId="48786AE3">
      <w:pPr>
        <w:pStyle w:val="3"/>
        <w:spacing w:line="240" w:lineRule="auto"/>
        <w:ind w:firstLine="643"/>
        <w:rPr>
          <w:rFonts w:hint="eastAsia" w:ascii="仿宋" w:hAnsi="仿宋" w:eastAsia="仿宋" w:cs="仿宋"/>
          <w:color w:val="auto"/>
          <w:highlight w:val="none"/>
        </w:rPr>
      </w:pPr>
      <w:bookmarkStart w:id="165" w:name="_Toc106030902"/>
      <w:bookmarkStart w:id="166" w:name="_Toc183783157"/>
      <w:r>
        <w:rPr>
          <w:rFonts w:hint="eastAsia" w:ascii="仿宋" w:hAnsi="仿宋" w:eastAsia="仿宋" w:cs="仿宋"/>
          <w:color w:val="auto"/>
          <w:highlight w:val="none"/>
        </w:rPr>
        <w:t>九、项目验收</w:t>
      </w:r>
      <w:bookmarkEnd w:id="165"/>
      <w:bookmarkEnd w:id="166"/>
    </w:p>
    <w:p w14:paraId="37B10D72">
      <w:pPr>
        <w:pStyle w:val="23"/>
        <w:rPr>
          <w:rFonts w:hint="eastAsia" w:ascii="仿宋" w:hAnsi="仿宋" w:eastAsia="仿宋" w:cs="仿宋"/>
          <w:color w:val="auto"/>
          <w:highlight w:val="none"/>
        </w:rPr>
      </w:pPr>
      <w:r>
        <w:rPr>
          <w:rFonts w:hint="eastAsia" w:ascii="仿宋" w:hAnsi="仿宋" w:eastAsia="仿宋" w:cs="仿宋"/>
          <w:color w:val="auto"/>
          <w:highlight w:val="none"/>
        </w:rPr>
        <w:t>合同执行完毕，采购人或采购代理机构原则上应在5个工作日内组织履约情况验收，不得无故拖延或附加额外条件。</w:t>
      </w:r>
    </w:p>
    <w:p w14:paraId="51D0F66E">
      <w:pPr>
        <w:pStyle w:val="23"/>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C79AD22">
      <w:pPr>
        <w:pStyle w:val="2"/>
        <w:spacing w:line="240" w:lineRule="auto"/>
        <w:ind w:firstLine="883"/>
        <w:jc w:val="center"/>
        <w:rPr>
          <w:rFonts w:hint="eastAsia" w:ascii="仿宋" w:hAnsi="仿宋" w:eastAsia="仿宋" w:cs="仿宋"/>
          <w:color w:val="auto"/>
          <w:highlight w:val="none"/>
        </w:rPr>
      </w:pPr>
      <w:bookmarkStart w:id="167" w:name="_Toc109836391"/>
      <w:bookmarkStart w:id="168" w:name="_Toc183783158"/>
      <w:r>
        <w:rPr>
          <w:rFonts w:hint="eastAsia" w:ascii="仿宋" w:hAnsi="仿宋" w:eastAsia="仿宋" w:cs="仿宋"/>
          <w:color w:val="auto"/>
          <w:highlight w:val="none"/>
        </w:rPr>
        <w:t>第六篇  网上竞采合同</w:t>
      </w:r>
      <w:bookmarkEnd w:id="167"/>
      <w:r>
        <w:rPr>
          <w:rFonts w:hint="eastAsia" w:ascii="仿宋" w:hAnsi="仿宋" w:eastAsia="仿宋" w:cs="仿宋"/>
          <w:color w:val="auto"/>
          <w:highlight w:val="none"/>
        </w:rPr>
        <w:t>（格式）</w:t>
      </w:r>
      <w:bookmarkEnd w:id="168"/>
    </w:p>
    <w:p w14:paraId="0A9E5432">
      <w:pPr>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璧山区国企采购合同</w:t>
      </w:r>
    </w:p>
    <w:p w14:paraId="6B461050">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（项目采购编号：     ）</w:t>
      </w:r>
    </w:p>
    <w:p w14:paraId="5CF49AA8">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甲方（需方）：___________________________</w:t>
      </w:r>
    </w:p>
    <w:p w14:paraId="4BFD7535">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乙方（供方）：___________________________</w:t>
      </w:r>
    </w:p>
    <w:p w14:paraId="4B266156">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经双方协商一致，达成以下购销合同：</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2518"/>
        <w:gridCol w:w="655"/>
        <w:gridCol w:w="109"/>
        <w:gridCol w:w="808"/>
        <w:gridCol w:w="1008"/>
        <w:gridCol w:w="1559"/>
        <w:gridCol w:w="1626"/>
        <w:gridCol w:w="15"/>
      </w:tblGrid>
      <w:tr w14:paraId="1B56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603FE2E6">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服务名称</w:t>
            </w:r>
          </w:p>
        </w:tc>
        <w:tc>
          <w:tcPr>
            <w:tcW w:w="2518" w:type="dxa"/>
            <w:vAlign w:val="center"/>
          </w:tcPr>
          <w:p w14:paraId="024126CD">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服务范围、标准及要求</w:t>
            </w:r>
          </w:p>
        </w:tc>
        <w:tc>
          <w:tcPr>
            <w:tcW w:w="764" w:type="dxa"/>
            <w:gridSpan w:val="2"/>
            <w:vAlign w:val="center"/>
          </w:tcPr>
          <w:p w14:paraId="4DCF58A6">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808" w:type="dxa"/>
            <w:vAlign w:val="center"/>
          </w:tcPr>
          <w:p w14:paraId="105BC2B0">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008" w:type="dxa"/>
            <w:vAlign w:val="center"/>
          </w:tcPr>
          <w:p w14:paraId="45C9121E">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1559" w:type="dxa"/>
            <w:vAlign w:val="center"/>
          </w:tcPr>
          <w:p w14:paraId="6049489F">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服务时间</w:t>
            </w:r>
          </w:p>
        </w:tc>
        <w:tc>
          <w:tcPr>
            <w:tcW w:w="1626" w:type="dxa"/>
            <w:vAlign w:val="center"/>
          </w:tcPr>
          <w:p w14:paraId="60396797">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服务地点</w:t>
            </w:r>
          </w:p>
        </w:tc>
      </w:tr>
      <w:tr w14:paraId="6EC8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CA88A32">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4D5D6898">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2B7D65F0">
            <w:pPr>
              <w:spacing w:line="240" w:lineRule="atLeast"/>
              <w:jc w:val="center"/>
              <w:rPr>
                <w:rFonts w:hint="eastAsia" w:ascii="仿宋" w:hAnsi="仿宋" w:eastAsia="仿宋" w:cs="仿宋"/>
                <w:color w:val="auto"/>
                <w:sz w:val="24"/>
                <w:szCs w:val="24"/>
                <w:highlight w:val="none"/>
              </w:rPr>
            </w:pPr>
          </w:p>
        </w:tc>
        <w:tc>
          <w:tcPr>
            <w:tcW w:w="808" w:type="dxa"/>
            <w:vAlign w:val="center"/>
          </w:tcPr>
          <w:p w14:paraId="384E470B">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4EC67985">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20324561">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10A4455F">
            <w:pPr>
              <w:spacing w:line="240" w:lineRule="atLeast"/>
              <w:jc w:val="center"/>
              <w:rPr>
                <w:rFonts w:hint="eastAsia" w:ascii="仿宋" w:hAnsi="仿宋" w:eastAsia="仿宋" w:cs="仿宋"/>
                <w:color w:val="auto"/>
                <w:sz w:val="24"/>
                <w:szCs w:val="24"/>
                <w:highlight w:val="none"/>
              </w:rPr>
            </w:pPr>
          </w:p>
        </w:tc>
      </w:tr>
      <w:tr w14:paraId="1A38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7EBC2E8">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6AD98CDA">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17F650E1">
            <w:pPr>
              <w:spacing w:line="240" w:lineRule="atLeast"/>
              <w:jc w:val="center"/>
              <w:rPr>
                <w:rFonts w:hint="eastAsia" w:ascii="仿宋" w:hAnsi="仿宋" w:eastAsia="仿宋" w:cs="仿宋"/>
                <w:color w:val="auto"/>
                <w:sz w:val="24"/>
                <w:szCs w:val="24"/>
                <w:highlight w:val="none"/>
              </w:rPr>
            </w:pPr>
          </w:p>
        </w:tc>
        <w:tc>
          <w:tcPr>
            <w:tcW w:w="808" w:type="dxa"/>
            <w:vAlign w:val="center"/>
          </w:tcPr>
          <w:p w14:paraId="3CCCE1DE">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60B1569A">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657284FE">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0C91EFD7">
            <w:pPr>
              <w:spacing w:line="240" w:lineRule="atLeast"/>
              <w:jc w:val="center"/>
              <w:rPr>
                <w:rFonts w:hint="eastAsia" w:ascii="仿宋" w:hAnsi="仿宋" w:eastAsia="仿宋" w:cs="仿宋"/>
                <w:color w:val="auto"/>
                <w:sz w:val="24"/>
                <w:szCs w:val="24"/>
                <w:highlight w:val="none"/>
              </w:rPr>
            </w:pPr>
          </w:p>
        </w:tc>
      </w:tr>
      <w:tr w14:paraId="794A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D673D13">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0598B5AE">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7D33FF9F">
            <w:pPr>
              <w:spacing w:line="240" w:lineRule="atLeast"/>
              <w:jc w:val="center"/>
              <w:rPr>
                <w:rFonts w:hint="eastAsia" w:ascii="仿宋" w:hAnsi="仿宋" w:eastAsia="仿宋" w:cs="仿宋"/>
                <w:color w:val="auto"/>
                <w:sz w:val="24"/>
                <w:szCs w:val="24"/>
                <w:highlight w:val="none"/>
              </w:rPr>
            </w:pPr>
          </w:p>
        </w:tc>
        <w:tc>
          <w:tcPr>
            <w:tcW w:w="808" w:type="dxa"/>
            <w:vAlign w:val="center"/>
          </w:tcPr>
          <w:p w14:paraId="5ED1FC9B">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22FC0A8A">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5708984D">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4270A478">
            <w:pPr>
              <w:spacing w:line="240" w:lineRule="atLeast"/>
              <w:jc w:val="center"/>
              <w:rPr>
                <w:rFonts w:hint="eastAsia" w:ascii="仿宋" w:hAnsi="仿宋" w:eastAsia="仿宋" w:cs="仿宋"/>
                <w:color w:val="auto"/>
                <w:sz w:val="24"/>
                <w:szCs w:val="24"/>
                <w:highlight w:val="none"/>
              </w:rPr>
            </w:pPr>
          </w:p>
        </w:tc>
      </w:tr>
      <w:tr w14:paraId="4DDA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4180320">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216541E3">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5729A62F">
            <w:pPr>
              <w:spacing w:line="240" w:lineRule="atLeast"/>
              <w:jc w:val="center"/>
              <w:rPr>
                <w:rFonts w:hint="eastAsia" w:ascii="仿宋" w:hAnsi="仿宋" w:eastAsia="仿宋" w:cs="仿宋"/>
                <w:color w:val="auto"/>
                <w:sz w:val="24"/>
                <w:szCs w:val="24"/>
                <w:highlight w:val="none"/>
              </w:rPr>
            </w:pPr>
          </w:p>
        </w:tc>
        <w:tc>
          <w:tcPr>
            <w:tcW w:w="808" w:type="dxa"/>
            <w:vAlign w:val="center"/>
          </w:tcPr>
          <w:p w14:paraId="36E4A0CC">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61796BAF">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7DDB43C0">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1909CCEA">
            <w:pPr>
              <w:spacing w:line="240" w:lineRule="atLeast"/>
              <w:jc w:val="center"/>
              <w:rPr>
                <w:rFonts w:hint="eastAsia" w:ascii="仿宋" w:hAnsi="仿宋" w:eastAsia="仿宋" w:cs="仿宋"/>
                <w:color w:val="auto"/>
                <w:sz w:val="24"/>
                <w:szCs w:val="24"/>
                <w:highlight w:val="none"/>
              </w:rPr>
            </w:pPr>
          </w:p>
        </w:tc>
      </w:tr>
      <w:tr w14:paraId="0BD4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8FDBE75">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2C7E03B6">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6B8866E5">
            <w:pPr>
              <w:spacing w:line="240" w:lineRule="atLeast"/>
              <w:jc w:val="center"/>
              <w:rPr>
                <w:rFonts w:hint="eastAsia" w:ascii="仿宋" w:hAnsi="仿宋" w:eastAsia="仿宋" w:cs="仿宋"/>
                <w:color w:val="auto"/>
                <w:sz w:val="24"/>
                <w:szCs w:val="24"/>
                <w:highlight w:val="none"/>
              </w:rPr>
            </w:pPr>
          </w:p>
        </w:tc>
        <w:tc>
          <w:tcPr>
            <w:tcW w:w="808" w:type="dxa"/>
            <w:vAlign w:val="center"/>
          </w:tcPr>
          <w:p w14:paraId="2BCB065F">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63E27C2E">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7E03806D">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004B277F">
            <w:pPr>
              <w:spacing w:line="240" w:lineRule="atLeast"/>
              <w:jc w:val="center"/>
              <w:rPr>
                <w:rFonts w:hint="eastAsia" w:ascii="仿宋" w:hAnsi="仿宋" w:eastAsia="仿宋" w:cs="仿宋"/>
                <w:color w:val="auto"/>
                <w:sz w:val="24"/>
                <w:szCs w:val="24"/>
                <w:highlight w:val="none"/>
              </w:rPr>
            </w:pPr>
          </w:p>
        </w:tc>
      </w:tr>
      <w:tr w14:paraId="21B7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B821F95">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5CFD9D4F">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37C6D044">
            <w:pPr>
              <w:spacing w:line="240" w:lineRule="atLeast"/>
              <w:jc w:val="center"/>
              <w:rPr>
                <w:rFonts w:hint="eastAsia" w:ascii="仿宋" w:hAnsi="仿宋" w:eastAsia="仿宋" w:cs="仿宋"/>
                <w:color w:val="auto"/>
                <w:sz w:val="24"/>
                <w:szCs w:val="24"/>
                <w:highlight w:val="none"/>
              </w:rPr>
            </w:pPr>
          </w:p>
        </w:tc>
        <w:tc>
          <w:tcPr>
            <w:tcW w:w="808" w:type="dxa"/>
            <w:vAlign w:val="center"/>
          </w:tcPr>
          <w:p w14:paraId="562FD19A">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79DFC37D">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6CFAB4D1">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10C77192">
            <w:pPr>
              <w:spacing w:line="240" w:lineRule="atLeast"/>
              <w:jc w:val="center"/>
              <w:rPr>
                <w:rFonts w:hint="eastAsia" w:ascii="仿宋" w:hAnsi="仿宋" w:eastAsia="仿宋" w:cs="仿宋"/>
                <w:color w:val="auto"/>
                <w:sz w:val="24"/>
                <w:szCs w:val="24"/>
                <w:highlight w:val="none"/>
              </w:rPr>
            </w:pPr>
          </w:p>
        </w:tc>
      </w:tr>
      <w:tr w14:paraId="05B3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C11ED96">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0E2E59B8">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5B24A990">
            <w:pPr>
              <w:spacing w:line="240" w:lineRule="atLeast"/>
              <w:jc w:val="center"/>
              <w:rPr>
                <w:rFonts w:hint="eastAsia" w:ascii="仿宋" w:hAnsi="仿宋" w:eastAsia="仿宋" w:cs="仿宋"/>
                <w:color w:val="auto"/>
                <w:sz w:val="24"/>
                <w:szCs w:val="24"/>
                <w:highlight w:val="none"/>
              </w:rPr>
            </w:pPr>
          </w:p>
        </w:tc>
        <w:tc>
          <w:tcPr>
            <w:tcW w:w="808" w:type="dxa"/>
            <w:vAlign w:val="center"/>
          </w:tcPr>
          <w:p w14:paraId="09DD1FE2">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7977F813">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4B299AF6">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2171A284">
            <w:pPr>
              <w:spacing w:line="240" w:lineRule="atLeast"/>
              <w:jc w:val="center"/>
              <w:rPr>
                <w:rFonts w:hint="eastAsia" w:ascii="仿宋" w:hAnsi="仿宋" w:eastAsia="仿宋" w:cs="仿宋"/>
                <w:color w:val="auto"/>
                <w:sz w:val="24"/>
                <w:szCs w:val="24"/>
                <w:highlight w:val="none"/>
              </w:rPr>
            </w:pPr>
          </w:p>
        </w:tc>
      </w:tr>
      <w:tr w14:paraId="2CBD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3306BC6">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2BBB141F">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08A0FEFC">
            <w:pPr>
              <w:spacing w:line="240" w:lineRule="atLeast"/>
              <w:jc w:val="center"/>
              <w:rPr>
                <w:rFonts w:hint="eastAsia" w:ascii="仿宋" w:hAnsi="仿宋" w:eastAsia="仿宋" w:cs="仿宋"/>
                <w:color w:val="auto"/>
                <w:sz w:val="24"/>
                <w:szCs w:val="24"/>
                <w:highlight w:val="none"/>
              </w:rPr>
            </w:pPr>
          </w:p>
        </w:tc>
        <w:tc>
          <w:tcPr>
            <w:tcW w:w="808" w:type="dxa"/>
            <w:vAlign w:val="center"/>
          </w:tcPr>
          <w:p w14:paraId="63DE0971">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499E3880">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5853CD3F">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0FBA83D5">
            <w:pPr>
              <w:spacing w:line="240" w:lineRule="atLeast"/>
              <w:jc w:val="center"/>
              <w:rPr>
                <w:rFonts w:hint="eastAsia" w:ascii="仿宋" w:hAnsi="仿宋" w:eastAsia="仿宋" w:cs="仿宋"/>
                <w:color w:val="auto"/>
                <w:sz w:val="24"/>
                <w:szCs w:val="24"/>
                <w:highlight w:val="none"/>
              </w:rPr>
            </w:pPr>
          </w:p>
        </w:tc>
      </w:tr>
      <w:tr w14:paraId="041B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19F63377">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合计人民币（小写）：</w:t>
            </w:r>
          </w:p>
        </w:tc>
      </w:tr>
      <w:tr w14:paraId="7E5C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4C10FD69">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合计人民币（大写）：</w:t>
            </w:r>
          </w:p>
        </w:tc>
      </w:tr>
      <w:tr w14:paraId="23C4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077" w:hRule="atLeast"/>
        </w:trPr>
        <w:tc>
          <w:tcPr>
            <w:tcW w:w="9613" w:type="dxa"/>
            <w:gridSpan w:val="8"/>
          </w:tcPr>
          <w:p w14:paraId="5505D711">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一、质量要求和技术标准。</w:t>
            </w:r>
          </w:p>
        </w:tc>
      </w:tr>
      <w:tr w14:paraId="4388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628" w:type="dxa"/>
            <w:gridSpan w:val="9"/>
          </w:tcPr>
          <w:p w14:paraId="403472DD">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二、验收标准、方法：</w:t>
            </w:r>
          </w:p>
          <w:p w14:paraId="453F321F">
            <w:pPr>
              <w:spacing w:line="240" w:lineRule="atLeast"/>
              <w:rPr>
                <w:rFonts w:hint="eastAsia" w:ascii="仿宋" w:hAnsi="仿宋" w:eastAsia="仿宋" w:cs="仿宋"/>
                <w:color w:val="auto"/>
                <w:sz w:val="24"/>
                <w:szCs w:val="24"/>
                <w:highlight w:val="none"/>
              </w:rPr>
            </w:pPr>
          </w:p>
        </w:tc>
      </w:tr>
      <w:tr w14:paraId="64FB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628" w:type="dxa"/>
            <w:gridSpan w:val="9"/>
          </w:tcPr>
          <w:p w14:paraId="55031BA3">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三、付款方式：</w:t>
            </w:r>
          </w:p>
        </w:tc>
      </w:tr>
      <w:tr w14:paraId="7E40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1B2CF981">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四、违约责任：</w:t>
            </w:r>
          </w:p>
          <w:p w14:paraId="256B584C">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按《中华人民共和国民法典》、《中华人民共和国政府采购法》执行，或按双方约定。</w:t>
            </w:r>
          </w:p>
        </w:tc>
      </w:tr>
      <w:tr w14:paraId="5880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45BEE53B">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五、其他约定事项：</w:t>
            </w:r>
          </w:p>
          <w:p w14:paraId="18277EEB">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1.招标文件及其澄清文件、投标文件和承诺是本合同不可分割的部分。</w:t>
            </w:r>
          </w:p>
          <w:p w14:paraId="2D2F6A1B">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2.本合同如发生争议由双方协商解决，协商不成向需方所在地仲裁机构提请仲裁。</w:t>
            </w:r>
          </w:p>
          <w:p w14:paraId="4750CA16">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3.本合同一式__份， 需方__份，供方__份，具备同等法律效力。</w:t>
            </w:r>
          </w:p>
          <w:p w14:paraId="05E376C1">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w:t>
            </w:r>
          </w:p>
        </w:tc>
      </w:tr>
      <w:tr w14:paraId="6938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008EC7A0">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需方：</w:t>
            </w:r>
          </w:p>
          <w:p w14:paraId="15800059">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0539421A">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16C07C9B">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p>
        </w:tc>
        <w:tc>
          <w:tcPr>
            <w:tcW w:w="5125" w:type="dxa"/>
            <w:gridSpan w:val="6"/>
          </w:tcPr>
          <w:p w14:paraId="7D47FB84">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供方：</w:t>
            </w:r>
          </w:p>
          <w:p w14:paraId="7ABB6B49">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229F5D68">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6CEDB92D">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p w14:paraId="4B071B0C">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14:paraId="1629CF07">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p w14:paraId="0BA91745">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p>
          <w:p w14:paraId="1DB20E0E">
            <w:pPr>
              <w:widowControl/>
              <w:spacing w:line="24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（本栏请用计算机打印以便于准确付款）</w:t>
            </w:r>
          </w:p>
        </w:tc>
      </w:tr>
      <w:tr w14:paraId="21F1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628" w:type="dxa"/>
            <w:gridSpan w:val="9"/>
          </w:tcPr>
          <w:p w14:paraId="4F298481">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bl>
    <w:p w14:paraId="23E3324D">
      <w:pPr>
        <w:spacing w:line="440" w:lineRule="exact"/>
        <w:rPr>
          <w:rFonts w:hint="eastAsia" w:ascii="仿宋" w:hAnsi="仿宋" w:eastAsia="仿宋" w:cs="仿宋"/>
          <w:color w:val="auto"/>
          <w:sz w:val="24"/>
          <w:highlight w:val="none"/>
        </w:rPr>
      </w:pPr>
    </w:p>
    <w:p w14:paraId="2E5B8EC3">
      <w:pPr>
        <w:pStyle w:val="23"/>
        <w:ind w:firstLine="480"/>
        <w:rPr>
          <w:rFonts w:hint="eastAsia" w:ascii="仿宋" w:hAnsi="仿宋" w:eastAsia="仿宋" w:cs="仿宋"/>
          <w:color w:val="auto"/>
          <w:highlight w:val="none"/>
        </w:rPr>
      </w:pPr>
      <w:r>
        <w:rPr>
          <w:rFonts w:hint="eastAsia" w:ascii="仿宋" w:hAnsi="仿宋" w:eastAsia="仿宋" w:cs="仿宋"/>
          <w:color w:val="auto"/>
          <w:highlight w:val="none"/>
        </w:rPr>
        <w:t>签约时间：           年   月   日         签约地点：</w:t>
      </w:r>
    </w:p>
    <w:p w14:paraId="319E88F8">
      <w:pPr>
        <w:spacing w:line="360" w:lineRule="auto"/>
        <w:ind w:firstLine="5040" w:firstLineChars="1800"/>
        <w:rPr>
          <w:rFonts w:hint="eastAsia" w:ascii="仿宋" w:hAnsi="仿宋" w:eastAsia="仿宋" w:cs="仿宋"/>
          <w:color w:val="auto"/>
          <w:szCs w:val="28"/>
          <w:highlight w:val="none"/>
        </w:rPr>
      </w:pPr>
    </w:p>
    <w:p w14:paraId="57C8EB5B">
      <w:pPr>
        <w:rPr>
          <w:rFonts w:hint="eastAsia" w:ascii="仿宋" w:hAnsi="仿宋" w:eastAsia="仿宋" w:cs="仿宋"/>
          <w:color w:val="auto"/>
          <w:highlight w:val="none"/>
        </w:rPr>
      </w:pPr>
    </w:p>
    <w:p w14:paraId="51F9D408">
      <w:pPr>
        <w:rPr>
          <w:rFonts w:hint="eastAsia" w:ascii="仿宋" w:hAnsi="仿宋" w:eastAsia="仿宋" w:cs="仿宋"/>
          <w:color w:val="auto"/>
          <w:highlight w:val="none"/>
        </w:rPr>
      </w:pPr>
    </w:p>
    <w:p w14:paraId="67183B7E">
      <w:pPr>
        <w:widowControl/>
        <w:jc w:val="left"/>
        <w:rPr>
          <w:rFonts w:hint="eastAsia" w:ascii="仿宋" w:hAnsi="仿宋" w:eastAsia="仿宋" w:cs="仿宋"/>
          <w:color w:val="auto"/>
          <w:kern w:val="0"/>
          <w:sz w:val="24"/>
          <w:szCs w:val="28"/>
          <w:highlight w:val="none"/>
        </w:rPr>
      </w:pPr>
    </w:p>
    <w:p w14:paraId="57DADE95">
      <w:pPr>
        <w:pStyle w:val="23"/>
        <w:rPr>
          <w:rFonts w:hint="eastAsia" w:ascii="仿宋" w:hAnsi="仿宋" w:eastAsia="仿宋" w:cs="仿宋"/>
          <w:color w:val="auto"/>
          <w:highlight w:val="none"/>
        </w:rPr>
      </w:pPr>
    </w:p>
    <w:p w14:paraId="1C7D1999">
      <w:pPr>
        <w:widowControl/>
        <w:jc w:val="left"/>
        <w:rPr>
          <w:rFonts w:hint="eastAsia" w:ascii="仿宋" w:hAnsi="仿宋" w:eastAsia="仿宋" w:cs="仿宋"/>
          <w:b/>
          <w:color w:val="auto"/>
          <w:kern w:val="44"/>
          <w:sz w:val="44"/>
          <w:highlight w:val="none"/>
        </w:rPr>
      </w:pPr>
      <w:bookmarkStart w:id="169" w:name="_Toc183783159"/>
      <w:bookmarkStart w:id="170" w:name="_Toc10837"/>
      <w:r>
        <w:rPr>
          <w:rFonts w:hint="eastAsia" w:ascii="仿宋" w:hAnsi="仿宋" w:eastAsia="仿宋" w:cs="仿宋"/>
          <w:color w:val="auto"/>
          <w:highlight w:val="none"/>
        </w:rPr>
        <w:br w:type="page"/>
      </w:r>
    </w:p>
    <w:p w14:paraId="47975080">
      <w:pPr>
        <w:pStyle w:val="2"/>
        <w:spacing w:line="240" w:lineRule="auto"/>
        <w:ind w:firstLine="883"/>
        <w:jc w:val="center"/>
        <w:rPr>
          <w:rFonts w:hint="eastAsia" w:ascii="仿宋" w:hAnsi="仿宋" w:eastAsia="仿宋" w:cs="仿宋"/>
          <w:color w:val="auto"/>
          <w:highlight w:val="none"/>
        </w:rPr>
      </w:pPr>
      <w:r>
        <w:rPr>
          <w:rFonts w:hint="eastAsia" w:ascii="仿宋" w:hAnsi="仿宋" w:eastAsia="仿宋" w:cs="仿宋"/>
          <w:color w:val="auto"/>
          <w:highlight w:val="none"/>
        </w:rPr>
        <w:t>第七篇  响应文件编制要求</w:t>
      </w:r>
      <w:bookmarkEnd w:id="169"/>
      <w:bookmarkEnd w:id="170"/>
    </w:p>
    <w:p w14:paraId="12F81738">
      <w:pP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一、经济部分</w:t>
      </w:r>
    </w:p>
    <w:p w14:paraId="529F7537">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14:paraId="4F0DCFAC">
      <w:pPr>
        <w:pStyle w:val="6"/>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报价明细清单</w:t>
      </w:r>
    </w:p>
    <w:p w14:paraId="7A45FA41">
      <w:pP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二、服务部分</w:t>
      </w:r>
    </w:p>
    <w:p w14:paraId="699E9030">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8"/>
          <w:highlight w:val="none"/>
        </w:rPr>
        <w:t>服务要求应答</w:t>
      </w:r>
    </w:p>
    <w:p w14:paraId="5CCFD66C">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8"/>
          <w:highlight w:val="none"/>
        </w:rPr>
        <w:t>服务响应偏离表</w:t>
      </w:r>
    </w:p>
    <w:p w14:paraId="2C61E3B3">
      <w:pP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三、商务文件</w:t>
      </w:r>
    </w:p>
    <w:p w14:paraId="42691B2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（一）服务要求响应情况：服务时间、服务地点、质量保证、售后服务条款等。</w:t>
      </w:r>
    </w:p>
    <w:p w14:paraId="55445C52">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3A96A0D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（二）其它优惠承诺</w:t>
      </w:r>
    </w:p>
    <w:p w14:paraId="3FA6076A">
      <w:pP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四、资格证明文件</w:t>
      </w:r>
    </w:p>
    <w:p w14:paraId="5F775223">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7F96E061">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（二）法定代表人身份证明书（格式）</w:t>
      </w:r>
    </w:p>
    <w:p w14:paraId="5A2AD702">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（三）法定代表人授权委托书（格式）</w:t>
      </w:r>
    </w:p>
    <w:p w14:paraId="3887459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（四）基本资格条件承诺函（格式）</w:t>
      </w:r>
    </w:p>
    <w:p w14:paraId="34290EB2">
      <w:pPr>
        <w:snapToGrid w:val="0"/>
        <w:ind w:firstLine="480" w:firstLineChars="200"/>
        <w:rPr>
          <w:rFonts w:hint="eastAsia" w:ascii="仿宋" w:hAnsi="仿宋" w:eastAsia="仿宋" w:cs="仿宋"/>
          <w:color w:val="auto"/>
          <w:sz w:val="24"/>
          <w:szCs w:val="24"/>
          <w:highlight w:val="none"/>
        </w:rPr>
        <w:sectPr>
          <w:footerReference r:id="rId3" w:type="default"/>
          <w:pgSz w:w="11907" w:h="16840"/>
          <w:pgMar w:top="1134" w:right="1023" w:bottom="1134" w:left="1064" w:header="851" w:footer="992" w:gutter="0"/>
          <w:pgNumType w:fmt="numberInDash"/>
          <w:cols w:space="720" w:num="1"/>
          <w:docGrid w:linePitch="380" w:charSpace="-5735"/>
        </w:sectPr>
      </w:pPr>
      <w:r>
        <w:rPr>
          <w:rFonts w:hint="eastAsia" w:ascii="仿宋" w:hAnsi="仿宋" w:eastAsia="仿宋" w:cs="仿宋"/>
          <w:color w:val="auto"/>
          <w:sz w:val="24"/>
          <w:szCs w:val="24"/>
          <w:highlight w:val="none"/>
        </w:rPr>
        <w:t>（五）特定资格条件证书或证明</w:t>
      </w:r>
    </w:p>
    <w:p w14:paraId="2DDA4131">
      <w:pPr>
        <w:pStyle w:val="3"/>
        <w:spacing w:line="240" w:lineRule="auto"/>
        <w:ind w:firstLine="643"/>
        <w:rPr>
          <w:rFonts w:hint="eastAsia" w:ascii="仿宋" w:hAnsi="仿宋" w:eastAsia="仿宋" w:cs="仿宋"/>
          <w:color w:val="auto"/>
          <w:highlight w:val="none"/>
        </w:rPr>
      </w:pPr>
      <w:bookmarkStart w:id="171" w:name="_Toc183783160"/>
      <w:r>
        <w:rPr>
          <w:rFonts w:hint="eastAsia" w:ascii="仿宋" w:hAnsi="仿宋" w:eastAsia="仿宋" w:cs="仿宋"/>
          <w:color w:val="auto"/>
          <w:highlight w:val="none"/>
        </w:rPr>
        <w:t>一、经济部分</w:t>
      </w:r>
      <w:bookmarkEnd w:id="171"/>
    </w:p>
    <w:p w14:paraId="2903C7C0">
      <w:pPr>
        <w:ind w:firstLine="480"/>
        <w:rPr>
          <w:rFonts w:hint="eastAsia" w:ascii="仿宋" w:hAnsi="仿宋" w:eastAsia="仿宋" w:cs="仿宋"/>
          <w:bCs/>
          <w:color w:val="auto"/>
          <w:szCs w:val="24"/>
          <w:highlight w:val="none"/>
        </w:rPr>
      </w:pPr>
      <w:r>
        <w:rPr>
          <w:rFonts w:hint="eastAsia" w:ascii="仿宋" w:hAnsi="仿宋" w:eastAsia="仿宋" w:cs="仿宋"/>
          <w:color w:val="auto"/>
          <w:sz w:val="24"/>
          <w:szCs w:val="18"/>
          <w:highlight w:val="none"/>
        </w:rPr>
        <w:t>（一）报价函</w:t>
      </w:r>
    </w:p>
    <w:p w14:paraId="0C213616">
      <w:pPr>
        <w:tabs>
          <w:tab w:val="left" w:pos="6300"/>
        </w:tabs>
        <w:snapToGrid w:val="0"/>
        <w:ind w:left="14" w:leftChars="5" w:firstLine="611" w:firstLineChars="19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报价函</w:t>
      </w:r>
    </w:p>
    <w:p w14:paraId="712498E5">
      <w:pPr>
        <w:tabs>
          <w:tab w:val="left" w:pos="6300"/>
        </w:tabs>
        <w:snapToGrid w:val="0"/>
        <w:ind w:left="14" w:leftChars="5" w:firstLine="611" w:firstLineChars="191"/>
        <w:jc w:val="center"/>
        <w:rPr>
          <w:rFonts w:hint="eastAsia" w:ascii="仿宋" w:hAnsi="仿宋" w:eastAsia="仿宋" w:cs="仿宋"/>
          <w:color w:val="auto"/>
          <w:sz w:val="32"/>
          <w:szCs w:val="32"/>
          <w:highlight w:val="none"/>
        </w:rPr>
      </w:pPr>
    </w:p>
    <w:p w14:paraId="240A7E28">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（代理机构名称）</w:t>
      </w:r>
      <w:r>
        <w:rPr>
          <w:rFonts w:hint="eastAsia" w:ascii="仿宋" w:hAnsi="仿宋" w:eastAsia="仿宋" w:cs="仿宋"/>
          <w:color w:val="auto"/>
          <w:sz w:val="24"/>
          <w:szCs w:val="24"/>
          <w:highlight w:val="none"/>
        </w:rPr>
        <w:t>：</w:t>
      </w:r>
    </w:p>
    <w:p w14:paraId="41968CD6">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我方收到____________________________（项目名称）的竞采采购文件，经详细研究，决定参加该项目的竞采。</w:t>
      </w:r>
    </w:p>
    <w:p w14:paraId="47A5D272">
      <w:pPr>
        <w:numPr>
          <w:ilvl w:val="0"/>
          <w:numId w:val="3"/>
        </w:numPr>
        <w:tabs>
          <w:tab w:val="left" w:pos="6300"/>
        </w:tabs>
        <w:snapToGrid w:val="0"/>
        <w:ind w:left="476" w:leftChars="17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愿意按照竞采采购文件中的一切要求，提供本项目的技术服务，</w:t>
      </w:r>
      <w:r>
        <w:rPr>
          <w:rFonts w:hint="eastAsia" w:ascii="仿宋" w:hAnsi="仿宋" w:eastAsia="仿宋" w:cs="仿宋"/>
          <w:color w:val="auto"/>
          <w:sz w:val="24"/>
          <w:szCs w:val="24"/>
          <w:highlight w:val="none"/>
          <w:lang w:val="en-US" w:eastAsia="zh-CN"/>
        </w:rPr>
        <w:t>投标总</w:t>
      </w:r>
      <w:r>
        <w:rPr>
          <w:rFonts w:hint="eastAsia" w:ascii="仿宋" w:hAnsi="仿宋" w:eastAsia="仿宋" w:cs="仿宋"/>
          <w:color w:val="auto"/>
          <w:sz w:val="24"/>
          <w:szCs w:val="24"/>
          <w:highlight w:val="none"/>
        </w:rPr>
        <w:t>报价为</w:t>
      </w:r>
      <w:r>
        <w:rPr>
          <w:rFonts w:hint="eastAsia" w:ascii="仿宋" w:hAnsi="仿宋" w:eastAsia="仿宋" w:cs="仿宋"/>
          <w:color w:val="auto"/>
          <w:sz w:val="24"/>
          <w:szCs w:val="24"/>
          <w:highlight w:val="none"/>
          <w:lang w:val="en-US" w:eastAsia="zh-CN"/>
        </w:rPr>
        <w:t>人民币</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en-US" w:eastAsia="zh-CN"/>
        </w:rPr>
        <w:t>元（大写：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p>
    <w:p w14:paraId="3F873E0D">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2、我方现提交的响应文件为：响应文件电子文档壹份。</w:t>
      </w:r>
    </w:p>
    <w:p w14:paraId="42643C02">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3、我方承诺：本次竞采的有效期为90天。</w:t>
      </w:r>
    </w:p>
    <w:p w14:paraId="1A5EF6EA">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4、我方完全理解和接受贵方竞采采购文件的一切规定和要求及评审办法。</w:t>
      </w:r>
    </w:p>
    <w:p w14:paraId="48332ED9">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5、在整个竞采采购过程中，我方若有违规行为，接受按照重庆市政府采购云平台规定给予惩罚。</w:t>
      </w:r>
    </w:p>
    <w:p w14:paraId="6E990B61">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6、我方若中选，将按照竞采结果签订合同，并且严格履行合同义务。本承诺函将成为合同不可分割的一部分，与合同具有同等的法律效力。</w:t>
      </w:r>
    </w:p>
    <w:p w14:paraId="00566C32">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7、我方理解，最低报价不是成交的唯一条件。</w:t>
      </w:r>
    </w:p>
    <w:p w14:paraId="0E8179A2">
      <w:pPr>
        <w:tabs>
          <w:tab w:val="left" w:pos="6300"/>
        </w:tabs>
        <w:snapToGrid w:val="0"/>
        <w:spacing w:line="360" w:lineRule="auto"/>
        <w:ind w:firstLine="570"/>
        <w:rPr>
          <w:rFonts w:hint="eastAsia" w:ascii="仿宋" w:hAnsi="仿宋" w:eastAsia="仿宋" w:cs="仿宋"/>
          <w:color w:val="auto"/>
          <w:sz w:val="24"/>
          <w:szCs w:val="24"/>
          <w:highlight w:val="none"/>
        </w:rPr>
      </w:pPr>
    </w:p>
    <w:p w14:paraId="1823E990">
      <w:pPr>
        <w:tabs>
          <w:tab w:val="left" w:pos="6300"/>
        </w:tabs>
        <w:snapToGrid w:val="0"/>
        <w:spacing w:line="360" w:lineRule="auto"/>
        <w:ind w:firstLine="570"/>
        <w:rPr>
          <w:rFonts w:hint="eastAsia" w:ascii="仿宋" w:hAnsi="仿宋" w:eastAsia="仿宋" w:cs="仿宋"/>
          <w:color w:val="auto"/>
          <w:sz w:val="24"/>
          <w:szCs w:val="24"/>
          <w:highlight w:val="none"/>
        </w:rPr>
      </w:pPr>
    </w:p>
    <w:p w14:paraId="34C3F384">
      <w:pPr>
        <w:tabs>
          <w:tab w:val="left" w:pos="6300"/>
        </w:tabs>
        <w:snapToGrid w:val="0"/>
        <w:spacing w:line="360" w:lineRule="auto"/>
        <w:ind w:firstLine="570"/>
        <w:rPr>
          <w:rFonts w:hint="eastAsia" w:ascii="仿宋" w:hAnsi="仿宋" w:eastAsia="仿宋" w:cs="仿宋"/>
          <w:color w:val="auto"/>
          <w:sz w:val="24"/>
          <w:szCs w:val="24"/>
          <w:highlight w:val="none"/>
        </w:rPr>
      </w:pPr>
    </w:p>
    <w:p w14:paraId="5C61CF72">
      <w:pPr>
        <w:tabs>
          <w:tab w:val="left" w:pos="6300"/>
        </w:tabs>
        <w:snapToGrid w:val="0"/>
        <w:spacing w:line="360" w:lineRule="auto"/>
        <w:ind w:firstLine="570"/>
        <w:rPr>
          <w:rFonts w:hint="eastAsia" w:ascii="仿宋" w:hAnsi="仿宋" w:eastAsia="仿宋" w:cs="仿宋"/>
          <w:color w:val="auto"/>
          <w:sz w:val="24"/>
          <w:szCs w:val="24"/>
          <w:highlight w:val="none"/>
        </w:rPr>
      </w:pPr>
    </w:p>
    <w:p w14:paraId="2F60392F">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供应商名称（公章）：</w:t>
      </w:r>
    </w:p>
    <w:p w14:paraId="197E81B7">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67182EED">
      <w:pPr>
        <w:pStyle w:val="6"/>
        <w:rPr>
          <w:rFonts w:hint="eastAsia" w:ascii="仿宋" w:hAnsi="仿宋" w:eastAsia="仿宋" w:cs="仿宋"/>
          <w:color w:val="auto"/>
          <w:sz w:val="24"/>
          <w:szCs w:val="24"/>
          <w:highlight w:val="none"/>
        </w:rPr>
      </w:pPr>
    </w:p>
    <w:p w14:paraId="0DBE98B8">
      <w:pPr>
        <w:rPr>
          <w:rFonts w:hint="eastAsia" w:ascii="仿宋" w:hAnsi="仿宋" w:eastAsia="仿宋" w:cs="仿宋"/>
          <w:color w:val="auto"/>
          <w:sz w:val="24"/>
          <w:szCs w:val="24"/>
          <w:highlight w:val="none"/>
        </w:rPr>
      </w:pPr>
    </w:p>
    <w:p w14:paraId="7CDED5D8">
      <w:pPr>
        <w:pStyle w:val="6"/>
        <w:rPr>
          <w:rFonts w:hint="eastAsia" w:ascii="仿宋" w:hAnsi="仿宋" w:eastAsia="仿宋" w:cs="仿宋"/>
          <w:color w:val="auto"/>
          <w:sz w:val="24"/>
          <w:szCs w:val="24"/>
          <w:highlight w:val="none"/>
        </w:rPr>
      </w:pPr>
    </w:p>
    <w:p w14:paraId="6A5FE4C0">
      <w:pPr>
        <w:rPr>
          <w:rFonts w:hint="eastAsia" w:ascii="仿宋" w:hAnsi="仿宋" w:eastAsia="仿宋" w:cs="仿宋"/>
          <w:color w:val="auto"/>
          <w:sz w:val="24"/>
          <w:szCs w:val="24"/>
          <w:highlight w:val="none"/>
        </w:rPr>
      </w:pPr>
    </w:p>
    <w:p w14:paraId="3FF28D94">
      <w:pPr>
        <w:pStyle w:val="6"/>
        <w:rPr>
          <w:rFonts w:hint="eastAsia" w:ascii="仿宋" w:hAnsi="仿宋" w:eastAsia="仿宋" w:cs="仿宋"/>
          <w:color w:val="auto"/>
          <w:sz w:val="24"/>
          <w:szCs w:val="24"/>
          <w:highlight w:val="none"/>
        </w:rPr>
      </w:pPr>
    </w:p>
    <w:p w14:paraId="26E01BFF">
      <w:pPr>
        <w:rPr>
          <w:rFonts w:hint="eastAsia" w:ascii="仿宋" w:hAnsi="仿宋" w:eastAsia="仿宋" w:cs="仿宋"/>
          <w:color w:val="auto"/>
          <w:sz w:val="24"/>
          <w:szCs w:val="24"/>
          <w:highlight w:val="none"/>
        </w:rPr>
      </w:pPr>
    </w:p>
    <w:p w14:paraId="54D2C43A">
      <w:pPr>
        <w:pStyle w:val="6"/>
        <w:rPr>
          <w:rFonts w:hint="eastAsia" w:ascii="仿宋" w:hAnsi="仿宋" w:eastAsia="仿宋" w:cs="仿宋"/>
          <w:color w:val="auto"/>
          <w:sz w:val="24"/>
          <w:szCs w:val="24"/>
          <w:highlight w:val="none"/>
        </w:rPr>
      </w:pPr>
    </w:p>
    <w:p w14:paraId="4681FDEB">
      <w:pPr>
        <w:rPr>
          <w:rFonts w:hint="eastAsia" w:ascii="仿宋" w:hAnsi="仿宋" w:eastAsia="仿宋" w:cs="仿宋"/>
          <w:color w:val="auto"/>
          <w:sz w:val="24"/>
          <w:szCs w:val="24"/>
          <w:highlight w:val="none"/>
        </w:rPr>
      </w:pPr>
    </w:p>
    <w:p w14:paraId="792E5867">
      <w:pPr>
        <w:pStyle w:val="6"/>
        <w:rPr>
          <w:rFonts w:hint="eastAsia" w:ascii="仿宋" w:hAnsi="仿宋" w:eastAsia="仿宋" w:cs="仿宋"/>
          <w:color w:val="auto"/>
          <w:sz w:val="24"/>
          <w:szCs w:val="24"/>
          <w:highlight w:val="none"/>
        </w:rPr>
      </w:pPr>
    </w:p>
    <w:p w14:paraId="06DB4D18">
      <w:pPr>
        <w:rPr>
          <w:rFonts w:hint="eastAsia" w:ascii="仿宋" w:hAnsi="仿宋" w:eastAsia="仿宋" w:cs="仿宋"/>
          <w:color w:val="auto"/>
          <w:sz w:val="24"/>
          <w:szCs w:val="24"/>
          <w:highlight w:val="none"/>
        </w:rPr>
      </w:pPr>
    </w:p>
    <w:p w14:paraId="58FAD46C">
      <w:pPr>
        <w:rPr>
          <w:rFonts w:hint="eastAsia" w:ascii="仿宋" w:hAnsi="仿宋" w:eastAsia="仿宋" w:cs="仿宋"/>
          <w:color w:val="auto"/>
          <w:sz w:val="24"/>
          <w:szCs w:val="24"/>
          <w:highlight w:val="none"/>
        </w:rPr>
      </w:pPr>
    </w:p>
    <w:p w14:paraId="0EC48AA0">
      <w:pPr>
        <w:pStyle w:val="6"/>
        <w:rPr>
          <w:rFonts w:hint="eastAsia" w:ascii="仿宋" w:hAnsi="仿宋" w:eastAsia="仿宋" w:cs="仿宋"/>
          <w:color w:val="auto"/>
          <w:sz w:val="24"/>
          <w:szCs w:val="24"/>
          <w:highlight w:val="none"/>
        </w:rPr>
      </w:pPr>
    </w:p>
    <w:p w14:paraId="54DEC4A2">
      <w:pPr>
        <w:rPr>
          <w:rFonts w:hint="eastAsia" w:ascii="仿宋" w:hAnsi="仿宋" w:eastAsia="仿宋" w:cs="仿宋"/>
          <w:color w:val="auto"/>
          <w:sz w:val="24"/>
          <w:szCs w:val="24"/>
          <w:highlight w:val="none"/>
        </w:rPr>
      </w:pPr>
    </w:p>
    <w:p w14:paraId="54D84581">
      <w:pPr>
        <w:pStyle w:val="6"/>
        <w:rPr>
          <w:rFonts w:hint="eastAsia" w:ascii="仿宋" w:hAnsi="仿宋" w:eastAsia="仿宋" w:cs="仿宋"/>
          <w:color w:val="auto"/>
          <w:sz w:val="24"/>
          <w:szCs w:val="24"/>
          <w:highlight w:val="none"/>
        </w:rPr>
      </w:pPr>
    </w:p>
    <w:p w14:paraId="306B3CF3">
      <w:pPr>
        <w:rPr>
          <w:rFonts w:hint="eastAsia" w:ascii="仿宋" w:hAnsi="仿宋" w:eastAsia="仿宋" w:cs="仿宋"/>
          <w:color w:val="auto"/>
          <w:sz w:val="24"/>
          <w:szCs w:val="24"/>
          <w:highlight w:val="none"/>
        </w:rPr>
      </w:pPr>
    </w:p>
    <w:p w14:paraId="57E9070F">
      <w:pPr>
        <w:pStyle w:val="6"/>
        <w:rPr>
          <w:rFonts w:hint="eastAsia" w:ascii="仿宋" w:hAnsi="仿宋" w:eastAsia="仿宋" w:cs="仿宋"/>
          <w:color w:val="auto"/>
          <w:sz w:val="24"/>
          <w:szCs w:val="24"/>
          <w:highlight w:val="none"/>
        </w:rPr>
      </w:pPr>
    </w:p>
    <w:p w14:paraId="5B15739A">
      <w:pPr>
        <w:rPr>
          <w:rFonts w:hint="eastAsia" w:ascii="仿宋" w:hAnsi="仿宋" w:eastAsia="仿宋" w:cs="仿宋"/>
          <w:color w:val="auto"/>
          <w:highlight w:val="none"/>
        </w:rPr>
      </w:pPr>
    </w:p>
    <w:p w14:paraId="7652FA43">
      <w:pPr>
        <w:rPr>
          <w:rFonts w:hint="eastAsia" w:ascii="仿宋" w:hAnsi="仿宋" w:eastAsia="仿宋" w:cs="仿宋"/>
          <w:color w:val="auto"/>
          <w:sz w:val="24"/>
          <w:szCs w:val="24"/>
          <w:highlight w:val="none"/>
        </w:rPr>
      </w:pPr>
    </w:p>
    <w:p w14:paraId="168303EF">
      <w:pPr>
        <w:pStyle w:val="6"/>
        <w:numPr>
          <w:ilvl w:val="0"/>
          <w:numId w:val="4"/>
        </w:num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报价明细清单</w:t>
      </w:r>
    </w:p>
    <w:tbl>
      <w:tblPr>
        <w:tblStyle w:val="18"/>
        <w:tblW w:w="98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30"/>
        <w:gridCol w:w="2621"/>
        <w:gridCol w:w="4528"/>
      </w:tblGrid>
      <w:tr w14:paraId="7052C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5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FB2C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明细清单名称</w:t>
            </w:r>
          </w:p>
        </w:tc>
        <w:tc>
          <w:tcPr>
            <w:tcW w:w="4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CE7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单项报价(元)</w:t>
            </w:r>
          </w:p>
        </w:tc>
      </w:tr>
      <w:tr w14:paraId="13887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5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41F5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生物制造产业区域政策及典型做法分析</w:t>
            </w:r>
          </w:p>
        </w:tc>
        <w:tc>
          <w:tcPr>
            <w:tcW w:w="4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284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FCA3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4FE1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生物制造产业动态发展追踪研究</w:t>
            </w:r>
          </w:p>
        </w:tc>
        <w:tc>
          <w:tcPr>
            <w:tcW w:w="4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DFB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68A1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E9F6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编制项目资金申请报告</w:t>
            </w:r>
          </w:p>
        </w:tc>
        <w:tc>
          <w:tcPr>
            <w:tcW w:w="4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488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AF40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FCC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投标总报价（元）</w:t>
            </w:r>
          </w:p>
        </w:tc>
        <w:tc>
          <w:tcPr>
            <w:tcW w:w="7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9DD6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14:paraId="1C14D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9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7E2D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注：如果单价报价与总价报价不一致，以单价报价为准</w:t>
            </w:r>
          </w:p>
        </w:tc>
      </w:tr>
    </w:tbl>
    <w:p w14:paraId="64949EAC">
      <w:pPr>
        <w:numPr>
          <w:ilvl w:val="0"/>
          <w:numId w:val="0"/>
        </w:numPr>
        <w:rPr>
          <w:rFonts w:hint="eastAsia" w:ascii="仿宋" w:hAnsi="仿宋" w:eastAsia="仿宋" w:cs="仿宋"/>
          <w:color w:val="auto"/>
          <w:highlight w:val="none"/>
          <w:lang w:val="en-US" w:eastAsia="zh-CN"/>
        </w:rPr>
      </w:pPr>
    </w:p>
    <w:p w14:paraId="19F0242C">
      <w:pPr>
        <w:tabs>
          <w:tab w:val="left" w:pos="6300"/>
        </w:tabs>
        <w:snapToGrid w:val="0"/>
        <w:ind w:firstLine="480"/>
        <w:rPr>
          <w:rFonts w:hint="eastAsia" w:ascii="仿宋" w:hAnsi="仿宋" w:eastAsia="仿宋" w:cs="仿宋"/>
          <w:color w:val="auto"/>
          <w:sz w:val="24"/>
          <w:szCs w:val="24"/>
          <w:highlight w:val="none"/>
        </w:rPr>
      </w:pPr>
    </w:p>
    <w:p w14:paraId="2CA86DD9">
      <w:pPr>
        <w:tabs>
          <w:tab w:val="left" w:pos="6300"/>
        </w:tabs>
        <w:snapToGrid w:val="0"/>
        <w:ind w:firstLine="480"/>
        <w:rPr>
          <w:rFonts w:hint="eastAsia" w:ascii="仿宋" w:hAnsi="仿宋" w:eastAsia="仿宋" w:cs="仿宋"/>
          <w:color w:val="auto"/>
          <w:sz w:val="24"/>
          <w:szCs w:val="24"/>
          <w:highlight w:val="none"/>
        </w:rPr>
      </w:pPr>
    </w:p>
    <w:p w14:paraId="548AEAB5">
      <w:pPr>
        <w:tabs>
          <w:tab w:val="left" w:pos="6300"/>
        </w:tabs>
        <w:snapToGrid w:val="0"/>
        <w:ind w:firstLine="480"/>
        <w:rPr>
          <w:rFonts w:hint="eastAsia" w:ascii="仿宋" w:hAnsi="仿宋" w:eastAsia="仿宋" w:cs="仿宋"/>
          <w:color w:val="auto"/>
          <w:sz w:val="24"/>
          <w:szCs w:val="24"/>
          <w:highlight w:val="none"/>
        </w:rPr>
      </w:pPr>
    </w:p>
    <w:p w14:paraId="705B0987">
      <w:pPr>
        <w:tabs>
          <w:tab w:val="left" w:pos="6300"/>
        </w:tabs>
        <w:snapToGrid w:val="0"/>
        <w:ind w:firstLine="480"/>
        <w:rPr>
          <w:rFonts w:hint="eastAsia" w:ascii="仿宋" w:hAnsi="仿宋" w:eastAsia="仿宋" w:cs="仿宋"/>
          <w:color w:val="auto"/>
          <w:sz w:val="24"/>
          <w:szCs w:val="24"/>
          <w:highlight w:val="none"/>
        </w:rPr>
      </w:pPr>
    </w:p>
    <w:p w14:paraId="6F896FD5">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197DE6FB">
      <w:pPr>
        <w:snapToGrid w:val="0"/>
        <w:ind w:firstLine="480" w:firstLineChars="200"/>
        <w:rPr>
          <w:rFonts w:hint="eastAsia" w:ascii="仿宋" w:hAnsi="仿宋" w:eastAsia="仿宋" w:cs="仿宋"/>
          <w:color w:val="auto"/>
          <w:sz w:val="24"/>
          <w:szCs w:val="24"/>
          <w:highlight w:val="none"/>
        </w:rPr>
        <w:sectPr>
          <w:footerReference r:id="rId4"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color w:val="auto"/>
          <w:sz w:val="24"/>
          <w:szCs w:val="24"/>
          <w:highlight w:val="none"/>
        </w:rPr>
        <w:t xml:space="preserve">                                                  </w:t>
      </w:r>
    </w:p>
    <w:p w14:paraId="4B71521B">
      <w:pPr>
        <w:pStyle w:val="3"/>
        <w:spacing w:line="240" w:lineRule="auto"/>
        <w:ind w:firstLine="643"/>
        <w:rPr>
          <w:rFonts w:hint="eastAsia" w:ascii="仿宋" w:hAnsi="仿宋" w:eastAsia="仿宋" w:cs="仿宋"/>
          <w:color w:val="auto"/>
          <w:highlight w:val="none"/>
        </w:rPr>
      </w:pPr>
      <w:bookmarkStart w:id="172" w:name="_Toc487204798"/>
      <w:bookmarkStart w:id="173" w:name="_Toc486608278"/>
      <w:bookmarkStart w:id="174" w:name="_Toc183783161"/>
      <w:bookmarkStart w:id="175" w:name="_Toc3192"/>
      <w:bookmarkStart w:id="176" w:name="_Toc9090"/>
      <w:bookmarkStart w:id="177" w:name="_Toc486585241"/>
      <w:r>
        <w:rPr>
          <w:rFonts w:hint="eastAsia" w:ascii="仿宋" w:hAnsi="仿宋" w:eastAsia="仿宋" w:cs="仿宋"/>
          <w:color w:val="auto"/>
          <w:highlight w:val="none"/>
        </w:rPr>
        <w:t>二、服务部分</w:t>
      </w:r>
      <w:bookmarkEnd w:id="172"/>
      <w:bookmarkEnd w:id="173"/>
      <w:bookmarkEnd w:id="174"/>
      <w:bookmarkEnd w:id="175"/>
      <w:bookmarkEnd w:id="176"/>
      <w:bookmarkEnd w:id="177"/>
    </w:p>
    <w:p w14:paraId="5567A8C1">
      <w:pPr>
        <w:snapToGrid w:val="0"/>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（一）服务要求应答</w:t>
      </w:r>
    </w:p>
    <w:p w14:paraId="04C1D0E1">
      <w:pPr>
        <w:rPr>
          <w:rFonts w:hint="eastAsia" w:ascii="仿宋" w:hAnsi="仿宋" w:eastAsia="仿宋" w:cs="仿宋"/>
          <w:color w:val="auto"/>
          <w:szCs w:val="24"/>
          <w:highlight w:val="none"/>
        </w:rPr>
      </w:pPr>
    </w:p>
    <w:p w14:paraId="1A76F645">
      <w:pP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（二）服务响应偏离表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4A03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60D28730">
            <w:pPr>
              <w:ind w:firstLine="420"/>
              <w:jc w:val="center"/>
              <w:rPr>
                <w:rFonts w:hint="eastAsia" w:ascii="仿宋" w:hAnsi="仿宋" w:eastAsia="仿宋" w:cs="仿宋"/>
                <w:bCs/>
                <w:color w:val="auto"/>
                <w:szCs w:val="21"/>
                <w:highlight w:val="none"/>
              </w:rPr>
            </w:pPr>
            <w:r>
              <w:rPr>
                <w:rFonts w:hint="eastAsia" w:ascii="仿宋" w:hAnsi="仿宋" w:eastAsia="仿宋" w:cs="仿宋"/>
                <w:bCs/>
                <w:color w:val="auto"/>
                <w:sz w:val="21"/>
                <w:szCs w:val="21"/>
                <w:highlight w:val="none"/>
              </w:rPr>
              <w:t>序号</w:t>
            </w:r>
          </w:p>
        </w:tc>
        <w:tc>
          <w:tcPr>
            <w:tcW w:w="1542" w:type="pct"/>
            <w:vAlign w:val="center"/>
          </w:tcPr>
          <w:p w14:paraId="07991947">
            <w:pPr>
              <w:ind w:firstLine="4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招标要求</w:t>
            </w:r>
          </w:p>
        </w:tc>
        <w:tc>
          <w:tcPr>
            <w:tcW w:w="1600" w:type="pct"/>
            <w:vAlign w:val="center"/>
          </w:tcPr>
          <w:p w14:paraId="176B6E4B">
            <w:pPr>
              <w:ind w:firstLine="4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投标应答</w:t>
            </w:r>
          </w:p>
        </w:tc>
        <w:tc>
          <w:tcPr>
            <w:tcW w:w="1199" w:type="pct"/>
            <w:vAlign w:val="center"/>
          </w:tcPr>
          <w:p w14:paraId="0F730140">
            <w:pPr>
              <w:ind w:firstLine="4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差异说明</w:t>
            </w:r>
          </w:p>
        </w:tc>
      </w:tr>
      <w:tr w14:paraId="0650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9C7B66D">
            <w:pPr>
              <w:tabs>
                <w:tab w:val="left" w:pos="6300"/>
              </w:tabs>
              <w:snapToGrid w:val="0"/>
              <w:ind w:firstLine="420"/>
              <w:jc w:val="center"/>
              <w:rPr>
                <w:rFonts w:hint="eastAsia" w:ascii="仿宋" w:hAnsi="仿宋" w:eastAsia="仿宋" w:cs="仿宋"/>
                <w:bCs/>
                <w:color w:val="auto"/>
                <w:sz w:val="21"/>
                <w:szCs w:val="21"/>
                <w:highlight w:val="none"/>
              </w:rPr>
            </w:pPr>
          </w:p>
        </w:tc>
        <w:tc>
          <w:tcPr>
            <w:tcW w:w="1542" w:type="pct"/>
            <w:vAlign w:val="center"/>
          </w:tcPr>
          <w:p w14:paraId="4DAE2CFE">
            <w:pPr>
              <w:ind w:firstLine="420"/>
              <w:jc w:val="center"/>
              <w:rPr>
                <w:rFonts w:hint="eastAsia" w:ascii="仿宋" w:hAnsi="仿宋" w:eastAsia="仿宋" w:cs="仿宋"/>
                <w:bCs/>
                <w:color w:val="auto"/>
                <w:sz w:val="21"/>
                <w:szCs w:val="21"/>
                <w:highlight w:val="none"/>
              </w:rPr>
            </w:pPr>
          </w:p>
        </w:tc>
        <w:tc>
          <w:tcPr>
            <w:tcW w:w="1600" w:type="pct"/>
            <w:vAlign w:val="center"/>
          </w:tcPr>
          <w:p w14:paraId="2E00EB5C">
            <w:pPr>
              <w:ind w:firstLine="420"/>
              <w:jc w:val="center"/>
              <w:rPr>
                <w:rFonts w:hint="eastAsia" w:ascii="仿宋" w:hAnsi="仿宋" w:eastAsia="仿宋" w:cs="仿宋"/>
                <w:bCs/>
                <w:color w:val="auto"/>
                <w:sz w:val="21"/>
                <w:szCs w:val="21"/>
                <w:highlight w:val="none"/>
              </w:rPr>
            </w:pPr>
          </w:p>
        </w:tc>
        <w:tc>
          <w:tcPr>
            <w:tcW w:w="1199" w:type="pct"/>
            <w:vAlign w:val="center"/>
          </w:tcPr>
          <w:p w14:paraId="7451EF27">
            <w:pPr>
              <w:ind w:firstLine="420"/>
              <w:jc w:val="center"/>
              <w:rPr>
                <w:rFonts w:hint="eastAsia" w:ascii="仿宋" w:hAnsi="仿宋" w:eastAsia="仿宋" w:cs="仿宋"/>
                <w:bCs/>
                <w:color w:val="auto"/>
                <w:sz w:val="21"/>
                <w:szCs w:val="21"/>
                <w:highlight w:val="none"/>
              </w:rPr>
            </w:pPr>
          </w:p>
        </w:tc>
      </w:tr>
      <w:tr w14:paraId="2770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CBD506F">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65C39B12">
            <w:pPr>
              <w:ind w:firstLine="420"/>
              <w:jc w:val="center"/>
              <w:rPr>
                <w:rFonts w:hint="eastAsia" w:ascii="仿宋" w:hAnsi="仿宋" w:eastAsia="仿宋" w:cs="仿宋"/>
                <w:color w:val="auto"/>
                <w:sz w:val="21"/>
                <w:szCs w:val="21"/>
                <w:highlight w:val="none"/>
              </w:rPr>
            </w:pPr>
          </w:p>
        </w:tc>
        <w:tc>
          <w:tcPr>
            <w:tcW w:w="1600" w:type="pct"/>
            <w:vAlign w:val="center"/>
          </w:tcPr>
          <w:p w14:paraId="1C20FF32">
            <w:pPr>
              <w:ind w:firstLine="420"/>
              <w:jc w:val="center"/>
              <w:rPr>
                <w:rFonts w:hint="eastAsia" w:ascii="仿宋" w:hAnsi="仿宋" w:eastAsia="仿宋" w:cs="仿宋"/>
                <w:color w:val="auto"/>
                <w:sz w:val="21"/>
                <w:szCs w:val="21"/>
                <w:highlight w:val="none"/>
              </w:rPr>
            </w:pPr>
          </w:p>
        </w:tc>
        <w:tc>
          <w:tcPr>
            <w:tcW w:w="1199" w:type="pct"/>
            <w:vAlign w:val="center"/>
          </w:tcPr>
          <w:p w14:paraId="38EAEC18">
            <w:pPr>
              <w:ind w:firstLine="420"/>
              <w:jc w:val="center"/>
              <w:rPr>
                <w:rFonts w:hint="eastAsia" w:ascii="仿宋" w:hAnsi="仿宋" w:eastAsia="仿宋" w:cs="仿宋"/>
                <w:color w:val="auto"/>
                <w:sz w:val="21"/>
                <w:szCs w:val="21"/>
                <w:highlight w:val="none"/>
              </w:rPr>
            </w:pPr>
          </w:p>
        </w:tc>
      </w:tr>
      <w:tr w14:paraId="2D19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3A60D6C">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645D9244">
            <w:pPr>
              <w:ind w:firstLine="420"/>
              <w:jc w:val="center"/>
              <w:rPr>
                <w:rFonts w:hint="eastAsia" w:ascii="仿宋" w:hAnsi="仿宋" w:eastAsia="仿宋" w:cs="仿宋"/>
                <w:color w:val="auto"/>
                <w:sz w:val="21"/>
                <w:szCs w:val="21"/>
                <w:highlight w:val="none"/>
              </w:rPr>
            </w:pPr>
          </w:p>
        </w:tc>
        <w:tc>
          <w:tcPr>
            <w:tcW w:w="1600" w:type="pct"/>
            <w:vAlign w:val="center"/>
          </w:tcPr>
          <w:p w14:paraId="74C13715">
            <w:pPr>
              <w:ind w:firstLine="420"/>
              <w:jc w:val="center"/>
              <w:rPr>
                <w:rFonts w:hint="eastAsia" w:ascii="仿宋" w:hAnsi="仿宋" w:eastAsia="仿宋" w:cs="仿宋"/>
                <w:color w:val="auto"/>
                <w:sz w:val="21"/>
                <w:szCs w:val="21"/>
                <w:highlight w:val="none"/>
              </w:rPr>
            </w:pPr>
          </w:p>
        </w:tc>
        <w:tc>
          <w:tcPr>
            <w:tcW w:w="1199" w:type="pct"/>
            <w:vAlign w:val="center"/>
          </w:tcPr>
          <w:p w14:paraId="336B0E8D">
            <w:pPr>
              <w:ind w:firstLine="420"/>
              <w:jc w:val="center"/>
              <w:rPr>
                <w:rFonts w:hint="eastAsia" w:ascii="仿宋" w:hAnsi="仿宋" w:eastAsia="仿宋" w:cs="仿宋"/>
                <w:color w:val="auto"/>
                <w:sz w:val="21"/>
                <w:szCs w:val="21"/>
                <w:highlight w:val="none"/>
              </w:rPr>
            </w:pPr>
          </w:p>
        </w:tc>
      </w:tr>
      <w:tr w14:paraId="7F3E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8FF87A9">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5E04402D">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641ED9C2">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0E94D866">
            <w:pPr>
              <w:tabs>
                <w:tab w:val="left" w:pos="6300"/>
              </w:tabs>
              <w:snapToGrid w:val="0"/>
              <w:ind w:firstLine="420"/>
              <w:jc w:val="center"/>
              <w:rPr>
                <w:rFonts w:hint="eastAsia" w:ascii="仿宋" w:hAnsi="仿宋" w:eastAsia="仿宋" w:cs="仿宋"/>
                <w:color w:val="auto"/>
                <w:sz w:val="21"/>
                <w:szCs w:val="21"/>
                <w:highlight w:val="none"/>
              </w:rPr>
            </w:pPr>
          </w:p>
        </w:tc>
      </w:tr>
      <w:tr w14:paraId="08C4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7F88CC">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6FAFC8B5">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5B3B659">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1A675212">
            <w:pPr>
              <w:tabs>
                <w:tab w:val="left" w:pos="6300"/>
              </w:tabs>
              <w:snapToGrid w:val="0"/>
              <w:ind w:firstLine="420"/>
              <w:jc w:val="center"/>
              <w:rPr>
                <w:rFonts w:hint="eastAsia" w:ascii="仿宋" w:hAnsi="仿宋" w:eastAsia="仿宋" w:cs="仿宋"/>
                <w:color w:val="auto"/>
                <w:sz w:val="21"/>
                <w:szCs w:val="21"/>
                <w:highlight w:val="none"/>
              </w:rPr>
            </w:pPr>
          </w:p>
        </w:tc>
      </w:tr>
      <w:tr w14:paraId="5C80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AC8EBBC">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39086D01">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134A93CF">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2F153AE0">
            <w:pPr>
              <w:tabs>
                <w:tab w:val="left" w:pos="6300"/>
              </w:tabs>
              <w:snapToGrid w:val="0"/>
              <w:ind w:firstLine="420"/>
              <w:jc w:val="center"/>
              <w:rPr>
                <w:rFonts w:hint="eastAsia" w:ascii="仿宋" w:hAnsi="仿宋" w:eastAsia="仿宋" w:cs="仿宋"/>
                <w:color w:val="auto"/>
                <w:sz w:val="21"/>
                <w:szCs w:val="21"/>
                <w:highlight w:val="none"/>
              </w:rPr>
            </w:pPr>
          </w:p>
        </w:tc>
      </w:tr>
      <w:tr w14:paraId="45ED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6B84B04">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2722BB96">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7A8328E1">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14C43335">
            <w:pPr>
              <w:tabs>
                <w:tab w:val="left" w:pos="6300"/>
              </w:tabs>
              <w:snapToGrid w:val="0"/>
              <w:ind w:firstLine="420"/>
              <w:jc w:val="center"/>
              <w:rPr>
                <w:rFonts w:hint="eastAsia" w:ascii="仿宋" w:hAnsi="仿宋" w:eastAsia="仿宋" w:cs="仿宋"/>
                <w:color w:val="auto"/>
                <w:sz w:val="21"/>
                <w:szCs w:val="21"/>
                <w:highlight w:val="none"/>
              </w:rPr>
            </w:pPr>
          </w:p>
        </w:tc>
      </w:tr>
      <w:tr w14:paraId="77C4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62F3C8E">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4D32EABA">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3563C4ED">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4F868C64">
            <w:pPr>
              <w:tabs>
                <w:tab w:val="left" w:pos="6300"/>
              </w:tabs>
              <w:snapToGrid w:val="0"/>
              <w:ind w:firstLine="420"/>
              <w:jc w:val="center"/>
              <w:rPr>
                <w:rFonts w:hint="eastAsia" w:ascii="仿宋" w:hAnsi="仿宋" w:eastAsia="仿宋" w:cs="仿宋"/>
                <w:color w:val="auto"/>
                <w:sz w:val="21"/>
                <w:szCs w:val="21"/>
                <w:highlight w:val="none"/>
              </w:rPr>
            </w:pPr>
          </w:p>
        </w:tc>
      </w:tr>
      <w:tr w14:paraId="4787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F0B667">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1A92665C">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7D6DA232">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71F46301">
            <w:pPr>
              <w:tabs>
                <w:tab w:val="left" w:pos="6300"/>
              </w:tabs>
              <w:snapToGrid w:val="0"/>
              <w:ind w:firstLine="420"/>
              <w:jc w:val="center"/>
              <w:rPr>
                <w:rFonts w:hint="eastAsia" w:ascii="仿宋" w:hAnsi="仿宋" w:eastAsia="仿宋" w:cs="仿宋"/>
                <w:color w:val="auto"/>
                <w:sz w:val="21"/>
                <w:szCs w:val="21"/>
                <w:highlight w:val="none"/>
              </w:rPr>
            </w:pPr>
          </w:p>
        </w:tc>
      </w:tr>
      <w:tr w14:paraId="39DE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31EF11A">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75142BFD">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21E875EF">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6E011063">
            <w:pPr>
              <w:tabs>
                <w:tab w:val="left" w:pos="6300"/>
              </w:tabs>
              <w:snapToGrid w:val="0"/>
              <w:ind w:firstLine="420"/>
              <w:jc w:val="center"/>
              <w:rPr>
                <w:rFonts w:hint="eastAsia" w:ascii="仿宋" w:hAnsi="仿宋" w:eastAsia="仿宋" w:cs="仿宋"/>
                <w:color w:val="auto"/>
                <w:sz w:val="21"/>
                <w:szCs w:val="21"/>
                <w:highlight w:val="none"/>
              </w:rPr>
            </w:pPr>
          </w:p>
        </w:tc>
      </w:tr>
    </w:tbl>
    <w:p w14:paraId="2BB3C74D">
      <w:pPr>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                      法定代表人（或法定代表人授权代表）或自然人：</w:t>
      </w:r>
    </w:p>
    <w:p w14:paraId="2AF19BDB">
      <w:pPr>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p>
    <w:p w14:paraId="11F4F3F5">
      <w:pPr>
        <w:ind w:firstLine="720" w:firstLineChars="3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公章）                               （签署或盖章）</w:t>
      </w:r>
    </w:p>
    <w:p w14:paraId="7D3FB7D8">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107CE25E">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2204DE3B">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1.本表即为对本项目“第二篇  项目服务需求”中所列条款进行比较和响应；</w:t>
      </w:r>
    </w:p>
    <w:p w14:paraId="2FCE4C1C">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2.本表可扩展；</w:t>
      </w:r>
    </w:p>
    <w:p w14:paraId="184A9D60">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3.可附相关技术（质量）支撑材料。（格式自定）</w:t>
      </w:r>
    </w:p>
    <w:p w14:paraId="44AAF1C1">
      <w:pPr>
        <w:snapToGrid w:val="0"/>
        <w:ind w:firstLine="560" w:firstLineChars="200"/>
        <w:rPr>
          <w:rFonts w:hint="eastAsia" w:ascii="仿宋" w:hAnsi="仿宋" w:eastAsia="仿宋" w:cs="仿宋"/>
          <w:color w:val="auto"/>
          <w:sz w:val="24"/>
          <w:szCs w:val="28"/>
          <w:highlight w:val="none"/>
        </w:rPr>
      </w:pPr>
      <w:r>
        <w:rPr>
          <w:rFonts w:hint="eastAsia" w:ascii="仿宋" w:hAnsi="仿宋" w:eastAsia="仿宋" w:cs="仿宋"/>
          <w:color w:val="auto"/>
          <w:szCs w:val="24"/>
          <w:highlight w:val="none"/>
        </w:rPr>
        <w:br w:type="page"/>
      </w:r>
    </w:p>
    <w:p w14:paraId="6D095EDD">
      <w:pPr>
        <w:pStyle w:val="3"/>
        <w:spacing w:line="240" w:lineRule="auto"/>
        <w:ind w:firstLine="643"/>
        <w:rPr>
          <w:rFonts w:hint="eastAsia" w:ascii="仿宋" w:hAnsi="仿宋" w:eastAsia="仿宋" w:cs="仿宋"/>
          <w:color w:val="auto"/>
          <w:highlight w:val="none"/>
        </w:rPr>
      </w:pPr>
      <w:bookmarkStart w:id="178" w:name="_Toc6786"/>
      <w:bookmarkStart w:id="179" w:name="_Toc106030419"/>
      <w:bookmarkStart w:id="180" w:name="_Toc32670"/>
      <w:bookmarkStart w:id="181" w:name="_Toc14954"/>
      <w:bookmarkStart w:id="182" w:name="_Toc5573"/>
      <w:bookmarkStart w:id="183" w:name="_Toc8958"/>
      <w:bookmarkStart w:id="184" w:name="_Toc4362"/>
      <w:bookmarkStart w:id="185" w:name="_Toc493178791"/>
      <w:bookmarkStart w:id="186" w:name="_Toc28242"/>
      <w:bookmarkStart w:id="187" w:name="_Toc17290"/>
      <w:bookmarkStart w:id="188" w:name="_Toc22113"/>
      <w:bookmarkStart w:id="189" w:name="_Toc492721039"/>
      <w:bookmarkStart w:id="190" w:name="_Toc183783162"/>
      <w:bookmarkStart w:id="191" w:name="_Toc7069"/>
      <w:bookmarkStart w:id="192" w:name="_Toc26494"/>
      <w:bookmarkStart w:id="193" w:name="_Toc75793542"/>
      <w:bookmarkStart w:id="194" w:name="_Toc10372"/>
      <w:bookmarkStart w:id="195" w:name="_Toc23523"/>
      <w:bookmarkStart w:id="196" w:name="_Toc30496"/>
      <w:r>
        <w:rPr>
          <w:rFonts w:hint="eastAsia" w:ascii="仿宋" w:hAnsi="仿宋" w:eastAsia="仿宋" w:cs="仿宋"/>
          <w:color w:val="auto"/>
          <w:highlight w:val="none"/>
        </w:rPr>
        <w:t>三、商务文件</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1B894337">
      <w:pPr>
        <w:ind w:firstLine="440"/>
        <w:rPr>
          <w:rFonts w:hint="eastAsia" w:ascii="仿宋" w:hAnsi="仿宋" w:eastAsia="仿宋" w:cs="仿宋"/>
          <w:color w:val="auto"/>
          <w:sz w:val="22"/>
          <w:szCs w:val="16"/>
          <w:highlight w:val="none"/>
        </w:rPr>
      </w:pPr>
      <w:r>
        <w:rPr>
          <w:rFonts w:hint="eastAsia" w:ascii="仿宋" w:hAnsi="仿宋" w:eastAsia="仿宋" w:cs="仿宋"/>
          <w:color w:val="auto"/>
          <w:sz w:val="22"/>
          <w:szCs w:val="16"/>
          <w:highlight w:val="none"/>
        </w:rPr>
        <w:t>（一）服务要求响应情况</w:t>
      </w:r>
    </w:p>
    <w:p w14:paraId="7BE4636D">
      <w:pPr>
        <w:ind w:firstLine="482"/>
        <w:rPr>
          <w:rFonts w:hint="eastAsia" w:ascii="仿宋" w:hAnsi="仿宋" w:eastAsia="仿宋" w:cs="仿宋"/>
          <w:b/>
          <w:color w:val="auto"/>
          <w:szCs w:val="28"/>
          <w:highlight w:val="none"/>
        </w:rPr>
      </w:pPr>
    </w:p>
    <w:p w14:paraId="03C7539F">
      <w:pPr>
        <w:ind w:firstLine="440"/>
        <w:rPr>
          <w:rFonts w:hint="eastAsia" w:ascii="仿宋" w:hAnsi="仿宋" w:eastAsia="仿宋" w:cs="仿宋"/>
          <w:color w:val="auto"/>
          <w:sz w:val="22"/>
          <w:szCs w:val="16"/>
          <w:highlight w:val="none"/>
        </w:rPr>
      </w:pPr>
      <w:r>
        <w:rPr>
          <w:rFonts w:hint="eastAsia" w:ascii="仿宋" w:hAnsi="仿宋" w:eastAsia="仿宋" w:cs="仿宋"/>
          <w:color w:val="auto"/>
          <w:sz w:val="22"/>
          <w:szCs w:val="16"/>
          <w:highlight w:val="none"/>
        </w:rPr>
        <w:t>（二）商务响应偏离表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4338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10DFBA87">
            <w:pPr>
              <w:ind w:firstLine="440"/>
              <w:jc w:val="center"/>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序号</w:t>
            </w:r>
          </w:p>
        </w:tc>
        <w:tc>
          <w:tcPr>
            <w:tcW w:w="1541" w:type="pct"/>
            <w:vAlign w:val="center"/>
          </w:tcPr>
          <w:p w14:paraId="7203969F">
            <w:pPr>
              <w:ind w:firstLine="44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招标商务</w:t>
            </w:r>
            <w:r>
              <w:rPr>
                <w:rFonts w:hint="eastAsia" w:ascii="仿宋" w:hAnsi="仿宋" w:eastAsia="仿宋" w:cs="仿宋"/>
                <w:bCs/>
                <w:color w:val="auto"/>
                <w:sz w:val="22"/>
                <w:szCs w:val="22"/>
                <w:highlight w:val="none"/>
              </w:rPr>
              <w:t>要求</w:t>
            </w:r>
          </w:p>
        </w:tc>
        <w:tc>
          <w:tcPr>
            <w:tcW w:w="1600" w:type="pct"/>
            <w:vAlign w:val="center"/>
          </w:tcPr>
          <w:p w14:paraId="0EB639D7">
            <w:pPr>
              <w:ind w:firstLine="44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投标商务应答</w:t>
            </w:r>
          </w:p>
        </w:tc>
        <w:tc>
          <w:tcPr>
            <w:tcW w:w="1198" w:type="pct"/>
            <w:vAlign w:val="center"/>
          </w:tcPr>
          <w:p w14:paraId="7FD5AC1E">
            <w:pPr>
              <w:ind w:firstLine="44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差异</w:t>
            </w:r>
            <w:r>
              <w:rPr>
                <w:rFonts w:hint="eastAsia" w:ascii="仿宋" w:hAnsi="仿宋" w:eastAsia="仿宋" w:cs="仿宋"/>
                <w:bCs/>
                <w:color w:val="auto"/>
                <w:sz w:val="22"/>
                <w:szCs w:val="22"/>
                <w:highlight w:val="none"/>
              </w:rPr>
              <w:t>说明</w:t>
            </w:r>
          </w:p>
        </w:tc>
      </w:tr>
      <w:tr w14:paraId="4A9A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AA45605">
            <w:pPr>
              <w:ind w:firstLine="440"/>
              <w:rPr>
                <w:rFonts w:hint="eastAsia" w:ascii="仿宋" w:hAnsi="仿宋" w:eastAsia="仿宋" w:cs="仿宋"/>
                <w:color w:val="auto"/>
                <w:sz w:val="22"/>
                <w:szCs w:val="22"/>
                <w:highlight w:val="none"/>
              </w:rPr>
            </w:pPr>
          </w:p>
        </w:tc>
        <w:tc>
          <w:tcPr>
            <w:tcW w:w="1541" w:type="pct"/>
            <w:vAlign w:val="center"/>
          </w:tcPr>
          <w:p w14:paraId="0D8505BD">
            <w:pPr>
              <w:ind w:firstLine="440"/>
              <w:rPr>
                <w:rFonts w:hint="eastAsia" w:ascii="仿宋" w:hAnsi="仿宋" w:eastAsia="仿宋" w:cs="仿宋"/>
                <w:color w:val="auto"/>
                <w:sz w:val="22"/>
                <w:szCs w:val="22"/>
                <w:highlight w:val="none"/>
              </w:rPr>
            </w:pPr>
          </w:p>
        </w:tc>
        <w:tc>
          <w:tcPr>
            <w:tcW w:w="1600" w:type="pct"/>
            <w:vAlign w:val="center"/>
          </w:tcPr>
          <w:p w14:paraId="4339EA51">
            <w:pPr>
              <w:ind w:firstLine="440"/>
              <w:jc w:val="center"/>
              <w:rPr>
                <w:rFonts w:hint="eastAsia" w:ascii="仿宋" w:hAnsi="仿宋" w:eastAsia="仿宋" w:cs="仿宋"/>
                <w:color w:val="auto"/>
                <w:sz w:val="22"/>
                <w:szCs w:val="22"/>
                <w:highlight w:val="none"/>
              </w:rPr>
            </w:pPr>
          </w:p>
        </w:tc>
        <w:tc>
          <w:tcPr>
            <w:tcW w:w="1198" w:type="pct"/>
            <w:vAlign w:val="center"/>
          </w:tcPr>
          <w:p w14:paraId="1FDF0A48">
            <w:pPr>
              <w:ind w:firstLine="440"/>
              <w:rPr>
                <w:rFonts w:hint="eastAsia" w:ascii="仿宋" w:hAnsi="仿宋" w:eastAsia="仿宋" w:cs="仿宋"/>
                <w:color w:val="auto"/>
                <w:sz w:val="22"/>
                <w:szCs w:val="22"/>
                <w:highlight w:val="none"/>
              </w:rPr>
            </w:pPr>
          </w:p>
        </w:tc>
      </w:tr>
      <w:tr w14:paraId="733F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8AFB32">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26D365BD">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16F2BC75">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7934A234">
            <w:pPr>
              <w:tabs>
                <w:tab w:val="left" w:pos="6300"/>
              </w:tabs>
              <w:snapToGrid w:val="0"/>
              <w:ind w:firstLine="420"/>
              <w:jc w:val="center"/>
              <w:rPr>
                <w:rFonts w:hint="eastAsia" w:ascii="仿宋" w:hAnsi="仿宋" w:eastAsia="仿宋" w:cs="仿宋"/>
                <w:color w:val="auto"/>
                <w:sz w:val="21"/>
                <w:szCs w:val="21"/>
                <w:highlight w:val="none"/>
              </w:rPr>
            </w:pPr>
          </w:p>
        </w:tc>
      </w:tr>
      <w:tr w14:paraId="2382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80165AE">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18A6A28C">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BB6A2A2">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388A0F85">
            <w:pPr>
              <w:tabs>
                <w:tab w:val="left" w:pos="6300"/>
              </w:tabs>
              <w:snapToGrid w:val="0"/>
              <w:ind w:firstLine="420"/>
              <w:jc w:val="center"/>
              <w:rPr>
                <w:rFonts w:hint="eastAsia" w:ascii="仿宋" w:hAnsi="仿宋" w:eastAsia="仿宋" w:cs="仿宋"/>
                <w:color w:val="auto"/>
                <w:sz w:val="21"/>
                <w:szCs w:val="21"/>
                <w:highlight w:val="none"/>
              </w:rPr>
            </w:pPr>
          </w:p>
        </w:tc>
      </w:tr>
      <w:tr w14:paraId="3F79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7C50C73">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3D7B816D">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62110C8">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7D8DAEDB">
            <w:pPr>
              <w:tabs>
                <w:tab w:val="left" w:pos="6300"/>
              </w:tabs>
              <w:snapToGrid w:val="0"/>
              <w:ind w:firstLine="420"/>
              <w:jc w:val="center"/>
              <w:rPr>
                <w:rFonts w:hint="eastAsia" w:ascii="仿宋" w:hAnsi="仿宋" w:eastAsia="仿宋" w:cs="仿宋"/>
                <w:color w:val="auto"/>
                <w:sz w:val="21"/>
                <w:szCs w:val="21"/>
                <w:highlight w:val="none"/>
              </w:rPr>
            </w:pPr>
          </w:p>
        </w:tc>
      </w:tr>
      <w:tr w14:paraId="7DAD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624259F">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73C43168">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8A84B28">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7B58186A">
            <w:pPr>
              <w:tabs>
                <w:tab w:val="left" w:pos="6300"/>
              </w:tabs>
              <w:snapToGrid w:val="0"/>
              <w:ind w:firstLine="420"/>
              <w:jc w:val="center"/>
              <w:rPr>
                <w:rFonts w:hint="eastAsia" w:ascii="仿宋" w:hAnsi="仿宋" w:eastAsia="仿宋" w:cs="仿宋"/>
                <w:color w:val="auto"/>
                <w:sz w:val="21"/>
                <w:szCs w:val="21"/>
                <w:highlight w:val="none"/>
              </w:rPr>
            </w:pPr>
          </w:p>
        </w:tc>
      </w:tr>
      <w:tr w14:paraId="613A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9FAD3F0">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76A14B5E">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24D5434C">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24836EB0">
            <w:pPr>
              <w:tabs>
                <w:tab w:val="left" w:pos="6300"/>
              </w:tabs>
              <w:snapToGrid w:val="0"/>
              <w:ind w:firstLine="420"/>
              <w:jc w:val="center"/>
              <w:rPr>
                <w:rFonts w:hint="eastAsia" w:ascii="仿宋" w:hAnsi="仿宋" w:eastAsia="仿宋" w:cs="仿宋"/>
                <w:color w:val="auto"/>
                <w:sz w:val="21"/>
                <w:szCs w:val="21"/>
                <w:highlight w:val="none"/>
              </w:rPr>
            </w:pPr>
          </w:p>
        </w:tc>
      </w:tr>
      <w:tr w14:paraId="182E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BE98947">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194413A8">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63B2C39C">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5C071E9F">
            <w:pPr>
              <w:tabs>
                <w:tab w:val="left" w:pos="6300"/>
              </w:tabs>
              <w:snapToGrid w:val="0"/>
              <w:ind w:firstLine="420"/>
              <w:jc w:val="center"/>
              <w:rPr>
                <w:rFonts w:hint="eastAsia" w:ascii="仿宋" w:hAnsi="仿宋" w:eastAsia="仿宋" w:cs="仿宋"/>
                <w:color w:val="auto"/>
                <w:sz w:val="21"/>
                <w:szCs w:val="21"/>
                <w:highlight w:val="none"/>
              </w:rPr>
            </w:pPr>
          </w:p>
        </w:tc>
      </w:tr>
      <w:tr w14:paraId="0702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2E6698">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7C22BEA4">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5BF88938">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68B51C0F">
            <w:pPr>
              <w:tabs>
                <w:tab w:val="left" w:pos="6300"/>
              </w:tabs>
              <w:snapToGrid w:val="0"/>
              <w:ind w:firstLine="420"/>
              <w:jc w:val="center"/>
              <w:rPr>
                <w:rFonts w:hint="eastAsia" w:ascii="仿宋" w:hAnsi="仿宋" w:eastAsia="仿宋" w:cs="仿宋"/>
                <w:color w:val="auto"/>
                <w:sz w:val="21"/>
                <w:szCs w:val="21"/>
                <w:highlight w:val="none"/>
              </w:rPr>
            </w:pPr>
          </w:p>
        </w:tc>
      </w:tr>
      <w:tr w14:paraId="326A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DB01379">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66E806D6">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6E5B1F93">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38D73075">
            <w:pPr>
              <w:tabs>
                <w:tab w:val="left" w:pos="6300"/>
              </w:tabs>
              <w:snapToGrid w:val="0"/>
              <w:ind w:firstLine="420"/>
              <w:jc w:val="center"/>
              <w:rPr>
                <w:rFonts w:hint="eastAsia" w:ascii="仿宋" w:hAnsi="仿宋" w:eastAsia="仿宋" w:cs="仿宋"/>
                <w:color w:val="auto"/>
                <w:sz w:val="21"/>
                <w:szCs w:val="21"/>
                <w:highlight w:val="none"/>
              </w:rPr>
            </w:pPr>
          </w:p>
        </w:tc>
      </w:tr>
      <w:tr w14:paraId="3180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39EF379">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43EF45A5">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D4F98DE">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01A852E5">
            <w:pPr>
              <w:tabs>
                <w:tab w:val="left" w:pos="6300"/>
              </w:tabs>
              <w:snapToGrid w:val="0"/>
              <w:ind w:firstLine="420"/>
              <w:jc w:val="center"/>
              <w:rPr>
                <w:rFonts w:hint="eastAsia" w:ascii="仿宋" w:hAnsi="仿宋" w:eastAsia="仿宋" w:cs="仿宋"/>
                <w:color w:val="auto"/>
                <w:sz w:val="21"/>
                <w:szCs w:val="21"/>
                <w:highlight w:val="none"/>
              </w:rPr>
            </w:pPr>
          </w:p>
        </w:tc>
      </w:tr>
      <w:tr w14:paraId="15B4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5E9E345">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68C095CF">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3F401026">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17B85581">
            <w:pPr>
              <w:tabs>
                <w:tab w:val="left" w:pos="6300"/>
              </w:tabs>
              <w:snapToGrid w:val="0"/>
              <w:ind w:firstLine="420"/>
              <w:jc w:val="center"/>
              <w:rPr>
                <w:rFonts w:hint="eastAsia" w:ascii="仿宋" w:hAnsi="仿宋" w:eastAsia="仿宋" w:cs="仿宋"/>
                <w:color w:val="auto"/>
                <w:sz w:val="21"/>
                <w:szCs w:val="21"/>
                <w:highlight w:val="none"/>
              </w:rPr>
            </w:pPr>
          </w:p>
        </w:tc>
      </w:tr>
      <w:tr w14:paraId="735D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7CA6764">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0AED3D33">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A518726">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34BA8A6E">
            <w:pPr>
              <w:tabs>
                <w:tab w:val="left" w:pos="6300"/>
              </w:tabs>
              <w:snapToGrid w:val="0"/>
              <w:ind w:firstLine="420"/>
              <w:jc w:val="center"/>
              <w:rPr>
                <w:rFonts w:hint="eastAsia" w:ascii="仿宋" w:hAnsi="仿宋" w:eastAsia="仿宋" w:cs="仿宋"/>
                <w:color w:val="auto"/>
                <w:sz w:val="21"/>
                <w:szCs w:val="21"/>
                <w:highlight w:val="none"/>
              </w:rPr>
            </w:pPr>
          </w:p>
        </w:tc>
      </w:tr>
    </w:tbl>
    <w:p w14:paraId="64D2393F">
      <w:pPr>
        <w:ind w:firstLine="600" w:firstLineChars="250"/>
        <w:rPr>
          <w:rFonts w:hint="eastAsia" w:ascii="仿宋" w:hAnsi="仿宋" w:eastAsia="仿宋" w:cs="仿宋"/>
          <w:color w:val="auto"/>
          <w:sz w:val="24"/>
          <w:szCs w:val="28"/>
          <w:highlight w:val="none"/>
        </w:rPr>
      </w:pPr>
    </w:p>
    <w:p w14:paraId="6FEB03EB">
      <w:pPr>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                     法定代表人（或法定代表人授权代表）或自然人：</w:t>
      </w:r>
    </w:p>
    <w:p w14:paraId="26024D00">
      <w:pPr>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公章）                               （签署或盖章）</w:t>
      </w:r>
    </w:p>
    <w:p w14:paraId="4150D1F1">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5492D554">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200EDBFF">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1.本表即为对本项目“第三篇 项目商务需求”中所列条款进行比较和响应；</w:t>
      </w:r>
    </w:p>
    <w:p w14:paraId="751A8F5D">
      <w:pPr>
        <w:tabs>
          <w:tab w:val="left" w:pos="6300"/>
        </w:tabs>
        <w:snapToGrid w:val="0"/>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2.本表可扩展。</w:t>
      </w:r>
    </w:p>
    <w:p w14:paraId="16FAD8CD">
      <w:pPr>
        <w:tabs>
          <w:tab w:val="left" w:pos="6300"/>
        </w:tabs>
        <w:snapToGrid w:val="0"/>
        <w:ind w:firstLine="480"/>
        <w:rPr>
          <w:rFonts w:hint="eastAsia" w:ascii="仿宋" w:hAnsi="仿宋" w:eastAsia="仿宋" w:cs="仿宋"/>
          <w:color w:val="auto"/>
          <w:sz w:val="24"/>
          <w:szCs w:val="24"/>
          <w:highlight w:val="none"/>
        </w:rPr>
      </w:pPr>
    </w:p>
    <w:p w14:paraId="305BE73F">
      <w:pPr>
        <w:tabs>
          <w:tab w:val="left" w:pos="6300"/>
        </w:tabs>
        <w:snapToGrid w:val="0"/>
        <w:ind w:firstLine="560" w:firstLineChars="200"/>
        <w:rPr>
          <w:rFonts w:hint="eastAsia" w:ascii="仿宋" w:hAnsi="仿宋" w:eastAsia="仿宋" w:cs="仿宋"/>
          <w:color w:val="auto"/>
          <w:sz w:val="24"/>
          <w:szCs w:val="28"/>
          <w:highlight w:val="none"/>
        </w:rPr>
      </w:pPr>
      <w:r>
        <w:rPr>
          <w:rFonts w:hint="eastAsia" w:ascii="仿宋" w:hAnsi="仿宋" w:eastAsia="仿宋" w:cs="仿宋"/>
          <w:color w:val="auto"/>
          <w:szCs w:val="28"/>
          <w:highlight w:val="none"/>
        </w:rPr>
        <w:br w:type="page"/>
      </w:r>
      <w:r>
        <w:rPr>
          <w:rFonts w:hint="eastAsia" w:ascii="仿宋" w:hAnsi="仿宋" w:eastAsia="仿宋" w:cs="仿宋"/>
          <w:color w:val="auto"/>
          <w:sz w:val="24"/>
          <w:szCs w:val="28"/>
          <w:highlight w:val="none"/>
        </w:rPr>
        <w:t>（三）其它优惠承诺</w:t>
      </w:r>
    </w:p>
    <w:p w14:paraId="50C32D42">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AAC20DB">
      <w:pPr>
        <w:pStyle w:val="3"/>
        <w:spacing w:line="240" w:lineRule="auto"/>
        <w:ind w:firstLine="643"/>
        <w:rPr>
          <w:rFonts w:hint="eastAsia" w:ascii="仿宋" w:hAnsi="仿宋" w:eastAsia="仿宋" w:cs="仿宋"/>
          <w:color w:val="auto"/>
          <w:highlight w:val="none"/>
        </w:rPr>
      </w:pPr>
      <w:bookmarkStart w:id="197" w:name="_Toc12509"/>
      <w:bookmarkStart w:id="198" w:name="_Toc11324"/>
      <w:bookmarkStart w:id="199" w:name="_Toc23187"/>
      <w:bookmarkStart w:id="200" w:name="_Toc28432"/>
      <w:bookmarkStart w:id="201" w:name="_Toc4000"/>
      <w:bookmarkStart w:id="202" w:name="_Toc17848"/>
      <w:bookmarkStart w:id="203" w:name="_Toc6108"/>
      <w:bookmarkStart w:id="204" w:name="_Toc106030421"/>
      <w:bookmarkStart w:id="205" w:name="_Toc493178793"/>
      <w:bookmarkStart w:id="206" w:name="_Toc26381"/>
      <w:bookmarkStart w:id="207" w:name="_Toc16577"/>
      <w:bookmarkStart w:id="208" w:name="_Toc13249"/>
      <w:bookmarkStart w:id="209" w:name="_Toc17829"/>
      <w:bookmarkStart w:id="210" w:name="_Toc183783163"/>
      <w:bookmarkStart w:id="211" w:name="_Toc30818"/>
      <w:bookmarkStart w:id="212" w:name="_Toc492721038"/>
      <w:bookmarkStart w:id="213" w:name="_Toc21121"/>
      <w:bookmarkStart w:id="214" w:name="_Toc75793544"/>
      <w:r>
        <w:rPr>
          <w:rFonts w:hint="eastAsia" w:ascii="仿宋" w:hAnsi="仿宋" w:eastAsia="仿宋" w:cs="仿宋"/>
          <w:color w:val="auto"/>
          <w:highlight w:val="none"/>
        </w:rPr>
        <w:t>四、资格证明文件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68755044">
      <w:pPr>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（一）法人营业执照（副本）或事业单位法人证书（副本）或个体工商户营业执照或有效的自然人身份证明或社会团体法人登记证书复印件</w:t>
      </w:r>
    </w:p>
    <w:p w14:paraId="77953151">
      <w:pPr>
        <w:tabs>
          <w:tab w:val="left" w:pos="6300"/>
        </w:tabs>
        <w:snapToGrid w:val="0"/>
        <w:ind w:firstLine="480"/>
        <w:rPr>
          <w:rFonts w:hint="eastAsia" w:ascii="仿宋" w:hAnsi="仿宋" w:eastAsia="仿宋" w:cs="仿宋"/>
          <w:color w:val="auto"/>
          <w:highlight w:val="none"/>
        </w:rPr>
      </w:pPr>
    </w:p>
    <w:p w14:paraId="3191F0DB">
      <w:pPr>
        <w:tabs>
          <w:tab w:val="left" w:pos="6300"/>
        </w:tabs>
        <w:snapToGrid w:val="0"/>
        <w:ind w:firstLine="480"/>
        <w:rPr>
          <w:rFonts w:hint="eastAsia" w:ascii="仿宋" w:hAnsi="仿宋" w:eastAsia="仿宋" w:cs="仿宋"/>
          <w:color w:val="auto"/>
          <w:highlight w:val="none"/>
        </w:rPr>
      </w:pPr>
    </w:p>
    <w:p w14:paraId="46D1C1EC">
      <w:pPr>
        <w:tabs>
          <w:tab w:val="left" w:pos="6300"/>
        </w:tabs>
        <w:snapToGrid w:val="0"/>
        <w:ind w:firstLine="480"/>
        <w:rPr>
          <w:rFonts w:hint="eastAsia" w:ascii="仿宋" w:hAnsi="仿宋" w:eastAsia="仿宋" w:cs="仿宋"/>
          <w:color w:val="auto"/>
          <w:highlight w:val="none"/>
        </w:rPr>
      </w:pPr>
    </w:p>
    <w:p w14:paraId="780955B2">
      <w:pPr>
        <w:tabs>
          <w:tab w:val="left" w:pos="6300"/>
        </w:tabs>
        <w:snapToGrid w:val="0"/>
        <w:ind w:firstLine="480"/>
        <w:rPr>
          <w:rFonts w:hint="eastAsia" w:ascii="仿宋" w:hAnsi="仿宋" w:eastAsia="仿宋" w:cs="仿宋"/>
          <w:color w:val="auto"/>
          <w:highlight w:val="none"/>
        </w:rPr>
      </w:pPr>
    </w:p>
    <w:p w14:paraId="19297B23">
      <w:pPr>
        <w:tabs>
          <w:tab w:val="left" w:pos="6300"/>
        </w:tabs>
        <w:snapToGrid w:val="0"/>
        <w:ind w:firstLine="480"/>
        <w:rPr>
          <w:rFonts w:hint="eastAsia" w:ascii="仿宋" w:hAnsi="仿宋" w:eastAsia="仿宋" w:cs="仿宋"/>
          <w:color w:val="auto"/>
          <w:highlight w:val="none"/>
        </w:rPr>
      </w:pPr>
    </w:p>
    <w:p w14:paraId="6765AFB9">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（二）法定代表人身份证明书（格式）</w:t>
      </w:r>
    </w:p>
    <w:p w14:paraId="43134D62">
      <w:pPr>
        <w:tabs>
          <w:tab w:val="left" w:pos="6300"/>
        </w:tabs>
        <w:snapToGrid w:val="0"/>
        <w:ind w:firstLine="480"/>
        <w:rPr>
          <w:rFonts w:hint="eastAsia" w:ascii="仿宋" w:hAnsi="仿宋" w:eastAsia="仿宋" w:cs="仿宋"/>
          <w:color w:val="auto"/>
          <w:sz w:val="24"/>
          <w:highlight w:val="none"/>
        </w:rPr>
      </w:pPr>
    </w:p>
    <w:p w14:paraId="568C8822">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84F70E4">
      <w:pPr>
        <w:tabs>
          <w:tab w:val="left" w:pos="6300"/>
        </w:tabs>
        <w:snapToGrid w:val="0"/>
        <w:ind w:firstLine="480"/>
        <w:rPr>
          <w:rFonts w:hint="eastAsia" w:ascii="仿宋" w:hAnsi="仿宋" w:eastAsia="仿宋" w:cs="仿宋"/>
          <w:color w:val="auto"/>
          <w:sz w:val="24"/>
          <w:highlight w:val="none"/>
        </w:rPr>
      </w:pPr>
    </w:p>
    <w:p w14:paraId="4AAAD449">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14:paraId="169EDF38">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（性别）在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（职务名称）职务，是（</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的法定代表人。</w:t>
      </w:r>
    </w:p>
    <w:p w14:paraId="67E633FE">
      <w:pPr>
        <w:tabs>
          <w:tab w:val="left" w:pos="6300"/>
        </w:tabs>
        <w:snapToGrid w:val="0"/>
        <w:ind w:firstLine="480"/>
        <w:rPr>
          <w:rFonts w:hint="eastAsia" w:ascii="仿宋" w:hAnsi="仿宋" w:eastAsia="仿宋" w:cs="仿宋"/>
          <w:color w:val="auto"/>
          <w:sz w:val="24"/>
          <w:highlight w:val="none"/>
        </w:rPr>
      </w:pPr>
    </w:p>
    <w:p w14:paraId="05659083">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2465A105">
      <w:pPr>
        <w:tabs>
          <w:tab w:val="left" w:pos="6300"/>
        </w:tabs>
        <w:snapToGrid w:val="0"/>
        <w:ind w:firstLine="480"/>
        <w:rPr>
          <w:rFonts w:hint="eastAsia" w:ascii="仿宋" w:hAnsi="仿宋" w:eastAsia="仿宋" w:cs="仿宋"/>
          <w:color w:val="auto"/>
          <w:sz w:val="24"/>
          <w:highlight w:val="none"/>
        </w:rPr>
      </w:pPr>
    </w:p>
    <w:p w14:paraId="69DF15D4">
      <w:pPr>
        <w:tabs>
          <w:tab w:val="left" w:pos="6300"/>
        </w:tabs>
        <w:snapToGrid w:val="0"/>
        <w:ind w:firstLine="480"/>
        <w:rPr>
          <w:rFonts w:hint="eastAsia" w:ascii="仿宋" w:hAnsi="仿宋" w:eastAsia="仿宋" w:cs="仿宋"/>
          <w:color w:val="auto"/>
          <w:sz w:val="24"/>
          <w:highlight w:val="none"/>
        </w:rPr>
      </w:pPr>
    </w:p>
    <w:p w14:paraId="2E555E21">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w:t>
      </w:r>
    </w:p>
    <w:p w14:paraId="1C08D1FC">
      <w:pPr>
        <w:tabs>
          <w:tab w:val="left" w:pos="6300"/>
        </w:tabs>
        <w:snapToGrid w:val="0"/>
        <w:ind w:firstLine="5848" w:firstLineChars="2437"/>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公章）</w:t>
      </w:r>
    </w:p>
    <w:p w14:paraId="196C7AA7">
      <w:pPr>
        <w:tabs>
          <w:tab w:val="left" w:pos="6300"/>
        </w:tabs>
        <w:snapToGrid w:val="0"/>
        <w:ind w:firstLine="480"/>
        <w:rPr>
          <w:rFonts w:hint="eastAsia" w:ascii="仿宋" w:hAnsi="仿宋" w:eastAsia="仿宋" w:cs="仿宋"/>
          <w:color w:val="auto"/>
          <w:sz w:val="24"/>
          <w:highlight w:val="none"/>
        </w:rPr>
      </w:pPr>
    </w:p>
    <w:p w14:paraId="71AA24CB">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27526E91">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法定代表人电话：XXXXXXX      电子邮箱：XXXXXX@XXXXX（若授权他人办理并签署投标文件的可不填写）</w:t>
      </w:r>
    </w:p>
    <w:p w14:paraId="20687D08">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（附：法定代表人身份证正反面复印件）</w:t>
      </w:r>
    </w:p>
    <w:p w14:paraId="639152E7">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CCEF9F8">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（三）法定代表人授权委托书（格式）</w:t>
      </w:r>
    </w:p>
    <w:p w14:paraId="59D37BA4">
      <w:pPr>
        <w:tabs>
          <w:tab w:val="left" w:pos="6300"/>
        </w:tabs>
        <w:snapToGrid w:val="0"/>
        <w:ind w:firstLine="480"/>
        <w:jc w:val="center"/>
        <w:rPr>
          <w:rFonts w:hint="eastAsia" w:ascii="仿宋" w:hAnsi="仿宋" w:eastAsia="仿宋" w:cs="仿宋"/>
          <w:color w:val="auto"/>
          <w:sz w:val="24"/>
          <w:szCs w:val="24"/>
          <w:highlight w:val="none"/>
        </w:rPr>
      </w:pPr>
    </w:p>
    <w:p w14:paraId="213B1A06">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73620AAE">
      <w:pPr>
        <w:tabs>
          <w:tab w:val="left" w:pos="6300"/>
        </w:tabs>
        <w:snapToGrid w:val="0"/>
        <w:ind w:firstLine="480" w:firstLineChars="200"/>
        <w:rPr>
          <w:rFonts w:hint="eastAsia" w:ascii="仿宋" w:hAnsi="仿宋" w:eastAsia="仿宋" w:cs="仿宋"/>
          <w:color w:val="auto"/>
          <w:sz w:val="24"/>
          <w:szCs w:val="24"/>
          <w:highlight w:val="none"/>
        </w:rPr>
      </w:pPr>
    </w:p>
    <w:p w14:paraId="44A18421">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highlight w:val="none"/>
        </w:rPr>
        <w:t>（采购代理机构名称）：</w:t>
      </w:r>
    </w:p>
    <w:p w14:paraId="312F5B47">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法定代表人名称）是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名称）的法定代表人，特授权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（被授权人姓名及身份证代码）代表我单位全权办理上述项目的投标、谈判、签约等具体工作，并签署全部有关文件、协议及合同。</w:t>
      </w:r>
    </w:p>
    <w:p w14:paraId="00CD831F">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我单位对被授权人的签署负全部责任。</w:t>
      </w:r>
    </w:p>
    <w:p w14:paraId="672BE4F2">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在撤销授权的书面通知以前，本授权书一直有效。被授权人在授权书有效期内签署的所有文件不因授权的撤销而失效。</w:t>
      </w:r>
    </w:p>
    <w:p w14:paraId="19FB09F5">
      <w:pPr>
        <w:tabs>
          <w:tab w:val="left" w:pos="6300"/>
        </w:tabs>
        <w:snapToGrid w:val="0"/>
        <w:ind w:firstLine="480"/>
        <w:rPr>
          <w:rFonts w:hint="eastAsia" w:ascii="仿宋" w:hAnsi="仿宋" w:eastAsia="仿宋" w:cs="仿宋"/>
          <w:color w:val="auto"/>
          <w:sz w:val="24"/>
          <w:szCs w:val="24"/>
          <w:highlight w:val="none"/>
        </w:rPr>
      </w:pPr>
    </w:p>
    <w:p w14:paraId="4EB9CC7A">
      <w:pPr>
        <w:tabs>
          <w:tab w:val="left" w:pos="6300"/>
        </w:tabs>
        <w:snapToGrid w:val="0"/>
        <w:ind w:firstLine="480"/>
        <w:rPr>
          <w:rFonts w:hint="eastAsia" w:ascii="仿宋" w:hAnsi="仿宋" w:eastAsia="仿宋" w:cs="仿宋"/>
          <w:color w:val="auto"/>
          <w:sz w:val="24"/>
          <w:szCs w:val="24"/>
          <w:highlight w:val="none"/>
        </w:rPr>
      </w:pPr>
    </w:p>
    <w:p w14:paraId="48E6414E">
      <w:pPr>
        <w:tabs>
          <w:tab w:val="left" w:pos="6300"/>
        </w:tabs>
        <w:snapToGrid w:val="0"/>
        <w:ind w:firstLine="480"/>
        <w:rPr>
          <w:rFonts w:hint="eastAsia" w:ascii="仿宋" w:hAnsi="仿宋" w:eastAsia="仿宋" w:cs="仿宋"/>
          <w:color w:val="auto"/>
          <w:sz w:val="24"/>
          <w:szCs w:val="24"/>
          <w:highlight w:val="none"/>
        </w:rPr>
      </w:pPr>
      <w:bookmarkStart w:id="215" w:name="_Hlk517194860"/>
      <w:r>
        <w:rPr>
          <w:rFonts w:hint="eastAsia" w:ascii="仿宋" w:hAnsi="仿宋" w:eastAsia="仿宋" w:cs="仿宋"/>
          <w:color w:val="auto"/>
          <w:sz w:val="24"/>
          <w:szCs w:val="24"/>
          <w:highlight w:val="none"/>
        </w:rPr>
        <w:t xml:space="preserve">被授权人：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法定代表人：</w:t>
      </w:r>
    </w:p>
    <w:p w14:paraId="44643722">
      <w:pPr>
        <w:tabs>
          <w:tab w:val="left" w:pos="6300"/>
        </w:tabs>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（签署或盖章）              （签署或盖章）</w:t>
      </w:r>
    </w:p>
    <w:bookmarkEnd w:id="215"/>
    <w:p w14:paraId="53A3FF79">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58CA2EB">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（附：被授权人身份证正反面复印件）</w:t>
      </w:r>
    </w:p>
    <w:p w14:paraId="0F52E2AC">
      <w:pPr>
        <w:tabs>
          <w:tab w:val="left" w:pos="6300"/>
        </w:tabs>
        <w:snapToGrid w:val="0"/>
        <w:ind w:firstLine="480"/>
        <w:rPr>
          <w:rFonts w:hint="eastAsia" w:ascii="仿宋" w:hAnsi="仿宋" w:eastAsia="仿宋" w:cs="仿宋"/>
          <w:color w:val="auto"/>
          <w:sz w:val="24"/>
          <w:szCs w:val="24"/>
          <w:highlight w:val="none"/>
        </w:rPr>
      </w:pPr>
    </w:p>
    <w:p w14:paraId="79CE9707">
      <w:pPr>
        <w:tabs>
          <w:tab w:val="left" w:pos="6300"/>
        </w:tabs>
        <w:snapToGrid w:val="0"/>
        <w:ind w:firstLine="480"/>
        <w:rPr>
          <w:rFonts w:hint="eastAsia" w:ascii="仿宋" w:hAnsi="仿宋" w:eastAsia="仿宋" w:cs="仿宋"/>
          <w:color w:val="auto"/>
          <w:sz w:val="24"/>
          <w:szCs w:val="24"/>
          <w:highlight w:val="none"/>
        </w:rPr>
      </w:pPr>
    </w:p>
    <w:p w14:paraId="0584F0BE">
      <w:pPr>
        <w:tabs>
          <w:tab w:val="left" w:pos="5670"/>
        </w:tabs>
        <w:snapToGrid w:val="0"/>
        <w:ind w:firstLine="5760" w:firstLineChars="2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p>
    <w:p w14:paraId="58144C9D">
      <w:pPr>
        <w:tabs>
          <w:tab w:val="left" w:pos="6300"/>
        </w:tabs>
        <w:snapToGrid w:val="0"/>
        <w:ind w:right="600"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1DCC079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被授权人电话：        电子邮箱：     （若法定代表人办理并签署投标文件的可不填写）</w:t>
      </w:r>
    </w:p>
    <w:p w14:paraId="374BFC8E">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p>
    <w:p w14:paraId="6ED1120B">
      <w:pPr>
        <w:ind w:firstLine="480" w:firstLineChars="200"/>
        <w:jc w:val="left"/>
        <w:rPr>
          <w:rFonts w:hint="eastAsia" w:ascii="仿宋" w:hAnsi="仿宋" w:eastAsia="仿宋" w:cs="仿宋"/>
          <w:color w:val="auto"/>
          <w:sz w:val="24"/>
          <w:szCs w:val="24"/>
          <w:highlight w:val="none"/>
        </w:rPr>
      </w:pPr>
      <w:bookmarkStart w:id="216" w:name="_Toc4003"/>
      <w:bookmarkStart w:id="217" w:name="_Toc27402"/>
      <w:bookmarkStart w:id="218" w:name="_Toc26496"/>
      <w:bookmarkStart w:id="219" w:name="_Toc10914"/>
      <w:bookmarkStart w:id="220" w:name="_Toc25283"/>
      <w:bookmarkStart w:id="221" w:name="_Toc31225"/>
      <w:bookmarkStart w:id="222" w:name="_Toc26813"/>
      <w:bookmarkStart w:id="223" w:name="_Toc10358"/>
      <w:r>
        <w:rPr>
          <w:rFonts w:hint="eastAsia" w:ascii="仿宋" w:hAnsi="仿宋" w:eastAsia="仿宋" w:cs="仿宋"/>
          <w:color w:val="auto"/>
          <w:sz w:val="24"/>
          <w:szCs w:val="24"/>
          <w:highlight w:val="none"/>
        </w:rPr>
        <w:t>1．若为法定代表人办理并签署投标文件的，不提供此文件。</w:t>
      </w:r>
      <w:bookmarkEnd w:id="216"/>
      <w:bookmarkEnd w:id="217"/>
      <w:bookmarkEnd w:id="218"/>
      <w:bookmarkEnd w:id="219"/>
      <w:bookmarkEnd w:id="220"/>
      <w:bookmarkEnd w:id="221"/>
      <w:bookmarkEnd w:id="222"/>
      <w:bookmarkEnd w:id="223"/>
    </w:p>
    <w:p w14:paraId="65AE160C">
      <w:pPr>
        <w:tabs>
          <w:tab w:val="left" w:pos="6300"/>
        </w:tabs>
        <w:snapToGrid w:val="0"/>
        <w:ind w:firstLine="480"/>
        <w:rPr>
          <w:rFonts w:hint="eastAsia" w:ascii="仿宋" w:hAnsi="仿宋" w:eastAsia="仿宋" w:cs="仿宋"/>
          <w:color w:val="auto"/>
          <w:sz w:val="24"/>
          <w:highlight w:val="none"/>
        </w:rPr>
      </w:pPr>
    </w:p>
    <w:p w14:paraId="6290B37B">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column"/>
      </w:r>
      <w:r>
        <w:rPr>
          <w:rFonts w:hint="eastAsia" w:ascii="仿宋" w:hAnsi="仿宋" w:eastAsia="仿宋" w:cs="仿宋"/>
          <w:color w:val="auto"/>
          <w:sz w:val="24"/>
          <w:highlight w:val="none"/>
        </w:rPr>
        <w:t>（四）基本资格条件承诺函</w:t>
      </w:r>
    </w:p>
    <w:p w14:paraId="64426FD1">
      <w:pPr>
        <w:jc w:val="center"/>
        <w:rPr>
          <w:rFonts w:hint="eastAsia" w:ascii="仿宋" w:hAnsi="仿宋" w:eastAsia="仿宋" w:cs="仿宋"/>
          <w:color w:val="auto"/>
          <w:highlight w:val="none"/>
        </w:rPr>
      </w:pPr>
      <w:r>
        <w:rPr>
          <w:rFonts w:hint="eastAsia" w:ascii="仿宋" w:hAnsi="仿宋" w:eastAsia="仿宋" w:cs="仿宋"/>
          <w:color w:val="auto"/>
          <w:highlight w:val="none"/>
        </w:rPr>
        <w:t>基本资格条件承诺函</w:t>
      </w:r>
    </w:p>
    <w:p w14:paraId="63C8819C">
      <w:pPr>
        <w:tabs>
          <w:tab w:val="left" w:pos="6300"/>
        </w:tabs>
        <w:snapToGrid w:val="0"/>
        <w:ind w:firstLine="480"/>
        <w:rPr>
          <w:rFonts w:hint="eastAsia" w:ascii="仿宋" w:hAnsi="仿宋" w:eastAsia="仿宋" w:cs="仿宋"/>
          <w:color w:val="auto"/>
          <w:sz w:val="24"/>
          <w:highlight w:val="none"/>
        </w:rPr>
      </w:pPr>
    </w:p>
    <w:p w14:paraId="1E2131F7">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14:paraId="7A86809B">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名称）郑重承诺：</w:t>
      </w:r>
    </w:p>
    <w:p w14:paraId="1500BD23">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1.我方具有良好的商业信誉和健全的财务会计制度，具有履行合同所必需的设备和专业技术能力，具</w:t>
      </w:r>
      <w:r>
        <w:rPr>
          <w:rFonts w:hint="eastAsia" w:ascii="仿宋" w:hAnsi="仿宋" w:eastAsia="仿宋" w:cs="仿宋"/>
          <w:color w:val="auto"/>
          <w:sz w:val="24"/>
          <w:highlight w:val="none"/>
          <w:lang w:val="zh-CN"/>
        </w:rPr>
        <w:t>有依法缴纳税收和社会保障金的良好记录</w:t>
      </w:r>
      <w:r>
        <w:rPr>
          <w:rFonts w:hint="eastAsia" w:ascii="仿宋" w:hAnsi="仿宋" w:eastAsia="仿宋" w:cs="仿宋"/>
          <w:color w:val="auto"/>
          <w:sz w:val="24"/>
          <w:highlight w:val="none"/>
        </w:rPr>
        <w:t>，参加本项目采购活动前三年内无重大违法活动记录。</w:t>
      </w:r>
    </w:p>
    <w:p w14:paraId="5864A0E2">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277CEEA5">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3.我方在采购项目评审（评标）环节结束后，随时接受采购人、采购代理机构的检查验证，配合提供相关证明材料，证明符合《中华人民共和国政府采购法》规定的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基本资格条件。</w:t>
      </w:r>
    </w:p>
    <w:p w14:paraId="7EDC0309">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我方对以上承诺负全部法律责任。</w:t>
      </w:r>
    </w:p>
    <w:p w14:paraId="596D5AF7">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5347A8BF">
      <w:pPr>
        <w:tabs>
          <w:tab w:val="left" w:pos="6300"/>
        </w:tabs>
        <w:snapToGrid w:val="0"/>
        <w:ind w:firstLine="480" w:firstLineChars="200"/>
        <w:rPr>
          <w:rFonts w:hint="eastAsia" w:ascii="仿宋" w:hAnsi="仿宋" w:eastAsia="仿宋" w:cs="仿宋"/>
          <w:color w:val="auto"/>
          <w:sz w:val="24"/>
          <w:highlight w:val="none"/>
        </w:rPr>
      </w:pPr>
    </w:p>
    <w:p w14:paraId="7F217A41">
      <w:pPr>
        <w:tabs>
          <w:tab w:val="left" w:pos="6300"/>
        </w:tabs>
        <w:snapToGrid w:val="0"/>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公章）</w:t>
      </w:r>
    </w:p>
    <w:p w14:paraId="425C0BC5">
      <w:pPr>
        <w:tabs>
          <w:tab w:val="left" w:pos="6300"/>
        </w:tabs>
        <w:snapToGrid w:val="0"/>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603C5DA8">
      <w:pPr>
        <w:snapToGrid w:val="0"/>
        <w:ind w:firstLine="480" w:firstLineChars="200"/>
        <w:rPr>
          <w:rFonts w:hint="eastAsia" w:ascii="仿宋" w:hAnsi="仿宋" w:eastAsia="仿宋" w:cs="仿宋"/>
          <w:color w:val="auto"/>
          <w:sz w:val="24"/>
          <w:szCs w:val="24"/>
          <w:highlight w:val="none"/>
        </w:rPr>
      </w:pPr>
    </w:p>
    <w:p w14:paraId="06E1CEC0">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4730645">
      <w:pPr>
        <w:tabs>
          <w:tab w:val="left" w:pos="6300"/>
        </w:tabs>
        <w:snapToGrid w:val="0"/>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（五）特定资格条件证书或证明文件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p>
    <w:p w14:paraId="5BC464E6">
      <w:pPr>
        <w:tabs>
          <w:tab w:val="left" w:pos="6300"/>
        </w:tabs>
        <w:snapToGrid w:val="0"/>
        <w:ind w:firstLine="480"/>
        <w:jc w:val="left"/>
        <w:rPr>
          <w:rFonts w:hint="eastAsia" w:ascii="仿宋" w:hAnsi="仿宋" w:eastAsia="仿宋" w:cs="仿宋"/>
          <w:color w:val="auto"/>
          <w:sz w:val="24"/>
          <w:highlight w:val="none"/>
        </w:rPr>
      </w:pPr>
    </w:p>
    <w:p w14:paraId="185FB19C">
      <w:pPr>
        <w:tabs>
          <w:tab w:val="left" w:pos="6300"/>
        </w:tabs>
        <w:snapToGrid w:val="0"/>
        <w:ind w:firstLine="480"/>
        <w:jc w:val="left"/>
        <w:rPr>
          <w:rFonts w:hint="eastAsia" w:ascii="仿宋" w:hAnsi="仿宋" w:eastAsia="仿宋" w:cs="仿宋"/>
          <w:color w:val="auto"/>
          <w:sz w:val="24"/>
          <w:highlight w:val="none"/>
        </w:rPr>
      </w:pPr>
    </w:p>
    <w:p w14:paraId="2A2D7049">
      <w:pPr>
        <w:tabs>
          <w:tab w:val="left" w:pos="6300"/>
        </w:tabs>
        <w:snapToGrid w:val="0"/>
        <w:ind w:firstLine="480"/>
        <w:jc w:val="left"/>
        <w:rPr>
          <w:rFonts w:hint="eastAsia" w:ascii="仿宋" w:hAnsi="仿宋" w:eastAsia="仿宋" w:cs="仿宋"/>
          <w:color w:val="auto"/>
          <w:sz w:val="24"/>
          <w:highlight w:val="none"/>
        </w:rPr>
      </w:pPr>
    </w:p>
    <w:p w14:paraId="2C39665B">
      <w:pPr>
        <w:tabs>
          <w:tab w:val="left" w:pos="6300"/>
        </w:tabs>
        <w:snapToGrid w:val="0"/>
        <w:ind w:firstLine="480"/>
        <w:jc w:val="left"/>
        <w:rPr>
          <w:rFonts w:hint="eastAsia" w:ascii="仿宋" w:hAnsi="仿宋" w:eastAsia="仿宋" w:cs="仿宋"/>
          <w:color w:val="auto"/>
          <w:sz w:val="24"/>
          <w:highlight w:val="none"/>
        </w:rPr>
      </w:pPr>
    </w:p>
    <w:p w14:paraId="31186FA0">
      <w:pPr>
        <w:tabs>
          <w:tab w:val="left" w:pos="6300"/>
        </w:tabs>
        <w:snapToGrid w:val="0"/>
        <w:ind w:firstLine="480"/>
        <w:jc w:val="left"/>
        <w:rPr>
          <w:rFonts w:hint="eastAsia" w:ascii="仿宋" w:hAnsi="仿宋" w:eastAsia="仿宋" w:cs="仿宋"/>
          <w:color w:val="auto"/>
          <w:sz w:val="24"/>
          <w:highlight w:val="none"/>
        </w:rPr>
      </w:pPr>
    </w:p>
    <w:p w14:paraId="117F1A4E">
      <w:pPr>
        <w:tabs>
          <w:tab w:val="left" w:pos="6300"/>
        </w:tabs>
        <w:snapToGrid w:val="0"/>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（结束）</w:t>
      </w:r>
    </w:p>
    <w:p w14:paraId="5420D942">
      <w:pPr>
        <w:tabs>
          <w:tab w:val="left" w:pos="6300"/>
        </w:tabs>
        <w:snapToGrid w:val="0"/>
        <w:ind w:firstLine="480"/>
        <w:jc w:val="left"/>
        <w:rPr>
          <w:rFonts w:hint="eastAsia" w:ascii="仿宋" w:hAnsi="仿宋" w:eastAsia="仿宋" w:cs="仿宋"/>
          <w:color w:val="auto"/>
          <w:sz w:val="24"/>
          <w:highlight w:val="none"/>
        </w:rPr>
      </w:pPr>
    </w:p>
    <w:p w14:paraId="0B3B984A">
      <w:pPr>
        <w:tabs>
          <w:tab w:val="left" w:pos="6300"/>
        </w:tabs>
        <w:snapToGrid w:val="0"/>
        <w:ind w:firstLine="480"/>
        <w:jc w:val="left"/>
        <w:rPr>
          <w:rFonts w:hint="eastAsia" w:ascii="仿宋" w:hAnsi="仿宋" w:eastAsia="仿宋" w:cs="仿宋"/>
          <w:color w:val="auto"/>
          <w:sz w:val="24"/>
          <w:highlight w:val="none"/>
        </w:rPr>
      </w:pPr>
    </w:p>
    <w:p w14:paraId="084E0429">
      <w:pPr>
        <w:tabs>
          <w:tab w:val="left" w:pos="6300"/>
        </w:tabs>
        <w:snapToGrid w:val="0"/>
        <w:ind w:firstLine="480"/>
        <w:jc w:val="left"/>
        <w:rPr>
          <w:rFonts w:hint="eastAsia" w:ascii="仿宋" w:hAnsi="仿宋" w:eastAsia="仿宋" w:cs="仿宋"/>
          <w:color w:val="auto"/>
          <w:sz w:val="24"/>
          <w:highlight w:val="none"/>
        </w:rPr>
      </w:pPr>
    </w:p>
    <w:p w14:paraId="340251FE">
      <w:pPr>
        <w:tabs>
          <w:tab w:val="left" w:pos="6300"/>
        </w:tabs>
        <w:snapToGrid w:val="0"/>
        <w:ind w:firstLine="480"/>
        <w:jc w:val="left"/>
        <w:rPr>
          <w:rFonts w:hint="eastAsia" w:ascii="仿宋" w:hAnsi="仿宋" w:eastAsia="仿宋" w:cs="仿宋"/>
          <w:color w:val="auto"/>
          <w:sz w:val="24"/>
          <w:highlight w:val="none"/>
        </w:rPr>
      </w:pPr>
    </w:p>
    <w:p w14:paraId="5810407C">
      <w:pPr>
        <w:tabs>
          <w:tab w:val="left" w:pos="6300"/>
        </w:tabs>
        <w:snapToGrid w:val="0"/>
        <w:ind w:firstLine="480"/>
        <w:jc w:val="left"/>
        <w:rPr>
          <w:rFonts w:hint="eastAsia" w:ascii="仿宋" w:hAnsi="仿宋" w:eastAsia="仿宋" w:cs="仿宋"/>
          <w:color w:val="auto"/>
          <w:sz w:val="24"/>
          <w:highlight w:val="none"/>
        </w:rPr>
      </w:pPr>
    </w:p>
    <w:p w14:paraId="0286AC44">
      <w:pPr>
        <w:tabs>
          <w:tab w:val="left" w:pos="6300"/>
        </w:tabs>
        <w:snapToGrid w:val="0"/>
        <w:ind w:firstLine="480"/>
        <w:jc w:val="left"/>
        <w:rPr>
          <w:rFonts w:hint="eastAsia" w:ascii="仿宋" w:hAnsi="仿宋" w:eastAsia="仿宋" w:cs="仿宋"/>
          <w:color w:val="auto"/>
          <w:sz w:val="24"/>
          <w:highlight w:val="none"/>
        </w:rPr>
      </w:pPr>
    </w:p>
    <w:p w14:paraId="038B70AB">
      <w:pPr>
        <w:tabs>
          <w:tab w:val="left" w:pos="6300"/>
        </w:tabs>
        <w:snapToGrid w:val="0"/>
        <w:ind w:firstLine="480"/>
        <w:jc w:val="left"/>
        <w:rPr>
          <w:rFonts w:hint="eastAsia" w:ascii="仿宋" w:hAnsi="仿宋" w:eastAsia="仿宋" w:cs="仿宋"/>
          <w:color w:val="auto"/>
          <w:sz w:val="24"/>
          <w:highlight w:val="none"/>
        </w:rPr>
      </w:pPr>
    </w:p>
    <w:p w14:paraId="176DF9F0">
      <w:pPr>
        <w:tabs>
          <w:tab w:val="left" w:pos="6300"/>
        </w:tabs>
        <w:snapToGrid w:val="0"/>
        <w:ind w:firstLine="480"/>
        <w:jc w:val="left"/>
        <w:rPr>
          <w:rFonts w:hint="eastAsia" w:ascii="仿宋" w:hAnsi="仿宋" w:eastAsia="仿宋" w:cs="仿宋"/>
          <w:color w:val="auto"/>
          <w:sz w:val="24"/>
          <w:highlight w:val="none"/>
        </w:rPr>
      </w:pPr>
    </w:p>
    <w:p w14:paraId="291EB5D3">
      <w:pPr>
        <w:tabs>
          <w:tab w:val="left" w:pos="6300"/>
        </w:tabs>
        <w:snapToGrid w:val="0"/>
        <w:jc w:val="left"/>
        <w:rPr>
          <w:rFonts w:hint="eastAsia" w:ascii="仿宋" w:hAnsi="仿宋" w:eastAsia="仿宋" w:cs="仿宋"/>
          <w:color w:val="auto"/>
          <w:sz w:val="24"/>
          <w:highlight w:val="none"/>
        </w:rPr>
      </w:pPr>
    </w:p>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19D9E">
    <w:pPr>
      <w:pStyle w:val="12"/>
      <w:ind w:firstLine="422"/>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012925">
                          <w:pPr>
                            <w:pStyle w:val="12"/>
                          </w:pPr>
                          <w:r>
                            <w:fldChar w:fldCharType="begin"/>
                          </w:r>
                          <w:r>
                            <w:instrText xml:space="preserve"> PAGE  \* MERGEFORMAT </w:instrText>
                          </w:r>
                          <w:r>
                            <w:fldChar w:fldCharType="separate"/>
                          </w:r>
                          <w:r>
                            <w:t>- 16 -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19012925">
                    <w:pPr>
                      <w:pStyle w:val="12"/>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965E7">
    <w:pPr>
      <w:pStyle w:val="12"/>
      <w:ind w:firstLine="36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FBF11">
                          <w:pPr>
                            <w:pStyle w:val="12"/>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14:paraId="3D0FBF11">
                    <w:pPr>
                      <w:pStyle w:val="12"/>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1E48F">
    <w:pPr>
      <w:pStyle w:val="12"/>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0F786EB5">
                          <w:pPr>
                            <w:pStyle w:val="1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0F786EB5">
                    <w:pPr>
                      <w:pStyle w:val="1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7507B">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662896"/>
    <w:multiLevelType w:val="singleLevel"/>
    <w:tmpl w:val="E9662896"/>
    <w:lvl w:ilvl="0" w:tentative="0">
      <w:start w:val="1"/>
      <w:numFmt w:val="decimal"/>
      <w:suff w:val="nothing"/>
      <w:lvlText w:val="%1、"/>
      <w:lvlJc w:val="left"/>
    </w:lvl>
  </w:abstractNum>
  <w:abstractNum w:abstractNumId="1">
    <w:nsid w:val="005FFCAD"/>
    <w:multiLevelType w:val="singleLevel"/>
    <w:tmpl w:val="005FFCAD"/>
    <w:lvl w:ilvl="0" w:tentative="0">
      <w:start w:val="2"/>
      <w:numFmt w:val="chineseCounting"/>
      <w:suff w:val="nothing"/>
      <w:lvlText w:val="（%1）"/>
      <w:lvlJc w:val="left"/>
      <w:rPr>
        <w:rFonts w:hint="eastAsia"/>
      </w:rPr>
    </w:lvl>
  </w:abstractNum>
  <w:abstractNum w:abstractNumId="2">
    <w:nsid w:val="77ABF0D0"/>
    <w:multiLevelType w:val="singleLevel"/>
    <w:tmpl w:val="77ABF0D0"/>
    <w:lvl w:ilvl="0" w:tentative="0">
      <w:start w:val="1"/>
      <w:numFmt w:val="chineseCounting"/>
      <w:suff w:val="nothing"/>
      <w:lvlText w:val="%1、"/>
      <w:lvlJc w:val="left"/>
      <w:rPr>
        <w:rFonts w:hint="eastAsia"/>
      </w:rPr>
    </w:lvl>
  </w:abstractNum>
  <w:abstractNum w:abstractNumId="3">
    <w:nsid w:val="7D764751"/>
    <w:multiLevelType w:val="singleLevel"/>
    <w:tmpl w:val="7D764751"/>
    <w:lvl w:ilvl="0" w:tentative="0">
      <w:start w:val="3"/>
      <w:numFmt w:val="chineseCounting"/>
      <w:suff w:val="space"/>
      <w:lvlText w:val="第%1篇"/>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iNGUyNTkzN2JmZWY3ZGNiZjA5YmE1MGM1OTIwM2EifQ=="/>
  </w:docVars>
  <w:rsids>
    <w:rsidRoot w:val="4DEF5E83"/>
    <w:rsid w:val="0003329A"/>
    <w:rsid w:val="000351F5"/>
    <w:rsid w:val="00040D43"/>
    <w:rsid w:val="00044494"/>
    <w:rsid w:val="00060B4A"/>
    <w:rsid w:val="0006406A"/>
    <w:rsid w:val="00091BED"/>
    <w:rsid w:val="000B2A3D"/>
    <w:rsid w:val="000F008F"/>
    <w:rsid w:val="000F6268"/>
    <w:rsid w:val="0011596B"/>
    <w:rsid w:val="001172C9"/>
    <w:rsid w:val="001255A8"/>
    <w:rsid w:val="00144741"/>
    <w:rsid w:val="00190ED5"/>
    <w:rsid w:val="001960DE"/>
    <w:rsid w:val="001A012C"/>
    <w:rsid w:val="001A23C7"/>
    <w:rsid w:val="001A6C1A"/>
    <w:rsid w:val="001B67DD"/>
    <w:rsid w:val="001F0ECD"/>
    <w:rsid w:val="001F39AF"/>
    <w:rsid w:val="002117E9"/>
    <w:rsid w:val="002653FC"/>
    <w:rsid w:val="00266182"/>
    <w:rsid w:val="002728BA"/>
    <w:rsid w:val="002A0829"/>
    <w:rsid w:val="002B71A4"/>
    <w:rsid w:val="002C2D8E"/>
    <w:rsid w:val="002E4203"/>
    <w:rsid w:val="00300C1D"/>
    <w:rsid w:val="00313F21"/>
    <w:rsid w:val="003229F9"/>
    <w:rsid w:val="00373D29"/>
    <w:rsid w:val="00385457"/>
    <w:rsid w:val="00386A67"/>
    <w:rsid w:val="00386AF7"/>
    <w:rsid w:val="003C4373"/>
    <w:rsid w:val="003D1678"/>
    <w:rsid w:val="003D72A5"/>
    <w:rsid w:val="003D758D"/>
    <w:rsid w:val="004162B9"/>
    <w:rsid w:val="004263AE"/>
    <w:rsid w:val="0047123F"/>
    <w:rsid w:val="004955B3"/>
    <w:rsid w:val="004A08B7"/>
    <w:rsid w:val="004A47A5"/>
    <w:rsid w:val="004B68AC"/>
    <w:rsid w:val="004E094B"/>
    <w:rsid w:val="004E0C27"/>
    <w:rsid w:val="004E6683"/>
    <w:rsid w:val="004F4F90"/>
    <w:rsid w:val="004F5A0F"/>
    <w:rsid w:val="0052157A"/>
    <w:rsid w:val="00525483"/>
    <w:rsid w:val="00551838"/>
    <w:rsid w:val="00554349"/>
    <w:rsid w:val="005643B3"/>
    <w:rsid w:val="005665D2"/>
    <w:rsid w:val="00587F23"/>
    <w:rsid w:val="005C4F4E"/>
    <w:rsid w:val="005E76E9"/>
    <w:rsid w:val="005F038B"/>
    <w:rsid w:val="005F5AED"/>
    <w:rsid w:val="00624EA5"/>
    <w:rsid w:val="00634590"/>
    <w:rsid w:val="006377C1"/>
    <w:rsid w:val="00642350"/>
    <w:rsid w:val="0065667C"/>
    <w:rsid w:val="006722B8"/>
    <w:rsid w:val="00684D24"/>
    <w:rsid w:val="006B6399"/>
    <w:rsid w:val="006D2F09"/>
    <w:rsid w:val="006E1374"/>
    <w:rsid w:val="00715EB3"/>
    <w:rsid w:val="00717D99"/>
    <w:rsid w:val="00727077"/>
    <w:rsid w:val="00732380"/>
    <w:rsid w:val="0074794A"/>
    <w:rsid w:val="00760B1D"/>
    <w:rsid w:val="0076667C"/>
    <w:rsid w:val="00781B2F"/>
    <w:rsid w:val="00796B8A"/>
    <w:rsid w:val="007A4050"/>
    <w:rsid w:val="007A481E"/>
    <w:rsid w:val="007A605B"/>
    <w:rsid w:val="007B5373"/>
    <w:rsid w:val="007C6825"/>
    <w:rsid w:val="007D4E90"/>
    <w:rsid w:val="008150E5"/>
    <w:rsid w:val="0083718B"/>
    <w:rsid w:val="00844285"/>
    <w:rsid w:val="008502BA"/>
    <w:rsid w:val="00855BC6"/>
    <w:rsid w:val="008602C6"/>
    <w:rsid w:val="0087082E"/>
    <w:rsid w:val="00875BFD"/>
    <w:rsid w:val="008A65C4"/>
    <w:rsid w:val="008C7377"/>
    <w:rsid w:val="008E005D"/>
    <w:rsid w:val="008E5E57"/>
    <w:rsid w:val="00903458"/>
    <w:rsid w:val="009137CC"/>
    <w:rsid w:val="00926A85"/>
    <w:rsid w:val="00947A16"/>
    <w:rsid w:val="009621C3"/>
    <w:rsid w:val="00984D6C"/>
    <w:rsid w:val="00990827"/>
    <w:rsid w:val="009B3460"/>
    <w:rsid w:val="009C0EE9"/>
    <w:rsid w:val="009C19F2"/>
    <w:rsid w:val="009C39A1"/>
    <w:rsid w:val="009D6F85"/>
    <w:rsid w:val="009D73C2"/>
    <w:rsid w:val="009E17CD"/>
    <w:rsid w:val="00A00658"/>
    <w:rsid w:val="00A14B2E"/>
    <w:rsid w:val="00A2059A"/>
    <w:rsid w:val="00A414B8"/>
    <w:rsid w:val="00A46228"/>
    <w:rsid w:val="00A6633E"/>
    <w:rsid w:val="00AA1B06"/>
    <w:rsid w:val="00AA1C7E"/>
    <w:rsid w:val="00AA2A97"/>
    <w:rsid w:val="00AA72A9"/>
    <w:rsid w:val="00AB08F4"/>
    <w:rsid w:val="00AB0EE4"/>
    <w:rsid w:val="00AC0187"/>
    <w:rsid w:val="00AC3144"/>
    <w:rsid w:val="00B00B47"/>
    <w:rsid w:val="00B06297"/>
    <w:rsid w:val="00B258B3"/>
    <w:rsid w:val="00B31F3F"/>
    <w:rsid w:val="00B35773"/>
    <w:rsid w:val="00B534C2"/>
    <w:rsid w:val="00B6602F"/>
    <w:rsid w:val="00B73330"/>
    <w:rsid w:val="00B837FF"/>
    <w:rsid w:val="00B919A5"/>
    <w:rsid w:val="00BE683F"/>
    <w:rsid w:val="00BF40EF"/>
    <w:rsid w:val="00C209F9"/>
    <w:rsid w:val="00C76ED6"/>
    <w:rsid w:val="00CC3589"/>
    <w:rsid w:val="00CD6F8D"/>
    <w:rsid w:val="00D008CE"/>
    <w:rsid w:val="00D07940"/>
    <w:rsid w:val="00D37B4C"/>
    <w:rsid w:val="00D54920"/>
    <w:rsid w:val="00D63828"/>
    <w:rsid w:val="00DA1366"/>
    <w:rsid w:val="00DE644D"/>
    <w:rsid w:val="00DF047C"/>
    <w:rsid w:val="00DF0A25"/>
    <w:rsid w:val="00DF10AD"/>
    <w:rsid w:val="00DF1E46"/>
    <w:rsid w:val="00E0647C"/>
    <w:rsid w:val="00E119C5"/>
    <w:rsid w:val="00E16445"/>
    <w:rsid w:val="00E17CDD"/>
    <w:rsid w:val="00E300F4"/>
    <w:rsid w:val="00E30F02"/>
    <w:rsid w:val="00E47434"/>
    <w:rsid w:val="00E631B0"/>
    <w:rsid w:val="00E70824"/>
    <w:rsid w:val="00E7173D"/>
    <w:rsid w:val="00EA2284"/>
    <w:rsid w:val="00EA39B6"/>
    <w:rsid w:val="00EA3EE7"/>
    <w:rsid w:val="00EB01A4"/>
    <w:rsid w:val="00EB3EB5"/>
    <w:rsid w:val="00EB478E"/>
    <w:rsid w:val="00EB4F4B"/>
    <w:rsid w:val="00EC3E8B"/>
    <w:rsid w:val="00ED4FCC"/>
    <w:rsid w:val="00EE2EF4"/>
    <w:rsid w:val="00F07EA2"/>
    <w:rsid w:val="00F10508"/>
    <w:rsid w:val="00F216DC"/>
    <w:rsid w:val="00F318F4"/>
    <w:rsid w:val="00F67EFD"/>
    <w:rsid w:val="00F8598F"/>
    <w:rsid w:val="00F93DF8"/>
    <w:rsid w:val="00F941FA"/>
    <w:rsid w:val="00FA4452"/>
    <w:rsid w:val="00FA72E3"/>
    <w:rsid w:val="00FA78DE"/>
    <w:rsid w:val="00FB33CC"/>
    <w:rsid w:val="00FC1F73"/>
    <w:rsid w:val="00FC2C6C"/>
    <w:rsid w:val="00FD7029"/>
    <w:rsid w:val="00FE23CE"/>
    <w:rsid w:val="00FF177E"/>
    <w:rsid w:val="010131A7"/>
    <w:rsid w:val="010B22B0"/>
    <w:rsid w:val="01453A14"/>
    <w:rsid w:val="01522069"/>
    <w:rsid w:val="01782C45"/>
    <w:rsid w:val="018D0F17"/>
    <w:rsid w:val="0192589A"/>
    <w:rsid w:val="01C40DDD"/>
    <w:rsid w:val="023A4BFB"/>
    <w:rsid w:val="027F4D04"/>
    <w:rsid w:val="02C72207"/>
    <w:rsid w:val="02E334E5"/>
    <w:rsid w:val="02F474A0"/>
    <w:rsid w:val="03127926"/>
    <w:rsid w:val="03393105"/>
    <w:rsid w:val="037E30D1"/>
    <w:rsid w:val="03A70F25"/>
    <w:rsid w:val="03AC20C9"/>
    <w:rsid w:val="03FF434E"/>
    <w:rsid w:val="042E69E2"/>
    <w:rsid w:val="0482288A"/>
    <w:rsid w:val="04975000"/>
    <w:rsid w:val="04EA6DAD"/>
    <w:rsid w:val="05047743"/>
    <w:rsid w:val="055A55B4"/>
    <w:rsid w:val="056E4905"/>
    <w:rsid w:val="057332A8"/>
    <w:rsid w:val="05AE345A"/>
    <w:rsid w:val="064A5629"/>
    <w:rsid w:val="06A40784"/>
    <w:rsid w:val="06B238FA"/>
    <w:rsid w:val="06E15F8D"/>
    <w:rsid w:val="06E710CA"/>
    <w:rsid w:val="070752C8"/>
    <w:rsid w:val="0757624F"/>
    <w:rsid w:val="07846919"/>
    <w:rsid w:val="07862691"/>
    <w:rsid w:val="078A03D3"/>
    <w:rsid w:val="079C56BF"/>
    <w:rsid w:val="07ED2710"/>
    <w:rsid w:val="07EE6482"/>
    <w:rsid w:val="07F67816"/>
    <w:rsid w:val="081303C8"/>
    <w:rsid w:val="09420839"/>
    <w:rsid w:val="09A82D92"/>
    <w:rsid w:val="09CC2259"/>
    <w:rsid w:val="09DE12E6"/>
    <w:rsid w:val="09EA6F07"/>
    <w:rsid w:val="0A9652E1"/>
    <w:rsid w:val="0AE0030A"/>
    <w:rsid w:val="0AFB5144"/>
    <w:rsid w:val="0B7F3FC7"/>
    <w:rsid w:val="0BD51E39"/>
    <w:rsid w:val="0C3B1C9C"/>
    <w:rsid w:val="0D1F5B01"/>
    <w:rsid w:val="0D8C6527"/>
    <w:rsid w:val="0E2844A2"/>
    <w:rsid w:val="0E4C540B"/>
    <w:rsid w:val="0F6E2388"/>
    <w:rsid w:val="0FD50659"/>
    <w:rsid w:val="0FEF4DD2"/>
    <w:rsid w:val="102B7629"/>
    <w:rsid w:val="106877E7"/>
    <w:rsid w:val="10A87B1C"/>
    <w:rsid w:val="1109680C"/>
    <w:rsid w:val="116544B1"/>
    <w:rsid w:val="11691059"/>
    <w:rsid w:val="11A007F3"/>
    <w:rsid w:val="11DF131B"/>
    <w:rsid w:val="11E701D0"/>
    <w:rsid w:val="12280F14"/>
    <w:rsid w:val="129E11D6"/>
    <w:rsid w:val="13540CE3"/>
    <w:rsid w:val="13C92283"/>
    <w:rsid w:val="13EB3FA7"/>
    <w:rsid w:val="147F0B94"/>
    <w:rsid w:val="148461AA"/>
    <w:rsid w:val="14AE0CDA"/>
    <w:rsid w:val="14E82BDD"/>
    <w:rsid w:val="152139F9"/>
    <w:rsid w:val="15344EF4"/>
    <w:rsid w:val="1546345F"/>
    <w:rsid w:val="154C622F"/>
    <w:rsid w:val="15770AE8"/>
    <w:rsid w:val="162D4D4B"/>
    <w:rsid w:val="168626AD"/>
    <w:rsid w:val="171639BF"/>
    <w:rsid w:val="176302F9"/>
    <w:rsid w:val="17650515"/>
    <w:rsid w:val="17E21B65"/>
    <w:rsid w:val="1807337A"/>
    <w:rsid w:val="18626802"/>
    <w:rsid w:val="188F2101"/>
    <w:rsid w:val="18E84F59"/>
    <w:rsid w:val="18FC0A05"/>
    <w:rsid w:val="1957287E"/>
    <w:rsid w:val="1A5A3C35"/>
    <w:rsid w:val="1A774C9C"/>
    <w:rsid w:val="1AE73242"/>
    <w:rsid w:val="1AE87493"/>
    <w:rsid w:val="1B701236"/>
    <w:rsid w:val="1BB6167F"/>
    <w:rsid w:val="1BC7354C"/>
    <w:rsid w:val="1C0E2142"/>
    <w:rsid w:val="1C4865E5"/>
    <w:rsid w:val="1C4C57FF"/>
    <w:rsid w:val="1C69015F"/>
    <w:rsid w:val="1C71170A"/>
    <w:rsid w:val="1C8925AF"/>
    <w:rsid w:val="1C8B4B07"/>
    <w:rsid w:val="1CD048C1"/>
    <w:rsid w:val="1CD37CCF"/>
    <w:rsid w:val="1D0E0D07"/>
    <w:rsid w:val="1D350989"/>
    <w:rsid w:val="1D925B8A"/>
    <w:rsid w:val="1E0A3BC4"/>
    <w:rsid w:val="1E2B7565"/>
    <w:rsid w:val="1E5135A1"/>
    <w:rsid w:val="1E537319"/>
    <w:rsid w:val="1E6828C2"/>
    <w:rsid w:val="1EA47B74"/>
    <w:rsid w:val="1EDA17E8"/>
    <w:rsid w:val="1F2D7B6A"/>
    <w:rsid w:val="1F505606"/>
    <w:rsid w:val="1F7405B1"/>
    <w:rsid w:val="1FF266BE"/>
    <w:rsid w:val="202E28ED"/>
    <w:rsid w:val="203B62B7"/>
    <w:rsid w:val="209B4FA7"/>
    <w:rsid w:val="214E201A"/>
    <w:rsid w:val="21785657"/>
    <w:rsid w:val="219D08AB"/>
    <w:rsid w:val="21C916A0"/>
    <w:rsid w:val="225856E4"/>
    <w:rsid w:val="227B6E3E"/>
    <w:rsid w:val="23272B22"/>
    <w:rsid w:val="232C638A"/>
    <w:rsid w:val="236723EA"/>
    <w:rsid w:val="246868E6"/>
    <w:rsid w:val="24AA7567"/>
    <w:rsid w:val="25290DD3"/>
    <w:rsid w:val="252E63EA"/>
    <w:rsid w:val="253046F8"/>
    <w:rsid w:val="258242A3"/>
    <w:rsid w:val="25893620"/>
    <w:rsid w:val="259358AB"/>
    <w:rsid w:val="25CA6354"/>
    <w:rsid w:val="261A4BC0"/>
    <w:rsid w:val="263E7F43"/>
    <w:rsid w:val="268838D8"/>
    <w:rsid w:val="26AA7CF2"/>
    <w:rsid w:val="26B446CD"/>
    <w:rsid w:val="26ED5E31"/>
    <w:rsid w:val="27337CE7"/>
    <w:rsid w:val="27677991"/>
    <w:rsid w:val="277246F6"/>
    <w:rsid w:val="27B5050A"/>
    <w:rsid w:val="27BF5BC8"/>
    <w:rsid w:val="28697739"/>
    <w:rsid w:val="286F5B1F"/>
    <w:rsid w:val="28846321"/>
    <w:rsid w:val="28A236DD"/>
    <w:rsid w:val="28DF032D"/>
    <w:rsid w:val="29177195"/>
    <w:rsid w:val="295757E3"/>
    <w:rsid w:val="296323DA"/>
    <w:rsid w:val="29A7676B"/>
    <w:rsid w:val="2A047719"/>
    <w:rsid w:val="2A8645D2"/>
    <w:rsid w:val="2A8D3BB3"/>
    <w:rsid w:val="2A9F5694"/>
    <w:rsid w:val="2AEF03C9"/>
    <w:rsid w:val="2BB94533"/>
    <w:rsid w:val="2C212804"/>
    <w:rsid w:val="2C666469"/>
    <w:rsid w:val="2C903500"/>
    <w:rsid w:val="2CF47F19"/>
    <w:rsid w:val="2CFE2B46"/>
    <w:rsid w:val="2D0F6B01"/>
    <w:rsid w:val="2D340315"/>
    <w:rsid w:val="2D987795"/>
    <w:rsid w:val="2E206AEC"/>
    <w:rsid w:val="2E562B83"/>
    <w:rsid w:val="2E864BA1"/>
    <w:rsid w:val="2EC93486"/>
    <w:rsid w:val="2F065CE2"/>
    <w:rsid w:val="2FA33530"/>
    <w:rsid w:val="300E12F2"/>
    <w:rsid w:val="30470360"/>
    <w:rsid w:val="30907F59"/>
    <w:rsid w:val="30CB71E3"/>
    <w:rsid w:val="30CE0A81"/>
    <w:rsid w:val="31815AF3"/>
    <w:rsid w:val="3268462F"/>
    <w:rsid w:val="32803FFD"/>
    <w:rsid w:val="328F34B6"/>
    <w:rsid w:val="32B011BC"/>
    <w:rsid w:val="32E4458C"/>
    <w:rsid w:val="332F1B24"/>
    <w:rsid w:val="334868C9"/>
    <w:rsid w:val="33955886"/>
    <w:rsid w:val="33A2238B"/>
    <w:rsid w:val="33DC1707"/>
    <w:rsid w:val="34750E92"/>
    <w:rsid w:val="348C0A37"/>
    <w:rsid w:val="352B1FD2"/>
    <w:rsid w:val="3547648D"/>
    <w:rsid w:val="355E6877"/>
    <w:rsid w:val="356544C7"/>
    <w:rsid w:val="3586192A"/>
    <w:rsid w:val="35987B8D"/>
    <w:rsid w:val="35A95619"/>
    <w:rsid w:val="35B46497"/>
    <w:rsid w:val="36280C33"/>
    <w:rsid w:val="37441A9D"/>
    <w:rsid w:val="3789228D"/>
    <w:rsid w:val="37B409D1"/>
    <w:rsid w:val="37FD732F"/>
    <w:rsid w:val="384653A1"/>
    <w:rsid w:val="386B4E07"/>
    <w:rsid w:val="38BE762D"/>
    <w:rsid w:val="38F372D7"/>
    <w:rsid w:val="390019F4"/>
    <w:rsid w:val="391D25A6"/>
    <w:rsid w:val="39704576"/>
    <w:rsid w:val="3979525D"/>
    <w:rsid w:val="39A24859"/>
    <w:rsid w:val="39A86313"/>
    <w:rsid w:val="39D91E06"/>
    <w:rsid w:val="3A5F274A"/>
    <w:rsid w:val="3AAF3477"/>
    <w:rsid w:val="3AB160D5"/>
    <w:rsid w:val="3B81506E"/>
    <w:rsid w:val="3BDD7DCA"/>
    <w:rsid w:val="3C2123AD"/>
    <w:rsid w:val="3CA935B6"/>
    <w:rsid w:val="3CC72F54"/>
    <w:rsid w:val="3D6E2D89"/>
    <w:rsid w:val="3D753879"/>
    <w:rsid w:val="3D7D2A20"/>
    <w:rsid w:val="3D9B1CEB"/>
    <w:rsid w:val="3DAE01F1"/>
    <w:rsid w:val="3DBE08A9"/>
    <w:rsid w:val="3E241CE0"/>
    <w:rsid w:val="3E9A0C6C"/>
    <w:rsid w:val="3EF0645B"/>
    <w:rsid w:val="3F9115F7"/>
    <w:rsid w:val="3F9B4224"/>
    <w:rsid w:val="3FB026E8"/>
    <w:rsid w:val="3FB35A12"/>
    <w:rsid w:val="3FBB48C6"/>
    <w:rsid w:val="3FD339BE"/>
    <w:rsid w:val="3FEC4A80"/>
    <w:rsid w:val="40526FD9"/>
    <w:rsid w:val="41684B4C"/>
    <w:rsid w:val="416B0395"/>
    <w:rsid w:val="419F6289"/>
    <w:rsid w:val="41FD2F74"/>
    <w:rsid w:val="42010CB6"/>
    <w:rsid w:val="42EA799C"/>
    <w:rsid w:val="42F205FF"/>
    <w:rsid w:val="42FC4EA8"/>
    <w:rsid w:val="43664B49"/>
    <w:rsid w:val="437B6846"/>
    <w:rsid w:val="43FA7557"/>
    <w:rsid w:val="453018B3"/>
    <w:rsid w:val="45603F46"/>
    <w:rsid w:val="46040D75"/>
    <w:rsid w:val="460F14C8"/>
    <w:rsid w:val="468C0D6B"/>
    <w:rsid w:val="468C2B19"/>
    <w:rsid w:val="46963997"/>
    <w:rsid w:val="46B3312C"/>
    <w:rsid w:val="46BC1650"/>
    <w:rsid w:val="46C2487A"/>
    <w:rsid w:val="46F04E55"/>
    <w:rsid w:val="47281E8B"/>
    <w:rsid w:val="472E3BD0"/>
    <w:rsid w:val="47482EE3"/>
    <w:rsid w:val="47D91D8D"/>
    <w:rsid w:val="49027FE8"/>
    <w:rsid w:val="49902920"/>
    <w:rsid w:val="49CA74E0"/>
    <w:rsid w:val="49E369F5"/>
    <w:rsid w:val="49F70BF1"/>
    <w:rsid w:val="4B056479"/>
    <w:rsid w:val="4B215F25"/>
    <w:rsid w:val="4B2D688D"/>
    <w:rsid w:val="4B594059"/>
    <w:rsid w:val="4B9C37FE"/>
    <w:rsid w:val="4BCA6B34"/>
    <w:rsid w:val="4C016694"/>
    <w:rsid w:val="4C26756B"/>
    <w:rsid w:val="4C770C39"/>
    <w:rsid w:val="4C8C608C"/>
    <w:rsid w:val="4D0104F9"/>
    <w:rsid w:val="4D0F047A"/>
    <w:rsid w:val="4D241CFD"/>
    <w:rsid w:val="4D461C73"/>
    <w:rsid w:val="4D9D385D"/>
    <w:rsid w:val="4DEF5E83"/>
    <w:rsid w:val="4E37780E"/>
    <w:rsid w:val="4E676345"/>
    <w:rsid w:val="4E712D20"/>
    <w:rsid w:val="4E9E4ABB"/>
    <w:rsid w:val="4ECE0172"/>
    <w:rsid w:val="4F0516BA"/>
    <w:rsid w:val="4F1277F7"/>
    <w:rsid w:val="4F977F9F"/>
    <w:rsid w:val="4FB8672C"/>
    <w:rsid w:val="4FD322A6"/>
    <w:rsid w:val="4FD33566"/>
    <w:rsid w:val="4FE45692"/>
    <w:rsid w:val="503D071F"/>
    <w:rsid w:val="504852D5"/>
    <w:rsid w:val="504B30B2"/>
    <w:rsid w:val="504F52E3"/>
    <w:rsid w:val="50690566"/>
    <w:rsid w:val="50720FD1"/>
    <w:rsid w:val="509E1DC6"/>
    <w:rsid w:val="50AA42C7"/>
    <w:rsid w:val="513F5357"/>
    <w:rsid w:val="5186459D"/>
    <w:rsid w:val="518F170F"/>
    <w:rsid w:val="51C75820"/>
    <w:rsid w:val="51D84E64"/>
    <w:rsid w:val="52391DA6"/>
    <w:rsid w:val="525C5004"/>
    <w:rsid w:val="52C5188C"/>
    <w:rsid w:val="52CF6267"/>
    <w:rsid w:val="52EE43DB"/>
    <w:rsid w:val="52FD2E8D"/>
    <w:rsid w:val="530E05BC"/>
    <w:rsid w:val="535A7887"/>
    <w:rsid w:val="5373753A"/>
    <w:rsid w:val="53BC2C8F"/>
    <w:rsid w:val="53BF4C42"/>
    <w:rsid w:val="53CD66E0"/>
    <w:rsid w:val="53F341D7"/>
    <w:rsid w:val="53F57F4F"/>
    <w:rsid w:val="53FE4420"/>
    <w:rsid w:val="5486504B"/>
    <w:rsid w:val="54B971CF"/>
    <w:rsid w:val="54D2203E"/>
    <w:rsid w:val="55047725"/>
    <w:rsid w:val="557773FB"/>
    <w:rsid w:val="55C6305E"/>
    <w:rsid w:val="55CB16B9"/>
    <w:rsid w:val="56576C9F"/>
    <w:rsid w:val="566B44F9"/>
    <w:rsid w:val="569A4DDE"/>
    <w:rsid w:val="56A54175"/>
    <w:rsid w:val="570858F2"/>
    <w:rsid w:val="57471324"/>
    <w:rsid w:val="57AA2DFF"/>
    <w:rsid w:val="57C230D5"/>
    <w:rsid w:val="57DC0F5F"/>
    <w:rsid w:val="583B614D"/>
    <w:rsid w:val="588C08D1"/>
    <w:rsid w:val="58A43CF2"/>
    <w:rsid w:val="58AB7E44"/>
    <w:rsid w:val="58B32187"/>
    <w:rsid w:val="59140E77"/>
    <w:rsid w:val="592866D1"/>
    <w:rsid w:val="59367040"/>
    <w:rsid w:val="598C6238"/>
    <w:rsid w:val="5A105AE3"/>
    <w:rsid w:val="5A180D4E"/>
    <w:rsid w:val="5A4E2167"/>
    <w:rsid w:val="5A6667DB"/>
    <w:rsid w:val="5A7B6CD4"/>
    <w:rsid w:val="5B025E57"/>
    <w:rsid w:val="5B231846"/>
    <w:rsid w:val="5B7A6F8C"/>
    <w:rsid w:val="5B8F3C7E"/>
    <w:rsid w:val="5BAD55B3"/>
    <w:rsid w:val="5BE63730"/>
    <w:rsid w:val="5C2E3DD3"/>
    <w:rsid w:val="5C5251DF"/>
    <w:rsid w:val="5C534E4A"/>
    <w:rsid w:val="5C902F0B"/>
    <w:rsid w:val="5D0D6309"/>
    <w:rsid w:val="5DAB78D0"/>
    <w:rsid w:val="5DBB5D65"/>
    <w:rsid w:val="5DCF1811"/>
    <w:rsid w:val="5DFE04B3"/>
    <w:rsid w:val="5E203E1A"/>
    <w:rsid w:val="5E671A49"/>
    <w:rsid w:val="5EA22A81"/>
    <w:rsid w:val="5EC7073A"/>
    <w:rsid w:val="5F335DCF"/>
    <w:rsid w:val="5FCB425A"/>
    <w:rsid w:val="5FE536D5"/>
    <w:rsid w:val="60327E35"/>
    <w:rsid w:val="60540B3A"/>
    <w:rsid w:val="606A3A73"/>
    <w:rsid w:val="614F3918"/>
    <w:rsid w:val="61515E49"/>
    <w:rsid w:val="616E30EF"/>
    <w:rsid w:val="61EB473F"/>
    <w:rsid w:val="6232470C"/>
    <w:rsid w:val="624327CD"/>
    <w:rsid w:val="634C56B2"/>
    <w:rsid w:val="636E49DC"/>
    <w:rsid w:val="6370314E"/>
    <w:rsid w:val="63957059"/>
    <w:rsid w:val="63F16774"/>
    <w:rsid w:val="64177A6E"/>
    <w:rsid w:val="642018F9"/>
    <w:rsid w:val="64805216"/>
    <w:rsid w:val="648F5856"/>
    <w:rsid w:val="64D4770D"/>
    <w:rsid w:val="64DD4813"/>
    <w:rsid w:val="64E75692"/>
    <w:rsid w:val="654E5711"/>
    <w:rsid w:val="656B0071"/>
    <w:rsid w:val="65962C14"/>
    <w:rsid w:val="65E816C2"/>
    <w:rsid w:val="65F06D2C"/>
    <w:rsid w:val="66BB2590"/>
    <w:rsid w:val="66E203D8"/>
    <w:rsid w:val="671B7922"/>
    <w:rsid w:val="6738624B"/>
    <w:rsid w:val="676D5408"/>
    <w:rsid w:val="677F153E"/>
    <w:rsid w:val="6784366C"/>
    <w:rsid w:val="68091DC3"/>
    <w:rsid w:val="68262975"/>
    <w:rsid w:val="689C6793"/>
    <w:rsid w:val="690946BA"/>
    <w:rsid w:val="69DD52B6"/>
    <w:rsid w:val="6A170931"/>
    <w:rsid w:val="6A617C95"/>
    <w:rsid w:val="6AA81420"/>
    <w:rsid w:val="6AB623DF"/>
    <w:rsid w:val="6ACE4BFE"/>
    <w:rsid w:val="6AE04B74"/>
    <w:rsid w:val="6AF01C56"/>
    <w:rsid w:val="6B2B3DFF"/>
    <w:rsid w:val="6B451364"/>
    <w:rsid w:val="6B6C069F"/>
    <w:rsid w:val="6BD61FBC"/>
    <w:rsid w:val="6C6D0B73"/>
    <w:rsid w:val="6C710B23"/>
    <w:rsid w:val="6CBD4F2A"/>
    <w:rsid w:val="6CBF0CA2"/>
    <w:rsid w:val="6CC462B9"/>
    <w:rsid w:val="6D38471B"/>
    <w:rsid w:val="6DB8307B"/>
    <w:rsid w:val="6E1E4550"/>
    <w:rsid w:val="6E1F5E9D"/>
    <w:rsid w:val="6E3336F6"/>
    <w:rsid w:val="6E557B10"/>
    <w:rsid w:val="6EA14120"/>
    <w:rsid w:val="6F0357BE"/>
    <w:rsid w:val="6F0626E6"/>
    <w:rsid w:val="6F443096"/>
    <w:rsid w:val="6F5778B8"/>
    <w:rsid w:val="6F926B42"/>
    <w:rsid w:val="6FA83C70"/>
    <w:rsid w:val="702E23C7"/>
    <w:rsid w:val="70B2124A"/>
    <w:rsid w:val="70D21129"/>
    <w:rsid w:val="70DD5B9B"/>
    <w:rsid w:val="70E51287"/>
    <w:rsid w:val="70FD7FEB"/>
    <w:rsid w:val="71184E25"/>
    <w:rsid w:val="71C64881"/>
    <w:rsid w:val="72275320"/>
    <w:rsid w:val="72D37256"/>
    <w:rsid w:val="74185868"/>
    <w:rsid w:val="74406B6D"/>
    <w:rsid w:val="74FF07D6"/>
    <w:rsid w:val="74FF4332"/>
    <w:rsid w:val="750202C6"/>
    <w:rsid w:val="75363ACC"/>
    <w:rsid w:val="75F05AFC"/>
    <w:rsid w:val="76771F54"/>
    <w:rsid w:val="77316C41"/>
    <w:rsid w:val="777110D9"/>
    <w:rsid w:val="77D53B2E"/>
    <w:rsid w:val="785B5D23"/>
    <w:rsid w:val="791553F6"/>
    <w:rsid w:val="797B41A3"/>
    <w:rsid w:val="799B1910"/>
    <w:rsid w:val="79BF0534"/>
    <w:rsid w:val="7A373298"/>
    <w:rsid w:val="7A41363F"/>
    <w:rsid w:val="7A456C8B"/>
    <w:rsid w:val="7A542AC5"/>
    <w:rsid w:val="7A9C6DC1"/>
    <w:rsid w:val="7AC2652D"/>
    <w:rsid w:val="7AC31DEF"/>
    <w:rsid w:val="7AFC1B2D"/>
    <w:rsid w:val="7B160627"/>
    <w:rsid w:val="7B4E1B6F"/>
    <w:rsid w:val="7B4E58F5"/>
    <w:rsid w:val="7B5628D6"/>
    <w:rsid w:val="7BB816DF"/>
    <w:rsid w:val="7BF30969"/>
    <w:rsid w:val="7C025669"/>
    <w:rsid w:val="7C331A1A"/>
    <w:rsid w:val="7C374CF9"/>
    <w:rsid w:val="7C4C02E1"/>
    <w:rsid w:val="7C7D2A53"/>
    <w:rsid w:val="7CAA7279"/>
    <w:rsid w:val="7CAD17BD"/>
    <w:rsid w:val="7CDB0441"/>
    <w:rsid w:val="7CE0713F"/>
    <w:rsid w:val="7D4D5E56"/>
    <w:rsid w:val="7D6C2781"/>
    <w:rsid w:val="7D7635FF"/>
    <w:rsid w:val="7DD00F61"/>
    <w:rsid w:val="7E040C0B"/>
    <w:rsid w:val="7E0714B7"/>
    <w:rsid w:val="7E501EBB"/>
    <w:rsid w:val="7E553215"/>
    <w:rsid w:val="7ECB1729"/>
    <w:rsid w:val="7EE534A5"/>
    <w:rsid w:val="7F9B153D"/>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28"/>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Body Text"/>
    <w:basedOn w:val="1"/>
    <w:next w:val="1"/>
    <w:autoRedefine/>
    <w:qFormat/>
    <w:uiPriority w:val="0"/>
    <w:rPr>
      <w:rFonts w:ascii="仿宋_GB2312" w:eastAsia="仿宋_GB2312"/>
      <w:sz w:val="32"/>
    </w:rPr>
  </w:style>
  <w:style w:type="paragraph" w:styleId="7">
    <w:name w:val="Body Text Indent"/>
    <w:basedOn w:val="1"/>
    <w:autoRedefine/>
    <w:qFormat/>
    <w:uiPriority w:val="0"/>
    <w:pPr>
      <w:spacing w:line="700" w:lineRule="exact"/>
      <w:ind w:left="960"/>
    </w:pPr>
    <w:rPr>
      <w:sz w:val="44"/>
    </w:rPr>
  </w:style>
  <w:style w:type="paragraph" w:styleId="8">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9">
    <w:name w:val="toc 3"/>
    <w:basedOn w:val="1"/>
    <w:next w:val="1"/>
    <w:qFormat/>
    <w:uiPriority w:val="0"/>
    <w:pPr>
      <w:ind w:left="840" w:leftChars="400"/>
    </w:pPr>
  </w:style>
  <w:style w:type="paragraph" w:styleId="10">
    <w:name w:val="Date"/>
    <w:basedOn w:val="1"/>
    <w:next w:val="1"/>
    <w:autoRedefine/>
    <w:qFormat/>
    <w:uiPriority w:val="0"/>
  </w:style>
  <w:style w:type="paragraph" w:styleId="11">
    <w:name w:val="Body Text Indent 2"/>
    <w:basedOn w:val="1"/>
    <w:autoRedefine/>
    <w:qFormat/>
    <w:uiPriority w:val="0"/>
    <w:pPr>
      <w:snapToGrid w:val="0"/>
      <w:spacing w:line="560" w:lineRule="atLeast"/>
      <w:ind w:firstLine="540"/>
    </w:pPr>
  </w:style>
  <w:style w:type="paragraph" w:styleId="12">
    <w:name w:val="footer"/>
    <w:basedOn w:val="1"/>
    <w:link w:val="30"/>
    <w:autoRedefine/>
    <w:qFormat/>
    <w:uiPriority w:val="99"/>
    <w:pPr>
      <w:tabs>
        <w:tab w:val="center" w:pos="4153"/>
        <w:tab w:val="right" w:pos="8306"/>
      </w:tabs>
      <w:snapToGrid w:val="0"/>
      <w:jc w:val="left"/>
    </w:pPr>
    <w:rPr>
      <w:sz w:val="18"/>
    </w:rPr>
  </w:style>
  <w:style w:type="paragraph" w:styleId="13">
    <w:name w:val="header"/>
    <w:basedOn w:val="1"/>
    <w:autoRedefine/>
    <w:qFormat/>
    <w:uiPriority w:val="0"/>
    <w:pPr>
      <w:pBdr>
        <w:bottom w:val="none" w:color="auto" w:sz="0" w:space="1"/>
      </w:pBdr>
      <w:tabs>
        <w:tab w:val="center" w:pos="4153"/>
        <w:tab w:val="right" w:pos="8306"/>
      </w:tabs>
      <w:snapToGrid w:val="0"/>
      <w:ind w:firstLine="420"/>
      <w:jc w:val="center"/>
    </w:pPr>
    <w:rPr>
      <w:sz w:val="18"/>
    </w:rPr>
  </w:style>
  <w:style w:type="paragraph" w:styleId="14">
    <w:name w:val="toc 1"/>
    <w:basedOn w:val="1"/>
    <w:next w:val="1"/>
    <w:autoRedefine/>
    <w:qFormat/>
    <w:uiPriority w:val="39"/>
    <w:pPr>
      <w:spacing w:line="180" w:lineRule="auto"/>
      <w:jc w:val="center"/>
    </w:pPr>
    <w:rPr>
      <w:sz w:val="30"/>
    </w:rPr>
  </w:style>
  <w:style w:type="paragraph" w:styleId="15">
    <w:name w:val="List"/>
    <w:basedOn w:val="1"/>
    <w:autoRedefine/>
    <w:semiHidden/>
    <w:qFormat/>
    <w:uiPriority w:val="0"/>
    <w:pPr>
      <w:ind w:left="200" w:hanging="200" w:hangingChars="200"/>
    </w:pPr>
  </w:style>
  <w:style w:type="paragraph" w:styleId="16">
    <w:name w:val="toc 2"/>
    <w:basedOn w:val="1"/>
    <w:next w:val="1"/>
    <w:qFormat/>
    <w:uiPriority w:val="39"/>
    <w:pPr>
      <w:ind w:left="420" w:leftChars="200"/>
    </w:pPr>
  </w:style>
  <w:style w:type="paragraph" w:styleId="17">
    <w:name w:val="Body Text First Indent"/>
    <w:basedOn w:val="6"/>
    <w:qFormat/>
    <w:uiPriority w:val="0"/>
    <w:pPr>
      <w:widowControl w:val="0"/>
      <w:spacing w:line="360" w:lineRule="auto"/>
      <w:ind w:firstLine="420"/>
    </w:pPr>
    <w:rPr>
      <w:sz w:val="24"/>
      <w:szCs w:val="24"/>
      <w:lang w:eastAsia="zh-CN"/>
    </w:rPr>
  </w:style>
  <w:style w:type="character" w:styleId="20">
    <w:name w:val="page number"/>
    <w:basedOn w:val="19"/>
    <w:autoRedefine/>
    <w:qFormat/>
    <w:uiPriority w:val="0"/>
  </w:style>
  <w:style w:type="character" w:styleId="21">
    <w:name w:val="Hyperlink"/>
    <w:basedOn w:val="19"/>
    <w:autoRedefine/>
    <w:qFormat/>
    <w:uiPriority w:val="99"/>
    <w:rPr>
      <w:color w:val="0000FF"/>
      <w:u w:val="single"/>
    </w:rPr>
  </w:style>
  <w:style w:type="paragraph" w:customStyle="1" w:styleId="22">
    <w:name w:val="图例"/>
    <w:basedOn w:val="1"/>
    <w:autoRedefine/>
    <w:qFormat/>
    <w:uiPriority w:val="0"/>
    <w:pPr>
      <w:spacing w:before="120" w:after="120" w:line="360" w:lineRule="auto"/>
      <w:jc w:val="center"/>
    </w:pPr>
    <w:rPr>
      <w:rFonts w:eastAsia="仿宋_GB2312"/>
      <w:b/>
      <w:sz w:val="24"/>
    </w:rPr>
  </w:style>
  <w:style w:type="paragraph" w:customStyle="1" w:styleId="23">
    <w:name w:val="电建正文"/>
    <w:basedOn w:val="24"/>
    <w:autoRedefine/>
    <w:qFormat/>
    <w:uiPriority w:val="0"/>
    <w:pPr>
      <w:tabs>
        <w:tab w:val="left" w:pos="720"/>
      </w:tabs>
      <w:ind w:firstLine="480" w:firstLineChars="200"/>
    </w:pPr>
    <w:rPr>
      <w:rFonts w:ascii="方正仿宋_GBK" w:hAnsi="方正仿宋_GBK" w:eastAsia="方正仿宋_GBK" w:cs="方正仿宋_GBK"/>
      <w:sz w:val="24"/>
      <w:szCs w:val="28"/>
    </w:rPr>
  </w:style>
  <w:style w:type="paragraph" w:customStyle="1" w:styleId="24">
    <w:name w:val="List First"/>
    <w:basedOn w:val="15"/>
    <w:next w:val="15"/>
    <w:autoRedefine/>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7">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8">
    <w:name w:val="标题 2 字符"/>
    <w:link w:val="3"/>
    <w:qFormat/>
    <w:uiPriority w:val="0"/>
    <w:rPr>
      <w:rFonts w:ascii="Arial" w:hAnsi="Arial" w:eastAsia="黑体"/>
      <w:b/>
      <w:kern w:val="2"/>
      <w:sz w:val="32"/>
    </w:rPr>
  </w:style>
  <w:style w:type="character" w:customStyle="1" w:styleId="29">
    <w:name w:val="Unresolved Mention"/>
    <w:basedOn w:val="19"/>
    <w:semiHidden/>
    <w:unhideWhenUsed/>
    <w:qFormat/>
    <w:uiPriority w:val="99"/>
    <w:rPr>
      <w:color w:val="605E5C"/>
      <w:shd w:val="clear" w:color="auto" w:fill="E1DFDD"/>
    </w:rPr>
  </w:style>
  <w:style w:type="character" w:customStyle="1" w:styleId="30">
    <w:name w:val="页脚 字符"/>
    <w:link w:val="12"/>
    <w:qFormat/>
    <w:uiPriority w:val="99"/>
    <w:rPr>
      <w:kern w:val="2"/>
      <w:sz w:val="18"/>
    </w:rPr>
  </w:style>
  <w:style w:type="character" w:customStyle="1" w:styleId="31">
    <w:name w:val="页眉或页脚 (2)_"/>
    <w:basedOn w:val="19"/>
    <w:link w:val="32"/>
    <w:qFormat/>
    <w:uiPriority w:val="0"/>
    <w:rPr>
      <w:rFonts w:eastAsia="Times New Roman"/>
      <w:shd w:val="clear" w:color="auto" w:fill="FFFFFF"/>
      <w:lang w:val="zh-CN" w:bidi="zh-CN"/>
    </w:rPr>
  </w:style>
  <w:style w:type="paragraph" w:customStyle="1" w:styleId="32">
    <w:name w:val="页眉或页脚 (2)"/>
    <w:basedOn w:val="1"/>
    <w:link w:val="31"/>
    <w:qFormat/>
    <w:uiPriority w:val="0"/>
    <w:pPr>
      <w:shd w:val="clear" w:color="auto" w:fill="FFFFFF"/>
      <w:jc w:val="left"/>
    </w:pPr>
    <w:rPr>
      <w:rFonts w:eastAsia="Times New Roman"/>
      <w:kern w:val="0"/>
      <w:sz w:val="20"/>
      <w:lang w:val="zh-CN" w:bidi="zh-CN"/>
    </w:rPr>
  </w:style>
  <w:style w:type="character" w:customStyle="1" w:styleId="33">
    <w:name w:val="正文文本_"/>
    <w:basedOn w:val="19"/>
    <w:link w:val="34"/>
    <w:qFormat/>
    <w:uiPriority w:val="0"/>
    <w:rPr>
      <w:rFonts w:ascii="MingLiU" w:hAnsi="MingLiU" w:eastAsia="MingLiU" w:cs="MingLiU"/>
      <w:sz w:val="22"/>
      <w:szCs w:val="22"/>
      <w:shd w:val="clear" w:color="auto" w:fill="FFFFFF"/>
      <w:lang w:val="zh-CN" w:bidi="zh-CN"/>
    </w:rPr>
  </w:style>
  <w:style w:type="paragraph" w:customStyle="1" w:styleId="34">
    <w:name w:val="正文文本1"/>
    <w:basedOn w:val="1"/>
    <w:link w:val="33"/>
    <w:qFormat/>
    <w:uiPriority w:val="0"/>
    <w:pPr>
      <w:shd w:val="clear" w:color="auto" w:fill="FFFFFF"/>
      <w:spacing w:line="430" w:lineRule="auto"/>
      <w:ind w:firstLine="400"/>
      <w:jc w:val="left"/>
    </w:pPr>
    <w:rPr>
      <w:rFonts w:ascii="MingLiU" w:hAnsi="MingLiU" w:eastAsia="MingLiU" w:cs="MingLiU"/>
      <w:kern w:val="0"/>
      <w:sz w:val="22"/>
      <w:szCs w:val="22"/>
      <w:lang w:val="zh-CN" w:bidi="zh-CN"/>
    </w:rPr>
  </w:style>
  <w:style w:type="character" w:customStyle="1" w:styleId="35">
    <w:name w:val="标题 #1_"/>
    <w:basedOn w:val="19"/>
    <w:link w:val="36"/>
    <w:qFormat/>
    <w:uiPriority w:val="0"/>
    <w:rPr>
      <w:rFonts w:ascii="MingLiU" w:hAnsi="MingLiU" w:eastAsia="MingLiU" w:cs="MingLiU"/>
      <w:sz w:val="28"/>
      <w:szCs w:val="28"/>
      <w:shd w:val="clear" w:color="auto" w:fill="FFFFFF"/>
      <w:lang w:val="zh-CN" w:bidi="zh-CN"/>
    </w:rPr>
  </w:style>
  <w:style w:type="paragraph" w:customStyle="1" w:styleId="36">
    <w:name w:val="标题 #1"/>
    <w:basedOn w:val="1"/>
    <w:link w:val="35"/>
    <w:qFormat/>
    <w:uiPriority w:val="0"/>
    <w:pPr>
      <w:shd w:val="clear" w:color="auto" w:fill="FFFFFF"/>
      <w:spacing w:after="200"/>
      <w:jc w:val="center"/>
      <w:outlineLvl w:val="0"/>
    </w:pPr>
    <w:rPr>
      <w:rFonts w:ascii="MingLiU" w:hAnsi="MingLiU" w:eastAsia="MingLiU" w:cs="MingLiU"/>
      <w:kern w:val="0"/>
      <w:szCs w:val="28"/>
      <w:lang w:val="zh-CN" w:bidi="zh-CN"/>
    </w:rPr>
  </w:style>
  <w:style w:type="character" w:customStyle="1" w:styleId="37">
    <w:name w:val="正文文本 (2)_"/>
    <w:basedOn w:val="19"/>
    <w:link w:val="38"/>
    <w:qFormat/>
    <w:uiPriority w:val="0"/>
    <w:rPr>
      <w:rFonts w:ascii="Gulim" w:hAnsi="Gulim" w:eastAsia="Gulim" w:cs="Gulim"/>
      <w:shd w:val="clear" w:color="auto" w:fill="FFFFFF"/>
      <w:lang w:val="zh-CN" w:bidi="zh-CN"/>
    </w:rPr>
  </w:style>
  <w:style w:type="paragraph" w:customStyle="1" w:styleId="38">
    <w:name w:val="正文文本 (2)"/>
    <w:basedOn w:val="1"/>
    <w:link w:val="37"/>
    <w:qFormat/>
    <w:uiPriority w:val="0"/>
    <w:pPr>
      <w:shd w:val="clear" w:color="auto" w:fill="FFFFFF"/>
      <w:spacing w:after="180"/>
      <w:ind w:firstLine="220"/>
      <w:jc w:val="left"/>
    </w:pPr>
    <w:rPr>
      <w:rFonts w:ascii="Gulim" w:hAnsi="Gulim" w:eastAsia="Gulim" w:cs="Gulim"/>
      <w:kern w:val="0"/>
      <w:sz w:val="20"/>
      <w:lang w:val="zh-CN" w:bidi="zh-CN"/>
    </w:rPr>
  </w:style>
  <w:style w:type="character" w:customStyle="1" w:styleId="39">
    <w:name w:val="其他_"/>
    <w:basedOn w:val="19"/>
    <w:link w:val="40"/>
    <w:qFormat/>
    <w:uiPriority w:val="0"/>
    <w:rPr>
      <w:rFonts w:ascii="MingLiU" w:hAnsi="MingLiU" w:eastAsia="MingLiU" w:cs="MingLiU"/>
      <w:sz w:val="22"/>
      <w:szCs w:val="22"/>
      <w:shd w:val="clear" w:color="auto" w:fill="FFFFFF"/>
      <w:lang w:val="zh-CN" w:bidi="zh-CN"/>
    </w:rPr>
  </w:style>
  <w:style w:type="paragraph" w:customStyle="1" w:styleId="40">
    <w:name w:val="其他"/>
    <w:basedOn w:val="1"/>
    <w:link w:val="39"/>
    <w:qFormat/>
    <w:uiPriority w:val="0"/>
    <w:pPr>
      <w:shd w:val="clear" w:color="auto" w:fill="FFFFFF"/>
      <w:spacing w:line="430" w:lineRule="auto"/>
      <w:ind w:firstLine="400"/>
      <w:jc w:val="left"/>
    </w:pPr>
    <w:rPr>
      <w:rFonts w:ascii="MingLiU" w:hAnsi="MingLiU" w:eastAsia="MingLiU" w:cs="MingLiU"/>
      <w:kern w:val="0"/>
      <w:sz w:val="22"/>
      <w:szCs w:val="22"/>
      <w:lang w:val="zh-CN" w:bidi="zh-CN"/>
    </w:rPr>
  </w:style>
  <w:style w:type="paragraph" w:styleId="4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1082</Words>
  <Characters>1188</Characters>
  <Lines>143</Lines>
  <Paragraphs>40</Paragraphs>
  <TotalTime>53</TotalTime>
  <ScaleCrop>false</ScaleCrop>
  <LinksUpToDate>false</LinksUpToDate>
  <CharactersWithSpaces>1319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2025-01-22T07:58:00Z</dcterms:created>
  <dc:creator>Administrator</dc:creator>
  <cp:lastModifiedBy>叶飞舞</cp:lastModifiedBy>
  <cp:lastPrinted>2024-11-21T08:25:00Z</cp:lastPrinted>
  <dcterms:modified xsi:type="dcterms:W3CDTF">2025-06-03T01:49:54Z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37A8956959C648388362BE7B393EDE2E</vt:lpwstr>
  </property>
  <property fmtid="{D5CDD505-2E9C-101B-9397-08002B2CF9AE}" pid="4" name="KSOTemplateDocerSaveRecord">
    <vt:lpwstr>eyJoZGlkIjoiMTA3ZDY3YzY2ZWQ4ZGM2MWRhY2M5ODkwNGFkZWU0NTciLCJ1c2VySWQiOiIzOTY5MDA3OTEifQ==</vt:lpwstr>
  </property>
</Properties>
</file>