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368C9">
      <w:pPr>
        <w:spacing w:line="600" w:lineRule="exact"/>
        <w:outlineLvl w:val="0"/>
        <w:rPr>
          <w:rFonts w:hint="eastAsia" w:ascii="Times New Roman" w:hAnsi="Times New Roman" w:eastAsia="方正黑体_GBK" w:cs="Times New Roman"/>
          <w:bCs/>
          <w:color w:val="000000" w:themeColor="text1"/>
          <w:w w:val="110"/>
          <w:sz w:val="32"/>
          <w:szCs w:val="32"/>
          <w:lang w:eastAsia="zh-CN"/>
          <w14:textFill>
            <w14:solidFill>
              <w14:schemeClr w14:val="tx1"/>
            </w14:solidFill>
          </w14:textFill>
        </w:rPr>
      </w:pPr>
    </w:p>
    <w:p w14:paraId="1247A2F7">
      <w:pPr>
        <w:spacing w:line="600" w:lineRule="exact"/>
        <w:outlineLvl w:val="0"/>
        <w:rPr>
          <w:rFonts w:hint="default" w:ascii="Times New Roman" w:hAnsi="Times New Roman" w:eastAsia="方正黑体_GBK" w:cs="Times New Roman"/>
          <w:bCs/>
          <w:color w:val="000000" w:themeColor="text1"/>
          <w:w w:val="110"/>
          <w:sz w:val="44"/>
          <w:szCs w:val="44"/>
          <w14:textFill>
            <w14:solidFill>
              <w14:schemeClr w14:val="tx1"/>
            </w14:solidFill>
          </w14:textFill>
        </w:rPr>
      </w:pPr>
    </w:p>
    <w:p w14:paraId="61439D31">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default" w:ascii="Times New Roman" w:hAnsi="Times New Roman" w:eastAsia="方正小标宋_GBK" w:cs="Times New Roman"/>
          <w:color w:val="000000" w:themeColor="text1"/>
          <w:sz w:val="60"/>
          <w:szCs w:val="60"/>
          <w14:textFill>
            <w14:solidFill>
              <w14:schemeClr w14:val="tx1"/>
            </w14:solidFill>
          </w14:textFill>
        </w:rPr>
      </w:pPr>
      <w:bookmarkStart w:id="0" w:name="_Toc10361"/>
      <w:bookmarkStart w:id="1" w:name="_Toc1142"/>
      <w:bookmarkStart w:id="2" w:name="_Toc16389"/>
      <w:bookmarkStart w:id="3" w:name="_Toc23977"/>
      <w:bookmarkStart w:id="4" w:name="_Toc20548"/>
      <w:bookmarkStart w:id="5" w:name="_Toc181358243"/>
      <w:bookmarkStart w:id="6" w:name="_Toc181193891"/>
      <w:bookmarkStart w:id="7" w:name="_Toc181358311"/>
      <w:bookmarkStart w:id="8" w:name="_Toc181194063"/>
      <w:r>
        <w:rPr>
          <w:rFonts w:hint="default" w:ascii="Times New Roman" w:hAnsi="Times New Roman" w:eastAsia="方正小标宋_GBK" w:cs="Times New Roman"/>
          <w:color w:val="000000" w:themeColor="text1"/>
          <w:sz w:val="60"/>
          <w:szCs w:val="60"/>
          <w14:textFill>
            <w14:solidFill>
              <w14:schemeClr w14:val="tx1"/>
            </w14:solidFill>
          </w14:textFill>
        </w:rPr>
        <w:t>重庆市医药科技学校军训服装</w:t>
      </w:r>
      <w:bookmarkEnd w:id="0"/>
      <w:bookmarkEnd w:id="1"/>
      <w:bookmarkEnd w:id="2"/>
      <w:bookmarkEnd w:id="3"/>
      <w:bookmarkEnd w:id="4"/>
    </w:p>
    <w:p w14:paraId="79F25B3B">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default" w:ascii="Times New Roman" w:hAnsi="Times New Roman" w:eastAsia="方正小标宋_GBK" w:cs="Times New Roman"/>
          <w:color w:val="000000" w:themeColor="text1"/>
          <w:sz w:val="60"/>
          <w:szCs w:val="60"/>
          <w14:textFill>
            <w14:solidFill>
              <w14:schemeClr w14:val="tx1"/>
            </w14:solidFill>
          </w14:textFill>
        </w:rPr>
      </w:pPr>
      <w:bookmarkStart w:id="9" w:name="_Toc21248"/>
      <w:bookmarkStart w:id="10" w:name="_Toc12343"/>
      <w:bookmarkStart w:id="11" w:name="_Toc29005"/>
      <w:bookmarkStart w:id="12" w:name="_Toc10029"/>
      <w:bookmarkStart w:id="13" w:name="_Toc9644"/>
      <w:r>
        <w:rPr>
          <w:rFonts w:hint="default" w:ascii="Times New Roman" w:hAnsi="Times New Roman" w:eastAsia="方正小标宋_GBK" w:cs="Times New Roman"/>
          <w:color w:val="000000" w:themeColor="text1"/>
          <w:sz w:val="60"/>
          <w:szCs w:val="60"/>
          <w14:textFill>
            <w14:solidFill>
              <w14:schemeClr w14:val="tx1"/>
            </w14:solidFill>
          </w14:textFill>
        </w:rPr>
        <w:t>采 购 文 件</w:t>
      </w:r>
      <w:bookmarkEnd w:id="5"/>
      <w:bookmarkEnd w:id="6"/>
      <w:bookmarkEnd w:id="7"/>
      <w:bookmarkEnd w:id="8"/>
      <w:bookmarkEnd w:id="9"/>
      <w:bookmarkEnd w:id="10"/>
      <w:bookmarkEnd w:id="11"/>
      <w:bookmarkEnd w:id="12"/>
      <w:bookmarkEnd w:id="13"/>
    </w:p>
    <w:p w14:paraId="61A2DEFE">
      <w:pPr>
        <w:spacing w:line="600" w:lineRule="exact"/>
        <w:rPr>
          <w:rFonts w:hint="default" w:ascii="Times New Roman" w:hAnsi="Times New Roman" w:eastAsia="仿宋_GB2312" w:cs="Times New Roman"/>
          <w:b/>
          <w:color w:val="000000" w:themeColor="text1"/>
          <w:sz w:val="32"/>
          <w14:textFill>
            <w14:solidFill>
              <w14:schemeClr w14:val="tx1"/>
            </w14:solidFill>
          </w14:textFill>
        </w:rPr>
      </w:pPr>
    </w:p>
    <w:p w14:paraId="40519A27">
      <w:pPr>
        <w:spacing w:line="600" w:lineRule="exact"/>
        <w:ind w:left="560"/>
        <w:jc w:val="center"/>
        <w:rPr>
          <w:rFonts w:hint="default" w:ascii="Times New Roman" w:hAnsi="Times New Roman" w:eastAsia="仿宋_GB2312" w:cs="Times New Roman"/>
          <w:b/>
          <w:color w:val="000000" w:themeColor="text1"/>
          <w:sz w:val="32"/>
          <w14:textFill>
            <w14:solidFill>
              <w14:schemeClr w14:val="tx1"/>
            </w14:solidFill>
          </w14:textFill>
        </w:rPr>
      </w:pPr>
    </w:p>
    <w:p w14:paraId="1593A8E1">
      <w:pPr>
        <w:spacing w:line="600" w:lineRule="exact"/>
        <w:rPr>
          <w:rFonts w:hint="default" w:ascii="Times New Roman" w:hAnsi="Times New Roman" w:eastAsia="仿宋_GB2312" w:cs="Times New Roman"/>
          <w:b/>
          <w:color w:val="000000" w:themeColor="text1"/>
          <w:sz w:val="32"/>
          <w14:textFill>
            <w14:solidFill>
              <w14:schemeClr w14:val="tx1"/>
            </w14:solidFill>
          </w14:textFill>
        </w:rPr>
      </w:pPr>
    </w:p>
    <w:p w14:paraId="5CC289FE">
      <w:pPr>
        <w:spacing w:line="600" w:lineRule="exact"/>
        <w:rPr>
          <w:rFonts w:hint="default" w:ascii="Times New Roman" w:hAnsi="Times New Roman" w:eastAsia="仿宋_GB2312" w:cs="Times New Roman"/>
          <w:b/>
          <w:color w:val="000000" w:themeColor="text1"/>
          <w:sz w:val="32"/>
          <w14:textFill>
            <w14:solidFill>
              <w14:schemeClr w14:val="tx1"/>
            </w14:solidFill>
          </w14:textFill>
        </w:rPr>
      </w:pPr>
    </w:p>
    <w:p w14:paraId="2E34AF57">
      <w:pPr>
        <w:spacing w:line="600" w:lineRule="exact"/>
        <w:ind w:firstLine="640" w:firstLineChars="200"/>
        <w:outlineLvl w:val="0"/>
        <w:rPr>
          <w:rFonts w:hint="default" w:ascii="Times New Roman" w:hAnsi="Times New Roman" w:eastAsia="方正小标宋_GBK" w:cs="Times New Roman"/>
          <w:color w:val="000000" w:themeColor="text1"/>
          <w:sz w:val="32"/>
          <w:szCs w:val="32"/>
          <w14:textFill>
            <w14:solidFill>
              <w14:schemeClr w14:val="tx1"/>
            </w14:solidFill>
          </w14:textFill>
        </w:rPr>
      </w:pPr>
    </w:p>
    <w:p w14:paraId="36375CD2">
      <w:pPr>
        <w:spacing w:line="500" w:lineRule="exact"/>
        <w:jc w:val="center"/>
        <w:outlineLvl w:val="0"/>
        <w:rPr>
          <w:rFonts w:hint="default" w:ascii="Times New Roman" w:hAnsi="Times New Roman" w:eastAsia="方正小标宋_GBK" w:cs="Times New Roman"/>
          <w:color w:val="000000" w:themeColor="text1"/>
          <w:sz w:val="32"/>
          <w:szCs w:val="32"/>
          <w14:textFill>
            <w14:solidFill>
              <w14:schemeClr w14:val="tx1"/>
            </w14:solidFill>
          </w14:textFill>
        </w:rPr>
      </w:pPr>
      <w:bookmarkStart w:id="14" w:name="_Toc181193893"/>
      <w:bookmarkStart w:id="15" w:name="_Toc181358313"/>
      <w:bookmarkStart w:id="16" w:name="_Toc181194065"/>
      <w:bookmarkStart w:id="17" w:name="_Toc181358245"/>
      <w:bookmarkStart w:id="18" w:name="_Toc15891"/>
      <w:bookmarkStart w:id="19" w:name="_Toc26253"/>
      <w:bookmarkStart w:id="20" w:name="_Toc26778"/>
      <w:bookmarkStart w:id="21" w:name="_Toc2035"/>
      <w:bookmarkStart w:id="22" w:name="_Toc9263"/>
      <w:r>
        <w:rPr>
          <w:rFonts w:hint="default" w:ascii="Times New Roman" w:hAnsi="Times New Roman" w:eastAsia="方正小标宋_GBK" w:cs="Times New Roman"/>
          <w:color w:val="000000" w:themeColor="text1"/>
          <w:sz w:val="32"/>
          <w:szCs w:val="32"/>
          <w14:textFill>
            <w14:solidFill>
              <w14:schemeClr w14:val="tx1"/>
            </w14:solidFill>
          </w14:textFill>
        </w:rPr>
        <w:t>采购项目名称：</w:t>
      </w:r>
      <w:bookmarkEnd w:id="14"/>
      <w:bookmarkEnd w:id="15"/>
      <w:bookmarkEnd w:id="16"/>
      <w:bookmarkEnd w:id="17"/>
      <w:r>
        <w:rPr>
          <w:rFonts w:hint="default" w:ascii="Times New Roman" w:hAnsi="Times New Roman" w:eastAsia="方正小标宋_GBK" w:cs="Times New Roman"/>
          <w:color w:val="000000" w:themeColor="text1"/>
          <w:sz w:val="32"/>
          <w:szCs w:val="32"/>
          <w14:textFill>
            <w14:solidFill>
              <w14:schemeClr w14:val="tx1"/>
            </w14:solidFill>
          </w14:textFill>
        </w:rPr>
        <w:t>重庆市医药科技学校军训服装采购</w:t>
      </w:r>
      <w:bookmarkEnd w:id="18"/>
      <w:bookmarkEnd w:id="19"/>
      <w:bookmarkEnd w:id="20"/>
      <w:bookmarkEnd w:id="21"/>
      <w:bookmarkEnd w:id="22"/>
    </w:p>
    <w:p w14:paraId="04F0B152">
      <w:pPr>
        <w:spacing w:line="600" w:lineRule="exact"/>
        <w:ind w:firstLine="640" w:firstLineChars="200"/>
        <w:outlineLvl w:val="0"/>
        <w:rPr>
          <w:rFonts w:hint="default" w:ascii="Times New Roman" w:hAnsi="Times New Roman" w:eastAsia="方正小标宋_GBK" w:cs="Times New Roman"/>
          <w:color w:val="000000" w:themeColor="text1"/>
          <w:sz w:val="32"/>
          <w:szCs w:val="32"/>
          <w14:textFill>
            <w14:solidFill>
              <w14:schemeClr w14:val="tx1"/>
            </w14:solidFill>
          </w14:textFill>
        </w:rPr>
      </w:pPr>
    </w:p>
    <w:p w14:paraId="20CF3FC7">
      <w:pPr>
        <w:spacing w:line="600" w:lineRule="exact"/>
        <w:outlineLvl w:val="0"/>
        <w:rPr>
          <w:rFonts w:hint="default" w:ascii="Times New Roman" w:hAnsi="Times New Roman" w:eastAsia="方正小标宋_GBK" w:cs="Times New Roman"/>
          <w:color w:val="000000" w:themeColor="text1"/>
          <w:sz w:val="32"/>
          <w:szCs w:val="32"/>
          <w14:textFill>
            <w14:solidFill>
              <w14:schemeClr w14:val="tx1"/>
            </w14:solidFill>
          </w14:textFill>
        </w:rPr>
      </w:pPr>
      <w:r>
        <w:rPr>
          <w:rFonts w:hint="default" w:ascii="Times New Roman" w:hAnsi="Times New Roman" w:eastAsia="方正小标宋_GBK" w:cs="Times New Roman"/>
          <w:color w:val="000000" w:themeColor="text1"/>
          <w:sz w:val="32"/>
          <w:szCs w:val="32"/>
          <w14:textFill>
            <w14:solidFill>
              <w14:schemeClr w14:val="tx1"/>
            </w14:solidFill>
          </w14:textFill>
        </w:rPr>
        <w:t xml:space="preserve">   </w:t>
      </w:r>
    </w:p>
    <w:p w14:paraId="10A42793">
      <w:pPr>
        <w:spacing w:line="600" w:lineRule="exact"/>
        <w:rPr>
          <w:rFonts w:hint="default" w:ascii="Times New Roman" w:hAnsi="Times New Roman" w:eastAsia="方正小标宋_GBK" w:cs="Times New Roman"/>
          <w:color w:val="000000" w:themeColor="text1"/>
          <w:sz w:val="28"/>
          <w:szCs w:val="28"/>
          <w14:textFill>
            <w14:solidFill>
              <w14:schemeClr w14:val="tx1"/>
            </w14:solidFill>
          </w14:textFill>
        </w:rPr>
      </w:pPr>
    </w:p>
    <w:p w14:paraId="048EF28B">
      <w:pPr>
        <w:tabs>
          <w:tab w:val="left" w:pos="4993"/>
        </w:tabs>
        <w:spacing w:line="600" w:lineRule="exact"/>
        <w:jc w:val="left"/>
        <w:rPr>
          <w:rFonts w:hint="default" w:ascii="Times New Roman" w:hAnsi="Times New Roman" w:eastAsia="方正小标宋_GBK" w:cs="Times New Roman"/>
          <w:color w:val="000000" w:themeColor="text1"/>
          <w:szCs w:val="24"/>
          <w14:textFill>
            <w14:solidFill>
              <w14:schemeClr w14:val="tx1"/>
            </w14:solidFill>
          </w14:textFill>
        </w:rPr>
      </w:pPr>
      <w:r>
        <w:rPr>
          <w:rFonts w:hint="default" w:ascii="Times New Roman" w:hAnsi="Times New Roman" w:eastAsia="方正小标宋_GBK" w:cs="Times New Roman"/>
          <w:color w:val="000000" w:themeColor="text1"/>
          <w:szCs w:val="24"/>
          <w14:textFill>
            <w14:solidFill>
              <w14:schemeClr w14:val="tx1"/>
            </w14:solidFill>
          </w14:textFill>
        </w:rPr>
        <w:tab/>
      </w:r>
    </w:p>
    <w:p w14:paraId="7AFB848D">
      <w:pPr>
        <w:tabs>
          <w:tab w:val="left" w:pos="4993"/>
        </w:tabs>
        <w:spacing w:line="600" w:lineRule="exact"/>
        <w:jc w:val="left"/>
        <w:rPr>
          <w:rFonts w:hint="default" w:ascii="Times New Roman" w:hAnsi="Times New Roman" w:eastAsia="方正小标宋_GBK" w:cs="Times New Roman"/>
          <w:color w:val="000000" w:themeColor="text1"/>
          <w:szCs w:val="24"/>
          <w14:textFill>
            <w14:solidFill>
              <w14:schemeClr w14:val="tx1"/>
            </w14:solidFill>
          </w14:textFill>
        </w:rPr>
      </w:pPr>
    </w:p>
    <w:p w14:paraId="4263736A">
      <w:pPr>
        <w:widowControl/>
        <w:spacing w:line="600" w:lineRule="exact"/>
        <w:jc w:val="center"/>
        <w:rPr>
          <w:rFonts w:hint="default" w:ascii="Times New Roman" w:hAnsi="Times New Roman" w:eastAsia="仿宋_GB2312" w:cs="Times New Roman"/>
          <w:color w:val="000000" w:themeColor="text1"/>
          <w:sz w:val="44"/>
          <w14:textFill>
            <w14:solidFill>
              <w14:schemeClr w14:val="tx1"/>
            </w14:solidFill>
          </w14:textFill>
        </w:rPr>
        <w:sectPr>
          <w:headerReference r:id="rId3" w:type="default"/>
          <w:footerReference r:id="rId4" w:type="default"/>
          <w:pgSz w:w="11905" w:h="16838"/>
          <w:pgMar w:top="1701" w:right="1531" w:bottom="1701" w:left="1531" w:header="851" w:footer="992" w:gutter="0"/>
          <w:cols w:space="0" w:num="1"/>
          <w:rtlGutter w:val="0"/>
          <w:docGrid w:linePitch="312" w:charSpace="0"/>
        </w:sectPr>
      </w:pPr>
      <w:r>
        <w:rPr>
          <w:rFonts w:hint="default" w:ascii="Times New Roman" w:hAnsi="Times New Roman" w:eastAsia="方正小标宋_GBK" w:cs="Times New Roman"/>
          <w:color w:val="000000" w:themeColor="text1"/>
          <w:sz w:val="32"/>
          <w:szCs w:val="32"/>
          <w14:textFill>
            <w14:solidFill>
              <w14:schemeClr w14:val="tx1"/>
            </w14:solidFill>
          </w14:textFill>
        </w:rPr>
        <w:br w:type="textWrapping"/>
      </w:r>
      <w:r>
        <w:rPr>
          <w:rFonts w:hint="default" w:ascii="Times New Roman" w:hAnsi="Times New Roman" w:eastAsia="方正小标宋_GBK" w:cs="Times New Roman"/>
          <w:color w:val="000000" w:themeColor="text1"/>
          <w:sz w:val="32"/>
          <w:szCs w:val="32"/>
          <w14:textFill>
            <w14:solidFill>
              <w14:schemeClr w14:val="tx1"/>
            </w14:solidFill>
          </w14:textFill>
        </w:rPr>
        <w:t>2025年</w:t>
      </w:r>
      <w:r>
        <w:rPr>
          <w:rFonts w:hint="eastAsia" w:ascii="Times New Roman" w:hAnsi="Times New Roman" w:eastAsia="方正小标宋_GBK" w:cs="Times New Roman"/>
          <w:color w:val="000000" w:themeColor="text1"/>
          <w:sz w:val="32"/>
          <w:szCs w:val="32"/>
          <w:lang w:val="en-US" w:eastAsia="zh-CN"/>
          <w14:textFill>
            <w14:solidFill>
              <w14:schemeClr w14:val="tx1"/>
            </w14:solidFill>
          </w14:textFill>
        </w:rPr>
        <w:t>10</w:t>
      </w:r>
      <w:r>
        <w:rPr>
          <w:rFonts w:hint="default" w:ascii="Times New Roman" w:hAnsi="Times New Roman" w:eastAsia="方正小标宋_GBK" w:cs="Times New Roman"/>
          <w:color w:val="000000" w:themeColor="text1"/>
          <w:sz w:val="32"/>
          <w:szCs w:val="32"/>
          <w14:textFill>
            <w14:solidFill>
              <w14:schemeClr w14:val="tx1"/>
            </w14:solidFill>
          </w14:textFill>
        </w:rPr>
        <w:t>月</w:t>
      </w:r>
      <w:bookmarkStart w:id="200" w:name="_GoBack"/>
      <w:bookmarkEnd w:id="200"/>
    </w:p>
    <w:sdt>
      <w:sdtPr>
        <w:rPr>
          <w:rFonts w:hint="eastAsia" w:ascii="方正仿宋_GBK" w:hAnsi="方正仿宋_GBK" w:eastAsia="方正仿宋_GBK" w:cs="方正仿宋_GBK"/>
          <w:kern w:val="2"/>
          <w:sz w:val="28"/>
          <w:szCs w:val="28"/>
          <w:lang w:val="en-US" w:eastAsia="zh-CN" w:bidi="ar-SA"/>
        </w:rPr>
        <w:id w:val="147462868"/>
        <w15:color w:val="DBDBDB"/>
        <w:docPartObj>
          <w:docPartGallery w:val="Table of Contents"/>
          <w:docPartUnique/>
        </w:docPartObj>
      </w:sdtPr>
      <w:sdtEndPr>
        <w:rPr>
          <w:rFonts w:hint="default" w:ascii="Times New Roman" w:hAnsi="Times New Roman" w:eastAsia="方正仿宋_GBK" w:cs="Times New Roman"/>
          <w:color w:val="000000" w:themeColor="text1"/>
          <w:kern w:val="2"/>
          <w:sz w:val="21"/>
          <w:szCs w:val="28"/>
          <w:lang w:val="zh-CN" w:eastAsia="zh-CN" w:bidi="ar-SA"/>
          <w14:textFill>
            <w14:solidFill>
              <w14:schemeClr w14:val="tx1"/>
            </w14:solidFill>
          </w14:textFill>
        </w:rPr>
      </w:sdtEndPr>
      <w:sdtContent>
        <w:p w14:paraId="58F0B46A">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目录</w:t>
          </w:r>
        </w:p>
        <w:p w14:paraId="7CCF8170">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color w:val="000000" w:themeColor="text1"/>
              <w:sz w:val="28"/>
              <w:szCs w:val="28"/>
              <w:lang w:val="zh-CN"/>
              <w14:textFill>
                <w14:solidFill>
                  <w14:schemeClr w14:val="tx1"/>
                </w14:solidFill>
              </w14:textFill>
            </w:rPr>
            <w:instrText xml:space="preserve">TOC \o "1-2" \h \u </w:instrText>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separate"/>
          </w:r>
        </w:p>
        <w:p w14:paraId="2B5E7C11">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_Toc7456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第一篇 采购邀请书</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_Toc7456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5A45604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_Toc2172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一、采购项目内容</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_Toc2172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C52FA9C">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_Toc12532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二、资金来源</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_Toc12532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DE91E3E">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_Toc30292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三、</w:t>
          </w:r>
          <w:r>
            <w:rPr>
              <w:rFonts w:hint="default" w:ascii="Times New Roman" w:hAnsi="Times New Roman" w:eastAsia="方正仿宋_GBK" w:cs="Times New Roman"/>
              <w:sz w:val="28"/>
              <w:szCs w:val="28"/>
            </w:rPr>
            <w:t>供应商资格要求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_Toc30292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A4B9197">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_Toc11912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四、响应文件递交、开标有关说明</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_Toc11912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68CD938">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_Toc24291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五</w:t>
          </w:r>
          <w:r>
            <w:rPr>
              <w:rFonts w:hint="default" w:ascii="Times New Roman" w:hAnsi="Times New Roman" w:eastAsia="方正仿宋_GBK" w:cs="Times New Roman"/>
              <w:sz w:val="28"/>
              <w:szCs w:val="28"/>
            </w:rPr>
            <w:t>、响应有关规定</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_Toc24291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D896078">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_Toc11555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六、联系方式</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_Toc11555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3CB9F68D">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_Toc9693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 xml:space="preserve">第二篇 </w:t>
          </w:r>
          <w:r>
            <w:rPr>
              <w:rFonts w:hint="default" w:ascii="Times New Roman" w:hAnsi="Times New Roman" w:eastAsia="方正仿宋_GBK" w:cs="Times New Roman"/>
              <w:sz w:val="28"/>
              <w:szCs w:val="28"/>
            </w:rPr>
            <w:t>项目技术要求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_Toc9693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CA52A27">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_Toc19694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一、项目一览表</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_Toc19694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24B77CC">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_Toc12528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二、基本要求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_Toc12528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4DF89D01">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_Toc4732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三、其他要求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_Toc4732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7E68F2A">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_Toc14737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第三篇 项目商务要求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_Toc14737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EAA3AB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_Toc17366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一、交货期、交货地点及验收方式</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_Toc17366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BB39C0F">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_Toc15975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二、报价要求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_Toc15975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FCAA08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_Toc31429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三、质量保证及售后服务</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_Toc31429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26110BF">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_Toc6380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四、付款方式</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_Toc6380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9CDD94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_Toc32352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五、违约责任</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_Toc32352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BDC5F3E">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_Toc8507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六、知识产权</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_Toc8507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0F01140">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_Toc17971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七、其他商务要求内容</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_Toc17971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EA7FB6E">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_Toc22820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第四篇 评审方法及标准、无效响应条款和废标条款</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_Toc22820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3A8EC27">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_Toc23416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一、评审方法及标准</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_Toc23416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394B7DD8">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_Toc8438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二、无效响应条款</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_Toc8438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B74C75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_Toc12600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三、废标条款</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_Toc12600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13</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7C23AD2">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_Toc19374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第五篇 供应商须知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_Toc19374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7D6D189F">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_Toc4685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一、供应商</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_Toc4685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A3E67F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_Toc21852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二、采购文件</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_Toc21852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EAA12A5">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_Toc31900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三、响应文件</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_Toc31900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12C9067">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_Toc22020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四、开标</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_Toc22020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54B46DEA">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_Toc15108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五、评审</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_Toc15108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3C17EC12">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_Toc23627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六、结果公示</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_Toc23627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0CCC508">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_Toc23503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七、</w:t>
          </w:r>
          <w:r>
            <w:rPr>
              <w:rFonts w:hint="default" w:ascii="Times New Roman" w:hAnsi="Times New Roman" w:eastAsia="方正仿宋_GBK" w:cs="Times New Roman"/>
              <w:sz w:val="28"/>
              <w:szCs w:val="28"/>
              <w:lang w:val="en-US" w:eastAsia="zh-CN"/>
            </w:rPr>
            <w:t>询问、质疑</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_Toc23503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C926476">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_Toc30374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八、签订合同</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_Toc30374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7FE24191">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_Toc20397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第六篇 格式合同（样本）</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_Toc20397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16</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A6AC2E0">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_Toc9958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第七篇 响应文件格式</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_Toc9958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3DCADBC">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2"/>
            <w:rPr>
              <w:rFonts w:hint="default" w:ascii="Times New Roman" w:hAnsi="Times New Roman" w:eastAsia="方正仿宋_GBK" w:cs="Times New Roman"/>
              <w:color w:val="000000" w:themeColor="text1"/>
              <w:kern w:val="2"/>
              <w:sz w:val="21"/>
              <w:szCs w:val="28"/>
              <w:lang w:val="zh-CN" w:eastAsia="zh-CN" w:bidi="ar-SA"/>
              <w14:textFill>
                <w14:solidFill>
                  <w14:schemeClr w14:val="tx1"/>
                </w14:solidFill>
              </w14:textFill>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sdtContent>
    </w:sdt>
    <w:p w14:paraId="729FDBE9">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2"/>
        <w:rPr>
          <w:rFonts w:hint="default" w:ascii="Times New Roman" w:hAnsi="Times New Roman" w:eastAsia="方正仿宋_GBK" w:cs="Times New Roman"/>
          <w:color w:val="000000" w:themeColor="text1"/>
          <w:kern w:val="2"/>
          <w:sz w:val="21"/>
          <w:szCs w:val="28"/>
          <w:lang w:val="zh-CN" w:eastAsia="zh-CN" w:bidi="ar-SA"/>
          <w14:textFill>
            <w14:solidFill>
              <w14:schemeClr w14:val="tx1"/>
            </w14:solidFill>
          </w14:textFill>
        </w:rPr>
      </w:pPr>
    </w:p>
    <w:p w14:paraId="36A248EF">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2"/>
        <w:rPr>
          <w:rFonts w:hint="default" w:ascii="Times New Roman" w:hAnsi="Times New Roman" w:eastAsia="方正黑体_GBK" w:cs="Times New Roman"/>
          <w:color w:val="000000" w:themeColor="text1"/>
          <w:sz w:val="36"/>
          <w:szCs w:val="36"/>
          <w14:textFill>
            <w14:solidFill>
              <w14:schemeClr w14:val="tx1"/>
            </w14:solidFill>
          </w14:textFill>
        </w:rPr>
        <w:sectPr>
          <w:footerReference r:id="rId5" w:type="default"/>
          <w:pgSz w:w="11905" w:h="16838"/>
          <w:pgMar w:top="1701" w:right="1531" w:bottom="1701" w:left="1531" w:header="851" w:footer="992" w:gutter="0"/>
          <w:pgNumType w:fmt="decimal" w:start="1"/>
          <w:cols w:space="0" w:num="1"/>
          <w:rtlGutter w:val="0"/>
          <w:docGrid w:linePitch="380" w:charSpace="0"/>
        </w:sectPr>
      </w:pPr>
    </w:p>
    <w:p w14:paraId="5D6C7A69">
      <w:pPr>
        <w:pStyle w:val="3"/>
        <w:bidi w:val="0"/>
        <w:rPr>
          <w:rFonts w:hint="default"/>
        </w:rPr>
      </w:pPr>
      <w:bookmarkStart w:id="23" w:name="_Toc13300"/>
      <w:bookmarkStart w:id="24" w:name="_Toc7456"/>
      <w:r>
        <w:rPr>
          <w:rFonts w:hint="default"/>
        </w:rPr>
        <w:t>第一篇 采购邀请书</w:t>
      </w:r>
      <w:bookmarkEnd w:id="23"/>
      <w:bookmarkEnd w:id="24"/>
    </w:p>
    <w:p w14:paraId="2B7A22FE">
      <w:pPr>
        <w:keepNext w:val="0"/>
        <w:keepLines w:val="0"/>
        <w:pageBreakBefore w:val="0"/>
        <w:kinsoku/>
        <w:wordWrap/>
        <w:overflowPunct/>
        <w:topLinePunct w:val="0"/>
        <w:autoSpaceDE/>
        <w:autoSpaceDN/>
        <w:bidi w:val="0"/>
        <w:adjustRightInd/>
        <w:spacing w:line="500" w:lineRule="exact"/>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 xml:space="preserve">    </w:t>
      </w:r>
      <w:r>
        <w:rPr>
          <w:rFonts w:hint="default" w:ascii="Times New Roman" w:hAnsi="Times New Roman" w:eastAsia="方正仿宋_GBK" w:cs="Times New Roman"/>
          <w:color w:val="000000" w:themeColor="text1"/>
          <w:kern w:val="0"/>
          <w:sz w:val="28"/>
          <w:szCs w:val="28"/>
          <w14:textFill>
            <w14:solidFill>
              <w14:schemeClr w14:val="tx1"/>
            </w14:solidFill>
          </w14:textFill>
        </w:rPr>
        <w:t xml:space="preserve"> 重庆市医药科技学校就学生</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军训服装</w:t>
      </w:r>
      <w:r>
        <w:rPr>
          <w:rFonts w:hint="default" w:ascii="Times New Roman" w:hAnsi="Times New Roman" w:eastAsia="方正仿宋_GBK" w:cs="Times New Roman"/>
          <w:color w:val="000000" w:themeColor="text1"/>
          <w:kern w:val="0"/>
          <w:sz w:val="28"/>
          <w:szCs w:val="28"/>
          <w14:textFill>
            <w14:solidFill>
              <w14:schemeClr w14:val="tx1"/>
            </w14:solidFill>
          </w14:textFill>
        </w:rPr>
        <w:t>采购项目组织开展采购活动，诚邀具备资格的潜在供应商参与响应。本次采购旨在为学生遴选优质、舒适且符合国家标准的</w:t>
      </w:r>
      <w:r>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t>军训服装</w:t>
      </w:r>
      <w:r>
        <w:rPr>
          <w:rFonts w:hint="default" w:ascii="Times New Roman" w:hAnsi="Times New Roman" w:eastAsia="方正仿宋_GBK" w:cs="Times New Roman"/>
          <w:color w:val="000000" w:themeColor="text1"/>
          <w:kern w:val="0"/>
          <w:sz w:val="28"/>
          <w:szCs w:val="28"/>
          <w14:textFill>
            <w14:solidFill>
              <w14:schemeClr w14:val="tx1"/>
            </w14:solidFill>
          </w14:textFill>
        </w:rPr>
        <w:t>，具体采购内容及要求详见后续文件，诚邀各潜在供应商积极参与，共促学生</w:t>
      </w:r>
      <w:r>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t>军训服装</w:t>
      </w:r>
      <w:r>
        <w:rPr>
          <w:rFonts w:hint="default" w:ascii="Times New Roman" w:hAnsi="Times New Roman" w:eastAsia="方正仿宋_GBK" w:cs="Times New Roman"/>
          <w:color w:val="000000" w:themeColor="text1"/>
          <w:kern w:val="0"/>
          <w:sz w:val="28"/>
          <w:szCs w:val="28"/>
          <w14:textFill>
            <w14:solidFill>
              <w14:schemeClr w14:val="tx1"/>
            </w14:solidFill>
          </w14:textFill>
        </w:rPr>
        <w:t>品质提升。</w:t>
      </w:r>
    </w:p>
    <w:p w14:paraId="079D3907">
      <w:pPr>
        <w:pStyle w:val="4"/>
        <w:bidi w:val="0"/>
        <w:rPr>
          <w:rFonts w:hint="default"/>
        </w:rPr>
      </w:pPr>
      <w:bookmarkStart w:id="25" w:name="_Toc18600"/>
      <w:bookmarkStart w:id="26" w:name="_Toc2172"/>
      <w:r>
        <w:rPr>
          <w:rFonts w:hint="default"/>
        </w:rPr>
        <w:t>一、采购项目内容</w:t>
      </w:r>
      <w:bookmarkEnd w:id="25"/>
      <w:bookmarkEnd w:id="26"/>
    </w:p>
    <w:tbl>
      <w:tblPr>
        <w:tblStyle w:val="16"/>
        <w:tblW w:w="9075" w:type="dxa"/>
        <w:jc w:val="center"/>
        <w:tblLayout w:type="fixed"/>
        <w:tblCellMar>
          <w:top w:w="0" w:type="dxa"/>
          <w:left w:w="108" w:type="dxa"/>
          <w:bottom w:w="0" w:type="dxa"/>
          <w:right w:w="108" w:type="dxa"/>
        </w:tblCellMar>
      </w:tblPr>
      <w:tblGrid>
        <w:gridCol w:w="386"/>
        <w:gridCol w:w="990"/>
        <w:gridCol w:w="3825"/>
        <w:gridCol w:w="960"/>
        <w:gridCol w:w="990"/>
        <w:gridCol w:w="1425"/>
        <w:gridCol w:w="499"/>
      </w:tblGrid>
      <w:tr w14:paraId="6182173D">
        <w:tblPrEx>
          <w:tblCellMar>
            <w:top w:w="0" w:type="dxa"/>
            <w:left w:w="108" w:type="dxa"/>
            <w:bottom w:w="0" w:type="dxa"/>
            <w:right w:w="108" w:type="dxa"/>
          </w:tblCellMar>
        </w:tblPrEx>
        <w:trPr>
          <w:trHeight w:val="580"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61F4553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序号</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5567A5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名称</w:t>
            </w:r>
          </w:p>
        </w:tc>
        <w:tc>
          <w:tcPr>
            <w:tcW w:w="3825" w:type="dxa"/>
            <w:tcBorders>
              <w:top w:val="single" w:color="000000" w:sz="4" w:space="0"/>
              <w:left w:val="single" w:color="000000" w:sz="4" w:space="0"/>
              <w:bottom w:val="single" w:color="auto" w:sz="4" w:space="0"/>
              <w:right w:val="single" w:color="000000" w:sz="4" w:space="0"/>
            </w:tcBorders>
            <w:noWrap w:val="0"/>
            <w:vAlign w:val="center"/>
          </w:tcPr>
          <w:p w14:paraId="61A571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24"/>
                <w:szCs w:val="24"/>
                <w:lang w:val="en-US" w:eastAsia="zh-CN"/>
                <w14:textFill>
                  <w14:solidFill>
                    <w14:schemeClr w14:val="tx1"/>
                  </w14:solidFill>
                </w14:textFill>
              </w:rPr>
              <w:t>样式</w:t>
            </w:r>
          </w:p>
        </w:tc>
        <w:tc>
          <w:tcPr>
            <w:tcW w:w="960" w:type="dxa"/>
            <w:tcBorders>
              <w:top w:val="single" w:color="000000" w:sz="4" w:space="0"/>
              <w:left w:val="single" w:color="000000" w:sz="4" w:space="0"/>
              <w:bottom w:val="single" w:color="auto" w:sz="4" w:space="0"/>
              <w:right w:val="single" w:color="000000" w:sz="4" w:space="0"/>
            </w:tcBorders>
            <w:noWrap w:val="0"/>
            <w:vAlign w:val="center"/>
          </w:tcPr>
          <w:p w14:paraId="7DFD3C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单</w:t>
            </w: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项</w:t>
            </w:r>
            <w:r>
              <w:rPr>
                <w:rFonts w:hint="default" w:ascii="Times New Roman" w:hAnsi="Times New Roman" w:eastAsia="方正仿宋_GBK" w:cs="Times New Roman"/>
                <w:color w:val="000000" w:themeColor="text1"/>
                <w:kern w:val="0"/>
                <w:sz w:val="24"/>
                <w:szCs w:val="24"/>
                <w14:textFill>
                  <w14:solidFill>
                    <w14:schemeClr w14:val="tx1"/>
                  </w14:solidFill>
                </w14:textFill>
              </w:rPr>
              <w:t>限价（元）</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12B705B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最高限价（元）</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038C21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成交供应商数量（名）</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283B26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备注</w:t>
            </w:r>
          </w:p>
        </w:tc>
      </w:tr>
      <w:tr w14:paraId="56EBBBD9">
        <w:tblPrEx>
          <w:tblCellMar>
            <w:top w:w="0" w:type="dxa"/>
            <w:left w:w="108" w:type="dxa"/>
            <w:bottom w:w="0" w:type="dxa"/>
            <w:right w:w="108" w:type="dxa"/>
          </w:tblCellMar>
        </w:tblPrEx>
        <w:trPr>
          <w:trHeight w:val="2381"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29247462">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1</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426DF062">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迷彩服</w:t>
            </w:r>
          </w:p>
        </w:tc>
        <w:tc>
          <w:tcPr>
            <w:tcW w:w="3825" w:type="dxa"/>
            <w:tcBorders>
              <w:top w:val="single" w:color="auto" w:sz="4" w:space="0"/>
              <w:left w:val="single" w:color="auto" w:sz="4" w:space="0"/>
              <w:bottom w:val="single" w:color="auto" w:sz="4" w:space="0"/>
              <w:right w:val="single" w:color="auto" w:sz="4" w:space="0"/>
            </w:tcBorders>
            <w:noWrap/>
            <w:vAlign w:val="center"/>
          </w:tcPr>
          <w:p w14:paraId="4C786713">
            <w:pPr>
              <w:keepNext w:val="0"/>
              <w:keepLines w:val="0"/>
              <w:pageBreakBefore w:val="0"/>
              <w:kinsoku/>
              <w:wordWrap/>
              <w:overflowPunct/>
              <w:topLinePunct w:val="0"/>
              <w:autoSpaceDE/>
              <w:autoSpaceDN/>
              <w:bidi w:val="0"/>
              <w:adjustRightInd/>
              <w:spacing w:line="500" w:lineRule="exact"/>
              <w:jc w:val="both"/>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-25400</wp:posOffset>
                  </wp:positionH>
                  <wp:positionV relativeFrom="paragraph">
                    <wp:posOffset>-34925</wp:posOffset>
                  </wp:positionV>
                  <wp:extent cx="1221740" cy="1374775"/>
                  <wp:effectExtent l="0" t="0" r="0" b="0"/>
                  <wp:wrapNone/>
                  <wp:docPr id="3" name="图片 3" descr="9c1427f3253699c4fe937d5f87534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c1427f3253699c4fe937d5f875340ff"/>
                          <pic:cNvPicPr>
                            <a:picLocks noChangeAspect="1"/>
                          </pic:cNvPicPr>
                        </pic:nvPicPr>
                        <pic:blipFill>
                          <a:blip r:embed="rId10"/>
                          <a:srcRect t="5127"/>
                          <a:stretch>
                            <a:fillRect/>
                          </a:stretch>
                        </pic:blipFill>
                        <pic:spPr>
                          <a:xfrm>
                            <a:off x="0" y="0"/>
                            <a:ext cx="1221740" cy="137477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1198245</wp:posOffset>
                  </wp:positionH>
                  <wp:positionV relativeFrom="paragraph">
                    <wp:posOffset>-53975</wp:posOffset>
                  </wp:positionV>
                  <wp:extent cx="960755" cy="1436370"/>
                  <wp:effectExtent l="0" t="0" r="10795"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960755" cy="1436370"/>
                          </a:xfrm>
                          <a:prstGeom prst="rect">
                            <a:avLst/>
                          </a:prstGeom>
                          <a:noFill/>
                          <a:ln>
                            <a:noFill/>
                          </a:ln>
                        </pic:spPr>
                      </pic:pic>
                    </a:graphicData>
                  </a:graphic>
                </wp:anchor>
              </w:drawing>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2E5B91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95</w:t>
            </w:r>
          </w:p>
        </w:tc>
        <w:tc>
          <w:tcPr>
            <w:tcW w:w="990" w:type="dxa"/>
            <w:vMerge w:val="restart"/>
            <w:tcBorders>
              <w:top w:val="single" w:color="000000" w:sz="4" w:space="0"/>
              <w:left w:val="single" w:color="auto" w:sz="4" w:space="0"/>
              <w:right w:val="single" w:color="000000" w:sz="4" w:space="0"/>
            </w:tcBorders>
            <w:noWrap/>
            <w:vAlign w:val="center"/>
          </w:tcPr>
          <w:p w14:paraId="412B0FD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160</w:t>
            </w:r>
          </w:p>
        </w:tc>
        <w:tc>
          <w:tcPr>
            <w:tcW w:w="1425" w:type="dxa"/>
            <w:vMerge w:val="restart"/>
            <w:tcBorders>
              <w:top w:val="single" w:color="000000" w:sz="4" w:space="0"/>
              <w:left w:val="single" w:color="000000" w:sz="4" w:space="0"/>
              <w:right w:val="single" w:color="000000" w:sz="4" w:space="0"/>
            </w:tcBorders>
            <w:noWrap/>
            <w:vAlign w:val="center"/>
          </w:tcPr>
          <w:p w14:paraId="18B6518D">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1</w:t>
            </w:r>
          </w:p>
        </w:tc>
        <w:tc>
          <w:tcPr>
            <w:tcW w:w="499" w:type="dxa"/>
            <w:vMerge w:val="restart"/>
            <w:tcBorders>
              <w:top w:val="single" w:color="000000" w:sz="4" w:space="0"/>
              <w:left w:val="single" w:color="000000" w:sz="4" w:space="0"/>
              <w:right w:val="single" w:color="000000" w:sz="4" w:space="0"/>
            </w:tcBorders>
            <w:noWrap w:val="0"/>
            <w:vAlign w:val="center"/>
          </w:tcPr>
          <w:p w14:paraId="3E5C82D7">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p>
        </w:tc>
      </w:tr>
      <w:tr w14:paraId="70A12744">
        <w:tblPrEx>
          <w:tblCellMar>
            <w:top w:w="0" w:type="dxa"/>
            <w:left w:w="108" w:type="dxa"/>
            <w:bottom w:w="0" w:type="dxa"/>
            <w:right w:w="108" w:type="dxa"/>
          </w:tblCellMar>
        </w:tblPrEx>
        <w:trPr>
          <w:trHeight w:val="1675"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000E380D">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2</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2037C656">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迷彩帽</w:t>
            </w:r>
          </w:p>
        </w:tc>
        <w:tc>
          <w:tcPr>
            <w:tcW w:w="3825" w:type="dxa"/>
            <w:tcBorders>
              <w:top w:val="single" w:color="auto" w:sz="4" w:space="0"/>
              <w:left w:val="single" w:color="auto" w:sz="4" w:space="0"/>
              <w:bottom w:val="single" w:color="auto" w:sz="4" w:space="0"/>
              <w:right w:val="single" w:color="auto" w:sz="4" w:space="0"/>
            </w:tcBorders>
            <w:noWrap/>
            <w:vAlign w:val="center"/>
          </w:tcPr>
          <w:p w14:paraId="3CDC890C">
            <w:pPr>
              <w:keepNext w:val="0"/>
              <w:keepLines w:val="0"/>
              <w:pageBreakBefore w:val="0"/>
              <w:kinsoku/>
              <w:wordWrap/>
              <w:overflowPunct/>
              <w:topLinePunct w:val="0"/>
              <w:autoSpaceDE/>
              <w:autoSpaceDN/>
              <w:bidi w:val="0"/>
              <w:adjustRightInd/>
              <w:spacing w:line="500" w:lineRule="exact"/>
              <w:jc w:val="both"/>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-168275</wp:posOffset>
                  </wp:positionV>
                  <wp:extent cx="1146175" cy="944880"/>
                  <wp:effectExtent l="0" t="0" r="15875" b="7620"/>
                  <wp:wrapSquare wrapText="bothSides"/>
                  <wp:docPr id="4" name="图片 4" descr="9dc9b6693c6f1962e299b59dee27d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dc9b6693c6f1962e299b59dee27d0e7"/>
                          <pic:cNvPicPr>
                            <a:picLocks noChangeAspect="1"/>
                          </pic:cNvPicPr>
                        </pic:nvPicPr>
                        <pic:blipFill>
                          <a:blip r:embed="rId12"/>
                          <a:srcRect t="12458"/>
                          <a:stretch>
                            <a:fillRect/>
                          </a:stretch>
                        </pic:blipFill>
                        <pic:spPr>
                          <a:xfrm>
                            <a:off x="0" y="0"/>
                            <a:ext cx="1146175" cy="944880"/>
                          </a:xfrm>
                          <a:prstGeom prst="rect">
                            <a:avLst/>
                          </a:prstGeom>
                        </pic:spPr>
                      </pic:pic>
                    </a:graphicData>
                  </a:graphic>
                </wp:anchor>
              </w:drawing>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ECF7ECD">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15</w:t>
            </w:r>
          </w:p>
        </w:tc>
        <w:tc>
          <w:tcPr>
            <w:tcW w:w="990" w:type="dxa"/>
            <w:vMerge w:val="continue"/>
            <w:tcBorders>
              <w:left w:val="single" w:color="auto" w:sz="4" w:space="0"/>
              <w:right w:val="single" w:color="000000" w:sz="4" w:space="0"/>
            </w:tcBorders>
            <w:noWrap/>
            <w:vAlign w:val="center"/>
          </w:tcPr>
          <w:p w14:paraId="31F77C27">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1425" w:type="dxa"/>
            <w:vMerge w:val="continue"/>
            <w:tcBorders>
              <w:left w:val="single" w:color="000000" w:sz="4" w:space="0"/>
              <w:right w:val="single" w:color="000000" w:sz="4" w:space="0"/>
            </w:tcBorders>
            <w:noWrap/>
            <w:vAlign w:val="center"/>
          </w:tcPr>
          <w:p w14:paraId="55AFDD07">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499" w:type="dxa"/>
            <w:vMerge w:val="continue"/>
            <w:tcBorders>
              <w:left w:val="single" w:color="000000" w:sz="4" w:space="0"/>
              <w:right w:val="single" w:color="000000" w:sz="4" w:space="0"/>
            </w:tcBorders>
            <w:noWrap w:val="0"/>
            <w:vAlign w:val="center"/>
          </w:tcPr>
          <w:p w14:paraId="5BE3EC8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r>
      <w:tr w14:paraId="48B8B1A1">
        <w:tblPrEx>
          <w:tblCellMar>
            <w:top w:w="0" w:type="dxa"/>
            <w:left w:w="108" w:type="dxa"/>
            <w:bottom w:w="0" w:type="dxa"/>
            <w:right w:w="108" w:type="dxa"/>
          </w:tblCellMar>
        </w:tblPrEx>
        <w:trPr>
          <w:trHeight w:val="1170"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413B2E03">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3</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5C43545D">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内腰带</w:t>
            </w:r>
          </w:p>
        </w:tc>
        <w:tc>
          <w:tcPr>
            <w:tcW w:w="3825" w:type="dxa"/>
            <w:tcBorders>
              <w:top w:val="single" w:color="auto" w:sz="4" w:space="0"/>
              <w:left w:val="single" w:color="000000" w:sz="4" w:space="0"/>
              <w:bottom w:val="single" w:color="auto" w:sz="4" w:space="0"/>
              <w:right w:val="single" w:color="auto" w:sz="4" w:space="0"/>
            </w:tcBorders>
            <w:noWrap/>
            <w:vAlign w:val="center"/>
          </w:tcPr>
          <w:p w14:paraId="1D145067">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drawing>
                <wp:anchor distT="0" distB="0" distL="114300" distR="114300" simplePos="0" relativeHeight="251665408" behindDoc="0" locked="0" layoutInCell="1" allowOverlap="1">
                  <wp:simplePos x="0" y="0"/>
                  <wp:positionH relativeFrom="column">
                    <wp:posOffset>-28575</wp:posOffset>
                  </wp:positionH>
                  <wp:positionV relativeFrom="paragraph">
                    <wp:posOffset>-62230</wp:posOffset>
                  </wp:positionV>
                  <wp:extent cx="1640840" cy="609600"/>
                  <wp:effectExtent l="0" t="0" r="16510" b="0"/>
                  <wp:wrapNone/>
                  <wp:docPr id="11" name="图片 11" descr="d6cf8b0b2e67986d89d70b550f9e8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6cf8b0b2e67986d89d70b550f9e8f5e"/>
                          <pic:cNvPicPr>
                            <a:picLocks noChangeAspect="1"/>
                          </pic:cNvPicPr>
                        </pic:nvPicPr>
                        <pic:blipFill>
                          <a:blip r:embed="rId13"/>
                          <a:stretch>
                            <a:fillRect/>
                          </a:stretch>
                        </pic:blipFill>
                        <pic:spPr>
                          <a:xfrm>
                            <a:off x="0" y="0"/>
                            <a:ext cx="1640840" cy="609600"/>
                          </a:xfrm>
                          <a:prstGeom prst="rect">
                            <a:avLst/>
                          </a:prstGeom>
                        </pic:spPr>
                      </pic:pic>
                    </a:graphicData>
                  </a:graphic>
                </wp:anchor>
              </w:drawing>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6A8FE0C">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10</w:t>
            </w:r>
          </w:p>
        </w:tc>
        <w:tc>
          <w:tcPr>
            <w:tcW w:w="990" w:type="dxa"/>
            <w:vMerge w:val="continue"/>
            <w:tcBorders>
              <w:left w:val="single" w:color="auto" w:sz="4" w:space="0"/>
              <w:right w:val="single" w:color="000000" w:sz="4" w:space="0"/>
            </w:tcBorders>
            <w:noWrap/>
            <w:vAlign w:val="center"/>
          </w:tcPr>
          <w:p w14:paraId="534C3D20">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1425" w:type="dxa"/>
            <w:vMerge w:val="continue"/>
            <w:tcBorders>
              <w:left w:val="single" w:color="000000" w:sz="4" w:space="0"/>
              <w:right w:val="single" w:color="000000" w:sz="4" w:space="0"/>
            </w:tcBorders>
            <w:noWrap/>
            <w:vAlign w:val="center"/>
          </w:tcPr>
          <w:p w14:paraId="41FA6A11">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499" w:type="dxa"/>
            <w:vMerge w:val="continue"/>
            <w:tcBorders>
              <w:left w:val="single" w:color="000000" w:sz="4" w:space="0"/>
              <w:right w:val="single" w:color="000000" w:sz="4" w:space="0"/>
            </w:tcBorders>
            <w:noWrap w:val="0"/>
            <w:vAlign w:val="center"/>
          </w:tcPr>
          <w:p w14:paraId="264A79CA">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r>
      <w:tr w14:paraId="3D013193">
        <w:tblPrEx>
          <w:tblCellMar>
            <w:top w:w="0" w:type="dxa"/>
            <w:left w:w="108" w:type="dxa"/>
            <w:bottom w:w="0" w:type="dxa"/>
            <w:right w:w="108" w:type="dxa"/>
          </w:tblCellMar>
        </w:tblPrEx>
        <w:trPr>
          <w:trHeight w:val="1645"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524A611A">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snapToGrid w:val="0"/>
                <w:color w:val="auto"/>
                <w:kern w:val="0"/>
                <w:sz w:val="24"/>
                <w:szCs w:val="24"/>
                <w:lang w:val="en-US" w:eastAsia="zh-CN" w:bidi="ar"/>
              </w:rPr>
              <w:t>4</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7626F67B">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外腰带</w:t>
            </w:r>
          </w:p>
        </w:tc>
        <w:tc>
          <w:tcPr>
            <w:tcW w:w="3825" w:type="dxa"/>
            <w:tcBorders>
              <w:top w:val="single" w:color="auto" w:sz="4" w:space="0"/>
              <w:left w:val="single" w:color="000000" w:sz="4" w:space="0"/>
              <w:bottom w:val="single" w:color="auto" w:sz="4" w:space="0"/>
              <w:right w:val="single" w:color="auto" w:sz="4" w:space="0"/>
            </w:tcBorders>
            <w:noWrap/>
            <w:vAlign w:val="center"/>
          </w:tcPr>
          <w:p w14:paraId="42E6EDAD">
            <w:pPr>
              <w:keepNext w:val="0"/>
              <w:keepLines w:val="0"/>
              <w:pageBreakBefore w:val="0"/>
              <w:kinsoku/>
              <w:wordWrap/>
              <w:overflowPunct/>
              <w:topLinePunct w:val="0"/>
              <w:autoSpaceDE/>
              <w:autoSpaceDN/>
              <w:bidi w:val="0"/>
              <w:adjustRightInd/>
              <w:spacing w:line="500" w:lineRule="exact"/>
              <w:jc w:val="both"/>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-44450</wp:posOffset>
                  </wp:positionV>
                  <wp:extent cx="1673860" cy="946785"/>
                  <wp:effectExtent l="0" t="0" r="2540" b="5715"/>
                  <wp:wrapNone/>
                  <wp:docPr id="6" name="图片 6" descr="f2dc9be72f19c41b7f589013d7ebe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dc9be72f19c41b7f589013d7ebe2cc"/>
                          <pic:cNvPicPr>
                            <a:picLocks noChangeAspect="1"/>
                          </pic:cNvPicPr>
                        </pic:nvPicPr>
                        <pic:blipFill>
                          <a:blip r:embed="rId14"/>
                          <a:srcRect t="21201" b="22243"/>
                          <a:stretch>
                            <a:fillRect/>
                          </a:stretch>
                        </pic:blipFill>
                        <pic:spPr>
                          <a:xfrm>
                            <a:off x="0" y="0"/>
                            <a:ext cx="1673860" cy="946785"/>
                          </a:xfrm>
                          <a:prstGeom prst="rect">
                            <a:avLst/>
                          </a:prstGeom>
                        </pic:spPr>
                      </pic:pic>
                    </a:graphicData>
                  </a:graphic>
                </wp:anchor>
              </w:drawing>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54BA7223">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10</w:t>
            </w:r>
          </w:p>
        </w:tc>
        <w:tc>
          <w:tcPr>
            <w:tcW w:w="990" w:type="dxa"/>
            <w:vMerge w:val="continue"/>
            <w:tcBorders>
              <w:left w:val="single" w:color="auto" w:sz="4" w:space="0"/>
              <w:right w:val="single" w:color="000000" w:sz="4" w:space="0"/>
            </w:tcBorders>
            <w:noWrap/>
            <w:vAlign w:val="center"/>
          </w:tcPr>
          <w:p w14:paraId="0A02178D">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1425" w:type="dxa"/>
            <w:vMerge w:val="continue"/>
            <w:tcBorders>
              <w:left w:val="single" w:color="000000" w:sz="4" w:space="0"/>
              <w:right w:val="single" w:color="000000" w:sz="4" w:space="0"/>
            </w:tcBorders>
            <w:noWrap/>
            <w:vAlign w:val="center"/>
          </w:tcPr>
          <w:p w14:paraId="340B85F4">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499" w:type="dxa"/>
            <w:vMerge w:val="continue"/>
            <w:tcBorders>
              <w:left w:val="single" w:color="000000" w:sz="4" w:space="0"/>
              <w:right w:val="single" w:color="000000" w:sz="4" w:space="0"/>
            </w:tcBorders>
            <w:noWrap w:val="0"/>
            <w:vAlign w:val="center"/>
          </w:tcPr>
          <w:p w14:paraId="2A871BF4">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r>
      <w:tr w14:paraId="67EC5242">
        <w:tblPrEx>
          <w:tblCellMar>
            <w:top w:w="0" w:type="dxa"/>
            <w:left w:w="108" w:type="dxa"/>
            <w:bottom w:w="0" w:type="dxa"/>
            <w:right w:w="108" w:type="dxa"/>
          </w:tblCellMar>
        </w:tblPrEx>
        <w:trPr>
          <w:trHeight w:val="1675"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3531D63C">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snapToGrid w:val="0"/>
                <w:color w:val="auto"/>
                <w:kern w:val="0"/>
                <w:sz w:val="24"/>
                <w:szCs w:val="24"/>
                <w:lang w:eastAsia="zh-CN" w:bidi="ar"/>
              </w:rPr>
            </w:pPr>
            <w:r>
              <w:rPr>
                <w:rFonts w:hint="default" w:ascii="Times New Roman" w:hAnsi="Times New Roman" w:eastAsia="方正仿宋_GBK" w:cs="Times New Roman"/>
                <w:snapToGrid w:val="0"/>
                <w:color w:val="auto"/>
                <w:kern w:val="0"/>
                <w:sz w:val="24"/>
                <w:szCs w:val="24"/>
                <w:lang w:val="en-US" w:eastAsia="zh-CN" w:bidi="ar"/>
              </w:rPr>
              <w:t>5</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74A93C51">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snapToGrid w:val="0"/>
                <w:color w:val="auto"/>
                <w:kern w:val="0"/>
                <w:sz w:val="24"/>
                <w:szCs w:val="24"/>
                <w:lang w:val="en-US" w:eastAsia="zh-CN" w:bidi="ar"/>
              </w:rPr>
            </w:pPr>
            <w:r>
              <w:rPr>
                <w:rFonts w:hint="default" w:ascii="Times New Roman" w:hAnsi="Times New Roman" w:eastAsia="方正仿宋_GBK" w:cs="Times New Roman"/>
                <w:snapToGrid w:val="0"/>
                <w:color w:val="auto"/>
                <w:kern w:val="0"/>
                <w:sz w:val="24"/>
                <w:szCs w:val="24"/>
                <w:lang w:bidi="ar"/>
              </w:rPr>
              <w:t>迷彩鞋</w:t>
            </w:r>
          </w:p>
        </w:tc>
        <w:tc>
          <w:tcPr>
            <w:tcW w:w="3825" w:type="dxa"/>
            <w:tcBorders>
              <w:top w:val="single" w:color="auto" w:sz="4" w:space="0"/>
              <w:left w:val="single" w:color="000000" w:sz="4" w:space="0"/>
              <w:bottom w:val="single" w:color="000000" w:sz="4" w:space="0"/>
              <w:right w:val="single" w:color="000000" w:sz="4" w:space="0"/>
            </w:tcBorders>
            <w:noWrap/>
            <w:vAlign w:val="center"/>
          </w:tcPr>
          <w:p w14:paraId="1BABC89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drawing>
                <wp:anchor distT="0" distB="0" distL="114300" distR="114300" simplePos="0" relativeHeight="251662336" behindDoc="0" locked="0" layoutInCell="1" allowOverlap="1">
                  <wp:simplePos x="0" y="0"/>
                  <wp:positionH relativeFrom="column">
                    <wp:posOffset>19050</wp:posOffset>
                  </wp:positionH>
                  <wp:positionV relativeFrom="paragraph">
                    <wp:posOffset>-3175</wp:posOffset>
                  </wp:positionV>
                  <wp:extent cx="1244600" cy="969010"/>
                  <wp:effectExtent l="0" t="0" r="12700" b="2540"/>
                  <wp:wrapNone/>
                  <wp:docPr id="5" name="图片 5" descr="f4f6a72bf6ff3aff7ce77c36051fc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4f6a72bf6ff3aff7ce77c36051fcc38"/>
                          <pic:cNvPicPr>
                            <a:picLocks noChangeAspect="1"/>
                          </pic:cNvPicPr>
                        </pic:nvPicPr>
                        <pic:blipFill>
                          <a:blip r:embed="rId15"/>
                          <a:stretch>
                            <a:fillRect/>
                          </a:stretch>
                        </pic:blipFill>
                        <pic:spPr>
                          <a:xfrm>
                            <a:off x="0" y="0"/>
                            <a:ext cx="1244600" cy="969010"/>
                          </a:xfrm>
                          <a:prstGeom prst="rect">
                            <a:avLst/>
                          </a:prstGeom>
                        </pic:spPr>
                      </pic:pic>
                    </a:graphicData>
                  </a:graphic>
                </wp:anchor>
              </w:drawing>
            </w:r>
          </w:p>
        </w:tc>
        <w:tc>
          <w:tcPr>
            <w:tcW w:w="960" w:type="dxa"/>
            <w:tcBorders>
              <w:top w:val="single" w:color="auto" w:sz="4" w:space="0"/>
              <w:left w:val="single" w:color="000000" w:sz="4" w:space="0"/>
              <w:bottom w:val="single" w:color="000000" w:sz="4" w:space="0"/>
              <w:right w:val="single" w:color="000000" w:sz="4" w:space="0"/>
            </w:tcBorders>
            <w:noWrap w:val="0"/>
            <w:vAlign w:val="center"/>
          </w:tcPr>
          <w:p w14:paraId="4DC8CF94">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30</w:t>
            </w:r>
          </w:p>
        </w:tc>
        <w:tc>
          <w:tcPr>
            <w:tcW w:w="990" w:type="dxa"/>
            <w:vMerge w:val="continue"/>
            <w:tcBorders>
              <w:left w:val="single" w:color="auto" w:sz="4" w:space="0"/>
              <w:bottom w:val="single" w:color="000000" w:sz="4" w:space="0"/>
              <w:right w:val="single" w:color="000000" w:sz="4" w:space="0"/>
            </w:tcBorders>
            <w:noWrap/>
            <w:vAlign w:val="center"/>
          </w:tcPr>
          <w:p w14:paraId="6B85831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1425" w:type="dxa"/>
            <w:vMerge w:val="continue"/>
            <w:tcBorders>
              <w:left w:val="single" w:color="000000" w:sz="4" w:space="0"/>
              <w:bottom w:val="single" w:color="000000" w:sz="4" w:space="0"/>
              <w:right w:val="single" w:color="000000" w:sz="4" w:space="0"/>
            </w:tcBorders>
            <w:noWrap/>
            <w:vAlign w:val="center"/>
          </w:tcPr>
          <w:p w14:paraId="1BBC766A">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499" w:type="dxa"/>
            <w:vMerge w:val="continue"/>
            <w:tcBorders>
              <w:left w:val="single" w:color="000000" w:sz="4" w:space="0"/>
              <w:bottom w:val="single" w:color="000000" w:sz="4" w:space="0"/>
              <w:right w:val="single" w:color="000000" w:sz="4" w:space="0"/>
            </w:tcBorders>
            <w:noWrap w:val="0"/>
            <w:vAlign w:val="center"/>
          </w:tcPr>
          <w:p w14:paraId="68E71FBF">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r>
    </w:tbl>
    <w:p w14:paraId="0290AB08">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FF0000"/>
          <w:kern w:val="0"/>
          <w:sz w:val="28"/>
          <w:szCs w:val="28"/>
        </w:rPr>
      </w:pPr>
      <w:bookmarkStart w:id="27" w:name="_Toc12532"/>
      <w:bookmarkStart w:id="28" w:name="_Toc9334"/>
      <w:r>
        <w:rPr>
          <w:rFonts w:hint="eastAsia" w:ascii="Times New Roman" w:hAnsi="Times New Roman" w:eastAsia="方正仿宋_GBK" w:cs="Times New Roman"/>
          <w:color w:val="FF0000"/>
          <w:kern w:val="0"/>
          <w:sz w:val="28"/>
          <w:szCs w:val="28"/>
          <w:lang w:val="en-US" w:eastAsia="zh-CN"/>
        </w:rPr>
        <w:t>注：</w:t>
      </w:r>
      <w:r>
        <w:rPr>
          <w:rFonts w:hint="eastAsia" w:ascii="Times New Roman" w:hAnsi="Times New Roman" w:eastAsia="方正仿宋_GBK" w:cs="Times New Roman"/>
          <w:color w:val="FF0000"/>
          <w:kern w:val="0"/>
          <w:sz w:val="28"/>
          <w:szCs w:val="28"/>
        </w:rPr>
        <w:t>采购数量以征集家长同意购买的套系及数量进行统计。</w:t>
      </w:r>
    </w:p>
    <w:p w14:paraId="4691EDA3">
      <w:pPr>
        <w:pStyle w:val="4"/>
        <w:bidi w:val="0"/>
        <w:ind w:firstLine="704"/>
        <w:rPr>
          <w:rFonts w:hint="default"/>
        </w:rPr>
      </w:pPr>
      <w:r>
        <w:rPr>
          <w:rFonts w:hint="default"/>
        </w:rPr>
        <w:t>二、资金来源</w:t>
      </w:r>
      <w:bookmarkEnd w:id="27"/>
      <w:bookmarkEnd w:id="28"/>
    </w:p>
    <w:p w14:paraId="67564F1F">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学生家长自有资金。</w:t>
      </w:r>
    </w:p>
    <w:p w14:paraId="75263372">
      <w:pPr>
        <w:pStyle w:val="4"/>
        <w:bidi w:val="0"/>
        <w:rPr>
          <w:rFonts w:hint="default"/>
        </w:rPr>
      </w:pPr>
      <w:bookmarkStart w:id="29" w:name="_Toc30292"/>
      <w:bookmarkStart w:id="30" w:name="_Toc14780"/>
      <w:r>
        <w:rPr>
          <w:rFonts w:hint="eastAsia"/>
          <w:lang w:val="en-US" w:eastAsia="zh-CN"/>
        </w:rPr>
        <w:t>三、</w:t>
      </w:r>
      <w:r>
        <w:rPr>
          <w:rFonts w:hint="default"/>
        </w:rPr>
        <w:t>供应商资格要求</w:t>
      </w:r>
      <w:bookmarkEnd w:id="29"/>
      <w:bookmarkEnd w:id="30"/>
    </w:p>
    <w:p w14:paraId="55909ECA">
      <w:pPr>
        <w:keepNext w:val="0"/>
        <w:keepLines w:val="0"/>
        <w:pageBreakBefore w:val="0"/>
        <w:numPr>
          <w:ilvl w:val="0"/>
          <w:numId w:val="1"/>
        </w:numPr>
        <w:kinsoku/>
        <w:wordWrap/>
        <w:overflowPunct/>
        <w:topLinePunct w:val="0"/>
        <w:autoSpaceDE/>
        <w:autoSpaceDN/>
        <w:bidi w:val="0"/>
        <w:adjustRightInd/>
        <w:spacing w:line="500" w:lineRule="exact"/>
        <w:ind w:firstLine="560" w:firstLineChars="200"/>
        <w:outlineLvl w:val="2"/>
        <w:rPr>
          <w:rFonts w:hint="default" w:ascii="Times New Roman" w:hAnsi="Times New Roman" w:eastAsia="方正楷体_GBK" w:cs="Times New Roman"/>
          <w:color w:val="000000" w:themeColor="text1"/>
          <w:sz w:val="28"/>
          <w:szCs w:val="28"/>
          <w14:textFill>
            <w14:solidFill>
              <w14:schemeClr w14:val="tx1"/>
            </w14:solidFill>
          </w14:textFill>
        </w:rPr>
      </w:pPr>
      <w:bookmarkStart w:id="31" w:name="_Toc23691"/>
      <w:r>
        <w:rPr>
          <w:rFonts w:hint="default" w:ascii="Times New Roman" w:hAnsi="Times New Roman" w:eastAsia="方正楷体_GBK" w:cs="Times New Roman"/>
          <w:color w:val="000000" w:themeColor="text1"/>
          <w:sz w:val="28"/>
          <w:szCs w:val="28"/>
          <w14:textFill>
            <w14:solidFill>
              <w14:schemeClr w14:val="tx1"/>
            </w14:solidFill>
          </w14:textFill>
        </w:rPr>
        <w:t>基本资格条件：</w:t>
      </w:r>
      <w:bookmarkEnd w:id="31"/>
    </w:p>
    <w:p w14:paraId="28288752">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pPr>
      <w:r>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t>1.具有独立承担民事责任能力的生产厂家或代理商</w:t>
      </w:r>
      <w:r>
        <w:rPr>
          <w:rFonts w:hint="default" w:ascii="Times New Roman" w:hAnsi="Times New Roman" w:eastAsia="方正仿宋_GBK"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t>如代理商参与响应，需提供生产厂家出具的响应授权书并加盖生产厂家的公章</w:t>
      </w:r>
      <w:r>
        <w:rPr>
          <w:rFonts w:hint="default" w:ascii="Times New Roman" w:hAnsi="Times New Roman" w:eastAsia="方正仿宋_GBK"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t>；</w:t>
      </w:r>
    </w:p>
    <w:p w14:paraId="5A3AD091">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t>2.具有良好的商业信誉和</w:t>
      </w:r>
      <w:r>
        <w:rPr>
          <w:rFonts w:hint="default" w:ascii="Times New Roman" w:hAnsi="Times New Roman" w:eastAsia="方正仿宋_GBK" w:cs="Times New Roman"/>
          <w:color w:val="000000" w:themeColor="text1"/>
          <w:kern w:val="0"/>
          <w:sz w:val="28"/>
          <w:szCs w:val="28"/>
          <w14:textFill>
            <w14:solidFill>
              <w14:schemeClr w14:val="tx1"/>
            </w14:solidFill>
          </w14:textFill>
        </w:rPr>
        <w:t>健全的财务会计制度；</w:t>
      </w:r>
    </w:p>
    <w:p w14:paraId="1D602365">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3</w:t>
      </w:r>
      <w:r>
        <w:rPr>
          <w:rFonts w:hint="default" w:ascii="Times New Roman" w:hAnsi="Times New Roman" w:eastAsia="方正仿宋_GBK" w:cs="Times New Roman"/>
          <w:color w:val="000000" w:themeColor="text1"/>
          <w:kern w:val="0"/>
          <w:sz w:val="28"/>
          <w:szCs w:val="28"/>
          <w14:textFill>
            <w14:solidFill>
              <w14:schemeClr w14:val="tx1"/>
            </w14:solidFill>
          </w14:textFill>
        </w:rPr>
        <w:t>.具有履行合同所必需的设备和专业技术能力；</w:t>
      </w:r>
    </w:p>
    <w:p w14:paraId="0C3A8F91">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4</w:t>
      </w:r>
      <w:r>
        <w:rPr>
          <w:rFonts w:hint="default" w:ascii="Times New Roman" w:hAnsi="Times New Roman" w:eastAsia="方正仿宋_GBK" w:cs="Times New Roman"/>
          <w:color w:val="000000" w:themeColor="text1"/>
          <w:kern w:val="0"/>
          <w:sz w:val="28"/>
          <w:szCs w:val="28"/>
          <w14:textFill>
            <w14:solidFill>
              <w14:schemeClr w14:val="tx1"/>
            </w14:solidFill>
          </w14:textFill>
        </w:rPr>
        <w:t>.有依法缴纳税收和社会保障资金的良好记录；</w:t>
      </w:r>
    </w:p>
    <w:p w14:paraId="3DA27828">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5</w:t>
      </w:r>
      <w:r>
        <w:rPr>
          <w:rFonts w:hint="default" w:ascii="Times New Roman" w:hAnsi="Times New Roman" w:eastAsia="方正仿宋_GBK" w:cs="Times New Roman"/>
          <w:color w:val="000000" w:themeColor="text1"/>
          <w:kern w:val="0"/>
          <w:sz w:val="28"/>
          <w:szCs w:val="28"/>
          <w14:textFill>
            <w14:solidFill>
              <w14:schemeClr w14:val="tx1"/>
            </w14:solidFill>
          </w14:textFill>
        </w:rPr>
        <w:t>.参加本次采购活动前三年内，在经营活动中没有违法记录；提供基本资格条件承诺函。</w:t>
      </w:r>
    </w:p>
    <w:p w14:paraId="41E8C79D">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（二）特定资格条件：</w:t>
      </w:r>
      <w:r>
        <w:rPr>
          <w:rFonts w:hint="default" w:ascii="Times New Roman" w:hAnsi="Times New Roman" w:eastAsia="方正仿宋_GBK" w:cs="Times New Roman"/>
          <w:color w:val="000000" w:themeColor="text1"/>
          <w:sz w:val="28"/>
          <w:szCs w:val="28"/>
          <w14:textFill>
            <w14:solidFill>
              <w14:schemeClr w14:val="tx1"/>
            </w14:solidFill>
          </w14:textFill>
        </w:rPr>
        <w:t>无</w:t>
      </w:r>
    </w:p>
    <w:p w14:paraId="151A00C6">
      <w:pPr>
        <w:pStyle w:val="4"/>
        <w:bidi w:val="0"/>
        <w:rPr>
          <w:rFonts w:hint="default"/>
        </w:rPr>
      </w:pPr>
      <w:bookmarkStart w:id="32" w:name="_Toc30250"/>
      <w:bookmarkStart w:id="33" w:name="_Toc11912"/>
      <w:r>
        <w:rPr>
          <w:rFonts w:hint="default"/>
        </w:rPr>
        <w:t>四、</w:t>
      </w:r>
      <w:bookmarkEnd w:id="32"/>
      <w:bookmarkStart w:id="34" w:name="_Toc25948"/>
      <w:r>
        <w:rPr>
          <w:rFonts w:hint="default"/>
        </w:rPr>
        <w:t>响应文件递交、开标有关说明</w:t>
      </w:r>
      <w:bookmarkEnd w:id="33"/>
      <w:bookmarkEnd w:id="34"/>
    </w:p>
    <w:p w14:paraId="219C59DD">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（一）响应文件递交时间：2025年</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17</w:t>
      </w:r>
      <w:r>
        <w:rPr>
          <w:rFonts w:hint="default" w:ascii="Times New Roman" w:hAnsi="Times New Roman" w:eastAsia="方正仿宋_GBK" w:cs="Times New Roman"/>
          <w:color w:val="000000" w:themeColor="text1"/>
          <w:kern w:val="0"/>
          <w:sz w:val="28"/>
          <w:szCs w:val="28"/>
          <w14:textFill>
            <w14:solidFill>
              <w14:schemeClr w14:val="tx1"/>
            </w14:solidFill>
          </w14:textFill>
        </w:rPr>
        <w:t>日上午9：00-</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0</w:t>
      </w:r>
      <w:r>
        <w:rPr>
          <w:rFonts w:hint="default" w:ascii="Times New Roman" w:hAnsi="Times New Roman" w:eastAsia="方正仿宋_GBK" w:cs="Times New Roman"/>
          <w:color w:val="000000" w:themeColor="text1"/>
          <w:kern w:val="0"/>
          <w:sz w:val="28"/>
          <w:szCs w:val="28"/>
          <w14:textFill>
            <w14:solidFill>
              <w14:schemeClr w14:val="tx1"/>
            </w14:solidFill>
          </w14:textFill>
        </w:rPr>
        <w:t>0。</w:t>
      </w:r>
    </w:p>
    <w:p w14:paraId="06303407">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（二）响应文件递交及开标地点：</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重庆市医药科技学校汇创楼8楼会议室</w:t>
      </w:r>
      <w:r>
        <w:rPr>
          <w:rFonts w:hint="default" w:ascii="Times New Roman" w:hAnsi="Times New Roman" w:eastAsia="方正仿宋_GBK" w:cs="Times New Roman"/>
          <w:color w:val="000000" w:themeColor="text1"/>
          <w:kern w:val="0"/>
          <w:sz w:val="28"/>
          <w:szCs w:val="28"/>
          <w14:textFill>
            <w14:solidFill>
              <w14:schemeClr w14:val="tx1"/>
            </w14:solidFill>
          </w14:textFill>
        </w:rPr>
        <w:t>。</w:t>
      </w:r>
    </w:p>
    <w:p w14:paraId="0248A1A0">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1.响应文件递交地点（投标纸质文件按招标文件要求密封，一式</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三</w:t>
      </w:r>
      <w:r>
        <w:rPr>
          <w:rFonts w:hint="default" w:ascii="Times New Roman" w:hAnsi="Times New Roman" w:eastAsia="方正仿宋_GBK" w:cs="Times New Roman"/>
          <w:color w:val="000000" w:themeColor="text1"/>
          <w:kern w:val="0"/>
          <w:sz w:val="28"/>
          <w:szCs w:val="28"/>
          <w14:textFill>
            <w14:solidFill>
              <w14:schemeClr w14:val="tx1"/>
            </w14:solidFill>
          </w14:textFill>
        </w:rPr>
        <w:t>份正副本，不含展示）递交到</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重庆市医药科技学校汇创楼8楼会议室</w:t>
      </w:r>
      <w:r>
        <w:rPr>
          <w:rFonts w:hint="default" w:ascii="Times New Roman" w:hAnsi="Times New Roman" w:eastAsia="方正仿宋_GBK" w:cs="Times New Roman"/>
          <w:color w:val="000000" w:themeColor="text1"/>
          <w:kern w:val="0"/>
          <w:sz w:val="28"/>
          <w:szCs w:val="28"/>
          <w14:textFill>
            <w14:solidFill>
              <w14:schemeClr w14:val="tx1"/>
            </w14:solidFill>
          </w14:textFill>
        </w:rPr>
        <w:t>。</w:t>
      </w:r>
    </w:p>
    <w:p w14:paraId="376D29A1">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2.资格审查地点：2025年</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17</w:t>
      </w:r>
      <w:r>
        <w:rPr>
          <w:rFonts w:hint="default" w:ascii="Times New Roman" w:hAnsi="Times New Roman" w:eastAsia="方正仿宋_GBK" w:cs="Times New Roman"/>
          <w:color w:val="000000" w:themeColor="text1"/>
          <w:kern w:val="0"/>
          <w:sz w:val="28"/>
          <w:szCs w:val="28"/>
          <w14:textFill>
            <w14:solidFill>
              <w14:schemeClr w14:val="tx1"/>
            </w14:solidFill>
          </w14:textFill>
        </w:rPr>
        <w:t>日上午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0</w:t>
      </w:r>
      <w:r>
        <w:rPr>
          <w:rFonts w:hint="default" w:ascii="Times New Roman" w:hAnsi="Times New Roman" w:eastAsia="方正仿宋_GBK" w:cs="Times New Roman"/>
          <w:color w:val="000000" w:themeColor="text1"/>
          <w:kern w:val="0"/>
          <w:sz w:val="28"/>
          <w:szCs w:val="28"/>
          <w14:textFill>
            <w14:solidFill>
              <w14:schemeClr w14:val="tx1"/>
            </w14:solidFill>
          </w14:textFill>
        </w:rPr>
        <w:t>0在</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重庆市医药科技学校汇创楼8楼会议室</w:t>
      </w:r>
      <w:r>
        <w:rPr>
          <w:rFonts w:hint="default" w:ascii="Times New Roman" w:hAnsi="Times New Roman" w:eastAsia="方正仿宋_GBK" w:cs="Times New Roman"/>
          <w:color w:val="000000" w:themeColor="text1"/>
          <w:kern w:val="0"/>
          <w:sz w:val="28"/>
          <w:szCs w:val="28"/>
          <w14:textFill>
            <w14:solidFill>
              <w14:schemeClr w14:val="tx1"/>
            </w14:solidFill>
          </w14:textFill>
        </w:rPr>
        <w:t>进行资格性和符合性审查；</w:t>
      </w:r>
    </w:p>
    <w:p w14:paraId="71E2C94C">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3.样品展示要求：通过资质审查的投标人于2025年</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17</w:t>
      </w:r>
      <w:r>
        <w:rPr>
          <w:rFonts w:hint="default" w:ascii="Times New Roman" w:hAnsi="Times New Roman" w:eastAsia="方正仿宋_GBK" w:cs="Times New Roman"/>
          <w:color w:val="000000" w:themeColor="text1"/>
          <w:kern w:val="0"/>
          <w:sz w:val="28"/>
          <w:szCs w:val="28"/>
          <w14:textFill>
            <w14:solidFill>
              <w14:schemeClr w14:val="tx1"/>
            </w14:solidFill>
          </w14:textFill>
        </w:rPr>
        <w:t>日在学校指定区域展示样衣（为公平起见，所有样衣均不制作实质性插包口袋（仅限于样衣）</w:t>
      </w:r>
    </w:p>
    <w:p w14:paraId="24516837">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4.投票地点：通过资质审查的供应商于2025年</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17</w:t>
      </w:r>
      <w:r>
        <w:rPr>
          <w:rFonts w:hint="default" w:ascii="Times New Roman" w:hAnsi="Times New Roman" w:eastAsia="方正仿宋_GBK" w:cs="Times New Roman"/>
          <w:color w:val="000000" w:themeColor="text1"/>
          <w:kern w:val="0"/>
          <w:sz w:val="28"/>
          <w:szCs w:val="28"/>
          <w14:textFill>
            <w14:solidFill>
              <w14:schemeClr w14:val="tx1"/>
            </w14:solidFill>
          </w14:textFill>
        </w:rPr>
        <w:t>日13:</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3</w:t>
      </w:r>
      <w:r>
        <w:rPr>
          <w:rFonts w:hint="default" w:ascii="Times New Roman" w:hAnsi="Times New Roman" w:eastAsia="方正仿宋_GBK" w:cs="Times New Roman"/>
          <w:color w:val="000000" w:themeColor="text1"/>
          <w:kern w:val="0"/>
          <w:sz w:val="28"/>
          <w:szCs w:val="28"/>
          <w14:textFill>
            <w14:solidFill>
              <w14:schemeClr w14:val="tx1"/>
            </w14:solidFill>
          </w14:textFill>
        </w:rPr>
        <w:t>0在</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学校</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学术报告厅</w:t>
      </w:r>
      <w:r>
        <w:rPr>
          <w:rFonts w:hint="default" w:ascii="Times New Roman" w:hAnsi="Times New Roman" w:eastAsia="方正仿宋_GBK" w:cs="Times New Roman"/>
          <w:color w:val="000000" w:themeColor="text1"/>
          <w:kern w:val="0"/>
          <w:sz w:val="28"/>
          <w:szCs w:val="28"/>
          <w14:textFill>
            <w14:solidFill>
              <w14:schemeClr w14:val="tx1"/>
            </w14:solidFill>
          </w14:textFill>
        </w:rPr>
        <w:t>进行。</w:t>
      </w:r>
    </w:p>
    <w:p w14:paraId="6217C658">
      <w:pPr>
        <w:pStyle w:val="4"/>
        <w:bidi w:val="0"/>
        <w:rPr>
          <w:rFonts w:hint="default"/>
        </w:rPr>
      </w:pPr>
      <w:bookmarkStart w:id="35" w:name="_Toc23815"/>
      <w:bookmarkStart w:id="36" w:name="_Toc24291"/>
      <w:r>
        <w:rPr>
          <w:rFonts w:hint="eastAsia"/>
          <w:lang w:val="en-US" w:eastAsia="zh-CN"/>
        </w:rPr>
        <w:t>五</w:t>
      </w:r>
      <w:r>
        <w:rPr>
          <w:rFonts w:hint="default"/>
        </w:rPr>
        <w:t>、响应有关规定</w:t>
      </w:r>
      <w:bookmarkEnd w:id="35"/>
      <w:bookmarkEnd w:id="36"/>
    </w:p>
    <w:p w14:paraId="4520F8EF">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（一）单位负责人为同一人或者存在直接控股、管理关系的不同供应商，不得参加同一合同项（包）下的政府采购活动，否则均为无效响应。</w:t>
      </w:r>
    </w:p>
    <w:p w14:paraId="1CFAAFEF">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（二）生产厂家参与响应的，不得再委托代理商参与响应。</w:t>
      </w:r>
    </w:p>
    <w:p w14:paraId="583C25C3">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（三）超过响应文件递交截止时间或未按规定</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封口处法人或授权代表签字、加盖公章</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密封的响应文件，将不予接受。</w:t>
      </w:r>
    </w:p>
    <w:p w14:paraId="7C206F31">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四</w:t>
      </w:r>
      <w:r>
        <w:rPr>
          <w:rFonts w:hint="default" w:ascii="Times New Roman" w:hAnsi="Times New Roman" w:eastAsia="方正仿宋_GBK" w:cs="Times New Roman"/>
          <w:color w:val="000000" w:themeColor="text1"/>
          <w:sz w:val="28"/>
          <w:szCs w:val="28"/>
          <w14:textFill>
            <w14:solidFill>
              <w14:schemeClr w14:val="tx1"/>
            </w14:solidFill>
          </w14:textFill>
        </w:rPr>
        <w:t>）为采购项目提供整体设计、规范编制或者项目管理、监理、检测等服务的供应商，不得再参加该采购项目的其他采购活动。</w:t>
      </w:r>
    </w:p>
    <w:p w14:paraId="75269E34">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五</w:t>
      </w:r>
      <w:r>
        <w:rPr>
          <w:rFonts w:hint="default" w:ascii="Times New Roman" w:hAnsi="Times New Roman" w:eastAsia="方正仿宋_GBK" w:cs="Times New Roman"/>
          <w:color w:val="000000" w:themeColor="text1"/>
          <w:sz w:val="28"/>
          <w:szCs w:val="28"/>
          <w14:textFill>
            <w14:solidFill>
              <w14:schemeClr w14:val="tx1"/>
            </w14:solidFill>
          </w14:textFill>
        </w:rPr>
        <w:t>）超过响应文件截止时间递交的响应文件，恕不接收。</w:t>
      </w:r>
    </w:p>
    <w:p w14:paraId="43D3641E">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六</w:t>
      </w:r>
      <w:r>
        <w:rPr>
          <w:rFonts w:hint="default" w:ascii="Times New Roman" w:hAnsi="Times New Roman" w:eastAsia="方正仿宋_GBK" w:cs="Times New Roman"/>
          <w:color w:val="000000" w:themeColor="text1"/>
          <w:sz w:val="28"/>
          <w:szCs w:val="28"/>
          <w14:textFill>
            <w14:solidFill>
              <w14:schemeClr w14:val="tx1"/>
            </w14:solidFill>
          </w14:textFill>
        </w:rPr>
        <w:t>）响应相关费用由供应商自行承担。</w:t>
      </w:r>
    </w:p>
    <w:p w14:paraId="6C0DDE65">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七</w:t>
      </w:r>
      <w:r>
        <w:rPr>
          <w:rFonts w:hint="default" w:ascii="Times New Roman" w:hAnsi="Times New Roman" w:eastAsia="方正仿宋_GBK" w:cs="Times New Roman"/>
          <w:color w:val="000000" w:themeColor="text1"/>
          <w:sz w:val="28"/>
          <w:szCs w:val="28"/>
          <w14:textFill>
            <w14:solidFill>
              <w14:schemeClr w14:val="tx1"/>
            </w14:solidFill>
          </w14:textFill>
        </w:rPr>
        <w:t>）本项目不接受联合体参与</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采购活动</w:t>
      </w:r>
      <w:r>
        <w:rPr>
          <w:rFonts w:hint="default" w:ascii="Times New Roman" w:hAnsi="Times New Roman" w:eastAsia="方正仿宋_GBK" w:cs="Times New Roman"/>
          <w:color w:val="000000" w:themeColor="text1"/>
          <w:sz w:val="28"/>
          <w:szCs w:val="28"/>
          <w14:textFill>
            <w14:solidFill>
              <w14:schemeClr w14:val="tx1"/>
            </w14:solidFill>
          </w14:textFill>
        </w:rPr>
        <w:t>，否则按无效处理。</w:t>
      </w:r>
    </w:p>
    <w:p w14:paraId="50A61789">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八</w:t>
      </w:r>
      <w:r>
        <w:rPr>
          <w:rFonts w:hint="default" w:ascii="Times New Roman" w:hAnsi="Times New Roman" w:eastAsia="方正仿宋_GBK" w:cs="Times New Roman"/>
          <w:color w:val="000000" w:themeColor="text1"/>
          <w:sz w:val="28"/>
          <w:szCs w:val="28"/>
          <w14:textFill>
            <w14:solidFill>
              <w14:schemeClr w14:val="tx1"/>
            </w14:solidFill>
          </w14:textFill>
        </w:rPr>
        <w:t>）本项目不接受合同分包，否则按无效处理。</w:t>
      </w:r>
    </w:p>
    <w:p w14:paraId="4041CE06">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九</w:t>
      </w:r>
      <w:r>
        <w:rPr>
          <w:rFonts w:hint="default" w:ascii="Times New Roman" w:hAnsi="Times New Roman" w:eastAsia="方正仿宋_GBK" w:cs="Times New Roman"/>
          <w:color w:val="000000" w:themeColor="text1"/>
          <w:sz w:val="28"/>
          <w:szCs w:val="28"/>
          <w14:textFill>
            <w14:solidFill>
              <w14:schemeClr w14:val="tx1"/>
            </w14:solidFill>
          </w14:textFill>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采购活动。</w:t>
      </w:r>
    </w:p>
    <w:p w14:paraId="1E25ADC8">
      <w:pPr>
        <w:pStyle w:val="4"/>
        <w:bidi w:val="0"/>
        <w:ind w:firstLine="704"/>
        <w:rPr>
          <w:rFonts w:hint="default"/>
          <w:lang w:val="en-US" w:eastAsia="zh-CN"/>
        </w:rPr>
      </w:pPr>
      <w:bookmarkStart w:id="37" w:name="_Toc31219"/>
      <w:bookmarkStart w:id="38" w:name="_Toc11555"/>
      <w:r>
        <w:rPr>
          <w:rFonts w:hint="eastAsia"/>
          <w:lang w:val="en-US" w:eastAsia="zh-CN"/>
        </w:rPr>
        <w:t>六</w:t>
      </w:r>
      <w:r>
        <w:rPr>
          <w:rFonts w:hint="default"/>
          <w:lang w:val="en-US" w:eastAsia="zh-CN"/>
        </w:rPr>
        <w:t>、联系方式</w:t>
      </w:r>
      <w:bookmarkEnd w:id="37"/>
      <w:bookmarkEnd w:id="38"/>
    </w:p>
    <w:p w14:paraId="64402784">
      <w:pPr>
        <w:keepNext w:val="0"/>
        <w:keepLines w:val="0"/>
        <w:pageBreakBefore w:val="0"/>
        <w:widowControl w:val="0"/>
        <w:tabs>
          <w:tab w:val="center" w:pos="4422"/>
        </w:tabs>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采购人：重庆市医药科技学校</w:t>
      </w:r>
    </w:p>
    <w:p w14:paraId="5FFD88C9">
      <w:pPr>
        <w:keepNext w:val="0"/>
        <w:keepLines w:val="0"/>
        <w:pageBreakBefore w:val="0"/>
        <w:widowControl w:val="0"/>
        <w:tabs>
          <w:tab w:val="center" w:pos="4422"/>
        </w:tabs>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联系人：</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石老师</w:t>
      </w:r>
      <w:r>
        <w:rPr>
          <w:rFonts w:hint="default" w:ascii="Times New Roman" w:hAnsi="Times New Roman" w:eastAsia="方正仿宋_GBK" w:cs="Times New Roman"/>
          <w:color w:val="000000" w:themeColor="text1"/>
          <w:sz w:val="28"/>
          <w:szCs w:val="28"/>
          <w14:textFill>
            <w14:solidFill>
              <w14:schemeClr w14:val="tx1"/>
            </w14:solidFill>
          </w14:textFill>
        </w:rPr>
        <w:tab/>
      </w:r>
    </w:p>
    <w:p w14:paraId="76935C4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电话：</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68990027</w:t>
      </w:r>
    </w:p>
    <w:p w14:paraId="0F304C7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FF0000"/>
          <w:sz w:val="28"/>
          <w:szCs w:val="28"/>
          <w:lang w:val="en-US" w:eastAsia="zh-CN"/>
        </w:rPr>
      </w:pPr>
      <w:r>
        <w:rPr>
          <w:rFonts w:hint="default" w:ascii="Times New Roman" w:hAnsi="Times New Roman" w:eastAsia="方正仿宋_GBK" w:cs="Times New Roman"/>
          <w:color w:val="000000" w:themeColor="text1"/>
          <w:sz w:val="28"/>
          <w:szCs w:val="28"/>
          <w14:textFill>
            <w14:solidFill>
              <w14:schemeClr w14:val="tx1"/>
            </w14:solidFill>
          </w14:textFill>
        </w:rPr>
        <w:t>地址：</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重庆市北碚区竹溪东路1411号</w:t>
      </w:r>
    </w:p>
    <w:p w14:paraId="64232BFB">
      <w:pPr>
        <w:keepNext w:val="0"/>
        <w:keepLines w:val="0"/>
        <w:pageBreakBefore w:val="0"/>
        <w:kinsoku/>
        <w:overflowPunct/>
        <w:autoSpaceDE/>
        <w:autoSpaceDN/>
        <w:bidi w:val="0"/>
        <w:adjustRightInd/>
        <w:spacing w:line="500" w:lineRule="exact"/>
        <w:rPr>
          <w:rFonts w:hint="default" w:ascii="Times New Roman" w:hAnsi="Times New Roman" w:eastAsia="方正黑体_GBK" w:cs="Times New Roman"/>
          <w:color w:val="000000" w:themeColor="text1"/>
          <w:sz w:val="28"/>
          <w:szCs w:val="28"/>
          <w14:textFill>
            <w14:solidFill>
              <w14:schemeClr w14:val="tx1"/>
            </w14:solidFill>
          </w14:textFill>
        </w:rPr>
      </w:pPr>
      <w:r>
        <w:rPr>
          <w:rFonts w:hint="default" w:ascii="Times New Roman" w:hAnsi="Times New Roman" w:eastAsia="方正黑体_GBK" w:cs="Times New Roman"/>
          <w:color w:val="000000" w:themeColor="text1"/>
          <w:sz w:val="28"/>
          <w:szCs w:val="28"/>
          <w14:textFill>
            <w14:solidFill>
              <w14:schemeClr w14:val="tx1"/>
            </w14:solidFill>
          </w14:textFill>
        </w:rPr>
        <w:br w:type="page"/>
      </w:r>
    </w:p>
    <w:p w14:paraId="4AF3074A">
      <w:pPr>
        <w:pStyle w:val="3"/>
        <w:bidi w:val="0"/>
        <w:rPr>
          <w:rFonts w:hint="default"/>
        </w:rPr>
      </w:pPr>
      <w:bookmarkStart w:id="39" w:name="_Toc23641"/>
      <w:bookmarkStart w:id="40" w:name="_Toc9693"/>
      <w:r>
        <w:rPr>
          <w:rFonts w:hint="eastAsia"/>
          <w:lang w:val="en-US" w:eastAsia="zh-CN"/>
        </w:rPr>
        <w:t xml:space="preserve">第二篇 </w:t>
      </w:r>
      <w:r>
        <w:rPr>
          <w:rFonts w:hint="default"/>
        </w:rPr>
        <w:t>项目技术要求</w:t>
      </w:r>
      <w:bookmarkEnd w:id="39"/>
      <w:bookmarkEnd w:id="40"/>
    </w:p>
    <w:p w14:paraId="33A2F905">
      <w:pPr>
        <w:pStyle w:val="4"/>
        <w:bidi w:val="0"/>
        <w:rPr>
          <w:rFonts w:hint="default"/>
          <w:lang w:val="en-US" w:eastAsia="zh-CN"/>
        </w:rPr>
      </w:pPr>
      <w:bookmarkStart w:id="41" w:name="_Toc5331"/>
      <w:bookmarkStart w:id="42" w:name="_Toc31448"/>
      <w:bookmarkStart w:id="43" w:name="_Toc19694"/>
      <w:r>
        <w:rPr>
          <w:rFonts w:hint="default"/>
          <w:lang w:val="en-US" w:eastAsia="zh-CN"/>
        </w:rPr>
        <w:t>一、项目一览表</w:t>
      </w:r>
      <w:bookmarkEnd w:id="41"/>
      <w:bookmarkEnd w:id="42"/>
      <w:bookmarkEnd w:id="43"/>
    </w:p>
    <w:tbl>
      <w:tblPr>
        <w:tblStyle w:val="16"/>
        <w:tblW w:w="9699" w:type="dxa"/>
        <w:tblInd w:w="-254" w:type="dxa"/>
        <w:tblLayout w:type="fixed"/>
        <w:tblCellMar>
          <w:top w:w="0" w:type="dxa"/>
          <w:left w:w="108" w:type="dxa"/>
          <w:bottom w:w="0" w:type="dxa"/>
          <w:right w:w="108" w:type="dxa"/>
        </w:tblCellMar>
      </w:tblPr>
      <w:tblGrid>
        <w:gridCol w:w="717"/>
        <w:gridCol w:w="942"/>
        <w:gridCol w:w="6663"/>
        <w:gridCol w:w="1377"/>
      </w:tblGrid>
      <w:tr w14:paraId="6EFC93E5">
        <w:tblPrEx>
          <w:tblCellMar>
            <w:top w:w="0" w:type="dxa"/>
            <w:left w:w="108" w:type="dxa"/>
            <w:bottom w:w="0" w:type="dxa"/>
            <w:right w:w="108" w:type="dxa"/>
          </w:tblCellMar>
        </w:tblPrEx>
        <w:trPr>
          <w:trHeight w:val="26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4F05A9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napToGrid w:val="0"/>
                <w:kern w:val="0"/>
                <w:sz w:val="24"/>
                <w:szCs w:val="24"/>
                <w:lang w:val="en-US" w:eastAsia="zh-CN" w:bidi="ar"/>
              </w:rPr>
              <w:t>序号</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60C06B8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napToGrid w:val="0"/>
                <w:kern w:val="0"/>
                <w:sz w:val="24"/>
                <w:szCs w:val="24"/>
                <w:lang w:val="en-US" w:eastAsia="zh-CN" w:bidi="ar"/>
              </w:rPr>
              <w:t>名称</w:t>
            </w:r>
          </w:p>
        </w:tc>
        <w:tc>
          <w:tcPr>
            <w:tcW w:w="6663" w:type="dxa"/>
            <w:tcBorders>
              <w:top w:val="single" w:color="000000" w:sz="4" w:space="0"/>
              <w:left w:val="single" w:color="000000" w:sz="4" w:space="0"/>
              <w:bottom w:val="single" w:color="auto" w:sz="4" w:space="0"/>
              <w:right w:val="single" w:color="000000" w:sz="4" w:space="0"/>
            </w:tcBorders>
            <w:noWrap w:val="0"/>
            <w:vAlign w:val="center"/>
          </w:tcPr>
          <w:p w14:paraId="4836714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仿宋_GBK" w:cs="Times New Roman"/>
                <w:snapToGrid w:val="0"/>
                <w:kern w:val="0"/>
                <w:sz w:val="24"/>
                <w:szCs w:val="24"/>
                <w:lang w:val="en-US" w:eastAsia="zh-CN" w:bidi="ar"/>
              </w:rPr>
            </w:pPr>
            <w:r>
              <w:rPr>
                <w:rFonts w:hint="default" w:ascii="Times New Roman" w:hAnsi="Times New Roman" w:eastAsia="方正仿宋_GBK" w:cs="Times New Roman"/>
                <w:snapToGrid w:val="0"/>
                <w:kern w:val="0"/>
                <w:sz w:val="24"/>
                <w:szCs w:val="24"/>
                <w:lang w:val="en-US" w:eastAsia="zh-CN" w:bidi="ar"/>
              </w:rPr>
              <w:t>型号及参数</w:t>
            </w:r>
          </w:p>
        </w:tc>
        <w:tc>
          <w:tcPr>
            <w:tcW w:w="1377" w:type="dxa"/>
            <w:tcBorders>
              <w:top w:val="single" w:color="000000" w:sz="4" w:space="0"/>
              <w:left w:val="single" w:color="000000" w:sz="4" w:space="0"/>
              <w:bottom w:val="single" w:color="auto" w:sz="4" w:space="0"/>
              <w:right w:val="single" w:color="000000" w:sz="4" w:space="0"/>
            </w:tcBorders>
            <w:noWrap w:val="0"/>
            <w:vAlign w:val="center"/>
          </w:tcPr>
          <w:p w14:paraId="2C4E6BE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snapToGrid w:val="0"/>
                <w:kern w:val="0"/>
                <w:sz w:val="22"/>
                <w:szCs w:val="22"/>
                <w:lang w:bidi="ar"/>
              </w:rPr>
              <w:t>备注</w:t>
            </w:r>
          </w:p>
        </w:tc>
      </w:tr>
      <w:tr w14:paraId="72ECC6BC">
        <w:tblPrEx>
          <w:tblCellMar>
            <w:top w:w="0" w:type="dxa"/>
            <w:left w:w="108" w:type="dxa"/>
            <w:bottom w:w="0" w:type="dxa"/>
            <w:right w:w="108" w:type="dxa"/>
          </w:tblCellMar>
        </w:tblPrEx>
        <w:trPr>
          <w:trHeight w:val="563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4BF8E061">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1</w:t>
            </w:r>
          </w:p>
        </w:tc>
        <w:tc>
          <w:tcPr>
            <w:tcW w:w="942" w:type="dxa"/>
            <w:tcBorders>
              <w:top w:val="single" w:color="000000" w:sz="4" w:space="0"/>
              <w:left w:val="single" w:color="auto" w:sz="4" w:space="0"/>
              <w:bottom w:val="single" w:color="000000" w:sz="4" w:space="0"/>
              <w:right w:val="single" w:color="auto" w:sz="4" w:space="0"/>
            </w:tcBorders>
            <w:noWrap/>
            <w:vAlign w:val="center"/>
          </w:tcPr>
          <w:p w14:paraId="6DF5CA70">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snapToGrid w:val="0"/>
                <w:color w:val="auto"/>
                <w:kern w:val="0"/>
                <w:sz w:val="24"/>
                <w:szCs w:val="24"/>
                <w:highlight w:val="none"/>
                <w:lang w:bidi="ar"/>
              </w:rPr>
              <w:t>迷彩服</w:t>
            </w:r>
          </w:p>
        </w:tc>
        <w:tc>
          <w:tcPr>
            <w:tcW w:w="6663" w:type="dxa"/>
            <w:tcBorders>
              <w:top w:val="single" w:color="auto" w:sz="4" w:space="0"/>
              <w:left w:val="single" w:color="auto" w:sz="4" w:space="0"/>
              <w:bottom w:val="single" w:color="auto" w:sz="4" w:space="0"/>
              <w:right w:val="single" w:color="auto" w:sz="4" w:space="0"/>
            </w:tcBorders>
            <w:noWrap/>
            <w:vAlign w:val="center"/>
          </w:tcPr>
          <w:p w14:paraId="0D0BCBB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方正仿宋_GBK" w:cs="Times New Roman"/>
                <w:snapToGrid w:val="0"/>
                <w:color w:val="auto"/>
                <w:kern w:val="0"/>
                <w:sz w:val="24"/>
                <w:szCs w:val="24"/>
                <w:highlight w:val="none"/>
                <w:lang w:val="en-US" w:eastAsia="zh-CN" w:bidi="ar"/>
              </w:rPr>
            </w:pPr>
            <w:r>
              <w:rPr>
                <w:rFonts w:hint="default" w:ascii="Times New Roman" w:hAnsi="Times New Roman" w:eastAsia="方正仿宋_GBK" w:cs="Times New Roman"/>
                <w:snapToGrid w:val="0"/>
                <w:color w:val="auto"/>
                <w:kern w:val="0"/>
                <w:sz w:val="24"/>
                <w:szCs w:val="24"/>
                <w:highlight w:val="none"/>
                <w:lang w:val="en-US" w:eastAsia="zh-CN" w:bidi="ar"/>
              </w:rPr>
              <w:t>一、面料</w:t>
            </w:r>
          </w:p>
          <w:p w14:paraId="4F119EC4">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1.65%聚酯纤维</w:t>
            </w:r>
            <w:r>
              <w:rPr>
                <w:rFonts w:hint="default" w:ascii="Times New Roman" w:hAnsi="Times New Roman" w:eastAsia="方正仿宋_GBK" w:cs="Times New Roman"/>
                <w:snapToGrid w:val="0"/>
                <w:color w:val="auto"/>
                <w:kern w:val="0"/>
                <w:sz w:val="24"/>
                <w:szCs w:val="24"/>
                <w:highlight w:val="none"/>
                <w:lang w:eastAsia="zh-CN" w:bidi="ar"/>
              </w:rPr>
              <w:t>（</w:t>
            </w:r>
            <w:r>
              <w:rPr>
                <w:rFonts w:hint="default" w:ascii="Times New Roman" w:hAnsi="Times New Roman" w:eastAsia="方正仿宋_GBK" w:cs="Times New Roman"/>
                <w:snapToGrid w:val="0"/>
                <w:color w:val="auto"/>
                <w:kern w:val="0"/>
                <w:sz w:val="24"/>
                <w:szCs w:val="24"/>
                <w:highlight w:val="none"/>
                <w:lang w:val="en-US" w:eastAsia="zh-CN" w:bidi="ar"/>
              </w:rPr>
              <w:t>±5%</w:t>
            </w:r>
            <w:r>
              <w:rPr>
                <w:rFonts w:hint="default" w:ascii="Times New Roman" w:hAnsi="Times New Roman" w:eastAsia="方正仿宋_GBK" w:cs="Times New Roman"/>
                <w:snapToGrid w:val="0"/>
                <w:color w:val="auto"/>
                <w:kern w:val="0"/>
                <w:sz w:val="24"/>
                <w:szCs w:val="24"/>
                <w:highlight w:val="none"/>
                <w:lang w:eastAsia="zh-CN" w:bidi="ar"/>
              </w:rPr>
              <w:t>），</w:t>
            </w:r>
            <w:r>
              <w:rPr>
                <w:rFonts w:hint="default" w:ascii="Times New Roman" w:hAnsi="Times New Roman" w:eastAsia="方正仿宋_GBK" w:cs="Times New Roman"/>
                <w:snapToGrid w:val="0"/>
                <w:color w:val="auto"/>
                <w:kern w:val="0"/>
                <w:sz w:val="24"/>
                <w:szCs w:val="24"/>
                <w:highlight w:val="none"/>
                <w:lang w:bidi="ar"/>
              </w:rPr>
              <w:t>35%棉</w:t>
            </w:r>
            <w:r>
              <w:rPr>
                <w:rFonts w:hint="default" w:ascii="Times New Roman" w:hAnsi="Times New Roman" w:eastAsia="方正仿宋_GBK" w:cs="Times New Roman"/>
                <w:snapToGrid w:val="0"/>
                <w:color w:val="auto"/>
                <w:kern w:val="0"/>
                <w:sz w:val="24"/>
                <w:szCs w:val="24"/>
                <w:highlight w:val="none"/>
                <w:lang w:eastAsia="zh-CN" w:bidi="ar"/>
              </w:rPr>
              <w:t>（</w:t>
            </w:r>
            <w:r>
              <w:rPr>
                <w:rFonts w:hint="default" w:ascii="Times New Roman" w:hAnsi="Times New Roman" w:eastAsia="方正仿宋_GBK" w:cs="Times New Roman"/>
                <w:snapToGrid w:val="0"/>
                <w:color w:val="auto"/>
                <w:kern w:val="0"/>
                <w:sz w:val="24"/>
                <w:szCs w:val="24"/>
                <w:highlight w:val="none"/>
                <w:lang w:val="en-US" w:eastAsia="zh-CN" w:bidi="ar"/>
              </w:rPr>
              <w:t>±5%</w:t>
            </w:r>
            <w:r>
              <w:rPr>
                <w:rFonts w:hint="default" w:ascii="Times New Roman" w:hAnsi="Times New Roman" w:eastAsia="方正仿宋_GBK" w:cs="Times New Roman"/>
                <w:snapToGrid w:val="0"/>
                <w:color w:val="auto"/>
                <w:kern w:val="0"/>
                <w:sz w:val="24"/>
                <w:szCs w:val="24"/>
                <w:highlight w:val="none"/>
                <w:lang w:eastAsia="zh-CN" w:bidi="ar"/>
              </w:rPr>
              <w:t>）；</w:t>
            </w:r>
          </w:p>
          <w:p w14:paraId="45685EF8">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bidi="ar"/>
              </w:rPr>
            </w:pPr>
            <w:r>
              <w:rPr>
                <w:rFonts w:hint="default" w:ascii="Times New Roman" w:hAnsi="Times New Roman" w:eastAsia="方正仿宋_GBK" w:cs="Times New Roman"/>
                <w:snapToGrid w:val="0"/>
                <w:color w:val="auto"/>
                <w:kern w:val="0"/>
                <w:sz w:val="24"/>
                <w:szCs w:val="24"/>
                <w:highlight w:val="none"/>
                <w:lang w:bidi="ar"/>
              </w:rPr>
              <w:t>2.单位面积质量(g/m²):</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snapToGrid w:val="0"/>
                <w:color w:val="auto"/>
                <w:kern w:val="0"/>
                <w:sz w:val="24"/>
                <w:szCs w:val="24"/>
                <w:highlight w:val="none"/>
                <w:lang w:bidi="ar"/>
              </w:rPr>
              <w:t>230g/m²；</w:t>
            </w:r>
          </w:p>
          <w:p w14:paraId="52946D0E">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3.pH值:符合GB 18401-2010(B类)要求，4.0</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snapToGrid w:val="0"/>
                <w:color w:val="auto"/>
                <w:kern w:val="0"/>
                <w:sz w:val="24"/>
                <w:szCs w:val="24"/>
                <w:highlight w:val="none"/>
                <w:lang w:bidi="ar"/>
              </w:rPr>
              <w:t>8.5</w:t>
            </w:r>
            <w:r>
              <w:rPr>
                <w:rFonts w:hint="default" w:ascii="Times New Roman" w:hAnsi="Times New Roman" w:eastAsia="方正仿宋_GBK" w:cs="Times New Roman"/>
                <w:snapToGrid w:val="0"/>
                <w:color w:val="auto"/>
                <w:kern w:val="0"/>
                <w:sz w:val="24"/>
                <w:szCs w:val="24"/>
                <w:highlight w:val="none"/>
                <w:lang w:eastAsia="zh-CN" w:bidi="ar"/>
              </w:rPr>
              <w:t>；</w:t>
            </w:r>
          </w:p>
          <w:p w14:paraId="64FC43B6">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4.甲醛含量(mg/kg):符合GB</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18401-2010(B类)要求，≤75</w:t>
            </w:r>
            <w:r>
              <w:rPr>
                <w:rFonts w:hint="default" w:ascii="Times New Roman" w:hAnsi="Times New Roman" w:eastAsia="方正仿宋_GBK" w:cs="Times New Roman"/>
                <w:snapToGrid w:val="0"/>
                <w:color w:val="auto"/>
                <w:kern w:val="0"/>
                <w:sz w:val="24"/>
                <w:szCs w:val="24"/>
                <w:highlight w:val="none"/>
                <w:lang w:eastAsia="zh-CN" w:bidi="ar"/>
              </w:rPr>
              <w:t>；</w:t>
            </w:r>
          </w:p>
          <w:p w14:paraId="014AACCA">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5.可分解致癌芳香胺染料:符合GB</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18401-2010 (B类)要求，禁用(≤20mg/kg)</w:t>
            </w:r>
            <w:r>
              <w:rPr>
                <w:rFonts w:hint="default" w:ascii="Times New Roman" w:hAnsi="Times New Roman" w:eastAsia="方正仿宋_GBK" w:cs="Times New Roman"/>
                <w:snapToGrid w:val="0"/>
                <w:color w:val="auto"/>
                <w:kern w:val="0"/>
                <w:sz w:val="24"/>
                <w:szCs w:val="24"/>
                <w:highlight w:val="none"/>
                <w:lang w:eastAsia="zh-CN" w:bidi="ar"/>
              </w:rPr>
              <w:t>；</w:t>
            </w:r>
          </w:p>
          <w:p w14:paraId="3DCB9D9C">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6.撕破强力符合GB/T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31888-2015要求，≥10N</w:t>
            </w:r>
            <w:r>
              <w:rPr>
                <w:rFonts w:hint="default" w:ascii="Times New Roman" w:hAnsi="Times New Roman" w:eastAsia="方正仿宋_GBK" w:cs="Times New Roman"/>
                <w:snapToGrid w:val="0"/>
                <w:color w:val="auto"/>
                <w:kern w:val="0"/>
                <w:sz w:val="24"/>
                <w:szCs w:val="24"/>
                <w:highlight w:val="none"/>
                <w:lang w:eastAsia="zh-CN" w:bidi="ar"/>
              </w:rPr>
              <w:t>；</w:t>
            </w:r>
          </w:p>
          <w:p w14:paraId="5DD536D6">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7.起毛起球:符合GB/T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31888-2015要求，≥3级</w:t>
            </w:r>
            <w:r>
              <w:rPr>
                <w:rFonts w:hint="default" w:ascii="Times New Roman" w:hAnsi="Times New Roman" w:eastAsia="方正仿宋_GBK" w:cs="Times New Roman"/>
                <w:snapToGrid w:val="0"/>
                <w:color w:val="auto"/>
                <w:kern w:val="0"/>
                <w:sz w:val="24"/>
                <w:szCs w:val="24"/>
                <w:highlight w:val="none"/>
                <w:lang w:eastAsia="zh-CN" w:bidi="ar"/>
              </w:rPr>
              <w:t>；</w:t>
            </w:r>
          </w:p>
          <w:p w14:paraId="234072B0">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8.耐干洗色牢度:符合GB/T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31888-2015要求，变色、沾色≥3-4级</w:t>
            </w:r>
            <w:r>
              <w:rPr>
                <w:rFonts w:hint="default" w:ascii="Times New Roman" w:hAnsi="Times New Roman" w:eastAsia="方正仿宋_GBK" w:cs="Times New Roman"/>
                <w:snapToGrid w:val="0"/>
                <w:color w:val="auto"/>
                <w:kern w:val="0"/>
                <w:sz w:val="24"/>
                <w:szCs w:val="24"/>
                <w:highlight w:val="none"/>
                <w:lang w:eastAsia="zh-CN" w:bidi="ar"/>
              </w:rPr>
              <w:t>；</w:t>
            </w:r>
          </w:p>
          <w:p w14:paraId="657E755E">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9.耐汗渍色牢度:符合GB/T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31888-2015要求，变色、沾色≥3级</w:t>
            </w:r>
            <w:r>
              <w:rPr>
                <w:rFonts w:hint="default" w:ascii="Times New Roman" w:hAnsi="Times New Roman" w:eastAsia="方正仿宋_GBK" w:cs="Times New Roman"/>
                <w:snapToGrid w:val="0"/>
                <w:color w:val="auto"/>
                <w:kern w:val="0"/>
                <w:sz w:val="24"/>
                <w:szCs w:val="24"/>
                <w:highlight w:val="none"/>
                <w:lang w:eastAsia="zh-CN" w:bidi="ar"/>
              </w:rPr>
              <w:t>；</w:t>
            </w:r>
          </w:p>
          <w:p w14:paraId="3FBA4113">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10.耐摩擦色牢度:符合GB/T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31888-2015要求，干摩擦≥3级，湿摩擦≥3-4级</w:t>
            </w:r>
            <w:r>
              <w:rPr>
                <w:rFonts w:hint="default" w:ascii="Times New Roman" w:hAnsi="Times New Roman" w:eastAsia="方正仿宋_GBK" w:cs="Times New Roman"/>
                <w:snapToGrid w:val="0"/>
                <w:color w:val="auto"/>
                <w:kern w:val="0"/>
                <w:sz w:val="24"/>
                <w:szCs w:val="24"/>
                <w:highlight w:val="none"/>
                <w:lang w:eastAsia="zh-CN" w:bidi="ar"/>
              </w:rPr>
              <w:t>；</w:t>
            </w:r>
          </w:p>
          <w:p w14:paraId="2410B506">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11.耐光色牢度:符合GB/T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31888-2015要求，≥3级</w:t>
            </w:r>
            <w:r>
              <w:rPr>
                <w:rFonts w:hint="default" w:ascii="Times New Roman" w:hAnsi="Times New Roman" w:eastAsia="方正仿宋_GBK" w:cs="Times New Roman"/>
                <w:snapToGrid w:val="0"/>
                <w:color w:val="auto"/>
                <w:kern w:val="0"/>
                <w:sz w:val="24"/>
                <w:szCs w:val="24"/>
                <w:highlight w:val="none"/>
                <w:lang w:eastAsia="zh-CN" w:bidi="ar"/>
              </w:rPr>
              <w:t>。</w:t>
            </w:r>
          </w:p>
          <w:p w14:paraId="79FBDE5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方正仿宋_GBK" w:cs="Times New Roman"/>
                <w:snapToGrid w:val="0"/>
                <w:color w:val="auto"/>
                <w:kern w:val="0"/>
                <w:sz w:val="24"/>
                <w:szCs w:val="24"/>
                <w:highlight w:val="none"/>
                <w:lang w:bidi="ar"/>
              </w:rPr>
            </w:pPr>
            <w:r>
              <w:rPr>
                <w:rFonts w:hint="default" w:ascii="Times New Roman" w:hAnsi="Times New Roman" w:eastAsia="方正仿宋_GBK" w:cs="Times New Roman"/>
                <w:snapToGrid w:val="0"/>
                <w:color w:val="auto"/>
                <w:kern w:val="0"/>
                <w:sz w:val="24"/>
                <w:szCs w:val="24"/>
                <w:highlight w:val="none"/>
                <w:lang w:bidi="ar"/>
              </w:rPr>
              <w:t>二、成衣</w:t>
            </w:r>
          </w:p>
          <w:p w14:paraId="51E38CE2">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bidi="ar"/>
              </w:rPr>
            </w:pPr>
            <w:r>
              <w:rPr>
                <w:rFonts w:hint="default" w:ascii="Times New Roman" w:hAnsi="Times New Roman" w:eastAsia="方正仿宋_GBK" w:cs="Times New Roman"/>
                <w:snapToGrid w:val="0"/>
                <w:color w:val="auto"/>
                <w:kern w:val="0"/>
                <w:sz w:val="24"/>
                <w:szCs w:val="24"/>
                <w:highlight w:val="none"/>
                <w:lang w:bidi="ar"/>
              </w:rPr>
              <w:t>1</w:t>
            </w:r>
            <w:r>
              <w:rPr>
                <w:rFonts w:hint="default" w:ascii="Times New Roman" w:hAnsi="Times New Roman" w:eastAsia="方正仿宋_GBK" w:cs="Times New Roman"/>
                <w:snapToGrid w:val="0"/>
                <w:color w:val="auto"/>
                <w:kern w:val="0"/>
                <w:sz w:val="24"/>
                <w:szCs w:val="24"/>
                <w:highlight w:val="none"/>
                <w:lang w:val="en-US" w:eastAsia="zh-CN" w:bidi="ar"/>
              </w:rPr>
              <w:t>2</w:t>
            </w:r>
            <w:r>
              <w:rPr>
                <w:rFonts w:hint="default" w:ascii="Times New Roman" w:hAnsi="Times New Roman" w:eastAsia="方正仿宋_GBK" w:cs="Times New Roman"/>
                <w:snapToGrid w:val="0"/>
                <w:color w:val="auto"/>
                <w:kern w:val="0"/>
                <w:sz w:val="24"/>
                <w:szCs w:val="24"/>
                <w:highlight w:val="none"/>
                <w:lang w:bidi="ar"/>
              </w:rPr>
              <w:t>.外观质量:应符合GB/T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w:t>
            </w:r>
          </w:p>
        </w:tc>
        <w:tc>
          <w:tcPr>
            <w:tcW w:w="1377" w:type="dxa"/>
            <w:vMerge w:val="restart"/>
            <w:tcBorders>
              <w:top w:val="single" w:color="auto" w:sz="4" w:space="0"/>
              <w:left w:val="single" w:color="auto" w:sz="4" w:space="0"/>
              <w:bottom w:val="single" w:color="auto" w:sz="4" w:space="0"/>
              <w:right w:val="single" w:color="auto" w:sz="4" w:space="0"/>
            </w:tcBorders>
            <w:noWrap w:val="0"/>
            <w:vAlign w:val="center"/>
          </w:tcPr>
          <w:p w14:paraId="251E9D4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方正仿宋_GBK" w:cs="Times New Roman"/>
                <w:kern w:val="0"/>
                <w:sz w:val="22"/>
                <w:szCs w:val="22"/>
              </w:rPr>
            </w:pPr>
            <w:r>
              <w:rPr>
                <w:rFonts w:hint="default" w:ascii="Times New Roman" w:hAnsi="Times New Roman" w:eastAsia="方正仿宋_GBK" w:cs="Times New Roman"/>
                <w:kern w:val="0"/>
                <w:sz w:val="22"/>
                <w:szCs w:val="22"/>
              </w:rPr>
              <w:t>投标产品必须为中国关境内生产，若为进口产品将按无效投标处理</w:t>
            </w:r>
            <w:r>
              <w:rPr>
                <w:rFonts w:hint="default" w:ascii="Times New Roman" w:hAnsi="Times New Roman" w:eastAsia="方正仿宋_GBK" w:cs="Times New Roman"/>
                <w:kern w:val="0"/>
                <w:sz w:val="22"/>
                <w:szCs w:val="22"/>
                <w:lang w:eastAsia="zh-CN"/>
              </w:rPr>
              <w:t>。</w:t>
            </w:r>
          </w:p>
          <w:p w14:paraId="57B45C7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方正仿宋_GBK" w:cs="Times New Roman"/>
                <w:sz w:val="22"/>
                <w:szCs w:val="22"/>
              </w:rPr>
            </w:pPr>
          </w:p>
        </w:tc>
      </w:tr>
      <w:tr w14:paraId="213A5638">
        <w:tblPrEx>
          <w:tblCellMar>
            <w:top w:w="0" w:type="dxa"/>
            <w:left w:w="108" w:type="dxa"/>
            <w:bottom w:w="0" w:type="dxa"/>
            <w:right w:w="108" w:type="dxa"/>
          </w:tblCellMar>
        </w:tblPrEx>
        <w:trPr>
          <w:trHeight w:val="636"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20FE43AA">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2</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190EA4DF">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迷彩帽</w:t>
            </w:r>
          </w:p>
        </w:tc>
        <w:tc>
          <w:tcPr>
            <w:tcW w:w="6663" w:type="dxa"/>
            <w:tcBorders>
              <w:top w:val="single" w:color="auto" w:sz="4" w:space="0"/>
              <w:left w:val="single" w:color="000000" w:sz="4" w:space="0"/>
              <w:bottom w:val="single" w:color="000000" w:sz="4" w:space="0"/>
              <w:right w:val="single" w:color="auto" w:sz="4" w:space="0"/>
            </w:tcBorders>
            <w:noWrap/>
            <w:vAlign w:val="center"/>
          </w:tcPr>
          <w:p w14:paraId="0B9E863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val="en-US" w:eastAsia="zh-CN"/>
              </w:rPr>
              <w:t>1.</w:t>
            </w:r>
            <w:r>
              <w:rPr>
                <w:rFonts w:hint="default" w:ascii="Times New Roman" w:hAnsi="Times New Roman" w:eastAsia="方正仿宋_GBK" w:cs="Times New Roman"/>
                <w:sz w:val="24"/>
                <w:szCs w:val="24"/>
              </w:rPr>
              <w:t>面料同迷彩服</w:t>
            </w:r>
            <w:r>
              <w:rPr>
                <w:rFonts w:hint="default" w:ascii="Times New Roman" w:hAnsi="Times New Roman" w:eastAsia="方正仿宋_GBK" w:cs="Times New Roman"/>
                <w:sz w:val="24"/>
                <w:szCs w:val="24"/>
                <w:lang w:eastAsia="zh-CN"/>
              </w:rPr>
              <w:t>；</w:t>
            </w:r>
          </w:p>
          <w:p w14:paraId="6B814ACB">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val="en-US" w:eastAsia="zh-CN"/>
              </w:rPr>
              <w:t>2.</w:t>
            </w:r>
            <w:r>
              <w:rPr>
                <w:rFonts w:hint="default" w:ascii="Times New Roman" w:hAnsi="Times New Roman" w:eastAsia="方正仿宋_GBK" w:cs="Times New Roman"/>
                <w:sz w:val="24"/>
                <w:szCs w:val="24"/>
              </w:rPr>
              <w:t>头围可调节</w:t>
            </w:r>
            <w:r>
              <w:rPr>
                <w:rFonts w:hint="default" w:ascii="Times New Roman" w:hAnsi="Times New Roman" w:eastAsia="方正仿宋_GBK" w:cs="Times New Roman"/>
                <w:sz w:val="24"/>
                <w:szCs w:val="24"/>
                <w:lang w:eastAsia="zh-CN"/>
              </w:rPr>
              <w:t>。</w:t>
            </w:r>
          </w:p>
        </w:tc>
        <w:tc>
          <w:tcPr>
            <w:tcW w:w="1377" w:type="dxa"/>
            <w:vMerge w:val="continue"/>
            <w:tcBorders>
              <w:top w:val="single" w:color="auto" w:sz="4" w:space="0"/>
              <w:left w:val="single" w:color="000000" w:sz="4" w:space="0"/>
              <w:right w:val="single" w:color="auto" w:sz="4" w:space="0"/>
            </w:tcBorders>
            <w:noWrap w:val="0"/>
            <w:vAlign w:val="center"/>
          </w:tcPr>
          <w:p w14:paraId="554D6A20">
            <w:pPr>
              <w:keepNext w:val="0"/>
              <w:keepLines w:val="0"/>
              <w:pageBreakBefore w:val="0"/>
              <w:widowControl/>
              <w:kinsoku/>
              <w:overflowPunct/>
              <w:autoSpaceDE/>
              <w:autoSpaceDN/>
              <w:bidi w:val="0"/>
              <w:adjustRightInd/>
              <w:spacing w:line="500" w:lineRule="exact"/>
              <w:jc w:val="left"/>
              <w:textAlignment w:val="center"/>
              <w:rPr>
                <w:rFonts w:hint="default" w:ascii="Times New Roman" w:hAnsi="Times New Roman" w:eastAsia="宋体" w:cs="Times New Roman"/>
                <w:sz w:val="22"/>
                <w:szCs w:val="22"/>
              </w:rPr>
            </w:pPr>
          </w:p>
        </w:tc>
      </w:tr>
      <w:tr w14:paraId="77279F1D">
        <w:tblPrEx>
          <w:tblCellMar>
            <w:top w:w="0" w:type="dxa"/>
            <w:left w:w="108" w:type="dxa"/>
            <w:bottom w:w="0" w:type="dxa"/>
            <w:right w:w="108" w:type="dxa"/>
          </w:tblCellMar>
        </w:tblPrEx>
        <w:trPr>
          <w:trHeight w:val="9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3FB25ADE">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3</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0058EDAB">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内腰带</w:t>
            </w:r>
          </w:p>
        </w:tc>
        <w:tc>
          <w:tcPr>
            <w:tcW w:w="6663" w:type="dxa"/>
            <w:tcBorders>
              <w:top w:val="single" w:color="000000" w:sz="4" w:space="0"/>
              <w:left w:val="single" w:color="000000" w:sz="4" w:space="0"/>
              <w:bottom w:val="single" w:color="000000" w:sz="4" w:space="0"/>
              <w:right w:val="single" w:color="000000" w:sz="4" w:space="0"/>
            </w:tcBorders>
            <w:noWrap/>
            <w:vAlign w:val="center"/>
          </w:tcPr>
          <w:p w14:paraId="3D427A2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1.</w:t>
            </w:r>
            <w:r>
              <w:rPr>
                <w:rFonts w:hint="default" w:ascii="Times New Roman" w:hAnsi="Times New Roman" w:eastAsia="方正仿宋_GBK" w:cs="Times New Roman"/>
                <w:color w:val="auto"/>
                <w:sz w:val="24"/>
                <w:szCs w:val="24"/>
              </w:rPr>
              <w:t>面料成分：尼龙布</w:t>
            </w:r>
            <w:r>
              <w:rPr>
                <w:rFonts w:hint="default" w:ascii="Times New Roman" w:hAnsi="Times New Roman" w:eastAsia="方正仿宋_GBK" w:cs="Times New Roman"/>
                <w:color w:val="auto"/>
                <w:sz w:val="24"/>
                <w:szCs w:val="24"/>
                <w:lang w:val="en-US" w:eastAsia="zh-CN"/>
              </w:rPr>
              <w:t>或聚酯纤维；</w:t>
            </w:r>
          </w:p>
          <w:p w14:paraId="317EE3FE">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lang w:val="en-US" w:eastAsia="zh-CN"/>
              </w:rPr>
              <w:t>2.甲醛、可分解有害芳香胺染料符合QBIT 1618-2018标准；</w:t>
            </w:r>
          </w:p>
          <w:p w14:paraId="71718E7C">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val="en-US" w:eastAsia="zh-CN"/>
              </w:rPr>
              <w:t>3.</w:t>
            </w:r>
            <w:r>
              <w:rPr>
                <w:rFonts w:hint="default" w:ascii="Times New Roman" w:hAnsi="Times New Roman" w:eastAsia="方正仿宋_GBK" w:cs="Times New Roman"/>
                <w:color w:val="auto"/>
                <w:sz w:val="24"/>
                <w:szCs w:val="24"/>
              </w:rPr>
              <w:t>可调节松紧</w:t>
            </w:r>
            <w:r>
              <w:rPr>
                <w:rFonts w:hint="default" w:ascii="Times New Roman" w:hAnsi="Times New Roman" w:eastAsia="方正仿宋_GBK" w:cs="Times New Roman"/>
                <w:color w:val="auto"/>
                <w:sz w:val="24"/>
                <w:szCs w:val="24"/>
                <w:lang w:eastAsia="zh-CN"/>
              </w:rPr>
              <w:t>；</w:t>
            </w:r>
          </w:p>
          <w:p w14:paraId="1530B745">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4.塑料扣头；</w:t>
            </w:r>
          </w:p>
          <w:p w14:paraId="0B825286">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lang w:val="en-US" w:eastAsia="zh-CN"/>
              </w:rPr>
              <w:t>5.长度</w:t>
            </w:r>
            <w:r>
              <w:rPr>
                <w:rFonts w:hint="default" w:ascii="Times New Roman" w:hAnsi="Times New Roman" w:eastAsia="方正仿宋_GBK" w:cs="Times New Roman"/>
                <w:snapToGrid w:val="0"/>
                <w:color w:val="auto"/>
                <w:kern w:val="0"/>
                <w:sz w:val="24"/>
                <w:szCs w:val="24"/>
                <w:lang w:bidi="ar"/>
              </w:rPr>
              <w:t>≥</w:t>
            </w:r>
            <w:r>
              <w:rPr>
                <w:rFonts w:hint="default" w:ascii="Times New Roman" w:hAnsi="Times New Roman" w:eastAsia="方正仿宋_GBK" w:cs="Times New Roman"/>
                <w:color w:val="auto"/>
                <w:sz w:val="24"/>
                <w:szCs w:val="24"/>
                <w:lang w:val="en-US" w:eastAsia="zh-CN"/>
              </w:rPr>
              <w:t>1.1米。</w:t>
            </w:r>
          </w:p>
        </w:tc>
        <w:tc>
          <w:tcPr>
            <w:tcW w:w="1377" w:type="dxa"/>
            <w:vMerge w:val="continue"/>
            <w:tcBorders>
              <w:left w:val="single" w:color="000000" w:sz="4" w:space="0"/>
              <w:right w:val="single" w:color="auto" w:sz="4" w:space="0"/>
            </w:tcBorders>
            <w:noWrap w:val="0"/>
            <w:vAlign w:val="center"/>
          </w:tcPr>
          <w:p w14:paraId="0CB006FD">
            <w:pPr>
              <w:keepNext w:val="0"/>
              <w:keepLines w:val="0"/>
              <w:pageBreakBefore w:val="0"/>
              <w:widowControl/>
              <w:kinsoku/>
              <w:overflowPunct/>
              <w:autoSpaceDE/>
              <w:autoSpaceDN/>
              <w:bidi w:val="0"/>
              <w:adjustRightInd/>
              <w:spacing w:line="500" w:lineRule="exact"/>
              <w:jc w:val="left"/>
              <w:textAlignment w:val="center"/>
              <w:rPr>
                <w:rFonts w:hint="default" w:ascii="Times New Roman" w:hAnsi="Times New Roman" w:eastAsia="宋体" w:cs="Times New Roman"/>
                <w:sz w:val="22"/>
                <w:szCs w:val="22"/>
              </w:rPr>
            </w:pPr>
          </w:p>
        </w:tc>
      </w:tr>
      <w:tr w14:paraId="2B131C07">
        <w:tblPrEx>
          <w:tblCellMar>
            <w:top w:w="0" w:type="dxa"/>
            <w:left w:w="108" w:type="dxa"/>
            <w:bottom w:w="0" w:type="dxa"/>
            <w:right w:w="108" w:type="dxa"/>
          </w:tblCellMar>
        </w:tblPrEx>
        <w:trPr>
          <w:trHeight w:val="14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749935DC">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snapToGrid w:val="0"/>
                <w:color w:val="auto"/>
                <w:kern w:val="0"/>
                <w:sz w:val="24"/>
                <w:szCs w:val="24"/>
                <w:lang w:val="en-US" w:eastAsia="zh-CN" w:bidi="ar"/>
              </w:rPr>
              <w:t>4</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67CA249D">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腰带</w:t>
            </w:r>
          </w:p>
        </w:tc>
        <w:tc>
          <w:tcPr>
            <w:tcW w:w="6663" w:type="dxa"/>
            <w:tcBorders>
              <w:top w:val="single" w:color="000000" w:sz="4" w:space="0"/>
              <w:left w:val="single" w:color="000000" w:sz="4" w:space="0"/>
              <w:bottom w:val="single" w:color="000000" w:sz="4" w:space="0"/>
              <w:right w:val="single" w:color="000000" w:sz="4" w:space="0"/>
            </w:tcBorders>
            <w:noWrap/>
            <w:vAlign w:val="center"/>
          </w:tcPr>
          <w:p w14:paraId="22D35312">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val="en-US" w:eastAsia="zh-CN"/>
              </w:rPr>
              <w:t>1.</w:t>
            </w:r>
            <w:r>
              <w:rPr>
                <w:rFonts w:hint="default" w:ascii="Times New Roman" w:hAnsi="Times New Roman" w:eastAsia="方正仿宋_GBK" w:cs="Times New Roman"/>
                <w:color w:val="auto"/>
                <w:sz w:val="24"/>
                <w:szCs w:val="24"/>
              </w:rPr>
              <w:t>面料成分：尼龙布</w:t>
            </w:r>
            <w:r>
              <w:rPr>
                <w:rFonts w:hint="default" w:ascii="Times New Roman" w:hAnsi="Times New Roman" w:eastAsia="方正仿宋_GBK" w:cs="Times New Roman"/>
                <w:color w:val="auto"/>
                <w:sz w:val="24"/>
                <w:szCs w:val="24"/>
                <w:lang w:val="en-US" w:eastAsia="zh-CN"/>
              </w:rPr>
              <w:t>或聚酯纤维；</w:t>
            </w:r>
          </w:p>
          <w:p w14:paraId="219B89E7">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lang w:val="en-US" w:eastAsia="zh-CN"/>
              </w:rPr>
              <w:t>2.甲醛、可分解有害芳香胺染料符合QBIT 1618-2018标准；</w:t>
            </w:r>
          </w:p>
          <w:p w14:paraId="686C669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val="en-US" w:eastAsia="zh-CN"/>
              </w:rPr>
              <w:t>3.</w:t>
            </w:r>
            <w:r>
              <w:rPr>
                <w:rFonts w:hint="default" w:ascii="Times New Roman" w:hAnsi="Times New Roman" w:eastAsia="方正仿宋_GBK" w:cs="Times New Roman"/>
                <w:color w:val="auto"/>
                <w:sz w:val="24"/>
                <w:szCs w:val="24"/>
              </w:rPr>
              <w:t>可调节松紧</w:t>
            </w:r>
            <w:r>
              <w:rPr>
                <w:rFonts w:hint="default" w:ascii="Times New Roman" w:hAnsi="Times New Roman" w:eastAsia="方正仿宋_GBK" w:cs="Times New Roman"/>
                <w:color w:val="auto"/>
                <w:sz w:val="24"/>
                <w:szCs w:val="24"/>
                <w:lang w:eastAsia="zh-CN"/>
              </w:rPr>
              <w:t>；</w:t>
            </w:r>
          </w:p>
          <w:p w14:paraId="4296D57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4.塑料扣头；</w:t>
            </w:r>
          </w:p>
          <w:p w14:paraId="7E0CEA3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lang w:val="en-US" w:eastAsia="zh-CN"/>
              </w:rPr>
              <w:t>5.长度</w:t>
            </w:r>
            <w:r>
              <w:rPr>
                <w:rFonts w:hint="default" w:ascii="Times New Roman" w:hAnsi="Times New Roman" w:eastAsia="方正仿宋_GBK" w:cs="Times New Roman"/>
                <w:snapToGrid w:val="0"/>
                <w:color w:val="auto"/>
                <w:kern w:val="0"/>
                <w:sz w:val="24"/>
                <w:szCs w:val="24"/>
                <w:lang w:bidi="ar"/>
              </w:rPr>
              <w:t>≥</w:t>
            </w:r>
            <w:r>
              <w:rPr>
                <w:rFonts w:hint="default" w:ascii="Times New Roman" w:hAnsi="Times New Roman" w:eastAsia="方正仿宋_GBK" w:cs="Times New Roman"/>
                <w:color w:val="auto"/>
                <w:sz w:val="24"/>
                <w:szCs w:val="24"/>
                <w:lang w:val="en-US" w:eastAsia="zh-CN"/>
              </w:rPr>
              <w:t>1.25米。</w:t>
            </w:r>
          </w:p>
        </w:tc>
        <w:tc>
          <w:tcPr>
            <w:tcW w:w="1377" w:type="dxa"/>
            <w:vMerge w:val="continue"/>
            <w:tcBorders>
              <w:left w:val="single" w:color="000000" w:sz="4" w:space="0"/>
              <w:right w:val="single" w:color="auto" w:sz="4" w:space="0"/>
            </w:tcBorders>
            <w:noWrap w:val="0"/>
            <w:vAlign w:val="center"/>
          </w:tcPr>
          <w:p w14:paraId="18866DD1">
            <w:pPr>
              <w:keepNext w:val="0"/>
              <w:keepLines w:val="0"/>
              <w:pageBreakBefore w:val="0"/>
              <w:widowControl/>
              <w:kinsoku/>
              <w:overflowPunct/>
              <w:autoSpaceDE/>
              <w:autoSpaceDN/>
              <w:bidi w:val="0"/>
              <w:adjustRightInd/>
              <w:spacing w:line="500" w:lineRule="exact"/>
              <w:jc w:val="left"/>
              <w:textAlignment w:val="center"/>
              <w:rPr>
                <w:rFonts w:hint="default" w:ascii="Times New Roman" w:hAnsi="Times New Roman" w:eastAsia="宋体" w:cs="Times New Roman"/>
                <w:sz w:val="22"/>
                <w:szCs w:val="22"/>
              </w:rPr>
            </w:pPr>
          </w:p>
        </w:tc>
      </w:tr>
      <w:tr w14:paraId="1D2D0893">
        <w:tblPrEx>
          <w:tblCellMar>
            <w:top w:w="0" w:type="dxa"/>
            <w:left w:w="108" w:type="dxa"/>
            <w:bottom w:w="0" w:type="dxa"/>
            <w:right w:w="108" w:type="dxa"/>
          </w:tblCellMar>
        </w:tblPrEx>
        <w:trPr>
          <w:trHeight w:val="23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2918EB7C">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snapToGrid w:val="0"/>
                <w:color w:val="auto"/>
                <w:kern w:val="0"/>
                <w:sz w:val="24"/>
                <w:szCs w:val="24"/>
                <w:lang w:eastAsia="zh-CN" w:bidi="ar"/>
              </w:rPr>
            </w:pPr>
            <w:r>
              <w:rPr>
                <w:rFonts w:hint="default" w:ascii="Times New Roman" w:hAnsi="Times New Roman" w:eastAsia="方正仿宋_GBK" w:cs="Times New Roman"/>
                <w:snapToGrid w:val="0"/>
                <w:color w:val="auto"/>
                <w:kern w:val="0"/>
                <w:sz w:val="24"/>
                <w:szCs w:val="24"/>
                <w:lang w:val="en-US" w:eastAsia="zh-CN" w:bidi="ar"/>
              </w:rPr>
              <w:t>5</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5E858830">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snapToGrid w:val="0"/>
                <w:color w:val="auto"/>
                <w:kern w:val="0"/>
                <w:sz w:val="24"/>
                <w:szCs w:val="24"/>
                <w:lang w:val="en-US" w:eastAsia="zh-CN" w:bidi="ar"/>
              </w:rPr>
            </w:pPr>
            <w:r>
              <w:rPr>
                <w:rFonts w:hint="default" w:ascii="Times New Roman" w:hAnsi="Times New Roman" w:eastAsia="方正仿宋_GBK" w:cs="Times New Roman"/>
                <w:snapToGrid w:val="0"/>
                <w:color w:val="auto"/>
                <w:kern w:val="0"/>
                <w:sz w:val="24"/>
                <w:szCs w:val="24"/>
                <w:lang w:bidi="ar"/>
              </w:rPr>
              <w:t>迷彩鞋</w:t>
            </w:r>
          </w:p>
        </w:tc>
        <w:tc>
          <w:tcPr>
            <w:tcW w:w="6663" w:type="dxa"/>
            <w:tcBorders>
              <w:top w:val="single" w:color="000000" w:sz="4" w:space="0"/>
              <w:left w:val="single" w:color="000000" w:sz="4" w:space="0"/>
              <w:bottom w:val="single" w:color="000000" w:sz="4" w:space="0"/>
              <w:right w:val="single" w:color="000000" w:sz="4" w:space="0"/>
            </w:tcBorders>
            <w:noWrap/>
            <w:vAlign w:val="center"/>
          </w:tcPr>
          <w:p w14:paraId="1C38E35E">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1.鞋面采用帆布材质，100%聚酯纤维</w:t>
            </w:r>
            <w:r>
              <w:rPr>
                <w:rFonts w:hint="default" w:ascii="Times New Roman" w:hAnsi="Times New Roman" w:eastAsia="方正仿宋_GBK" w:cs="Times New Roman"/>
                <w:sz w:val="24"/>
                <w:szCs w:val="24"/>
                <w:lang w:eastAsia="zh-CN"/>
              </w:rPr>
              <w:t>；</w:t>
            </w:r>
          </w:p>
          <w:p w14:paraId="28A18D97">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2.鞋底采用黑色天然橡胶，尺码号型准确、透气、舒适、缓震有弹力、防滑耐磨、鞋底较柔软。</w:t>
            </w:r>
          </w:p>
        </w:tc>
        <w:tc>
          <w:tcPr>
            <w:tcW w:w="1377" w:type="dxa"/>
            <w:vMerge w:val="continue"/>
            <w:tcBorders>
              <w:left w:val="single" w:color="000000" w:sz="4" w:space="0"/>
              <w:bottom w:val="single" w:color="000000" w:sz="4" w:space="0"/>
              <w:right w:val="single" w:color="auto" w:sz="4" w:space="0"/>
            </w:tcBorders>
            <w:noWrap w:val="0"/>
            <w:vAlign w:val="center"/>
          </w:tcPr>
          <w:p w14:paraId="21C1D851">
            <w:pPr>
              <w:keepNext w:val="0"/>
              <w:keepLines w:val="0"/>
              <w:pageBreakBefore w:val="0"/>
              <w:widowControl/>
              <w:kinsoku/>
              <w:overflowPunct/>
              <w:autoSpaceDE/>
              <w:autoSpaceDN/>
              <w:bidi w:val="0"/>
              <w:adjustRightInd/>
              <w:spacing w:line="500" w:lineRule="exact"/>
              <w:jc w:val="left"/>
              <w:textAlignment w:val="center"/>
              <w:rPr>
                <w:rFonts w:hint="default" w:ascii="Times New Roman" w:hAnsi="Times New Roman" w:eastAsia="宋体" w:cs="Times New Roman"/>
                <w:sz w:val="22"/>
                <w:szCs w:val="22"/>
              </w:rPr>
            </w:pPr>
          </w:p>
        </w:tc>
      </w:tr>
    </w:tbl>
    <w:p w14:paraId="55B5FF38">
      <w:pPr>
        <w:pStyle w:val="4"/>
        <w:bidi w:val="0"/>
        <w:rPr>
          <w:rFonts w:hint="default"/>
          <w:lang w:val="en-US" w:eastAsia="zh-CN"/>
        </w:rPr>
      </w:pPr>
      <w:bookmarkStart w:id="44" w:name="_Toc15032"/>
      <w:bookmarkStart w:id="45" w:name="_Toc12528"/>
      <w:r>
        <w:rPr>
          <w:rFonts w:hint="default"/>
          <w:lang w:val="en-US" w:eastAsia="zh-CN"/>
        </w:rPr>
        <w:t>二、</w:t>
      </w:r>
      <w:bookmarkEnd w:id="44"/>
      <w:bookmarkEnd w:id="45"/>
      <w:r>
        <w:rPr>
          <w:rFonts w:hint="default"/>
          <w:lang w:val="en-US" w:eastAsia="zh-CN"/>
        </w:rPr>
        <w:t>质量要求</w:t>
      </w:r>
    </w:p>
    <w:p w14:paraId="27D9977B">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 xml:space="preserve">（一）严格按照《国家纺织产品基本安全技术规范》（GB18401）、《婴幼儿及儿童纺织产品安全技术规范》（GB31701）标准执行。 </w:t>
      </w:r>
    </w:p>
    <w:p w14:paraId="61A9A715">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（二）样衣应具备相关质量标识，包括面料成分、洗涤标识、执行标准、安全类别等，标识需缝制在便于查看的位置，且不易脱落。</w:t>
      </w:r>
    </w:p>
    <w:p w14:paraId="6EB6B043">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（三）供应商需提供服装面料检测合格报告。</w:t>
      </w:r>
    </w:p>
    <w:p w14:paraId="68DCAD20">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46" w:name="_Toc8675"/>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四</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bookmarkEnd w:id="46"/>
      <w:bookmarkStart w:id="47" w:name="_Toc3939"/>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投标人所投“学生军训服装”外观样式、规格尺寸、主要部件等技术参数、性能指标，必须满足采购文件提出的相关技术、质量标准等的要求。</w:t>
      </w:r>
      <w:bookmarkEnd w:id="47"/>
      <w:bookmarkStart w:id="48" w:name="_Toc22049"/>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服装的版型、尺寸、帽的大小，面料、材质，规格型号数量以采购人实际需求为准。</w:t>
      </w:r>
      <w:bookmarkEnd w:id="48"/>
      <w:bookmarkStart w:id="49" w:name="_Toc11483"/>
    </w:p>
    <w:p w14:paraId="55298248">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五</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bookmarkEnd w:id="49"/>
      <w:bookmarkStart w:id="50" w:name="_Toc23999"/>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军训服装必须提供全新产品（含内部配置必须一致），且必须与经采购人确定后的样衣一致，符合国家对同类产品规定的质量、环保标准，技术参数和要求与招标文件相符，不得出售假冒伪劣产品。</w:t>
      </w:r>
      <w:bookmarkEnd w:id="50"/>
    </w:p>
    <w:p w14:paraId="24FFC41C">
      <w:pPr>
        <w:pStyle w:val="4"/>
        <w:bidi w:val="0"/>
        <w:rPr>
          <w:rFonts w:hint="default"/>
          <w:lang w:val="en-US" w:eastAsia="zh-CN"/>
        </w:rPr>
      </w:pPr>
      <w:bookmarkStart w:id="51" w:name="_Toc28395"/>
      <w:bookmarkStart w:id="52" w:name="_Toc4732"/>
      <w:bookmarkStart w:id="53" w:name="_Toc18955"/>
      <w:r>
        <w:rPr>
          <w:rFonts w:hint="eastAsia"/>
          <w:lang w:val="en-US" w:eastAsia="zh-CN"/>
        </w:rPr>
        <w:t>三、</w:t>
      </w:r>
      <w:r>
        <w:rPr>
          <w:rFonts w:hint="default"/>
          <w:lang w:val="en-US" w:eastAsia="zh-CN"/>
        </w:rPr>
        <w:t>其他要求</w:t>
      </w:r>
      <w:bookmarkEnd w:id="51"/>
      <w:bookmarkEnd w:id="52"/>
    </w:p>
    <w:p w14:paraId="27E90DAF">
      <w:pPr>
        <w:keepNext w:val="0"/>
        <w:keepLines w:val="0"/>
        <w:pageBreakBefore w:val="0"/>
        <w:numPr>
          <w:ilvl w:val="0"/>
          <w:numId w:val="0"/>
        </w:numPr>
        <w:kinsoku/>
        <w:overflowPunct/>
        <w:autoSpaceDE/>
        <w:autoSpaceDN/>
        <w:bidi w:val="0"/>
        <w:adjustRightInd/>
        <w:spacing w:line="500" w:lineRule="exact"/>
        <w:ind w:left="0" w:leftChars="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一</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）包装</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及配送</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要求</w:t>
      </w:r>
      <w:bookmarkEnd w:id="53"/>
    </w:p>
    <w:p w14:paraId="13E424A6">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4" w:name="_Toc28072"/>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按国家有关规定进行包装，因包装不当引起的损失等责任由成交供应商承担赔偿责任。</w:t>
      </w:r>
      <w:bookmarkEnd w:id="54"/>
      <w:r>
        <w:rPr>
          <w:rFonts w:hint="default" w:ascii="Times New Roman" w:hAnsi="Times New Roman" w:eastAsia="方正仿宋_GBK" w:cs="Times New Roman"/>
          <w:color w:val="000000" w:themeColor="text1"/>
          <w:sz w:val="28"/>
          <w:szCs w:val="28"/>
          <w14:textFill>
            <w14:solidFill>
              <w14:schemeClr w14:val="tx1"/>
            </w14:solidFill>
          </w14:textFill>
        </w:rPr>
        <w:t>成衣及配物包装装箱时，应按班级及名单顺序包装，箱内外注明班级、数量尺码，每件服装上均有服装型号、尺码。</w:t>
      </w:r>
    </w:p>
    <w:p w14:paraId="7D452C8C">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5" w:name="_Toc22786"/>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二</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）样品递交及退还要求</w:t>
      </w:r>
      <w:bookmarkEnd w:id="55"/>
    </w:p>
    <w:p w14:paraId="0DEB2495">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6" w:name="_Toc9557"/>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1</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样品递交</w:t>
      </w:r>
      <w:bookmarkEnd w:id="56"/>
    </w:p>
    <w:p w14:paraId="35697886">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7" w:name="_Toc8807"/>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供应商须按采购需求提供样品各一套。服装水洗唛上需体现物品名称，面料成分等，若提供样品不合格的，将作无效投标处理。</w:t>
      </w:r>
      <w:bookmarkEnd w:id="57"/>
    </w:p>
    <w:p w14:paraId="02E3C26E">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8" w:name="_Toc7550"/>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2</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样品管理</w:t>
      </w:r>
      <w:bookmarkEnd w:id="58"/>
    </w:p>
    <w:p w14:paraId="45D66D1D">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14:textFill>
            <w14:solidFill>
              <w14:schemeClr w14:val="tx1"/>
            </w14:solidFill>
          </w14:textFill>
        </w:rPr>
      </w:pPr>
      <w:bookmarkStart w:id="59" w:name="_Toc19457"/>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第一成交候选供应商提供的样品由采购人进行封存。</w:t>
      </w:r>
      <w:bookmarkEnd w:id="59"/>
    </w:p>
    <w:p w14:paraId="32DA4D64">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（三）</w:t>
      </w:r>
      <w:r>
        <w:rPr>
          <w:rFonts w:hint="default" w:ascii="Times New Roman" w:hAnsi="Times New Roman" w:eastAsia="方正仿宋_GBK" w:cs="Times New Roman"/>
          <w:color w:val="000000" w:themeColor="text1"/>
          <w:sz w:val="28"/>
          <w:szCs w:val="28"/>
          <w14:textFill>
            <w14:solidFill>
              <w14:schemeClr w14:val="tx1"/>
            </w14:solidFill>
          </w14:textFill>
        </w:rPr>
        <w:t>其它</w:t>
      </w:r>
    </w:p>
    <w:p w14:paraId="32A22AB5">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1.</w:t>
      </w:r>
      <w:r>
        <w:rPr>
          <w:rFonts w:hint="default" w:ascii="Times New Roman" w:hAnsi="Times New Roman" w:eastAsia="方正仿宋_GBK" w:cs="Times New Roman"/>
          <w:color w:val="000000" w:themeColor="text1"/>
          <w:sz w:val="28"/>
          <w:szCs w:val="28"/>
          <w14:textFill>
            <w14:solidFill>
              <w14:schemeClr w14:val="tx1"/>
            </w14:solidFill>
          </w14:textFill>
        </w:rPr>
        <w:t>中标人应严格遵守《中华人民共和国产品质量法》等与产品质量相关的法律法规及规章制度等规定，对具有下列情形之一的，中标人除赔偿学生及家长损失外，还应对由此引起的其他延续损失给予全额经济赔偿(包括医疗、声誉等)，并承担其他相应法律责任。</w:t>
      </w:r>
    </w:p>
    <w:p w14:paraId="2677563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①质量因不符合相关质量标准，导致采购人被监管部门处罚；</w:t>
      </w:r>
    </w:p>
    <w:p w14:paraId="082C161B">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②未按时配送到位；</w:t>
      </w:r>
    </w:p>
    <w:p w14:paraId="6DFB036E">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③经验收，发现所配送产品质量不符合国家相关规定或招标文件相关要求。</w:t>
      </w:r>
    </w:p>
    <w:p w14:paraId="76A5A037">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14:textFill>
            <w14:solidFill>
              <w14:schemeClr w14:val="tx1"/>
            </w14:solidFill>
          </w14:textFill>
        </w:rPr>
      </w:pPr>
      <w:bookmarkStart w:id="60" w:name="_Toc8241"/>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2.</w:t>
      </w:r>
      <w:r>
        <w:rPr>
          <w:rFonts w:hint="default" w:ascii="Times New Roman" w:hAnsi="Times New Roman" w:eastAsia="方正仿宋_GBK" w:cs="Times New Roman"/>
          <w:color w:val="000000" w:themeColor="text1"/>
          <w:sz w:val="28"/>
          <w:szCs w:val="28"/>
          <w14:textFill>
            <w14:solidFill>
              <w14:schemeClr w14:val="tx1"/>
            </w14:solidFill>
          </w14:textFill>
        </w:rPr>
        <w:t>中标人在提供产品配送过程中造成的所有财产损失及人身安全事故均由中标人负责。</w:t>
      </w:r>
      <w:bookmarkEnd w:id="60"/>
    </w:p>
    <w:p w14:paraId="04CFA2FF">
      <w:pPr>
        <w:keepNext w:val="0"/>
        <w:keepLines w:val="0"/>
        <w:pageBreakBefore w:val="0"/>
        <w:kinsoku/>
        <w:overflowPunct/>
        <w:autoSpaceDE/>
        <w:autoSpaceDN/>
        <w:bidi w:val="0"/>
        <w:adjustRightInd/>
        <w:spacing w:line="500" w:lineRule="exact"/>
        <w:ind w:left="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br w:type="page"/>
      </w:r>
    </w:p>
    <w:p w14:paraId="4B004D66">
      <w:pPr>
        <w:pStyle w:val="3"/>
        <w:bidi w:val="0"/>
        <w:rPr>
          <w:rFonts w:hint="default"/>
        </w:rPr>
      </w:pPr>
      <w:bookmarkStart w:id="61" w:name="_Toc3909"/>
      <w:bookmarkStart w:id="62" w:name="_Toc14737"/>
      <w:r>
        <w:rPr>
          <w:rFonts w:hint="default"/>
        </w:rPr>
        <w:t>第三篇 项目商务要求</w:t>
      </w:r>
      <w:bookmarkEnd w:id="61"/>
      <w:bookmarkEnd w:id="62"/>
    </w:p>
    <w:p w14:paraId="536F4048">
      <w:pPr>
        <w:pStyle w:val="4"/>
        <w:bidi w:val="0"/>
        <w:rPr>
          <w:rFonts w:hint="default"/>
          <w:lang w:val="en-US" w:eastAsia="zh-CN"/>
        </w:rPr>
      </w:pPr>
      <w:bookmarkStart w:id="63" w:name="_Toc17366"/>
      <w:bookmarkStart w:id="64" w:name="_Toc1665"/>
      <w:r>
        <w:rPr>
          <w:rFonts w:hint="default"/>
          <w:lang w:val="en-US" w:eastAsia="zh-CN"/>
        </w:rPr>
        <w:t>一、交货期、交货地点及验收方式</w:t>
      </w:r>
      <w:bookmarkEnd w:id="63"/>
      <w:bookmarkEnd w:id="64"/>
    </w:p>
    <w:p w14:paraId="0846465B">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（一）交货期</w:t>
      </w:r>
    </w:p>
    <w:p w14:paraId="3D39166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军训服装在采购人确定正式版式后通知中标人之日起，</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11</w:t>
      </w:r>
      <w:r>
        <w:rPr>
          <w:rFonts w:hint="default" w:ascii="Times New Roman" w:hAnsi="Times New Roman" w:eastAsia="方正仿宋_GBK" w:cs="Times New Roman"/>
          <w:color w:val="000000" w:themeColor="text1"/>
          <w:sz w:val="28"/>
          <w:szCs w:val="28"/>
          <w14:textFill>
            <w14:solidFill>
              <w14:schemeClr w14:val="tx1"/>
            </w14:solidFill>
          </w14:textFill>
        </w:rPr>
        <w:t>月</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5</w:t>
      </w:r>
      <w:r>
        <w:rPr>
          <w:rFonts w:hint="default" w:ascii="Times New Roman" w:hAnsi="Times New Roman" w:eastAsia="方正仿宋_GBK" w:cs="Times New Roman"/>
          <w:color w:val="000000" w:themeColor="text1"/>
          <w:sz w:val="28"/>
          <w:szCs w:val="28"/>
          <w14:textFill>
            <w14:solidFill>
              <w14:schemeClr w14:val="tx1"/>
            </w14:solidFill>
          </w14:textFill>
        </w:rPr>
        <w:t>日17点前送达采购人指定地点。</w:t>
      </w:r>
    </w:p>
    <w:p w14:paraId="4EB9C918">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（二）交货地点：重庆市医药科技学校。</w:t>
      </w:r>
    </w:p>
    <w:p w14:paraId="1BCB3D09">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（三）验收方式</w:t>
      </w:r>
    </w:p>
    <w:p w14:paraId="3ECA78FC">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货物到达现场后，成交供应商与采购学校验收人员做好开箱记录，清点数量、检查外观，保证货物完好无损，如有问题，成交供应商负责调换、补齐或赔偿；成交供应商提供成衣质量检验合格报告；采购学校查验检验报告及各类标识，随机抽取成衣送法定检测机构检验，费用由学校承担；验收合格条件为产品符合合同要求、资料齐全且按时交货验收并经双方确认签字。</w:t>
      </w:r>
    </w:p>
    <w:p w14:paraId="691825A4">
      <w:pPr>
        <w:pStyle w:val="4"/>
        <w:bidi w:val="0"/>
        <w:rPr>
          <w:rFonts w:hint="default"/>
          <w:lang w:val="en-US" w:eastAsia="zh-CN"/>
        </w:rPr>
      </w:pPr>
      <w:bookmarkStart w:id="65" w:name="_Toc15975"/>
      <w:bookmarkStart w:id="66" w:name="_Toc27219"/>
      <w:r>
        <w:rPr>
          <w:rFonts w:hint="default"/>
          <w:lang w:val="en-US" w:eastAsia="zh-CN"/>
        </w:rPr>
        <w:t>二、报价要求</w:t>
      </w:r>
      <w:bookmarkEnd w:id="65"/>
      <w:bookmarkEnd w:id="66"/>
    </w:p>
    <w:p w14:paraId="2262849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一</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本项目采用综合报价，必须为人民币报价。包括但不限于以下费用：货物费、服务费、量尺寸、运输、装卸、人工、裁剪、检测、辅材、发放、税金及售后服务工作等一切与此项目有关的所有费用。综合报价是履行本项目全部义务所发生的费用和利润等一切费用的综合报价，供应商在报价时应充分考虑本项目所有风险因素，因自身原因造成漏报、少报皆由其自行承担责任，采购人不再补偿。</w:t>
      </w:r>
    </w:p>
    <w:p w14:paraId="15D726CD">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二</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分项报价明细表中的单价，也应当为综合单价，包含但不限于货物费、服务费、量尺寸、运输、装卸、人工、裁剪、检测、辅材、发放、税金及售后服务工作等一切与此项目有关的所有费用。</w:t>
      </w:r>
    </w:p>
    <w:p w14:paraId="2AF559E2">
      <w:pPr>
        <w:pStyle w:val="4"/>
        <w:bidi w:val="0"/>
        <w:rPr>
          <w:rFonts w:hint="default"/>
          <w:lang w:val="en-US" w:eastAsia="zh-CN"/>
        </w:rPr>
      </w:pPr>
      <w:bookmarkStart w:id="67" w:name="_Toc31429"/>
      <w:bookmarkStart w:id="68" w:name="_Toc23934"/>
      <w:r>
        <w:rPr>
          <w:rFonts w:hint="default"/>
          <w:lang w:val="en-US" w:eastAsia="zh-CN"/>
        </w:rPr>
        <w:t>三、质量保证及售后服务</w:t>
      </w:r>
      <w:bookmarkEnd w:id="67"/>
      <w:bookmarkEnd w:id="68"/>
    </w:p>
    <w:p w14:paraId="2FAA709A">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（一）产品质量保证期</w:t>
      </w:r>
    </w:p>
    <w:p w14:paraId="137938F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1.供应商应明确承诺：其投标产品质量保证期不低于1年。</w:t>
      </w:r>
    </w:p>
    <w:p w14:paraId="4D9C854A">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2.投标产品属于国家规定“三包”范围的，其产品质量保证期不得低于“三包”规定。</w:t>
      </w:r>
    </w:p>
    <w:p w14:paraId="2E04620E">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3.供应商的质量保证期承诺优于国家“三包”规定和强制标准的，按供应商实际承诺执行。</w:t>
      </w:r>
    </w:p>
    <w:p w14:paraId="4FD1831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（二）售后服务内容</w:t>
      </w:r>
    </w:p>
    <w:p w14:paraId="4ADAD308">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1.采购人在使用中出现有质量问题，由成交供应商和制造商在接到电话通知后1天内派人到用户处进行修改、调换。成交供应商须定期向采购人了解服装使用情况、听取售后服务要求和建议。</w:t>
      </w:r>
    </w:p>
    <w:p w14:paraId="122BE2FC">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2.成交供应商须留各一套样品给采购人，以满足采购人的备品要求。</w:t>
      </w:r>
    </w:p>
    <w:p w14:paraId="5D8CE238">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3.采购人临时需要制作服装时，成交供应商必须在3个工作日内进行现场量号。</w:t>
      </w:r>
    </w:p>
    <w:p w14:paraId="3193B6AE">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4.售后出现产品质量问题或穿着不合体，必须实行免费包改、包换、包退等。</w:t>
      </w:r>
    </w:p>
    <w:p w14:paraId="026D44D9">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5.采购人遇到的问题，电话咨询不能解决的，供应商应采取措施，在48小时内提供上门服务，确保正常使用；如果在接到通知后未及时作出响应，供应商必须对造成的损失后果负责。</w:t>
      </w:r>
    </w:p>
    <w:p w14:paraId="0F4CE3A6">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6.在售后服务中，质保期内免费提供纽扣等备品备件及易损件，质量保证期外以成本价提供。</w:t>
      </w:r>
    </w:p>
    <w:p w14:paraId="0E351AB6">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7.成交供应商不得自行转包分包或委托给他人制作和“贴牌”加工。一旦发现转包分包、委托他人加工和“贴牌”制作，采购人有权拒绝收货和取消成交资格，并追究其相应法律责任。</w:t>
      </w:r>
    </w:p>
    <w:p w14:paraId="766D03A4">
      <w:pPr>
        <w:pStyle w:val="4"/>
        <w:bidi w:val="0"/>
        <w:rPr>
          <w:rFonts w:hint="default"/>
          <w:lang w:val="en-US" w:eastAsia="zh-CN"/>
        </w:rPr>
      </w:pPr>
      <w:bookmarkStart w:id="69" w:name="_Toc30347"/>
      <w:bookmarkStart w:id="70" w:name="_Toc6380"/>
      <w:r>
        <w:rPr>
          <w:rFonts w:hint="default"/>
          <w:lang w:val="en-US" w:eastAsia="zh-CN"/>
        </w:rPr>
        <w:t>四、付款方式</w:t>
      </w:r>
      <w:bookmarkEnd w:id="69"/>
      <w:bookmarkEnd w:id="70"/>
    </w:p>
    <w:p w14:paraId="3E688039">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（一）成交后，中标人向</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采购人</w:t>
      </w:r>
      <w:r>
        <w:rPr>
          <w:rFonts w:hint="default" w:ascii="Times New Roman" w:hAnsi="Times New Roman" w:eastAsia="方正仿宋_GBK" w:cs="Times New Roman"/>
          <w:color w:val="000000" w:themeColor="text1"/>
          <w:sz w:val="28"/>
          <w:szCs w:val="28"/>
          <w14:textFill>
            <w14:solidFill>
              <w14:schemeClr w14:val="tx1"/>
            </w14:solidFill>
          </w14:textFill>
        </w:rPr>
        <w:t>交纳</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合同金额的10%作为履约保证金</w:t>
      </w:r>
      <w:r>
        <w:rPr>
          <w:rFonts w:hint="default" w:ascii="Times New Roman" w:hAnsi="Times New Roman" w:eastAsia="方正仿宋_GBK" w:cs="Times New Roman"/>
          <w:color w:val="000000" w:themeColor="text1"/>
          <w:sz w:val="28"/>
          <w:szCs w:val="28"/>
          <w14:textFill>
            <w14:solidFill>
              <w14:schemeClr w14:val="tx1"/>
            </w14:solidFill>
          </w14:textFill>
        </w:rPr>
        <w:t>（以银行转账、支票、汇票、本票或者金融机构、担保机构出具的保函等形式提交）。</w:t>
      </w:r>
    </w:p>
    <w:p w14:paraId="4D7516B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w:t>
      </w:r>
      <w:r>
        <w:rPr>
          <w:rFonts w:hint="eastAsia" w:ascii="Times New Roman" w:hAnsi="Times New Roman" w:eastAsia="方正仿宋_GBK" w:cs="Times New Roman"/>
          <w:color w:val="000000" w:themeColor="text1"/>
          <w:sz w:val="28"/>
          <w:szCs w:val="28"/>
          <w14:textFill>
            <w14:solidFill>
              <w14:schemeClr w14:val="tx1"/>
            </w14:solidFill>
          </w14:textFill>
        </w:rPr>
        <w:t>学生家长按成交供应商提供的支付方式付款。</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供货方运到</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采购人</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安排的指定地点</w:t>
      </w:r>
      <w:r>
        <w:rPr>
          <w:rFonts w:hint="default" w:ascii="Times New Roman" w:hAnsi="Times New Roman" w:eastAsia="方正仿宋_GBK" w:cs="Times New Roman"/>
          <w:color w:val="000000" w:themeColor="text1"/>
          <w:sz w:val="28"/>
          <w:szCs w:val="28"/>
          <w14:textFill>
            <w14:solidFill>
              <w14:schemeClr w14:val="tx1"/>
            </w14:solidFill>
          </w14:textFill>
        </w:rPr>
        <w:t>。</w:t>
      </w:r>
    </w:p>
    <w:p w14:paraId="2A5D78E3">
      <w:pPr>
        <w:pStyle w:val="4"/>
        <w:bidi w:val="0"/>
        <w:ind w:firstLine="704"/>
        <w:rPr>
          <w:rFonts w:hint="default"/>
          <w:lang w:val="en-US" w:eastAsia="zh-CN"/>
        </w:rPr>
      </w:pPr>
      <w:bookmarkStart w:id="71" w:name="_Toc10346"/>
      <w:bookmarkStart w:id="72" w:name="_Toc32352"/>
      <w:r>
        <w:rPr>
          <w:rFonts w:hint="default"/>
          <w:lang w:val="en-US" w:eastAsia="zh-CN"/>
        </w:rPr>
        <w:t>五、违约责任</w:t>
      </w:r>
      <w:bookmarkEnd w:id="71"/>
      <w:bookmarkEnd w:id="72"/>
    </w:p>
    <w:p w14:paraId="59E8F07A">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1、若中标人所提供货物和配套服务不符合采购文件要求的质量、服务标准或履约过程中有违约行为，且对学生及家长造成损失的，由中标人承担一切责任，并赔偿所造成的损失，采购人有权拒收，同时保留追究由此给学生及家长造成损失责任的权力。</w:t>
      </w:r>
    </w:p>
    <w:p w14:paraId="50636DAE">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2、中标人逾期未交付全部合格的军训服装超过5天的，学生及家长所收军训服装退还中标人（包括:已经穿洗等造成污损的军训服装，采购人不承担任何损失及责任），并按照500元/天扣除履约保证金。</w:t>
      </w:r>
    </w:p>
    <w:p w14:paraId="769D4CEF">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3、若发现成交供应商虚假应标的，直接上报监管部门依法处罚。</w:t>
      </w:r>
    </w:p>
    <w:p w14:paraId="2CB81250">
      <w:pPr>
        <w:pStyle w:val="4"/>
        <w:bidi w:val="0"/>
        <w:ind w:firstLine="704"/>
        <w:rPr>
          <w:rFonts w:hint="default"/>
          <w:lang w:val="en-US" w:eastAsia="zh-CN"/>
        </w:rPr>
      </w:pPr>
      <w:bookmarkStart w:id="73" w:name="_Toc23975"/>
      <w:bookmarkStart w:id="74" w:name="_Toc8507"/>
      <w:r>
        <w:rPr>
          <w:rFonts w:hint="default"/>
          <w:lang w:val="en-US" w:eastAsia="zh-CN"/>
        </w:rPr>
        <w:t>六、知识产权</w:t>
      </w:r>
      <w:bookmarkEnd w:id="73"/>
      <w:bookmarkEnd w:id="74"/>
    </w:p>
    <w:p w14:paraId="6F4105C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采购人在中华人民共和国境内使用投标人提供的货物及服务时免受第三方提出的侵犯其专利权或其它知识产权的起诉。如果第三方提出侵权指控，中标人应承担由此而引起的一切法律责任和费用。</w:t>
      </w:r>
    </w:p>
    <w:p w14:paraId="47B36637">
      <w:pPr>
        <w:pStyle w:val="4"/>
        <w:keepNext w:val="0"/>
        <w:keepLines w:val="0"/>
        <w:pageBreakBefore w:val="0"/>
        <w:widowControl w:val="0"/>
        <w:kinsoku/>
        <w:wordWrap/>
        <w:overflowPunct/>
        <w:topLinePunct w:val="0"/>
        <w:autoSpaceDE/>
        <w:autoSpaceDN/>
        <w:bidi w:val="0"/>
        <w:adjustRightInd/>
        <w:snapToGrid/>
        <w:ind w:firstLine="704"/>
        <w:textAlignment w:val="auto"/>
        <w:rPr>
          <w:rFonts w:hint="default"/>
          <w:lang w:val="en-US" w:eastAsia="zh-CN"/>
        </w:rPr>
      </w:pPr>
      <w:bookmarkStart w:id="75" w:name="_Toc17971"/>
      <w:bookmarkStart w:id="76" w:name="_Toc22420"/>
      <w:r>
        <w:rPr>
          <w:rFonts w:hint="default"/>
          <w:lang w:val="en-US" w:eastAsia="zh-CN"/>
        </w:rPr>
        <w:t>七、其他商务要求内容</w:t>
      </w:r>
      <w:bookmarkEnd w:id="75"/>
      <w:bookmarkEnd w:id="76"/>
    </w:p>
    <w:p w14:paraId="5C7037B2">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（一）中标后不得转包或分包。</w:t>
      </w:r>
    </w:p>
    <w:p w14:paraId="3306E0B4">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（二）投标人必须在响应文件中对以上条款和服务承诺明确列出，承诺内容必须达到本篇及招标文件其他条款的要求。</w:t>
      </w:r>
    </w:p>
    <w:p w14:paraId="2B3948C4">
      <w:pPr>
        <w:keepNext w:val="0"/>
        <w:keepLines w:val="0"/>
        <w:pageBreakBefore w:val="0"/>
        <w:kinsoku/>
        <w:overflowPunct/>
        <w:autoSpaceDE/>
        <w:autoSpaceDN/>
        <w:bidi w:val="0"/>
        <w:adjustRightInd/>
        <w:spacing w:line="500" w:lineRule="exact"/>
        <w:ind w:left="0"/>
        <w:textAlignment w:val="auto"/>
        <w:rPr>
          <w:rFonts w:hint="default" w:ascii="Times New Roman" w:hAnsi="Times New Roman" w:eastAsia="方正黑体_GBK" w:cs="Times New Roman"/>
          <w:color w:val="000000" w:themeColor="text1"/>
          <w:sz w:val="28"/>
          <w:szCs w:val="28"/>
          <w14:textFill>
            <w14:solidFill>
              <w14:schemeClr w14:val="tx1"/>
            </w14:solidFill>
          </w14:textFill>
        </w:rPr>
      </w:pPr>
      <w:r>
        <w:rPr>
          <w:rFonts w:hint="default" w:ascii="Times New Roman" w:hAnsi="Times New Roman" w:eastAsia="方正黑体_GBK" w:cs="Times New Roman"/>
          <w:color w:val="000000" w:themeColor="text1"/>
          <w:sz w:val="28"/>
          <w:szCs w:val="28"/>
          <w14:textFill>
            <w14:solidFill>
              <w14:schemeClr w14:val="tx1"/>
            </w14:solidFill>
          </w14:textFill>
        </w:rPr>
        <w:br w:type="page"/>
      </w:r>
    </w:p>
    <w:p w14:paraId="29E737CD">
      <w:pPr>
        <w:pStyle w:val="3"/>
        <w:bidi w:val="0"/>
        <w:rPr>
          <w:rFonts w:hint="default"/>
        </w:rPr>
      </w:pPr>
      <w:bookmarkStart w:id="77" w:name="_Toc22820"/>
      <w:bookmarkStart w:id="78" w:name="_Toc28237"/>
      <w:r>
        <w:rPr>
          <w:rFonts w:hint="default"/>
        </w:rPr>
        <w:t>第四篇 评审方法及标准、无效响应条款和废标条款</w:t>
      </w:r>
      <w:bookmarkEnd w:id="77"/>
      <w:bookmarkEnd w:id="78"/>
    </w:p>
    <w:p w14:paraId="26548838">
      <w:pPr>
        <w:pStyle w:val="4"/>
        <w:bidi w:val="0"/>
        <w:rPr>
          <w:rFonts w:hint="default"/>
        </w:rPr>
      </w:pPr>
      <w:bookmarkStart w:id="79" w:name="_Toc26709"/>
      <w:bookmarkStart w:id="80" w:name="_Toc23416"/>
      <w:r>
        <w:rPr>
          <w:rFonts w:hint="default"/>
        </w:rPr>
        <w:t>一、评审方法及标准</w:t>
      </w:r>
      <w:bookmarkEnd w:id="79"/>
      <w:bookmarkEnd w:id="80"/>
    </w:p>
    <w:p w14:paraId="13FA9088">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bookmarkStart w:id="81" w:name="_Toc7316"/>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（一）</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采购人</w:t>
      </w:r>
      <w:r>
        <w:rPr>
          <w:rFonts w:hint="default" w:ascii="Times New Roman" w:hAnsi="Times New Roman" w:eastAsia="方正仿宋_GBK" w:cs="Times New Roman"/>
          <w:color w:val="000000" w:themeColor="text1"/>
          <w:kern w:val="0"/>
          <w:sz w:val="28"/>
          <w:szCs w:val="28"/>
          <w14:textFill>
            <w14:solidFill>
              <w14:schemeClr w14:val="tx1"/>
            </w14:solidFill>
          </w14:textFill>
        </w:rPr>
        <w:t>牵头组织专业人员，</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依据法律法规对供应商</w:t>
      </w:r>
      <w:r>
        <w:rPr>
          <w:rFonts w:hint="default" w:ascii="Times New Roman" w:hAnsi="Times New Roman" w:eastAsia="方正仿宋_GBK" w:cs="Times New Roman"/>
          <w:color w:val="000000" w:themeColor="text1"/>
          <w:kern w:val="0"/>
          <w:sz w:val="28"/>
          <w:szCs w:val="28"/>
          <w14:textFill>
            <w14:solidFill>
              <w14:schemeClr w14:val="tx1"/>
            </w14:solidFill>
          </w14:textFill>
        </w:rPr>
        <w:t>进行资格性审查和符合性审查。</w:t>
      </w:r>
      <w:bookmarkEnd w:id="81"/>
    </w:p>
    <w:p w14:paraId="1F4F137E">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（二）资格性、符合性审查通过后，由采购人组建的评定小组对入围的供应商进行投票。（评定小组共计306人，其中学校教职工代表50人</w:t>
      </w:r>
      <w:r>
        <w:rPr>
          <w:rFonts w:hint="eastAsia" w:ascii="Times New Roman" w:hAnsi="Times New Roman" w:eastAsia="方正仿宋_GBK" w:cs="Times New Roman"/>
          <w:color w:val="000000" w:themeColor="text1"/>
          <w:kern w:val="0"/>
          <w:sz w:val="28"/>
          <w:szCs w:val="28"/>
          <w:lang w:eastAsia="zh-CN" w:bidi="ar"/>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校家长委员会代表共7人、社会代表2人、2025级每个班级派4名家长代表及9名学生代表。其中家长代表、学生代表不少于评定组总人数的80%。）</w:t>
      </w:r>
    </w:p>
    <w:p w14:paraId="7CE5305F">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bookmarkStart w:id="82" w:name="_Toc16895"/>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（三）评定小组成员投票前，各供应商进行现场阐述说明</w:t>
      </w:r>
      <w:r>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时长限定6分钟以内</w:t>
      </w:r>
      <w:r>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并展示样衣，介绍时只能出现抽签序号，不得出现企业名称或与名称相关的信息。</w:t>
      </w:r>
      <w:bookmarkEnd w:id="82"/>
    </w:p>
    <w:p w14:paraId="7F7DA7EA">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bookmarkStart w:id="83" w:name="_Toc20409"/>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（四）评定小组成员综合供应商报价、样衣质量、样衣设计等进行现场投票</w:t>
      </w:r>
      <w:r>
        <w:rPr>
          <w:rFonts w:hint="eastAsia" w:ascii="Times New Roman" w:hAnsi="Times New Roman" w:eastAsia="方正仿宋_GBK" w:cs="Times New Roman"/>
          <w:color w:val="000000" w:themeColor="text1"/>
          <w:kern w:val="0"/>
          <w:sz w:val="28"/>
          <w:szCs w:val="28"/>
          <w:lang w:eastAsia="zh-CN" w:bidi="ar"/>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限投一票</w:t>
      </w:r>
      <w:r>
        <w:rPr>
          <w:rFonts w:hint="eastAsia" w:ascii="Times New Roman" w:hAnsi="Times New Roman" w:eastAsia="方正仿宋_GBK" w:cs="Times New Roman"/>
          <w:color w:val="000000" w:themeColor="text1"/>
          <w:kern w:val="0"/>
          <w:sz w:val="28"/>
          <w:szCs w:val="28"/>
          <w:lang w:eastAsia="zh-CN" w:bidi="ar"/>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。在监督下统计票数，得票数排名前三的供应商为成交候选人，当第一成交候选人出现弃权或存在其他不符合成交条件的情况时，可按得票顺序依次递补。若票数相同，则报价低者成交。</w:t>
      </w:r>
      <w:bookmarkEnd w:id="83"/>
    </w:p>
    <w:p w14:paraId="129FC282">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bookmarkStart w:id="84" w:name="_Toc8005"/>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（五）评审、投票、计票全过程录音录像。</w:t>
      </w:r>
      <w:bookmarkEnd w:id="84"/>
    </w:p>
    <w:p w14:paraId="15F5AA81">
      <w:pPr>
        <w:pStyle w:val="4"/>
        <w:pageBreakBefore w:val="0"/>
        <w:widowControl w:val="0"/>
        <w:kinsoku/>
        <w:wordWrap/>
        <w:overflowPunct/>
        <w:topLinePunct w:val="0"/>
        <w:autoSpaceDE/>
        <w:autoSpaceDN/>
        <w:bidi w:val="0"/>
        <w:adjustRightInd/>
        <w:snapToGrid/>
        <w:spacing w:beforeLines="0" w:afterLines="0"/>
        <w:ind w:firstLine="704"/>
        <w:textAlignment w:val="auto"/>
        <w:rPr>
          <w:rFonts w:hint="default"/>
        </w:rPr>
      </w:pPr>
      <w:bookmarkStart w:id="85" w:name="_Toc11879"/>
      <w:bookmarkStart w:id="86" w:name="_Toc8438"/>
      <w:r>
        <w:rPr>
          <w:rFonts w:hint="default"/>
        </w:rPr>
        <w:t>二、无效响应条款</w:t>
      </w:r>
      <w:bookmarkEnd w:id="85"/>
      <w:bookmarkEnd w:id="86"/>
    </w:p>
    <w:p w14:paraId="7601503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供应商发生以下条款情况之一者，视为无效响应，其响应文件将被拒绝：</w:t>
      </w:r>
    </w:p>
    <w:p w14:paraId="3055CAFC">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（一）供应商不符合规定的资格条件的；</w:t>
      </w:r>
    </w:p>
    <w:p w14:paraId="41B6760E">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（二）供应商的法定代表人（或其授权代表）或自然人未参加</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采购活动</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w:t>
      </w:r>
    </w:p>
    <w:p w14:paraId="7FDC860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（三）供应商所提交的响应文件不按“第七篇响应文件编制要求”要求签署或盖章；</w:t>
      </w:r>
    </w:p>
    <w:p w14:paraId="396B237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（四）供应商的最后报价超过采购预算或最高限价的；</w:t>
      </w:r>
    </w:p>
    <w:p w14:paraId="16995029">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（五）法定代表人为同一个人的两个及两个以上法人，母公司、全资子公司及其控股公司，在同一包采购中同时参与</w:t>
      </w:r>
      <w:r>
        <w:rPr>
          <w:rFonts w:hint="eastAsia" w:ascii="Times New Roman" w:hAnsi="Times New Roman" w:eastAsia="方正仿宋_GBK" w:cs="Times New Roman"/>
          <w:color w:val="000000" w:themeColor="text1"/>
          <w:kern w:val="0"/>
          <w:sz w:val="28"/>
          <w:szCs w:val="28"/>
          <w:lang w:eastAsia="zh-CN" w:bidi="ar"/>
          <w14:textFill>
            <w14:solidFill>
              <w14:schemeClr w14:val="tx1"/>
            </w14:solidFill>
          </w14:textFill>
        </w:rPr>
        <w:t>采购活动</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w:t>
      </w:r>
    </w:p>
    <w:p w14:paraId="180AE8A9">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（六）单位负责人为同一人或者存在直接控股、管理关系的不同供应商，参加同一合同项下的政府采购活动的；</w:t>
      </w:r>
    </w:p>
    <w:p w14:paraId="5D1B6CF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（七）为采购项目提供整体设计、规范编制或者项目管理、监理、检测等服务的供应商，再参加该采购项目的其他采购活动；</w:t>
      </w:r>
    </w:p>
    <w:p w14:paraId="2894075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（八）供应商</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响应</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有效期不满足</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采购</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文件要求的；</w:t>
      </w:r>
    </w:p>
    <w:p w14:paraId="39069A66">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（九）供应商响应文件内容有与国家现行法律法规相违背的内容，或附有采购人无法接受的条件；</w:t>
      </w:r>
    </w:p>
    <w:p w14:paraId="3369369B">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（十）供应商未按</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采购</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文件第一篇要求提交报名表的；</w:t>
      </w:r>
    </w:p>
    <w:p w14:paraId="419B997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（十一）法律、法规和</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采购</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文件规定的其他无效情形。</w:t>
      </w:r>
    </w:p>
    <w:p w14:paraId="095BA568">
      <w:pPr>
        <w:pStyle w:val="4"/>
        <w:pageBreakBefore w:val="0"/>
        <w:widowControl w:val="0"/>
        <w:kinsoku/>
        <w:wordWrap/>
        <w:overflowPunct/>
        <w:topLinePunct w:val="0"/>
        <w:autoSpaceDE/>
        <w:autoSpaceDN/>
        <w:bidi w:val="0"/>
        <w:adjustRightInd/>
        <w:snapToGrid/>
        <w:spacing w:beforeLines="0" w:afterLines="0"/>
        <w:ind w:firstLine="704"/>
        <w:textAlignment w:val="auto"/>
        <w:rPr>
          <w:rFonts w:hint="default"/>
        </w:rPr>
      </w:pPr>
      <w:bookmarkStart w:id="87" w:name="_Toc9388"/>
      <w:bookmarkStart w:id="88" w:name="_Toc12600"/>
      <w:r>
        <w:rPr>
          <w:rFonts w:hint="default"/>
        </w:rPr>
        <w:t>三、废标条款</w:t>
      </w:r>
      <w:bookmarkEnd w:id="87"/>
      <w:bookmarkEnd w:id="88"/>
    </w:p>
    <w:p w14:paraId="1234A18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出现下列情形之一的，采购人应当终止采购活动，发布项目终止公告并说明原因，重新开展采购活动：</w:t>
      </w:r>
    </w:p>
    <w:p w14:paraId="291F524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（一）因情况变化，不再符合规定的采购方式适用情形的；</w:t>
      </w:r>
    </w:p>
    <w:p w14:paraId="7C731DDD">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（二）出现影响采购公正的违法、违规行为的；</w:t>
      </w:r>
    </w:p>
    <w:p w14:paraId="599EF3B8">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（三）在采购过程中符合要求的供应商或者报价未超过采购预算的供应商不足3家的。</w:t>
      </w:r>
    </w:p>
    <w:p w14:paraId="0522A585">
      <w:pPr>
        <w:keepNext w:val="0"/>
        <w:keepLines w:val="0"/>
        <w:pageBreakBefore w:val="0"/>
        <w:kinsoku/>
        <w:overflowPunct/>
        <w:autoSpaceDE/>
        <w:autoSpaceDN/>
        <w:bidi w:val="0"/>
        <w:adjustRightInd/>
        <w:spacing w:line="500" w:lineRule="exact"/>
        <w:ind w:left="0"/>
        <w:textAlignment w:val="auto"/>
        <w:rPr>
          <w:rFonts w:hint="default" w:ascii="Times New Roman" w:hAnsi="Times New Roman" w:eastAsia="方正黑体_GBK" w:cs="Times New Roman"/>
          <w:color w:val="000000" w:themeColor="text1"/>
          <w:sz w:val="28"/>
          <w:szCs w:val="28"/>
          <w14:textFill>
            <w14:solidFill>
              <w14:schemeClr w14:val="tx1"/>
            </w14:solidFill>
          </w14:textFill>
        </w:rPr>
      </w:pPr>
      <w:r>
        <w:rPr>
          <w:rFonts w:hint="default" w:ascii="Times New Roman" w:hAnsi="Times New Roman" w:eastAsia="方正黑体_GBK" w:cs="Times New Roman"/>
          <w:color w:val="000000" w:themeColor="text1"/>
          <w:sz w:val="28"/>
          <w:szCs w:val="28"/>
          <w14:textFill>
            <w14:solidFill>
              <w14:schemeClr w14:val="tx1"/>
            </w14:solidFill>
          </w14:textFill>
        </w:rPr>
        <w:br w:type="page"/>
      </w:r>
    </w:p>
    <w:p w14:paraId="41F8B123">
      <w:pPr>
        <w:pStyle w:val="3"/>
        <w:bidi w:val="0"/>
        <w:rPr>
          <w:rFonts w:hint="default"/>
        </w:rPr>
      </w:pPr>
      <w:bookmarkStart w:id="89" w:name="_Toc19374"/>
      <w:bookmarkStart w:id="90" w:name="_Toc18667"/>
      <w:r>
        <w:rPr>
          <w:rFonts w:hint="default"/>
        </w:rPr>
        <w:t>第五篇 供应商须知</w:t>
      </w:r>
      <w:bookmarkEnd w:id="89"/>
      <w:bookmarkEnd w:id="90"/>
    </w:p>
    <w:p w14:paraId="7CB0621B">
      <w:pPr>
        <w:pStyle w:val="4"/>
        <w:bidi w:val="0"/>
        <w:ind w:firstLine="704"/>
        <w:rPr>
          <w:rFonts w:hint="default"/>
        </w:rPr>
      </w:pPr>
      <w:bookmarkStart w:id="91" w:name="_Toc4894"/>
      <w:bookmarkStart w:id="92" w:name="_Toc4685"/>
      <w:r>
        <w:rPr>
          <w:rFonts w:hint="default"/>
        </w:rPr>
        <w:t>一、供应商</w:t>
      </w:r>
      <w:bookmarkEnd w:id="91"/>
      <w:bookmarkEnd w:id="92"/>
    </w:p>
    <w:p w14:paraId="15B09036">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（一）供应商是响应采购、参与采购竞争的法人、其他组织或自然人。</w:t>
      </w:r>
    </w:p>
    <w:p w14:paraId="31991866">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（二）合格供应商需符合采购文件规定的资格条件，并对文件作出实质性响应。</w:t>
      </w:r>
    </w:p>
    <w:p w14:paraId="5949BE0C">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（三）供应商未按要求提供资料或未实质响应采购文件，可能导致响应被拒或无效。</w:t>
      </w:r>
    </w:p>
    <w:p w14:paraId="7D0CA6A6">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（四）供应商违反相关法律法规，将被追究法律责任。</w:t>
      </w:r>
    </w:p>
    <w:p w14:paraId="69623BC4">
      <w:pPr>
        <w:pStyle w:val="4"/>
        <w:bidi w:val="0"/>
        <w:ind w:firstLine="704"/>
        <w:rPr>
          <w:rFonts w:hint="default"/>
        </w:rPr>
      </w:pPr>
      <w:bookmarkStart w:id="93" w:name="_Toc19077"/>
      <w:bookmarkStart w:id="94" w:name="_Toc21852"/>
      <w:r>
        <w:rPr>
          <w:rFonts w:hint="default"/>
        </w:rPr>
        <w:t>二、采购文件</w:t>
      </w:r>
      <w:bookmarkEnd w:id="93"/>
      <w:bookmarkEnd w:id="94"/>
    </w:p>
    <w:p w14:paraId="789BCC01">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（一）采购文件是编制响应文件、评审和签订合同的依据，由采购邀请书、项目技术要求等七部分组成。</w:t>
      </w:r>
    </w:p>
    <w:p w14:paraId="0BEE4198">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采购人</w:t>
      </w:r>
      <w:r>
        <w:rPr>
          <w:rFonts w:hint="default" w:ascii="Times New Roman" w:hAnsi="Times New Roman" w:eastAsia="方正仿宋_GBK" w:cs="Times New Roman"/>
          <w:color w:val="000000" w:themeColor="text1"/>
          <w:sz w:val="28"/>
          <w:szCs w:val="28"/>
          <w14:textFill>
            <w14:solidFill>
              <w14:schemeClr w14:val="tx1"/>
            </w14:solidFill>
          </w14:textFill>
        </w:rPr>
        <w:t>对采购文件的书面通知、修改及补充，以及采购前会议要求均为文件不可分割的部分。</w:t>
      </w:r>
    </w:p>
    <w:p w14:paraId="4E57282E">
      <w:pPr>
        <w:pStyle w:val="4"/>
        <w:bidi w:val="0"/>
        <w:ind w:firstLine="704"/>
        <w:rPr>
          <w:rFonts w:hint="default"/>
        </w:rPr>
      </w:pPr>
      <w:bookmarkStart w:id="95" w:name="_Toc31900"/>
      <w:bookmarkStart w:id="96" w:name="_Toc21180"/>
      <w:r>
        <w:rPr>
          <w:rFonts w:hint="default"/>
        </w:rPr>
        <w:t>三、响应文件</w:t>
      </w:r>
      <w:bookmarkEnd w:id="95"/>
      <w:bookmarkEnd w:id="96"/>
    </w:p>
    <w:p w14:paraId="00AD3CE3">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供应商按采购文件要求编制响应文件，实质性响应文件要求，采用软面订本并编制页码、目录。</w:t>
      </w:r>
    </w:p>
    <w:p w14:paraId="11059195">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（一）响应文件组成：</w:t>
      </w:r>
      <w:r>
        <w:rPr>
          <w:rFonts w:hint="default" w:ascii="Times New Roman" w:hAnsi="Times New Roman" w:eastAsia="方正仿宋_GBK" w:cs="Times New Roman"/>
          <w:color w:val="000000" w:themeColor="text1"/>
          <w:sz w:val="28"/>
          <w:szCs w:val="28"/>
          <w14:textFill>
            <w14:solidFill>
              <w14:schemeClr w14:val="tx1"/>
            </w14:solidFill>
          </w14:textFill>
        </w:rPr>
        <w:t>由第七篇规定的部分和供应商其他有效补充、修改、承诺等文件组成。</w:t>
      </w:r>
    </w:p>
    <w:p w14:paraId="1DAEAEB0">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（二）响应文件的份数、签署和密封：</w:t>
      </w:r>
      <w:r>
        <w:rPr>
          <w:rFonts w:hint="default" w:ascii="Times New Roman" w:hAnsi="Times New Roman" w:eastAsia="方正仿宋_GBK" w:cs="Times New Roman"/>
          <w:color w:val="000000" w:themeColor="text1"/>
          <w:sz w:val="28"/>
          <w:szCs w:val="28"/>
          <w14:textFill>
            <w14:solidFill>
              <w14:schemeClr w14:val="tx1"/>
            </w14:solidFill>
          </w14:textFill>
        </w:rPr>
        <w:t>响应文件一式</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三</w:t>
      </w:r>
      <w:r>
        <w:rPr>
          <w:rFonts w:hint="default" w:ascii="Times New Roman" w:hAnsi="Times New Roman" w:eastAsia="方正仿宋_GBK" w:cs="Times New Roman"/>
          <w:color w:val="000000" w:themeColor="text1"/>
          <w:sz w:val="28"/>
          <w:szCs w:val="28"/>
          <w14:textFill>
            <w14:solidFill>
              <w14:schemeClr w14:val="tx1"/>
            </w14:solidFill>
          </w14:textFill>
        </w:rPr>
        <w:t>份</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正本一份、副本</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两</w:t>
      </w:r>
      <w:r>
        <w:rPr>
          <w:rFonts w:hint="default" w:ascii="Times New Roman" w:hAnsi="Times New Roman" w:eastAsia="方正仿宋_GBK" w:cs="Times New Roman"/>
          <w:color w:val="000000" w:themeColor="text1"/>
          <w:sz w:val="28"/>
          <w:szCs w:val="28"/>
          <w14:textFill>
            <w14:solidFill>
              <w14:schemeClr w14:val="tx1"/>
            </w14:solidFill>
          </w14:textFill>
        </w:rPr>
        <w:t>份</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，密封并标注相关信息；副本为正本复印件，不一致时以正本为准；封口处、修改处由法人或授权代表签字确认、加盖公章；未按规定密封，采购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对文件不予接受；不接受电报、电话、传真形式的响应文件。</w:t>
      </w:r>
    </w:p>
    <w:p w14:paraId="517065B3">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（三）联合体响应：</w:t>
      </w:r>
      <w:r>
        <w:rPr>
          <w:rFonts w:hint="default" w:ascii="Times New Roman" w:hAnsi="Times New Roman" w:eastAsia="方正仿宋_GBK" w:cs="Times New Roman"/>
          <w:color w:val="000000" w:themeColor="text1"/>
          <w:sz w:val="28"/>
          <w:szCs w:val="28"/>
          <w14:textFill>
            <w14:solidFill>
              <w14:schemeClr w14:val="tx1"/>
            </w14:solidFill>
          </w14:textFill>
        </w:rPr>
        <w:t>本项目不接受联合体响应。</w:t>
      </w:r>
    </w:p>
    <w:p w14:paraId="5FFA585C">
      <w:pPr>
        <w:pStyle w:val="4"/>
        <w:bidi w:val="0"/>
        <w:ind w:firstLine="704"/>
        <w:rPr>
          <w:rFonts w:hint="default"/>
        </w:rPr>
      </w:pPr>
      <w:bookmarkStart w:id="97" w:name="_Toc7555"/>
      <w:bookmarkStart w:id="98" w:name="_Toc22020"/>
      <w:r>
        <w:rPr>
          <w:rFonts w:hint="default"/>
        </w:rPr>
        <w:t>四、开标</w:t>
      </w:r>
      <w:bookmarkEnd w:id="97"/>
      <w:bookmarkEnd w:id="98"/>
    </w:p>
    <w:p w14:paraId="221C98CA">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（一）开标在采购文件规定的时间和地点公开进行。</w:t>
      </w:r>
    </w:p>
    <w:p w14:paraId="3E1E4F48">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可延长响应文件递交截止时间和开标时间，但须提前通知所有供应商。</w:t>
      </w:r>
    </w:p>
    <w:p w14:paraId="2BD44517">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（三）开标时供应商不足三家，不得开标。</w:t>
      </w:r>
    </w:p>
    <w:p w14:paraId="096B4539">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（四）开标过程专人记录并存档备查。</w:t>
      </w:r>
    </w:p>
    <w:p w14:paraId="734B4238">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（五）供应商未参加开标，视同认可开标结果。</w:t>
      </w:r>
    </w:p>
    <w:p w14:paraId="2938461F">
      <w:pPr>
        <w:pStyle w:val="4"/>
        <w:bidi w:val="0"/>
        <w:ind w:firstLine="704"/>
        <w:rPr>
          <w:rFonts w:hint="default"/>
        </w:rPr>
      </w:pPr>
      <w:bookmarkStart w:id="99" w:name="_Toc1753"/>
      <w:bookmarkStart w:id="100" w:name="_Toc15108"/>
      <w:r>
        <w:rPr>
          <w:rFonts w:hint="default"/>
        </w:rPr>
        <w:t>五、评审</w:t>
      </w:r>
      <w:bookmarkEnd w:id="99"/>
      <w:bookmarkEnd w:id="100"/>
    </w:p>
    <w:p w14:paraId="6EE6DCC4">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详见“第四篇”评审内容。</w:t>
      </w:r>
    </w:p>
    <w:p w14:paraId="29B02C50">
      <w:pPr>
        <w:pStyle w:val="4"/>
        <w:bidi w:val="0"/>
        <w:ind w:firstLine="704"/>
        <w:rPr>
          <w:rFonts w:hint="default"/>
        </w:rPr>
      </w:pPr>
      <w:bookmarkStart w:id="101" w:name="_Toc20996"/>
      <w:bookmarkStart w:id="102" w:name="_Toc23627"/>
      <w:r>
        <w:rPr>
          <w:rFonts w:hint="default"/>
        </w:rPr>
        <w:t>六、结果公示</w:t>
      </w:r>
      <w:bookmarkEnd w:id="101"/>
      <w:bookmarkEnd w:id="102"/>
    </w:p>
    <w:p w14:paraId="66A0BC1F">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或其授权的评定组按评审结果推荐的成交候选人排名顺序确定成交供应商并进行公示，公示内容、公示期限按照国家相关规定执行。</w:t>
      </w:r>
    </w:p>
    <w:p w14:paraId="3F5DE0E8">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（二）公示期满通知成交供应商签订合同。</w:t>
      </w:r>
    </w:p>
    <w:p w14:paraId="0F89F07D">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（三）成交供应商无权转让成交项目。</w:t>
      </w:r>
    </w:p>
    <w:p w14:paraId="39DB9479">
      <w:pPr>
        <w:pStyle w:val="4"/>
        <w:bidi w:val="0"/>
        <w:ind w:firstLine="704"/>
        <w:rPr>
          <w:rFonts w:hint="default" w:eastAsia="方正黑体_GBK"/>
          <w:lang w:val="en-US" w:eastAsia="zh-CN"/>
        </w:rPr>
      </w:pPr>
      <w:bookmarkStart w:id="103" w:name="_Toc28265"/>
      <w:bookmarkStart w:id="104" w:name="_Toc23503"/>
      <w:r>
        <w:rPr>
          <w:rFonts w:hint="default"/>
        </w:rPr>
        <w:t>七、</w:t>
      </w:r>
      <w:bookmarkEnd w:id="103"/>
      <w:r>
        <w:rPr>
          <w:rFonts w:hint="eastAsia"/>
          <w:lang w:val="en-US" w:eastAsia="zh-CN"/>
        </w:rPr>
        <w:t>询问、质疑</w:t>
      </w:r>
      <w:bookmarkEnd w:id="104"/>
    </w:p>
    <w:p w14:paraId="37DBAE1D">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（一）询问：</w:t>
      </w:r>
      <w:r>
        <w:rPr>
          <w:rFonts w:hint="eastAsia" w:ascii="Times New Roman" w:hAnsi="Times New Roman" w:eastAsia="方正楷体_GBK" w:cs="Times New Roman"/>
          <w:color w:val="000000" w:themeColor="text1"/>
          <w:sz w:val="28"/>
          <w:szCs w:val="28"/>
          <w:lang w:val="en-US" w:eastAsia="zh-CN"/>
          <w14:textFill>
            <w14:solidFill>
              <w14:schemeClr w14:val="tx1"/>
            </w14:solidFill>
          </w14:textFill>
        </w:rPr>
        <w:t>采购人</w:t>
      </w:r>
      <w:r>
        <w:rPr>
          <w:rFonts w:hint="default" w:ascii="Times New Roman" w:hAnsi="Times New Roman" w:eastAsia="方正仿宋_GBK" w:cs="Times New Roman"/>
          <w:color w:val="000000" w:themeColor="text1"/>
          <w:sz w:val="28"/>
          <w:szCs w:val="28"/>
          <w14:textFill>
            <w14:solidFill>
              <w14:schemeClr w14:val="tx1"/>
            </w14:solidFill>
          </w14:textFill>
        </w:rPr>
        <w:t>在3个工作日内答复供应商的询问，询问可口头或书面形式。</w:t>
      </w:r>
    </w:p>
    <w:p w14:paraId="01B3654E">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（二）质疑：</w:t>
      </w:r>
      <w:r>
        <w:rPr>
          <w:rFonts w:hint="default" w:ascii="Times New Roman" w:hAnsi="Times New Roman" w:eastAsia="方正仿宋_GBK" w:cs="Times New Roman"/>
          <w:color w:val="000000" w:themeColor="text1"/>
          <w:sz w:val="28"/>
          <w:szCs w:val="28"/>
          <w14:textFill>
            <w14:solidFill>
              <w14:schemeClr w14:val="tx1"/>
            </w14:solidFill>
          </w14:textFill>
        </w:rPr>
        <w:t>供应商应明确质疑内容、时限，如对采购文件、采购过程、成交结果等提出质疑的具体时间要求；采购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在收到书面质疑后7个工作日内答复，并通知相关供应商。</w:t>
      </w:r>
    </w:p>
    <w:p w14:paraId="5A4221D9">
      <w:pPr>
        <w:pStyle w:val="4"/>
        <w:bidi w:val="0"/>
        <w:ind w:firstLine="704"/>
        <w:rPr>
          <w:rFonts w:hint="default"/>
        </w:rPr>
      </w:pPr>
      <w:bookmarkStart w:id="105" w:name="_Toc30374"/>
      <w:bookmarkStart w:id="106" w:name="_Toc9530"/>
      <w:r>
        <w:rPr>
          <w:rFonts w:hint="default"/>
        </w:rPr>
        <w:t>八、签订合同</w:t>
      </w:r>
      <w:bookmarkEnd w:id="105"/>
      <w:bookmarkEnd w:id="106"/>
    </w:p>
    <w:p w14:paraId="36196ABC">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与成交供应商签订书面合同，不得对采购文件和响应文件作实质性修改。</w:t>
      </w:r>
    </w:p>
    <w:p w14:paraId="0820842B">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（二）合同生效条款由双方约定，法律法规规定须办理批准、登记等手续生效的，依照规定执行。</w:t>
      </w:r>
    </w:p>
    <w:p w14:paraId="16F7EE4D">
      <w:pPr>
        <w:keepNext w:val="0"/>
        <w:keepLines w:val="0"/>
        <w:pageBreakBefore w:val="0"/>
        <w:kinsoku/>
        <w:overflowPunct/>
        <w:autoSpaceDE/>
        <w:autoSpaceDN/>
        <w:bidi w:val="0"/>
        <w:adjustRightInd/>
        <w:spacing w:line="500" w:lineRule="exact"/>
        <w:ind w:left="0"/>
        <w:textAlignment w:val="auto"/>
        <w:rPr>
          <w:rFonts w:hint="default" w:ascii="Times New Roman" w:hAnsi="Times New Roman" w:eastAsia="方正黑体_GBK" w:cs="Times New Roman"/>
          <w:color w:val="000000" w:themeColor="text1"/>
          <w:sz w:val="28"/>
          <w:szCs w:val="28"/>
          <w14:textFill>
            <w14:solidFill>
              <w14:schemeClr w14:val="tx1"/>
            </w14:solidFill>
          </w14:textFill>
        </w:rPr>
      </w:pPr>
      <w:r>
        <w:rPr>
          <w:rFonts w:hint="default" w:ascii="Times New Roman" w:hAnsi="Times New Roman" w:eastAsia="方正黑体_GBK" w:cs="Times New Roman"/>
          <w:color w:val="000000" w:themeColor="text1"/>
          <w:sz w:val="28"/>
          <w:szCs w:val="28"/>
          <w14:textFill>
            <w14:solidFill>
              <w14:schemeClr w14:val="tx1"/>
            </w14:solidFill>
          </w14:textFill>
        </w:rPr>
        <w:br w:type="page"/>
      </w:r>
    </w:p>
    <w:p w14:paraId="627B1F3D">
      <w:pPr>
        <w:pStyle w:val="3"/>
        <w:bidi w:val="0"/>
        <w:rPr>
          <w:rFonts w:hint="default"/>
        </w:rPr>
      </w:pPr>
      <w:bookmarkStart w:id="107" w:name="_Toc3002"/>
      <w:bookmarkStart w:id="108" w:name="_Toc20397"/>
      <w:r>
        <w:rPr>
          <w:rFonts w:hint="default"/>
        </w:rPr>
        <w:t>第六篇 格式合同（样本）</w:t>
      </w:r>
      <w:bookmarkEnd w:id="107"/>
      <w:bookmarkEnd w:id="108"/>
    </w:p>
    <w:p w14:paraId="7D68FEA1">
      <w:pPr>
        <w:spacing w:line="500" w:lineRule="exact"/>
        <w:jc w:val="center"/>
        <w:rPr>
          <w:rFonts w:hint="eastAsia" w:ascii="方正仿宋_GBK" w:hAnsi="方正仿宋_GBK" w:eastAsia="方正仿宋_GBK" w:cs="方正仿宋_GBK"/>
          <w:b/>
          <w:sz w:val="36"/>
          <w:szCs w:val="20"/>
        </w:rPr>
      </w:pPr>
      <w:r>
        <w:rPr>
          <w:rFonts w:hint="eastAsia" w:ascii="方正仿宋_GBK" w:hAnsi="方正仿宋_GBK" w:eastAsia="方正仿宋_GBK" w:cs="方正仿宋_GBK"/>
          <w:b/>
          <w:sz w:val="36"/>
          <w:szCs w:val="20"/>
        </w:rPr>
        <w:t>重庆市政府采购合同（样本）</w:t>
      </w:r>
    </w:p>
    <w:p w14:paraId="7CBE05E6">
      <w:pPr>
        <w:snapToGrid w:val="0"/>
        <w:spacing w:line="40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项目号</w:t>
      </w:r>
      <w:r>
        <w:rPr>
          <w:rFonts w:hint="eastAsia" w:ascii="方正仿宋_GBK" w:hAnsi="方正仿宋_GBK" w:eastAsia="方正仿宋_GBK" w:cs="方正仿宋_GBK"/>
          <w:sz w:val="24"/>
          <w:szCs w:val="24"/>
        </w:rPr>
        <w:t>：     ）</w:t>
      </w:r>
    </w:p>
    <w:p w14:paraId="49BF279A">
      <w:pPr>
        <w:snapToGrid w:val="0"/>
        <w:spacing w:line="400" w:lineRule="exact"/>
        <w:ind w:firstLine="54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甲方（需方）：__________________      计价单位：____________</w:t>
      </w:r>
    </w:p>
    <w:p w14:paraId="2870DE6A">
      <w:pPr>
        <w:snapToGrid w:val="0"/>
        <w:spacing w:line="400" w:lineRule="exact"/>
        <w:ind w:firstLine="54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乙方（供方）：__________________      计量单位：____________</w:t>
      </w:r>
    </w:p>
    <w:p w14:paraId="1906DDB1">
      <w:pPr>
        <w:snapToGrid w:val="0"/>
        <w:spacing w:line="4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经双方协商一致，达成以下购销合同：</w:t>
      </w:r>
    </w:p>
    <w:tbl>
      <w:tblPr>
        <w:tblStyle w:val="16"/>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780E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10CF5E07">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产品</w:t>
            </w:r>
            <w:r>
              <w:rPr>
                <w:rFonts w:hint="eastAsia" w:ascii="方正仿宋_GBK" w:hAnsi="方正仿宋_GBK" w:eastAsia="方正仿宋_GBK" w:cs="方正仿宋_GBK"/>
                <w:sz w:val="21"/>
                <w:szCs w:val="21"/>
              </w:rPr>
              <w:t>名称</w:t>
            </w:r>
          </w:p>
        </w:tc>
        <w:tc>
          <w:tcPr>
            <w:tcW w:w="984" w:type="dxa"/>
            <w:noWrap w:val="0"/>
            <w:vAlign w:val="center"/>
          </w:tcPr>
          <w:p w14:paraId="7FD6C4A2">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数量</w:t>
            </w:r>
          </w:p>
        </w:tc>
        <w:tc>
          <w:tcPr>
            <w:tcW w:w="1298" w:type="dxa"/>
            <w:gridSpan w:val="2"/>
            <w:noWrap w:val="0"/>
            <w:vAlign w:val="center"/>
          </w:tcPr>
          <w:p w14:paraId="647B26E8">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综合单价</w:t>
            </w:r>
          </w:p>
        </w:tc>
        <w:tc>
          <w:tcPr>
            <w:tcW w:w="1134" w:type="dxa"/>
            <w:noWrap w:val="0"/>
            <w:vAlign w:val="center"/>
          </w:tcPr>
          <w:p w14:paraId="50154F67">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总价</w:t>
            </w:r>
          </w:p>
        </w:tc>
        <w:tc>
          <w:tcPr>
            <w:tcW w:w="1559" w:type="dxa"/>
            <w:noWrap w:val="0"/>
            <w:vAlign w:val="center"/>
          </w:tcPr>
          <w:p w14:paraId="7ED9E34E">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交货</w:t>
            </w:r>
            <w:r>
              <w:rPr>
                <w:rFonts w:hint="eastAsia" w:ascii="方正仿宋_GBK" w:hAnsi="方正仿宋_GBK" w:eastAsia="方正仿宋_GBK" w:cs="方正仿宋_GBK"/>
                <w:sz w:val="21"/>
                <w:szCs w:val="21"/>
              </w:rPr>
              <w:t>时间</w:t>
            </w:r>
          </w:p>
        </w:tc>
        <w:tc>
          <w:tcPr>
            <w:tcW w:w="1567" w:type="dxa"/>
            <w:noWrap w:val="0"/>
            <w:vAlign w:val="center"/>
          </w:tcPr>
          <w:p w14:paraId="189DD7CB">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交货</w:t>
            </w:r>
            <w:r>
              <w:rPr>
                <w:rFonts w:hint="eastAsia" w:ascii="方正仿宋_GBK" w:hAnsi="方正仿宋_GBK" w:eastAsia="方正仿宋_GBK" w:cs="方正仿宋_GBK"/>
                <w:sz w:val="21"/>
                <w:szCs w:val="21"/>
              </w:rPr>
              <w:t>地点</w:t>
            </w:r>
          </w:p>
        </w:tc>
      </w:tr>
      <w:tr w14:paraId="5A17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5A366642">
            <w:pPr>
              <w:spacing w:line="240" w:lineRule="atLeast"/>
              <w:jc w:val="center"/>
              <w:rPr>
                <w:rFonts w:hint="eastAsia" w:ascii="方正仿宋_GBK" w:hAnsi="方正仿宋_GBK" w:eastAsia="方正仿宋_GBK" w:cs="方正仿宋_GBK"/>
                <w:sz w:val="21"/>
                <w:szCs w:val="21"/>
              </w:rPr>
            </w:pPr>
          </w:p>
        </w:tc>
        <w:tc>
          <w:tcPr>
            <w:tcW w:w="984" w:type="dxa"/>
            <w:noWrap w:val="0"/>
            <w:vAlign w:val="center"/>
          </w:tcPr>
          <w:p w14:paraId="5956006B">
            <w:pPr>
              <w:spacing w:line="240" w:lineRule="atLeast"/>
              <w:jc w:val="center"/>
              <w:rPr>
                <w:rFonts w:hint="eastAsia" w:ascii="方正仿宋_GBK" w:hAnsi="方正仿宋_GBK" w:eastAsia="方正仿宋_GBK" w:cs="方正仿宋_GBK"/>
                <w:sz w:val="21"/>
                <w:szCs w:val="21"/>
              </w:rPr>
            </w:pPr>
          </w:p>
        </w:tc>
        <w:tc>
          <w:tcPr>
            <w:tcW w:w="1298" w:type="dxa"/>
            <w:gridSpan w:val="2"/>
            <w:noWrap w:val="0"/>
            <w:vAlign w:val="center"/>
          </w:tcPr>
          <w:p w14:paraId="32479675">
            <w:pPr>
              <w:spacing w:line="240" w:lineRule="atLeast"/>
              <w:jc w:val="center"/>
              <w:rPr>
                <w:rFonts w:hint="eastAsia" w:ascii="方正仿宋_GBK" w:hAnsi="方正仿宋_GBK" w:eastAsia="方正仿宋_GBK" w:cs="方正仿宋_GBK"/>
                <w:sz w:val="21"/>
                <w:szCs w:val="21"/>
              </w:rPr>
            </w:pPr>
          </w:p>
        </w:tc>
        <w:tc>
          <w:tcPr>
            <w:tcW w:w="1134" w:type="dxa"/>
            <w:noWrap w:val="0"/>
            <w:vAlign w:val="center"/>
          </w:tcPr>
          <w:p w14:paraId="7D50BF6C">
            <w:pPr>
              <w:spacing w:line="240" w:lineRule="atLeast"/>
              <w:jc w:val="center"/>
              <w:rPr>
                <w:rFonts w:hint="eastAsia" w:ascii="方正仿宋_GBK" w:hAnsi="方正仿宋_GBK" w:eastAsia="方正仿宋_GBK" w:cs="方正仿宋_GBK"/>
                <w:sz w:val="21"/>
                <w:szCs w:val="21"/>
              </w:rPr>
            </w:pPr>
          </w:p>
        </w:tc>
        <w:tc>
          <w:tcPr>
            <w:tcW w:w="1559" w:type="dxa"/>
            <w:noWrap w:val="0"/>
            <w:vAlign w:val="center"/>
          </w:tcPr>
          <w:p w14:paraId="056CF679">
            <w:pPr>
              <w:spacing w:line="240" w:lineRule="atLeast"/>
              <w:jc w:val="center"/>
              <w:rPr>
                <w:rFonts w:hint="eastAsia" w:ascii="方正仿宋_GBK" w:hAnsi="方正仿宋_GBK" w:eastAsia="方正仿宋_GBK" w:cs="方正仿宋_GBK"/>
                <w:sz w:val="21"/>
                <w:szCs w:val="21"/>
              </w:rPr>
            </w:pPr>
          </w:p>
        </w:tc>
        <w:tc>
          <w:tcPr>
            <w:tcW w:w="1567" w:type="dxa"/>
            <w:noWrap w:val="0"/>
            <w:vAlign w:val="center"/>
          </w:tcPr>
          <w:p w14:paraId="4005A33F">
            <w:pPr>
              <w:spacing w:line="240" w:lineRule="atLeast"/>
              <w:jc w:val="center"/>
              <w:rPr>
                <w:rFonts w:hint="eastAsia" w:ascii="方正仿宋_GBK" w:hAnsi="方正仿宋_GBK" w:eastAsia="方正仿宋_GBK" w:cs="方正仿宋_GBK"/>
                <w:sz w:val="21"/>
                <w:szCs w:val="21"/>
              </w:rPr>
            </w:pPr>
          </w:p>
        </w:tc>
      </w:tr>
      <w:tr w14:paraId="00E5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4B3CCA9B">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合计人民币（小写）：</w:t>
            </w:r>
          </w:p>
        </w:tc>
      </w:tr>
      <w:tr w14:paraId="0194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341B5F58">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合计人民币（大写）：</w:t>
            </w:r>
          </w:p>
        </w:tc>
      </w:tr>
      <w:tr w14:paraId="354F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noWrap w:val="0"/>
            <w:vAlign w:val="top"/>
          </w:tcPr>
          <w:p w14:paraId="15C0C846">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一、质量要求和技术标准。供方提供的商品必须是全新的，完全符合国家有关技术标准，供方的质量保证及售后服务承诺如下：</w:t>
            </w:r>
          </w:p>
          <w:p w14:paraId="30740E87">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1、质保期限：</w:t>
            </w:r>
          </w:p>
          <w:p w14:paraId="0CB5BE79">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2、保修范围：</w:t>
            </w:r>
          </w:p>
          <w:p w14:paraId="6A200D71">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3、服务措施：</w:t>
            </w:r>
          </w:p>
          <w:p w14:paraId="00570BC2">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4、质保期后服务：</w:t>
            </w:r>
          </w:p>
        </w:tc>
      </w:tr>
      <w:tr w14:paraId="2DE3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186" w:hRule="atLeast"/>
        </w:trPr>
        <w:tc>
          <w:tcPr>
            <w:tcW w:w="9613" w:type="dxa"/>
            <w:gridSpan w:val="7"/>
            <w:noWrap w:val="0"/>
            <w:vAlign w:val="top"/>
          </w:tcPr>
          <w:p w14:paraId="7A3E5402">
            <w:pPr>
              <w:numPr>
                <w:ilvl w:val="0"/>
                <w:numId w:val="0"/>
              </w:numPr>
              <w:spacing w:line="240" w:lineRule="atLeast"/>
              <w:rPr>
                <w:rFonts w:hint="eastAsia"/>
              </w:rPr>
            </w:pPr>
            <w:r>
              <w:rPr>
                <w:rFonts w:hint="eastAsia" w:ascii="方正仿宋_GBK" w:hAnsi="方正仿宋_GBK" w:eastAsia="方正仿宋_GBK" w:cs="方正仿宋_GBK"/>
                <w:kern w:val="2"/>
                <w:sz w:val="21"/>
                <w:szCs w:val="21"/>
                <w:lang w:val="en-US" w:eastAsia="zh-CN" w:bidi="ar-SA"/>
              </w:rPr>
              <w:t>二、</w:t>
            </w:r>
            <w:r>
              <w:rPr>
                <w:rFonts w:hint="eastAsia" w:ascii="方正仿宋_GBK" w:hAnsi="方正仿宋_GBK" w:eastAsia="方正仿宋_GBK" w:cs="方正仿宋_GBK"/>
                <w:sz w:val="21"/>
                <w:szCs w:val="21"/>
              </w:rPr>
              <w:t>随机备品、附件、工具数量及供应方法：</w:t>
            </w:r>
          </w:p>
        </w:tc>
      </w:tr>
      <w:tr w14:paraId="26A2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96" w:hRule="atLeast"/>
        </w:trPr>
        <w:tc>
          <w:tcPr>
            <w:tcW w:w="9613" w:type="dxa"/>
            <w:gridSpan w:val="7"/>
            <w:noWrap w:val="0"/>
            <w:vAlign w:val="top"/>
          </w:tcPr>
          <w:p w14:paraId="48657BB4">
            <w:pPr>
              <w:numPr>
                <w:ilvl w:val="0"/>
                <w:numId w:val="0"/>
              </w:numPr>
              <w:spacing w:line="240" w:lineRule="atLeast"/>
              <w:rPr>
                <w:rFonts w:hint="eastAsia"/>
              </w:rPr>
            </w:pPr>
            <w:r>
              <w:rPr>
                <w:rFonts w:hint="eastAsia" w:ascii="方正仿宋_GBK" w:hAnsi="方正仿宋_GBK" w:eastAsia="方正仿宋_GBK" w:cs="方正仿宋_GBK"/>
                <w:sz w:val="21"/>
                <w:szCs w:val="21"/>
                <w:lang w:val="en-US" w:eastAsia="zh-CN"/>
              </w:rPr>
              <w:t>三、</w:t>
            </w:r>
            <w:r>
              <w:rPr>
                <w:rFonts w:hint="eastAsia" w:ascii="方正仿宋_GBK" w:hAnsi="方正仿宋_GBK" w:eastAsia="方正仿宋_GBK" w:cs="方正仿宋_GBK"/>
                <w:sz w:val="21"/>
                <w:szCs w:val="21"/>
              </w:rPr>
              <w:t>交提货方式：</w:t>
            </w:r>
          </w:p>
        </w:tc>
      </w:tr>
      <w:tr w14:paraId="7B10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628" w:type="dxa"/>
            <w:gridSpan w:val="8"/>
            <w:noWrap w:val="0"/>
            <w:vAlign w:val="top"/>
          </w:tcPr>
          <w:p w14:paraId="5CFD7C0A">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四、验收标准、方法：</w:t>
            </w:r>
          </w:p>
          <w:p w14:paraId="5459963B">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如有异议，请于      日内提出。</w:t>
            </w:r>
          </w:p>
        </w:tc>
      </w:tr>
      <w:tr w14:paraId="5404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628" w:type="dxa"/>
            <w:gridSpan w:val="8"/>
            <w:noWrap w:val="0"/>
            <w:vAlign w:val="top"/>
          </w:tcPr>
          <w:p w14:paraId="0184EF4C">
            <w:pPr>
              <w:spacing w:line="240" w:lineRule="atLeast"/>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rPr>
              <w:t>五、付款方式：</w:t>
            </w:r>
          </w:p>
        </w:tc>
      </w:tr>
      <w:tr w14:paraId="68CB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761C4ACD">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六、违约责任：</w:t>
            </w:r>
          </w:p>
          <w:p w14:paraId="58CD67C0">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按《中华人民共和国民法典》、《中华人民共和国政府采购法》执行，或按双方约定。</w:t>
            </w:r>
          </w:p>
        </w:tc>
      </w:tr>
      <w:tr w14:paraId="3351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758C3556">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七、其他约定事项：</w:t>
            </w:r>
          </w:p>
          <w:p w14:paraId="5CEAB07F">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r>
              <w:rPr>
                <w:rFonts w:hint="eastAsia" w:ascii="方正仿宋_GBK" w:hAnsi="方正仿宋_GBK" w:eastAsia="方正仿宋_GBK" w:cs="方正仿宋_GBK"/>
                <w:sz w:val="21"/>
                <w:szCs w:val="21"/>
                <w:lang w:val="en-US" w:eastAsia="zh-CN"/>
              </w:rPr>
              <w:t>采购</w:t>
            </w:r>
            <w:r>
              <w:rPr>
                <w:rFonts w:hint="eastAsia" w:ascii="方正仿宋_GBK" w:hAnsi="方正仿宋_GBK" w:eastAsia="方正仿宋_GBK" w:cs="方正仿宋_GBK"/>
                <w:sz w:val="21"/>
                <w:szCs w:val="21"/>
              </w:rPr>
              <w:t>文件及其澄清文件、投标文件和承诺是本合同不可分割的部分。</w:t>
            </w:r>
          </w:p>
          <w:p w14:paraId="1683A946">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2.本合同如发生争议由双方协商解决，协商不成向需方所在地仲裁机构提请仲裁。</w:t>
            </w:r>
          </w:p>
          <w:p w14:paraId="7832520F">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3.本合同一式__份， 需方__份，供方__份，具备同等法律效力。</w:t>
            </w:r>
          </w:p>
          <w:p w14:paraId="0FABBF30">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4.其他：</w:t>
            </w:r>
          </w:p>
        </w:tc>
      </w:tr>
      <w:tr w14:paraId="5F85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noWrap w:val="0"/>
            <w:vAlign w:val="top"/>
          </w:tcPr>
          <w:p w14:paraId="2C4C115E">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需方：</w:t>
            </w:r>
          </w:p>
          <w:p w14:paraId="5D6BA71B">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地址：</w:t>
            </w:r>
          </w:p>
          <w:p w14:paraId="3507F700">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联系电话：</w:t>
            </w:r>
          </w:p>
          <w:p w14:paraId="34153C9D">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授权代表：</w:t>
            </w:r>
          </w:p>
        </w:tc>
        <w:tc>
          <w:tcPr>
            <w:tcW w:w="4984" w:type="dxa"/>
            <w:gridSpan w:val="5"/>
            <w:noWrap w:val="0"/>
            <w:vAlign w:val="top"/>
          </w:tcPr>
          <w:p w14:paraId="062BD0C7">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供方：</w:t>
            </w:r>
          </w:p>
          <w:p w14:paraId="4EE34508">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地址：</w:t>
            </w:r>
          </w:p>
          <w:p w14:paraId="3D20A36A">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电话：</w:t>
            </w:r>
          </w:p>
          <w:p w14:paraId="4105B71A">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传真：</w:t>
            </w:r>
          </w:p>
          <w:p w14:paraId="5CFFEBC2">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开户银行：</w:t>
            </w:r>
          </w:p>
          <w:p w14:paraId="26896EA7">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账号：</w:t>
            </w:r>
          </w:p>
          <w:p w14:paraId="56BB6748">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授权代表：</w:t>
            </w:r>
          </w:p>
          <w:p w14:paraId="6EE8E42E">
            <w:pPr>
              <w:widowControl/>
              <w:spacing w:line="240" w:lineRule="atLeast"/>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（本栏请用计算机打印以便于准确付款）</w:t>
            </w:r>
          </w:p>
        </w:tc>
      </w:tr>
      <w:tr w14:paraId="4853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628" w:type="dxa"/>
            <w:gridSpan w:val="8"/>
            <w:noWrap w:val="0"/>
            <w:vAlign w:val="top"/>
          </w:tcPr>
          <w:p w14:paraId="0C852157">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备注：</w:t>
            </w:r>
          </w:p>
        </w:tc>
      </w:tr>
    </w:tbl>
    <w:p w14:paraId="3D6474CF">
      <w:pPr>
        <w:snapToGrid w:val="0"/>
        <w:spacing w:line="400" w:lineRule="exact"/>
        <w:ind w:firstLine="540"/>
        <w:rPr>
          <w:rFonts w:hint="eastAsia" w:ascii="方正仿宋_GBK" w:hAnsi="方正仿宋_GBK" w:eastAsia="方正仿宋_GBK" w:cs="方正仿宋_GBK"/>
        </w:rPr>
      </w:pPr>
      <w:r>
        <w:rPr>
          <w:rFonts w:hint="eastAsia" w:ascii="方正仿宋_GBK" w:hAnsi="方正仿宋_GBK" w:eastAsia="方正仿宋_GBK" w:cs="方正仿宋_GBK"/>
          <w:sz w:val="24"/>
          <w:szCs w:val="24"/>
        </w:rPr>
        <w:t>签约时间：  年   月   日                        签约地点：</w:t>
      </w:r>
    </w:p>
    <w:p w14:paraId="51E2CD05">
      <w:pPr>
        <w:keepNext w:val="0"/>
        <w:keepLines w:val="0"/>
        <w:pageBreakBefore w:val="0"/>
        <w:kinsoku/>
        <w:wordWrap/>
        <w:overflowPunct/>
        <w:topLinePunct w:val="0"/>
        <w:autoSpaceDE/>
        <w:autoSpaceDN/>
        <w:bidi w:val="0"/>
        <w:adjustRightInd/>
        <w:snapToGrid/>
        <w:spacing w:line="500" w:lineRule="exact"/>
        <w:ind w:firstLine="720" w:firstLineChars="200"/>
        <w:jc w:val="center"/>
        <w:textAlignment w:val="auto"/>
        <w:rPr>
          <w:rFonts w:hint="eastAsia" w:ascii="方正小标宋_GBK" w:hAnsi="方正小标宋_GBK" w:eastAsia="方正小标宋_GBK" w:cs="方正小标宋_GBK"/>
          <w:sz w:val="36"/>
          <w:szCs w:val="36"/>
        </w:rPr>
      </w:pPr>
    </w:p>
    <w:p w14:paraId="1337A18A">
      <w:pPr>
        <w:pStyle w:val="3"/>
        <w:bidi w:val="0"/>
        <w:rPr>
          <w:rFonts w:hint="default"/>
        </w:rPr>
      </w:pPr>
      <w:bookmarkStart w:id="109" w:name="_Toc9958"/>
      <w:bookmarkStart w:id="110" w:name="_Toc27282"/>
      <w:r>
        <w:rPr>
          <w:rFonts w:hint="default"/>
        </w:rPr>
        <w:t>第七篇 响应文件格式</w:t>
      </w:r>
      <w:bookmarkEnd w:id="109"/>
      <w:bookmarkEnd w:id="110"/>
      <w:r>
        <w:rPr>
          <w:rFonts w:hint="default"/>
        </w:rPr>
        <w:t xml:space="preserve">           </w:t>
      </w:r>
    </w:p>
    <w:p w14:paraId="16737B81">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一、经济部分</w:t>
      </w:r>
    </w:p>
    <w:p w14:paraId="7CF20F1A">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（一）报价函</w:t>
      </w:r>
    </w:p>
    <w:p w14:paraId="6EB65A20">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（二）明细报价表</w:t>
      </w:r>
    </w:p>
    <w:p w14:paraId="69A8EB07">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二、技术部分</w:t>
      </w:r>
    </w:p>
    <w:p w14:paraId="483BFF82">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（一）技术响应偏离表</w:t>
      </w:r>
    </w:p>
    <w:p w14:paraId="57B7A4AE">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（二）其他资料（格式自定）</w:t>
      </w:r>
    </w:p>
    <w:p w14:paraId="3C05ACBA">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三、商务部分</w:t>
      </w:r>
    </w:p>
    <w:p w14:paraId="1B2715F8">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（一）商务响应偏离表</w:t>
      </w:r>
    </w:p>
    <w:p w14:paraId="7E75BA60">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（二）其它优惠服务承诺（格式自定）</w:t>
      </w:r>
    </w:p>
    <w:p w14:paraId="4F3FC370">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四、资格条件及其他</w:t>
      </w:r>
    </w:p>
    <w:p w14:paraId="07896939">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（一）法人营业执照（副本）或事业单位法人证书（副本）或个体工商户营业执照或有效的自然人身份证明或社会团体法人登记证书复印件</w:t>
      </w:r>
    </w:p>
    <w:p w14:paraId="2513F0CA">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（二）法定代表人身份证明书（格式）</w:t>
      </w:r>
    </w:p>
    <w:p w14:paraId="2A177879">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（三）法定代表人授权委托书（格式）</w:t>
      </w:r>
    </w:p>
    <w:p w14:paraId="244BEF86">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（四）基本资格条件承诺函（格式）</w:t>
      </w:r>
    </w:p>
    <w:p w14:paraId="3B025B1F">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（五）特定资格条件证书或证明文件（如果有）</w:t>
      </w:r>
    </w:p>
    <w:p w14:paraId="4357FAF5">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五、其他资料</w:t>
      </w:r>
    </w:p>
    <w:p w14:paraId="6B326024">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（一）生产厂家授权委托书</w:t>
      </w:r>
    </w:p>
    <w:p w14:paraId="26C88FAE">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方正仿宋_GBK" w:hAnsi="方正仿宋_GBK" w:eastAsia="方正仿宋_GBK" w:cs="方正仿宋_GBK"/>
          <w:sz w:val="28"/>
          <w:szCs w:val="28"/>
          <w:bdr w:val="single" w:color="auto" w:sz="4" w:space="0"/>
        </w:rPr>
      </w:pPr>
    </w:p>
    <w:p w14:paraId="36F942E8">
      <w:pPr>
        <w:pStyle w:val="2"/>
        <w:rPr>
          <w:rFonts w:hint="eastAsia" w:ascii="方正仿宋_GBK" w:hAnsi="方正仿宋_GBK" w:eastAsia="方正仿宋_GBK" w:cs="方正仿宋_GBK"/>
          <w:sz w:val="28"/>
          <w:szCs w:val="28"/>
          <w:bdr w:val="single" w:color="auto" w:sz="4" w:space="0"/>
        </w:rPr>
      </w:pPr>
    </w:p>
    <w:p w14:paraId="6DA439D8">
      <w:pPr>
        <w:rPr>
          <w:rFonts w:hint="eastAsia" w:ascii="方正仿宋_GBK" w:hAnsi="方正仿宋_GBK" w:eastAsia="方正仿宋_GBK" w:cs="方正仿宋_GBK"/>
          <w:sz w:val="28"/>
          <w:szCs w:val="28"/>
        </w:rPr>
      </w:pPr>
      <w:bookmarkStart w:id="111" w:name="_Toc313008356"/>
      <w:bookmarkStart w:id="112" w:name="_Toc27355"/>
      <w:bookmarkStart w:id="113" w:name="_Toc12448"/>
      <w:bookmarkStart w:id="114" w:name="_Toc76462350"/>
      <w:bookmarkStart w:id="115" w:name="_Toc7006"/>
      <w:bookmarkStart w:id="116" w:name="_Toc7847"/>
      <w:bookmarkStart w:id="117" w:name="_Toc19000"/>
      <w:bookmarkStart w:id="118" w:name="_Toc313888360"/>
      <w:bookmarkStart w:id="119" w:name="_Toc15733"/>
      <w:bookmarkStart w:id="120" w:name="_Toc24403"/>
      <w:bookmarkStart w:id="121" w:name="_Toc106030906"/>
      <w:bookmarkStart w:id="122" w:name="_Toc342913419"/>
      <w:bookmarkStart w:id="123" w:name="_Toc283382454"/>
      <w:bookmarkStart w:id="124" w:name="_Toc12789073"/>
      <w:r>
        <w:rPr>
          <w:rFonts w:hint="eastAsia" w:ascii="方正仿宋_GBK" w:hAnsi="方正仿宋_GBK" w:eastAsia="方正仿宋_GBK" w:cs="方正仿宋_GBK"/>
          <w:sz w:val="28"/>
          <w:szCs w:val="28"/>
        </w:rPr>
        <w:br w:type="page"/>
      </w:r>
    </w:p>
    <w:p w14:paraId="14DEDA20">
      <w:pPr>
        <w:pStyle w:val="4"/>
        <w:pageBreakBefore w:val="0"/>
        <w:widowControl w:val="0"/>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一、经济部分</w:t>
      </w:r>
      <w:bookmarkEnd w:id="111"/>
      <w:bookmarkEnd w:id="112"/>
      <w:bookmarkEnd w:id="113"/>
      <w:bookmarkEnd w:id="114"/>
      <w:bookmarkEnd w:id="115"/>
      <w:bookmarkEnd w:id="116"/>
      <w:bookmarkEnd w:id="117"/>
      <w:bookmarkEnd w:id="118"/>
      <w:bookmarkEnd w:id="119"/>
      <w:bookmarkEnd w:id="120"/>
      <w:bookmarkEnd w:id="121"/>
      <w:bookmarkEnd w:id="122"/>
    </w:p>
    <w:bookmarkEnd w:id="123"/>
    <w:bookmarkEnd w:id="124"/>
    <w:p w14:paraId="4C4BF716">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（一）报价函</w:t>
      </w:r>
    </w:p>
    <w:p w14:paraId="0C004A3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报价函</w:t>
      </w:r>
    </w:p>
    <w:p w14:paraId="17D73224">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（采购人名称）</w:t>
      </w:r>
      <w:r>
        <w:rPr>
          <w:rFonts w:hint="eastAsia" w:ascii="方正仿宋_GBK" w:hAnsi="方正仿宋_GBK" w:eastAsia="方正仿宋_GBK" w:cs="方正仿宋_GBK"/>
          <w:sz w:val="28"/>
          <w:szCs w:val="28"/>
        </w:rPr>
        <w:t>：</w:t>
      </w:r>
    </w:p>
    <w:p w14:paraId="68C94AA4">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我方收到_________________（项目名称）的</w:t>
      </w:r>
      <w:r>
        <w:rPr>
          <w:rFonts w:hint="eastAsia" w:ascii="方正仿宋_GBK" w:hAnsi="方正仿宋_GBK" w:eastAsia="方正仿宋_GBK" w:cs="方正仿宋_GBK"/>
          <w:sz w:val="28"/>
          <w:szCs w:val="28"/>
          <w:lang w:val="en-US" w:eastAsia="zh-CN"/>
        </w:rPr>
        <w:t>采购</w:t>
      </w:r>
      <w:r>
        <w:rPr>
          <w:rFonts w:hint="eastAsia" w:ascii="方正仿宋_GBK" w:hAnsi="方正仿宋_GBK" w:eastAsia="方正仿宋_GBK" w:cs="方正仿宋_GBK"/>
          <w:sz w:val="28"/>
          <w:szCs w:val="28"/>
        </w:rPr>
        <w:t>文件，经详细研究，决定参加该项目</w:t>
      </w:r>
      <w:r>
        <w:rPr>
          <w:rFonts w:hint="eastAsia" w:ascii="方正仿宋_GBK" w:hAnsi="方正仿宋_GBK" w:eastAsia="方正仿宋_GBK" w:cs="方正仿宋_GBK"/>
          <w:sz w:val="28"/>
          <w:szCs w:val="28"/>
          <w:lang w:val="en-US" w:eastAsia="zh-CN"/>
        </w:rPr>
        <w:t>报价</w:t>
      </w:r>
      <w:r>
        <w:rPr>
          <w:rFonts w:hint="eastAsia" w:ascii="方正仿宋_GBK" w:hAnsi="方正仿宋_GBK" w:eastAsia="方正仿宋_GBK" w:cs="方正仿宋_GBK"/>
          <w:sz w:val="28"/>
          <w:szCs w:val="28"/>
        </w:rPr>
        <w:t>。</w:t>
      </w:r>
    </w:p>
    <w:p w14:paraId="5DFCD991">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1.愿意按照</w:t>
      </w:r>
      <w:r>
        <w:rPr>
          <w:rFonts w:hint="eastAsia" w:ascii="方正仿宋_GBK" w:hAnsi="方正仿宋_GBK" w:eastAsia="方正仿宋_GBK" w:cs="方正仿宋_GBK"/>
          <w:sz w:val="28"/>
          <w:szCs w:val="28"/>
          <w:lang w:eastAsia="zh-CN"/>
        </w:rPr>
        <w:t>采购</w:t>
      </w:r>
      <w:r>
        <w:rPr>
          <w:rFonts w:hint="eastAsia" w:ascii="方正仿宋_GBK" w:hAnsi="方正仿宋_GBK" w:eastAsia="方正仿宋_GBK" w:cs="方正仿宋_GBK"/>
          <w:sz w:val="28"/>
          <w:szCs w:val="28"/>
        </w:rPr>
        <w:t>文件中的一切要求，提供本项目的供货及服务，报价大写为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，报价小写为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p>
    <w:p w14:paraId="563786FC">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2.我方现提交的响应文件为：响应文件正本</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份，副本</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w:t>
      </w:r>
    </w:p>
    <w:p w14:paraId="2211808D">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3.我方承诺：本次</w:t>
      </w:r>
      <w:r>
        <w:rPr>
          <w:rFonts w:hint="eastAsia" w:ascii="方正仿宋_GBK" w:hAnsi="方正仿宋_GBK" w:eastAsia="方正仿宋_GBK" w:cs="方正仿宋_GBK"/>
          <w:sz w:val="28"/>
          <w:szCs w:val="28"/>
          <w:lang w:val="en-US" w:eastAsia="zh-CN"/>
        </w:rPr>
        <w:t>响应</w:t>
      </w:r>
      <w:r>
        <w:rPr>
          <w:rFonts w:hint="eastAsia" w:ascii="方正仿宋_GBK" w:hAnsi="方正仿宋_GBK" w:eastAsia="方正仿宋_GBK" w:cs="方正仿宋_GBK"/>
          <w:sz w:val="28"/>
          <w:szCs w:val="28"/>
        </w:rPr>
        <w:t>的有效期为提交响应文件截止时间起90天。</w:t>
      </w:r>
    </w:p>
    <w:p w14:paraId="69ECB39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4.我方完全理解和接受贵方</w:t>
      </w:r>
      <w:r>
        <w:rPr>
          <w:rFonts w:hint="eastAsia" w:ascii="方正仿宋_GBK" w:hAnsi="方正仿宋_GBK" w:eastAsia="方正仿宋_GBK" w:cs="方正仿宋_GBK"/>
          <w:sz w:val="28"/>
          <w:szCs w:val="28"/>
          <w:lang w:eastAsia="zh-CN"/>
        </w:rPr>
        <w:t>采购</w:t>
      </w:r>
      <w:r>
        <w:rPr>
          <w:rFonts w:hint="eastAsia" w:ascii="方正仿宋_GBK" w:hAnsi="方正仿宋_GBK" w:eastAsia="方正仿宋_GBK" w:cs="方正仿宋_GBK"/>
          <w:sz w:val="28"/>
          <w:szCs w:val="28"/>
        </w:rPr>
        <w:t>文件的一切规定和要求及评审办法。</w:t>
      </w:r>
    </w:p>
    <w:p w14:paraId="359AD356">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5.在整个</w:t>
      </w:r>
      <w:r>
        <w:rPr>
          <w:rFonts w:hint="eastAsia" w:ascii="方正仿宋_GBK" w:hAnsi="方正仿宋_GBK" w:eastAsia="方正仿宋_GBK" w:cs="方正仿宋_GBK"/>
          <w:sz w:val="28"/>
          <w:szCs w:val="28"/>
          <w:lang w:eastAsia="zh-CN"/>
        </w:rPr>
        <w:t>采购</w:t>
      </w:r>
      <w:r>
        <w:rPr>
          <w:rFonts w:hint="eastAsia" w:ascii="方正仿宋_GBK" w:hAnsi="方正仿宋_GBK" w:eastAsia="方正仿宋_GBK" w:cs="方正仿宋_GBK"/>
          <w:sz w:val="28"/>
          <w:szCs w:val="28"/>
        </w:rPr>
        <w:t>过程中，我方若有违规行为，接受按照《中华人民共和国政府采购法》和《</w:t>
      </w:r>
      <w:r>
        <w:rPr>
          <w:rFonts w:hint="eastAsia" w:ascii="方正仿宋_GBK" w:hAnsi="方正仿宋_GBK" w:eastAsia="方正仿宋_GBK" w:cs="方正仿宋_GBK"/>
          <w:sz w:val="28"/>
          <w:szCs w:val="28"/>
          <w:lang w:eastAsia="zh-CN"/>
        </w:rPr>
        <w:t>采购</w:t>
      </w:r>
      <w:r>
        <w:rPr>
          <w:rFonts w:hint="eastAsia" w:ascii="方正仿宋_GBK" w:hAnsi="方正仿宋_GBK" w:eastAsia="方正仿宋_GBK" w:cs="方正仿宋_GBK"/>
          <w:sz w:val="28"/>
          <w:szCs w:val="28"/>
        </w:rPr>
        <w:t>文件》之规定给予惩罚。</w:t>
      </w:r>
    </w:p>
    <w:p w14:paraId="454D5A4B">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6.我方若成为成交供应商，严格履行合同义务。本承诺函将成为合同不可分割的一部分，具有法律效力。</w:t>
      </w:r>
    </w:p>
    <w:p w14:paraId="7572566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7.我方未为采购项目提供整体设计、规范编制或者项目管理、监理、检测等服务。</w:t>
      </w:r>
    </w:p>
    <w:p w14:paraId="2207409B">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供应商（公章）或自然人签署：</w:t>
      </w:r>
    </w:p>
    <w:p w14:paraId="18241FA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地址：  </w:t>
      </w:r>
    </w:p>
    <w:p w14:paraId="26DFEE0F">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                                             传真：</w:t>
      </w:r>
    </w:p>
    <w:p w14:paraId="0057E16B">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网址：                                             邮编：</w:t>
      </w:r>
    </w:p>
    <w:p w14:paraId="1DBFA85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w:t>
      </w:r>
    </w:p>
    <w:p w14:paraId="1F5CF3BC">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sectPr>
          <w:footerReference r:id="rId6" w:type="default"/>
          <w:pgSz w:w="11905" w:h="16838"/>
          <w:pgMar w:top="1701" w:right="1531" w:bottom="1701" w:left="1531" w:header="851" w:footer="992" w:gutter="0"/>
          <w:pgNumType w:fmt="decimal"/>
          <w:cols w:space="0" w:num="1"/>
          <w:rtlGutter w:val="0"/>
          <w:docGrid w:linePitch="380" w:charSpace="0"/>
        </w:sectPr>
      </w:pPr>
      <w:r>
        <w:rPr>
          <w:rFonts w:hint="eastAsia" w:ascii="方正仿宋_GBK" w:hAnsi="方正仿宋_GBK" w:eastAsia="方正仿宋_GBK" w:cs="方正仿宋_GBK"/>
          <w:sz w:val="28"/>
          <w:szCs w:val="28"/>
        </w:rPr>
        <w:t xml:space="preserve">                                             年   月   日</w:t>
      </w:r>
    </w:p>
    <w:p w14:paraId="5156A31F">
      <w:pPr>
        <w:pageBreakBefore w:val="0"/>
        <w:widowControl w:val="0"/>
        <w:kinsoku/>
        <w:wordWrap/>
        <w:overflowPunct/>
        <w:topLinePunct w:val="0"/>
        <w:autoSpaceDE/>
        <w:autoSpaceDN/>
        <w:bidi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（二）明细报价表</w:t>
      </w:r>
    </w:p>
    <w:p w14:paraId="027B4A8F">
      <w:pPr>
        <w:pageBreakBefore w:val="0"/>
        <w:widowControl w:val="0"/>
        <w:kinsoku/>
        <w:wordWrap/>
        <w:overflowPunct/>
        <w:topLinePunct w:val="0"/>
        <w:autoSpaceDE/>
        <w:autoSpaceDN/>
        <w:bidi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440"/>
        <w:gridCol w:w="1890"/>
        <w:gridCol w:w="1155"/>
        <w:gridCol w:w="1410"/>
        <w:gridCol w:w="1425"/>
      </w:tblGrid>
      <w:tr w14:paraId="1971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983" w:type="dxa"/>
            <w:noWrap w:val="0"/>
            <w:vAlign w:val="center"/>
          </w:tcPr>
          <w:p w14:paraId="1ACCD057">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序号</w:t>
            </w:r>
          </w:p>
        </w:tc>
        <w:tc>
          <w:tcPr>
            <w:tcW w:w="1440" w:type="dxa"/>
            <w:noWrap w:val="0"/>
            <w:vAlign w:val="center"/>
          </w:tcPr>
          <w:p w14:paraId="563E106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名称</w:t>
            </w:r>
          </w:p>
        </w:tc>
        <w:tc>
          <w:tcPr>
            <w:tcW w:w="1890" w:type="dxa"/>
            <w:noWrap w:val="0"/>
            <w:vAlign w:val="center"/>
          </w:tcPr>
          <w:p w14:paraId="4C6825C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具体内容</w:t>
            </w:r>
          </w:p>
        </w:tc>
        <w:tc>
          <w:tcPr>
            <w:tcW w:w="1155" w:type="dxa"/>
            <w:noWrap w:val="0"/>
            <w:vAlign w:val="center"/>
          </w:tcPr>
          <w:p w14:paraId="39308B8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数量</w:t>
            </w:r>
          </w:p>
        </w:tc>
        <w:tc>
          <w:tcPr>
            <w:tcW w:w="1410" w:type="dxa"/>
            <w:noWrap w:val="0"/>
            <w:vAlign w:val="center"/>
          </w:tcPr>
          <w:p w14:paraId="659FF8C6">
            <w:pPr>
              <w:pStyle w:val="10"/>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单价</w:t>
            </w:r>
          </w:p>
          <w:p w14:paraId="1ECF13E0">
            <w:pPr>
              <w:pStyle w:val="10"/>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w:t>
            </w:r>
          </w:p>
        </w:tc>
        <w:tc>
          <w:tcPr>
            <w:tcW w:w="1425" w:type="dxa"/>
            <w:noWrap w:val="0"/>
            <w:vAlign w:val="center"/>
          </w:tcPr>
          <w:p w14:paraId="6248E14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合计</w:t>
            </w:r>
          </w:p>
          <w:p w14:paraId="5B576F4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w:t>
            </w:r>
          </w:p>
        </w:tc>
      </w:tr>
      <w:tr w14:paraId="6D2B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83" w:type="dxa"/>
            <w:tcBorders>
              <w:bottom w:val="single" w:color="auto" w:sz="4" w:space="0"/>
            </w:tcBorders>
            <w:noWrap w:val="0"/>
            <w:vAlign w:val="center"/>
          </w:tcPr>
          <w:p w14:paraId="21A1020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tcBorders>
              <w:bottom w:val="single" w:color="auto" w:sz="4" w:space="0"/>
            </w:tcBorders>
            <w:noWrap w:val="0"/>
            <w:vAlign w:val="center"/>
          </w:tcPr>
          <w:p w14:paraId="088C84F2">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tcBorders>
              <w:bottom w:val="single" w:color="auto" w:sz="4" w:space="0"/>
            </w:tcBorders>
            <w:noWrap w:val="0"/>
            <w:vAlign w:val="center"/>
          </w:tcPr>
          <w:p w14:paraId="6C2DC2DC">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tcBorders>
              <w:bottom w:val="single" w:color="auto" w:sz="4" w:space="0"/>
            </w:tcBorders>
            <w:noWrap w:val="0"/>
            <w:vAlign w:val="center"/>
          </w:tcPr>
          <w:p w14:paraId="6547178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tcBorders>
              <w:bottom w:val="single" w:color="auto" w:sz="4" w:space="0"/>
            </w:tcBorders>
            <w:noWrap w:val="0"/>
            <w:vAlign w:val="center"/>
          </w:tcPr>
          <w:p w14:paraId="3668B647">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tcBorders>
              <w:bottom w:val="single" w:color="auto" w:sz="4" w:space="0"/>
            </w:tcBorders>
            <w:noWrap w:val="0"/>
            <w:vAlign w:val="center"/>
          </w:tcPr>
          <w:p w14:paraId="19A1947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37D8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83" w:type="dxa"/>
            <w:noWrap w:val="0"/>
            <w:vAlign w:val="center"/>
          </w:tcPr>
          <w:p w14:paraId="35DAD1E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29CE991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45F64FE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19DBC0E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363004A7">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6D16798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259A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83" w:type="dxa"/>
            <w:noWrap w:val="0"/>
            <w:vAlign w:val="center"/>
          </w:tcPr>
          <w:p w14:paraId="381D8A4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1051F9C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4128EFB8">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250B6A28">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293EC37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1AE56BE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3AC8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983" w:type="dxa"/>
            <w:tcBorders>
              <w:bottom w:val="single" w:color="auto" w:sz="4" w:space="0"/>
            </w:tcBorders>
            <w:noWrap w:val="0"/>
            <w:vAlign w:val="center"/>
          </w:tcPr>
          <w:p w14:paraId="04A00B1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tcBorders>
              <w:bottom w:val="single" w:color="auto" w:sz="4" w:space="0"/>
            </w:tcBorders>
            <w:noWrap w:val="0"/>
            <w:vAlign w:val="center"/>
          </w:tcPr>
          <w:p w14:paraId="7DA8319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tcBorders>
              <w:bottom w:val="single" w:color="auto" w:sz="4" w:space="0"/>
            </w:tcBorders>
            <w:noWrap w:val="0"/>
            <w:vAlign w:val="center"/>
          </w:tcPr>
          <w:p w14:paraId="279E03B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tcBorders>
              <w:bottom w:val="single" w:color="auto" w:sz="4" w:space="0"/>
            </w:tcBorders>
            <w:noWrap w:val="0"/>
            <w:vAlign w:val="center"/>
          </w:tcPr>
          <w:p w14:paraId="2A648E01">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tcBorders>
              <w:bottom w:val="single" w:color="auto" w:sz="4" w:space="0"/>
            </w:tcBorders>
            <w:noWrap w:val="0"/>
            <w:vAlign w:val="center"/>
          </w:tcPr>
          <w:p w14:paraId="1CBC75F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tcBorders>
              <w:bottom w:val="single" w:color="auto" w:sz="4" w:space="0"/>
            </w:tcBorders>
            <w:noWrap w:val="0"/>
            <w:vAlign w:val="center"/>
          </w:tcPr>
          <w:p w14:paraId="5135DFD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3931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983" w:type="dxa"/>
            <w:noWrap w:val="0"/>
            <w:vAlign w:val="center"/>
          </w:tcPr>
          <w:p w14:paraId="5024714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0CBE589E">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p w14:paraId="172F793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543BCA2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0915C205">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4F2F00C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1049B58C">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7BEE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983" w:type="dxa"/>
            <w:noWrap w:val="0"/>
            <w:vAlign w:val="center"/>
          </w:tcPr>
          <w:p w14:paraId="6BC58DD8">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437AC74E">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490E454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54892CF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7800E96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42CDDD87">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2078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983" w:type="dxa"/>
            <w:noWrap w:val="0"/>
            <w:vAlign w:val="center"/>
          </w:tcPr>
          <w:p w14:paraId="7515F2B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77679E7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7EDE1CE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6545029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25CD007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5B9B930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378F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983" w:type="dxa"/>
            <w:noWrap w:val="0"/>
            <w:vAlign w:val="center"/>
          </w:tcPr>
          <w:p w14:paraId="17950E2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291234F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4970132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15F7E35F">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5640D769">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079B3E4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1E7F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983" w:type="dxa"/>
            <w:noWrap w:val="0"/>
            <w:vAlign w:val="center"/>
          </w:tcPr>
          <w:p w14:paraId="5A48F5B8">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23762B55">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6686EEB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530A0209">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23F9262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22D91CCC">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bl>
    <w:p w14:paraId="3A887FCB">
      <w:pPr>
        <w:pageBreakBefore w:val="0"/>
        <w:widowControl w:val="0"/>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74E95BD9">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注：1.供应商应完整填写本表。</w:t>
      </w:r>
    </w:p>
    <w:p w14:paraId="7140879D">
      <w:pPr>
        <w:pageBreakBefore w:val="0"/>
        <w:widowControl w:val="0"/>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2.该表可扩展</w:t>
      </w:r>
      <w:bookmarkStart w:id="125" w:name="OLE_LINK2"/>
      <w:bookmarkStart w:id="126" w:name="OLE_LINK1"/>
      <w:r>
        <w:rPr>
          <w:rFonts w:hint="eastAsia" w:ascii="方正仿宋_GBK" w:hAnsi="方正仿宋_GBK" w:eastAsia="方正仿宋_GBK" w:cs="方正仿宋_GBK"/>
          <w:sz w:val="28"/>
          <w:szCs w:val="28"/>
        </w:rPr>
        <w:t>。</w:t>
      </w:r>
      <w:bookmarkEnd w:id="125"/>
      <w:bookmarkEnd w:id="126"/>
    </w:p>
    <w:p w14:paraId="67AADBDE">
      <w:pPr>
        <w:pageBreakBefore w:val="0"/>
        <w:widowControl w:val="0"/>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272187BD">
      <w:pPr>
        <w:pStyle w:val="2"/>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1D65589B">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供应商名称（公章）或自然人签署：</w:t>
      </w:r>
    </w:p>
    <w:p w14:paraId="55584BC8">
      <w:pPr>
        <w:pageBreakBefore w:val="0"/>
        <w:widowControl w:val="0"/>
        <w:kinsoku/>
        <w:wordWrap/>
        <w:overflowPunct/>
        <w:topLinePunct w:val="0"/>
        <w:autoSpaceDE/>
        <w:autoSpaceDN/>
        <w:bidi w:val="0"/>
        <w:spacing w:line="500" w:lineRule="exact"/>
        <w:ind w:right="480"/>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2284AE75">
      <w:pPr>
        <w:pageBreakBefore w:val="0"/>
        <w:widowControl w:val="0"/>
        <w:kinsoku/>
        <w:wordWrap/>
        <w:overflowPunct/>
        <w:topLinePunct w:val="0"/>
        <w:autoSpaceDE/>
        <w:autoSpaceDN/>
        <w:bidi w:val="0"/>
        <w:snapToGrid w:val="0"/>
        <w:spacing w:line="500" w:lineRule="exact"/>
        <w:ind w:firstLine="560" w:firstLineChars="200"/>
        <w:jc w:val="right"/>
        <w:textAlignment w:val="auto"/>
        <w:rPr>
          <w:rFonts w:hint="eastAsia" w:ascii="方正仿宋_GBK" w:hAnsi="方正仿宋_GBK" w:eastAsia="方正仿宋_GBK" w:cs="方正仿宋_GBK"/>
          <w:sz w:val="28"/>
          <w:szCs w:val="28"/>
          <w:bdr w:val="single" w:color="auto" w:sz="4" w:space="0"/>
        </w:rPr>
        <w:sectPr>
          <w:pgSz w:w="11905" w:h="16838"/>
          <w:pgMar w:top="1701" w:right="1531" w:bottom="1701" w:left="1531" w:header="851" w:footer="992" w:gutter="0"/>
          <w:pgNumType w:fmt="decimal"/>
          <w:cols w:space="0" w:num="1"/>
          <w:rtlGutter w:val="0"/>
          <w:docGrid w:linePitch="380" w:charSpace="0"/>
        </w:sectPr>
      </w:pPr>
    </w:p>
    <w:p w14:paraId="60591A9C">
      <w:pPr>
        <w:pStyle w:val="4"/>
        <w:pageBreakBefore w:val="0"/>
        <w:widowControl w:val="0"/>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rPr>
      </w:pPr>
      <w:bookmarkStart w:id="127" w:name="_Toc106030907"/>
      <w:bookmarkStart w:id="128" w:name="_Toc27644"/>
      <w:bookmarkStart w:id="129" w:name="_Toc11747"/>
      <w:bookmarkStart w:id="130" w:name="_Toc342913420"/>
      <w:bookmarkStart w:id="131" w:name="_Toc14710"/>
      <w:bookmarkStart w:id="132" w:name="_Toc76462351"/>
      <w:bookmarkStart w:id="133" w:name="_Toc313888361"/>
      <w:bookmarkStart w:id="134" w:name="_Toc313008357"/>
      <w:bookmarkStart w:id="135" w:name="_Toc9964"/>
      <w:bookmarkStart w:id="136" w:name="_Toc10624"/>
      <w:bookmarkStart w:id="137" w:name="_Toc17210"/>
      <w:bookmarkStart w:id="138" w:name="_Toc10383"/>
      <w:r>
        <w:rPr>
          <w:rFonts w:hint="eastAsia" w:ascii="方正仿宋_GBK" w:hAnsi="方正仿宋_GBK" w:eastAsia="方正仿宋_GBK" w:cs="方正仿宋_GBK"/>
          <w:sz w:val="28"/>
          <w:szCs w:val="28"/>
        </w:rPr>
        <w:t>二、</w:t>
      </w:r>
      <w:r>
        <w:rPr>
          <w:rFonts w:hint="eastAsia" w:ascii="方正仿宋_GBK" w:hAnsi="方正仿宋_GBK" w:eastAsia="方正仿宋_GBK" w:cs="方正仿宋_GBK"/>
          <w:sz w:val="28"/>
          <w:szCs w:val="28"/>
          <w:lang w:val="en-US" w:eastAsia="zh-CN"/>
        </w:rPr>
        <w:t>技术</w:t>
      </w:r>
      <w:r>
        <w:rPr>
          <w:rFonts w:hint="eastAsia" w:ascii="方正仿宋_GBK" w:hAnsi="方正仿宋_GBK" w:eastAsia="方正仿宋_GBK" w:cs="方正仿宋_GBK"/>
          <w:sz w:val="28"/>
          <w:szCs w:val="28"/>
        </w:rPr>
        <w:t>部分</w:t>
      </w:r>
      <w:bookmarkEnd w:id="127"/>
      <w:bookmarkEnd w:id="128"/>
      <w:bookmarkEnd w:id="129"/>
      <w:bookmarkEnd w:id="130"/>
      <w:bookmarkEnd w:id="131"/>
      <w:bookmarkEnd w:id="132"/>
      <w:bookmarkEnd w:id="133"/>
      <w:bookmarkEnd w:id="134"/>
      <w:bookmarkEnd w:id="135"/>
      <w:bookmarkEnd w:id="136"/>
      <w:bookmarkEnd w:id="137"/>
      <w:bookmarkEnd w:id="138"/>
    </w:p>
    <w:p w14:paraId="085D556B">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（一）技术响应偏离表                             </w:t>
      </w:r>
    </w:p>
    <w:p w14:paraId="464E7B7D">
      <w:pPr>
        <w:pageBreakBefore w:val="0"/>
        <w:widowControl w:val="0"/>
        <w:kinsoku/>
        <w:wordWrap/>
        <w:overflowPunct/>
        <w:topLinePunct w:val="0"/>
        <w:autoSpaceDE/>
        <w:autoSpaceDN/>
        <w:bidi w:val="0"/>
        <w:spacing w:line="500" w:lineRule="exact"/>
        <w:ind w:firstLine="560" w:firstLineChars="200"/>
        <w:textAlignment w:val="auto"/>
        <w:rPr>
          <w:rFonts w:hint="eastAsia"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项目名称：</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  </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2793"/>
        <w:gridCol w:w="2900"/>
        <w:gridCol w:w="2171"/>
      </w:tblGrid>
      <w:tr w14:paraId="4E3B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60" w:type="pct"/>
            <w:noWrap w:val="0"/>
            <w:vAlign w:val="center"/>
          </w:tcPr>
          <w:p w14:paraId="036F1805">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39" w:name="_Toc8691"/>
            <w:bookmarkStart w:id="140" w:name="_Toc28599"/>
            <w:bookmarkStart w:id="141" w:name="_Toc7016"/>
            <w:bookmarkStart w:id="142" w:name="_Toc4242"/>
            <w:r>
              <w:rPr>
                <w:rFonts w:hint="eastAsia" w:ascii="方正仿宋_GBK" w:hAnsi="方正仿宋_GBK" w:eastAsia="方正仿宋_GBK" w:cs="方正仿宋_GBK"/>
                <w:sz w:val="28"/>
                <w:szCs w:val="28"/>
              </w:rPr>
              <w:t>序号</w:t>
            </w:r>
            <w:bookmarkEnd w:id="139"/>
            <w:bookmarkEnd w:id="140"/>
            <w:bookmarkEnd w:id="141"/>
            <w:bookmarkEnd w:id="142"/>
          </w:p>
        </w:tc>
        <w:tc>
          <w:tcPr>
            <w:tcW w:w="1541" w:type="pct"/>
            <w:noWrap w:val="0"/>
            <w:vAlign w:val="center"/>
          </w:tcPr>
          <w:p w14:paraId="3D44FC63">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43" w:name="_Toc16070"/>
            <w:bookmarkStart w:id="144" w:name="_Toc26221"/>
            <w:bookmarkStart w:id="145" w:name="_Toc16996"/>
            <w:bookmarkStart w:id="146" w:name="_Toc21325"/>
            <w:r>
              <w:rPr>
                <w:rFonts w:hint="eastAsia" w:ascii="方正仿宋_GBK" w:hAnsi="方正仿宋_GBK" w:eastAsia="方正仿宋_GBK" w:cs="方正仿宋_GBK"/>
                <w:sz w:val="28"/>
                <w:szCs w:val="28"/>
              </w:rPr>
              <w:t>采购需求</w:t>
            </w:r>
            <w:bookmarkEnd w:id="143"/>
            <w:bookmarkEnd w:id="144"/>
            <w:bookmarkEnd w:id="145"/>
            <w:bookmarkEnd w:id="146"/>
          </w:p>
        </w:tc>
        <w:tc>
          <w:tcPr>
            <w:tcW w:w="1600" w:type="pct"/>
            <w:noWrap w:val="0"/>
            <w:vAlign w:val="center"/>
          </w:tcPr>
          <w:p w14:paraId="534EE05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47" w:name="_Toc20881"/>
            <w:bookmarkStart w:id="148" w:name="_Toc11465"/>
            <w:bookmarkStart w:id="149" w:name="_Toc4045"/>
            <w:bookmarkStart w:id="150" w:name="_Toc6886"/>
            <w:r>
              <w:rPr>
                <w:rFonts w:hint="eastAsia" w:ascii="方正仿宋_GBK" w:hAnsi="方正仿宋_GBK" w:eastAsia="方正仿宋_GBK" w:cs="方正仿宋_GBK"/>
                <w:sz w:val="28"/>
                <w:szCs w:val="28"/>
              </w:rPr>
              <w:t>响应情况</w:t>
            </w:r>
            <w:bookmarkEnd w:id="147"/>
            <w:bookmarkEnd w:id="148"/>
            <w:bookmarkEnd w:id="149"/>
            <w:bookmarkEnd w:id="150"/>
          </w:p>
        </w:tc>
        <w:tc>
          <w:tcPr>
            <w:tcW w:w="1198" w:type="pct"/>
            <w:noWrap w:val="0"/>
            <w:vAlign w:val="center"/>
          </w:tcPr>
          <w:p w14:paraId="7C76D6BF">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51" w:name="_Toc22210"/>
            <w:bookmarkStart w:id="152" w:name="_Toc5630"/>
            <w:bookmarkStart w:id="153" w:name="_Toc15902"/>
            <w:bookmarkStart w:id="154" w:name="_Toc18102"/>
            <w:r>
              <w:rPr>
                <w:rFonts w:hint="eastAsia" w:ascii="方正仿宋_GBK" w:hAnsi="方正仿宋_GBK" w:eastAsia="方正仿宋_GBK" w:cs="方正仿宋_GBK"/>
                <w:sz w:val="28"/>
                <w:szCs w:val="28"/>
              </w:rPr>
              <w:t>差异说明</w:t>
            </w:r>
            <w:bookmarkEnd w:id="151"/>
            <w:bookmarkEnd w:id="152"/>
            <w:bookmarkEnd w:id="153"/>
            <w:bookmarkEnd w:id="154"/>
          </w:p>
        </w:tc>
      </w:tr>
      <w:tr w14:paraId="5360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34087E99">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0C6639A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139397AC">
            <w:pPr>
              <w:pageBreakBefore w:val="0"/>
              <w:widowControl w:val="0"/>
              <w:tabs>
                <w:tab w:val="left" w:pos="6300"/>
              </w:tabs>
              <w:kinsoku/>
              <w:wordWrap/>
              <w:overflowPunct/>
              <w:topLinePunct w:val="0"/>
              <w:autoSpaceDE/>
              <w:autoSpaceDN/>
              <w:bidi w:val="0"/>
              <w:snapToGrid w:val="0"/>
              <w:spacing w:line="500" w:lineRule="exact"/>
              <w:textAlignment w:val="auto"/>
              <w:outlineLvl w:val="0"/>
              <w:rPr>
                <w:rFonts w:hint="eastAsia" w:ascii="方正仿宋_GBK" w:hAnsi="方正仿宋_GBK" w:eastAsia="方正仿宋_GBK" w:cs="方正仿宋_GBK"/>
                <w:sz w:val="28"/>
                <w:szCs w:val="28"/>
              </w:rPr>
            </w:pPr>
            <w:bookmarkStart w:id="155" w:name="_Toc27453"/>
            <w:bookmarkStart w:id="156" w:name="_Toc13875"/>
            <w:bookmarkStart w:id="157" w:name="_Toc12744"/>
            <w:bookmarkStart w:id="158" w:name="_Toc15744"/>
            <w:r>
              <w:rPr>
                <w:rFonts w:hint="eastAsia" w:ascii="方正仿宋_GBK" w:hAnsi="方正仿宋_GBK" w:eastAsia="方正仿宋_GBK" w:cs="方正仿宋_GBK"/>
                <w:sz w:val="28"/>
                <w:szCs w:val="28"/>
              </w:rPr>
              <w:t>提醒：请注明技术参数或具体内容以及响应文件中技术参数或具体内容的位置（页码）</w:t>
            </w:r>
            <w:bookmarkEnd w:id="155"/>
            <w:bookmarkEnd w:id="156"/>
            <w:bookmarkEnd w:id="157"/>
            <w:bookmarkEnd w:id="158"/>
          </w:p>
        </w:tc>
        <w:tc>
          <w:tcPr>
            <w:tcW w:w="1198" w:type="pct"/>
            <w:noWrap w:val="0"/>
            <w:vAlign w:val="center"/>
          </w:tcPr>
          <w:p w14:paraId="358DFC2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570B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1BD5C59C">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6184112F">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5AE4D74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1560F19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0651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4D372913">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05620CD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7F91113F">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24D5BD1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423D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0E60967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7767BA9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02806AF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1008570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0865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70D295EF">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4FD3C7B6">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2C17FBD4">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3614376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6397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16ED80A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355EED93">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7095531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11617985">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2E62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6643CB1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30FD95F4">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2AF189D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1346CE4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bl>
    <w:p w14:paraId="6F7D175C">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                      法定代表人（或其授权代表）或自然人：</w:t>
      </w:r>
    </w:p>
    <w:p w14:paraId="45D207B4">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                               （签署或盖章）</w:t>
      </w:r>
    </w:p>
    <w:p w14:paraId="1273CC7C">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年     月     日</w:t>
      </w:r>
    </w:p>
    <w:p w14:paraId="549ABE3C">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w:t>
      </w:r>
    </w:p>
    <w:p w14:paraId="33C3A39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1.本表即为对本项目“第二篇  项目技术（质量）需求”中所列条款进行比较和响应；</w:t>
      </w:r>
    </w:p>
    <w:p w14:paraId="4F7E9286">
      <w:pPr>
        <w:pageBreakBefore w:val="0"/>
        <w:widowControl w:val="0"/>
        <w:kinsoku/>
        <w:wordWrap/>
        <w:overflowPunct/>
        <w:topLinePunct w:val="0"/>
        <w:autoSpaceDE/>
        <w:autoSpaceDN/>
        <w:bidi w:val="0"/>
        <w:snapToGrid w:val="0"/>
        <w:spacing w:line="500" w:lineRule="exact"/>
        <w:ind w:firstLine="560" w:firstLineChars="200"/>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2.本表可扩展。</w:t>
      </w:r>
    </w:p>
    <w:p w14:paraId="359A43F2">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r>
        <w:rPr>
          <w:rFonts w:hint="eastAsia" w:ascii="方正仿宋_GBK" w:hAnsi="方正仿宋_GBK" w:eastAsia="方正仿宋_GBK" w:cs="方正仿宋_GBK"/>
          <w:sz w:val="28"/>
          <w:szCs w:val="28"/>
        </w:rPr>
        <w:t>（二）其他资料（格式自定）</w:t>
      </w:r>
    </w:p>
    <w:p w14:paraId="6D82F968">
      <w:pPr>
        <w:pStyle w:val="4"/>
        <w:pageBreakBefore w:val="0"/>
        <w:widowControl w:val="0"/>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val="0"/>
          <w:sz w:val="28"/>
          <w:szCs w:val="28"/>
        </w:rPr>
        <w:br w:type="page"/>
      </w:r>
      <w:bookmarkStart w:id="159" w:name="_Toc106030908"/>
      <w:bookmarkStart w:id="160" w:name="_Toc76462352"/>
      <w:bookmarkStart w:id="161" w:name="_Toc9708"/>
      <w:bookmarkStart w:id="162" w:name="_Toc26009"/>
      <w:bookmarkStart w:id="163" w:name="_Toc24257"/>
      <w:bookmarkStart w:id="164" w:name="_Toc31005"/>
      <w:bookmarkStart w:id="165" w:name="_Toc30307"/>
      <w:bookmarkStart w:id="166" w:name="_Toc29380"/>
      <w:bookmarkStart w:id="167" w:name="_Toc313888362"/>
      <w:bookmarkStart w:id="168" w:name="_Toc17573"/>
      <w:bookmarkStart w:id="169" w:name="_Toc342913421"/>
      <w:bookmarkStart w:id="170" w:name="_Toc313008358"/>
      <w:r>
        <w:rPr>
          <w:rFonts w:hint="eastAsia" w:ascii="方正仿宋_GBK" w:hAnsi="方正仿宋_GBK" w:eastAsia="方正仿宋_GBK" w:cs="方正仿宋_GBK"/>
          <w:sz w:val="28"/>
          <w:szCs w:val="28"/>
        </w:rPr>
        <w:t>三、商务部分</w:t>
      </w:r>
      <w:bookmarkEnd w:id="159"/>
      <w:bookmarkEnd w:id="160"/>
      <w:bookmarkEnd w:id="161"/>
      <w:bookmarkEnd w:id="162"/>
      <w:bookmarkEnd w:id="163"/>
      <w:bookmarkEnd w:id="164"/>
      <w:bookmarkEnd w:id="165"/>
      <w:bookmarkEnd w:id="166"/>
      <w:bookmarkEnd w:id="167"/>
      <w:bookmarkEnd w:id="168"/>
      <w:bookmarkEnd w:id="169"/>
      <w:bookmarkEnd w:id="170"/>
    </w:p>
    <w:p w14:paraId="0FEFB2D3">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（一）商务响应偏离表                              </w:t>
      </w:r>
    </w:p>
    <w:p w14:paraId="2129BF5D">
      <w:pPr>
        <w:pageBreakBefore w:val="0"/>
        <w:widowControl w:val="0"/>
        <w:kinsoku/>
        <w:wordWrap/>
        <w:overflowPunct/>
        <w:topLinePunct w:val="0"/>
        <w:autoSpaceDE/>
        <w:autoSpaceDN/>
        <w:bidi w:val="0"/>
        <w:spacing w:line="500" w:lineRule="exact"/>
        <w:ind w:firstLine="560" w:firstLineChars="200"/>
        <w:textAlignment w:val="auto"/>
        <w:rPr>
          <w:rFonts w:hint="eastAsia"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 xml:space="preserve">项目名称：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 </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0CC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noWrap w:val="0"/>
            <w:vAlign w:val="center"/>
          </w:tcPr>
          <w:p w14:paraId="2B13F8AF">
            <w:pPr>
              <w:pageBreakBefore w:val="0"/>
              <w:widowControl w:val="0"/>
              <w:kinsoku/>
              <w:wordWrap/>
              <w:overflowPunct/>
              <w:topLinePunct w:val="0"/>
              <w:autoSpaceDE/>
              <w:autoSpaceDN/>
              <w:bidi w:val="0"/>
              <w:snapToGrid w:val="0"/>
              <w:spacing w:line="500" w:lineRule="exact"/>
              <w:ind w:firstLine="46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序号</w:t>
            </w:r>
          </w:p>
        </w:tc>
        <w:tc>
          <w:tcPr>
            <w:tcW w:w="3179" w:type="dxa"/>
            <w:noWrap w:val="0"/>
            <w:vAlign w:val="center"/>
          </w:tcPr>
          <w:p w14:paraId="5E0E4249">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71" w:name="_Toc11625"/>
            <w:bookmarkStart w:id="172" w:name="_Toc29459"/>
            <w:bookmarkStart w:id="173" w:name="_Toc17175"/>
            <w:bookmarkStart w:id="174" w:name="_Toc9464"/>
            <w:r>
              <w:rPr>
                <w:rFonts w:hint="eastAsia" w:ascii="方正仿宋_GBK" w:hAnsi="方正仿宋_GBK" w:eastAsia="方正仿宋_GBK" w:cs="方正仿宋_GBK"/>
                <w:sz w:val="28"/>
                <w:szCs w:val="28"/>
              </w:rPr>
              <w:t>商务需求</w:t>
            </w:r>
            <w:bookmarkEnd w:id="171"/>
            <w:bookmarkEnd w:id="172"/>
            <w:bookmarkEnd w:id="173"/>
            <w:bookmarkEnd w:id="174"/>
          </w:p>
        </w:tc>
        <w:tc>
          <w:tcPr>
            <w:tcW w:w="2434" w:type="dxa"/>
            <w:noWrap w:val="0"/>
            <w:vAlign w:val="center"/>
          </w:tcPr>
          <w:p w14:paraId="4396DD89">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75" w:name="_Toc22107"/>
            <w:bookmarkStart w:id="176" w:name="_Toc29961"/>
            <w:bookmarkStart w:id="177" w:name="_Toc25564"/>
            <w:bookmarkStart w:id="178" w:name="_Toc25005"/>
            <w:r>
              <w:rPr>
                <w:rFonts w:hint="eastAsia" w:ascii="方正仿宋_GBK" w:hAnsi="方正仿宋_GBK" w:eastAsia="方正仿宋_GBK" w:cs="方正仿宋_GBK"/>
                <w:sz w:val="28"/>
                <w:szCs w:val="28"/>
              </w:rPr>
              <w:t>响应情况</w:t>
            </w:r>
            <w:bookmarkEnd w:id="175"/>
            <w:bookmarkEnd w:id="176"/>
            <w:bookmarkEnd w:id="177"/>
            <w:bookmarkEnd w:id="178"/>
          </w:p>
        </w:tc>
        <w:tc>
          <w:tcPr>
            <w:tcW w:w="2355" w:type="dxa"/>
            <w:noWrap w:val="0"/>
            <w:vAlign w:val="center"/>
          </w:tcPr>
          <w:p w14:paraId="1BD0F77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79" w:name="_Toc6093"/>
            <w:bookmarkStart w:id="180" w:name="_Toc7122"/>
            <w:bookmarkStart w:id="181" w:name="_Toc12164"/>
            <w:bookmarkStart w:id="182" w:name="_Toc16134"/>
            <w:r>
              <w:rPr>
                <w:rFonts w:hint="eastAsia" w:ascii="方正仿宋_GBK" w:hAnsi="方正仿宋_GBK" w:eastAsia="方正仿宋_GBK" w:cs="方正仿宋_GBK"/>
                <w:sz w:val="28"/>
                <w:szCs w:val="28"/>
              </w:rPr>
              <w:t>偏离说明</w:t>
            </w:r>
            <w:bookmarkEnd w:id="179"/>
            <w:bookmarkEnd w:id="180"/>
            <w:bookmarkEnd w:id="181"/>
            <w:bookmarkEnd w:id="182"/>
          </w:p>
        </w:tc>
      </w:tr>
      <w:tr w14:paraId="4D18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6F18054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5B9B65F2">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5E5A5D8D">
            <w:pPr>
              <w:pageBreakBefore w:val="0"/>
              <w:widowControl w:val="0"/>
              <w:tabs>
                <w:tab w:val="left" w:pos="6300"/>
              </w:tabs>
              <w:kinsoku/>
              <w:wordWrap/>
              <w:overflowPunct/>
              <w:topLinePunct w:val="0"/>
              <w:autoSpaceDE/>
              <w:autoSpaceDN/>
              <w:bidi w:val="0"/>
              <w:snapToGrid w:val="0"/>
              <w:spacing w:line="500" w:lineRule="exact"/>
              <w:textAlignment w:val="auto"/>
              <w:outlineLvl w:val="0"/>
              <w:rPr>
                <w:rFonts w:hint="eastAsia" w:ascii="方正仿宋_GBK" w:hAnsi="方正仿宋_GBK" w:eastAsia="方正仿宋_GBK" w:cs="方正仿宋_GBK"/>
                <w:sz w:val="28"/>
                <w:szCs w:val="28"/>
              </w:rPr>
            </w:pPr>
            <w:bookmarkStart w:id="183" w:name="_Toc1595"/>
            <w:bookmarkStart w:id="184" w:name="_Toc16564"/>
            <w:bookmarkStart w:id="185" w:name="_Toc20300"/>
            <w:bookmarkStart w:id="186" w:name="_Toc8147"/>
            <w:r>
              <w:rPr>
                <w:rFonts w:hint="eastAsia" w:ascii="方正仿宋_GBK" w:hAnsi="方正仿宋_GBK" w:eastAsia="方正仿宋_GBK" w:cs="方正仿宋_GBK"/>
                <w:sz w:val="28"/>
                <w:szCs w:val="28"/>
              </w:rPr>
              <w:t>提醒：请注明具体内容以及响应文件中具体内容的位置（页码）</w:t>
            </w:r>
            <w:bookmarkEnd w:id="183"/>
            <w:bookmarkEnd w:id="184"/>
            <w:bookmarkEnd w:id="185"/>
            <w:bookmarkEnd w:id="186"/>
          </w:p>
        </w:tc>
        <w:tc>
          <w:tcPr>
            <w:tcW w:w="2355" w:type="dxa"/>
            <w:noWrap w:val="0"/>
            <w:vAlign w:val="center"/>
          </w:tcPr>
          <w:p w14:paraId="79FE715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5A7D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1E4D6DD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3FDF7AF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76703E71">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70D31EE8">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0003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07A9318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7453E6B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171692C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6FA81A0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73D2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57106825">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0167F566">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3C48B8C1">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50D2FE95">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278A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2C2D328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7753D118">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7BDE9E89">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459BE83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4588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3266C6F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5B3A20AD">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52FA25A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276D71C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bl>
    <w:p w14:paraId="06EEF5FA">
      <w:pPr>
        <w:pageBreakBefore w:val="0"/>
        <w:widowControl w:val="0"/>
        <w:kinsoku/>
        <w:wordWrap/>
        <w:overflowPunct/>
        <w:topLinePunct w:val="0"/>
        <w:autoSpaceDE/>
        <w:autoSpaceDN/>
        <w:bidi w:val="0"/>
        <w:snapToGrid w:val="0"/>
        <w:spacing w:line="500" w:lineRule="exact"/>
        <w:ind w:firstLine="465"/>
        <w:textAlignment w:val="auto"/>
        <w:rPr>
          <w:rFonts w:hint="eastAsia" w:ascii="方正仿宋_GBK" w:hAnsi="方正仿宋_GBK" w:eastAsia="方正仿宋_GBK" w:cs="方正仿宋_GBK"/>
          <w:sz w:val="28"/>
          <w:szCs w:val="28"/>
        </w:rPr>
      </w:pPr>
    </w:p>
    <w:p w14:paraId="646987F5">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                      法定代表人（或其授权代表）或自然人：</w:t>
      </w:r>
    </w:p>
    <w:p w14:paraId="2FE90802">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                                 （签署或盖章）</w:t>
      </w:r>
    </w:p>
    <w:p w14:paraId="6C6682B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年     月     日</w:t>
      </w:r>
    </w:p>
    <w:p w14:paraId="1CB5969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w:t>
      </w:r>
    </w:p>
    <w:p w14:paraId="4CD7C35E">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1.本表即为对本项目“第三篇  项目商务需求”中所列条款进行比较和响应；</w:t>
      </w:r>
    </w:p>
    <w:p w14:paraId="4AC59A5B">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b/>
          <w:sz w:val="28"/>
          <w:szCs w:val="28"/>
        </w:rPr>
        <w:sectPr>
          <w:headerReference r:id="rId7" w:type="default"/>
          <w:pgSz w:w="11905" w:h="16838"/>
          <w:pgMar w:top="1701" w:right="1531" w:bottom="1701" w:left="1531" w:header="851" w:footer="992" w:gutter="0"/>
          <w:pgNumType w:fmt="decimal"/>
          <w:cols w:space="0" w:num="1"/>
          <w:rtlGutter w:val="0"/>
          <w:docGrid w:linePitch="380" w:charSpace="0"/>
        </w:sectPr>
      </w:pPr>
      <w:r>
        <w:rPr>
          <w:rFonts w:hint="eastAsia" w:ascii="方正仿宋_GBK" w:hAnsi="方正仿宋_GBK" w:eastAsia="方正仿宋_GBK" w:cs="方正仿宋_GBK"/>
          <w:sz w:val="28"/>
          <w:szCs w:val="28"/>
        </w:rPr>
        <w:t>2.本表可扩展。</w:t>
      </w:r>
    </w:p>
    <w:p w14:paraId="6E62D675">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bookmarkStart w:id="187" w:name="_Toc283382459"/>
      <w:r>
        <w:rPr>
          <w:rFonts w:hint="eastAsia" w:ascii="方正仿宋_GBK" w:hAnsi="方正仿宋_GBK" w:eastAsia="方正仿宋_GBK" w:cs="方正仿宋_GBK"/>
          <w:sz w:val="28"/>
          <w:szCs w:val="28"/>
        </w:rPr>
        <w:t>（二）其它优惠承诺（格式自定）</w:t>
      </w:r>
    </w:p>
    <w:p w14:paraId="4F0163D0">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441CC338">
      <w:pPr>
        <w:pStyle w:val="4"/>
        <w:pageBreakBefore w:val="0"/>
        <w:widowControl w:val="0"/>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bookmarkEnd w:id="187"/>
      <w:bookmarkStart w:id="188" w:name="_Toc76462353"/>
      <w:bookmarkStart w:id="189" w:name="_Toc25476"/>
      <w:bookmarkStart w:id="190" w:name="_Toc12826"/>
      <w:bookmarkStart w:id="191" w:name="_Toc313008359"/>
      <w:bookmarkStart w:id="192" w:name="_Toc11280"/>
      <w:bookmarkStart w:id="193" w:name="_Toc106030909"/>
      <w:bookmarkStart w:id="194" w:name="_Toc313888363"/>
      <w:bookmarkStart w:id="195" w:name="_Toc14338"/>
      <w:bookmarkStart w:id="196" w:name="_Toc10502"/>
      <w:bookmarkStart w:id="197" w:name="_Toc440"/>
      <w:bookmarkStart w:id="198" w:name="_Toc3504"/>
      <w:bookmarkStart w:id="199" w:name="_Toc342913422"/>
      <w:r>
        <w:rPr>
          <w:rFonts w:hint="eastAsia" w:ascii="方正仿宋_GBK" w:hAnsi="方正仿宋_GBK" w:eastAsia="方正仿宋_GBK" w:cs="方正仿宋_GBK"/>
          <w:sz w:val="28"/>
          <w:szCs w:val="28"/>
        </w:rPr>
        <w:t>四、资格条件</w:t>
      </w:r>
      <w:bookmarkEnd w:id="188"/>
      <w:bookmarkEnd w:id="189"/>
      <w:bookmarkEnd w:id="190"/>
      <w:bookmarkEnd w:id="191"/>
      <w:bookmarkEnd w:id="192"/>
      <w:bookmarkEnd w:id="193"/>
      <w:bookmarkEnd w:id="194"/>
      <w:bookmarkEnd w:id="195"/>
      <w:bookmarkEnd w:id="196"/>
      <w:bookmarkEnd w:id="197"/>
      <w:bookmarkEnd w:id="198"/>
      <w:bookmarkEnd w:id="199"/>
    </w:p>
    <w:p w14:paraId="42383AC4">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（一）法人营业执照（副本）或事业单位法人证书（副本）或个体工商户营业执照或有效的自然人身份证明或社会团体法人登记证书复印件</w:t>
      </w:r>
    </w:p>
    <w:p w14:paraId="0AC99FE3">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204D951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07723F2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44682016">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615210C3">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01AB275A">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r>
        <w:rPr>
          <w:rFonts w:hint="eastAsia" w:ascii="方正仿宋_GBK" w:hAnsi="方正仿宋_GBK" w:eastAsia="方正仿宋_GBK" w:cs="方正仿宋_GBK"/>
          <w:sz w:val="28"/>
          <w:szCs w:val="28"/>
        </w:rPr>
        <w:t>（二）法定代表人身份证明书（格式）</w:t>
      </w:r>
    </w:p>
    <w:p w14:paraId="34DED0C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32336D6B">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r>
        <w:rPr>
          <w:rFonts w:hint="eastAsia" w:ascii="方正仿宋_GBK" w:hAnsi="方正仿宋_GBK" w:eastAsia="方正仿宋_GBK" w:cs="方正仿宋_GBK"/>
          <w:sz w:val="28"/>
          <w:szCs w:val="28"/>
          <w:u w:val="single"/>
        </w:rPr>
        <w:t xml:space="preserve">                                     </w:t>
      </w:r>
    </w:p>
    <w:p w14:paraId="086D8983">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104C1208">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（采购人名称）：</w:t>
      </w:r>
    </w:p>
    <w:p w14:paraId="17C1D90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（法定代表人姓名）在</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（供应商名称）任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（职务名称）职务，是（供应商名称）</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的法定代表人。</w:t>
      </w:r>
    </w:p>
    <w:p w14:paraId="4EC685A6">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3B762C07">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特此证明。</w:t>
      </w:r>
    </w:p>
    <w:p w14:paraId="423BB59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5B3C18C2">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5FE6737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21170545">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（供应商公章）</w:t>
      </w:r>
    </w:p>
    <w:p w14:paraId="48CB7E6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65912DFB">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年   月   日</w:t>
      </w:r>
    </w:p>
    <w:p w14:paraId="79F6539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法定代表人电话：XXXXXXX      </w:t>
      </w:r>
    </w:p>
    <w:p w14:paraId="721FFCE5">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电子邮箱：XXXXXX@XXXXX（若授权他人办理并签署响应文件的可不填写）</w:t>
      </w:r>
    </w:p>
    <w:p w14:paraId="5891DD81">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（附：法定代表人身份证正反面复印件）</w:t>
      </w:r>
    </w:p>
    <w:p w14:paraId="0C975D25">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22039AA0">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126074AE">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04DF6522">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69DD498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699DB1E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2A949C35">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column"/>
      </w:r>
      <w:r>
        <w:rPr>
          <w:rFonts w:hint="eastAsia" w:ascii="方正仿宋_GBK" w:hAnsi="方正仿宋_GBK" w:eastAsia="方正仿宋_GBK" w:cs="方正仿宋_GBK"/>
          <w:sz w:val="28"/>
          <w:szCs w:val="28"/>
        </w:rPr>
        <w:t>（三）法定代表人授权委托书（格式）</w:t>
      </w:r>
    </w:p>
    <w:p w14:paraId="16944B14">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2360FF6C">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r>
        <w:rPr>
          <w:rFonts w:hint="eastAsia" w:ascii="方正仿宋_GBK" w:hAnsi="方正仿宋_GBK" w:eastAsia="方正仿宋_GBK" w:cs="方正仿宋_GBK"/>
          <w:sz w:val="28"/>
          <w:szCs w:val="28"/>
          <w:u w:val="single"/>
        </w:rPr>
        <w:t xml:space="preserve">                                    </w:t>
      </w:r>
    </w:p>
    <w:p w14:paraId="6620BBAD">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57E5D764">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（采购人名称）：</w:t>
      </w:r>
    </w:p>
    <w:p w14:paraId="1F7C9587">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（供应商法定代表人名称）是</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（供应商名称）的法定代表人，特授权</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（被授权人姓名及身份证代码）代表我单位全权办理上述项目的具体工作，并签署全部有关文件、协议。</w:t>
      </w:r>
    </w:p>
    <w:p w14:paraId="7A2BC9AF">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我单位对被授权人的签署负全部责任。</w:t>
      </w:r>
    </w:p>
    <w:p w14:paraId="5F4EDF83">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在撤销授权的书面通知以前，本授权书一直有效。被授权人在授权书有效期内签署的所有文件不因授权的撤销而失效。</w:t>
      </w:r>
    </w:p>
    <w:p w14:paraId="2B32ACB2">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19A9A371">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16F473D7">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被授权人：                         供应商法定代表人：</w:t>
      </w:r>
    </w:p>
    <w:p w14:paraId="2B94BD7A">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（签署或盖章）                     （签署或盖章）</w:t>
      </w:r>
    </w:p>
    <w:p w14:paraId="3F005C35">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00C4832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（附：被授权人身份证正反面复印件）</w:t>
      </w:r>
    </w:p>
    <w:p w14:paraId="08F25D5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5540793C">
      <w:pPr>
        <w:pageBreakBefore w:val="0"/>
        <w:widowControl w:val="0"/>
        <w:tabs>
          <w:tab w:val="left" w:pos="6300"/>
        </w:tabs>
        <w:kinsoku/>
        <w:wordWrap/>
        <w:overflowPunct/>
        <w:topLinePunct w:val="0"/>
        <w:autoSpaceDE/>
        <w:autoSpaceDN/>
        <w:bidi w:val="0"/>
        <w:snapToGrid w:val="0"/>
        <w:spacing w:line="500" w:lineRule="exact"/>
        <w:ind w:right="480" w:firstLine="570"/>
        <w:jc w:val="right"/>
        <w:textAlignment w:val="auto"/>
        <w:rPr>
          <w:rFonts w:hint="eastAsia" w:ascii="方正仿宋_GBK" w:hAnsi="方正仿宋_GBK" w:eastAsia="方正仿宋_GBK" w:cs="方正仿宋_GBK"/>
          <w:sz w:val="28"/>
          <w:szCs w:val="28"/>
        </w:rPr>
      </w:pPr>
    </w:p>
    <w:p w14:paraId="419E46DD">
      <w:pPr>
        <w:pageBreakBefore w:val="0"/>
        <w:widowControl w:val="0"/>
        <w:tabs>
          <w:tab w:val="left" w:pos="6300"/>
        </w:tabs>
        <w:kinsoku/>
        <w:wordWrap/>
        <w:overflowPunct/>
        <w:topLinePunct w:val="0"/>
        <w:autoSpaceDE/>
        <w:autoSpaceDN/>
        <w:bidi w:val="0"/>
        <w:snapToGrid w:val="0"/>
        <w:spacing w:line="500" w:lineRule="exact"/>
        <w:ind w:right="480" w:firstLine="570"/>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w:t>
      </w:r>
    </w:p>
    <w:p w14:paraId="1C832CD2">
      <w:pPr>
        <w:pageBreakBefore w:val="0"/>
        <w:widowControl w:val="0"/>
        <w:tabs>
          <w:tab w:val="left" w:pos="6300"/>
        </w:tabs>
        <w:kinsoku/>
        <w:wordWrap/>
        <w:overflowPunct/>
        <w:topLinePunct w:val="0"/>
        <w:autoSpaceDE/>
        <w:autoSpaceDN/>
        <w:bidi w:val="0"/>
        <w:snapToGrid w:val="0"/>
        <w:spacing w:line="500" w:lineRule="exact"/>
        <w:ind w:right="480" w:firstLine="570"/>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60EFCCBD">
      <w:pPr>
        <w:pageBreakBefore w:val="0"/>
        <w:widowControl w:val="0"/>
        <w:tabs>
          <w:tab w:val="left" w:pos="6300"/>
        </w:tabs>
        <w:kinsoku/>
        <w:wordWrap/>
        <w:overflowPunct/>
        <w:topLinePunct w:val="0"/>
        <w:autoSpaceDE/>
        <w:autoSpaceDN/>
        <w:bidi w:val="0"/>
        <w:snapToGrid w:val="0"/>
        <w:spacing w:line="500" w:lineRule="exact"/>
        <w:ind w:right="480" w:firstLine="570"/>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被授权人电话：XXXXXXX     电子邮箱：XXXXXX@XXXXX（若法定代表人办理并签署响应文件的可不填写）</w:t>
      </w:r>
    </w:p>
    <w:p w14:paraId="788626CE">
      <w:pPr>
        <w:pageBreakBefore w:val="0"/>
        <w:widowControl w:val="0"/>
        <w:tabs>
          <w:tab w:val="left" w:pos="6300"/>
        </w:tabs>
        <w:kinsoku/>
        <w:wordWrap/>
        <w:overflowPunct/>
        <w:topLinePunct w:val="0"/>
        <w:autoSpaceDE/>
        <w:autoSpaceDN/>
        <w:bidi w:val="0"/>
        <w:snapToGrid w:val="0"/>
        <w:spacing w:line="500" w:lineRule="exact"/>
        <w:ind w:right="480" w:firstLine="570"/>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w:t>
      </w:r>
    </w:p>
    <w:p w14:paraId="07395EA0">
      <w:pPr>
        <w:pageBreakBefore w:val="0"/>
        <w:widowControl w:val="0"/>
        <w:tabs>
          <w:tab w:val="left" w:pos="6300"/>
        </w:tabs>
        <w:kinsoku/>
        <w:wordWrap/>
        <w:overflowPunct/>
        <w:topLinePunct w:val="0"/>
        <w:autoSpaceDE/>
        <w:autoSpaceDN/>
        <w:bidi w:val="0"/>
        <w:snapToGrid w:val="0"/>
        <w:spacing w:line="500" w:lineRule="exact"/>
        <w:ind w:right="480" w:firstLine="570"/>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1.若为法定代表人办理并签署响应文件的，不提供此文件。</w:t>
      </w:r>
      <w:r>
        <w:rPr>
          <w:rFonts w:hint="eastAsia" w:ascii="方正仿宋_GBK" w:hAnsi="方正仿宋_GBK" w:eastAsia="方正仿宋_GBK" w:cs="方正仿宋_GBK"/>
          <w:sz w:val="28"/>
          <w:szCs w:val="28"/>
        </w:rPr>
        <w:br w:type="column"/>
      </w:r>
      <w:r>
        <w:rPr>
          <w:rFonts w:hint="eastAsia" w:ascii="方正仿宋_GBK" w:hAnsi="方正仿宋_GBK" w:eastAsia="方正仿宋_GBK" w:cs="方正仿宋_GBK"/>
          <w:sz w:val="28"/>
          <w:szCs w:val="28"/>
        </w:rPr>
        <w:t>（四）基本资格条件承诺函</w:t>
      </w:r>
    </w:p>
    <w:p w14:paraId="6327F62B">
      <w:pPr>
        <w:pageBreakBefore w:val="0"/>
        <w:widowControl w:val="0"/>
        <w:tabs>
          <w:tab w:val="left" w:pos="6300"/>
        </w:tabs>
        <w:kinsoku/>
        <w:wordWrap/>
        <w:overflowPunct/>
        <w:topLinePunct w:val="0"/>
        <w:autoSpaceDE/>
        <w:autoSpaceDN/>
        <w:bidi w:val="0"/>
        <w:snapToGrid w:val="0"/>
        <w:spacing w:line="500" w:lineRule="exact"/>
        <w:ind w:firstLine="562" w:firstLineChars="200"/>
        <w:jc w:val="center"/>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基本资格条件承诺函</w:t>
      </w:r>
    </w:p>
    <w:p w14:paraId="32A79FFA">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11D246C8">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（采购人名称）：</w:t>
      </w:r>
    </w:p>
    <w:p w14:paraId="676311E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（供应商名称）郑重承诺：</w:t>
      </w:r>
    </w:p>
    <w:p w14:paraId="65FD4144">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1.我方具有良好的商业信誉和健全的财务会计制度，具有履行合同所必需的设备和专业技术能力，具</w:t>
      </w:r>
      <w:r>
        <w:rPr>
          <w:rFonts w:hint="eastAsia" w:ascii="方正仿宋_GBK" w:hAnsi="方正仿宋_GBK" w:eastAsia="方正仿宋_GBK" w:cs="方正仿宋_GBK"/>
          <w:sz w:val="28"/>
          <w:szCs w:val="28"/>
          <w:lang w:val="zh-CN"/>
        </w:rPr>
        <w:t>有依法缴纳税收和社会保障金的良好记录</w:t>
      </w:r>
      <w:r>
        <w:rPr>
          <w:rFonts w:hint="eastAsia" w:ascii="方正仿宋_GBK" w:hAnsi="方正仿宋_GBK" w:eastAsia="方正仿宋_GBK" w:cs="方正仿宋_GBK"/>
          <w:sz w:val="28"/>
          <w:szCs w:val="28"/>
        </w:rPr>
        <w:t>，参加本项目采购活动前三年内无重大违法活动记录。</w:t>
      </w:r>
    </w:p>
    <w:p w14:paraId="53232B26">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2.我方未列入在信用中国网站（www.creditchina.gov.cn）“失信被执行人”、“重大税收违法案件当事人名单”中，也未列入中国政府采购网（www.ccgp.gov.cn）“政府采购严重违法失信行为记录名单”中。</w:t>
      </w:r>
    </w:p>
    <w:p w14:paraId="76E96AB8">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3.我方在采购项目评审（评标）环节结束后，随时接受采购人的检查验证，配合提供相关证明材料，证明符合《中华人民共和国政府采购法》规定的供应商基本资格条件。</w:t>
      </w:r>
    </w:p>
    <w:p w14:paraId="3092C2B7">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我方对以上承诺负全部法律责任。</w:t>
      </w:r>
    </w:p>
    <w:p w14:paraId="29A86F73">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特此承诺。</w:t>
      </w:r>
    </w:p>
    <w:p w14:paraId="5D45F1DB">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335312E7">
      <w:pPr>
        <w:pageBreakBefore w:val="0"/>
        <w:widowControl w:val="0"/>
        <w:tabs>
          <w:tab w:val="left" w:pos="6300"/>
        </w:tabs>
        <w:kinsoku/>
        <w:wordWrap/>
        <w:overflowPunct/>
        <w:topLinePunct w:val="0"/>
        <w:autoSpaceDE/>
        <w:autoSpaceDN/>
        <w:bidi w:val="0"/>
        <w:snapToGrid w:val="0"/>
        <w:spacing w:line="500" w:lineRule="exact"/>
        <w:ind w:firstLine="560" w:firstLineChars="200"/>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w:t>
      </w:r>
    </w:p>
    <w:p w14:paraId="08D4ACBD">
      <w:pPr>
        <w:pageBreakBefore w:val="0"/>
        <w:widowControl w:val="0"/>
        <w:tabs>
          <w:tab w:val="left" w:pos="6300"/>
        </w:tabs>
        <w:kinsoku/>
        <w:wordWrap/>
        <w:overflowPunct/>
        <w:topLinePunct w:val="0"/>
        <w:autoSpaceDE/>
        <w:autoSpaceDN/>
        <w:bidi w:val="0"/>
        <w:snapToGrid w:val="0"/>
        <w:spacing w:line="500" w:lineRule="exact"/>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371A2B2B">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r>
        <w:rPr>
          <w:rFonts w:hint="eastAsia" w:ascii="方正仿宋_GBK" w:hAnsi="方正仿宋_GBK" w:eastAsia="方正仿宋_GBK" w:cs="方正仿宋_GBK"/>
          <w:sz w:val="28"/>
          <w:szCs w:val="28"/>
        </w:rPr>
        <w:t>（五）特定资格条件证明文件（如果有）</w:t>
      </w:r>
    </w:p>
    <w:p w14:paraId="6B5102EB">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138B76AA">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7606DCF5">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2E0865C3">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29AE4DDC">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2F5CB327">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14A7A2E3">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04CDA3AA">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75C3795C">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2499BEC0">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0E72C09D">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4CE508DE">
      <w:pPr>
        <w:pStyle w:val="2"/>
        <w:rPr>
          <w:rFonts w:hint="eastAsia" w:ascii="方正仿宋_GBK" w:hAnsi="方正仿宋_GBK" w:eastAsia="方正仿宋_GBK" w:cs="方正仿宋_GBK"/>
          <w:color w:val="000000" w:themeColor="text1"/>
          <w:sz w:val="28"/>
          <w:szCs w:val="28"/>
          <w14:textFill>
            <w14:solidFill>
              <w14:schemeClr w14:val="tx1"/>
            </w14:solidFill>
          </w14:textFill>
        </w:rPr>
      </w:pPr>
    </w:p>
    <w:p w14:paraId="2945AA5A">
      <w:pPr>
        <w:rPr>
          <w:rFonts w:hint="eastAsia" w:ascii="方正仿宋_GBK" w:hAnsi="方正仿宋_GBK" w:eastAsia="方正仿宋_GBK" w:cs="方正仿宋_GBK"/>
          <w:color w:val="000000" w:themeColor="text1"/>
          <w:sz w:val="28"/>
          <w:szCs w:val="28"/>
          <w14:textFill>
            <w14:solidFill>
              <w14:schemeClr w14:val="tx1"/>
            </w14:solidFill>
          </w14:textFill>
        </w:rPr>
      </w:pPr>
    </w:p>
    <w:p w14:paraId="242BAE63">
      <w:pPr>
        <w:pStyle w:val="2"/>
        <w:rPr>
          <w:rFonts w:hint="eastAsia" w:ascii="方正仿宋_GBK" w:hAnsi="方正仿宋_GBK" w:eastAsia="方正仿宋_GBK" w:cs="方正仿宋_GBK"/>
          <w:color w:val="000000" w:themeColor="text1"/>
          <w:sz w:val="28"/>
          <w:szCs w:val="28"/>
          <w14:textFill>
            <w14:solidFill>
              <w14:schemeClr w14:val="tx1"/>
            </w14:solidFill>
          </w14:textFill>
        </w:rPr>
      </w:pPr>
    </w:p>
    <w:p w14:paraId="0C01311C">
      <w:pPr>
        <w:rPr>
          <w:rFonts w:hint="eastAsia" w:ascii="方正仿宋_GBK" w:hAnsi="方正仿宋_GBK" w:eastAsia="方正仿宋_GBK" w:cs="方正仿宋_GBK"/>
          <w:color w:val="000000" w:themeColor="text1"/>
          <w:sz w:val="28"/>
          <w:szCs w:val="28"/>
          <w14:textFill>
            <w14:solidFill>
              <w14:schemeClr w14:val="tx1"/>
            </w14:solidFill>
          </w14:textFill>
        </w:rPr>
      </w:pPr>
    </w:p>
    <w:p w14:paraId="08B9E412">
      <w:pPr>
        <w:pStyle w:val="2"/>
        <w:rPr>
          <w:rFonts w:hint="eastAsia" w:ascii="方正仿宋_GBK" w:hAnsi="方正仿宋_GBK" w:eastAsia="方正仿宋_GBK" w:cs="方正仿宋_GBK"/>
          <w:color w:val="000000" w:themeColor="text1"/>
          <w:sz w:val="28"/>
          <w:szCs w:val="28"/>
          <w14:textFill>
            <w14:solidFill>
              <w14:schemeClr w14:val="tx1"/>
            </w14:solidFill>
          </w14:textFill>
        </w:rPr>
      </w:pPr>
    </w:p>
    <w:p w14:paraId="02977AB5">
      <w:pPr>
        <w:rPr>
          <w:rFonts w:hint="eastAsia" w:ascii="方正仿宋_GBK" w:hAnsi="方正仿宋_GBK" w:eastAsia="方正仿宋_GBK" w:cs="方正仿宋_GBK"/>
          <w:color w:val="000000" w:themeColor="text1"/>
          <w:sz w:val="28"/>
          <w:szCs w:val="28"/>
          <w14:textFill>
            <w14:solidFill>
              <w14:schemeClr w14:val="tx1"/>
            </w14:solidFill>
          </w14:textFill>
        </w:rPr>
      </w:pPr>
    </w:p>
    <w:p w14:paraId="1F8DE9BA">
      <w:pPr>
        <w:pStyle w:val="2"/>
        <w:rPr>
          <w:rFonts w:hint="eastAsia" w:ascii="方正仿宋_GBK" w:hAnsi="方正仿宋_GBK" w:eastAsia="方正仿宋_GBK" w:cs="方正仿宋_GBK"/>
          <w:color w:val="000000" w:themeColor="text1"/>
          <w:sz w:val="28"/>
          <w:szCs w:val="28"/>
          <w14:textFill>
            <w14:solidFill>
              <w14:schemeClr w14:val="tx1"/>
            </w14:solidFill>
          </w14:textFill>
        </w:rPr>
      </w:pPr>
    </w:p>
    <w:p w14:paraId="3EF247F5">
      <w:pPr>
        <w:rPr>
          <w:rFonts w:hint="eastAsia"/>
        </w:rPr>
      </w:pPr>
    </w:p>
    <w:p w14:paraId="1226AD59">
      <w:pP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br w:type="page"/>
      </w:r>
    </w:p>
    <w:p w14:paraId="20BB09DB">
      <w:pPr>
        <w:pStyle w:val="4"/>
        <w:pageBreakBefore w:val="0"/>
        <w:widowControl w:val="0"/>
        <w:numPr>
          <w:ilvl w:val="0"/>
          <w:numId w:val="0"/>
        </w:numPr>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kern w:val="2"/>
          <w:sz w:val="28"/>
          <w:szCs w:val="28"/>
          <w:lang w:val="en-US" w:eastAsia="zh-CN" w:bidi="ar-SA"/>
        </w:rPr>
        <w:t>五、</w:t>
      </w:r>
      <w:r>
        <w:rPr>
          <w:rFonts w:hint="eastAsia" w:ascii="方正仿宋_GBK" w:hAnsi="方正仿宋_GBK" w:eastAsia="方正仿宋_GBK" w:cs="方正仿宋_GBK"/>
          <w:sz w:val="28"/>
          <w:szCs w:val="28"/>
          <w:lang w:val="en-US" w:eastAsia="zh-CN"/>
        </w:rPr>
        <w:t>其他资料</w:t>
      </w:r>
    </w:p>
    <w:p w14:paraId="37CCC73C">
      <w:pPr>
        <w:pageBreakBefore w:val="0"/>
        <w:widowControl w:val="0"/>
        <w:tabs>
          <w:tab w:val="left" w:pos="6300"/>
        </w:tabs>
        <w:kinsoku/>
        <w:wordWrap/>
        <w:overflowPunct/>
        <w:topLinePunct w:val="0"/>
        <w:autoSpaceDE/>
        <w:autoSpaceDN/>
        <w:bidi w:val="0"/>
        <w:snapToGrid w:val="0"/>
        <w:spacing w:line="500" w:lineRule="exact"/>
        <w:ind w:firstLine="562" w:firstLineChars="200"/>
        <w:jc w:val="center"/>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生产厂家授权委托书（格式）</w:t>
      </w:r>
    </w:p>
    <w:p w14:paraId="0A2F6FE4">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r>
        <w:rPr>
          <w:rFonts w:hint="eastAsia" w:ascii="方正仿宋_GBK" w:hAnsi="方正仿宋_GBK" w:eastAsia="方正仿宋_GBK" w:cs="方正仿宋_GBK"/>
          <w:sz w:val="28"/>
          <w:szCs w:val="28"/>
          <w:u w:val="single"/>
        </w:rPr>
        <w:t xml:space="preserve">                                    </w:t>
      </w:r>
    </w:p>
    <w:p w14:paraId="1269318C">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37DD17D7">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（采购人名称）：</w:t>
      </w:r>
    </w:p>
    <w:p w14:paraId="7B62CE8D">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现委托被授权人参与</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采购项目名称</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军训服装</w:t>
      </w:r>
      <w:r>
        <w:rPr>
          <w:rFonts w:hint="eastAsia" w:ascii="方正仿宋_GBK" w:hAnsi="方正仿宋_GBK" w:eastAsia="方正仿宋_GBK" w:cs="方正仿宋_GBK"/>
          <w:sz w:val="28"/>
          <w:szCs w:val="28"/>
        </w:rPr>
        <w:t>响应事宜，有权办理响应文件递交、合同签订等相关事项。委托期限自签署之日起至项目结束，被授权人在委托范围内的行为及法律后果由授权人承担。</w:t>
      </w:r>
    </w:p>
    <w:p w14:paraId="189AE9B7">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0A04D9F1">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77299876">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授权人（生产厂家盖章）：                 </w:t>
      </w:r>
    </w:p>
    <w:p w14:paraId="11CAE3A0">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法定代表人（签字/盖章）：                 </w:t>
      </w:r>
    </w:p>
    <w:p w14:paraId="2F8B353C">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日期：   年   月   日</w:t>
      </w:r>
    </w:p>
    <w:p w14:paraId="0A861CE9">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560FCF84">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被授权人（盖章）：                 </w:t>
      </w:r>
    </w:p>
    <w:p w14:paraId="3798CF9F">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负责人（签字/盖章）：                 </w:t>
      </w:r>
    </w:p>
    <w:p w14:paraId="7C61EA57">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日期：   年   月   日</w:t>
      </w:r>
    </w:p>
    <w:p w14:paraId="5367F4CE">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56275D93">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5C351E49">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注：若为生产厂家办理并签署响应文件的，不提供此文件。</w:t>
      </w:r>
    </w:p>
    <w:p w14:paraId="0D09DF44">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6BF7B600">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57132398">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default" w:ascii="Times New Roman" w:hAnsi="Times New Roman" w:cs="Times New Roman"/>
          <w:sz w:val="28"/>
          <w:szCs w:val="28"/>
        </w:rPr>
      </w:pPr>
      <w:r>
        <w:rPr>
          <w:rFonts w:hint="eastAsia" w:ascii="方正仿宋_GBK" w:hAnsi="方正仿宋_GBK" w:eastAsia="方正仿宋_GBK" w:cs="方正仿宋_GBK"/>
          <w:color w:val="000000" w:themeColor="text1"/>
          <w:sz w:val="28"/>
          <w:szCs w:val="28"/>
          <w14:textFill>
            <w14:solidFill>
              <w14:schemeClr w14:val="tx1"/>
            </w14:solidFill>
          </w14:textFill>
        </w:rPr>
        <w:t>（结束）</w:t>
      </w:r>
      <w:r>
        <w:rPr>
          <w:rFonts w:hint="default" w:ascii="Times New Roman" w:hAnsi="Times New Roman" w:eastAsia="方正仿宋_GBK" w:cs="Times New Roman"/>
          <w:sz w:val="28"/>
          <w:szCs w:val="28"/>
        </w:rPr>
        <w:t xml:space="preserve">                   </w:t>
      </w:r>
    </w:p>
    <w:sectPr>
      <w:footerReference r:id="rId8" w:type="default"/>
      <w:pgSz w:w="11905" w:h="16838"/>
      <w:pgMar w:top="1701" w:right="1531" w:bottom="1701" w:left="1531" w:header="851"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黑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2312">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35C4">
    <w:pPr>
      <w:tabs>
        <w:tab w:val="center" w:pos="4422"/>
        <w:tab w:val="right" w:pos="8306"/>
      </w:tabs>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8EC33">
                          <w:pPr>
                            <w:pStyle w:val="12"/>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A58EC33">
                    <w:pPr>
                      <w:pStyle w:val="12"/>
                      <w:rPr>
                        <w:rFonts w:hint="eastAsia" w:ascii="宋体" w:hAnsi="宋体" w:eastAsia="宋体" w:cs="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40089">
    <w:pPr>
      <w:pStyle w:val="12"/>
      <w:jc w:val="both"/>
      <w:rPr>
        <w:rFonts w:hint="eastAsia" w:ascii="宋体" w:hAnsi="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2A4DA">
                          <w:pPr>
                            <w:pStyle w:val="12"/>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602A4DA">
                    <w:pPr>
                      <w:pStyle w:val="12"/>
                      <w:rPr>
                        <w:rFonts w:hint="eastAsia" w:asciiTheme="minorEastAsia" w:hAnsiTheme="minorEastAsia" w:eastAsiaTheme="minorEastAsia" w:cstheme="minorEastAsia"/>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4F87">
    <w:pPr>
      <w:pStyle w:val="12"/>
      <w:jc w:val="both"/>
      <w:rPr>
        <w:rFonts w:hint="eastAsia" w:ascii="宋体" w:hAnsi="宋体"/>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45A7A">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B145A7A">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B77EC">
                          <w:pPr>
                            <w:pStyle w:val="12"/>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E0B77EC">
                    <w:pPr>
                      <w:pStyle w:val="12"/>
                      <w:rPr>
                        <w:rFonts w:hint="eastAsia" w:asciiTheme="minorEastAsia" w:hAnsiTheme="minorEastAsia" w:eastAsiaTheme="minorEastAsia" w:cstheme="minorEastAsia"/>
                        <w:sz w:val="28"/>
                        <w:szCs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A2B86">
    <w:pPr>
      <w:tabs>
        <w:tab w:val="center" w:pos="4153"/>
        <w:tab w:val="right" w:pos="8306"/>
      </w:tabs>
      <w:snapToGrid w:val="0"/>
      <w:jc w:val="center"/>
      <w:rPr>
        <w:rFonts w:ascii="Times New Roman" w:hAnsi="Times New Roman" w:eastAsia="宋体"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281AA">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C281AA">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4BCA3">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94963">
    <w:pPr>
      <w:pStyle w:val="13"/>
      <w:pBdr>
        <w:bottom w:val="none" w:color="auto" w:sz="0" w:space="1"/>
      </w:pBdr>
      <w:jc w:val="both"/>
      <w:rPr>
        <w:rFonts w:hint="eastAsia"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4A3372"/>
    <w:multiLevelType w:val="singleLevel"/>
    <w:tmpl w:val="BF4A337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210"/>
  <w:drawingGridVerticalSpacing w:val="99999990"/>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862190"/>
    <w:rsid w:val="00037E4D"/>
    <w:rsid w:val="00053ABE"/>
    <w:rsid w:val="000F2BEF"/>
    <w:rsid w:val="00107004"/>
    <w:rsid w:val="00200710"/>
    <w:rsid w:val="00362326"/>
    <w:rsid w:val="00370457"/>
    <w:rsid w:val="00396CCF"/>
    <w:rsid w:val="003E290E"/>
    <w:rsid w:val="00410C35"/>
    <w:rsid w:val="00426DC4"/>
    <w:rsid w:val="00615C2B"/>
    <w:rsid w:val="00675EA3"/>
    <w:rsid w:val="0069041C"/>
    <w:rsid w:val="007614F0"/>
    <w:rsid w:val="009E7D18"/>
    <w:rsid w:val="00A57C22"/>
    <w:rsid w:val="00A704CB"/>
    <w:rsid w:val="00A9346B"/>
    <w:rsid w:val="00C01CDF"/>
    <w:rsid w:val="00D22253"/>
    <w:rsid w:val="00F0444F"/>
    <w:rsid w:val="00FB32F2"/>
    <w:rsid w:val="00FD2DAF"/>
    <w:rsid w:val="00FE06C2"/>
    <w:rsid w:val="013B4944"/>
    <w:rsid w:val="029C747B"/>
    <w:rsid w:val="05FD2B10"/>
    <w:rsid w:val="08A71DCD"/>
    <w:rsid w:val="097E4807"/>
    <w:rsid w:val="0D221AF0"/>
    <w:rsid w:val="0D927FE1"/>
    <w:rsid w:val="0E4E5CCE"/>
    <w:rsid w:val="0E5649E3"/>
    <w:rsid w:val="1049401E"/>
    <w:rsid w:val="14862190"/>
    <w:rsid w:val="1A8707A2"/>
    <w:rsid w:val="209B4FA7"/>
    <w:rsid w:val="251538C4"/>
    <w:rsid w:val="27784233"/>
    <w:rsid w:val="29DC19CE"/>
    <w:rsid w:val="29EF13F1"/>
    <w:rsid w:val="2A337FFE"/>
    <w:rsid w:val="2DE76A2F"/>
    <w:rsid w:val="32680E9C"/>
    <w:rsid w:val="342C7624"/>
    <w:rsid w:val="35CD1307"/>
    <w:rsid w:val="39A27E3D"/>
    <w:rsid w:val="3C152AF8"/>
    <w:rsid w:val="3D040192"/>
    <w:rsid w:val="41AF4685"/>
    <w:rsid w:val="452D48A5"/>
    <w:rsid w:val="46D36999"/>
    <w:rsid w:val="487E7E03"/>
    <w:rsid w:val="4CCC3C6F"/>
    <w:rsid w:val="56A135C0"/>
    <w:rsid w:val="5AA254E7"/>
    <w:rsid w:val="5C037749"/>
    <w:rsid w:val="5E17224E"/>
    <w:rsid w:val="5EBE2154"/>
    <w:rsid w:val="679C7B51"/>
    <w:rsid w:val="6AF13817"/>
    <w:rsid w:val="71B02D05"/>
    <w:rsid w:val="75BF1D13"/>
    <w:rsid w:val="76BE42FA"/>
    <w:rsid w:val="7A97500D"/>
    <w:rsid w:val="7F930804"/>
    <w:rsid w:val="7FB07FF1"/>
    <w:rsid w:val="DFDBC577"/>
    <w:rsid w:val="ECAD0497"/>
    <w:rsid w:val="F7F7FCD6"/>
    <w:rsid w:val="FBCE563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Lines="0" w:beforeAutospacing="0" w:afterLines="0" w:afterAutospacing="0" w:line="720" w:lineRule="exact"/>
      <w:jc w:val="center"/>
      <w:outlineLvl w:val="0"/>
    </w:pPr>
    <w:rPr>
      <w:rFonts w:ascii="+西文正文" w:hAnsi="+西文正文" w:eastAsia="方正黑体_GBK"/>
      <w:kern w:val="44"/>
      <w:sz w:val="36"/>
    </w:rPr>
  </w:style>
  <w:style w:type="paragraph" w:styleId="4">
    <w:name w:val="heading 2"/>
    <w:basedOn w:val="1"/>
    <w:next w:val="1"/>
    <w:qFormat/>
    <w:uiPriority w:val="0"/>
    <w:pPr>
      <w:keepNext/>
      <w:keepLines/>
      <w:spacing w:beforeLines="0" w:beforeAutospacing="0" w:afterLines="0" w:afterAutospacing="0" w:line="500" w:lineRule="exact"/>
      <w:ind w:firstLine="704" w:firstLineChars="200"/>
      <w:jc w:val="left"/>
      <w:outlineLvl w:val="1"/>
    </w:pPr>
    <w:rPr>
      <w:rFonts w:ascii="Cambria" w:hAnsi="Cambria" w:eastAsia="方正黑体_GBK"/>
      <w:sz w:val="28"/>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pacing w:line="180" w:lineRule="auto"/>
      <w:jc w:val="center"/>
    </w:pPr>
    <w:rPr>
      <w:sz w:val="30"/>
    </w:rPr>
  </w:style>
  <w:style w:type="paragraph" w:styleId="5">
    <w:name w:val="annotation text"/>
    <w:basedOn w:val="1"/>
    <w:qFormat/>
    <w:uiPriority w:val="0"/>
    <w:pPr>
      <w:adjustRightInd w:val="0"/>
      <w:spacing w:line="360" w:lineRule="atLeast"/>
      <w:jc w:val="left"/>
      <w:textAlignment w:val="baseline"/>
    </w:pPr>
    <w:rPr>
      <w:kern w:val="0"/>
      <w:sz w:val="24"/>
    </w:rPr>
  </w:style>
  <w:style w:type="paragraph" w:styleId="6">
    <w:name w:val="Body Text"/>
    <w:basedOn w:val="1"/>
    <w:semiHidden/>
    <w:qFormat/>
    <w:uiPriority w:val="0"/>
    <w:rPr>
      <w:rFonts w:ascii="方正仿宋_GBK" w:hAnsi="方正仿宋_GBK" w:eastAsia="方正仿宋_GBK" w:cs="方正仿宋_GBK"/>
      <w:sz w:val="31"/>
      <w:szCs w:val="31"/>
      <w:lang w:eastAsia="en-US"/>
    </w:rPr>
  </w:style>
  <w:style w:type="paragraph" w:styleId="7">
    <w:name w:val="Body Text Indent"/>
    <w:basedOn w:val="1"/>
    <w:next w:val="8"/>
    <w:qFormat/>
    <w:uiPriority w:val="0"/>
    <w:pPr>
      <w:spacing w:line="700" w:lineRule="exact"/>
      <w:ind w:left="960"/>
    </w:pPr>
    <w:rPr>
      <w:sz w:val="44"/>
    </w:rPr>
  </w:style>
  <w:style w:type="paragraph" w:styleId="8">
    <w:name w:val="annotation subject"/>
    <w:basedOn w:val="5"/>
    <w:next w:val="1"/>
    <w:qFormat/>
    <w:uiPriority w:val="0"/>
    <w:pPr>
      <w:adjustRightInd/>
      <w:spacing w:line="240" w:lineRule="auto"/>
      <w:textAlignment w:val="auto"/>
    </w:pPr>
  </w:style>
  <w:style w:type="paragraph" w:styleId="9">
    <w:name w:val="toc 3"/>
    <w:basedOn w:val="1"/>
    <w:next w:val="1"/>
    <w:qFormat/>
    <w:uiPriority w:val="0"/>
    <w:pPr>
      <w:ind w:left="840" w:leftChars="400"/>
    </w:pPr>
  </w:style>
  <w:style w:type="paragraph" w:styleId="10">
    <w:name w:val="Date"/>
    <w:basedOn w:val="1"/>
    <w:next w:val="1"/>
    <w:qFormat/>
    <w:uiPriority w:val="0"/>
  </w:style>
  <w:style w:type="paragraph" w:styleId="11">
    <w:name w:val="Body Text Indent 2"/>
    <w:basedOn w:val="1"/>
    <w:qFormat/>
    <w:uiPriority w:val="0"/>
    <w:pPr>
      <w:snapToGrid w:val="0"/>
      <w:spacing w:line="440" w:lineRule="atLeast"/>
      <w:ind w:firstLine="570"/>
    </w:pPr>
    <w:rPr>
      <w:rFonts w:ascii="宋体"/>
    </w:rPr>
  </w:style>
  <w:style w:type="paragraph" w:styleId="12">
    <w:name w:val="footer"/>
    <w:basedOn w:val="1"/>
    <w:next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2"/>
    <w:basedOn w:val="1"/>
    <w:next w:val="1"/>
    <w:qFormat/>
    <w:uiPriority w:val="0"/>
    <w:pPr>
      <w:ind w:left="420" w:leftChars="200"/>
    </w:pPr>
  </w:style>
  <w:style w:type="paragraph" w:styleId="15">
    <w:name w:val="Body Text First Indent 2"/>
    <w:basedOn w:val="7"/>
    <w:qFormat/>
    <w:uiPriority w:val="0"/>
    <w:pPr>
      <w:spacing w:after="120" w:afterLines="0" w:line="240" w:lineRule="auto"/>
      <w:ind w:left="420" w:leftChars="200" w:firstLine="420" w:firstLineChars="200"/>
    </w:pPr>
  </w:style>
  <w:style w:type="character" w:styleId="18">
    <w:name w:val="page number"/>
    <w:qFormat/>
    <w:uiPriority w:val="0"/>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6438</Words>
  <Characters>6860</Characters>
  <Lines>106</Lines>
  <Paragraphs>30</Paragraphs>
  <TotalTime>11</TotalTime>
  <ScaleCrop>false</ScaleCrop>
  <LinksUpToDate>false</LinksUpToDate>
  <CharactersWithSpaces>7019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2025-06-04T06:11:00Z</dcterms:created>
  <dc:creator>wy</dc:creator>
  <cp:lastModifiedBy>吴其宏</cp:lastModifiedBy>
  <dcterms:modified xsi:type="dcterms:W3CDTF">2025-10-11T06:45:15Z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D0D05720819E493182473BF06409DE8F_13</vt:lpwstr>
  </property>
  <property fmtid="{D5CDD505-2E9C-101B-9397-08002B2CF9AE}" pid="4" name="KSOTemplateDocerSaveRecord">
    <vt:lpwstr>eyJoZGlkIjoiZTNlZjVmMTE4NmVmMTU2ZTM0MDJkYTQyYzk5ZDRjMGQiLCJ1c2VySWQiOiIzODEyNzQwNDIifQ==</vt:lpwstr>
  </property>
</Properties>
</file>