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D7F38C">
      <w:pPr>
        <w:jc w:val="center"/>
        <w:rPr>
          <w:rFonts w:ascii="宋体" w:hAnsi="宋体" w:cs="宋体"/>
          <w:color w:val="auto"/>
          <w:highlight w:val="none"/>
        </w:rPr>
      </w:pPr>
    </w:p>
    <w:p w14:paraId="2E5C58E9">
      <w:pPr>
        <w:jc w:val="center"/>
        <w:rPr>
          <w:rFonts w:ascii="宋体" w:hAnsi="宋体" w:cs="宋体"/>
          <w:color w:val="auto"/>
          <w:highlight w:val="none"/>
        </w:rPr>
      </w:pPr>
    </w:p>
    <w:p w14:paraId="5FEB0592">
      <w:pPr>
        <w:jc w:val="center"/>
        <w:rPr>
          <w:rFonts w:ascii="宋体" w:hAnsi="宋体" w:cs="宋体"/>
          <w:color w:val="auto"/>
          <w:highlight w:val="none"/>
        </w:rPr>
      </w:pPr>
    </w:p>
    <w:p w14:paraId="4A220206">
      <w:pPr>
        <w:jc w:val="center"/>
        <w:rPr>
          <w:rFonts w:ascii="宋体" w:hAnsi="宋体" w:cs="宋体"/>
          <w:color w:val="auto"/>
          <w:highlight w:val="none"/>
        </w:rPr>
      </w:pPr>
    </w:p>
    <w:p w14:paraId="4F7B1A37">
      <w:pPr>
        <w:jc w:val="center"/>
        <w:rPr>
          <w:rFonts w:ascii="宋体" w:hAnsi="宋体" w:cs="宋体"/>
          <w:color w:val="auto"/>
          <w:highlight w:val="none"/>
        </w:rPr>
      </w:pPr>
    </w:p>
    <w:p w14:paraId="02AC64FA">
      <w:pPr>
        <w:jc w:val="center"/>
        <w:rPr>
          <w:rFonts w:ascii="宋体" w:hAnsi="宋体" w:cs="宋体"/>
          <w:color w:val="auto"/>
          <w:sz w:val="144"/>
          <w:szCs w:val="144"/>
          <w:highlight w:val="none"/>
        </w:rPr>
      </w:pPr>
      <w:r>
        <w:rPr>
          <w:rFonts w:hint="eastAsia" w:ascii="宋体" w:hAnsi="宋体" w:cs="宋体"/>
          <w:color w:val="auto"/>
          <w:sz w:val="112"/>
          <w:szCs w:val="112"/>
          <w:highlight w:val="none"/>
        </w:rPr>
        <w:t>竞争性比选文件</w:t>
      </w:r>
    </w:p>
    <w:p w14:paraId="1C0EEC88">
      <w:pPr>
        <w:spacing w:line="700" w:lineRule="exact"/>
        <w:jc w:val="center"/>
        <w:rPr>
          <w:rFonts w:ascii="宋体" w:hAnsi="宋体" w:cs="宋体"/>
          <w:color w:val="auto"/>
          <w:sz w:val="32"/>
          <w:highlight w:val="none"/>
        </w:rPr>
      </w:pPr>
    </w:p>
    <w:p w14:paraId="06229876">
      <w:pPr>
        <w:spacing w:line="700" w:lineRule="exact"/>
        <w:jc w:val="center"/>
        <w:rPr>
          <w:rFonts w:ascii="宋体" w:hAnsi="宋体" w:cs="宋体"/>
          <w:color w:val="auto"/>
          <w:sz w:val="32"/>
          <w:highlight w:val="none"/>
        </w:rPr>
      </w:pPr>
    </w:p>
    <w:p w14:paraId="5AA5FD37">
      <w:pPr>
        <w:spacing w:line="700" w:lineRule="exact"/>
        <w:jc w:val="center"/>
        <w:rPr>
          <w:rFonts w:ascii="宋体" w:hAnsi="宋体" w:cs="宋体"/>
          <w:color w:val="auto"/>
          <w:sz w:val="32"/>
          <w:highlight w:val="none"/>
        </w:rPr>
      </w:pPr>
    </w:p>
    <w:p w14:paraId="591335A8">
      <w:pPr>
        <w:spacing w:line="500" w:lineRule="exact"/>
        <w:ind w:firstLine="2080" w:firstLineChars="650"/>
        <w:outlineLvl w:val="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AB7CCE9">
      <w:pPr>
        <w:spacing w:line="600" w:lineRule="exact"/>
        <w:jc w:val="center"/>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采购执行编号：JZHYZB-20250</w:t>
      </w:r>
      <w:r>
        <w:rPr>
          <w:rFonts w:hint="eastAsia" w:ascii="宋体" w:hAnsi="宋体" w:cs="宋体"/>
          <w:color w:val="auto"/>
          <w:sz w:val="32"/>
          <w:szCs w:val="32"/>
          <w:highlight w:val="none"/>
          <w:lang w:val="en-US" w:eastAsia="zh-CN"/>
        </w:rPr>
        <w:t>903</w:t>
      </w:r>
    </w:p>
    <w:p w14:paraId="7180FA6A">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比选项目名称：</w:t>
      </w:r>
      <w:r>
        <w:rPr>
          <w:rFonts w:hint="eastAsia" w:ascii="宋体" w:hAnsi="宋体" w:cs="宋体"/>
          <w:color w:val="auto"/>
          <w:sz w:val="32"/>
          <w:szCs w:val="32"/>
          <w:highlight w:val="none"/>
          <w:lang w:eastAsia="zh-CN"/>
        </w:rPr>
        <w:t>骏逸新视界5栋电梯更新改造工程</w:t>
      </w:r>
    </w:p>
    <w:p w14:paraId="2FD95681">
      <w:pPr>
        <w:spacing w:line="600" w:lineRule="exact"/>
        <w:jc w:val="center"/>
        <w:rPr>
          <w:rFonts w:ascii="宋体" w:hAnsi="宋体" w:cs="宋体"/>
          <w:color w:val="auto"/>
          <w:sz w:val="32"/>
          <w:szCs w:val="32"/>
          <w:highlight w:val="none"/>
        </w:rPr>
      </w:pPr>
    </w:p>
    <w:p w14:paraId="03C8A79C">
      <w:pPr>
        <w:spacing w:line="600" w:lineRule="exact"/>
        <w:jc w:val="center"/>
        <w:rPr>
          <w:rFonts w:ascii="宋体" w:hAnsi="宋体" w:cs="宋体"/>
          <w:color w:val="auto"/>
          <w:sz w:val="32"/>
          <w:szCs w:val="32"/>
          <w:highlight w:val="none"/>
        </w:rPr>
      </w:pPr>
    </w:p>
    <w:p w14:paraId="05E3B626">
      <w:pPr>
        <w:spacing w:line="600" w:lineRule="exact"/>
        <w:jc w:val="center"/>
        <w:rPr>
          <w:rFonts w:ascii="宋体" w:hAnsi="宋体" w:cs="宋体"/>
          <w:color w:val="auto"/>
          <w:sz w:val="32"/>
          <w:szCs w:val="32"/>
          <w:highlight w:val="none"/>
        </w:rPr>
      </w:pPr>
    </w:p>
    <w:p w14:paraId="3C1A17D0">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采购人：重庆新隆信物业管理有限公司 </w:t>
      </w:r>
    </w:p>
    <w:p w14:paraId="5C424622">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采购代理机构：重庆靖正恒悦项目管理有限公司</w:t>
      </w:r>
    </w:p>
    <w:p w14:paraId="185BA0CE">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val="en-US" w:eastAsia="zh-CN"/>
        </w:rPr>
        <w:t>九</w:t>
      </w:r>
      <w:r>
        <w:rPr>
          <w:rFonts w:hint="eastAsia" w:ascii="宋体" w:hAnsi="宋体" w:cs="宋体"/>
          <w:color w:val="auto"/>
          <w:sz w:val="32"/>
          <w:szCs w:val="32"/>
          <w:highlight w:val="none"/>
        </w:rPr>
        <w:t>月</w:t>
      </w:r>
    </w:p>
    <w:p w14:paraId="31DB2FC4">
      <w:pPr>
        <w:spacing w:line="600" w:lineRule="exact"/>
        <w:jc w:val="center"/>
        <w:rPr>
          <w:rFonts w:ascii="宋体" w:hAnsi="宋体" w:cs="宋体"/>
          <w:color w:val="auto"/>
          <w:sz w:val="32"/>
          <w:szCs w:val="32"/>
          <w:highlight w:val="none"/>
        </w:rPr>
        <w:sectPr>
          <w:footerReference r:id="rId6" w:type="first"/>
          <w:headerReference r:id="rId3" w:type="default"/>
          <w:footerReference r:id="rId4" w:type="default"/>
          <w:footerReference r:id="rId5" w:type="even"/>
          <w:pgSz w:w="11907" w:h="16840"/>
          <w:pgMar w:top="1134" w:right="953" w:bottom="1134" w:left="1134" w:header="851" w:footer="992" w:gutter="0"/>
          <w:pgNumType w:fmt="numberInDash" w:start="1"/>
          <w:cols w:space="720" w:num="1"/>
          <w:titlePg/>
          <w:docGrid w:linePitch="381" w:charSpace="-5735"/>
        </w:sectPr>
      </w:pPr>
    </w:p>
    <w:p w14:paraId="4556064E">
      <w:pPr>
        <w:pStyle w:val="38"/>
        <w:tabs>
          <w:tab w:val="right" w:leader="dot" w:pos="9355"/>
        </w:tabs>
        <w:rPr>
          <w:rFonts w:ascii="宋体" w:hAnsi="宋体" w:cs="宋体"/>
          <w:color w:val="auto"/>
          <w:sz w:val="36"/>
          <w:szCs w:val="30"/>
          <w:highlight w:val="none"/>
        </w:rPr>
      </w:pPr>
      <w:bookmarkStart w:id="0" w:name="_Toc24173"/>
      <w:bookmarkStart w:id="1" w:name="_Toc15726"/>
      <w:bookmarkStart w:id="2" w:name="_Toc24817"/>
      <w:bookmarkStart w:id="3" w:name="_Toc12789052"/>
      <w:bookmarkStart w:id="4" w:name="_Toc11641050"/>
      <w:bookmarkStart w:id="5" w:name="_Toc65660329"/>
      <w:bookmarkStart w:id="6" w:name="_Toc7502"/>
    </w:p>
    <w:p w14:paraId="0DE1087B">
      <w:pPr>
        <w:pStyle w:val="38"/>
        <w:tabs>
          <w:tab w:val="right" w:leader="dot" w:pos="9355"/>
        </w:tabs>
        <w:spacing w:line="720" w:lineRule="exact"/>
        <w:rPr>
          <w:rFonts w:ascii="宋体" w:hAnsi="宋体" w:cs="宋体"/>
          <w:color w:val="auto"/>
          <w:sz w:val="36"/>
          <w:szCs w:val="30"/>
          <w:highlight w:val="none"/>
        </w:rPr>
      </w:pPr>
      <w:r>
        <w:rPr>
          <w:rFonts w:hint="eastAsia" w:ascii="宋体" w:hAnsi="宋体" w:cs="宋体"/>
          <w:color w:val="auto"/>
          <w:sz w:val="36"/>
          <w:szCs w:val="30"/>
          <w:highlight w:val="none"/>
        </w:rPr>
        <w:t>目  录</w:t>
      </w:r>
    </w:p>
    <w:p w14:paraId="1F8E757C">
      <w:pPr>
        <w:pStyle w:val="38"/>
        <w:tabs>
          <w:tab w:val="right" w:leader="dot" w:pos="9355"/>
        </w:tabs>
        <w:rPr>
          <w:rFonts w:ascii="宋体" w:hAnsi="宋体" w:cs="宋体"/>
          <w:color w:val="auto"/>
          <w:sz w:val="36"/>
          <w:szCs w:val="30"/>
          <w:highlight w:val="none"/>
        </w:rPr>
      </w:pPr>
    </w:p>
    <w:p w14:paraId="057E57ED">
      <w:pPr>
        <w:pStyle w:val="38"/>
        <w:tabs>
          <w:tab w:val="right" w:leader="dot" w:pos="9355"/>
        </w:tabs>
        <w:rPr>
          <w:color w:val="auto"/>
          <w:highlight w:val="none"/>
        </w:rPr>
      </w:pPr>
      <w:r>
        <w:rPr>
          <w:rFonts w:hint="eastAsia" w:ascii="宋体" w:hAnsi="宋体" w:cs="宋体"/>
          <w:color w:val="auto"/>
          <w:sz w:val="36"/>
          <w:szCs w:val="30"/>
          <w:highlight w:val="none"/>
        </w:rPr>
        <w:fldChar w:fldCharType="begin"/>
      </w:r>
      <w:r>
        <w:rPr>
          <w:rFonts w:hint="eastAsia" w:ascii="宋体" w:hAnsi="宋体" w:cs="宋体"/>
          <w:color w:val="auto"/>
          <w:sz w:val="36"/>
          <w:szCs w:val="30"/>
          <w:highlight w:val="none"/>
        </w:rPr>
        <w:instrText xml:space="preserve">TOC \o "1-1" \h \u </w:instrText>
      </w:r>
      <w:r>
        <w:rPr>
          <w:rFonts w:hint="eastAsia" w:ascii="宋体" w:hAnsi="宋体" w:cs="宋体"/>
          <w:color w:val="auto"/>
          <w:sz w:val="36"/>
          <w:szCs w:val="30"/>
          <w:highlight w:val="none"/>
        </w:rPr>
        <w:fldChar w:fldCharType="separate"/>
      </w:r>
      <w:r>
        <w:rPr>
          <w:color w:val="auto"/>
          <w:highlight w:val="none"/>
        </w:rPr>
        <w:fldChar w:fldCharType="begin"/>
      </w:r>
      <w:r>
        <w:rPr>
          <w:color w:val="auto"/>
          <w:highlight w:val="none"/>
        </w:rPr>
        <w:instrText xml:space="preserve"> HYPERLINK \l "_Toc24374" </w:instrText>
      </w:r>
      <w:r>
        <w:rPr>
          <w:color w:val="auto"/>
          <w:highlight w:val="none"/>
        </w:rPr>
        <w:fldChar w:fldCharType="separate"/>
      </w:r>
      <w:r>
        <w:rPr>
          <w:rFonts w:hint="eastAsia" w:ascii="宋体" w:hAnsi="宋体" w:cs="宋体"/>
          <w:bCs/>
          <w:color w:val="auto"/>
          <w:szCs w:val="30"/>
          <w:highlight w:val="none"/>
        </w:rPr>
        <w:t xml:space="preserve">第一篇  </w:t>
      </w:r>
      <w:r>
        <w:rPr>
          <w:rFonts w:hint="eastAsia" w:hAnsi="宋体" w:cs="宋体"/>
          <w:bCs/>
          <w:color w:val="auto"/>
          <w:szCs w:val="30"/>
          <w:highlight w:val="none"/>
        </w:rPr>
        <w:t>比选</w:t>
      </w:r>
      <w:r>
        <w:rPr>
          <w:rFonts w:hint="eastAsia" w:ascii="宋体" w:hAnsi="宋体" w:cs="宋体"/>
          <w:bCs/>
          <w:color w:val="auto"/>
          <w:szCs w:val="30"/>
          <w:highlight w:val="none"/>
        </w:rPr>
        <w:t>采购邀请书</w:t>
      </w:r>
      <w:r>
        <w:rPr>
          <w:color w:val="auto"/>
          <w:highlight w:val="none"/>
        </w:rPr>
        <w:tab/>
      </w:r>
      <w:r>
        <w:rPr>
          <w:color w:val="auto"/>
          <w:highlight w:val="none"/>
        </w:rPr>
        <w:fldChar w:fldCharType="begin"/>
      </w:r>
      <w:r>
        <w:rPr>
          <w:color w:val="auto"/>
          <w:highlight w:val="none"/>
        </w:rPr>
        <w:instrText xml:space="preserve"> PAGEREF _Toc24374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C70A553">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"_Toc7067" </w:instrText>
      </w:r>
      <w:r>
        <w:rPr>
          <w:color w:val="auto"/>
          <w:highlight w:val="none"/>
        </w:rPr>
        <w:fldChar w:fldCharType="separate"/>
      </w:r>
      <w:r>
        <w:rPr>
          <w:rFonts w:hint="eastAsia" w:ascii="宋体" w:hAnsi="宋体" w:cs="宋体"/>
          <w:bCs/>
          <w:color w:val="auto"/>
          <w:szCs w:val="30"/>
          <w:highlight w:val="none"/>
        </w:rPr>
        <w:t xml:space="preserve">第二篇  </w:t>
      </w:r>
      <w:r>
        <w:rPr>
          <w:rFonts w:hint="eastAsia" w:hAnsi="宋体" w:cs="宋体"/>
          <w:bCs/>
          <w:color w:val="auto"/>
          <w:szCs w:val="30"/>
          <w:highlight w:val="none"/>
        </w:rPr>
        <w:t>比选</w:t>
      </w:r>
      <w:r>
        <w:rPr>
          <w:rFonts w:hint="eastAsia" w:ascii="宋体" w:hAnsi="宋体" w:cs="宋体"/>
          <w:bCs/>
          <w:color w:val="auto"/>
          <w:szCs w:val="30"/>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_Toc7067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2DED46A7">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"_Toc16875" </w:instrText>
      </w:r>
      <w:r>
        <w:rPr>
          <w:color w:val="auto"/>
          <w:highlight w:val="none"/>
        </w:rPr>
        <w:fldChar w:fldCharType="separate"/>
      </w:r>
      <w:r>
        <w:rPr>
          <w:rFonts w:hint="eastAsia" w:ascii="宋体" w:hAnsi="宋体" w:cs="宋体"/>
          <w:bCs/>
          <w:color w:val="auto"/>
          <w:szCs w:val="30"/>
          <w:highlight w:val="none"/>
        </w:rPr>
        <w:t xml:space="preserve">第三篇  </w:t>
      </w:r>
      <w:r>
        <w:rPr>
          <w:rFonts w:hint="eastAsia" w:hAnsi="宋体" w:cs="宋体"/>
          <w:bCs/>
          <w:color w:val="auto"/>
          <w:szCs w:val="30"/>
          <w:highlight w:val="none"/>
        </w:rPr>
        <w:t>比选</w:t>
      </w:r>
      <w:r>
        <w:rPr>
          <w:rFonts w:hint="eastAsia" w:ascii="宋体" w:hAnsi="宋体" w:cs="宋体"/>
          <w:bCs/>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_Toc16875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21FE76B5">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"_Toc24816" </w:instrText>
      </w:r>
      <w:r>
        <w:rPr>
          <w:color w:val="auto"/>
          <w:highlight w:val="none"/>
        </w:rPr>
        <w:fldChar w:fldCharType="separate"/>
      </w:r>
      <w:r>
        <w:rPr>
          <w:rFonts w:hint="eastAsia" w:ascii="宋体" w:hAnsi="宋体" w:cs="宋体"/>
          <w:bCs/>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70F7F505">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"_Toc8372" </w:instrText>
      </w:r>
      <w:r>
        <w:rPr>
          <w:color w:val="auto"/>
          <w:highlight w:val="none"/>
        </w:rPr>
        <w:fldChar w:fldCharType="separate"/>
      </w:r>
      <w:r>
        <w:rPr>
          <w:rFonts w:hint="eastAsia" w:ascii="宋体" w:hAnsi="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_Toc8372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02958E9">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"_Toc21218" </w:instrText>
      </w:r>
      <w:r>
        <w:rPr>
          <w:color w:val="auto"/>
          <w:highlight w:val="none"/>
        </w:rPr>
        <w:fldChar w:fldCharType="separate"/>
      </w:r>
      <w:r>
        <w:rPr>
          <w:rFonts w:hint="eastAsia" w:ascii="宋体" w:hAnsi="宋体" w:cs="宋体"/>
          <w:bCs/>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_Toc21218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5A0DE792">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"_Toc20499" </w:instrText>
      </w:r>
      <w:r>
        <w:rPr>
          <w:color w:val="auto"/>
          <w:highlight w:val="none"/>
        </w:rPr>
        <w:fldChar w:fldCharType="separate"/>
      </w:r>
      <w:r>
        <w:rPr>
          <w:rFonts w:hint="eastAsia" w:ascii="宋体" w:hAnsi="宋体" w:cs="宋体"/>
          <w:bCs/>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_Toc20499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14:paraId="76143230">
      <w:pPr>
        <w:rPr>
          <w:rFonts w:ascii="宋体" w:hAnsi="宋体" w:cs="宋体"/>
          <w:color w:val="auto"/>
          <w:sz w:val="36"/>
          <w:szCs w:val="30"/>
          <w:highlight w:val="none"/>
        </w:rPr>
      </w:pPr>
      <w:r>
        <w:rPr>
          <w:rFonts w:hint="eastAsia" w:ascii="宋体" w:hAnsi="宋体" w:cs="宋体"/>
          <w:color w:val="auto"/>
          <w:szCs w:val="30"/>
          <w:highlight w:val="none"/>
        </w:rPr>
        <w:fldChar w:fldCharType="end"/>
      </w:r>
    </w:p>
    <w:p w14:paraId="142B26C6">
      <w:pPr>
        <w:rPr>
          <w:rFonts w:ascii="宋体" w:hAnsi="宋体" w:cs="宋体"/>
          <w:color w:val="auto"/>
          <w:highlight w:val="none"/>
        </w:rPr>
      </w:pPr>
      <w:r>
        <w:rPr>
          <w:rFonts w:hint="eastAsia" w:ascii="宋体" w:hAnsi="宋体" w:cs="宋体"/>
          <w:color w:val="auto"/>
          <w:highlight w:val="none"/>
        </w:rPr>
        <w:br w:type="page"/>
      </w:r>
    </w:p>
    <w:p w14:paraId="2BC71519">
      <w:pPr>
        <w:pStyle w:val="2"/>
        <w:jc w:val="center"/>
        <w:rPr>
          <w:rFonts w:hAnsi="宋体" w:cs="宋体"/>
          <w:b/>
          <w:bCs/>
          <w:color w:val="auto"/>
          <w:sz w:val="30"/>
          <w:szCs w:val="30"/>
          <w:highlight w:val="none"/>
        </w:rPr>
      </w:pPr>
      <w:bookmarkStart w:id="7" w:name="_Toc24374"/>
      <w:r>
        <w:rPr>
          <w:rFonts w:hint="eastAsia" w:hAnsi="宋体" w:cs="宋体"/>
          <w:b/>
          <w:bCs/>
          <w:color w:val="auto"/>
          <w:sz w:val="30"/>
          <w:szCs w:val="30"/>
          <w:highlight w:val="none"/>
        </w:rPr>
        <w:t>第一篇  比选采购邀请书</w:t>
      </w:r>
      <w:bookmarkEnd w:id="0"/>
      <w:bookmarkEnd w:id="1"/>
      <w:bookmarkEnd w:id="2"/>
      <w:bookmarkEnd w:id="3"/>
      <w:bookmarkEnd w:id="4"/>
      <w:bookmarkEnd w:id="5"/>
      <w:bookmarkEnd w:id="6"/>
      <w:bookmarkEnd w:id="7"/>
    </w:p>
    <w:p w14:paraId="37B7374C">
      <w:pPr>
        <w:snapToGrid w:val="0"/>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重庆新隆信物业管理有限公司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骏逸新视界5栋电梯更新改造工程</w:t>
      </w:r>
      <w:r>
        <w:rPr>
          <w:rFonts w:hint="eastAsia" w:ascii="宋体" w:hAnsi="宋体" w:cs="宋体"/>
          <w:color w:val="auto"/>
          <w:sz w:val="24"/>
          <w:szCs w:val="24"/>
          <w:highlight w:val="none"/>
        </w:rPr>
        <w:t>进行竞争性比选采购。欢迎有资格的供应商前来参加报价。</w:t>
      </w:r>
    </w:p>
    <w:p w14:paraId="2E01F924">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8" w:name="_Toc7758"/>
      <w:bookmarkStart w:id="9" w:name="_Toc313893526"/>
      <w:bookmarkStart w:id="10" w:name="_Toc26091"/>
      <w:bookmarkStart w:id="11" w:name="_Toc65660330"/>
      <w:bookmarkStart w:id="12" w:name="_Toc9650"/>
      <w:bookmarkStart w:id="13" w:name="_Toc317775175"/>
      <w:bookmarkStart w:id="14" w:name="_Toc18246"/>
      <w:r>
        <w:rPr>
          <w:rFonts w:hint="eastAsia" w:ascii="宋体" w:hAnsi="宋体" w:cs="宋体"/>
          <w:b/>
          <w:color w:val="auto"/>
          <w:sz w:val="24"/>
          <w:highlight w:val="none"/>
        </w:rPr>
        <w:t>一、比选内容</w:t>
      </w:r>
      <w:bookmarkEnd w:id="8"/>
      <w:bookmarkEnd w:id="9"/>
      <w:bookmarkEnd w:id="10"/>
      <w:bookmarkEnd w:id="11"/>
      <w:bookmarkEnd w:id="12"/>
      <w:bookmarkEnd w:id="13"/>
      <w:bookmarkEnd w:id="14"/>
    </w:p>
    <w:tbl>
      <w:tblPr>
        <w:tblStyle w:val="59"/>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4"/>
        <w:gridCol w:w="1845"/>
        <w:gridCol w:w="1391"/>
        <w:gridCol w:w="1740"/>
      </w:tblGrid>
      <w:tr w14:paraId="6025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2" w:type="pct"/>
            <w:tcBorders>
              <w:top w:val="single" w:color="auto" w:sz="4" w:space="0"/>
              <w:left w:val="single" w:color="auto" w:sz="4" w:space="0"/>
              <w:right w:val="single" w:color="auto" w:sz="4" w:space="0"/>
            </w:tcBorders>
            <w:vAlign w:val="center"/>
          </w:tcPr>
          <w:p w14:paraId="12B9E6E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名称</w:t>
            </w:r>
          </w:p>
        </w:tc>
        <w:tc>
          <w:tcPr>
            <w:tcW w:w="1048" w:type="pct"/>
            <w:tcBorders>
              <w:top w:val="single" w:color="auto" w:sz="4" w:space="0"/>
              <w:left w:val="single" w:color="auto" w:sz="4" w:space="0"/>
              <w:right w:val="single" w:color="auto" w:sz="4" w:space="0"/>
            </w:tcBorders>
            <w:vAlign w:val="center"/>
          </w:tcPr>
          <w:p w14:paraId="46C9392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最高限价（万元）</w:t>
            </w:r>
          </w:p>
        </w:tc>
        <w:tc>
          <w:tcPr>
            <w:tcW w:w="790" w:type="pct"/>
            <w:tcBorders>
              <w:top w:val="single" w:color="auto" w:sz="4" w:space="0"/>
              <w:left w:val="single" w:color="auto" w:sz="4" w:space="0"/>
              <w:right w:val="single" w:color="auto" w:sz="4" w:space="0"/>
            </w:tcBorders>
            <w:vAlign w:val="center"/>
          </w:tcPr>
          <w:p w14:paraId="1305391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投标保证金</w:t>
            </w:r>
          </w:p>
          <w:p w14:paraId="1A331F8D">
            <w:pPr>
              <w:keepNext w:val="0"/>
              <w:keepLines w:val="0"/>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（万元）</w:t>
            </w:r>
          </w:p>
        </w:tc>
        <w:tc>
          <w:tcPr>
            <w:tcW w:w="988" w:type="pct"/>
            <w:tcBorders>
              <w:top w:val="single" w:color="auto" w:sz="4" w:space="0"/>
              <w:left w:val="single" w:color="auto" w:sz="4" w:space="0"/>
              <w:right w:val="single" w:color="auto" w:sz="4" w:space="0"/>
            </w:tcBorders>
            <w:vAlign w:val="center"/>
          </w:tcPr>
          <w:p w14:paraId="5E92B572">
            <w:pPr>
              <w:keepNext w:val="0"/>
              <w:keepLines w:val="0"/>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r>
      <w:tr w14:paraId="5E97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72" w:type="pct"/>
            <w:tcBorders>
              <w:top w:val="single" w:color="auto" w:sz="4" w:space="0"/>
              <w:left w:val="single" w:color="auto" w:sz="4" w:space="0"/>
              <w:bottom w:val="single" w:color="auto" w:sz="4" w:space="0"/>
              <w:right w:val="single" w:color="auto" w:sz="4" w:space="0"/>
            </w:tcBorders>
            <w:vAlign w:val="center"/>
          </w:tcPr>
          <w:p w14:paraId="64252D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4"/>
                <w:highlight w:val="none"/>
                <w:lang w:eastAsia="zh-CN"/>
              </w:rPr>
            </w:pPr>
            <w:bookmarkStart w:id="15" w:name="_Hlk344477914"/>
            <w:r>
              <w:rPr>
                <w:rFonts w:hint="eastAsia" w:ascii="宋体" w:hAnsi="宋体" w:cs="宋体"/>
                <w:color w:val="auto"/>
                <w:sz w:val="24"/>
                <w:szCs w:val="24"/>
                <w:highlight w:val="none"/>
                <w:lang w:eastAsia="zh-CN"/>
              </w:rPr>
              <w:t>骏逸新视界5栋电梯更新改造工程</w:t>
            </w:r>
          </w:p>
        </w:tc>
        <w:tc>
          <w:tcPr>
            <w:tcW w:w="1048" w:type="pct"/>
            <w:tcBorders>
              <w:top w:val="single" w:color="auto" w:sz="4" w:space="0"/>
              <w:left w:val="single" w:color="auto" w:sz="4" w:space="0"/>
              <w:bottom w:val="single" w:color="auto" w:sz="4" w:space="0"/>
              <w:right w:val="single" w:color="auto" w:sz="4" w:space="0"/>
            </w:tcBorders>
            <w:vAlign w:val="center"/>
          </w:tcPr>
          <w:p w14:paraId="73E88D38">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70</w:t>
            </w:r>
          </w:p>
        </w:tc>
        <w:tc>
          <w:tcPr>
            <w:tcW w:w="790" w:type="pct"/>
            <w:tcBorders>
              <w:top w:val="single" w:color="auto" w:sz="4" w:space="0"/>
              <w:left w:val="single" w:color="auto" w:sz="4" w:space="0"/>
              <w:bottom w:val="single" w:color="auto" w:sz="4" w:space="0"/>
              <w:right w:val="single" w:color="auto" w:sz="4" w:space="0"/>
            </w:tcBorders>
            <w:vAlign w:val="center"/>
          </w:tcPr>
          <w:p w14:paraId="092FEC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988" w:type="pct"/>
            <w:tcBorders>
              <w:top w:val="single" w:color="auto" w:sz="4" w:space="0"/>
              <w:left w:val="single" w:color="auto" w:sz="4" w:space="0"/>
              <w:bottom w:val="single" w:color="auto" w:sz="4" w:space="0"/>
              <w:right w:val="single" w:color="auto" w:sz="4" w:space="0"/>
            </w:tcBorders>
            <w:vAlign w:val="center"/>
          </w:tcPr>
          <w:p w14:paraId="0C1A66D4">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r>
      <w:bookmarkEnd w:id="15"/>
    </w:tbl>
    <w:p w14:paraId="4FE0FA51">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16" w:name="_Toc65660331"/>
      <w:bookmarkStart w:id="17" w:name="_Toc4424"/>
      <w:bookmarkStart w:id="18" w:name="_Toc3256"/>
      <w:bookmarkStart w:id="19" w:name="_Toc29483"/>
      <w:bookmarkStart w:id="20" w:name="_Toc27028"/>
      <w:bookmarkStart w:id="21" w:name="_Toc373860293"/>
      <w:bookmarkStart w:id="22" w:name="_Toc317775178"/>
      <w:r>
        <w:rPr>
          <w:rFonts w:hint="eastAsia" w:ascii="宋体" w:hAnsi="宋体" w:cs="宋体"/>
          <w:b/>
          <w:color w:val="auto"/>
          <w:sz w:val="24"/>
          <w:highlight w:val="none"/>
        </w:rPr>
        <w:t>二、资金来源</w:t>
      </w:r>
      <w:bookmarkEnd w:id="16"/>
      <w:bookmarkEnd w:id="17"/>
      <w:bookmarkEnd w:id="18"/>
      <w:bookmarkEnd w:id="19"/>
      <w:bookmarkEnd w:id="20"/>
    </w:p>
    <w:p w14:paraId="6EAB14C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物业专项维修资金和争取国债补贴。</w:t>
      </w:r>
      <w:bookmarkStart w:id="23" w:name="_Toc64731996"/>
      <w:bookmarkStart w:id="24" w:name="_Toc20867"/>
      <w:bookmarkStart w:id="25" w:name="_Toc13541"/>
      <w:bookmarkStart w:id="26" w:name="_Toc18548"/>
      <w:bookmarkStart w:id="27" w:name="_Toc2244"/>
      <w:bookmarkStart w:id="28" w:name="_Toc65660332"/>
    </w:p>
    <w:p w14:paraId="5ED65A34">
      <w:pPr>
        <w:numPr>
          <w:ilvl w:val="0"/>
          <w:numId w:val="12"/>
        </w:numPr>
        <w:spacing w:line="392"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供应商资格条件</w:t>
      </w:r>
      <w:bookmarkEnd w:id="23"/>
      <w:bookmarkEnd w:id="24"/>
      <w:bookmarkEnd w:id="25"/>
      <w:bookmarkEnd w:id="26"/>
      <w:bookmarkEnd w:id="27"/>
      <w:bookmarkEnd w:id="28"/>
      <w:bookmarkStart w:id="29" w:name="_Toc19434"/>
      <w:bookmarkStart w:id="30" w:name="_Toc16272"/>
      <w:bookmarkStart w:id="31" w:name="_Toc20379"/>
      <w:bookmarkStart w:id="32" w:name="_Toc9086"/>
      <w:bookmarkStart w:id="33" w:name="_Toc1386"/>
      <w:bookmarkStart w:id="34" w:name="_Toc13903"/>
      <w:bookmarkStart w:id="35" w:name="_Toc11908"/>
      <w:bookmarkStart w:id="36" w:name="_Toc30747"/>
      <w:bookmarkStart w:id="37" w:name="_Toc65660333"/>
    </w:p>
    <w:p w14:paraId="3B950374">
      <w:pPr>
        <w:spacing w:line="392" w:lineRule="exact"/>
        <w:ind w:firstLine="420"/>
        <w:rPr>
          <w:rFonts w:ascii="宋体" w:hAnsi="宋体" w:cs="宋体"/>
          <w:b/>
          <w:bCs/>
          <w:color w:val="auto"/>
          <w:highlight w:val="none"/>
        </w:rPr>
      </w:pPr>
      <w:r>
        <w:rPr>
          <w:rFonts w:hint="eastAsia" w:ascii="宋体" w:hAnsi="宋体" w:cs="宋体"/>
          <w:b/>
          <w:bCs/>
          <w:color w:val="auto"/>
          <w:sz w:val="24"/>
          <w:szCs w:val="24"/>
          <w:highlight w:val="none"/>
        </w:rPr>
        <w:t>（一）基本资格条件</w:t>
      </w:r>
      <w:bookmarkEnd w:id="29"/>
      <w:bookmarkEnd w:id="30"/>
      <w:bookmarkEnd w:id="31"/>
      <w:bookmarkEnd w:id="32"/>
    </w:p>
    <w:p w14:paraId="17749448">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具有独立承担民事责任的能力；</w:t>
      </w:r>
    </w:p>
    <w:p w14:paraId="44C0EF4C">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具有良好的商业信誉和健全的财务会计制度；</w:t>
      </w:r>
    </w:p>
    <w:p w14:paraId="27DACB15">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具有履行合同所必需的设备和专业技术能力；</w:t>
      </w:r>
    </w:p>
    <w:p w14:paraId="7866F672">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有依法缴纳税收和社会保障资金的良好记录；</w:t>
      </w:r>
    </w:p>
    <w:p w14:paraId="7C82691D">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参加政府采购活动前三年内，在经营活动中没有重大违法记录；</w:t>
      </w:r>
    </w:p>
    <w:p w14:paraId="60629B69">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 法律、行政法规规定的其他条件。</w:t>
      </w:r>
    </w:p>
    <w:p w14:paraId="7CE90D0E">
      <w:pPr>
        <w:spacing w:line="392" w:lineRule="exact"/>
        <w:ind w:firstLine="420"/>
        <w:rPr>
          <w:rFonts w:ascii="宋体" w:hAnsi="宋体" w:cs="宋体"/>
          <w:b/>
          <w:bCs/>
          <w:color w:val="auto"/>
          <w:sz w:val="24"/>
          <w:szCs w:val="24"/>
          <w:highlight w:val="none"/>
        </w:rPr>
      </w:pPr>
      <w:bookmarkStart w:id="38" w:name="_Toc10828"/>
      <w:bookmarkStart w:id="39" w:name="_Toc12446"/>
      <w:bookmarkStart w:id="40" w:name="_Toc31900"/>
      <w:bookmarkStart w:id="41" w:name="_Toc22654"/>
      <w:r>
        <w:rPr>
          <w:rFonts w:hint="eastAsia" w:ascii="宋体" w:hAnsi="宋体" w:cs="宋体"/>
          <w:b/>
          <w:bCs/>
          <w:color w:val="auto"/>
          <w:sz w:val="24"/>
          <w:szCs w:val="24"/>
          <w:highlight w:val="none"/>
        </w:rPr>
        <w:t>（二）特定资格条件</w:t>
      </w:r>
      <w:bookmarkEnd w:id="38"/>
      <w:bookmarkEnd w:id="39"/>
      <w:bookmarkEnd w:id="40"/>
      <w:bookmarkEnd w:id="41"/>
    </w:p>
    <w:p w14:paraId="3E863C21">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1、若供应商为所投电梯制造商的</w:t>
      </w:r>
    </w:p>
    <w:p w14:paraId="7AFD751A">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0967F830">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2、若供应商为代理商或经销商的</w:t>
      </w:r>
    </w:p>
    <w:p w14:paraId="3373FB0A">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0769FDE5">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（2）须提供所投电梯品牌制造商针对本项目的唯一授权书。特别提醒：同一品牌电梯只能一家供应商参与投标。</w:t>
      </w:r>
      <w:r>
        <w:rPr>
          <w:rFonts w:hint="eastAsia" w:ascii="宋体" w:hAnsi="宋体" w:cs="宋体"/>
          <w:b/>
          <w:bCs/>
          <w:color w:val="auto"/>
          <w:sz w:val="24"/>
          <w:szCs w:val="24"/>
          <w:highlight w:val="none"/>
        </w:rPr>
        <w:t>（提供所投电梯品牌制造商针对本项目授权资料复印件并加盖供应商公章。）</w:t>
      </w:r>
    </w:p>
    <w:p w14:paraId="00766EE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3、电梯品牌要求</w:t>
      </w:r>
    </w:p>
    <w:p w14:paraId="23D203E2">
      <w:pPr>
        <w:spacing w:line="392"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本次招标电梯品牌要求须达到以下推荐知名品牌的中、高端系列质量，并满足厂家唯一授权且原厂质保及维保，如下：上海三菱、通力、日立、奥的斯（中国）、迅达、蒂升</w:t>
      </w:r>
      <w:r>
        <w:rPr>
          <w:rFonts w:hint="eastAsia" w:ascii="宋体" w:hAnsi="宋体" w:cs="宋体"/>
          <w:b/>
          <w:bCs/>
          <w:color w:val="auto"/>
          <w:sz w:val="24"/>
          <w:szCs w:val="24"/>
          <w:highlight w:val="none"/>
        </w:rPr>
        <w:t>（供应商自行承诺所投电梯品牌且提供此电梯后续维修零部件更换清单报价，格式自拟，并加盖供应商公章。此承诺函将作为合同附件）。</w:t>
      </w:r>
    </w:p>
    <w:p w14:paraId="669F46C4">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4.业绩要求</w:t>
      </w:r>
    </w:p>
    <w:p w14:paraId="36F0C70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供应商自2023年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月1日起至投标截止日止</w:t>
      </w:r>
      <w:r>
        <w:rPr>
          <w:rFonts w:hint="eastAsia" w:ascii="宋体" w:hAnsi="宋体" w:cs="宋体"/>
          <w:b/>
          <w:bCs/>
          <w:color w:val="auto"/>
          <w:sz w:val="24"/>
          <w:szCs w:val="24"/>
          <w:highlight w:val="none"/>
        </w:rPr>
        <w:t>（以合同签订时间为准）</w:t>
      </w:r>
      <w:r>
        <w:rPr>
          <w:rFonts w:hint="eastAsia" w:ascii="宋体" w:hAnsi="宋体" w:cs="宋体"/>
          <w:color w:val="auto"/>
          <w:sz w:val="24"/>
          <w:szCs w:val="24"/>
          <w:highlight w:val="none"/>
        </w:rPr>
        <w:t>，至少承接过1个电梯更新或更换项目。</w:t>
      </w:r>
    </w:p>
    <w:p w14:paraId="627B146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（提供合同复印件并加盖供应商公章）。</w:t>
      </w:r>
    </w:p>
    <w:p w14:paraId="2302089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四、比选有关说明</w:t>
      </w:r>
      <w:bookmarkEnd w:id="21"/>
      <w:bookmarkEnd w:id="33"/>
      <w:bookmarkEnd w:id="34"/>
      <w:bookmarkEnd w:id="35"/>
      <w:bookmarkEnd w:id="36"/>
      <w:bookmarkEnd w:id="37"/>
    </w:p>
    <w:p w14:paraId="205EEE2E">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w:t>
      </w:r>
      <w:r>
        <w:rPr>
          <w:rFonts w:hint="eastAsia" w:ascii="宋体" w:hAnsi="宋体" w:cs="宋体"/>
          <w:b/>
          <w:bCs/>
          <w:color w:val="auto"/>
          <w:sz w:val="24"/>
          <w:szCs w:val="24"/>
          <w:highlight w:val="none"/>
          <w:lang w:eastAsia="zh-CN"/>
        </w:rPr>
        <w:t>骏逸新视界</w:t>
      </w:r>
      <w:r>
        <w:rPr>
          <w:rFonts w:hint="eastAsia" w:ascii="宋体" w:hAnsi="宋体" w:cs="宋体"/>
          <w:b/>
          <w:bCs/>
          <w:color w:val="auto"/>
          <w:sz w:val="24"/>
          <w:szCs w:val="24"/>
          <w:highlight w:val="none"/>
        </w:rPr>
        <w:t>小区公告栏张贴。</w:t>
      </w:r>
    </w:p>
    <w:p w14:paraId="7D6C124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bookmarkEnd w:id="22"/>
      <w:bookmarkStart w:id="42" w:name="_Toc373860294"/>
      <w:bookmarkStart w:id="43" w:name="_Toc4638"/>
      <w:bookmarkStart w:id="44" w:name="_Toc6178"/>
      <w:bookmarkStart w:id="45" w:name="_Toc11956"/>
      <w:bookmarkStart w:id="46" w:name="_Toc65660334"/>
      <w:bookmarkStart w:id="47" w:name="_Toc525047161"/>
      <w:bookmarkStart w:id="48" w:name="_Toc521053053"/>
      <w:r>
        <w:rPr>
          <w:rFonts w:hint="eastAsia" w:ascii="宋体" w:hAnsi="宋体" w:cs="宋体"/>
          <w:b/>
          <w:bCs/>
          <w:color w:val="auto"/>
          <w:sz w:val="24"/>
          <w:szCs w:val="24"/>
          <w:highlight w:val="none"/>
        </w:rPr>
        <w:t>报名及比选文件发售：</w:t>
      </w:r>
    </w:p>
    <w:p w14:paraId="3CE21B55">
      <w:pPr>
        <w:spacing w:line="392" w:lineRule="exact"/>
        <w:ind w:left="596" w:leftChars="170" w:hanging="120" w:hangingChars="50"/>
        <w:rPr>
          <w:rFonts w:ascii="宋体" w:hAnsi="宋体" w:cs="宋体"/>
          <w:color w:val="auto"/>
          <w:sz w:val="24"/>
          <w:szCs w:val="24"/>
          <w:highlight w:val="none"/>
        </w:rPr>
      </w:pPr>
      <w:bookmarkStart w:id="49" w:name="_Toc23330"/>
      <w:r>
        <w:rPr>
          <w:rFonts w:hint="eastAsia" w:ascii="宋体" w:hAnsi="宋体" w:cs="宋体"/>
          <w:b/>
          <w:bCs/>
          <w:color w:val="auto"/>
          <w:sz w:val="24"/>
          <w:szCs w:val="24"/>
          <w:highlight w:val="none"/>
        </w:rPr>
        <w:t>1.报名期限和比选文件发售期：公告发布之日（2025年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rPr>
        <w:t>日）起至（2025年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22</w:t>
      </w:r>
      <w:r>
        <w:rPr>
          <w:rFonts w:hint="eastAsia" w:ascii="宋体" w:hAnsi="宋体" w:cs="宋体"/>
          <w:b/>
          <w:bCs/>
          <w:color w:val="auto"/>
          <w:sz w:val="24"/>
          <w:szCs w:val="24"/>
          <w:highlight w:val="none"/>
        </w:rPr>
        <w:t>日）17时00分止。</w:t>
      </w:r>
    </w:p>
    <w:p w14:paraId="7B72DFBF">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2.比选文件售价：</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800</w:t>
      </w:r>
      <w:r>
        <w:rPr>
          <w:rFonts w:hint="eastAsia" w:ascii="宋体" w:hAnsi="宋体" w:cs="宋体"/>
          <w:color w:val="auto"/>
          <w:sz w:val="24"/>
          <w:szCs w:val="24"/>
          <w:highlight w:val="none"/>
        </w:rPr>
        <w:t>元/份（售后不退）。</w:t>
      </w:r>
    </w:p>
    <w:p w14:paraId="1AC4011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3.报名方式</w:t>
      </w:r>
      <w:r>
        <w:rPr>
          <w:rFonts w:hint="eastAsia" w:ascii="宋体" w:hAnsi="宋体" w:cs="宋体"/>
          <w:color w:val="auto"/>
          <w:sz w:val="24"/>
          <w:szCs w:val="24"/>
          <w:highlight w:val="none"/>
        </w:rPr>
        <w:t>：在报名期限和比选文件发售期内，供应商将比选文件购买费用汇至以下账户（转账时备注：</w:t>
      </w:r>
      <w:r>
        <w:rPr>
          <w:color w:val="auto"/>
          <w:highlight w:val="none"/>
        </w:rPr>
        <w:fldChar w:fldCharType="begin"/>
      </w:r>
      <w:r>
        <w:rPr>
          <w:color w:val="auto"/>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color w:val="auto"/>
          <w:highlight w:val="none"/>
        </w:rPr>
        <w:fldChar w:fldCharType="separate"/>
      </w:r>
      <w:r>
        <w:rPr>
          <w:rFonts w:hint="eastAsia" w:ascii="宋体" w:hAnsi="宋体" w:cs="宋体"/>
          <w:color w:val="auto"/>
          <w:sz w:val="24"/>
          <w:szCs w:val="24"/>
          <w:highlight w:val="none"/>
        </w:rPr>
        <w:t>供应商简称+</w:t>
      </w:r>
      <w:r>
        <w:rPr>
          <w:rFonts w:hint="eastAsia" w:ascii="宋体" w:hAnsi="宋体" w:cs="宋体"/>
          <w:color w:val="auto"/>
          <w:sz w:val="24"/>
          <w:szCs w:val="24"/>
          <w:highlight w:val="none"/>
          <w:lang w:eastAsia="zh-CN"/>
        </w:rPr>
        <w:t>骏逸新视界5栋</w:t>
      </w:r>
      <w:r>
        <w:rPr>
          <w:rFonts w:hint="eastAsia" w:ascii="宋体" w:hAnsi="宋体" w:cs="宋体"/>
          <w:color w:val="auto"/>
          <w:sz w:val="24"/>
          <w:szCs w:val="24"/>
          <w:highlight w:val="none"/>
        </w:rPr>
        <w:t>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ascii="宋体" w:hAnsi="宋体" w:cs="宋体"/>
          <w:color w:val="auto"/>
          <w:sz w:val="24"/>
          <w:szCs w:val="24"/>
          <w:highlight w:val="none"/>
        </w:rPr>
        <w:fldChar w:fldCharType="end"/>
      </w:r>
    </w:p>
    <w:p w14:paraId="4A5DDB1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48AB2D1B">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23D4E42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318D66E4">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（三）本项目采用线上+线下相结合的投标方式，请各供应商按如下要求进行投标：</w:t>
      </w:r>
    </w:p>
    <w:p w14:paraId="0047D3D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1.线上报价及上传响应文件电子文档</w:t>
      </w:r>
    </w:p>
    <w:p w14:paraId="0CC16E5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28</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0分至2025年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28</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w:t>
      </w:r>
    </w:p>
    <w:p w14:paraId="74B9DEE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047D5100">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2.线下递交纸质响应文件</w:t>
      </w:r>
    </w:p>
    <w:p w14:paraId="5DE3C4D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线下递交纸质响应文件开始时间：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09月28</w:t>
      </w:r>
      <w:r>
        <w:rPr>
          <w:rFonts w:hint="eastAsia" w:ascii="宋体" w:hAnsi="宋体" w:cs="宋体"/>
          <w:b/>
          <w:bCs/>
          <w:color w:val="auto"/>
          <w:sz w:val="24"/>
          <w:szCs w:val="24"/>
          <w:highlight w:val="none"/>
        </w:rPr>
        <w:t xml:space="preserve">日 </w:t>
      </w:r>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0分。</w:t>
      </w:r>
    </w:p>
    <w:p w14:paraId="76FCC7A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线下递交纸质响应文件截止时间：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09月28日 13</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0分。</w:t>
      </w:r>
      <w:bookmarkStart w:id="306" w:name="_GoBack"/>
      <w:bookmarkEnd w:id="306"/>
    </w:p>
    <w:p w14:paraId="7C4C846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线下递交纸质响应文件地点：</w:t>
      </w:r>
      <w:r>
        <w:rPr>
          <w:rFonts w:hint="eastAsia" w:ascii="宋体" w:hAnsi="宋体" w:cs="宋体"/>
          <w:color w:val="auto"/>
          <w:sz w:val="24"/>
          <w:szCs w:val="24"/>
          <w:highlight w:val="none"/>
          <w:lang w:eastAsia="zh-CN"/>
        </w:rPr>
        <w:t>骏逸新视界</w:t>
      </w:r>
      <w:r>
        <w:rPr>
          <w:rFonts w:hint="eastAsia" w:ascii="宋体" w:hAnsi="宋体" w:cs="宋体"/>
          <w:color w:val="auto"/>
          <w:sz w:val="24"/>
          <w:szCs w:val="24"/>
          <w:highlight w:val="none"/>
        </w:rPr>
        <w:t>小区客户服务中心【具体会议室以现场安排为准】。逾期送达的或者未送达指定地点的响应文件，采购人不予受理。</w:t>
      </w:r>
    </w:p>
    <w:p w14:paraId="3E5C5870">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3.开标时间：同线下递交纸质响应文件截止时间。</w:t>
      </w:r>
    </w:p>
    <w:p w14:paraId="33ED5C07">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4.开标地点：同线下递交纸质响应文件地点。</w:t>
      </w:r>
    </w:p>
    <w:p w14:paraId="28BD708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5.供应商须满足以下要件，其响应文件才被接受：</w:t>
      </w:r>
    </w:p>
    <w:p w14:paraId="5F6261D0">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（1）按时报名。</w:t>
      </w:r>
    </w:p>
    <w:p w14:paraId="03944FF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（2）按时在行采家（https://www.gec123.com/）进行线上报价并上传签字盖章齐全的pdf格式的响应文件电子文档。</w:t>
      </w:r>
    </w:p>
    <w:p w14:paraId="6C491CC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（3）按时线下递交纸质响应文件。</w:t>
      </w:r>
    </w:p>
    <w:p w14:paraId="6EDB1B4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（4）按时签到并按时缴纳投标保证金。</w:t>
      </w:r>
    </w:p>
    <w:p w14:paraId="43E7D4F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五、投标保证金</w:t>
      </w:r>
      <w:bookmarkEnd w:id="42"/>
      <w:bookmarkEnd w:id="43"/>
      <w:bookmarkEnd w:id="44"/>
      <w:bookmarkEnd w:id="45"/>
      <w:bookmarkEnd w:id="46"/>
      <w:bookmarkEnd w:id="47"/>
      <w:bookmarkEnd w:id="48"/>
      <w:bookmarkEnd w:id="49"/>
    </w:p>
    <w:p w14:paraId="5DD3328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（一）保证金递交</w:t>
      </w:r>
    </w:p>
    <w:p w14:paraId="1D0BA03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1.供应商应足额交纳保证金（保证金金额详见本篇，一、比选内容），并汇至如下账户，保证金的到账截止时间同提交响应文件截止时间。</w:t>
      </w:r>
    </w:p>
    <w:p w14:paraId="0317354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7876D94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7C4895F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0A67617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0077F16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9F94D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11C0EAD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1.未成交供应商的保证金，在成交通知书发放后，采购代理机构在五个工作日内按来款渠道无息直接退还。</w:t>
      </w:r>
    </w:p>
    <w:p w14:paraId="58D69620">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2.成交供应商的保证金，在成交供应商与采购人签订合同后，采购代理机构在五个工作日内按资金来款渠道无息直接退还。</w:t>
      </w:r>
    </w:p>
    <w:p w14:paraId="510C18F2">
      <w:pPr>
        <w:spacing w:line="392" w:lineRule="exact"/>
        <w:ind w:firstLine="420"/>
        <w:rPr>
          <w:rFonts w:ascii="宋体" w:hAnsi="宋体" w:cs="宋体"/>
          <w:b/>
          <w:bCs/>
          <w:color w:val="auto"/>
          <w:sz w:val="24"/>
          <w:szCs w:val="24"/>
          <w:highlight w:val="none"/>
        </w:rPr>
      </w:pPr>
      <w:bookmarkStart w:id="50" w:name="_Toc65660335"/>
      <w:bookmarkStart w:id="51" w:name="_Toc4355"/>
      <w:bookmarkStart w:id="52" w:name="_Toc6810"/>
      <w:bookmarkStart w:id="53" w:name="_Toc12296"/>
      <w:bookmarkStart w:id="54" w:name="_Toc2945"/>
      <w:bookmarkStart w:id="55" w:name="_Toc479668114"/>
      <w:bookmarkStart w:id="56" w:name="_Toc521053054"/>
      <w:bookmarkStart w:id="57" w:name="_Toc525047162"/>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bookmarkEnd w:id="50"/>
      <w:bookmarkEnd w:id="51"/>
      <w:bookmarkEnd w:id="52"/>
      <w:bookmarkEnd w:id="53"/>
      <w:bookmarkEnd w:id="54"/>
      <w:bookmarkEnd w:id="55"/>
      <w:bookmarkEnd w:id="56"/>
      <w:bookmarkEnd w:id="57"/>
      <w:r>
        <w:rPr>
          <w:rFonts w:hint="eastAsia" w:ascii="宋体" w:hAnsi="宋体" w:cs="宋体"/>
          <w:b/>
          <w:bCs/>
          <w:color w:val="auto"/>
          <w:sz w:val="24"/>
          <w:szCs w:val="24"/>
          <w:highlight w:val="none"/>
        </w:rPr>
        <w:t>其他有关规定</w:t>
      </w:r>
    </w:p>
    <w:p w14:paraId="4B327EAA">
      <w:pPr>
        <w:spacing w:line="392" w:lineRule="exact"/>
        <w:ind w:firstLine="420"/>
        <w:rPr>
          <w:rFonts w:ascii="宋体" w:hAnsi="宋体" w:cs="宋体"/>
          <w:color w:val="auto"/>
          <w:sz w:val="24"/>
          <w:szCs w:val="24"/>
          <w:highlight w:val="none"/>
        </w:rPr>
      </w:pPr>
      <w:bookmarkStart w:id="58" w:name="_Toc4164"/>
      <w:r>
        <w:rPr>
          <w:rFonts w:hint="eastAsia" w:ascii="宋体" w:hAnsi="宋体" w:cs="宋体"/>
          <w:color w:val="auto"/>
          <w:sz w:val="24"/>
          <w:szCs w:val="24"/>
          <w:highlight w:val="none"/>
        </w:rPr>
        <w:t>（一）单位负责人为同一人或者存在直接控股、管理关系的不同供应商，不得参加同一合同项下的采购活动，否则均为无效响应。</w:t>
      </w:r>
      <w:bookmarkStart w:id="59" w:name="_Toc27096"/>
      <w:bookmarkStart w:id="60" w:name="_Toc7523"/>
      <w:bookmarkStart w:id="61" w:name="_Toc26534"/>
    </w:p>
    <w:p w14:paraId="3229C4B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（二）为采购项目提供规范编制或者项目管理、监理、检测等服务的供应商，不得再参加该采购项目的其他采购活动，否则均为无效响应。</w:t>
      </w:r>
      <w:bookmarkEnd w:id="59"/>
      <w:bookmarkEnd w:id="60"/>
      <w:bookmarkEnd w:id="61"/>
      <w:bookmarkStart w:id="62" w:name="_Toc28271"/>
      <w:bookmarkStart w:id="63" w:name="_Toc12146"/>
      <w:bookmarkStart w:id="64" w:name="_Toc28581"/>
    </w:p>
    <w:p w14:paraId="052F30C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（三）本项目的补遗文件（如果有）一律在“行采家”（https://www.gec123.com/）上发布，请各供应商注意下载；无论供应商下载与否，均视同供应商已知晓本项目补遗文件（如果有）的内容。</w:t>
      </w:r>
      <w:bookmarkEnd w:id="62"/>
      <w:bookmarkEnd w:id="63"/>
      <w:bookmarkEnd w:id="64"/>
      <w:bookmarkStart w:id="65" w:name="_Toc24100"/>
      <w:bookmarkStart w:id="66" w:name="_Toc25083"/>
      <w:bookmarkStart w:id="67" w:name="_Toc15302"/>
    </w:p>
    <w:p w14:paraId="68CFF89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bookmarkEnd w:id="65"/>
      <w:bookmarkEnd w:id="66"/>
      <w:bookmarkEnd w:id="67"/>
      <w:bookmarkStart w:id="68" w:name="_Toc8595"/>
      <w:bookmarkStart w:id="69" w:name="_Toc17096"/>
      <w:bookmarkStart w:id="70" w:name="_Toc21653"/>
    </w:p>
    <w:p w14:paraId="14B8531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bookmarkEnd w:id="68"/>
      <w:bookmarkEnd w:id="69"/>
      <w:bookmarkEnd w:id="70"/>
      <w:bookmarkStart w:id="71" w:name="_Toc20776"/>
      <w:bookmarkStart w:id="72" w:name="_Toc10564"/>
      <w:bookmarkStart w:id="73" w:name="_Toc31172"/>
    </w:p>
    <w:p w14:paraId="06A5DA90">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（六）本项目不接受联合体投标。</w:t>
      </w:r>
      <w:bookmarkEnd w:id="71"/>
      <w:bookmarkEnd w:id="72"/>
      <w:bookmarkEnd w:id="73"/>
    </w:p>
    <w:p w14:paraId="11A644B2">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、现场踏勘</w:t>
      </w:r>
      <w:bookmarkEnd w:id="58"/>
    </w:p>
    <w:p w14:paraId="7A62975F">
      <w:pPr>
        <w:spacing w:line="392" w:lineRule="exact"/>
        <w:ind w:firstLine="420"/>
        <w:rPr>
          <w:rFonts w:ascii="宋体" w:hAnsi="宋体" w:cs="宋体"/>
          <w:color w:val="auto"/>
          <w:sz w:val="24"/>
          <w:szCs w:val="24"/>
          <w:highlight w:val="none"/>
        </w:rPr>
      </w:pPr>
      <w:bookmarkStart w:id="74" w:name="_Toc521053056"/>
      <w:bookmarkStart w:id="75" w:name="_Toc1733"/>
      <w:bookmarkStart w:id="76" w:name="_Toc525047164"/>
      <w:bookmarkStart w:id="77" w:name="_Toc1552"/>
      <w:bookmarkStart w:id="78" w:name="_Toc65660337"/>
      <w:bookmarkStart w:id="79" w:name="_Toc10415"/>
      <w:r>
        <w:rPr>
          <w:rFonts w:hint="eastAsia" w:ascii="宋体" w:hAnsi="宋体" w:cs="宋体"/>
          <w:color w:val="auto"/>
          <w:sz w:val="24"/>
          <w:szCs w:val="24"/>
          <w:highlight w:val="none"/>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color w:val="auto"/>
          <w:sz w:val="24"/>
          <w:szCs w:val="24"/>
          <w:highlight w:val="none"/>
        </w:rPr>
        <w:tab/>
      </w:r>
      <w:bookmarkStart w:id="80" w:name="_Toc1061"/>
    </w:p>
    <w:p w14:paraId="7E058828">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、联系方式</w:t>
      </w:r>
      <w:bookmarkEnd w:id="74"/>
      <w:bookmarkEnd w:id="75"/>
      <w:bookmarkEnd w:id="76"/>
      <w:bookmarkEnd w:id="77"/>
      <w:bookmarkEnd w:id="78"/>
      <w:bookmarkEnd w:id="79"/>
      <w:bookmarkEnd w:id="80"/>
    </w:p>
    <w:p w14:paraId="5CFBD28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重庆新隆信物业管理有限公司</w:t>
      </w:r>
      <w:r>
        <w:rPr>
          <w:rFonts w:hint="eastAsia" w:ascii="宋体" w:hAnsi="宋体" w:cs="宋体"/>
          <w:color w:val="auto"/>
          <w:sz w:val="24"/>
          <w:szCs w:val="24"/>
          <w:highlight w:val="none"/>
        </w:rPr>
        <w:t xml:space="preserve"> </w:t>
      </w:r>
    </w:p>
    <w:p w14:paraId="54C8D5D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王</w:t>
      </w:r>
      <w:r>
        <w:rPr>
          <w:rFonts w:hint="eastAsia" w:ascii="宋体" w:hAnsi="宋体" w:cs="宋体"/>
          <w:color w:val="auto"/>
          <w:sz w:val="24"/>
          <w:szCs w:val="24"/>
          <w:highlight w:val="none"/>
        </w:rPr>
        <w:t>老师</w:t>
      </w:r>
    </w:p>
    <w:p w14:paraId="73687D79">
      <w:pPr>
        <w:spacing w:line="392" w:lineRule="exact"/>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13609403559</w:t>
      </w:r>
    </w:p>
    <w:p w14:paraId="07C4069F">
      <w:pPr>
        <w:spacing w:line="392" w:lineRule="exact"/>
        <w:ind w:firstLine="42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址：重庆市</w:t>
      </w:r>
      <w:r>
        <w:rPr>
          <w:rFonts w:hint="eastAsia" w:ascii="宋体" w:hAnsi="宋体" w:cs="宋体"/>
          <w:color w:val="auto"/>
          <w:sz w:val="24"/>
          <w:szCs w:val="24"/>
          <w:highlight w:val="none"/>
          <w:lang w:val="en-US" w:eastAsia="zh-CN"/>
        </w:rPr>
        <w:t>九龙坡区石坪桥街道正街116号</w:t>
      </w:r>
    </w:p>
    <w:p w14:paraId="4015214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（二）采购代理机构：重庆靖正恒悦项目管理有限公司</w:t>
      </w:r>
    </w:p>
    <w:p w14:paraId="74CE1A5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联系人：吕老师</w:t>
      </w:r>
    </w:p>
    <w:p w14:paraId="5BEE48F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电  话：13658264361</w:t>
      </w:r>
    </w:p>
    <w:p w14:paraId="1E96050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址：重庆市江北区爱丁新甸双鱼 A 座 </w:t>
      </w:r>
    </w:p>
    <w:p w14:paraId="7C523061">
      <w:pPr>
        <w:spacing w:line="392" w:lineRule="exact"/>
        <w:rPr>
          <w:rFonts w:ascii="宋体" w:hAnsi="宋体" w:cs="宋体"/>
          <w:color w:val="auto"/>
          <w:highlight w:val="none"/>
        </w:rPr>
      </w:pPr>
    </w:p>
    <w:p w14:paraId="5B40E0A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4445C1D7">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4B798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81D10E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83" w:type="dxa"/>
            <w:vAlign w:val="center"/>
          </w:tcPr>
          <w:p w14:paraId="6EACB348">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106B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5A5DCF17">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83" w:type="dxa"/>
            <w:vAlign w:val="bottom"/>
          </w:tcPr>
          <w:p w14:paraId="59E80A07">
            <w:pPr>
              <w:keepNext w:val="0"/>
              <w:keepLines w:val="0"/>
              <w:suppressLineNumbers w:val="0"/>
              <w:snapToGrid w:val="0"/>
              <w:spacing w:before="0" w:beforeAutospacing="0" w:after="0" w:afterAutospacing="0" w:line="320" w:lineRule="exact"/>
              <w:ind w:left="0" w:right="0" w:firstLine="3840" w:firstLineChars="1600"/>
              <w:rPr>
                <w:rFonts w:hint="default"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33124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A9EF9B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6183" w:type="dxa"/>
            <w:vAlign w:val="center"/>
          </w:tcPr>
          <w:p w14:paraId="037C603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E41E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631D9E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6183" w:type="dxa"/>
            <w:vAlign w:val="center"/>
          </w:tcPr>
          <w:p w14:paraId="7AA3C2B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E263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D3A69CF">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6183" w:type="dxa"/>
            <w:vAlign w:val="center"/>
          </w:tcPr>
          <w:p w14:paraId="766E1B8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BDDF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DD87AD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所投电梯品牌</w:t>
            </w:r>
          </w:p>
        </w:tc>
        <w:tc>
          <w:tcPr>
            <w:tcW w:w="6183" w:type="dxa"/>
            <w:vAlign w:val="center"/>
          </w:tcPr>
          <w:p w14:paraId="78B8C32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11674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vAlign w:val="center"/>
          </w:tcPr>
          <w:p w14:paraId="27F19E1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年    月    日 </w:t>
            </w:r>
          </w:p>
        </w:tc>
      </w:tr>
    </w:tbl>
    <w:p w14:paraId="69B869A1">
      <w:pPr>
        <w:snapToGrid w:val="0"/>
        <w:spacing w:line="380" w:lineRule="exact"/>
        <w:ind w:firstLine="480" w:firstLineChars="200"/>
        <w:rPr>
          <w:rFonts w:ascii="宋体" w:hAnsi="宋体" w:cs="宋体"/>
          <w:color w:val="auto"/>
          <w:sz w:val="24"/>
          <w:szCs w:val="24"/>
          <w:highlight w:val="none"/>
        </w:rPr>
        <w:sectPr>
          <w:pgSz w:w="11907" w:h="16840"/>
          <w:pgMar w:top="1134" w:right="1134" w:bottom="1134" w:left="1418" w:header="964" w:footer="992" w:gutter="0"/>
          <w:pgNumType w:fmt="numberInDash"/>
          <w:cols w:space="720" w:num="1"/>
          <w:docGrid w:linePitch="312" w:charSpace="0"/>
        </w:sectPr>
      </w:pPr>
    </w:p>
    <w:p w14:paraId="4F2207EC">
      <w:pPr>
        <w:pStyle w:val="2"/>
        <w:jc w:val="center"/>
        <w:rPr>
          <w:rFonts w:hAnsi="宋体" w:cs="宋体"/>
          <w:b/>
          <w:bCs/>
          <w:color w:val="auto"/>
          <w:sz w:val="30"/>
          <w:szCs w:val="30"/>
          <w:highlight w:val="none"/>
        </w:rPr>
      </w:pPr>
      <w:bookmarkStart w:id="81" w:name="_Toc1292"/>
      <w:bookmarkStart w:id="82" w:name="_Toc7067"/>
      <w:bookmarkStart w:id="83" w:name="_Toc14516"/>
      <w:bookmarkStart w:id="84" w:name="_Toc11327"/>
      <w:bookmarkStart w:id="85" w:name="_Toc18519"/>
      <w:bookmarkStart w:id="86" w:name="_Toc65660338"/>
      <w:bookmarkStart w:id="87" w:name="_Toc102227313"/>
      <w:r>
        <w:rPr>
          <w:rFonts w:hint="eastAsia" w:hAnsi="宋体" w:cs="宋体"/>
          <w:b/>
          <w:bCs/>
          <w:color w:val="auto"/>
          <w:sz w:val="30"/>
          <w:szCs w:val="30"/>
          <w:highlight w:val="none"/>
        </w:rPr>
        <w:t>第二篇  比选项目技术（质量）需求</w:t>
      </w:r>
      <w:bookmarkEnd w:id="81"/>
      <w:bookmarkEnd w:id="82"/>
      <w:bookmarkEnd w:id="83"/>
      <w:bookmarkEnd w:id="84"/>
      <w:bookmarkEnd w:id="85"/>
      <w:bookmarkEnd w:id="86"/>
    </w:p>
    <w:p w14:paraId="0EF2DE76">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1A2BFA71">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lang w:eastAsia="zh-CN"/>
        </w:rPr>
        <w:t>近年</w:t>
      </w:r>
      <w:r>
        <w:rPr>
          <w:rFonts w:hint="eastAsia" w:ascii="宋体" w:hAnsi="宋体" w:cs="宋体"/>
          <w:color w:val="auto"/>
          <w:sz w:val="24"/>
          <w:szCs w:val="24"/>
          <w:highlight w:val="none"/>
          <w:lang w:val="en-US" w:eastAsia="zh-CN"/>
        </w:rPr>
        <w:t>来，骏逸新视界</w:t>
      </w:r>
      <w:r>
        <w:rPr>
          <w:rFonts w:hint="eastAsia" w:ascii="宋体" w:hAnsi="宋体" w:cs="宋体"/>
          <w:color w:val="auto"/>
          <w:sz w:val="24"/>
          <w:szCs w:val="24"/>
          <w:highlight w:val="none"/>
        </w:rPr>
        <w:t>小区电梯各部件老化且日常运行故障频发，为了切实提高电梯运行的安全性和可靠性，保障业主的安全出行，</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栋业主现对本栋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台电梯进行更新改造。</w:t>
      </w:r>
    </w:p>
    <w:p w14:paraId="23B9F11C">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二、项目技术（质量）需求</w:t>
      </w:r>
    </w:p>
    <w:p w14:paraId="4C5A0040">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（一）电梯更新总体要求</w:t>
      </w:r>
    </w:p>
    <w:p w14:paraId="5E96155B">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投标产品及其所有零部件应是技术先进、设计正确、结构合理、安全可靠、节省能源、遵守机械、电器及建筑方面的通用技术要求，并维护方便的产品。投标产品须具有先进、完善的控制系统及自我诊断功能，控制系统、驱动系统和安全保证系统必须具有极好的配套性能，不得有能通过设置密码等技术屏障，影响电梯正常运行和维护保养相关功能。</w:t>
      </w:r>
    </w:p>
    <w:p w14:paraId="3172D906">
      <w:pPr>
        <w:snapToGrid w:val="0"/>
        <w:spacing w:line="392"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所有电梯的设计、产品质量、制造及安装调试均符合GB7588《电梯制造与安装安全规范》和GB/T10060《电梯技术验收规范》等相关国家标准（同时要求满足消防运行服务功能要求）和《重庆市电梯安全管理办法》等地方法律法规。电梯的设计、制造及调试均应符合国家电梯制造标准，如果国家有最新规定的，从其规定。安装调试以重庆市市场监督管理局检测验收合格为准。</w:t>
      </w:r>
    </w:p>
    <w:p w14:paraId="039752D7">
      <w:pPr>
        <w:snapToGrid w:val="0"/>
        <w:spacing w:line="392"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3、制造电梯的所有零部件和材料都必须达到技术标准，应是全新的，未曾使用过的。</w:t>
      </w:r>
    </w:p>
    <w:p w14:paraId="55F8070B">
      <w:pPr>
        <w:snapToGrid w:val="0"/>
        <w:spacing w:line="392"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电梯的井道、机房和滑轮间、层门以及轿厢等的构件尺寸和配合距离均应满足GB7588《电梯制造与安装安全规范》的要求，如果国家有最新规定的，从其规定，并配有完备的安全装置和故障应急措施，能确保乘客、操作人员和维修人员的人身安全。</w:t>
      </w:r>
    </w:p>
    <w:p w14:paraId="1864BB97">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5、电梯换新；外呼装置(外呼显示装置和按钮装置)的装饰衔接及恢复；电梯厅地面(如有破坏)的装饰衔接及恢复。</w:t>
      </w:r>
    </w:p>
    <w:p w14:paraId="4BBF3C3E">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6、轿厢内应安装高清摄像头，五方应急通话系统和应急照明系统，达到安全、美观与舒适的效果。</w:t>
      </w:r>
    </w:p>
    <w:p w14:paraId="76B4AA6F">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7、本次电梯更新改造工程为“交钥匙工程”，内容包括但不限于电梯及配件的深化设计、制造、运输（含包装、运输和货到现场的二次装卸）、保险（包括但不限于运输、施工、及施工现场涉及的第三方人员等）、现场保管、仓储、井道测量、预埋件、综合布线（工作界面为甲方电梯电源箱出线端以后）、机房及层门门套和层门地坎工作界面修复和回填工作、五方通话、轿内监控摄像头(含轿内监控视频传输设备)、安装（含吊装、施工机具及施工期间的安全及防护、安装人员现场住宿）、调试（含调试材料）、试运行、检验、税费、备品备件、专用工具、技术资料、技术服务、安全文明施工费、措施费、电梯安全评估费用、安装和调试期间与建筑施工单位配合协调、配合消防验收（联动）、直至取得《特种设备使用标志》且本项目通过验收后交付给招标人和质保期内及免费维保期的所有费用（除年检费）包含限速器检测费、125%载荷试验费等；同时还应承担设备质量、小区内运输、堆放现场施工安全、施工现场人员（含路人）安全、进度、施工设备、劳务、以及设备安装完毕取证后等所有涉及电梯设备的相关的工作并承担相应责任。</w:t>
      </w:r>
    </w:p>
    <w:p w14:paraId="046EDFE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8、供应商自行踏勘现场，了解项目位置、施工情况、材料运输等地点及其他足以影响项目价格的情况，无论供应商是否踏勘现场，均视为已了解现场全部情况，结算时对上述因素产生的价格变化不予调整。如未进行查勘，造成一切后果及风险由供应商自行承担。</w:t>
      </w:r>
    </w:p>
    <w:p w14:paraId="0270EDFC">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9.满足“市监特设发〔2025〕52号”文关于“市场监管总局办公厅关于进一步做好住宅老旧电梯更新有关工作的通知”及附件要求。</w:t>
      </w:r>
    </w:p>
    <w:p w14:paraId="1889A21D">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10、原厂整梯质保期为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年（大于等于），原厂整机免费维保期为</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年（大于等于）。</w:t>
      </w:r>
      <w:r>
        <w:rPr>
          <w:rFonts w:hint="eastAsia" w:ascii="宋体" w:hAnsi="宋体" w:cs="宋体"/>
          <w:color w:val="auto"/>
          <w:sz w:val="24"/>
          <w:szCs w:val="24"/>
          <w:highlight w:val="none"/>
          <w:lang w:val="en-US" w:eastAsia="zh-CN"/>
        </w:rPr>
        <w:t>七大核心部件（曳引机、控制柜、门机、限速器、安全钳、缓冲器、钢丝绳/钢带）质保10年（大于等于）。</w:t>
      </w:r>
      <w:r>
        <w:rPr>
          <w:rFonts w:hint="eastAsia" w:ascii="宋体" w:hAnsi="宋体" w:cs="宋体"/>
          <w:color w:val="auto"/>
          <w:sz w:val="24"/>
          <w:szCs w:val="24"/>
          <w:highlight w:val="none"/>
        </w:rPr>
        <w:t>质保期从重庆市特种设备检测研究院验收合格之日算起，质保期内使用配件必须为原厂配件。</w:t>
      </w:r>
    </w:p>
    <w:p w14:paraId="24861FA4">
      <w:pPr>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11、轿厢长、宽、高尺寸不能低于现在使用的轿厢尺寸。</w:t>
      </w:r>
    </w:p>
    <w:p w14:paraId="15349AD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12、主机防护等级按最新国家标准。</w:t>
      </w:r>
    </w:p>
    <w:p w14:paraId="24FFE866">
      <w:pPr>
        <w:snapToGrid w:val="0"/>
        <w:spacing w:line="50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（二）整机及系统主要配置要求</w:t>
      </w:r>
    </w:p>
    <w:tbl>
      <w:tblPr>
        <w:tblStyle w:val="59"/>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12"/>
        <w:gridCol w:w="1675"/>
        <w:gridCol w:w="5939"/>
      </w:tblGrid>
      <w:tr w14:paraId="38F0A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BB7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00C156FF">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名称</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63E8CF65">
            <w:pPr>
              <w:keepNext w:val="0"/>
              <w:keepLines w:val="0"/>
              <w:widowControl w:val="0"/>
              <w:suppressLineNumbers w:val="0"/>
              <w:autoSpaceDE w:val="0"/>
              <w:autoSpaceDN/>
              <w:adjustRightInd w:val="0"/>
              <w:snapToGrid w:val="0"/>
              <w:spacing w:before="0" w:beforeAutospacing="0" w:after="0" w:afterAutospacing="0" w:line="320" w:lineRule="exact"/>
              <w:ind w:left="0" w:right="0" w:firstLine="1792" w:firstLineChars="85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配置要求</w:t>
            </w:r>
          </w:p>
        </w:tc>
      </w:tr>
      <w:tr w14:paraId="61824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D1E">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9FB5C2F">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操作系统</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4FF2EE03">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全电脑全集选方式</w:t>
            </w:r>
          </w:p>
        </w:tc>
      </w:tr>
      <w:tr w14:paraId="68FE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0705">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080FCCAC">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控制系统</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6429775B">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一体化电脑软件控制系统，</w:t>
            </w:r>
          </w:p>
          <w:p w14:paraId="16B9868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传输通讯网络系统串行</w:t>
            </w:r>
          </w:p>
        </w:tc>
      </w:tr>
      <w:tr w14:paraId="7FE3E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F1BE">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AFA0E32">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拖动系统</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599554B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交流变频变压无齿轮拖动系统</w:t>
            </w:r>
          </w:p>
        </w:tc>
      </w:tr>
      <w:tr w14:paraId="7B03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F1D">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0DCA4D43">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曳引机</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027D2558">
            <w:pPr>
              <w:keepNext w:val="0"/>
              <w:keepLines w:val="0"/>
              <w:widowControl w:val="0"/>
              <w:suppressLineNumbers w:val="0"/>
              <w:autoSpaceDE w:val="0"/>
              <w:autoSpaceDN/>
              <w:adjustRightInd w:val="0"/>
              <w:snapToGrid w:val="0"/>
              <w:spacing w:before="0" w:beforeAutospacing="0" w:after="0" w:afterAutospacing="0" w:line="32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原厂原品牌生产。符合国家防护要求</w:t>
            </w:r>
          </w:p>
        </w:tc>
      </w:tr>
      <w:tr w14:paraId="79E3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BB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F681BEB">
            <w:pPr>
              <w:keepNext w:val="0"/>
              <w:keepLines w:val="0"/>
              <w:widowControl w:val="0"/>
              <w:suppressLineNumbers w:val="0"/>
              <w:autoSpaceDE w:val="0"/>
              <w:autoSpaceDN/>
              <w:adjustRightInd w:val="0"/>
              <w:snapToGrid w:val="0"/>
              <w:spacing w:before="0" w:beforeAutospacing="0" w:after="0" w:afterAutospacing="0" w:line="32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曳引钢丝绳（或钢带）</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76943094">
            <w:pPr>
              <w:keepNext w:val="0"/>
              <w:keepLines w:val="0"/>
              <w:widowControl w:val="0"/>
              <w:suppressLineNumbers w:val="0"/>
              <w:autoSpaceDE w:val="0"/>
              <w:autoSpaceDN/>
              <w:adjustRightInd w:val="0"/>
              <w:snapToGrid w:val="0"/>
              <w:spacing w:before="0" w:beforeAutospacing="0" w:after="0" w:afterAutospacing="0" w:line="32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应满足电梯曳引钢丝绳或钢带的相关技术规范要求，如果国家有最新规定的，从其规定。</w:t>
            </w:r>
          </w:p>
        </w:tc>
      </w:tr>
      <w:tr w14:paraId="3EAD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F846">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E328452">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门机</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39E3869C">
            <w:pPr>
              <w:keepNext w:val="0"/>
              <w:keepLines w:val="0"/>
              <w:widowControl w:val="0"/>
              <w:suppressLineNumbers w:val="0"/>
              <w:autoSpaceDE w:val="0"/>
              <w:autoSpaceDN/>
              <w:adjustRightInd w:val="0"/>
              <w:snapToGrid w:val="0"/>
              <w:spacing w:before="0" w:beforeAutospacing="0" w:after="0" w:afterAutospacing="0" w:line="32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原厂原品牌生产。</w:t>
            </w:r>
          </w:p>
        </w:tc>
      </w:tr>
      <w:tr w14:paraId="17F2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18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D0BF37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控制柜</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1E3BC4FC">
            <w:pPr>
              <w:keepNext w:val="0"/>
              <w:keepLines w:val="0"/>
              <w:widowControl w:val="0"/>
              <w:suppressLineNumbers w:val="0"/>
              <w:autoSpaceDE w:val="0"/>
              <w:autoSpaceDN/>
              <w:adjustRightInd w:val="0"/>
              <w:snapToGrid w:val="0"/>
              <w:spacing w:before="0" w:beforeAutospacing="0" w:after="0" w:afterAutospacing="0" w:line="32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原厂原品牌生产。</w:t>
            </w:r>
          </w:p>
        </w:tc>
      </w:tr>
      <w:tr w14:paraId="4CF4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E72D">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8</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26F561B">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缓冲器</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6FE9858E">
            <w:pPr>
              <w:keepNext w:val="0"/>
              <w:keepLines w:val="0"/>
              <w:widowControl w:val="0"/>
              <w:suppressLineNumbers w:val="0"/>
              <w:autoSpaceDE w:val="0"/>
              <w:autoSpaceDN/>
              <w:adjustRightInd w:val="0"/>
              <w:snapToGrid w:val="0"/>
              <w:spacing w:before="0" w:beforeAutospacing="0" w:after="0" w:afterAutospacing="0" w:line="32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原厂原品牌生产</w:t>
            </w:r>
          </w:p>
        </w:tc>
      </w:tr>
      <w:tr w14:paraId="61975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E06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9</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54961992">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门保护装置</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1186DC20">
            <w:pPr>
              <w:keepNext w:val="0"/>
              <w:keepLines w:val="0"/>
              <w:widowControl w:val="0"/>
              <w:suppressLineNumbers w:val="0"/>
              <w:autoSpaceDE w:val="0"/>
              <w:autoSpaceDN/>
              <w:adjustRightInd w:val="0"/>
              <w:snapToGrid w:val="0"/>
              <w:spacing w:before="0" w:beforeAutospacing="0" w:after="0" w:afterAutospacing="0" w:line="32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光幕保护≥174束</w:t>
            </w:r>
          </w:p>
        </w:tc>
      </w:tr>
      <w:tr w14:paraId="285D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B70">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633FD67E">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限速器</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1A7B7EE9">
            <w:pPr>
              <w:keepNext w:val="0"/>
              <w:keepLines w:val="0"/>
              <w:widowControl/>
              <w:suppressLineNumbers w:val="0"/>
              <w:autoSpaceDE w:val="0"/>
              <w:autoSpaceDN/>
              <w:adjustRightInd w:val="0"/>
              <w:snapToGrid w:val="0"/>
              <w:spacing w:before="0" w:beforeAutospacing="0" w:after="0" w:afterAutospacing="0" w:line="32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原厂原品牌生产</w:t>
            </w:r>
          </w:p>
        </w:tc>
      </w:tr>
      <w:tr w14:paraId="0E9B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FE2A">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C83A7D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安全钳</w:t>
            </w:r>
          </w:p>
        </w:tc>
        <w:tc>
          <w:tcPr>
            <w:tcW w:w="5939" w:type="dxa"/>
            <w:tcBorders>
              <w:top w:val="single" w:color="000000" w:sz="4" w:space="0"/>
              <w:left w:val="nil"/>
              <w:bottom w:val="single" w:color="000000" w:sz="4" w:space="0"/>
              <w:right w:val="single" w:color="auto" w:sz="4" w:space="0"/>
            </w:tcBorders>
            <w:shd w:val="clear" w:color="auto" w:fill="auto"/>
            <w:vAlign w:val="center"/>
          </w:tcPr>
          <w:p w14:paraId="233883E8">
            <w:pPr>
              <w:keepNext w:val="0"/>
              <w:keepLines w:val="0"/>
              <w:widowControl w:val="0"/>
              <w:suppressLineNumbers w:val="0"/>
              <w:autoSpaceDE w:val="0"/>
              <w:autoSpaceDN/>
              <w:adjustRightInd w:val="0"/>
              <w:snapToGrid w:val="0"/>
              <w:spacing w:before="0" w:beforeAutospacing="0" w:after="0" w:afterAutospacing="0" w:line="32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原厂原品牌生产</w:t>
            </w:r>
          </w:p>
        </w:tc>
      </w:tr>
    </w:tbl>
    <w:p w14:paraId="2C94029A">
      <w:pPr>
        <w:snapToGrid w:val="0"/>
        <w:spacing w:line="500" w:lineRule="exact"/>
        <w:ind w:firstLine="361" w:firstLineChars="150"/>
        <w:rPr>
          <w:rFonts w:ascii="宋体" w:hAnsi="宋体" w:cs="宋体"/>
          <w:b/>
          <w:bCs/>
          <w:color w:val="auto"/>
          <w:sz w:val="24"/>
          <w:szCs w:val="24"/>
          <w:highlight w:val="none"/>
        </w:rPr>
      </w:pPr>
    </w:p>
    <w:p w14:paraId="793A2934">
      <w:pPr>
        <w:snapToGrid w:val="0"/>
        <w:spacing w:line="500" w:lineRule="exact"/>
        <w:ind w:firstLine="361" w:firstLineChars="150"/>
        <w:rPr>
          <w:rFonts w:ascii="宋体" w:hAnsi="宋体" w:cs="宋体"/>
          <w:b/>
          <w:bCs/>
          <w:color w:val="auto"/>
          <w:sz w:val="24"/>
          <w:szCs w:val="24"/>
          <w:highlight w:val="none"/>
        </w:rPr>
      </w:pPr>
    </w:p>
    <w:p w14:paraId="566C91B0">
      <w:pPr>
        <w:snapToGrid w:val="0"/>
        <w:spacing w:line="500" w:lineRule="exact"/>
        <w:ind w:firstLine="361" w:firstLineChars="150"/>
        <w:rPr>
          <w:rFonts w:ascii="宋体" w:hAnsi="宋体" w:cs="宋体"/>
          <w:b/>
          <w:bCs/>
          <w:color w:val="auto"/>
          <w:sz w:val="24"/>
          <w:szCs w:val="24"/>
          <w:highlight w:val="none"/>
        </w:rPr>
      </w:pPr>
    </w:p>
    <w:p w14:paraId="3E9A385F">
      <w:pPr>
        <w:snapToGrid w:val="0"/>
        <w:spacing w:line="50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（三）电梯主要技术参数</w:t>
      </w:r>
    </w:p>
    <w:tbl>
      <w:tblPr>
        <w:tblStyle w:val="59"/>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98"/>
        <w:gridCol w:w="2417"/>
        <w:gridCol w:w="5173"/>
      </w:tblGrid>
      <w:tr w14:paraId="4960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CC8C">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序号</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61D3F9BF">
            <w:pPr>
              <w:keepNext w:val="0"/>
              <w:keepLines w:val="0"/>
              <w:widowControl w:val="0"/>
              <w:suppressLineNumbers w:val="0"/>
              <w:autoSpaceDE w:val="0"/>
              <w:autoSpaceDN/>
              <w:adjustRightInd w:val="0"/>
              <w:snapToGrid w:val="0"/>
              <w:spacing w:before="0" w:beforeAutospacing="0" w:after="0" w:afterAutospacing="0" w:line="320" w:lineRule="exact"/>
              <w:ind w:left="0" w:right="0" w:firstLine="738" w:firstLineChars="35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名称</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086F64BC">
            <w:pPr>
              <w:keepNext w:val="0"/>
              <w:keepLines w:val="0"/>
              <w:widowControl w:val="0"/>
              <w:suppressLineNumbers w:val="0"/>
              <w:autoSpaceDE w:val="0"/>
              <w:autoSpaceDN/>
              <w:adjustRightInd w:val="0"/>
              <w:snapToGrid w:val="0"/>
              <w:spacing w:before="0" w:beforeAutospacing="0" w:after="0" w:afterAutospacing="0" w:line="320" w:lineRule="exact"/>
              <w:ind w:left="0" w:right="0" w:firstLine="632" w:firstLineChars="30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技术参数要求</w:t>
            </w:r>
          </w:p>
        </w:tc>
      </w:tr>
      <w:tr w14:paraId="1FEA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C63E">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65A6EFF8">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电梯类型</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0510C04A">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有机房乘客电梯</w:t>
            </w:r>
          </w:p>
        </w:tc>
      </w:tr>
      <w:tr w14:paraId="1AE3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ACBD">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63AF8C1D">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层/站/门</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457DF28F">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27</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27</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27</w:t>
            </w:r>
            <w:r>
              <w:rPr>
                <w:rFonts w:hint="eastAsia" w:ascii="宋体" w:hAnsi="宋体" w:eastAsia="宋体" w:cs="宋体"/>
                <w:color w:val="auto"/>
                <w:kern w:val="2"/>
                <w:sz w:val="21"/>
                <w:szCs w:val="21"/>
                <w:highlight w:val="none"/>
                <w:lang w:val="en-US" w:eastAsia="zh-CN" w:bidi="ar"/>
              </w:rPr>
              <w:t>层</w:t>
            </w:r>
          </w:p>
        </w:tc>
      </w:tr>
      <w:tr w14:paraId="166C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0791">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29EE9A73">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数量（台）</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6222E50E">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2台（全部更换）</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-2#</w:t>
            </w:r>
          </w:p>
        </w:tc>
      </w:tr>
      <w:tr w14:paraId="4498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0F1C">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40A2E924">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额定速度（m/s）</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48617B5A">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≥2m/s</w:t>
            </w:r>
          </w:p>
        </w:tc>
      </w:tr>
      <w:tr w14:paraId="2D32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0ED3">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0C6B1D2D">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额定载重（kg）</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3D1AB327">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≥1000</w:t>
            </w:r>
          </w:p>
        </w:tc>
      </w:tr>
      <w:tr w14:paraId="107D2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E788">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1D85B108">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顶层高度（mm）</w:t>
            </w:r>
          </w:p>
        </w:tc>
        <w:tc>
          <w:tcPr>
            <w:tcW w:w="5173" w:type="dxa"/>
            <w:tcBorders>
              <w:top w:val="single" w:color="000000" w:sz="4" w:space="0"/>
              <w:left w:val="nil"/>
              <w:bottom w:val="single" w:color="000000" w:sz="4" w:space="0"/>
              <w:right w:val="single" w:color="000000" w:sz="4" w:space="0"/>
            </w:tcBorders>
            <w:shd w:val="clear" w:color="auto" w:fill="auto"/>
            <w:vAlign w:val="bottom"/>
          </w:tcPr>
          <w:p w14:paraId="4FE04F54">
            <w:pPr>
              <w:keepNext w:val="0"/>
              <w:keepLines w:val="0"/>
              <w:widowControl/>
              <w:suppressLineNumbers w:val="0"/>
              <w:autoSpaceDE w:val="0"/>
              <w:autoSpaceDN/>
              <w:adjustRightInd w:val="0"/>
              <w:spacing w:before="0" w:beforeAutospacing="0" w:after="0" w:afterAutospacing="0" w:line="320" w:lineRule="exact"/>
              <w:ind w:left="0" w:right="0"/>
              <w:jc w:val="center"/>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(现场自行实际测量为准)</w:t>
            </w:r>
          </w:p>
        </w:tc>
      </w:tr>
      <w:tr w14:paraId="0A37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18DA">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2AC821BC">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井道尺寸长*宽（mm）</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3E0CDA9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现场自行实际测量为准</w:t>
            </w:r>
          </w:p>
        </w:tc>
      </w:tr>
      <w:tr w14:paraId="1DA9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A021">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8</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0033EB63">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提升高度(m)</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2F1D92E1">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现场自行实际测量为准</w:t>
            </w:r>
          </w:p>
        </w:tc>
      </w:tr>
      <w:tr w14:paraId="3533A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2511">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9</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5A1DAACD">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底坑深度(mm)</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50E09489">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(现场自行实际测量为准)</w:t>
            </w:r>
          </w:p>
        </w:tc>
      </w:tr>
      <w:tr w14:paraId="16A7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7E7">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3379D1B2">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轿厢内净尺寸mm</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680DB877">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(现场自行实际测量为准)</w:t>
            </w:r>
          </w:p>
        </w:tc>
      </w:tr>
      <w:tr w14:paraId="75AF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3EB7">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78A8DD86">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开门方式</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6E9724C6">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中分</w:t>
            </w:r>
          </w:p>
        </w:tc>
      </w:tr>
      <w:tr w14:paraId="06C5C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FAE1">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2417" w:type="dxa"/>
            <w:tcBorders>
              <w:top w:val="single" w:color="000000" w:sz="4" w:space="0"/>
              <w:left w:val="nil"/>
              <w:bottom w:val="single" w:color="000000" w:sz="4" w:space="0"/>
              <w:right w:val="single" w:color="000000" w:sz="4" w:space="0"/>
            </w:tcBorders>
            <w:shd w:val="clear" w:color="auto" w:fill="auto"/>
            <w:vAlign w:val="bottom"/>
          </w:tcPr>
          <w:p w14:paraId="4984AF73">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控制方式</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4179E6E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分单元2台并联，可单独控制。</w:t>
            </w:r>
          </w:p>
        </w:tc>
      </w:tr>
      <w:tr w14:paraId="7355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9444">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2417" w:type="dxa"/>
            <w:tcBorders>
              <w:top w:val="single" w:color="000000" w:sz="4" w:space="0"/>
              <w:left w:val="nil"/>
              <w:bottom w:val="single" w:color="000000" w:sz="4" w:space="0"/>
              <w:right w:val="single" w:color="000000" w:sz="4" w:space="0"/>
            </w:tcBorders>
            <w:shd w:val="clear" w:color="auto" w:fill="auto"/>
            <w:vAlign w:val="bottom"/>
          </w:tcPr>
          <w:p w14:paraId="79B9E3B1">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入口尺寸</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41C3E67D">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（现场自行实际测量为准）</w:t>
            </w:r>
          </w:p>
        </w:tc>
      </w:tr>
      <w:tr w14:paraId="0305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DDB">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2417" w:type="dxa"/>
            <w:tcBorders>
              <w:top w:val="single" w:color="000000" w:sz="4" w:space="0"/>
              <w:left w:val="nil"/>
              <w:bottom w:val="single" w:color="000000" w:sz="4" w:space="0"/>
              <w:right w:val="single" w:color="000000" w:sz="4" w:space="0"/>
            </w:tcBorders>
            <w:shd w:val="clear" w:color="auto" w:fill="auto"/>
            <w:vAlign w:val="bottom"/>
          </w:tcPr>
          <w:p w14:paraId="3532414F">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入口类型</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1FD3FA0E">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扇中分自动门</w:t>
            </w:r>
          </w:p>
        </w:tc>
      </w:tr>
      <w:tr w14:paraId="10D6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777">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2417" w:type="dxa"/>
            <w:tcBorders>
              <w:top w:val="single" w:color="000000" w:sz="4" w:space="0"/>
              <w:left w:val="nil"/>
              <w:bottom w:val="single" w:color="000000" w:sz="4" w:space="0"/>
              <w:right w:val="single" w:color="000000" w:sz="4" w:space="0"/>
            </w:tcBorders>
            <w:shd w:val="clear" w:color="auto" w:fill="auto"/>
            <w:vAlign w:val="bottom"/>
          </w:tcPr>
          <w:p w14:paraId="747AB62E">
            <w:pPr>
              <w:keepNext w:val="0"/>
              <w:keepLines w:val="0"/>
              <w:widowControl/>
              <w:suppressLineNumbers w:val="0"/>
              <w:autoSpaceDE w:val="0"/>
              <w:autoSpaceDN/>
              <w:adjustRightIn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平层准确度</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2FEA624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≤±5（mm）</w:t>
            </w:r>
          </w:p>
        </w:tc>
      </w:tr>
      <w:tr w14:paraId="263F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CEB">
            <w:pPr>
              <w:keepNext w:val="0"/>
              <w:keepLines w:val="0"/>
              <w:widowControl w:val="0"/>
              <w:suppressLineNumbers w:val="0"/>
              <w:autoSpaceDE w:val="0"/>
              <w:autoSpaceDN w:val="0"/>
              <w:adjustRightInd w:val="0"/>
              <w:spacing w:before="0" w:beforeAutospacing="0" w:after="0" w:afterAutospacing="0" w:line="315" w:lineRule="atLeas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2417" w:type="dxa"/>
            <w:tcBorders>
              <w:top w:val="single" w:color="000000" w:sz="4" w:space="0"/>
              <w:left w:val="nil"/>
              <w:bottom w:val="single" w:color="000000" w:sz="4" w:space="0"/>
              <w:right w:val="single" w:color="000000" w:sz="4" w:space="0"/>
            </w:tcBorders>
            <w:shd w:val="clear" w:color="auto" w:fill="auto"/>
            <w:vAlign w:val="center"/>
          </w:tcPr>
          <w:p w14:paraId="6FB0C744">
            <w:pPr>
              <w:keepNext w:val="0"/>
              <w:keepLines w:val="0"/>
              <w:widowControl/>
              <w:suppressLineNumbers w:val="0"/>
              <w:autoSpaceDE w:val="0"/>
              <w:autoSpaceDN/>
              <w:adjustRightInd w:val="0"/>
              <w:snapToGrid w:val="0"/>
              <w:spacing w:before="0" w:beforeAutospacing="0" w:after="0" w:afterAutospacing="0" w:line="320" w:lineRule="exact"/>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电源电压</w:t>
            </w:r>
          </w:p>
        </w:tc>
        <w:tc>
          <w:tcPr>
            <w:tcW w:w="5173" w:type="dxa"/>
            <w:tcBorders>
              <w:top w:val="single" w:color="000000" w:sz="4" w:space="0"/>
              <w:left w:val="nil"/>
              <w:bottom w:val="single" w:color="000000" w:sz="4" w:space="0"/>
              <w:right w:val="single" w:color="000000" w:sz="4" w:space="0"/>
            </w:tcBorders>
            <w:shd w:val="clear" w:color="auto" w:fill="auto"/>
            <w:vAlign w:val="center"/>
          </w:tcPr>
          <w:p w14:paraId="13634C3C">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三相五线制动力电源380V</w:t>
            </w:r>
          </w:p>
          <w:p w14:paraId="4EDF2C2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/照明电源220V50Hz</w:t>
            </w:r>
          </w:p>
        </w:tc>
      </w:tr>
    </w:tbl>
    <w:p w14:paraId="5EB57F79">
      <w:pPr>
        <w:snapToGrid w:val="0"/>
        <w:spacing w:line="500" w:lineRule="exact"/>
        <w:ind w:firstLine="361" w:firstLineChars="150"/>
        <w:rPr>
          <w:rFonts w:ascii="宋体" w:hAnsi="宋体" w:cs="宋体"/>
          <w:b/>
          <w:bCs/>
          <w:color w:val="auto"/>
          <w:sz w:val="24"/>
          <w:szCs w:val="24"/>
          <w:highlight w:val="none"/>
        </w:rPr>
      </w:pPr>
    </w:p>
    <w:p w14:paraId="5FB9E9E4">
      <w:pPr>
        <w:snapToGrid w:val="0"/>
        <w:spacing w:line="32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7CC315C5">
      <w:pPr>
        <w:snapToGrid w:val="0"/>
        <w:spacing w:line="320" w:lineRule="exact"/>
        <w:ind w:firstLine="315" w:firstLineChars="150"/>
        <w:rPr>
          <w:rFonts w:ascii="宋体" w:hAnsi="宋体" w:cs="宋体"/>
          <w:color w:val="auto"/>
          <w:sz w:val="21"/>
          <w:szCs w:val="21"/>
          <w:highlight w:val="none"/>
        </w:rPr>
      </w:pPr>
    </w:p>
    <w:p w14:paraId="6E1F4A21">
      <w:pPr>
        <w:numPr>
          <w:ilvl w:val="0"/>
          <w:numId w:val="13"/>
        </w:numPr>
        <w:snapToGrid w:val="0"/>
        <w:spacing w:line="320" w:lineRule="exact"/>
        <w:ind w:left="420" w:leftChars="150"/>
        <w:jc w:val="left"/>
        <w:rPr>
          <w:rFonts w:hint="eastAsia" w:ascii="宋体" w:hAnsi="宋体" w:cs="宋体"/>
          <w:b/>
          <w:bCs/>
          <w:color w:val="auto"/>
          <w:sz w:val="24"/>
          <w:szCs w:val="24"/>
          <w:highlight w:val="none"/>
          <w:lang w:val="en-US" w:eastAsia="zh-CN"/>
        </w:rPr>
      </w:pPr>
      <w:bookmarkStart w:id="88" w:name="_Toc523"/>
      <w:bookmarkStart w:id="89" w:name="_Toc13356"/>
      <w:bookmarkStart w:id="90" w:name="_Toc29745"/>
      <w:bookmarkStart w:id="91" w:name="_Toc65660341"/>
      <w:bookmarkStart w:id="92" w:name="_Toc15492"/>
      <w:r>
        <w:rPr>
          <w:rFonts w:hint="eastAsia" w:ascii="宋体" w:hAnsi="宋体" w:cs="宋体"/>
          <w:b/>
          <w:bCs/>
          <w:color w:val="auto"/>
          <w:sz w:val="24"/>
          <w:szCs w:val="24"/>
          <w:highlight w:val="none"/>
        </w:rPr>
        <w:t>电梯功能配置要求表</w:t>
      </w:r>
      <w:r>
        <w:rPr>
          <w:rFonts w:hint="eastAsia" w:ascii="宋体" w:hAnsi="宋体" w:cs="宋体"/>
          <w:b/>
          <w:bCs/>
          <w:color w:val="auto"/>
          <w:sz w:val="24"/>
          <w:szCs w:val="24"/>
          <w:highlight w:val="none"/>
          <w:lang w:val="en-US" w:eastAsia="zh-CN"/>
        </w:rPr>
        <w:t xml:space="preserve">  </w:t>
      </w:r>
    </w:p>
    <w:tbl>
      <w:tblPr>
        <w:tblStyle w:val="59"/>
        <w:tblpPr w:leftFromText="180" w:rightFromText="180" w:vertAnchor="text" w:horzAnchor="page" w:tblpX="1261" w:tblpY="654"/>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923"/>
        <w:gridCol w:w="6400"/>
      </w:tblGrid>
      <w:tr w14:paraId="1B91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C50F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b/>
                <w:color w:val="auto"/>
                <w:sz w:val="21"/>
                <w:szCs w:val="21"/>
                <w:highlight w:val="none"/>
              </w:rPr>
            </w:pPr>
            <w:r>
              <w:rPr>
                <w:rFonts w:hint="default" w:hAnsi="宋体" w:cs="宋体"/>
                <w:b/>
                <w:color w:val="auto"/>
                <w:sz w:val="21"/>
                <w:szCs w:val="21"/>
                <w:highlight w:val="none"/>
              </w:rPr>
              <w:t>序号</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AD4D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b/>
                <w:color w:val="auto"/>
                <w:sz w:val="21"/>
                <w:szCs w:val="21"/>
                <w:highlight w:val="none"/>
              </w:rPr>
            </w:pPr>
            <w:r>
              <w:rPr>
                <w:rFonts w:hint="default" w:hAnsi="宋体" w:cs="宋体"/>
                <w:b/>
                <w:color w:val="auto"/>
                <w:sz w:val="21"/>
                <w:szCs w:val="21"/>
                <w:highlight w:val="none"/>
              </w:rPr>
              <w:t>项目</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2ABE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b/>
                <w:color w:val="auto"/>
                <w:sz w:val="21"/>
                <w:szCs w:val="21"/>
                <w:highlight w:val="none"/>
              </w:rPr>
            </w:pPr>
            <w:r>
              <w:rPr>
                <w:rFonts w:hint="default" w:hAnsi="宋体" w:cs="宋体"/>
                <w:b/>
                <w:color w:val="auto"/>
                <w:sz w:val="21"/>
                <w:szCs w:val="21"/>
                <w:highlight w:val="none"/>
              </w:rPr>
              <w:t>详细描述</w:t>
            </w:r>
          </w:p>
        </w:tc>
      </w:tr>
      <w:tr w14:paraId="2EC8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2E3788">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系统可靠类功能</w:t>
            </w:r>
          </w:p>
        </w:tc>
      </w:tr>
      <w:tr w14:paraId="5BFC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F769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977D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电机过热保护</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D62F9">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当电机过热时暂停运转以保护电机，延长使用寿命。</w:t>
            </w:r>
          </w:p>
        </w:tc>
      </w:tr>
      <w:tr w14:paraId="71B0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8DF6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08060">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电源缺相检修</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6E54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电梯自动检测电源状况，当电动状态出现缺相时，主机停止运动以保护主机。</w:t>
            </w:r>
          </w:p>
        </w:tc>
      </w:tr>
      <w:tr w14:paraId="236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0BE05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DB57D">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电磁干扰滤波</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5BB56">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此功能用以防止由于电梯运行产生对建筑物内其它的电子设备的干扰。</w:t>
            </w:r>
          </w:p>
        </w:tc>
      </w:tr>
      <w:tr w14:paraId="4C67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6217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33EC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限速器涨紧开关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64C9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设置在涨紧轮上的一个电气开关，在限速器动作后，此开关也会动作并切换电梯的安全回路以通过抱闸制停电梯。</w:t>
            </w:r>
          </w:p>
        </w:tc>
      </w:tr>
      <w:tr w14:paraId="73EE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85E87A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电梯运行功能</w:t>
            </w:r>
          </w:p>
        </w:tc>
      </w:tr>
      <w:tr w14:paraId="6EA7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02FDB">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5920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电梯变频驱动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F5828">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精确调整电动机转速，令电梯启动、运行、停止时的速度曲线平稳，圆滑，获得良好的舒适感。 </w:t>
            </w:r>
          </w:p>
        </w:tc>
      </w:tr>
      <w:tr w14:paraId="5D11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2C75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A621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强迫开关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CC372">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如果电梯门保持开门的时间超过预定时间，强制功能工作，蜂鸣器发声，门开始以缓慢的速度关闭。</w:t>
            </w:r>
          </w:p>
        </w:tc>
      </w:tr>
      <w:tr w14:paraId="1322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020D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38C7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控制模式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EEDF2">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同一单元电梯采用联动控制（群控）提升运行效率(消防模式下单独控制)，并可无条件免费根据用户需求调整电梯并联或者群控控制及单双层切换模式等需求。电梯同时具备司机以及普通等运行控制模式。</w:t>
            </w:r>
          </w:p>
        </w:tc>
      </w:tr>
      <w:tr w14:paraId="7FFF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872E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922A0">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分时服务层选择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4EDE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系统可以灵活设定分时服务时间段和相应的分时服务楼层。 </w:t>
            </w:r>
          </w:p>
        </w:tc>
      </w:tr>
      <w:tr w14:paraId="20C4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DFCF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D612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满载直驶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0234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当轿内满载时，为保持最大运行效率，电梯不响应经过的厅外召唤信号。 </w:t>
            </w:r>
          </w:p>
        </w:tc>
      </w:tr>
      <w:tr w14:paraId="3E1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C548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58A9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开门时间</w:t>
            </w:r>
          </w:p>
          <w:p w14:paraId="77A4878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自动调整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3D632">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按照层站召唤或轿厢召唤的区别，自动调整保持开门时间。 </w:t>
            </w:r>
          </w:p>
        </w:tc>
      </w:tr>
      <w:tr w14:paraId="1E75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2BBC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F8D5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即时关门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E43A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电梯停站关门到位时，按下关门按钮，门立即被关闭。 </w:t>
            </w:r>
          </w:p>
        </w:tc>
      </w:tr>
      <w:tr w14:paraId="6EF1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3863D">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0CCA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停梯开门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23498">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电梯减速平层，直到完全停稳后方可开门。 </w:t>
            </w:r>
          </w:p>
        </w:tc>
      </w:tr>
      <w:tr w14:paraId="438E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4B849">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ADC42">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指令误登记消除</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908FF">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乘客在操纵箱内可以采用连续按动指令按钮两次的方法来取消上次错误登记的指令。 </w:t>
            </w:r>
          </w:p>
        </w:tc>
      </w:tr>
      <w:tr w14:paraId="5303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3558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D804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驻停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D4AD9D0">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关闭电锁后电梯进入驻停状态，电梯不再响应任何外呼。 </w:t>
            </w:r>
          </w:p>
        </w:tc>
      </w:tr>
      <w:tr w14:paraId="72EC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C993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25FDA">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换站停靠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DDFE9">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如果电梯在开门超过开门保护时间后，开门到位信号仍然无效， 电梯将自动关门，自动运行至下一层停靠。 </w:t>
            </w:r>
          </w:p>
        </w:tc>
      </w:tr>
      <w:tr w14:paraId="2320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ED58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573C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低速自救</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3496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当电梯处于非检修状态，且未停在平层区，此时如符合运行的安全要求，电梯将自动以慢速运行至平层区，然后开门。 </w:t>
            </w:r>
          </w:p>
        </w:tc>
      </w:tr>
      <w:tr w14:paraId="71C5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0864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7032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启动转矩自动补偿</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22CA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电梯在运行前，自动根据电梯的载重情况，进行启动补偿，达到平稳的启动效果，提高乘坐舒适感。 </w:t>
            </w:r>
          </w:p>
        </w:tc>
      </w:tr>
      <w:tr w14:paraId="5094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873E6">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32C86">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按钮嵌入自 诊断</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2C23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若某层呼梯按钮嵌入持续未断开，系统不再登记该层呼梯。 </w:t>
            </w:r>
          </w:p>
        </w:tc>
      </w:tr>
      <w:tr w14:paraId="64B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299F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3C9D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门保持按钮</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B8A06">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按下按钮，电梯门将在可调整的时间内保持开门状态</w:t>
            </w:r>
          </w:p>
        </w:tc>
      </w:tr>
      <w:tr w14:paraId="2EF6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373E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13683">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快速开门</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157A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可以快速响应开门按钮指令的功能，比如在关门过程中，如果按开门按钮，电梯会立即响应开门指令进行反开门。</w:t>
            </w:r>
          </w:p>
        </w:tc>
      </w:tr>
      <w:tr w14:paraId="42BB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B4807">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42E6B">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空闲反基站</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075B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自动状态下，在设定的时间范围内电梯未使用，电梯自动返基站等候乘客。（同一单元电梯可设置不同的楼层为基站）</w:t>
            </w:r>
            <w:r>
              <w:rPr>
                <w:rStyle w:val="212"/>
                <w:rFonts w:hint="default"/>
                <w:color w:val="auto"/>
                <w:sz w:val="21"/>
                <w:szCs w:val="21"/>
                <w:highlight w:val="none"/>
                <w:lang w:bidi="ar"/>
              </w:rPr>
              <w:t xml:space="preserve"> </w:t>
            </w:r>
          </w:p>
        </w:tc>
      </w:tr>
      <w:tr w14:paraId="253A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B606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D869F">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反向呼梯</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9A96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允许登记与轿厢运行方向相反的楼层按钮</w:t>
            </w:r>
          </w:p>
        </w:tc>
      </w:tr>
      <w:tr w14:paraId="4A45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32A4D">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C8F24">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消防运行到位</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900BE">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消防专用功能启动，电梯运行到制动的返回层站，输出到位信号</w:t>
            </w:r>
          </w:p>
        </w:tc>
      </w:tr>
      <w:tr w14:paraId="571D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3D4B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B2537">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消防返回</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9206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消防状态下，所有召唤均被取消，电梯立即驶往指定救援层站停</w:t>
            </w:r>
            <w:r>
              <w:rPr>
                <w:rStyle w:val="212"/>
                <w:rFonts w:hint="default"/>
                <w:color w:val="auto"/>
                <w:sz w:val="21"/>
                <w:szCs w:val="21"/>
                <w:highlight w:val="none"/>
                <w:lang w:bidi="ar"/>
              </w:rPr>
              <w:t xml:space="preserve"> </w:t>
            </w:r>
            <w:r>
              <w:rPr>
                <w:rFonts w:hint="default" w:hAnsi="宋体" w:cs="宋体"/>
                <w:color w:val="auto"/>
                <w:sz w:val="21"/>
                <w:szCs w:val="21"/>
                <w:highlight w:val="none"/>
                <w:lang w:bidi="ar"/>
              </w:rPr>
              <w:t>靠，并自动开门。</w:t>
            </w:r>
            <w:r>
              <w:rPr>
                <w:rStyle w:val="212"/>
                <w:rFonts w:hint="default"/>
                <w:b w:val="0"/>
                <w:color w:val="auto"/>
                <w:sz w:val="21"/>
                <w:szCs w:val="21"/>
                <w:highlight w:val="none"/>
                <w:lang w:bidi="ar"/>
              </w:rPr>
              <w:t>达到消防联动功能。</w:t>
            </w:r>
            <w:r>
              <w:rPr>
                <w:rStyle w:val="212"/>
                <w:rFonts w:hint="default"/>
                <w:color w:val="auto"/>
                <w:sz w:val="21"/>
                <w:szCs w:val="21"/>
                <w:highlight w:val="none"/>
                <w:lang w:bidi="ar"/>
              </w:rPr>
              <w:t xml:space="preserve"> </w:t>
            </w:r>
          </w:p>
        </w:tc>
      </w:tr>
      <w:tr w14:paraId="66A4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EC28259">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通讯功能</w:t>
            </w:r>
          </w:p>
        </w:tc>
      </w:tr>
      <w:tr w14:paraId="6CD2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F4AD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1D6AF">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轿厢警铃</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BB6C2">
            <w:pPr>
              <w:keepNext w:val="0"/>
              <w:keepLines w:val="0"/>
              <w:suppressLineNumbers w:val="0"/>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lang w:bidi="ar"/>
              </w:rPr>
              <w:t>当乘客按轿厢操作盘上的报警按钮时，置于轿厢顶部的警铃响起。</w:t>
            </w:r>
          </w:p>
        </w:tc>
      </w:tr>
      <w:tr w14:paraId="411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EED6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3B28B">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无线五方通话装置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B0D2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通过对讲机，可在轿内、轿顶、电梯机房、井道底坑、救援值班 室之间通话。</w:t>
            </w:r>
          </w:p>
        </w:tc>
      </w:tr>
      <w:tr w14:paraId="2EC0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233B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1ABFB">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轿内指示器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FCCD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位于轿厢内，包括轿厢位置、消防、超载等信息显示。 </w:t>
            </w:r>
          </w:p>
        </w:tc>
      </w:tr>
      <w:tr w14:paraId="3C9A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9238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A9A7A">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方向显示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1117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运行方向由LED或段码显示。 </w:t>
            </w:r>
          </w:p>
        </w:tc>
      </w:tr>
      <w:tr w14:paraId="50F6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C79A0">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4F1F3">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位置指示器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4F190">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位于大厅呼梯装置上，数字式显示轿厢所在位置及方向。 </w:t>
            </w:r>
          </w:p>
        </w:tc>
      </w:tr>
      <w:tr w14:paraId="4734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587C0A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节能功能</w:t>
            </w:r>
          </w:p>
        </w:tc>
      </w:tr>
      <w:tr w14:paraId="4D6E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7708B">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BB57E">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风扇、照明自动关闭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901CDF">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在规定的时间内没有召唤或指令信号，轿厢内风扇和照明会自动 关闭，节约能源。 </w:t>
            </w:r>
          </w:p>
        </w:tc>
      </w:tr>
      <w:tr w14:paraId="3797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EFF79">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459EF">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独立服务功能配备</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F9105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启动位于轿厢操作盘的专用开关，电梯脱离群控，独立运行，并响应电梯的轿内操作。</w:t>
            </w:r>
          </w:p>
        </w:tc>
      </w:tr>
      <w:tr w14:paraId="0DE2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9EA0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44A59">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定时自动开关梯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34AB4">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系统按所设置时间自动开梯/关梯。 </w:t>
            </w:r>
          </w:p>
        </w:tc>
      </w:tr>
      <w:tr w14:paraId="466D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0043A">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91AAC">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夜间到站钟取消功能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D5574">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在设定的时间范围内，电梯将取消到站钟功能。 </w:t>
            </w:r>
          </w:p>
        </w:tc>
      </w:tr>
      <w:tr w14:paraId="0622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686A398">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应急功能</w:t>
            </w:r>
          </w:p>
        </w:tc>
      </w:tr>
      <w:tr w14:paraId="43F0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E4D80">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C2C7D">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应急照明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7B14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停电时，自动打开轿内应急照明。 </w:t>
            </w:r>
          </w:p>
        </w:tc>
      </w:tr>
      <w:tr w14:paraId="7A3B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1ABBB">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38EEB">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紧急电动运行</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8124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当进入紧急电动状态时，轿厢以低速点动运行。</w:t>
            </w:r>
          </w:p>
        </w:tc>
      </w:tr>
      <w:tr w14:paraId="306F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78A6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287BE">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手动救援功能</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F5C1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电梯停电困人时，通过操作紧急操作盘活救援装置上救援开关，控制轿厢低速运行到平层位置</w:t>
            </w:r>
          </w:p>
        </w:tc>
      </w:tr>
      <w:tr w14:paraId="140D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41B7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1157A">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自动救援操作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9FD2E">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电梯正常运行中突然断电急停后，该装置会迅速动作，当检测到系统处于安全状态下，驱动电梯低速运行到平层位置开门疏散乘客</w:t>
            </w:r>
          </w:p>
        </w:tc>
      </w:tr>
      <w:tr w14:paraId="0C0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2246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F0A63">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底坑进水报警</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E951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检测到底坑积水到一定水位时，电梯就近平层，提供报警信号输出</w:t>
            </w:r>
          </w:p>
        </w:tc>
      </w:tr>
      <w:tr w14:paraId="7B2B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3094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5759D">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电梯状态监控系统</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23334">
            <w:pPr>
              <w:keepNext w:val="0"/>
              <w:keepLines w:val="0"/>
              <w:suppressLineNumbers w:val="0"/>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lang w:bidi="ar"/>
              </w:rPr>
              <w:t>监测电梯运行及位置情况，必要时提供运行指令</w:t>
            </w:r>
          </w:p>
        </w:tc>
      </w:tr>
      <w:tr w14:paraId="673E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4EB22">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63772">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门系统自动回路断路器</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ECD76">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控制柜内配置的可切断门机电源供电的断路器</w:t>
            </w:r>
          </w:p>
        </w:tc>
      </w:tr>
      <w:tr w14:paraId="1151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9CC17EB">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电梯安全功能 </w:t>
            </w:r>
          </w:p>
        </w:tc>
      </w:tr>
      <w:tr w14:paraId="5EDF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8997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3D2AD">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抱闸力自动检测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1637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系统将定期自动对制动器的制动力进行检测，如制动力不符合要求，采取保护措施。 </w:t>
            </w:r>
          </w:p>
        </w:tc>
      </w:tr>
      <w:tr w14:paraId="483A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5E4F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89C3">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红外线光幕保护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AEDF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红外线光幕被遮挡时，关门动作立即停止且自动开门。红外线光 174束及以上且不得有盲区，需覆盖门机所有断面 </w:t>
            </w:r>
          </w:p>
        </w:tc>
      </w:tr>
      <w:tr w14:paraId="671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6A26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79417">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超载停驶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0984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轿厢超载时，电梯门常开，蜂鸣器鸣响并停止于该层站。 </w:t>
            </w:r>
          </w:p>
        </w:tc>
      </w:tr>
      <w:tr w14:paraId="0DC6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5B189">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7404A">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曳引绳滑动检测</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9CE4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实时检测电梯运行位置偏移量，钢丝绳打滑超出允许值时，电梯减速，停止运行。  </w:t>
            </w:r>
          </w:p>
        </w:tc>
      </w:tr>
      <w:tr w14:paraId="1D72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8D0D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18E8D">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检修操作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7442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当进入检修状态时，轿厢以低速点动运行</w:t>
            </w:r>
          </w:p>
        </w:tc>
      </w:tr>
      <w:tr w14:paraId="460A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8A21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C8E2F">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故障自诊断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0A75B">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系统自动获取故障发生时的状态信息，以便快速排除故障，迅速 恢复电梯运行。 </w:t>
            </w:r>
          </w:p>
        </w:tc>
      </w:tr>
      <w:tr w14:paraId="75C5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ADF2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B4EEF">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重复开关门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E153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电梯开关门时因阻碍或干扰，电梯门会重复打开或关闭。 </w:t>
            </w:r>
          </w:p>
        </w:tc>
      </w:tr>
      <w:tr w14:paraId="6D0F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070C8">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48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7D446">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上下越层及上下极限保护装置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top"/>
          </w:tcPr>
          <w:p w14:paraId="711B648B">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该装置可有效的防止当电梯万一发生失控时的冲顶或撞底现象，使电梯更安全可靠。</w:t>
            </w:r>
          </w:p>
        </w:tc>
      </w:tr>
      <w:tr w14:paraId="02FC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EC963">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49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6E223">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下行超速保护装置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CB2D6">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当电梯下行运行超速时，该装置自动切断控制电源，使电机停止运转，安全钳动作，强制电梯停止运行。 </w:t>
            </w:r>
          </w:p>
        </w:tc>
      </w:tr>
      <w:tr w14:paraId="2B5E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DE61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6F484">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延时驱动保护</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A3B0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拽引机持续运转时间超过国标限定时，系统自动进入保护状态</w:t>
            </w:r>
          </w:p>
        </w:tc>
      </w:tr>
      <w:tr w14:paraId="3901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259C6">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0F874">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安全回路保 护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9F883">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安全回路断开或安全回路接触器粘连，电梯立即停止。 </w:t>
            </w:r>
          </w:p>
        </w:tc>
      </w:tr>
      <w:tr w14:paraId="053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7EE99">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70810">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门连锁保护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378CE">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门全部关闭，电梯方可运行，或门锁接触器粘连，电梯立即停止。 </w:t>
            </w:r>
          </w:p>
        </w:tc>
      </w:tr>
      <w:tr w14:paraId="6817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7F51B">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8B564">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抱闸检测保护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5DB0B">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对抱闸的打开或闭合实时检测，若发生异常，或抱闸接触器粘连， 电梯禁止启动。 </w:t>
            </w:r>
          </w:p>
        </w:tc>
      </w:tr>
      <w:tr w14:paraId="75D7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9044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32A08">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电压自动识 别功能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CE013">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系统通过检测输入电压的大小，自动调节电梯运行速度，以适应电源功率不足的情况（如应急运行）。 </w:t>
            </w:r>
          </w:p>
        </w:tc>
      </w:tr>
      <w:tr w14:paraId="0140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EF8F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C99AA">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防捣乱操作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DC6E3">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为避免空梯运行，电脑通过载重量进行逻辑判断把不正常的指令取消处理。</w:t>
            </w:r>
          </w:p>
        </w:tc>
      </w:tr>
      <w:tr w14:paraId="179A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5307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3776E">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再平层</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E0F3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当由于进出乘客等原因引起负载变化使轿厢地坎与层门地坎的误差超过一定值时，电梯将会自动执行再平层，使轿厢回到准确平层位置。</w:t>
            </w:r>
          </w:p>
        </w:tc>
      </w:tr>
      <w:tr w14:paraId="0F25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51BDB">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EA1EE">
            <w:pPr>
              <w:keepNext w:val="0"/>
              <w:keepLines w:val="0"/>
              <w:widowControl/>
              <w:suppressLineNumbers w:val="0"/>
              <w:autoSpaceDE/>
              <w:autoSpaceDN/>
              <w:snapToGrid w:val="0"/>
              <w:spacing w:before="0" w:beforeLines="0" w:beforeAutospacing="0" w:after="0" w:afterLines="0" w:afterAutospacing="0" w:line="320" w:lineRule="exact"/>
              <w:ind w:left="0" w:right="0"/>
              <w:jc w:val="both"/>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电流谐波滤波器</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7142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控制柜内配置滤波器，以屏蔽变频器输入电源的谐波对变频器造成的影响。</w:t>
            </w:r>
          </w:p>
        </w:tc>
      </w:tr>
      <w:tr w14:paraId="255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B3AE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EDC09">
            <w:pPr>
              <w:keepNext w:val="0"/>
              <w:keepLines w:val="0"/>
              <w:widowControl/>
              <w:suppressLineNumbers w:val="0"/>
              <w:autoSpaceDE/>
              <w:autoSpaceDN/>
              <w:snapToGrid w:val="0"/>
              <w:spacing w:before="0" w:beforeLines="0" w:beforeAutospacing="0" w:after="0" w:afterLines="0" w:afterAutospacing="0" w:line="320" w:lineRule="exact"/>
              <w:ind w:left="0" w:right="0"/>
              <w:jc w:val="both"/>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轿厢意外移动</w:t>
            </w:r>
          </w:p>
          <w:p w14:paraId="7EA9DBA9">
            <w:pPr>
              <w:keepNext w:val="0"/>
              <w:keepLines w:val="0"/>
              <w:widowControl/>
              <w:suppressLineNumbers w:val="0"/>
              <w:autoSpaceDE/>
              <w:autoSpaceDN/>
              <w:snapToGrid w:val="0"/>
              <w:spacing w:before="0" w:beforeLines="0" w:beforeAutospacing="0" w:after="0" w:afterLines="0" w:afterAutospacing="0" w:line="320" w:lineRule="exact"/>
              <w:ind w:left="0" w:right="0"/>
              <w:jc w:val="both"/>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保护功能</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E1668">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在开锁区域且轿门未关闭的情况下，由于相关元件失效引起轿厢 离开层站，保护装置将立即动作，停止轿厢移动。 </w:t>
            </w:r>
          </w:p>
        </w:tc>
      </w:tr>
      <w:tr w14:paraId="6941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323F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C6631">
            <w:pPr>
              <w:keepNext w:val="0"/>
              <w:keepLines w:val="0"/>
              <w:widowControl/>
              <w:suppressLineNumbers w:val="0"/>
              <w:snapToGrid w:val="0"/>
              <w:spacing w:before="0" w:beforeAutospacing="0" w:after="0" w:afterAutospacing="0" w:line="320" w:lineRule="exact"/>
              <w:ind w:left="0" w:right="0"/>
              <w:textAlignment w:val="center"/>
              <w:rPr>
                <w:rFonts w:hint="default" w:hAnsi="宋体" w:cs="宋体"/>
                <w:color w:val="auto"/>
                <w:sz w:val="21"/>
                <w:szCs w:val="21"/>
                <w:highlight w:val="none"/>
                <w:lang w:bidi="ar"/>
              </w:rPr>
            </w:pPr>
            <w:r>
              <w:rPr>
                <w:rFonts w:hint="default" w:ascii="宋体" w:hAnsi="宋体" w:cs="宋体"/>
                <w:color w:val="auto"/>
                <w:sz w:val="21"/>
                <w:szCs w:val="21"/>
                <w:highlight w:val="none"/>
                <w:lang w:bidi="ar"/>
              </w:rPr>
              <w:t>厅、轿门门锁电气联锁</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E523E">
            <w:pPr>
              <w:keepNext w:val="0"/>
              <w:keepLines w:val="0"/>
              <w:suppressLineNumbers w:val="0"/>
              <w:snapToGrid w:val="0"/>
              <w:spacing w:before="0" w:beforeAutospacing="0" w:after="0" w:afterAutospacing="0" w:line="320" w:lineRule="exact"/>
              <w:ind w:left="0" w:right="0" w:firstLine="315" w:firstLineChars="150"/>
              <w:rPr>
                <w:rFonts w:hint="default" w:hAnsi="宋体" w:cs="宋体"/>
                <w:color w:val="auto"/>
                <w:sz w:val="21"/>
                <w:szCs w:val="21"/>
                <w:highlight w:val="none"/>
                <w:lang w:bidi="ar"/>
              </w:rPr>
            </w:pPr>
            <w:r>
              <w:rPr>
                <w:rFonts w:hint="default" w:ascii="宋体" w:hAnsi="宋体" w:cs="宋体"/>
                <w:color w:val="auto"/>
                <w:sz w:val="21"/>
                <w:szCs w:val="21"/>
                <w:highlight w:val="none"/>
                <w:lang w:bidi="ar"/>
              </w:rPr>
              <w:t>应符合GB7588对电梯门锁的技术要求。</w:t>
            </w:r>
          </w:p>
        </w:tc>
      </w:tr>
      <w:tr w14:paraId="3602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4C2D7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 xml:space="preserve">人机界面 </w:t>
            </w:r>
          </w:p>
        </w:tc>
      </w:tr>
      <w:tr w14:paraId="527A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33645">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41CAC">
            <w:pPr>
              <w:keepNext w:val="0"/>
              <w:keepLines w:val="0"/>
              <w:widowControl/>
              <w:suppressLineNumbers w:val="0"/>
              <w:autoSpaceDE/>
              <w:autoSpaceDN/>
              <w:snapToGrid w:val="0"/>
              <w:spacing w:before="0" w:beforeLines="0" w:beforeAutospacing="0" w:after="0" w:afterLines="0" w:afterAutospacing="0" w:line="320" w:lineRule="exact"/>
              <w:ind w:left="0" w:right="0"/>
              <w:jc w:val="both"/>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微动指令按钮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8EC6E">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轿内操纵箱指令按钮及层站召唤按钮采用新型微动按钮。 </w:t>
            </w:r>
          </w:p>
        </w:tc>
      </w:tr>
      <w:tr w14:paraId="49D7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632DF">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3FC85">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运行状态显示</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7EE26">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系统能显示电梯运行方向、层楼、开关门、故障等信息。 </w:t>
            </w:r>
          </w:p>
        </w:tc>
      </w:tr>
      <w:tr w14:paraId="0873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8DB1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E9CDF">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机房选层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049E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通过控制柜内的按键操作，进行内选登记。 </w:t>
            </w:r>
          </w:p>
        </w:tc>
      </w:tr>
      <w:tr w14:paraId="5728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8D7A6">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4473D">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不停层任意设定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top"/>
          </w:tcPr>
          <w:p w14:paraId="0181C86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可以根据用户需要任意设定不停靠层站。 </w:t>
            </w:r>
          </w:p>
        </w:tc>
      </w:tr>
      <w:tr w14:paraId="566D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AF6FD">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F7D64">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大厅呼梯登记</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top"/>
          </w:tcPr>
          <w:p w14:paraId="60D57010">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厅外的呼梯登记按钮，在呼梯登记成功后，此按钮的灯也会亮以指示已登记成功。</w:t>
            </w:r>
          </w:p>
        </w:tc>
      </w:tr>
      <w:tr w14:paraId="0A33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61676">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CADF4">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轿厢到站钟</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4B396">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当轿厢到达指定楼层时，位于轿顶的到站钟发出响声，提醒乘客电梯已经到达。</w:t>
            </w:r>
          </w:p>
        </w:tc>
      </w:tr>
      <w:tr w14:paraId="317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587EA">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A3B32">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运行次数及时间记录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AE229">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统可自动记录电梯运行次数及时间。 </w:t>
            </w:r>
          </w:p>
        </w:tc>
      </w:tr>
      <w:tr w14:paraId="165D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01F55E2">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环保要求</w:t>
            </w:r>
          </w:p>
        </w:tc>
      </w:tr>
      <w:tr w14:paraId="6EE9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E01DA">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13258">
            <w:pPr>
              <w:keepNext w:val="0"/>
              <w:keepLines w:val="0"/>
              <w:widowControl/>
              <w:suppressLineNumbers w:val="0"/>
              <w:autoSpaceDE/>
              <w:autoSpaceDN/>
              <w:snapToGrid w:val="0"/>
              <w:spacing w:before="0" w:beforeLines="0" w:beforeAutospacing="0" w:after="0" w:afterLines="0" w:afterAutospacing="0" w:line="320" w:lineRule="exact"/>
              <w:ind w:left="0" w:right="0"/>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 xml:space="preserve">运行噪音 </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7CD8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 xml:space="preserve">机房内噪声≤75dB(A)、轿厢内噪声≤50dB(A)、开关门噪声≤ 55dB(A)。 </w:t>
            </w:r>
          </w:p>
        </w:tc>
      </w:tr>
      <w:tr w14:paraId="33C0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1423B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维保功能</w:t>
            </w:r>
          </w:p>
        </w:tc>
      </w:tr>
      <w:tr w14:paraId="28D8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4929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4C619">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轿顶检修盒</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14BD6">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启动位于轿顶上的此开关，就可使用轿顶上的一个装置来控制电梯低速运行，便于安装、调试和检修。</w:t>
            </w:r>
          </w:p>
        </w:tc>
      </w:tr>
      <w:tr w14:paraId="1CA8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E9F8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8F744">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盘车手轮开关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7E764">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收到盘车时，该开关被打开，以避免电机的电动操作。</w:t>
            </w:r>
          </w:p>
        </w:tc>
      </w:tr>
      <w:tr w14:paraId="1AF9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D72E7">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E5406">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故障自动监测</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7C2A9">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控制柜自动检测电梯运行状态，当事故发生时，自动检测并判断故障原因，大大减少维修时间。</w:t>
            </w:r>
          </w:p>
        </w:tc>
      </w:tr>
      <w:tr w14:paraId="161F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6C1C0">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C1F90">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轿厢去底部层站响应呼叫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28A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可通过控制柜中的此按钮，直接将电梯呼梯至底层。</w:t>
            </w:r>
          </w:p>
        </w:tc>
      </w:tr>
      <w:tr w14:paraId="7822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BC6F2">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D499C">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轿厢去顶部层站响应呼叫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3FB92">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可通过控制柜中的此按钮，直接将电梯呼梯至顶层。</w:t>
            </w:r>
          </w:p>
        </w:tc>
      </w:tr>
      <w:tr w14:paraId="4BC2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885B4">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F895E">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可控轿厢照明</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9C92A">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在轿厢操纵盘下方有独立的开关可以控制轿厢内的照明。</w:t>
            </w:r>
          </w:p>
        </w:tc>
      </w:tr>
      <w:tr w14:paraId="1C1C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6450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19371">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切除大厅呼叫开关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51E0E">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可通过控制柜中的此按钮，屏蔽所有楼层的外呼登记。</w:t>
            </w:r>
          </w:p>
        </w:tc>
      </w:tr>
      <w:tr w14:paraId="659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5E94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24696">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禁止门操作开关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5EC7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可通过控制柜中的此按钮，屏蔽电梯门的开关操作，即电梯会保持门关闭的状态，达到目前楼层后也不会开门。</w:t>
            </w:r>
          </w:p>
        </w:tc>
      </w:tr>
      <w:tr w14:paraId="2B82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E9F3B">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97C20">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厅门旁路操作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DD4A3">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可通过控制柜中的短接插件旁路厅门门锁回路，在此模式下电梯仅可检修运行。</w:t>
            </w:r>
          </w:p>
        </w:tc>
      </w:tr>
      <w:tr w14:paraId="544F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0519E">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77</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33A8D">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门区指示灯</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F3E01">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在控制柜中的一个指示灯用于指示当前轿厢位置是否在门区。</w:t>
            </w:r>
          </w:p>
        </w:tc>
      </w:tr>
      <w:tr w14:paraId="45C5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D9FB1">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78</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8BEB7">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紧急电动操作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3C91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位于控制柜中，在紧急条件下，可以控制轿厢上行/下行。</w:t>
            </w:r>
          </w:p>
        </w:tc>
      </w:tr>
      <w:tr w14:paraId="41B3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8343C">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79</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D0A39">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主断路器</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2F355">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电梯控制柜内配置可切断除井道照明，轿厢照明以外的电源供电。</w:t>
            </w:r>
          </w:p>
        </w:tc>
      </w:tr>
      <w:tr w14:paraId="10D1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A0D18">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80</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E6DA1">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底坑急停及照明开关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0445E">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底坑顶部入口处设置的急停及照明开关。（开门顺手高度）</w:t>
            </w:r>
          </w:p>
        </w:tc>
      </w:tr>
      <w:tr w14:paraId="0A41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08A42">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E3164">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单相电源开关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0472F">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配备一个单相220V的电源开关，用于比如井道照明灯的控制。</w:t>
            </w:r>
          </w:p>
        </w:tc>
      </w:tr>
      <w:tr w14:paraId="690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31C0D">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D7581">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安全钳超速开关</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1E2B9">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安全钳上配置的电气开关，在电梯超速至限制器联动安全钳动作后，会切断电梯的安全回路以通过抱闸制停电梯。</w:t>
            </w:r>
          </w:p>
        </w:tc>
      </w:tr>
      <w:tr w14:paraId="55D2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BC4B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B6A25">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轿厢顶部插座</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1C4FD">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在轿厢顶部配置一个电源插座，用于220V设备的供电。</w:t>
            </w:r>
          </w:p>
        </w:tc>
      </w:tr>
      <w:tr w14:paraId="381A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3F9A3">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84</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C1F20">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检修限位</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A153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设置在井道顶部和底部的限位开关，用于限制通过轿顶检修可运行轿厢达到的最远距离。</w:t>
            </w:r>
          </w:p>
        </w:tc>
      </w:tr>
      <w:tr w14:paraId="32C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8B0846">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85</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13572">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驻停开关操作</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B5147">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选择此功能将提供驻停钥匙开关盒，当设置在指定楼层的钥匙开关动作后，电梯将在应答完所有指令后返回指定层楼，同时将点亮厅外停梯开关指示灯。</w:t>
            </w:r>
          </w:p>
        </w:tc>
      </w:tr>
      <w:tr w14:paraId="6AD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EB21D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其它功能</w:t>
            </w:r>
          </w:p>
        </w:tc>
      </w:tr>
      <w:tr w14:paraId="353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44719">
            <w:pPr>
              <w:keepNext w:val="0"/>
              <w:keepLines w:val="0"/>
              <w:suppressLineNumbers w:val="0"/>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86</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B4A0">
            <w:pPr>
              <w:keepNext w:val="0"/>
              <w:keepLines w:val="0"/>
              <w:widowControl/>
              <w:suppressLineNumbers w:val="0"/>
              <w:autoSpaceDE/>
              <w:autoSpaceDN/>
              <w:snapToGrid w:val="0"/>
              <w:spacing w:before="0" w:beforeLines="0" w:beforeAutospacing="0" w:after="0" w:afterLines="0" w:afterAutospacing="0" w:line="320" w:lineRule="exact"/>
              <w:ind w:left="0" w:right="0"/>
              <w:jc w:val="center"/>
              <w:textAlignment w:val="center"/>
              <w:rPr>
                <w:rFonts w:hint="default" w:hAnsi="宋体" w:cs="宋体"/>
                <w:color w:val="auto"/>
                <w:sz w:val="21"/>
                <w:szCs w:val="21"/>
                <w:highlight w:val="none"/>
                <w:lang w:bidi="ar"/>
              </w:rPr>
            </w:pPr>
            <w:r>
              <w:rPr>
                <w:rFonts w:hint="default" w:hAnsi="宋体" w:cs="宋体"/>
                <w:color w:val="auto"/>
                <w:sz w:val="21"/>
                <w:szCs w:val="21"/>
                <w:highlight w:val="none"/>
                <w:lang w:bidi="ar"/>
              </w:rPr>
              <w:t>轿厢内安装防电动车进入功能的高清监控</w:t>
            </w:r>
          </w:p>
        </w:tc>
        <w:tc>
          <w:tcPr>
            <w:tcW w:w="6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C766C">
            <w:pPr>
              <w:keepNext w:val="0"/>
              <w:keepLines w:val="0"/>
              <w:suppressLineNumbers w:val="0"/>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lang w:bidi="ar"/>
              </w:rPr>
              <w:t>半球机，200万像数及以上数字摄像机，短焦距。安装在新电梯内，电梯轿厢到电梯机房信号传输用无线网桥。连入小区监控系统。防电动车进入功能须联动轿门常开，监控画面返回监控室，达到实时监控所需。</w:t>
            </w:r>
          </w:p>
        </w:tc>
      </w:tr>
    </w:tbl>
    <w:p w14:paraId="60DCB11A">
      <w:pPr>
        <w:pStyle w:val="57"/>
        <w:ind w:firstLine="0"/>
        <w:rPr>
          <w:color w:val="auto"/>
          <w:highlight w:val="none"/>
        </w:rPr>
      </w:pPr>
    </w:p>
    <w:p w14:paraId="1DF017A1">
      <w:pPr>
        <w:snapToGrid w:val="0"/>
        <w:spacing w:line="320" w:lineRule="exact"/>
        <w:ind w:left="420" w:leftChars="150"/>
        <w:rPr>
          <w:rFonts w:hAnsi="宋体" w:cs="宋体"/>
          <w:b/>
          <w:color w:val="auto"/>
          <w:sz w:val="21"/>
          <w:szCs w:val="21"/>
          <w:highlight w:val="none"/>
        </w:rPr>
      </w:pPr>
      <w:r>
        <w:rPr>
          <w:rFonts w:hint="eastAsia" w:hAnsi="宋体" w:cs="宋体"/>
          <w:b/>
          <w:color w:val="auto"/>
          <w:sz w:val="21"/>
          <w:szCs w:val="21"/>
          <w:highlight w:val="none"/>
        </w:rPr>
        <w:t>（五）</w:t>
      </w:r>
      <w:r>
        <w:rPr>
          <w:rFonts w:hAnsi="宋体" w:cs="宋体"/>
          <w:b/>
          <w:color w:val="auto"/>
          <w:sz w:val="21"/>
          <w:szCs w:val="21"/>
          <w:highlight w:val="none"/>
        </w:rPr>
        <w:t>、电梯轿厢配置及装饰要求</w:t>
      </w:r>
    </w:p>
    <w:tbl>
      <w:tblPr>
        <w:tblStyle w:val="59"/>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1"/>
        <w:gridCol w:w="2430"/>
        <w:gridCol w:w="5883"/>
      </w:tblGrid>
      <w:tr w14:paraId="23A34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91F0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序号</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1CE9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品目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AFB41">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配置及装饰要求</w:t>
            </w:r>
          </w:p>
        </w:tc>
      </w:tr>
      <w:tr w14:paraId="0B02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93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96448">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firstLine="315" w:firstLineChars="150"/>
              <w:rPr>
                <w:rFonts w:hint="default" w:hAnsi="宋体" w:cs="宋体"/>
                <w:color w:val="auto"/>
                <w:sz w:val="21"/>
                <w:szCs w:val="21"/>
                <w:highlight w:val="none"/>
              </w:rPr>
            </w:pPr>
            <w:r>
              <w:rPr>
                <w:rFonts w:hint="default" w:hAnsi="宋体" w:cs="宋体"/>
                <w:color w:val="auto"/>
                <w:sz w:val="21"/>
                <w:szCs w:val="21"/>
                <w:highlight w:val="none"/>
              </w:rPr>
              <w:t>轿厢内配置及装饰要求（如有其它内容未进行约定的，按照原有电梯方式配置）</w:t>
            </w:r>
          </w:p>
        </w:tc>
      </w:tr>
      <w:tr w14:paraId="20A2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9BC4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9337B">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轿厢壁</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DD39F">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轿厢壁及门楣均为304发纹不锈钢，</w:t>
            </w:r>
          </w:p>
          <w:p w14:paraId="0D03BDE4">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厚度不小于1.5mm</w:t>
            </w:r>
          </w:p>
        </w:tc>
      </w:tr>
      <w:tr w14:paraId="438A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7C709">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D4B63">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轿厢通风</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C96A5">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eastAsia="宋体" w:cs="宋体"/>
                <w:color w:val="auto"/>
                <w:sz w:val="21"/>
                <w:szCs w:val="21"/>
                <w:highlight w:val="none"/>
                <w:lang w:val="en-US" w:eastAsia="zh-CN"/>
              </w:rPr>
            </w:pPr>
            <w:r>
              <w:rPr>
                <w:rFonts w:hint="default" w:ascii="宋体" w:hAnsi="宋体" w:cs="宋体"/>
                <w:color w:val="auto"/>
                <w:sz w:val="21"/>
                <w:szCs w:val="21"/>
                <w:highlight w:val="none"/>
              </w:rPr>
              <w:t>1.5P单能无水空调</w:t>
            </w:r>
          </w:p>
        </w:tc>
      </w:tr>
      <w:tr w14:paraId="051D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964E9">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2F555">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开门方式</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5F12D">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双扇中分自动门</w:t>
            </w:r>
          </w:p>
        </w:tc>
      </w:tr>
      <w:tr w14:paraId="570A9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48F23">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4</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5CF8F">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吊顶及照明</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06ED4">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轿顶集成一体式天花，光源LED照明、通风: 中间通风（或离轿壁不小于200mm），发纹不锈钢材质，配置低噪音风机通风（横流式）。</w:t>
            </w:r>
          </w:p>
        </w:tc>
      </w:tr>
      <w:tr w14:paraId="50E56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E1F5F">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5</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C41B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轿厢门</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C6B5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采用304发纹不锈钢轿厢门</w:t>
            </w:r>
          </w:p>
        </w:tc>
      </w:tr>
      <w:tr w14:paraId="24B1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570B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6</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DE413">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轿厢地面</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79DB5">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耐磨高硬度大理石地板</w:t>
            </w:r>
          </w:p>
        </w:tc>
      </w:tr>
      <w:tr w14:paraId="7627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F1154">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7</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6053C">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扶手</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C6E41">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电梯门按键侧安装不锈钢圆角扶手（单侧）</w:t>
            </w:r>
          </w:p>
        </w:tc>
      </w:tr>
      <w:tr w14:paraId="1E2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D033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8</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6138F">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厅门地坎</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BFC5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轿厢门内外硬质铝合金</w:t>
            </w:r>
          </w:p>
        </w:tc>
      </w:tr>
      <w:tr w14:paraId="051C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0E14B">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9</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A192A">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显示器</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6068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轿厢内为液晶显示屏，不要广告功能</w:t>
            </w:r>
          </w:p>
        </w:tc>
      </w:tr>
      <w:tr w14:paraId="69B2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0123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10</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10877">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轿厢尺寸（mm）</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EC9AA">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以现场踏勘为准</w:t>
            </w:r>
          </w:p>
        </w:tc>
      </w:tr>
      <w:tr w14:paraId="5C2CA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4ACCD">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11</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A8A33">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电梯按键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F869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横向、竖向按键均设置；显示屏背光与显示键有明显区分，便于老年人使用。</w:t>
            </w:r>
          </w:p>
        </w:tc>
      </w:tr>
      <w:tr w14:paraId="552A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B9842">
            <w:pPr>
              <w:keepNext w:val="0"/>
              <w:keepLines w:val="0"/>
              <w:suppressLineNumbers w:val="0"/>
              <w:tabs>
                <w:tab w:val="left" w:pos="6954"/>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讯号装置</w:t>
            </w:r>
            <w:r>
              <w:rPr>
                <w:rFonts w:hint="default" w:hAnsi="宋体" w:cs="宋体"/>
                <w:color w:val="auto"/>
                <w:sz w:val="21"/>
                <w:szCs w:val="21"/>
                <w:highlight w:val="none"/>
              </w:rPr>
              <w:tab/>
            </w:r>
          </w:p>
        </w:tc>
      </w:tr>
      <w:tr w14:paraId="1D0D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10804">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7DB93">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轿厢操作板</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94975">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全高发纹不锈钢，段码/液晶显示，</w:t>
            </w:r>
          </w:p>
          <w:p w14:paraId="66F25120">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按钮背光 </w:t>
            </w:r>
          </w:p>
        </w:tc>
      </w:tr>
      <w:tr w14:paraId="404A6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8325A">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B6400">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轿厢内信号装置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AD0C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显示屏配置断码液晶显示，有数字式楼层位置显示器，箭头运行方向指示器，所有楼层选择轻触型按钮均设有数字、白色发光显示器。</w:t>
            </w:r>
          </w:p>
        </w:tc>
      </w:tr>
      <w:tr w14:paraId="7C49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D64CF">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3</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CEC90">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厅门信号装置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F0A5A">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断码液晶显示，各层均设有组合式呼梯按钮，并附有数字式楼层位置显示器，箭头运行方向指示器。尺寸不小于310×95mm(原面板大小，要求安装后不能漏出缝隙）</w:t>
            </w:r>
          </w:p>
        </w:tc>
      </w:tr>
    </w:tbl>
    <w:p w14:paraId="625E5F07">
      <w:pPr>
        <w:snapToGrid w:val="0"/>
        <w:spacing w:line="320" w:lineRule="exact"/>
        <w:ind w:left="420" w:leftChars="150"/>
        <w:rPr>
          <w:rFonts w:hAnsi="宋体" w:cs="宋体"/>
          <w:b/>
          <w:color w:val="auto"/>
          <w:sz w:val="21"/>
          <w:szCs w:val="21"/>
          <w:highlight w:val="none"/>
        </w:rPr>
      </w:pPr>
    </w:p>
    <w:p w14:paraId="32C9F8D5">
      <w:pPr>
        <w:snapToGrid w:val="0"/>
        <w:spacing w:line="320" w:lineRule="exact"/>
        <w:ind w:left="420" w:leftChars="150"/>
        <w:rPr>
          <w:rFonts w:hAnsi="宋体" w:cs="宋体"/>
          <w:b/>
          <w:color w:val="auto"/>
          <w:sz w:val="21"/>
          <w:szCs w:val="21"/>
          <w:highlight w:val="none"/>
        </w:rPr>
      </w:pPr>
    </w:p>
    <w:p w14:paraId="54F2B86C">
      <w:pPr>
        <w:pStyle w:val="49"/>
        <w:rPr>
          <w:rFonts w:ascii="宋体" w:hAnsi="宋体" w:cs="宋体"/>
          <w:color w:val="auto"/>
          <w:sz w:val="21"/>
          <w:szCs w:val="21"/>
          <w:highlight w:val="none"/>
        </w:rPr>
      </w:pPr>
    </w:p>
    <w:p w14:paraId="6425E397">
      <w:pPr>
        <w:snapToGrid w:val="0"/>
        <w:spacing w:line="320" w:lineRule="exact"/>
        <w:rPr>
          <w:rFonts w:hAnsi="宋体" w:cs="宋体"/>
          <w:b/>
          <w:color w:val="auto"/>
          <w:sz w:val="21"/>
          <w:szCs w:val="21"/>
          <w:highlight w:val="none"/>
        </w:rPr>
      </w:pPr>
      <w:r>
        <w:rPr>
          <w:rFonts w:hint="eastAsia" w:hAnsi="宋体" w:cs="宋体"/>
          <w:b/>
          <w:color w:val="auto"/>
          <w:sz w:val="21"/>
          <w:szCs w:val="21"/>
          <w:highlight w:val="none"/>
        </w:rPr>
        <w:t>（六）</w:t>
      </w:r>
      <w:r>
        <w:rPr>
          <w:rFonts w:hAnsi="宋体" w:cs="宋体"/>
          <w:b/>
          <w:color w:val="auto"/>
          <w:sz w:val="21"/>
          <w:szCs w:val="21"/>
          <w:highlight w:val="none"/>
        </w:rPr>
        <w:t>其它附属工程</w:t>
      </w:r>
    </w:p>
    <w:p w14:paraId="7158995D">
      <w:pPr>
        <w:pStyle w:val="57"/>
        <w:ind w:firstLine="0"/>
        <w:rPr>
          <w:color w:val="auto"/>
          <w:highlight w:val="none"/>
        </w:rPr>
      </w:pPr>
    </w:p>
    <w:tbl>
      <w:tblPr>
        <w:tblStyle w:val="59"/>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1944"/>
        <w:gridCol w:w="5228"/>
      </w:tblGrid>
      <w:tr w14:paraId="5BDFF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229FE">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序号</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62704">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品目</w:t>
            </w:r>
          </w:p>
        </w:tc>
        <w:tc>
          <w:tcPr>
            <w:tcW w:w="5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80823">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配置及装饰要求</w:t>
            </w:r>
          </w:p>
        </w:tc>
      </w:tr>
      <w:tr w14:paraId="71690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D87F7">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运输、成品保护、二次转运等</w:t>
            </w:r>
          </w:p>
        </w:tc>
      </w:tr>
      <w:tr w14:paraId="5ACF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FCD49">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4CD17">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运输、成品保护、二次转运等</w:t>
            </w:r>
          </w:p>
        </w:tc>
        <w:tc>
          <w:tcPr>
            <w:tcW w:w="5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82C0C">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比选申请人根据项目现场实际情况制定详尽的产品生产、包装、运输、施工计划等工作，对运输、现场二次转运、设备成品保护、转运和施工过程对现场其他项目成品保护工作均由比选申请人负责，如产生破坏由比选申请人负责修缮及恢复。</w:t>
            </w:r>
          </w:p>
        </w:tc>
      </w:tr>
      <w:tr w14:paraId="7452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E95E8">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其他部分</w:t>
            </w:r>
          </w:p>
        </w:tc>
      </w:tr>
      <w:tr w14:paraId="0B907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8BCC6">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AE60B">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default" w:hAnsi="宋体" w:cs="宋体"/>
                <w:color w:val="auto"/>
                <w:sz w:val="21"/>
                <w:szCs w:val="21"/>
                <w:highlight w:val="none"/>
              </w:rPr>
            </w:pPr>
            <w:r>
              <w:rPr>
                <w:rFonts w:hint="default" w:hAnsi="宋体" w:cs="宋体"/>
                <w:color w:val="auto"/>
                <w:sz w:val="21"/>
                <w:szCs w:val="21"/>
                <w:highlight w:val="none"/>
              </w:rPr>
              <w:t>电梯底坑对重防护板如选择封闭式须在齐对重缓冲器上部留观察和检测孔洞</w:t>
            </w:r>
          </w:p>
        </w:tc>
      </w:tr>
      <w:tr w14:paraId="21BC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604DC">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423A2">
            <w:pPr>
              <w:keepNext w:val="0"/>
              <w:keepLines w:val="0"/>
              <w:suppressLineNumbers w:val="0"/>
              <w:tabs>
                <w:tab w:val="left" w:pos="1875"/>
              </w:tabs>
              <w:autoSpaceDE/>
              <w:autoSpaceDN/>
              <w:snapToGrid w:val="0"/>
              <w:spacing w:before="0" w:beforeLines="0" w:beforeAutospacing="0" w:after="0" w:afterLines="0" w:afterAutospacing="0" w:line="320" w:lineRule="exact"/>
              <w:ind w:left="0" w:right="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机</w:t>
            </w:r>
            <w:r>
              <w:rPr>
                <w:rFonts w:hint="default" w:hAnsi="宋体" w:cs="宋体"/>
                <w:color w:val="auto"/>
                <w:sz w:val="21"/>
                <w:szCs w:val="21"/>
                <w:highlight w:val="none"/>
              </w:rPr>
              <w:t>房改造：钢制防火门、环氧树脂地坪漆、墙面翻新（乳胶漆）、普通LED节能灯、机房管理制度上墙、每个机房配置3P柜机空调（格力）一台</w:t>
            </w:r>
          </w:p>
        </w:tc>
      </w:tr>
    </w:tbl>
    <w:p w14:paraId="36B9F296">
      <w:pPr>
        <w:snapToGrid w:val="0"/>
        <w:spacing w:line="320" w:lineRule="exact"/>
        <w:ind w:left="529" w:leftChars="114" w:hanging="210" w:hangingChars="100"/>
        <w:jc w:val="left"/>
        <w:rPr>
          <w:rFonts w:ascii="宋体" w:hAnsi="宋体" w:cs="宋体"/>
          <w:color w:val="auto"/>
          <w:sz w:val="21"/>
          <w:szCs w:val="21"/>
          <w:highlight w:val="none"/>
        </w:rPr>
      </w:pPr>
    </w:p>
    <w:p w14:paraId="4D4ACBB6">
      <w:pPr>
        <w:ind w:firstLine="420" w:firstLineChars="200"/>
        <w:rPr>
          <w:rFonts w:ascii="宋体" w:hAnsi="宋体" w:cs="宋体"/>
          <w:color w:val="auto"/>
          <w:highlight w:val="none"/>
        </w:rPr>
      </w:pPr>
      <w:r>
        <w:rPr>
          <w:rFonts w:hint="eastAsia" w:hAnsi="宋体" w:cs="宋体"/>
          <w:color w:val="auto"/>
          <w:sz w:val="21"/>
          <w:szCs w:val="21"/>
          <w:highlight w:val="none"/>
          <w:lang w:val="en-US" w:eastAsia="zh-CN"/>
        </w:rPr>
        <w:t>注：</w:t>
      </w:r>
      <w:r>
        <w:rPr>
          <w:rFonts w:hint="eastAsia" w:hAnsi="宋体" w:cs="宋体"/>
          <w:color w:val="auto"/>
          <w:sz w:val="21"/>
          <w:szCs w:val="21"/>
          <w:highlight w:val="none"/>
        </w:rPr>
        <w:t>项目技术参数需满足《纳入超长期特别国债资金支持的更新电梯专项要求》及《纳入超长期特别国债资金支持的更新电梯检验附加要求》相关要求</w:t>
      </w:r>
      <w:r>
        <w:rPr>
          <w:rFonts w:hint="eastAsia" w:ascii="宋体" w:hAnsi="宋体" w:cs="宋体"/>
          <w:color w:val="auto"/>
          <w:highlight w:val="none"/>
        </w:rPr>
        <w:br w:type="page"/>
      </w:r>
    </w:p>
    <w:p w14:paraId="159BC9A2">
      <w:pPr>
        <w:pStyle w:val="2"/>
        <w:jc w:val="center"/>
        <w:rPr>
          <w:rFonts w:hAnsi="宋体" w:cs="宋体"/>
          <w:b/>
          <w:bCs/>
          <w:color w:val="auto"/>
          <w:sz w:val="30"/>
          <w:szCs w:val="30"/>
          <w:highlight w:val="none"/>
        </w:rPr>
      </w:pPr>
      <w:bookmarkStart w:id="93" w:name="_Toc16875"/>
      <w:r>
        <w:rPr>
          <w:rFonts w:hint="eastAsia" w:hAnsi="宋体" w:cs="宋体"/>
          <w:b/>
          <w:bCs/>
          <w:color w:val="auto"/>
          <w:sz w:val="30"/>
          <w:szCs w:val="30"/>
          <w:highlight w:val="none"/>
        </w:rPr>
        <w:t xml:space="preserve">第三篇  </w:t>
      </w:r>
      <w:bookmarkEnd w:id="87"/>
      <w:bookmarkEnd w:id="88"/>
      <w:bookmarkEnd w:id="89"/>
      <w:bookmarkEnd w:id="90"/>
      <w:bookmarkEnd w:id="91"/>
      <w:bookmarkEnd w:id="92"/>
      <w:r>
        <w:rPr>
          <w:rFonts w:hint="eastAsia" w:hAnsi="宋体" w:cs="宋体"/>
          <w:b/>
          <w:bCs/>
          <w:color w:val="auto"/>
          <w:sz w:val="30"/>
          <w:szCs w:val="30"/>
          <w:highlight w:val="none"/>
        </w:rPr>
        <w:t>比选项目商务需求</w:t>
      </w:r>
      <w:bookmarkEnd w:id="93"/>
    </w:p>
    <w:p w14:paraId="01FF3CE7">
      <w:pPr>
        <w:keepNext/>
        <w:keepLines/>
        <w:adjustRightInd w:val="0"/>
        <w:snapToGrid w:val="0"/>
        <w:spacing w:line="380" w:lineRule="exact"/>
        <w:ind w:firstLine="482" w:firstLineChars="200"/>
        <w:outlineLvl w:val="1"/>
        <w:rPr>
          <w:rFonts w:ascii="宋体" w:hAnsi="宋体" w:cs="宋体"/>
          <w:b/>
          <w:color w:val="auto"/>
          <w:sz w:val="24"/>
          <w:highlight w:val="none"/>
        </w:rPr>
      </w:pPr>
      <w:bookmarkStart w:id="94" w:name="_Toc13555"/>
      <w:bookmarkStart w:id="95" w:name="_Toc16257"/>
      <w:bookmarkStart w:id="96" w:name="_Toc17750"/>
      <w:bookmarkStart w:id="97" w:name="_Toc65660342"/>
      <w:bookmarkStart w:id="98" w:name="_Toc12935"/>
      <w:bookmarkStart w:id="99" w:name="_Toc342913389"/>
      <w:r>
        <w:rPr>
          <w:rFonts w:hint="eastAsia" w:ascii="宋体" w:hAnsi="宋体" w:cs="宋体"/>
          <w:b/>
          <w:color w:val="auto"/>
          <w:sz w:val="24"/>
          <w:highlight w:val="none"/>
        </w:rPr>
        <w:t>一、工期、地点及验收方式</w:t>
      </w:r>
      <w:bookmarkEnd w:id="94"/>
      <w:bookmarkEnd w:id="95"/>
      <w:bookmarkEnd w:id="96"/>
      <w:bookmarkEnd w:id="97"/>
      <w:bookmarkEnd w:id="98"/>
    </w:p>
    <w:p w14:paraId="7F417497">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（一）工期</w:t>
      </w:r>
    </w:p>
    <w:p w14:paraId="08B98342">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成交供应商应在合同签订后</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日历日内交货并完成安装调试（国家法定节假日顺延），同时通过特种设备监督管理部门验收合格并取得合格的检验监督报告。</w:t>
      </w:r>
    </w:p>
    <w:p w14:paraId="56487220">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（二）地点</w:t>
      </w:r>
    </w:p>
    <w:p w14:paraId="69233175">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地点：采购人指定的地点。</w:t>
      </w:r>
    </w:p>
    <w:p w14:paraId="00D6B259">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305F73D3">
      <w:pPr>
        <w:keepNext/>
        <w:keepLines/>
        <w:adjustRightInd w:val="0"/>
        <w:snapToGrid w:val="0"/>
        <w:spacing w:line="380" w:lineRule="exact"/>
        <w:ind w:firstLine="480" w:firstLineChars="200"/>
        <w:outlineLvl w:val="1"/>
        <w:rPr>
          <w:rFonts w:ascii="宋体" w:hAnsi="宋体" w:cs="宋体"/>
          <w:color w:val="auto"/>
          <w:sz w:val="24"/>
          <w:szCs w:val="24"/>
          <w:highlight w:val="none"/>
        </w:rPr>
      </w:pPr>
      <w:bookmarkStart w:id="100" w:name="_Toc8103"/>
      <w:bookmarkStart w:id="101" w:name="_Toc1838"/>
      <w:bookmarkStart w:id="102" w:name="_Toc24110"/>
      <w:bookmarkStart w:id="103" w:name="_Toc65660343"/>
      <w:bookmarkStart w:id="104" w:name="_Toc2149"/>
      <w:r>
        <w:rPr>
          <w:rFonts w:hint="eastAsia" w:ascii="宋体" w:hAnsi="宋体" w:cs="宋体"/>
          <w:color w:val="auto"/>
          <w:sz w:val="24"/>
          <w:szCs w:val="24"/>
          <w:highlight w:val="none"/>
        </w:rPr>
        <w:t>1、货物到达现场后，成交供应商应在使用单位人员在场情况下当面开箱，共同清点、检查外观，作出开箱记录，双方签字确认。</w:t>
      </w:r>
    </w:p>
    <w:p w14:paraId="6DA213CA">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2、成交供应商应保证货物到达采购人所在地完好无损，如有缺漏、损坏，由供应商负责调换、补齐或赔偿。</w:t>
      </w:r>
    </w:p>
    <w:p w14:paraId="74362156">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3、成交供应商应提供完备的技术资料、装箱单和合格证等，并派遣专业技术人员进行现场安装调试。验收合格条件如下：</w:t>
      </w:r>
    </w:p>
    <w:p w14:paraId="799489DC">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（1）设备技术参数与采购合同一致，性能指标达到规定的标准。</w:t>
      </w:r>
    </w:p>
    <w:p w14:paraId="20E87BF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（2）货物技术资料、装箱单、合格证等资料齐全。</w:t>
      </w:r>
    </w:p>
    <w:p w14:paraId="1DD4770A">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（3）在系统试运行期间所出现的问题得到解决，并运行正常。</w:t>
      </w:r>
    </w:p>
    <w:p w14:paraId="71619602">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（4）在规定时间内完成交货并验收，并经采购人确认。</w:t>
      </w:r>
    </w:p>
    <w:p w14:paraId="0E133DE7">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4、产品在安装调试并试运行符合要求后，才作为最终验收。</w:t>
      </w:r>
    </w:p>
    <w:p w14:paraId="573ECF78">
      <w:pPr>
        <w:keepNext/>
        <w:keepLines/>
        <w:adjustRightInd w:val="0"/>
        <w:snapToGrid w:val="0"/>
        <w:spacing w:line="38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w:t>
      </w:r>
      <w:bookmarkEnd w:id="100"/>
      <w:bookmarkEnd w:id="101"/>
      <w:bookmarkEnd w:id="102"/>
      <w:bookmarkEnd w:id="103"/>
      <w:bookmarkStart w:id="105" w:name="_Toc65660344"/>
      <w:bookmarkStart w:id="106" w:name="_Toc122"/>
      <w:bookmarkStart w:id="107" w:name="_Toc12184"/>
      <w:bookmarkStart w:id="108" w:name="_Toc16974"/>
      <w:r>
        <w:rPr>
          <w:rFonts w:hint="eastAsia" w:ascii="宋体" w:hAnsi="宋体" w:cs="宋体"/>
          <w:b/>
          <w:color w:val="auto"/>
          <w:sz w:val="24"/>
          <w:highlight w:val="none"/>
        </w:rPr>
        <w:t>报价要求</w:t>
      </w:r>
      <w:bookmarkEnd w:id="104"/>
      <w:bookmarkEnd w:id="105"/>
      <w:bookmarkEnd w:id="106"/>
      <w:bookmarkEnd w:id="107"/>
      <w:bookmarkEnd w:id="108"/>
    </w:p>
    <w:p w14:paraId="7AE9C361">
      <w:pPr>
        <w:snapToGrid w:val="0"/>
        <w:spacing w:line="380" w:lineRule="exact"/>
        <w:ind w:firstLine="360" w:firstLineChars="150"/>
        <w:outlineLvl w:val="2"/>
        <w:rPr>
          <w:rFonts w:ascii="宋体" w:hAnsi="宋体" w:cs="宋体"/>
          <w:color w:val="auto"/>
          <w:sz w:val="24"/>
          <w:szCs w:val="24"/>
          <w:highlight w:val="none"/>
        </w:rPr>
      </w:pPr>
      <w:bookmarkStart w:id="109" w:name="_Toc9968"/>
      <w:bookmarkStart w:id="110" w:name="_Toc7562"/>
      <w:bookmarkStart w:id="111" w:name="_Toc11000"/>
      <w:bookmarkStart w:id="112" w:name="_Toc9192"/>
      <w:bookmarkStart w:id="113" w:name="_Toc65660345"/>
      <w:r>
        <w:rPr>
          <w:rFonts w:hint="eastAsia" w:ascii="宋体" w:hAnsi="宋体" w:cs="宋体"/>
          <w:color w:val="auto"/>
          <w:sz w:val="24"/>
          <w:szCs w:val="24"/>
          <w:highlight w:val="none"/>
        </w:rPr>
        <w:t>1、本项目为交钥匙工程，本次报价须为人民币报价，投标报价包含不限于：前期电梯安全评估费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、招标代理服务费</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00元、设备购买费、运输费、装卸费、保险费、安装调试费、现有电梯设备拆除工时费、人工费、税费、培训费、验收全过程直至取得质量技术监督部门验收合格发出运行许可证交付给采购人使用、质保期内的质保及维保售后服务工作等完成项目的所有费用</w:t>
      </w:r>
      <w:r>
        <w:rPr>
          <w:rFonts w:hint="eastAsia" w:ascii="宋体" w:hAnsi="宋体" w:cs="宋体"/>
          <w:b/>
          <w:bCs/>
          <w:color w:val="auto"/>
          <w:sz w:val="24"/>
          <w:szCs w:val="24"/>
          <w:highlight w:val="none"/>
        </w:rPr>
        <w:t>减去旧梯残值费后的金额</w:t>
      </w:r>
      <w:r>
        <w:rPr>
          <w:rFonts w:hint="eastAsia" w:ascii="宋体" w:hAnsi="宋体" w:cs="宋体"/>
          <w:color w:val="auto"/>
          <w:sz w:val="24"/>
          <w:szCs w:val="24"/>
          <w:highlight w:val="none"/>
        </w:rPr>
        <w:t>。采购人除此以外不支付其它费用。</w:t>
      </w:r>
    </w:p>
    <w:p w14:paraId="452260DC">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成交供应商根据采购人项目进度需求制定施工计划，分批次进行拆旧换新工作（每栋两台电梯情况的，先更换好一台电梯保证业主的日常生活后在更换另一台电梯），进场即接收旧电梯的日常维护保养工作，保障楼栋电梯的正常安全合规运行，直至全部更新工程的竣工。</w:t>
      </w:r>
    </w:p>
    <w:p w14:paraId="1CB66D0E">
      <w:pPr>
        <w:pStyle w:val="57"/>
        <w:spacing w:line="380" w:lineRule="exact"/>
        <w:rPr>
          <w:rFonts w:eastAsia="宋体" w:cs="宋体"/>
          <w:b/>
          <w:bCs/>
          <w:color w:val="auto"/>
          <w:szCs w:val="24"/>
          <w:highlight w:val="none"/>
        </w:rPr>
      </w:pPr>
      <w:r>
        <w:rPr>
          <w:rFonts w:hint="eastAsia" w:eastAsia="宋体" w:cs="宋体"/>
          <w:b/>
          <w:bCs/>
          <w:color w:val="auto"/>
          <w:szCs w:val="24"/>
          <w:highlight w:val="none"/>
        </w:rPr>
        <w:t>3、供应商须按照“第七篇响应文件格式要求”中《比选报价函》及《报价明细表》填报金额，《比选报价函》中的含税投标总报价金额应与《报价明细表》中各楼栋含税报价总计金额之和一致，否则将按无效投标处理。</w:t>
      </w:r>
    </w:p>
    <w:p w14:paraId="74EE66DA">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bookmarkEnd w:id="109"/>
      <w:bookmarkEnd w:id="110"/>
      <w:bookmarkEnd w:id="111"/>
      <w:bookmarkEnd w:id="112"/>
      <w:bookmarkEnd w:id="113"/>
      <w:bookmarkStart w:id="114" w:name="_Toc3786"/>
      <w:bookmarkStart w:id="115" w:name="_Toc65660346"/>
      <w:bookmarkStart w:id="116" w:name="_Toc7228"/>
      <w:bookmarkStart w:id="117" w:name="_Toc12953"/>
      <w:bookmarkStart w:id="118" w:name="_Toc24751"/>
    </w:p>
    <w:p w14:paraId="2CC455C4">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1、合同签订前成交供应商向采购人提供合同金额</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%的履约担保保函（见索即付），受益人为采购人，全部工程完工并竣工验收合格后5个工作日内一次性无息退还（不计利息）。</w:t>
      </w:r>
    </w:p>
    <w:p w14:paraId="2FBA0C76">
      <w:pPr>
        <w:snapToGrid w:val="0"/>
        <w:spacing w:line="380" w:lineRule="exact"/>
        <w:ind w:firstLine="360" w:firstLineChars="15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2、合同签订后7个工作日内，乙方协助甲方办理小区大修基金支付流程，由小区大修基金向乙方支付工程总价的30%作为预付款后乙方正式进场，即人民币   元（大写人民币：  ），乙方进场后开始计算工期。工程竣工验收合格后，乙方协助甲方在  个工作日内办理小区大修基金剩余款项支付流程，剩余款项金额为人民币   元（大写人民币：  ）。乙方在收到预付款项后5个工作日将质保金3%支付至甲方公司账上。质保期满后无任何质量问题退还。</w:t>
      </w:r>
    </w:p>
    <w:p w14:paraId="341299CA">
      <w:pPr>
        <w:snapToGrid w:val="0"/>
        <w:spacing w:line="380" w:lineRule="exact"/>
        <w:ind w:firstLine="360" w:firstLineChars="150"/>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3、政府补贴资金（如有）</w:t>
      </w:r>
      <w:r>
        <w:rPr>
          <w:rFonts w:hint="eastAsia" w:ascii="宋体" w:hAnsi="宋体" w:cs="宋体"/>
          <w:color w:val="auto"/>
          <w:sz w:val="24"/>
          <w:szCs w:val="24"/>
          <w:highlight w:val="none"/>
          <w:lang w:val="en-US" w:eastAsia="zh-CN"/>
        </w:rPr>
        <w:t>则按</w:t>
      </w:r>
      <w:r>
        <w:rPr>
          <w:rFonts w:hint="default" w:ascii="宋体" w:hAnsi="宋体" w:eastAsia="宋体" w:cs="宋体"/>
          <w:color w:val="auto"/>
          <w:sz w:val="24"/>
          <w:szCs w:val="24"/>
          <w:highlight w:val="none"/>
          <w:lang w:val="en-US" w:eastAsia="zh-CN"/>
        </w:rPr>
        <w:t>政府补贴资金</w:t>
      </w:r>
      <w:r>
        <w:rPr>
          <w:rFonts w:hint="eastAsia" w:ascii="宋体" w:hAnsi="宋体" w:cs="宋体"/>
          <w:color w:val="auto"/>
          <w:sz w:val="24"/>
          <w:szCs w:val="24"/>
          <w:highlight w:val="none"/>
          <w:lang w:val="en-US" w:eastAsia="zh-CN"/>
        </w:rPr>
        <w:t>申请流程进行。</w:t>
      </w:r>
    </w:p>
    <w:p w14:paraId="2DB7BB08">
      <w:pPr>
        <w:snapToGrid w:val="0"/>
        <w:spacing w:line="380" w:lineRule="exact"/>
        <w:ind w:firstLine="361" w:firstLineChars="150"/>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四、知识产权</w:t>
      </w:r>
      <w:bookmarkEnd w:id="114"/>
      <w:bookmarkEnd w:id="115"/>
      <w:bookmarkEnd w:id="116"/>
      <w:bookmarkEnd w:id="117"/>
      <w:bookmarkEnd w:id="118"/>
    </w:p>
    <w:p w14:paraId="09E120F0">
      <w:pPr>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80C30C5">
      <w:pPr>
        <w:keepNext/>
        <w:keepLines/>
        <w:adjustRightInd w:val="0"/>
        <w:snapToGrid w:val="0"/>
        <w:spacing w:line="380" w:lineRule="exact"/>
        <w:ind w:firstLine="482" w:firstLineChars="200"/>
        <w:outlineLvl w:val="1"/>
        <w:rPr>
          <w:rFonts w:ascii="宋体" w:hAnsi="宋体" w:cs="宋体"/>
          <w:b/>
          <w:bCs/>
          <w:color w:val="auto"/>
          <w:sz w:val="24"/>
          <w:szCs w:val="24"/>
          <w:highlight w:val="none"/>
        </w:rPr>
      </w:pPr>
      <w:bookmarkStart w:id="119" w:name="_Toc31659"/>
      <w:bookmarkStart w:id="120" w:name="_Toc8437"/>
      <w:bookmarkStart w:id="121" w:name="_Toc21248"/>
      <w:bookmarkStart w:id="122" w:name="_Toc23902"/>
      <w:bookmarkStart w:id="123" w:name="_Toc65660348"/>
      <w:r>
        <w:rPr>
          <w:rFonts w:hint="eastAsia" w:ascii="宋体" w:hAnsi="宋体" w:cs="宋体"/>
          <w:b/>
          <w:bCs/>
          <w:color w:val="auto"/>
          <w:sz w:val="24"/>
          <w:szCs w:val="24"/>
          <w:highlight w:val="none"/>
        </w:rPr>
        <w:t>五、其他</w:t>
      </w:r>
      <w:bookmarkEnd w:id="119"/>
      <w:bookmarkEnd w:id="120"/>
      <w:bookmarkEnd w:id="121"/>
      <w:bookmarkEnd w:id="122"/>
      <w:bookmarkEnd w:id="123"/>
    </w:p>
    <w:p w14:paraId="16AB9EB6">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无。</w:t>
      </w:r>
    </w:p>
    <w:p w14:paraId="5E2A6608">
      <w:pPr>
        <w:keepNext/>
        <w:keepLines/>
        <w:spacing w:line="360" w:lineRule="auto"/>
        <w:jc w:val="center"/>
        <w:outlineLvl w:val="1"/>
        <w:rPr>
          <w:rStyle w:val="254"/>
          <w:rFonts w:hAnsi="宋体" w:cs="宋体"/>
          <w:color w:val="auto"/>
          <w:szCs w:val="28"/>
          <w:highlight w:val="none"/>
        </w:rPr>
      </w:pPr>
      <w:r>
        <w:rPr>
          <w:rFonts w:hint="eastAsia" w:ascii="宋体" w:hAnsi="宋体" w:cs="宋体"/>
          <w:color w:val="auto"/>
          <w:sz w:val="36"/>
          <w:szCs w:val="30"/>
          <w:highlight w:val="none"/>
        </w:rPr>
        <w:br w:type="page"/>
      </w:r>
      <w:bookmarkStart w:id="124" w:name="_Toc3146"/>
      <w:bookmarkStart w:id="125" w:name="_Toc65660349"/>
      <w:bookmarkStart w:id="126" w:name="_Toc16123"/>
      <w:bookmarkStart w:id="127" w:name="_Toc31282"/>
      <w:bookmarkStart w:id="128" w:name="_Toc24195"/>
      <w:bookmarkStart w:id="129" w:name="_Toc24816"/>
      <w:r>
        <w:rPr>
          <w:rStyle w:val="254"/>
          <w:rFonts w:hint="eastAsia" w:hAnsi="宋体" w:cs="宋体"/>
          <w:b/>
          <w:bCs/>
          <w:color w:val="auto"/>
          <w:sz w:val="30"/>
          <w:szCs w:val="30"/>
          <w:highlight w:val="none"/>
        </w:rPr>
        <w:t>第四篇  采购程序、评定成交的标准、无效报价及采购终止</w:t>
      </w:r>
      <w:bookmarkEnd w:id="124"/>
      <w:bookmarkEnd w:id="125"/>
      <w:bookmarkEnd w:id="126"/>
      <w:bookmarkEnd w:id="127"/>
      <w:bookmarkEnd w:id="128"/>
    </w:p>
    <w:bookmarkEnd w:id="129"/>
    <w:p w14:paraId="28A8D74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30" w:name="_Toc64732012"/>
      <w:bookmarkStart w:id="131" w:name="_Toc10177"/>
      <w:bookmarkStart w:id="132" w:name="_Toc5167"/>
      <w:bookmarkStart w:id="133" w:name="_Toc27932"/>
      <w:bookmarkStart w:id="134" w:name="_Toc9361"/>
      <w:bookmarkStart w:id="135" w:name="_Toc65660350"/>
      <w:r>
        <w:rPr>
          <w:rFonts w:hint="eastAsia" w:ascii="宋体" w:hAnsi="宋体" w:cs="宋体"/>
          <w:b/>
          <w:color w:val="auto"/>
          <w:sz w:val="24"/>
          <w:highlight w:val="none"/>
        </w:rPr>
        <w:t>一、采购程序</w:t>
      </w:r>
      <w:bookmarkEnd w:id="130"/>
      <w:bookmarkEnd w:id="131"/>
      <w:bookmarkEnd w:id="132"/>
      <w:bookmarkEnd w:id="133"/>
      <w:bookmarkEnd w:id="134"/>
      <w:bookmarkEnd w:id="135"/>
    </w:p>
    <w:p w14:paraId="23165D0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（一）比选按竞争性比选文件规定的时间和地点进行。供应商须有法定代表或其授权代表参加并签到。由本项目依法组建的竞争性比选小组(随机抽选的三名专家分别对各供应商进行竞争性比选。</w:t>
      </w:r>
    </w:p>
    <w:p w14:paraId="0207A78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（二）由本项目评审小组对各供应商的资格条件、实质性响应等进行审查并汇总评审得分。</w:t>
      </w:r>
    </w:p>
    <w:p w14:paraId="5CF7A900">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1.资格性审查。依据法律法规和竞争性比选文件的规定对响应文件进行审查。资格性审查内容如下：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41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4350F3C">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576846D3">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DE6D5BF">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0D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32E27A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31B326FB">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14:paraId="431D11B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vAlign w:val="center"/>
          </w:tcPr>
          <w:p w14:paraId="60D551C1">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FB514AE">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1036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F7D12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77B58A1">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77576704">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vAlign w:val="center"/>
          </w:tcPr>
          <w:p w14:paraId="11534CD1">
            <w:pPr>
              <w:keepNext w:val="0"/>
              <w:keepLines w:val="0"/>
              <w:suppressLineNumbers w:val="0"/>
              <w:spacing w:before="0" w:beforeAutospacing="0" w:after="0" w:afterAutospacing="0"/>
              <w:ind w:left="0" w:right="0"/>
              <w:rPr>
                <w:rFonts w:hint="default"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2C77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E56BB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053AC629">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0850120E">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vAlign w:val="center"/>
          </w:tcPr>
          <w:p w14:paraId="688F95A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7591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189D61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39D807D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1B27506C">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vAlign w:val="center"/>
          </w:tcPr>
          <w:p w14:paraId="14CFE61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6F8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24788F">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B830326">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5F7C849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vAlign w:val="center"/>
          </w:tcPr>
          <w:p w14:paraId="50277042">
            <w:pPr>
              <w:keepNext w:val="0"/>
              <w:keepLines w:val="0"/>
              <w:suppressLineNumbers w:val="0"/>
              <w:spacing w:before="0" w:beforeAutospacing="0" w:after="0" w:afterAutospacing="0"/>
              <w:ind w:left="0" w:right="0"/>
              <w:rPr>
                <w:rFonts w:hint="default" w:ascii="宋体" w:hAnsi="宋体" w:cs="宋体"/>
                <w:b/>
                <w:color w:val="auto"/>
                <w:sz w:val="21"/>
                <w:szCs w:val="21"/>
                <w:highlight w:val="none"/>
              </w:rPr>
            </w:pPr>
          </w:p>
        </w:tc>
      </w:tr>
      <w:tr w14:paraId="6444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D406F9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293FB80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2835" w:type="dxa"/>
            <w:vAlign w:val="center"/>
          </w:tcPr>
          <w:p w14:paraId="1E1737F7">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vMerge w:val="continue"/>
            <w:vAlign w:val="center"/>
          </w:tcPr>
          <w:p w14:paraId="740AF6F3">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44A7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371E4E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E77E08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2835" w:type="dxa"/>
            <w:vAlign w:val="center"/>
          </w:tcPr>
          <w:p w14:paraId="4201CC7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vAlign w:val="center"/>
          </w:tcPr>
          <w:p w14:paraId="570EE2C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按“第一篇三、供应商资格要求（二）特定资格条件”的要求提交。</w:t>
            </w:r>
          </w:p>
        </w:tc>
      </w:tr>
      <w:tr w14:paraId="734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72CF21D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vAlign w:val="center"/>
          </w:tcPr>
          <w:p w14:paraId="1300006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267" w:type="dxa"/>
            <w:vAlign w:val="center"/>
          </w:tcPr>
          <w:p w14:paraId="1208DE1B">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按照竞争性比选文件要求足额交纳投标保证金。</w:t>
            </w:r>
          </w:p>
        </w:tc>
      </w:tr>
    </w:tbl>
    <w:p w14:paraId="06D7CA4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实质性响应审查。评审小组应当对响应文件进行评审，并根据竞争性比选文件规定的采购程序、评定成交的标准等事项与实质性响应竞争性比选文件要求的供应商进行评审。未实质性响应竞争性比选文件的响应文件按无效处理，评审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655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656E3A4">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vAlign w:val="center"/>
          </w:tcPr>
          <w:p w14:paraId="57E70E7B">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vAlign w:val="center"/>
          </w:tcPr>
          <w:p w14:paraId="47276EC4">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0DE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BAA5A33">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vAlign w:val="center"/>
          </w:tcPr>
          <w:p w14:paraId="62707221">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vAlign w:val="center"/>
          </w:tcPr>
          <w:p w14:paraId="68D21E1C">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54DA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8134771">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3408D75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vAlign w:val="center"/>
          </w:tcPr>
          <w:p w14:paraId="2D1FFCD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法定代表人身份证明及授权委托书有效，符合竞争性比选文件规定的格式，签署或盖章齐全。</w:t>
            </w:r>
          </w:p>
        </w:tc>
      </w:tr>
      <w:tr w14:paraId="5D93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49B2E9A">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1A93915E">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vAlign w:val="center"/>
          </w:tcPr>
          <w:p w14:paraId="69F29336">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622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3A86A48">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4987BBA0">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vAlign w:val="center"/>
          </w:tcPr>
          <w:p w14:paraId="45824A9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7CB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4603183">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vAlign w:val="center"/>
          </w:tcPr>
          <w:p w14:paraId="318796AF">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vAlign w:val="center"/>
          </w:tcPr>
          <w:p w14:paraId="0E34B182">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竞争性比选文件</w:t>
            </w:r>
            <w:r>
              <w:rPr>
                <w:rFonts w:hint="eastAsia" w:ascii="宋体" w:hAnsi="宋体" w:cs="宋体"/>
                <w:color w:val="auto"/>
                <w:sz w:val="21"/>
                <w:szCs w:val="21"/>
                <w:highlight w:val="none"/>
                <w:lang w:val="zh-CN"/>
              </w:rPr>
              <w:t>要求。</w:t>
            </w:r>
          </w:p>
        </w:tc>
      </w:tr>
      <w:tr w14:paraId="39B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853BA07">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vAlign w:val="center"/>
          </w:tcPr>
          <w:p w14:paraId="52262A7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vAlign w:val="center"/>
          </w:tcPr>
          <w:p w14:paraId="0A0C8F6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对竞争性比选文件第二篇、第三篇规定的比选内容进行实质性响应。</w:t>
            </w:r>
          </w:p>
        </w:tc>
      </w:tr>
      <w:tr w14:paraId="304A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228F786">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00D8B974">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259" w:type="dxa"/>
            <w:vAlign w:val="center"/>
          </w:tcPr>
          <w:p w14:paraId="44CD8B11">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0C1588F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E888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B638F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（四）评审的依据为竞争性比选文件和现场递交的纸质响应文件（含有效的补充文件）。评审小组判断响应文件对竞争性比选文件的响应，仅基于响应文件本身而不靠外部证据。</w:t>
      </w:r>
    </w:p>
    <w:p w14:paraId="7E1D5D6F">
      <w:pPr>
        <w:spacing w:line="400" w:lineRule="exact"/>
        <w:ind w:firstLine="360" w:firstLineChars="150"/>
        <w:rPr>
          <w:rFonts w:ascii="宋体" w:hAnsi="宋体" w:cs="宋体"/>
          <w:color w:val="auto"/>
          <w:sz w:val="24"/>
          <w:szCs w:val="24"/>
          <w:highlight w:val="none"/>
        </w:rPr>
      </w:pPr>
      <w:bookmarkStart w:id="136" w:name="_Toc31463"/>
      <w:bookmarkStart w:id="137" w:name="_Toc11713"/>
      <w:bookmarkStart w:id="138" w:name="_Toc65660351"/>
      <w:bookmarkStart w:id="139" w:name="_Toc64732013"/>
      <w:bookmarkStart w:id="140" w:name="_Toc5149"/>
      <w:bookmarkStart w:id="141" w:name="_Toc30639"/>
      <w:r>
        <w:rPr>
          <w:rFonts w:hint="eastAsia" w:ascii="宋体" w:hAnsi="宋体" w:cs="宋体"/>
          <w:color w:val="auto"/>
          <w:sz w:val="24"/>
          <w:szCs w:val="24"/>
          <w:highlight w:val="none"/>
        </w:rPr>
        <w:t>（五）评审小组采用综合评分法对每个有效响应（通过资格性检查、实质性响应检查的供应商）的响应文件进行综合评分。综合评分法，是指响应文件满足比选文件全部实质性要求且按照评审因素的量化指标评审并汇总评审得分。供应商最终得分为评审专家根据评定因素分别按照相应权重值计算分项得分后相加，满分为100分。</w:t>
      </w:r>
    </w:p>
    <w:p w14:paraId="6C367CEB">
      <w:pPr>
        <w:keepNext/>
        <w:keepLines/>
        <w:adjustRightInd w:val="0"/>
        <w:snapToGrid w:val="0"/>
        <w:spacing w:line="40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六）评审小组各成员独立对每个有效响应（通过资格性检查、实质性响应检查的供应商）的文件进行评价、打分，然后汇总每个供应商每项评分因素的得分，并根据综合评分情况按照评审得分由高到低顺序推荐3名候选人，并编写评审报告。若供应商的评审得分相同的，按照技术部分优劣顺序排列推荐。技术部分也相同的，按商务部分优劣顺序排列推荐，以上全部相同由评审小组抽签决定排序，若所推荐的供应商的技术部分为0分，将失去成为成交候选供应商的资格。</w:t>
      </w:r>
    </w:p>
    <w:p w14:paraId="7EED0AC5">
      <w:pPr>
        <w:keepNext/>
        <w:keepLines/>
        <w:adjustRightInd w:val="0"/>
        <w:snapToGrid w:val="0"/>
        <w:spacing w:line="4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highlight w:val="none"/>
        </w:rPr>
        <w:t>评审标准</w:t>
      </w:r>
      <w:bookmarkEnd w:id="136"/>
      <w:bookmarkEnd w:id="137"/>
      <w:bookmarkEnd w:id="138"/>
      <w:bookmarkEnd w:id="139"/>
      <w:bookmarkEnd w:id="140"/>
      <w:bookmarkEnd w:id="141"/>
    </w:p>
    <w:tbl>
      <w:tblPr>
        <w:tblStyle w:val="59"/>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53"/>
        <w:gridCol w:w="1000"/>
        <w:gridCol w:w="5802"/>
        <w:gridCol w:w="1389"/>
      </w:tblGrid>
      <w:tr w14:paraId="58E3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vAlign w:val="center"/>
          </w:tcPr>
          <w:p w14:paraId="204D4EBE">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bookmarkStart w:id="142" w:name="_Toc12644"/>
            <w:bookmarkStart w:id="143" w:name="_Toc29113"/>
            <w:bookmarkStart w:id="144" w:name="_Toc65660352"/>
            <w:bookmarkStart w:id="145" w:name="_Toc19473"/>
            <w:bookmarkStart w:id="146" w:name="_Toc5891"/>
            <w:r>
              <w:rPr>
                <w:rFonts w:hint="eastAsia" w:ascii="宋体" w:hAnsi="宋体" w:cs="宋体"/>
                <w:b/>
                <w:bCs/>
                <w:color w:val="auto"/>
                <w:sz w:val="24"/>
                <w:szCs w:val="24"/>
                <w:highlight w:val="none"/>
              </w:rPr>
              <w:t>序号</w:t>
            </w:r>
          </w:p>
        </w:tc>
        <w:tc>
          <w:tcPr>
            <w:tcW w:w="1153" w:type="dxa"/>
            <w:vAlign w:val="center"/>
          </w:tcPr>
          <w:p w14:paraId="18431C58">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评分因素及权重</w:t>
            </w:r>
          </w:p>
        </w:tc>
        <w:tc>
          <w:tcPr>
            <w:tcW w:w="1000" w:type="dxa"/>
            <w:vAlign w:val="center"/>
          </w:tcPr>
          <w:p w14:paraId="0F757D3C">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802" w:type="dxa"/>
            <w:vAlign w:val="center"/>
          </w:tcPr>
          <w:p w14:paraId="374F4074">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389" w:type="dxa"/>
            <w:vAlign w:val="center"/>
          </w:tcPr>
          <w:p w14:paraId="4F6B58D4">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5226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7D078CF1">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153" w:type="dxa"/>
            <w:vAlign w:val="center"/>
          </w:tcPr>
          <w:p w14:paraId="5E3223B7">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投标报价（50%）</w:t>
            </w:r>
          </w:p>
        </w:tc>
        <w:tc>
          <w:tcPr>
            <w:tcW w:w="1000" w:type="dxa"/>
            <w:vAlign w:val="center"/>
          </w:tcPr>
          <w:p w14:paraId="27A318A8">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50</w:t>
            </w:r>
          </w:p>
        </w:tc>
        <w:tc>
          <w:tcPr>
            <w:tcW w:w="5802" w:type="dxa"/>
            <w:vAlign w:val="center"/>
          </w:tcPr>
          <w:p w14:paraId="4E93A537">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所有通过资格审查和实质性响应审查的有效供应商的投标报价的算术平均值为投标报价的评标基准价。</w:t>
            </w:r>
          </w:p>
          <w:p w14:paraId="065AE209">
            <w:pPr>
              <w:pStyle w:val="272"/>
              <w:keepNext w:val="0"/>
              <w:keepLines w:val="0"/>
              <w:suppressLineNumbers w:val="0"/>
              <w:spacing w:before="0" w:beforeAutospacing="0" w:after="0" w:afterAutospacing="0" w:line="400" w:lineRule="exact"/>
              <w:ind w:left="0" w:right="0" w:firstLine="210" w:firstLineChars="100"/>
              <w:rPr>
                <w:rFonts w:hint="default" w:ascii="宋体" w:hAnsi="宋体" w:cs="宋体"/>
                <w:color w:val="auto"/>
                <w:kern w:val="0"/>
                <w:szCs w:val="21"/>
                <w:highlight w:val="none"/>
              </w:rPr>
            </w:pPr>
            <w:r>
              <w:rPr>
                <w:rFonts w:hint="eastAsia" w:ascii="宋体" w:hAnsi="宋体" w:cs="宋体"/>
                <w:color w:val="auto"/>
                <w:kern w:val="0"/>
                <w:szCs w:val="21"/>
                <w:highlight w:val="none"/>
              </w:rPr>
              <w:t>各有效投标报价与评标基准价相比，等于评标基准价的投标报价得满分50分，在此基础上，投标报价与评标基准价相比，每增加1%扣0.2分，每减少1%扣0.1分，按插入法计算得分，扣完为止。</w:t>
            </w:r>
          </w:p>
          <w:p w14:paraId="3DDF653E">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color w:val="auto"/>
                <w:kern w:val="0"/>
                <w:sz w:val="21"/>
                <w:szCs w:val="21"/>
                <w:highlight w:val="none"/>
              </w:rPr>
              <w:t>以上计算取小数点后两位，第三位四舍五入。</w:t>
            </w:r>
          </w:p>
        </w:tc>
        <w:tc>
          <w:tcPr>
            <w:tcW w:w="1389" w:type="dxa"/>
            <w:vAlign w:val="center"/>
          </w:tcPr>
          <w:p w14:paraId="49DC422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r>
              <w:rPr>
                <w:rFonts w:hint="eastAsia" w:ascii="宋体" w:hAnsi="宋体" w:cs="宋体"/>
                <w:bCs/>
                <w:color w:val="auto"/>
                <w:sz w:val="21"/>
                <w:szCs w:val="21"/>
                <w:highlight w:val="none"/>
              </w:rPr>
              <w:t>参与评审的投标报价为投标总报价</w:t>
            </w:r>
          </w:p>
        </w:tc>
      </w:tr>
      <w:tr w14:paraId="4786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04" w:type="dxa"/>
            <w:vMerge w:val="restart"/>
            <w:vAlign w:val="center"/>
          </w:tcPr>
          <w:p w14:paraId="38E00B51">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1153" w:type="dxa"/>
            <w:vMerge w:val="restart"/>
            <w:vAlign w:val="center"/>
          </w:tcPr>
          <w:p w14:paraId="51BD0AD7">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r>
              <w:rPr>
                <w:rFonts w:hint="eastAsia" w:ascii="宋体" w:hAnsi="宋体" w:cs="宋体"/>
                <w:bCs/>
                <w:color w:val="auto"/>
                <w:sz w:val="21"/>
                <w:szCs w:val="21"/>
                <w:highlight w:val="none"/>
              </w:rPr>
              <w:t>技术部分（40%）</w:t>
            </w:r>
          </w:p>
        </w:tc>
        <w:tc>
          <w:tcPr>
            <w:tcW w:w="1000" w:type="dxa"/>
            <w:vAlign w:val="center"/>
          </w:tcPr>
          <w:p w14:paraId="7D6E70A0">
            <w:pPr>
              <w:keepNext w:val="0"/>
              <w:keepLines w:val="0"/>
              <w:suppressLineNumbers w:val="0"/>
              <w:adjustRightInd w:val="0"/>
              <w:snapToGrid w:val="0"/>
              <w:spacing w:before="0" w:beforeAutospacing="0" w:after="0" w:afterAutospacing="0" w:line="240" w:lineRule="exact"/>
              <w:ind w:left="0" w:right="0"/>
              <w:jc w:val="center"/>
              <w:rPr>
                <w:rFonts w:hint="default" w:ascii="宋体" w:hAnsi="宋体" w:cs="宋体"/>
                <w:bCs/>
                <w:color w:val="auto"/>
                <w:sz w:val="21"/>
                <w:szCs w:val="21"/>
                <w:highlight w:val="none"/>
              </w:rPr>
            </w:pPr>
            <w:r>
              <w:rPr>
                <w:rFonts w:hint="eastAsia" w:ascii="宋体" w:hAnsi="宋体" w:cs="宋体"/>
                <w:color w:val="auto"/>
                <w:kern w:val="0"/>
                <w:sz w:val="21"/>
                <w:szCs w:val="21"/>
                <w:highlight w:val="none"/>
              </w:rPr>
              <w:t>核心部件要求（4）</w:t>
            </w:r>
          </w:p>
        </w:tc>
        <w:tc>
          <w:tcPr>
            <w:tcW w:w="5802" w:type="dxa"/>
            <w:vAlign w:val="center"/>
          </w:tcPr>
          <w:p w14:paraId="1899A15B">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该项不满足0分，满足得4分。</w:t>
            </w:r>
          </w:p>
          <w:p w14:paraId="1E8CF060">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满足核心部件原厂原品牌:曳引机、控制柜、缓冲器、限速器、安全钳。</w:t>
            </w:r>
          </w:p>
          <w:p w14:paraId="78B96691">
            <w:pPr>
              <w:keepNext w:val="0"/>
              <w:keepLines w:val="0"/>
              <w:suppressLineNumbers w:val="0"/>
              <w:spacing w:before="0" w:beforeAutospacing="0" w:after="0" w:afterAutospacing="0" w:line="320" w:lineRule="exact"/>
              <w:ind w:left="0" w:right="0" w:firstLine="210" w:firstLineChars="100"/>
              <w:rPr>
                <w:rFonts w:hint="default"/>
                <w:color w:val="auto"/>
                <w:szCs w:val="20"/>
                <w:highlight w:val="none"/>
              </w:rPr>
            </w:pPr>
            <w:r>
              <w:rPr>
                <w:rFonts w:hint="eastAsia" w:ascii="宋体" w:hAnsi="宋体" w:cs="宋体"/>
                <w:bCs/>
                <w:color w:val="auto"/>
                <w:sz w:val="21"/>
                <w:szCs w:val="21"/>
                <w:highlight w:val="none"/>
              </w:rPr>
              <w:t>(提供投标产品型号整机型式试验报告复印件并加盖供应商公章)。</w:t>
            </w:r>
          </w:p>
        </w:tc>
        <w:tc>
          <w:tcPr>
            <w:tcW w:w="1389" w:type="dxa"/>
            <w:vMerge w:val="restart"/>
            <w:vAlign w:val="center"/>
          </w:tcPr>
          <w:p w14:paraId="445E2559">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取评审小组独立评审分值的算术平均值为本项得分，得分取小数点后两位，第三位四舍五入。</w:t>
            </w:r>
          </w:p>
        </w:tc>
      </w:tr>
      <w:tr w14:paraId="43C5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4" w:type="dxa"/>
            <w:vMerge w:val="continue"/>
            <w:vAlign w:val="center"/>
          </w:tcPr>
          <w:p w14:paraId="38F2B5F8">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06F44796">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27E5DF49">
            <w:pPr>
              <w:keepNext w:val="0"/>
              <w:keepLines w:val="0"/>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主要部件参数要求（6）</w:t>
            </w:r>
          </w:p>
        </w:tc>
        <w:tc>
          <w:tcPr>
            <w:tcW w:w="5802" w:type="dxa"/>
            <w:vAlign w:val="center"/>
          </w:tcPr>
          <w:p w14:paraId="0E94078F">
            <w:pPr>
              <w:keepNext w:val="0"/>
              <w:keepLines w:val="0"/>
              <w:suppressLineNumbers w:val="0"/>
              <w:spacing w:before="0" w:beforeAutospacing="0" w:after="0" w:afterAutospacing="0" w:line="320" w:lineRule="exact"/>
              <w:ind w:left="0" w:right="0" w:firstLine="210" w:firstLineChars="100"/>
              <w:rPr>
                <w:rFonts w:hint="default" w:ascii="宋体" w:hAnsi="宋体" w:cs="宋体"/>
                <w:color w:val="auto"/>
                <w:sz w:val="21"/>
                <w:szCs w:val="21"/>
                <w:highlight w:val="none"/>
              </w:rPr>
            </w:pPr>
            <w:r>
              <w:rPr>
                <w:rFonts w:hint="eastAsia" w:ascii="宋体" w:hAnsi="宋体" w:cs="宋体"/>
                <w:color w:val="auto"/>
                <w:sz w:val="21"/>
                <w:szCs w:val="21"/>
                <w:highlight w:val="none"/>
              </w:rPr>
              <w:t>该项按提供资料得分，未提供不得分。</w:t>
            </w:r>
          </w:p>
          <w:p w14:paraId="5164BA30">
            <w:pPr>
              <w:pStyle w:val="57"/>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default" w:ascii="宋体" w:hAnsi="宋体" w:cs="宋体"/>
                <w:color w:val="auto"/>
                <w:sz w:val="21"/>
                <w:szCs w:val="21"/>
                <w:highlight w:val="none"/>
              </w:rPr>
              <w:t>光束≥174得2分；主机:IP防护等级≥IP41 得2分；门机:IP防护等级≥IP54得2分;</w:t>
            </w:r>
          </w:p>
          <w:p w14:paraId="7E952D12">
            <w:pPr>
              <w:pStyle w:val="57"/>
              <w:keepNext w:val="0"/>
              <w:keepLines w:val="0"/>
              <w:suppressLineNumbers w:val="0"/>
              <w:spacing w:before="0" w:beforeAutospacing="0" w:after="0" w:afterAutospacing="0"/>
              <w:ind w:left="0" w:right="0" w:firstLine="0"/>
              <w:rPr>
                <w:rFonts w:hint="default"/>
                <w:color w:val="auto"/>
                <w:szCs w:val="20"/>
                <w:highlight w:val="none"/>
              </w:rPr>
            </w:pPr>
            <w:r>
              <w:rPr>
                <w:rFonts w:hint="eastAsia" w:eastAsia="宋体" w:cs="宋体"/>
                <w:bCs/>
                <w:color w:val="auto"/>
                <w:sz w:val="21"/>
                <w:szCs w:val="21"/>
                <w:highlight w:val="none"/>
              </w:rPr>
              <w:t>（提供报告或证书复印件加盖制造商公章)</w:t>
            </w:r>
          </w:p>
        </w:tc>
        <w:tc>
          <w:tcPr>
            <w:tcW w:w="1389" w:type="dxa"/>
            <w:vMerge w:val="continue"/>
            <w:vAlign w:val="center"/>
          </w:tcPr>
          <w:p w14:paraId="25E0AEEA">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7DD0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04" w:type="dxa"/>
            <w:vMerge w:val="continue"/>
            <w:vAlign w:val="center"/>
          </w:tcPr>
          <w:p w14:paraId="1C7E3AED">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112476D6">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646CA550">
            <w:pPr>
              <w:keepNext w:val="0"/>
              <w:keepLines w:val="0"/>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旧梯拆除施工方案</w:t>
            </w:r>
          </w:p>
          <w:p w14:paraId="13D4FDA6">
            <w:pPr>
              <w:keepNext w:val="0"/>
              <w:keepLines w:val="0"/>
              <w:suppressLineNumbers w:val="0"/>
              <w:adjustRightInd w:val="0"/>
              <w:snapToGrid w:val="0"/>
              <w:spacing w:before="0" w:beforeAutospacing="0" w:after="0" w:afterAutospacing="0" w:line="240" w:lineRule="exact"/>
              <w:ind w:left="0" w:right="0"/>
              <w:jc w:val="center"/>
              <w:rPr>
                <w:rFonts w:hint="default" w:ascii="宋体" w:hAnsi="宋体" w:cs="宋体"/>
                <w:bCs/>
                <w:color w:val="auto"/>
                <w:sz w:val="21"/>
                <w:szCs w:val="21"/>
                <w:highlight w:val="none"/>
              </w:rPr>
            </w:pPr>
            <w:r>
              <w:rPr>
                <w:rFonts w:hint="eastAsia" w:ascii="宋体" w:hAnsi="宋体" w:cs="宋体"/>
                <w:color w:val="auto"/>
                <w:kern w:val="0"/>
                <w:sz w:val="21"/>
                <w:szCs w:val="21"/>
                <w:highlight w:val="none"/>
              </w:rPr>
              <w:t>（5分）</w:t>
            </w:r>
          </w:p>
        </w:tc>
        <w:tc>
          <w:tcPr>
            <w:tcW w:w="5802" w:type="dxa"/>
            <w:vAlign w:val="center"/>
          </w:tcPr>
          <w:p w14:paraId="02B1527C">
            <w:pPr>
              <w:keepNext w:val="0"/>
              <w:keepLines w:val="0"/>
              <w:suppressLineNumbers w:val="0"/>
              <w:spacing w:before="0" w:beforeAutospacing="0" w:after="0" w:afterAutospacing="0" w:line="320" w:lineRule="exact"/>
              <w:ind w:left="0" w:right="0" w:firstLine="210" w:firstLineChars="100"/>
              <w:rPr>
                <w:rFonts w:hint="default" w:ascii="宋体" w:hAnsi="宋体" w:cs="宋体"/>
                <w:color w:val="auto"/>
                <w:sz w:val="21"/>
                <w:szCs w:val="21"/>
                <w:highlight w:val="none"/>
              </w:rPr>
            </w:pPr>
            <w:r>
              <w:rPr>
                <w:rFonts w:hint="eastAsia" w:ascii="宋体" w:hAnsi="宋体" w:cs="宋体"/>
                <w:color w:val="auto"/>
                <w:sz w:val="21"/>
                <w:szCs w:val="21"/>
                <w:highlight w:val="none"/>
              </w:rPr>
              <w:t>供应商自行提供最优方案（5分）。</w:t>
            </w:r>
          </w:p>
          <w:p w14:paraId="174885D2">
            <w:pPr>
              <w:keepNext w:val="0"/>
              <w:keepLines w:val="0"/>
              <w:suppressLineNumbers w:val="0"/>
              <w:spacing w:before="0" w:beforeAutospacing="0" w:after="0" w:afterAutospacing="0" w:line="320" w:lineRule="exact"/>
              <w:ind w:left="0" w:right="0" w:firstLine="210" w:firstLineChars="100"/>
              <w:rPr>
                <w:rFonts w:hint="default" w:ascii="宋体" w:hAnsi="宋体" w:cs="宋体"/>
                <w:color w:val="auto"/>
                <w:sz w:val="21"/>
                <w:szCs w:val="21"/>
                <w:highlight w:val="none"/>
              </w:rPr>
            </w:pPr>
            <w:r>
              <w:rPr>
                <w:rFonts w:hint="eastAsia" w:ascii="宋体" w:hAnsi="宋体" w:cs="宋体"/>
                <w:color w:val="auto"/>
                <w:sz w:val="21"/>
                <w:szCs w:val="21"/>
                <w:highlight w:val="none"/>
              </w:rPr>
              <w:t>1、包括但不限于电梯拆除方案、拆除进度方案等内容。</w:t>
            </w:r>
          </w:p>
          <w:p w14:paraId="72286517">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color w:val="auto"/>
                <w:sz w:val="21"/>
                <w:szCs w:val="21"/>
                <w:highlight w:val="none"/>
              </w:rPr>
              <w:t>2、方案内容详实、具体、可行得5分；方案较详实、具体、可行得3分；方案不够详实、具体，但具有一定可行性得1分；未提供旧梯拆除方案，或与本项目实际不相符的本项得0分。</w:t>
            </w:r>
          </w:p>
        </w:tc>
        <w:tc>
          <w:tcPr>
            <w:tcW w:w="1389" w:type="dxa"/>
            <w:vMerge w:val="continue"/>
            <w:vAlign w:val="center"/>
          </w:tcPr>
          <w:p w14:paraId="0AA0DA30">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749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04" w:type="dxa"/>
            <w:vMerge w:val="continue"/>
            <w:vAlign w:val="center"/>
          </w:tcPr>
          <w:p w14:paraId="1EA202AE">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72E411DC">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560F4232">
            <w:pPr>
              <w:keepNext w:val="0"/>
              <w:keepLines w:val="0"/>
              <w:suppressLineNumbers w:val="0"/>
              <w:spacing w:before="0" w:beforeAutospacing="0" w:after="0" w:afterAutospacing="0"/>
              <w:ind w:left="0" w:right="0"/>
              <w:jc w:val="center"/>
              <w:rPr>
                <w:rStyle w:val="258"/>
                <w:rFonts w:hint="default" w:hAnsi="宋体" w:cs="宋体"/>
                <w:color w:val="auto"/>
                <w:sz w:val="21"/>
                <w:szCs w:val="21"/>
                <w:highlight w:val="none"/>
              </w:rPr>
            </w:pPr>
            <w:r>
              <w:rPr>
                <w:rStyle w:val="258"/>
                <w:rFonts w:hint="default" w:hAnsi="宋体" w:cs="宋体"/>
                <w:color w:val="auto"/>
                <w:sz w:val="21"/>
                <w:szCs w:val="21"/>
                <w:highlight w:val="none"/>
              </w:rPr>
              <w:t>新梯安装施工方案</w:t>
            </w:r>
          </w:p>
          <w:p w14:paraId="77504D3B">
            <w:pPr>
              <w:keepNext w:val="0"/>
              <w:keepLines w:val="0"/>
              <w:suppressLineNumbers w:val="0"/>
              <w:spacing w:before="0" w:beforeAutospacing="0" w:after="0" w:afterAutospacing="0"/>
              <w:ind w:left="0" w:right="0"/>
              <w:jc w:val="center"/>
              <w:rPr>
                <w:rFonts w:hint="default" w:ascii="宋体" w:hAnsi="宋体" w:cs="宋体"/>
                <w:bCs/>
                <w:color w:val="auto"/>
                <w:sz w:val="21"/>
                <w:szCs w:val="21"/>
                <w:highlight w:val="none"/>
              </w:rPr>
            </w:pPr>
            <w:r>
              <w:rPr>
                <w:rStyle w:val="258"/>
                <w:rFonts w:hint="default" w:hAnsi="宋体" w:cs="宋体"/>
                <w:color w:val="auto"/>
                <w:sz w:val="21"/>
                <w:szCs w:val="21"/>
                <w:highlight w:val="none"/>
              </w:rPr>
              <w:t>（15分）</w:t>
            </w:r>
          </w:p>
        </w:tc>
        <w:tc>
          <w:tcPr>
            <w:tcW w:w="5802" w:type="dxa"/>
            <w:vAlign w:val="center"/>
          </w:tcPr>
          <w:p w14:paraId="60EF2463">
            <w:pPr>
              <w:pStyle w:val="273"/>
              <w:keepNext w:val="0"/>
              <w:keepLines w:val="0"/>
              <w:suppressLineNumbers w:val="0"/>
              <w:spacing w:before="0" w:beforeAutospacing="0" w:after="0" w:afterAutospacing="0" w:line="320" w:lineRule="exact"/>
              <w:ind w:left="0" w:right="0" w:firstLine="210" w:firstLineChars="100"/>
              <w:jc w:val="left"/>
              <w:rPr>
                <w:rFonts w:hint="default" w:ascii="宋体" w:hAnsi="宋体" w:cs="宋体"/>
                <w:color w:val="auto"/>
                <w:highlight w:val="none"/>
              </w:rPr>
            </w:pPr>
            <w:r>
              <w:rPr>
                <w:rFonts w:hint="default" w:ascii="宋体" w:hAnsi="宋体" w:cs="宋体"/>
                <w:color w:val="auto"/>
                <w:highlight w:val="none"/>
              </w:rPr>
              <w:t>供应商自行提供最优方案（15分）。</w:t>
            </w:r>
          </w:p>
          <w:p w14:paraId="72FD08D2">
            <w:pPr>
              <w:pStyle w:val="273"/>
              <w:keepNext w:val="0"/>
              <w:keepLines w:val="0"/>
              <w:suppressLineNumbers w:val="0"/>
              <w:spacing w:before="0" w:beforeAutospacing="0" w:after="0" w:afterAutospacing="0" w:line="320" w:lineRule="exact"/>
              <w:ind w:left="0" w:right="0" w:firstLine="210" w:firstLineChars="100"/>
              <w:jc w:val="left"/>
              <w:rPr>
                <w:rFonts w:hint="default" w:ascii="宋体" w:hAnsi="宋体" w:cs="宋体"/>
                <w:color w:val="auto"/>
                <w:highlight w:val="none"/>
              </w:rPr>
            </w:pPr>
            <w:r>
              <w:rPr>
                <w:rFonts w:hint="eastAsia" w:ascii="宋体" w:hAnsi="宋体" w:cs="宋体"/>
                <w:color w:val="auto"/>
                <w:highlight w:val="none"/>
              </w:rPr>
              <w:t>1、根据项目情况编制合理的交货进度计划方案及保证措施，方案中包括但不限于产品生产、供货计划、安装工程进度计划及措施、安装设备投入、安装作业流程、移交流程等方案。</w:t>
            </w:r>
          </w:p>
          <w:p w14:paraId="2425F054">
            <w:pPr>
              <w:pStyle w:val="273"/>
              <w:keepNext w:val="0"/>
              <w:keepLines w:val="0"/>
              <w:suppressLineNumbers w:val="0"/>
              <w:spacing w:before="0" w:beforeAutospacing="0" w:after="0" w:afterAutospacing="0" w:line="320" w:lineRule="exact"/>
              <w:ind w:left="0" w:right="0" w:firstLine="210" w:firstLineChars="100"/>
              <w:jc w:val="left"/>
              <w:rPr>
                <w:rFonts w:hint="default" w:ascii="宋体" w:hAnsi="宋体" w:cs="宋体"/>
                <w:color w:val="auto"/>
                <w:highlight w:val="none"/>
              </w:rPr>
            </w:pPr>
            <w:r>
              <w:rPr>
                <w:rFonts w:hint="eastAsia" w:ascii="宋体" w:hAnsi="宋体" w:cs="宋体"/>
                <w:color w:val="auto"/>
                <w:highlight w:val="none"/>
              </w:rPr>
              <w:t>2、根据项目情况编制合理的质量保证措施方案，方案中包括但不限于产品生产质量的控制、运输保管措施、安装过程中的质量保证措施。</w:t>
            </w:r>
          </w:p>
          <w:p w14:paraId="2504820B">
            <w:pPr>
              <w:pStyle w:val="273"/>
              <w:keepNext w:val="0"/>
              <w:keepLines w:val="0"/>
              <w:suppressLineNumbers w:val="0"/>
              <w:spacing w:before="0" w:beforeAutospacing="0" w:after="0" w:afterAutospacing="0" w:line="320" w:lineRule="exact"/>
              <w:ind w:left="0" w:right="0" w:firstLine="210" w:firstLineChars="100"/>
              <w:jc w:val="left"/>
              <w:rPr>
                <w:rFonts w:hint="default" w:ascii="宋体" w:hAnsi="宋体" w:cs="宋体"/>
                <w:color w:val="auto"/>
                <w:highlight w:val="none"/>
              </w:rPr>
            </w:pPr>
            <w:r>
              <w:rPr>
                <w:rFonts w:hint="eastAsia" w:ascii="宋体" w:hAnsi="宋体" w:cs="宋体"/>
                <w:color w:val="auto"/>
                <w:highlight w:val="none"/>
              </w:rPr>
              <w:t>3、根据项目情况编制安全文明施工措施，方案中包括但不限于安全生产制度建设、施工操作规程、安全管理培训等内容。</w:t>
            </w:r>
          </w:p>
          <w:p w14:paraId="45D15DCA">
            <w:pPr>
              <w:pStyle w:val="273"/>
              <w:keepNext w:val="0"/>
              <w:keepLines w:val="0"/>
              <w:suppressLineNumbers w:val="0"/>
              <w:spacing w:before="0" w:beforeAutospacing="0" w:after="0" w:afterAutospacing="0" w:line="320" w:lineRule="exact"/>
              <w:ind w:left="0" w:right="0" w:firstLine="210" w:firstLineChars="100"/>
              <w:jc w:val="left"/>
              <w:rPr>
                <w:rFonts w:hint="default" w:ascii="宋体" w:hAnsi="宋体" w:cs="宋体"/>
                <w:bCs/>
                <w:color w:val="auto"/>
                <w:szCs w:val="21"/>
                <w:highlight w:val="none"/>
              </w:rPr>
            </w:pPr>
            <w:r>
              <w:rPr>
                <w:rFonts w:hint="eastAsia" w:ascii="宋体" w:hAnsi="宋体" w:cs="宋体"/>
                <w:color w:val="auto"/>
                <w:highlight w:val="none"/>
              </w:rPr>
              <w:t>4</w:t>
            </w:r>
            <w:r>
              <w:rPr>
                <w:rFonts w:hint="default" w:ascii="宋体" w:hAnsi="宋体" w:cs="宋体"/>
                <w:color w:val="auto"/>
                <w:highlight w:val="none"/>
              </w:rPr>
              <w:t>、方案内容详实、具体、可行得15分；方案较详实、具体、可行得10分；方案不够详实、具体，但具有一定可行性得</w:t>
            </w:r>
            <w:r>
              <w:rPr>
                <w:rFonts w:hint="eastAsia" w:ascii="宋体" w:hAnsi="宋体" w:cs="宋体"/>
                <w:color w:val="auto"/>
                <w:highlight w:val="none"/>
              </w:rPr>
              <w:t>5</w:t>
            </w:r>
            <w:r>
              <w:rPr>
                <w:rFonts w:hint="default" w:ascii="宋体" w:hAnsi="宋体" w:cs="宋体"/>
                <w:color w:val="auto"/>
                <w:highlight w:val="none"/>
              </w:rPr>
              <w:t>分；未提供新梯安装施工方案，或与本项目实际不相符的本项得0分。</w:t>
            </w:r>
          </w:p>
        </w:tc>
        <w:tc>
          <w:tcPr>
            <w:tcW w:w="1389" w:type="dxa"/>
            <w:vMerge w:val="continue"/>
            <w:vAlign w:val="center"/>
          </w:tcPr>
          <w:p w14:paraId="0F31C2F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19FA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04" w:type="dxa"/>
            <w:vMerge w:val="continue"/>
            <w:vAlign w:val="center"/>
          </w:tcPr>
          <w:p w14:paraId="13C0899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2F3DC501">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FE8D950">
            <w:pPr>
              <w:keepNext w:val="0"/>
              <w:keepLines w:val="0"/>
              <w:suppressLineNumbers w:val="0"/>
              <w:tabs>
                <w:tab w:val="left" w:pos="1875"/>
              </w:tabs>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售后服务方案</w:t>
            </w:r>
          </w:p>
          <w:p w14:paraId="2BCDFD29">
            <w:pPr>
              <w:keepNext w:val="0"/>
              <w:keepLines w:val="0"/>
              <w:suppressLineNumbers w:val="0"/>
              <w:tabs>
                <w:tab w:val="left" w:pos="1875"/>
              </w:tabs>
              <w:spacing w:before="0" w:beforeAutospacing="0" w:after="0" w:afterAutospacing="0" w:line="400" w:lineRule="exact"/>
              <w:ind w:left="0" w:right="0"/>
              <w:jc w:val="center"/>
              <w:rPr>
                <w:rFonts w:hint="default" w:ascii="宋体" w:hAnsi="宋体" w:cs="宋体"/>
                <w:bCs/>
                <w:color w:val="auto"/>
                <w:sz w:val="21"/>
                <w:szCs w:val="21"/>
                <w:highlight w:val="none"/>
              </w:rPr>
            </w:pPr>
            <w:r>
              <w:rPr>
                <w:rFonts w:hint="default" w:hAnsi="宋体" w:cs="宋体"/>
                <w:color w:val="auto"/>
                <w:sz w:val="21"/>
                <w:szCs w:val="21"/>
                <w:highlight w:val="none"/>
              </w:rPr>
              <w:t>（1</w:t>
            </w:r>
            <w:r>
              <w:rPr>
                <w:rFonts w:hint="eastAsia" w:hAnsi="宋体" w:cs="宋体"/>
                <w:color w:val="auto"/>
                <w:sz w:val="21"/>
                <w:szCs w:val="21"/>
                <w:highlight w:val="none"/>
              </w:rPr>
              <w:t>0</w:t>
            </w:r>
            <w:r>
              <w:rPr>
                <w:rFonts w:hint="default" w:hAnsi="宋体" w:cs="宋体"/>
                <w:color w:val="auto"/>
                <w:sz w:val="21"/>
                <w:szCs w:val="21"/>
                <w:highlight w:val="none"/>
              </w:rPr>
              <w:t>分）</w:t>
            </w:r>
          </w:p>
        </w:tc>
        <w:tc>
          <w:tcPr>
            <w:tcW w:w="5802" w:type="dxa"/>
            <w:vAlign w:val="center"/>
          </w:tcPr>
          <w:p w14:paraId="6CBCC962">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供应商提供电梯售后服务方案，方案包含维护保养措施和故障处置措施两个方面：</w:t>
            </w:r>
          </w:p>
          <w:p w14:paraId="044CE462">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一、维护保养措施</w:t>
            </w:r>
          </w:p>
          <w:p w14:paraId="4E914C4F">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1.售后人员安排</w:t>
            </w:r>
          </w:p>
          <w:p w14:paraId="7912D7F2">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2.维保设施设备情况</w:t>
            </w:r>
          </w:p>
          <w:p w14:paraId="327462C1">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3.备品备件保障</w:t>
            </w:r>
          </w:p>
          <w:p w14:paraId="138F661F">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4.维护保养方法</w:t>
            </w:r>
          </w:p>
          <w:p w14:paraId="6BE662DC">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5.维护保养的质量管理</w:t>
            </w:r>
          </w:p>
          <w:p w14:paraId="0BD2046F">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6.维护保养的安全措施</w:t>
            </w:r>
          </w:p>
          <w:p w14:paraId="57386084">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二、故障处置措施</w:t>
            </w:r>
          </w:p>
          <w:p w14:paraId="5A973758">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1.电梯使用中常见故障介绍</w:t>
            </w:r>
          </w:p>
          <w:p w14:paraId="024545C7">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2.排除故障处理时间</w:t>
            </w:r>
          </w:p>
          <w:p w14:paraId="34A58B12">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3.故障处置方法介绍</w:t>
            </w:r>
          </w:p>
          <w:p w14:paraId="742D61A9">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4.相关故障解决技术人员情况</w:t>
            </w:r>
          </w:p>
          <w:p w14:paraId="14264EC7">
            <w:pPr>
              <w:keepNext w:val="0"/>
              <w:keepLines w:val="0"/>
              <w:suppressLineNumbers w:val="0"/>
              <w:spacing w:before="0" w:beforeAutospacing="0" w:after="0" w:afterAutospacing="0"/>
              <w:ind w:left="0" w:right="0" w:firstLine="420" w:firstLineChars="200"/>
              <w:rPr>
                <w:rFonts w:hint="default" w:hAnsi="宋体" w:cs="宋体"/>
                <w:color w:val="auto"/>
                <w:sz w:val="21"/>
                <w:szCs w:val="21"/>
                <w:highlight w:val="none"/>
              </w:rPr>
            </w:pPr>
            <w:r>
              <w:rPr>
                <w:rFonts w:hint="default" w:hAnsi="宋体" w:cs="宋体"/>
                <w:color w:val="auto"/>
                <w:sz w:val="21"/>
                <w:szCs w:val="21"/>
                <w:highlight w:val="none"/>
              </w:rPr>
              <w:t>5.处理故障过程中注意的安全措施</w:t>
            </w:r>
          </w:p>
          <w:p w14:paraId="25768A6F">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bCs/>
                <w:color w:val="auto"/>
                <w:sz w:val="21"/>
                <w:szCs w:val="21"/>
                <w:highlight w:val="none"/>
              </w:rPr>
            </w:pPr>
            <w:r>
              <w:rPr>
                <w:rFonts w:hint="default" w:hAnsi="宋体" w:cs="宋体"/>
                <w:color w:val="auto"/>
                <w:sz w:val="21"/>
                <w:szCs w:val="21"/>
                <w:highlight w:val="none"/>
              </w:rPr>
              <w:t>方案包含上述所有内容，方案内容详实、具体、可行得</w:t>
            </w:r>
            <w:r>
              <w:rPr>
                <w:rFonts w:hint="eastAsia" w:hAnsi="宋体" w:cs="宋体"/>
                <w:color w:val="auto"/>
                <w:sz w:val="21"/>
                <w:szCs w:val="21"/>
                <w:highlight w:val="none"/>
              </w:rPr>
              <w:t>10</w:t>
            </w:r>
            <w:r>
              <w:rPr>
                <w:rFonts w:hint="default" w:hAnsi="宋体" w:cs="宋体"/>
                <w:color w:val="auto"/>
                <w:sz w:val="21"/>
                <w:szCs w:val="21"/>
                <w:highlight w:val="none"/>
              </w:rPr>
              <w:t>分；方案较详实、具体、可行得</w:t>
            </w:r>
            <w:r>
              <w:rPr>
                <w:rFonts w:hint="eastAsia" w:hAnsi="宋体" w:cs="宋体"/>
                <w:color w:val="auto"/>
                <w:sz w:val="21"/>
                <w:szCs w:val="21"/>
                <w:highlight w:val="none"/>
              </w:rPr>
              <w:t>6</w:t>
            </w:r>
            <w:r>
              <w:rPr>
                <w:rFonts w:hint="default" w:hAnsi="宋体" w:cs="宋体"/>
                <w:color w:val="auto"/>
                <w:sz w:val="21"/>
                <w:szCs w:val="21"/>
                <w:highlight w:val="none"/>
              </w:rPr>
              <w:t>分；方案不够详实、具体，但具有一定可行性得</w:t>
            </w:r>
            <w:r>
              <w:rPr>
                <w:rFonts w:hint="eastAsia" w:hAnsi="宋体" w:cs="宋体"/>
                <w:color w:val="auto"/>
                <w:sz w:val="21"/>
                <w:szCs w:val="21"/>
                <w:highlight w:val="none"/>
              </w:rPr>
              <w:t>2</w:t>
            </w:r>
            <w:r>
              <w:rPr>
                <w:rFonts w:hint="default" w:hAnsi="宋体" w:cs="宋体"/>
                <w:color w:val="auto"/>
                <w:sz w:val="21"/>
                <w:szCs w:val="21"/>
                <w:highlight w:val="none"/>
              </w:rPr>
              <w:t>分；扣完为止，未提供方案得0分。</w:t>
            </w:r>
          </w:p>
        </w:tc>
        <w:tc>
          <w:tcPr>
            <w:tcW w:w="1389" w:type="dxa"/>
            <w:vMerge w:val="continue"/>
            <w:vAlign w:val="center"/>
          </w:tcPr>
          <w:p w14:paraId="38A052CD">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5E1B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 w:type="dxa"/>
            <w:vMerge w:val="restart"/>
            <w:vAlign w:val="center"/>
          </w:tcPr>
          <w:p w14:paraId="36A9B4C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1153" w:type="dxa"/>
            <w:vMerge w:val="restart"/>
            <w:vAlign w:val="center"/>
          </w:tcPr>
          <w:p w14:paraId="0186725E">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r>
              <w:rPr>
                <w:rFonts w:hint="eastAsia" w:ascii="宋体" w:hAnsi="宋体" w:cs="宋体"/>
                <w:bCs/>
                <w:color w:val="auto"/>
                <w:sz w:val="21"/>
                <w:szCs w:val="21"/>
                <w:highlight w:val="none"/>
              </w:rPr>
              <w:t>商务部分（10%）</w:t>
            </w:r>
          </w:p>
        </w:tc>
        <w:tc>
          <w:tcPr>
            <w:tcW w:w="1000" w:type="dxa"/>
            <w:vAlign w:val="center"/>
          </w:tcPr>
          <w:p w14:paraId="59F6912D">
            <w:pPr>
              <w:keepNext w:val="0"/>
              <w:keepLines w:val="0"/>
              <w:suppressLineNumbers w:val="0"/>
              <w:tabs>
                <w:tab w:val="left" w:pos="1875"/>
              </w:tabs>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体系认证</w:t>
            </w:r>
          </w:p>
          <w:p w14:paraId="0FBBE0ED">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r>
              <w:rPr>
                <w:rFonts w:hint="eastAsia" w:hAnsi="宋体" w:cs="宋体"/>
                <w:color w:val="auto"/>
                <w:sz w:val="21"/>
                <w:szCs w:val="21"/>
                <w:highlight w:val="none"/>
              </w:rPr>
              <w:t>（3</w:t>
            </w:r>
            <w:r>
              <w:rPr>
                <w:rFonts w:hint="default" w:hAnsi="宋体" w:cs="宋体"/>
                <w:color w:val="auto"/>
                <w:sz w:val="21"/>
                <w:szCs w:val="21"/>
                <w:highlight w:val="none"/>
              </w:rPr>
              <w:t>分）</w:t>
            </w:r>
          </w:p>
        </w:tc>
        <w:tc>
          <w:tcPr>
            <w:tcW w:w="5802" w:type="dxa"/>
            <w:vAlign w:val="center"/>
          </w:tcPr>
          <w:p w14:paraId="00AD1438">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所投乘客电梯制造商同时具有ISO9001质量管理体系认证证书、ISO14001环境管理体系认证证书以及ISO45001职业健康安全管理体系认证证书的得3分，否则不得分。</w:t>
            </w:r>
          </w:p>
          <w:p w14:paraId="2E24E77F">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【注：提供有效期内的证书复印件并加盖供应商公章，不提供不得分。】</w:t>
            </w:r>
          </w:p>
        </w:tc>
        <w:tc>
          <w:tcPr>
            <w:tcW w:w="1389" w:type="dxa"/>
            <w:vAlign w:val="center"/>
          </w:tcPr>
          <w:p w14:paraId="7FD63D5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670B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6A9CEF2B">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48C66E12">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4C4BE68">
            <w:pPr>
              <w:keepNext w:val="0"/>
              <w:keepLines w:val="0"/>
              <w:suppressLineNumbers w:val="0"/>
              <w:snapToGrid w:val="0"/>
              <w:spacing w:before="0" w:beforeAutospacing="0" w:after="0" w:afterAutospacing="0" w:line="400" w:lineRule="exact"/>
              <w:ind w:left="0" w:right="0"/>
              <w:jc w:val="center"/>
              <w:rPr>
                <w:rFonts w:hint="default" w:ascii="宋体" w:hAnsi="宋体" w:cs="宋体"/>
                <w:bCs/>
                <w:color w:val="auto"/>
                <w:sz w:val="21"/>
                <w:szCs w:val="21"/>
                <w:highlight w:val="none"/>
              </w:rPr>
            </w:pPr>
            <w:r>
              <w:rPr>
                <w:rFonts w:hint="default" w:hAnsi="宋体" w:cs="宋体"/>
                <w:color w:val="auto"/>
                <w:sz w:val="21"/>
                <w:szCs w:val="21"/>
                <w:highlight w:val="none"/>
              </w:rPr>
              <w:t>售后网点（</w:t>
            </w:r>
            <w:r>
              <w:rPr>
                <w:rFonts w:hint="eastAsia" w:hAnsi="宋体" w:cs="宋体"/>
                <w:color w:val="auto"/>
                <w:sz w:val="21"/>
                <w:szCs w:val="21"/>
                <w:highlight w:val="none"/>
              </w:rPr>
              <w:t>4</w:t>
            </w:r>
            <w:r>
              <w:rPr>
                <w:rFonts w:hint="default" w:hAnsi="宋体" w:cs="宋体"/>
                <w:color w:val="auto"/>
                <w:sz w:val="21"/>
                <w:szCs w:val="21"/>
                <w:highlight w:val="none"/>
              </w:rPr>
              <w:t>分）</w:t>
            </w:r>
          </w:p>
        </w:tc>
        <w:tc>
          <w:tcPr>
            <w:tcW w:w="5802" w:type="dxa"/>
            <w:vAlign w:val="center"/>
          </w:tcPr>
          <w:p w14:paraId="75904E95">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default" w:ascii="宋体" w:hAnsi="宋体" w:cs="宋体"/>
                <w:bCs/>
                <w:color w:val="auto"/>
                <w:sz w:val="21"/>
                <w:szCs w:val="21"/>
                <w:highlight w:val="none"/>
              </w:rPr>
              <w:t>该项未提供0分，满足全分。</w:t>
            </w:r>
          </w:p>
          <w:p w14:paraId="526D9EC8">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default" w:ascii="宋体" w:hAnsi="宋体" w:cs="宋体"/>
                <w:color w:val="auto"/>
                <w:sz w:val="21"/>
                <w:szCs w:val="21"/>
                <w:highlight w:val="none"/>
              </w:rPr>
              <w:t>提供制造商的售后机构服务网点距离服务地点距离，20钟以内得4分，30分钟以内得2分，超过30分钟及非制造商提供售后服务的不得分。按时速按30公里/小时计算。</w:t>
            </w:r>
          </w:p>
          <w:p w14:paraId="42469432">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（提供售后机构服务网点到小区地图距离截图，以及售后机构服务网点照片2张并加盖供应商公章。）</w:t>
            </w:r>
          </w:p>
          <w:p w14:paraId="7764B611">
            <w:pPr>
              <w:keepNext w:val="0"/>
              <w:keepLines w:val="0"/>
              <w:suppressLineNumbers w:val="0"/>
              <w:spacing w:before="0" w:beforeAutospacing="0" w:after="0" w:afterAutospacing="0" w:line="320" w:lineRule="exact"/>
              <w:ind w:left="0" w:right="0" w:firstLine="210" w:firstLineChars="100"/>
              <w:rPr>
                <w:rFonts w:hint="default"/>
                <w:color w:val="auto"/>
                <w:szCs w:val="20"/>
                <w:highlight w:val="none"/>
              </w:rPr>
            </w:pPr>
            <w:r>
              <w:rPr>
                <w:rFonts w:hint="eastAsia" w:ascii="宋体" w:hAnsi="宋体" w:cs="宋体"/>
                <w:bCs/>
                <w:color w:val="auto"/>
                <w:sz w:val="21"/>
                <w:szCs w:val="21"/>
                <w:highlight w:val="none"/>
              </w:rPr>
              <w:t>注：成交供应商中标后，签订合同前采购人可现场考察售后机构，如有虚假应标，可取消其中标资格，投标保证金不予退还，由第二中标候选人中标，以此类推。</w:t>
            </w:r>
          </w:p>
        </w:tc>
        <w:tc>
          <w:tcPr>
            <w:tcW w:w="1389" w:type="dxa"/>
            <w:vAlign w:val="center"/>
          </w:tcPr>
          <w:p w14:paraId="4C36AE95">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5F1E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1BCD6A3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139B70C3">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7878D96">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r>
              <w:rPr>
                <w:rFonts w:hint="eastAsia" w:ascii="宋体" w:hAnsi="宋体" w:cs="宋体"/>
                <w:bCs/>
                <w:color w:val="auto"/>
                <w:sz w:val="21"/>
                <w:szCs w:val="21"/>
                <w:highlight w:val="none"/>
              </w:rPr>
              <w:t>维保期年限（3分）</w:t>
            </w:r>
          </w:p>
        </w:tc>
        <w:tc>
          <w:tcPr>
            <w:tcW w:w="5802" w:type="dxa"/>
            <w:vAlign w:val="center"/>
          </w:tcPr>
          <w:p w14:paraId="683D636C">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免费维保在原要求上每增加1 年，加1分，此项最多加3分。</w:t>
            </w:r>
          </w:p>
          <w:p w14:paraId="3719E475">
            <w:pPr>
              <w:keepNext w:val="0"/>
              <w:keepLines w:val="0"/>
              <w:suppressLineNumbers w:val="0"/>
              <w:spacing w:before="0" w:beforeAutospacing="0" w:after="0" w:afterAutospacing="0" w:line="320" w:lineRule="exact"/>
              <w:ind w:left="0" w:right="0" w:firstLine="210" w:firstLineChars="100"/>
              <w:rPr>
                <w:rFonts w:hint="default"/>
                <w:color w:val="auto"/>
                <w:szCs w:val="20"/>
                <w:highlight w:val="none"/>
              </w:rPr>
            </w:pPr>
            <w:r>
              <w:rPr>
                <w:rFonts w:hint="default" w:ascii="宋体" w:hAnsi="宋体" w:cs="宋体"/>
                <w:bCs/>
                <w:color w:val="auto"/>
                <w:sz w:val="21"/>
                <w:szCs w:val="21"/>
                <w:highlight w:val="none"/>
              </w:rPr>
              <w:t>（提供供应商承诺函并加盖供应商公章）</w:t>
            </w:r>
          </w:p>
        </w:tc>
        <w:tc>
          <w:tcPr>
            <w:tcW w:w="1389" w:type="dxa"/>
            <w:vAlign w:val="center"/>
          </w:tcPr>
          <w:p w14:paraId="420FB026">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bl>
    <w:p w14:paraId="251C76A8">
      <w:pPr>
        <w:snapToGrid w:val="0"/>
        <w:spacing w:line="36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070C8255">
      <w:pPr>
        <w:keepNext/>
        <w:keepLines/>
        <w:adjustRightInd w:val="0"/>
        <w:snapToGrid w:val="0"/>
        <w:spacing w:line="400" w:lineRule="exact"/>
        <w:ind w:firstLine="480" w:firstLineChars="200"/>
        <w:outlineLvl w:val="1"/>
        <w:rPr>
          <w:rFonts w:ascii="宋体" w:hAnsi="宋体" w:cs="宋体"/>
          <w:b/>
          <w:color w:val="auto"/>
          <w:sz w:val="24"/>
          <w:highlight w:val="none"/>
        </w:rPr>
      </w:pPr>
      <w:bookmarkStart w:id="147" w:name="_Toc21473"/>
      <w:bookmarkStart w:id="148" w:name="_Toc31747"/>
      <w:r>
        <w:rPr>
          <w:rFonts w:hint="eastAsia" w:ascii="宋体" w:hAnsi="宋体" w:cs="宋体"/>
          <w:color w:val="auto"/>
          <w:sz w:val="24"/>
          <w:szCs w:val="24"/>
          <w:highlight w:val="none"/>
        </w:rPr>
        <w:t>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47"/>
      <w:bookmarkEnd w:id="148"/>
    </w:p>
    <w:p w14:paraId="03E132A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三、无效</w:t>
      </w:r>
      <w:bookmarkEnd w:id="142"/>
      <w:bookmarkEnd w:id="143"/>
      <w:bookmarkEnd w:id="144"/>
      <w:r>
        <w:rPr>
          <w:rFonts w:hint="eastAsia" w:ascii="宋体" w:hAnsi="宋体" w:cs="宋体"/>
          <w:b/>
          <w:color w:val="auto"/>
          <w:sz w:val="24"/>
          <w:highlight w:val="none"/>
        </w:rPr>
        <w:t>报价</w:t>
      </w:r>
      <w:bookmarkEnd w:id="145"/>
      <w:bookmarkEnd w:id="146"/>
    </w:p>
    <w:p w14:paraId="0AA0746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3BFEAC0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6CB2511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09F6861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2A583C3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63FA3EE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7E11A03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308F173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0C62703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739D4FC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2C4F3E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0BB1E1CD">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（十一）法律、法规和竞争性比选规定的其他无效情形。</w:t>
      </w:r>
    </w:p>
    <w:p w14:paraId="67D4706D">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9" w:name="_Toc22716"/>
      <w:bookmarkStart w:id="150" w:name="_Toc65660353"/>
      <w:bookmarkStart w:id="151" w:name="_Toc12152"/>
      <w:bookmarkStart w:id="152" w:name="_Toc29298"/>
      <w:bookmarkStart w:id="153" w:name="_Toc28422"/>
      <w:r>
        <w:rPr>
          <w:rFonts w:hint="eastAsia" w:ascii="宋体" w:hAnsi="宋体" w:cs="宋体"/>
          <w:b/>
          <w:color w:val="auto"/>
          <w:sz w:val="24"/>
          <w:highlight w:val="none"/>
        </w:rPr>
        <w:t>四、采购终止</w:t>
      </w:r>
      <w:bookmarkEnd w:id="149"/>
      <w:bookmarkEnd w:id="150"/>
      <w:bookmarkEnd w:id="151"/>
      <w:bookmarkEnd w:id="152"/>
      <w:bookmarkEnd w:id="153"/>
    </w:p>
    <w:p w14:paraId="3A131E2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14:paraId="008609C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14:paraId="44AEB4B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16143D5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65AC24FF">
      <w:pPr>
        <w:keepNext/>
        <w:keepLines/>
        <w:spacing w:line="360" w:lineRule="auto"/>
        <w:jc w:val="center"/>
        <w:outlineLvl w:val="1"/>
        <w:rPr>
          <w:rFonts w:ascii="宋体" w:hAnsi="宋体" w:cs="宋体"/>
          <w:b/>
          <w:bCs/>
          <w:color w:val="auto"/>
          <w:sz w:val="30"/>
          <w:szCs w:val="30"/>
          <w:highlight w:val="none"/>
        </w:rPr>
      </w:pPr>
      <w:r>
        <w:rPr>
          <w:rFonts w:hint="eastAsia" w:ascii="宋体" w:hAnsi="宋体" w:cs="宋体"/>
          <w:b/>
          <w:color w:val="auto"/>
          <w:sz w:val="24"/>
          <w:szCs w:val="24"/>
          <w:highlight w:val="none"/>
        </w:rPr>
        <w:br w:type="page"/>
      </w:r>
      <w:bookmarkStart w:id="154" w:name="_Toc10768"/>
      <w:bookmarkStart w:id="155" w:name="_Toc8372"/>
      <w:bookmarkStart w:id="156" w:name="_Toc65660354"/>
      <w:bookmarkStart w:id="157" w:name="_Toc20055"/>
      <w:bookmarkStart w:id="158" w:name="_Toc8916"/>
      <w:bookmarkStart w:id="159" w:name="_Toc22379"/>
      <w:r>
        <w:rPr>
          <w:rStyle w:val="254"/>
          <w:rFonts w:hint="eastAsia" w:hAnsi="宋体" w:cs="宋体"/>
          <w:b/>
          <w:bCs/>
          <w:color w:val="auto"/>
          <w:sz w:val="30"/>
          <w:szCs w:val="30"/>
          <w:highlight w:val="none"/>
        </w:rPr>
        <w:t>第五篇  供应商须知</w:t>
      </w:r>
      <w:bookmarkEnd w:id="154"/>
      <w:bookmarkEnd w:id="155"/>
      <w:bookmarkEnd w:id="156"/>
      <w:bookmarkEnd w:id="157"/>
      <w:bookmarkEnd w:id="158"/>
      <w:bookmarkEnd w:id="159"/>
    </w:p>
    <w:p w14:paraId="6C955FF5">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0" w:name="_Toc9357"/>
      <w:bookmarkStart w:id="161" w:name="_Toc5290"/>
      <w:bookmarkStart w:id="162" w:name="_Toc16524"/>
      <w:bookmarkStart w:id="163" w:name="_Toc2864"/>
      <w:bookmarkStart w:id="164" w:name="_Toc65660355"/>
      <w:r>
        <w:rPr>
          <w:rFonts w:hint="eastAsia" w:ascii="宋体" w:hAnsi="宋体" w:cs="宋体"/>
          <w:b/>
          <w:color w:val="auto"/>
          <w:sz w:val="24"/>
          <w:highlight w:val="none"/>
        </w:rPr>
        <w:t>一、比选费用</w:t>
      </w:r>
      <w:bookmarkEnd w:id="160"/>
      <w:bookmarkEnd w:id="161"/>
      <w:bookmarkEnd w:id="162"/>
      <w:bookmarkEnd w:id="163"/>
      <w:bookmarkEnd w:id="164"/>
    </w:p>
    <w:p w14:paraId="222309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参与报价的供应商应承担其编制响应文件与递交响应文件所涉及的一切费用，不论比选结果如何，采购人和采购代理机构在任何情况下无义务也无责任承担这些费用。</w:t>
      </w:r>
    </w:p>
    <w:p w14:paraId="47B5C9B9">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5" w:name="_Toc31070"/>
      <w:bookmarkStart w:id="166" w:name="_Toc31739"/>
      <w:bookmarkStart w:id="167" w:name="_Toc5915"/>
      <w:bookmarkStart w:id="168" w:name="_Toc25444"/>
      <w:bookmarkStart w:id="169" w:name="_Toc65660356"/>
      <w:r>
        <w:rPr>
          <w:rFonts w:hint="eastAsia" w:ascii="宋体" w:hAnsi="宋体" w:cs="宋体"/>
          <w:b/>
          <w:color w:val="auto"/>
          <w:sz w:val="24"/>
          <w:highlight w:val="none"/>
        </w:rPr>
        <w:t>二、</w:t>
      </w:r>
      <w:bookmarkEnd w:id="165"/>
      <w:bookmarkEnd w:id="166"/>
      <w:bookmarkEnd w:id="167"/>
      <w:bookmarkEnd w:id="168"/>
      <w:bookmarkEnd w:id="169"/>
      <w:r>
        <w:rPr>
          <w:rFonts w:hint="eastAsia" w:ascii="宋体" w:hAnsi="宋体" w:cs="宋体"/>
          <w:b/>
          <w:color w:val="auto"/>
          <w:sz w:val="24"/>
          <w:highlight w:val="none"/>
        </w:rPr>
        <w:t>竞争性比选</w:t>
      </w:r>
      <w:r>
        <w:rPr>
          <w:rFonts w:hint="eastAsia" w:ascii="宋体" w:hAnsi="宋体" w:cs="宋体"/>
          <w:b/>
          <w:color w:val="auto"/>
          <w:sz w:val="24"/>
          <w:highlight w:val="none"/>
        </w:rPr>
        <w:tab/>
      </w:r>
    </w:p>
    <w:p w14:paraId="6A7DF8DC">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（一）竞争性比选文件由比选采购邀请书、比选项目技术（质量）需求、比选项目商务需求、采购程序、评定成交的标准、无效报价及采购终止、供应商须知、合同草案条款、响应文件格式要求七部分组成。</w:t>
      </w:r>
    </w:p>
    <w:p w14:paraId="2F1F4AAB">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（二）采购人（或采购代理机构）所作的一切有效的书面通知、修改及补充，都是竞争性比选文件不可分割的部分。</w:t>
      </w:r>
    </w:p>
    <w:p w14:paraId="611F7304">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0" w:name="_Toc9532"/>
      <w:bookmarkStart w:id="171" w:name="_Toc5273"/>
      <w:bookmarkStart w:id="172" w:name="_Toc65660357"/>
      <w:bookmarkStart w:id="173" w:name="_Toc1922"/>
      <w:bookmarkStart w:id="174" w:name="_Toc3061"/>
      <w:r>
        <w:rPr>
          <w:rFonts w:hint="eastAsia" w:ascii="宋体" w:hAnsi="宋体" w:cs="宋体"/>
          <w:b/>
          <w:color w:val="auto"/>
          <w:sz w:val="24"/>
          <w:highlight w:val="none"/>
        </w:rPr>
        <w:t>三、报价要求</w:t>
      </w:r>
      <w:bookmarkEnd w:id="170"/>
      <w:bookmarkEnd w:id="171"/>
      <w:bookmarkEnd w:id="172"/>
      <w:bookmarkEnd w:id="173"/>
      <w:bookmarkEnd w:id="174"/>
    </w:p>
    <w:p w14:paraId="18C4E907">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1C40C2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供应商应当按照竞争性比选文件的要求编制响应文件，并对竞争性比选文件提出的要求和条件作出实质性响应，响应文件原则上采用软面订本。</w:t>
      </w:r>
    </w:p>
    <w:p w14:paraId="4150C04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48C4AB7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43DB12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p>
    <w:p w14:paraId="149CB0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本项目不接受联合体。</w:t>
      </w:r>
    </w:p>
    <w:p w14:paraId="292CAE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7C2057CC">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3B4969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第一篇比选采购邀请书”</w:t>
      </w:r>
      <w:r>
        <w:rPr>
          <w:rFonts w:hint="eastAsia" w:ascii="宋体" w:hAnsi="宋体" w:cs="宋体"/>
          <w:color w:val="auto"/>
          <w:sz w:val="24"/>
          <w:szCs w:val="24"/>
          <w:highlight w:val="none"/>
        </w:rPr>
        <w:t>；</w:t>
      </w:r>
    </w:p>
    <w:p w14:paraId="1AC40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E50B0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023F1D1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004915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2.3除因不可抗力或竞争性比选文件认可的情形以外，成交供应商不与采购人签订合同的；</w:t>
      </w:r>
    </w:p>
    <w:p w14:paraId="416071D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2C4B2F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2.5成交供应商不按规定的时间或拒绝按成交状态签订合同（即不按照竞争性比选文件确定的合同文本以及采购标的、规格型号、采购金额、采购数量、技术（质量）和服务要求等事项签订合同的）。</w:t>
      </w:r>
    </w:p>
    <w:p w14:paraId="38F32CCB">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0B73DC1C">
      <w:pPr>
        <w:pStyle w:val="23"/>
        <w:rPr>
          <w:rFonts w:ascii="宋体" w:hAnsi="宋体" w:eastAsia="宋体" w:cs="宋体"/>
          <w:color w:val="auto"/>
          <w:sz w:val="24"/>
          <w:szCs w:val="24"/>
          <w:highlight w:val="none"/>
        </w:rPr>
      </w:pPr>
      <w:r>
        <w:rPr>
          <w:rFonts w:hint="eastAsia"/>
          <w:color w:val="auto"/>
          <w:highlight w:val="none"/>
        </w:rPr>
        <w:t xml:space="preserve">   </w:t>
      </w:r>
      <w:r>
        <w:rPr>
          <w:rFonts w:hint="eastAsia" w:ascii="宋体" w:hAnsi="宋体" w:eastAsia="宋体" w:cs="宋体"/>
          <w:color w:val="auto"/>
          <w:sz w:val="24"/>
          <w:szCs w:val="24"/>
          <w:highlight w:val="none"/>
        </w:rPr>
        <w:t>4、由电梯厂家提供不低于10万/台的保函作为第二篇比选项目技术(质量)需求第（一）条内容的执行。</w:t>
      </w:r>
    </w:p>
    <w:p w14:paraId="51E4D72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（三）修正错误</w:t>
      </w:r>
    </w:p>
    <w:p w14:paraId="74F0784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039B35B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评审小组或采购人按上述修正错误的原则及方法修正供应商的报价，供应商同意并签署确认后，修正后的报价对供应商具有约束作用。如果供应商不接受修正后的价格，将视为无效报价。</w:t>
      </w:r>
    </w:p>
    <w:p w14:paraId="5F33DA5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488D92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上传行采家网站响应文件电子文档一份；纸质副本可为纸质正本的复印件，应与纸质正本一致，如出现不一致情况以纸质正本为准，响应文件电子文档应为签字盖章齐全的纸质响应文件正本的扫描件（PDF格式），若与纸质响应文件正本不一致的，以纸质响应文件正本为准。</w:t>
      </w:r>
    </w:p>
    <w:p w14:paraId="51099CA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在响应文件正本中，竞争性比选文件第七篇响应文件格式中规定签署、盖章的地方必须按其规定签署、盖章。</w:t>
      </w:r>
    </w:p>
    <w:p w14:paraId="535C2E91">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2A98D1E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4、本项目纸质响应文件概不接受邮递。</w:t>
      </w:r>
    </w:p>
    <w:p w14:paraId="2A62CEAB">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（五）响应文件的递交</w:t>
      </w:r>
    </w:p>
    <w:p w14:paraId="2AC875E5">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纸质响应文件的正本、副本均应密封送达递交响应文件地点，应在封套上注明项目名称、供应商名称。若正本、副本分别进行密封的，还应在封套上注明“正本”、“副本”字样。响应文件电子文档应在线上报价的同时上传行采家网站。</w:t>
      </w:r>
    </w:p>
    <w:p w14:paraId="14A29406">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（六）响应文件语言：简体中文</w:t>
      </w:r>
    </w:p>
    <w:p w14:paraId="252798C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5" w:name="_Toc65660358"/>
      <w:bookmarkStart w:id="176" w:name="_Toc22146"/>
      <w:bookmarkStart w:id="177" w:name="_Toc14702"/>
      <w:bookmarkStart w:id="178" w:name="_Toc6242"/>
      <w:bookmarkStart w:id="179" w:name="_Toc10172"/>
      <w:r>
        <w:rPr>
          <w:rFonts w:hint="eastAsia" w:ascii="宋体" w:hAnsi="宋体" w:cs="宋体"/>
          <w:b/>
          <w:color w:val="auto"/>
          <w:sz w:val="24"/>
          <w:highlight w:val="none"/>
        </w:rPr>
        <w:t>四、成交供应商的确定和变更</w:t>
      </w:r>
      <w:bookmarkEnd w:id="175"/>
      <w:bookmarkEnd w:id="176"/>
      <w:bookmarkEnd w:id="177"/>
      <w:bookmarkEnd w:id="178"/>
      <w:bookmarkEnd w:id="179"/>
    </w:p>
    <w:p w14:paraId="161B19D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（一）采购人或其授权的评标委员会应按照评标报告中推荐的中标候选人排名顺序确定中标人。</w:t>
      </w:r>
    </w:p>
    <w:p w14:paraId="5A72965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7DA25BA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拒绝签订合同的，采购人可以按照评审报告推荐的成交候选人顺序，确定排名下一位的候选人为成交供应商，也可以重新开展采购活动。拒绝签订合同的成交供应商不得参加对该项目重新开展的采购活动。</w:t>
      </w:r>
    </w:p>
    <w:p w14:paraId="1B0830B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2.成交供应商无充分理由放弃成交的，采购人将向监督部门报告，监督部门将根据相关法律法规的规定进行处理。</w:t>
      </w:r>
    </w:p>
    <w:p w14:paraId="3CC2378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0" w:name="_Toc29725"/>
      <w:bookmarkStart w:id="181" w:name="_Toc29821"/>
      <w:bookmarkStart w:id="182" w:name="_Toc10504"/>
      <w:bookmarkStart w:id="183" w:name="_Toc1092"/>
      <w:bookmarkStart w:id="184" w:name="_Toc65660359"/>
      <w:r>
        <w:rPr>
          <w:rFonts w:hint="eastAsia" w:ascii="宋体" w:hAnsi="宋体" w:cs="宋体"/>
          <w:b/>
          <w:color w:val="auto"/>
          <w:sz w:val="24"/>
          <w:highlight w:val="none"/>
        </w:rPr>
        <w:t>五、成交通知</w:t>
      </w:r>
      <w:bookmarkEnd w:id="180"/>
      <w:bookmarkEnd w:id="181"/>
      <w:bookmarkEnd w:id="182"/>
      <w:bookmarkEnd w:id="183"/>
      <w:bookmarkEnd w:id="184"/>
    </w:p>
    <w:p w14:paraId="0FE5C3E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（一）成交供应商确定后，采购人将在行采家平台发布及</w:t>
      </w:r>
      <w:r>
        <w:rPr>
          <w:rFonts w:hint="eastAsia" w:ascii="宋体" w:hAnsi="宋体" w:cs="宋体"/>
          <w:color w:val="auto"/>
          <w:sz w:val="24"/>
          <w:szCs w:val="24"/>
          <w:highlight w:val="none"/>
          <w:lang w:eastAsia="zh-CN"/>
        </w:rPr>
        <w:t>骏逸新视界</w:t>
      </w:r>
      <w:r>
        <w:rPr>
          <w:rFonts w:hint="eastAsia" w:ascii="宋体" w:hAnsi="宋体" w:cs="宋体"/>
          <w:color w:val="auto"/>
          <w:sz w:val="24"/>
          <w:szCs w:val="24"/>
          <w:highlight w:val="none"/>
        </w:rPr>
        <w:t>小区公告栏张贴中标（成交）结果公告。</w:t>
      </w:r>
    </w:p>
    <w:p w14:paraId="6F212B6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04B2E7C2">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3C07464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5" w:name="_Toc30909"/>
      <w:bookmarkStart w:id="186" w:name="_Toc65660360"/>
      <w:bookmarkStart w:id="187" w:name="_Toc1010"/>
      <w:bookmarkStart w:id="188" w:name="_Toc31082"/>
      <w:bookmarkStart w:id="189" w:name="_Toc1398"/>
      <w:r>
        <w:rPr>
          <w:rFonts w:hint="eastAsia" w:ascii="宋体" w:hAnsi="宋体" w:cs="宋体"/>
          <w:b/>
          <w:color w:val="auto"/>
          <w:sz w:val="24"/>
          <w:highlight w:val="none"/>
        </w:rPr>
        <w:t>六、关于质疑和投诉</w:t>
      </w:r>
      <w:bookmarkEnd w:id="185"/>
      <w:bookmarkEnd w:id="186"/>
      <w:bookmarkEnd w:id="187"/>
      <w:bookmarkEnd w:id="188"/>
      <w:bookmarkEnd w:id="189"/>
    </w:p>
    <w:p w14:paraId="71D7821A">
      <w:pPr>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（一）质疑</w:t>
      </w:r>
    </w:p>
    <w:p w14:paraId="4A15462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供应商认为比选文件、比选过程和成交结果使自己的权益收到伤害的，可向采购人或采购代理机构以书面形式提出质疑。</w:t>
      </w:r>
    </w:p>
    <w:p w14:paraId="3D0B317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0DE3242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4C363AB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1.1供应商认为竞争性比选文件、采购过程、成交结果使自己的权益受到损害的，可以在知道或者应知其权益受到损害之日起3个工作日内，以书面形式向采购人、采购代理机构提出质疑。</w:t>
      </w:r>
    </w:p>
    <w:p w14:paraId="505F1FB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704452F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76D30C1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质疑项目的项目名称、采购执行编号以及采购执行编号</w:t>
      </w:r>
      <w:r>
        <w:rPr>
          <w:rFonts w:hint="eastAsia" w:ascii="宋体" w:hAnsi="宋体" w:cs="宋体"/>
          <w:color w:val="auto"/>
          <w:sz w:val="24"/>
          <w:highlight w:val="none"/>
        </w:rPr>
        <w:t>；</w:t>
      </w:r>
    </w:p>
    <w:p w14:paraId="2558C58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3A05EAE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29AC073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70E4361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7060486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3933DA2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769BCE7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B09817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4E70E03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采购人、采购代理机构应当在收到供应商的书面质疑后3个工作日内作出答复，并以书面形式通知质疑供应商和其他有关供应商。</w:t>
      </w:r>
    </w:p>
    <w:p w14:paraId="3BBF11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5D27ACD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3.1供应商应在本项目规定的质疑期内一次性提出针对同一采购程序环节的质疑。</w:t>
      </w:r>
    </w:p>
    <w:p w14:paraId="10059B8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3.2质疑函范本可在监督部门户网站和中国政府采购网下载。</w:t>
      </w:r>
    </w:p>
    <w:p w14:paraId="0C1D57AF">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79BBADF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1.供应商对采购人、采购代理机构的答复不满意，或者采购人、采购代理机构未在规定时间内作出答复的，可以在答复期满后15个工作日内按照相关法律法规向监督部门提起投诉。</w:t>
      </w:r>
    </w:p>
    <w:p w14:paraId="3DAA6AA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2.供应商应按照《政府采购质疑和投诉办法》（财政部令第94号）及相关法律法规要求递交投诉书和必要的证明材料。投诉书范本可在监督部门户网站和中国政府采购网下载。</w:t>
      </w:r>
    </w:p>
    <w:p w14:paraId="6566CC8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612929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6C10CC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0" w:name="_Toc65660361"/>
      <w:bookmarkStart w:id="191" w:name="_Toc16648"/>
      <w:bookmarkStart w:id="192" w:name="_Toc23778"/>
      <w:bookmarkStart w:id="193" w:name="_Toc5724"/>
      <w:bookmarkStart w:id="194" w:name="_Toc3127"/>
      <w:r>
        <w:rPr>
          <w:rFonts w:hint="eastAsia" w:ascii="宋体" w:hAnsi="宋体" w:cs="宋体"/>
          <w:b/>
          <w:color w:val="auto"/>
          <w:sz w:val="24"/>
          <w:highlight w:val="none"/>
        </w:rPr>
        <w:t>七、签订合同</w:t>
      </w:r>
      <w:bookmarkEnd w:id="190"/>
      <w:bookmarkEnd w:id="191"/>
      <w:bookmarkEnd w:id="192"/>
      <w:bookmarkEnd w:id="193"/>
      <w:bookmarkEnd w:id="194"/>
    </w:p>
    <w:p w14:paraId="639B3EE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采购人原则上应在成交通知书发出之日起二十日内和成交供应商签订合同，无正当理由不得拒绝或拖延合同签订</w:t>
      </w:r>
      <w:r>
        <w:rPr>
          <w:rFonts w:hint="eastAsia" w:ascii="宋体" w:hAnsi="宋体" w:cs="宋体"/>
          <w:color w:val="auto"/>
          <w:sz w:val="24"/>
          <w:szCs w:val="24"/>
          <w:highlight w:val="none"/>
        </w:rPr>
        <w:t>。所签订的合同不得对竞争性比选和供应商的响应文件作实质性修改。其他未尽事宜由采购人和成交供应商在采购合同中详细约定。</w:t>
      </w:r>
    </w:p>
    <w:p w14:paraId="35EE34B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（二）竞争性比选文件、供应商的响应文件及澄清文件等，均为签订合同的依据。</w:t>
      </w:r>
    </w:p>
    <w:p w14:paraId="7072233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38F159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（四）采购人要求成交供应商提供履约保证金的，应当在竞争性比选中予以约定。成交供应商履约完毕后，采购人或采购代理机构根据竞争性比选文件规定无息退还其履约保证金。</w:t>
      </w:r>
    </w:p>
    <w:p w14:paraId="10792A04">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5" w:name="_Toc29513"/>
      <w:bookmarkStart w:id="196" w:name="_Toc6247"/>
      <w:bookmarkStart w:id="197" w:name="_Toc32594"/>
      <w:bookmarkStart w:id="198" w:name="_Toc65660362"/>
      <w:bookmarkStart w:id="199" w:name="_Toc2438"/>
      <w:r>
        <w:rPr>
          <w:rFonts w:hint="eastAsia" w:ascii="宋体" w:hAnsi="宋体" w:cs="宋体"/>
          <w:b/>
          <w:color w:val="auto"/>
          <w:sz w:val="24"/>
          <w:highlight w:val="none"/>
        </w:rPr>
        <w:t>八、采购代理服务费</w:t>
      </w:r>
      <w:bookmarkEnd w:id="195"/>
      <w:bookmarkEnd w:id="196"/>
      <w:bookmarkEnd w:id="197"/>
      <w:bookmarkEnd w:id="198"/>
      <w:bookmarkEnd w:id="199"/>
    </w:p>
    <w:p w14:paraId="2DD5D2DD">
      <w:pPr>
        <w:spacing w:line="400" w:lineRule="exact"/>
        <w:ind w:firstLine="360" w:firstLineChars="150"/>
        <w:rPr>
          <w:rFonts w:ascii="宋体" w:hAnsi="宋体" w:cs="宋体"/>
          <w:color w:val="auto"/>
          <w:sz w:val="24"/>
          <w:highlight w:val="none"/>
        </w:rPr>
      </w:pPr>
      <w:bookmarkStart w:id="200" w:name="_Toc15521"/>
      <w:bookmarkStart w:id="201" w:name="_Toc4867"/>
      <w:bookmarkStart w:id="202" w:name="_Toc9730"/>
      <w:bookmarkStart w:id="203" w:name="_Toc65660363"/>
      <w:r>
        <w:rPr>
          <w:rFonts w:hint="eastAsia" w:ascii="宋体" w:hAnsi="宋体" w:cs="宋体"/>
          <w:color w:val="auto"/>
          <w:sz w:val="24"/>
          <w:highlight w:val="none"/>
        </w:rPr>
        <w:t>成交供应商在领取成交通知书前一次性向采购代理机构缴纳采购代理服务费人民币</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00元。</w:t>
      </w:r>
    </w:p>
    <w:p w14:paraId="6350A7DC">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采购代理服务费收款账户信息：</w:t>
      </w:r>
    </w:p>
    <w:p w14:paraId="15796BCF">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户  名：重庆靖正恒悦项目管理有限公司</w:t>
      </w:r>
    </w:p>
    <w:p w14:paraId="021004FD">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开户行：浙商银行重庆沙坪坝支行</w:t>
      </w:r>
    </w:p>
    <w:p w14:paraId="190254A4">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账  号：6530000810120100049709</w:t>
      </w:r>
    </w:p>
    <w:bookmarkEnd w:id="99"/>
    <w:bookmarkEnd w:id="200"/>
    <w:bookmarkEnd w:id="201"/>
    <w:bookmarkEnd w:id="202"/>
    <w:bookmarkEnd w:id="203"/>
    <w:p w14:paraId="65B79BF7">
      <w:pPr>
        <w:rPr>
          <w:rFonts w:ascii="宋体" w:hAnsi="宋体" w:cs="宋体"/>
          <w:b/>
          <w:bCs/>
          <w:color w:val="auto"/>
          <w:sz w:val="30"/>
          <w:szCs w:val="30"/>
          <w:highlight w:val="none"/>
        </w:rPr>
      </w:pPr>
      <w:bookmarkStart w:id="204" w:name="_Toc11641055"/>
      <w:bookmarkStart w:id="205" w:name="_Toc12789059"/>
      <w:bookmarkStart w:id="206" w:name="_Toc65660365"/>
      <w:bookmarkStart w:id="207" w:name="_Toc14861"/>
      <w:bookmarkStart w:id="208" w:name="_Toc10599"/>
      <w:bookmarkStart w:id="209" w:name="_Toc28162"/>
      <w:bookmarkStart w:id="210" w:name="_Toc19901"/>
      <w:r>
        <w:rPr>
          <w:rFonts w:hint="eastAsia" w:ascii="宋体" w:hAnsi="宋体" w:cs="宋体"/>
          <w:b/>
          <w:bCs/>
          <w:color w:val="auto"/>
          <w:sz w:val="30"/>
          <w:szCs w:val="30"/>
          <w:highlight w:val="none"/>
        </w:rPr>
        <w:br w:type="page"/>
      </w:r>
    </w:p>
    <w:p w14:paraId="36664F3E">
      <w:pPr>
        <w:pStyle w:val="2"/>
        <w:jc w:val="center"/>
        <w:rPr>
          <w:rFonts w:hAnsi="宋体" w:cs="宋体"/>
          <w:b/>
          <w:bCs/>
          <w:color w:val="auto"/>
          <w:sz w:val="30"/>
          <w:szCs w:val="30"/>
          <w:highlight w:val="none"/>
        </w:rPr>
      </w:pPr>
      <w:bookmarkStart w:id="211" w:name="_Toc21218"/>
      <w:r>
        <w:rPr>
          <w:rFonts w:hint="eastAsia" w:hAnsi="宋体" w:cs="宋体"/>
          <w:b/>
          <w:bCs/>
          <w:color w:val="auto"/>
          <w:sz w:val="30"/>
          <w:szCs w:val="30"/>
          <w:highlight w:val="none"/>
        </w:rPr>
        <w:t xml:space="preserve">第六篇  </w:t>
      </w:r>
      <w:bookmarkEnd w:id="204"/>
      <w:bookmarkEnd w:id="205"/>
      <w:r>
        <w:rPr>
          <w:rFonts w:hint="eastAsia" w:hAnsi="宋体" w:cs="宋体"/>
          <w:b/>
          <w:bCs/>
          <w:color w:val="auto"/>
          <w:sz w:val="30"/>
          <w:szCs w:val="30"/>
          <w:highlight w:val="none"/>
        </w:rPr>
        <w:t>合同草案条款</w:t>
      </w:r>
      <w:bookmarkEnd w:id="206"/>
      <w:bookmarkEnd w:id="207"/>
      <w:bookmarkEnd w:id="208"/>
      <w:bookmarkEnd w:id="209"/>
      <w:bookmarkEnd w:id="210"/>
      <w:bookmarkEnd w:id="211"/>
    </w:p>
    <w:p w14:paraId="3432B65B">
      <w:pPr>
        <w:spacing w:line="480" w:lineRule="exact"/>
        <w:jc w:val="center"/>
        <w:rPr>
          <w:rStyle w:val="258"/>
          <w:rFonts w:ascii="宋体" w:hAnsi="宋体" w:cs="宋体"/>
          <w:b/>
          <w:color w:val="auto"/>
          <w:sz w:val="36"/>
          <w:szCs w:val="36"/>
          <w:highlight w:val="none"/>
        </w:rPr>
      </w:pPr>
    </w:p>
    <w:p w14:paraId="5DF79A42">
      <w:pPr>
        <w:spacing w:line="480" w:lineRule="exact"/>
        <w:jc w:val="center"/>
        <w:rPr>
          <w:rStyle w:val="258"/>
          <w:rFonts w:ascii="宋体" w:hAnsi="宋体" w:cs="宋体"/>
          <w:b/>
          <w:color w:val="auto"/>
          <w:sz w:val="36"/>
          <w:szCs w:val="36"/>
          <w:highlight w:val="none"/>
        </w:rPr>
      </w:pPr>
    </w:p>
    <w:p w14:paraId="40CFED50">
      <w:pPr>
        <w:spacing w:line="480" w:lineRule="exact"/>
        <w:jc w:val="center"/>
        <w:rPr>
          <w:rStyle w:val="258"/>
          <w:rFonts w:ascii="宋体" w:hAnsi="宋体" w:cs="宋体"/>
          <w:b/>
          <w:color w:val="auto"/>
          <w:sz w:val="36"/>
          <w:szCs w:val="36"/>
          <w:highlight w:val="none"/>
        </w:rPr>
      </w:pPr>
    </w:p>
    <w:p w14:paraId="4FC14A1F">
      <w:pPr>
        <w:jc w:val="center"/>
        <w:rPr>
          <w:b/>
          <w:bCs/>
          <w:color w:val="auto"/>
          <w:highlight w:val="none"/>
        </w:rPr>
      </w:pPr>
      <w:r>
        <w:rPr>
          <w:rFonts w:hint="eastAsia"/>
          <w:b/>
          <w:bCs/>
          <w:color w:val="auto"/>
          <w:highlight w:val="none"/>
        </w:rPr>
        <w:t>货物采购合同</w:t>
      </w:r>
    </w:p>
    <w:p w14:paraId="537605BE">
      <w:pPr>
        <w:tabs>
          <w:tab w:val="left" w:pos="8820"/>
        </w:tabs>
        <w:rPr>
          <w:rStyle w:val="258"/>
          <w:rFonts w:ascii="宋体" w:hAnsi="宋体" w:cs="宋体"/>
          <w:b/>
          <w:color w:val="auto"/>
          <w:szCs w:val="28"/>
          <w:highlight w:val="none"/>
        </w:rPr>
      </w:pPr>
      <w:r>
        <w:rPr>
          <w:rStyle w:val="258"/>
          <w:rFonts w:hint="eastAsia" w:ascii="宋体" w:hAnsi="宋体" w:cs="宋体"/>
          <w:b/>
          <w:color w:val="auto"/>
          <w:szCs w:val="28"/>
          <w:highlight w:val="none"/>
        </w:rPr>
        <w:t xml:space="preserve">                                                        </w:t>
      </w:r>
    </w:p>
    <w:p w14:paraId="6E4AC1CE">
      <w:pPr>
        <w:tabs>
          <w:tab w:val="left" w:pos="8820"/>
        </w:tabs>
        <w:rPr>
          <w:rStyle w:val="258"/>
          <w:rFonts w:ascii="宋体" w:hAnsi="宋体" w:cs="宋体"/>
          <w:b/>
          <w:color w:val="auto"/>
          <w:szCs w:val="28"/>
          <w:highlight w:val="none"/>
        </w:rPr>
      </w:pPr>
    </w:p>
    <w:p w14:paraId="7C1743A6">
      <w:pPr>
        <w:tabs>
          <w:tab w:val="left" w:pos="8820"/>
        </w:tabs>
        <w:ind w:firstLine="4819" w:firstLineChars="20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合 同 编 号：</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 xml:space="preserve">   </w:t>
      </w:r>
    </w:p>
    <w:p w14:paraId="1F9E71F4">
      <w:pPr>
        <w:spacing w:line="300" w:lineRule="auto"/>
        <w:jc w:val="center"/>
        <w:rPr>
          <w:rStyle w:val="258"/>
          <w:rFonts w:ascii="宋体" w:hAnsi="宋体" w:cs="宋体"/>
          <w:bCs/>
          <w:color w:val="auto"/>
          <w:sz w:val="24"/>
          <w:szCs w:val="24"/>
          <w:highlight w:val="none"/>
        </w:rPr>
      </w:pPr>
      <w:r>
        <w:rPr>
          <w:rStyle w:val="258"/>
          <w:rFonts w:hint="eastAsia" w:ascii="宋体" w:hAnsi="宋体" w:cs="宋体"/>
          <w:b/>
          <w:color w:val="auto"/>
          <w:sz w:val="24"/>
          <w:szCs w:val="24"/>
          <w:highlight w:val="none"/>
        </w:rPr>
        <w:t xml:space="preserve">               合同签订地点：</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u w:val="single" w:color="000000"/>
        </w:rPr>
        <w:t xml:space="preserve">        </w:t>
      </w:r>
      <w:r>
        <w:rPr>
          <w:rStyle w:val="258"/>
          <w:rFonts w:hint="eastAsia" w:ascii="宋体" w:hAnsi="宋体" w:cs="宋体"/>
          <w:bCs/>
          <w:color w:val="auto"/>
          <w:sz w:val="24"/>
          <w:szCs w:val="24"/>
          <w:highlight w:val="none"/>
        </w:rPr>
        <w:t xml:space="preserve"> </w:t>
      </w:r>
    </w:p>
    <w:p w14:paraId="0C6CB72C">
      <w:pPr>
        <w:spacing w:line="300" w:lineRule="auto"/>
        <w:jc w:val="center"/>
        <w:rPr>
          <w:rStyle w:val="258"/>
          <w:rFonts w:ascii="宋体" w:hAnsi="宋体" w:cs="宋体"/>
          <w:bCs/>
          <w:color w:val="auto"/>
          <w:sz w:val="24"/>
          <w:szCs w:val="24"/>
          <w:highlight w:val="none"/>
        </w:rPr>
      </w:pPr>
    </w:p>
    <w:p w14:paraId="403CCF47">
      <w:pPr>
        <w:spacing w:line="300" w:lineRule="auto"/>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购货方（甲方）                             供货方（乙方）</w:t>
      </w:r>
    </w:p>
    <w:tbl>
      <w:tblPr>
        <w:tblStyle w:val="59"/>
        <w:tblW w:w="9844" w:type="dxa"/>
        <w:tblInd w:w="-47" w:type="dxa"/>
        <w:tblLayout w:type="fixed"/>
        <w:tblCellMar>
          <w:top w:w="0" w:type="dxa"/>
          <w:left w:w="0" w:type="dxa"/>
          <w:bottom w:w="0" w:type="dxa"/>
          <w:right w:w="0" w:type="dxa"/>
        </w:tblCellMar>
      </w:tblPr>
      <w:tblGrid>
        <w:gridCol w:w="4965"/>
        <w:gridCol w:w="4879"/>
      </w:tblGrid>
      <w:tr w14:paraId="39591B26">
        <w:tblPrEx>
          <w:tblCellMar>
            <w:top w:w="0" w:type="dxa"/>
            <w:left w:w="0" w:type="dxa"/>
            <w:bottom w:w="0" w:type="dxa"/>
            <w:right w:w="0" w:type="dxa"/>
          </w:tblCellMar>
        </w:tblPrEx>
        <w:trPr>
          <w:trHeight w:val="567" w:hRule="atLeast"/>
        </w:trPr>
        <w:tc>
          <w:tcPr>
            <w:tcW w:w="4965" w:type="dxa"/>
            <w:tcBorders>
              <w:top w:val="nil"/>
              <w:left w:val="nil"/>
              <w:bottom w:val="nil"/>
              <w:right w:val="nil"/>
            </w:tcBorders>
            <w:vAlign w:val="center"/>
          </w:tcPr>
          <w:p w14:paraId="16ED0630">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r>
              <w:rPr>
                <w:rStyle w:val="258"/>
                <w:rFonts w:hint="eastAsia" w:ascii="宋体" w:hAnsi="宋体" w:cs="宋体"/>
                <w:b/>
                <w:color w:val="auto"/>
                <w:sz w:val="24"/>
                <w:szCs w:val="24"/>
                <w:highlight w:val="none"/>
                <w:lang w:eastAsia="zh-CN"/>
              </w:rPr>
              <w:t>重庆新隆信物业管理有限公司</w:t>
            </w:r>
            <w:r>
              <w:rPr>
                <w:rStyle w:val="258"/>
                <w:rFonts w:hint="eastAsia" w:ascii="宋体" w:hAnsi="宋体" w:cs="宋体"/>
                <w:b/>
                <w:color w:val="auto"/>
                <w:sz w:val="24"/>
                <w:szCs w:val="24"/>
                <w:highlight w:val="none"/>
              </w:rPr>
              <w:t xml:space="preserve"> </w:t>
            </w:r>
          </w:p>
        </w:tc>
        <w:tc>
          <w:tcPr>
            <w:tcW w:w="4879" w:type="dxa"/>
            <w:tcBorders>
              <w:top w:val="nil"/>
              <w:left w:val="nil"/>
              <w:bottom w:val="nil"/>
              <w:right w:val="nil"/>
            </w:tcBorders>
            <w:vAlign w:val="center"/>
          </w:tcPr>
          <w:p w14:paraId="22BEB204">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p>
        </w:tc>
      </w:tr>
      <w:tr w14:paraId="2326E166">
        <w:tblPrEx>
          <w:tblCellMar>
            <w:top w:w="0" w:type="dxa"/>
            <w:left w:w="0" w:type="dxa"/>
            <w:bottom w:w="0" w:type="dxa"/>
            <w:right w:w="0" w:type="dxa"/>
          </w:tblCellMar>
        </w:tblPrEx>
        <w:trPr>
          <w:trHeight w:val="575" w:hRule="atLeast"/>
        </w:trPr>
        <w:tc>
          <w:tcPr>
            <w:tcW w:w="4965" w:type="dxa"/>
            <w:tcBorders>
              <w:top w:val="nil"/>
              <w:left w:val="nil"/>
              <w:bottom w:val="nil"/>
              <w:right w:val="nil"/>
            </w:tcBorders>
            <w:vAlign w:val="center"/>
          </w:tcPr>
          <w:p w14:paraId="33E090E5">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c>
          <w:tcPr>
            <w:tcW w:w="4879" w:type="dxa"/>
            <w:tcBorders>
              <w:top w:val="nil"/>
              <w:left w:val="nil"/>
              <w:bottom w:val="nil"/>
              <w:right w:val="nil"/>
            </w:tcBorders>
            <w:vAlign w:val="center"/>
          </w:tcPr>
          <w:p w14:paraId="0E7F715C">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r>
      <w:tr w14:paraId="6690E554">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4639858B">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电话：</w:t>
            </w:r>
          </w:p>
        </w:tc>
        <w:tc>
          <w:tcPr>
            <w:tcW w:w="4879" w:type="dxa"/>
            <w:tcBorders>
              <w:top w:val="nil"/>
              <w:left w:val="nil"/>
              <w:bottom w:val="nil"/>
              <w:right w:val="nil"/>
            </w:tcBorders>
            <w:vAlign w:val="center"/>
          </w:tcPr>
          <w:p w14:paraId="43937F87">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 xml:space="preserve">电话： </w:t>
            </w:r>
          </w:p>
        </w:tc>
      </w:tr>
      <w:tr w14:paraId="6ED8E579">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637F69E0">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邮编： </w:t>
            </w:r>
          </w:p>
        </w:tc>
        <w:tc>
          <w:tcPr>
            <w:tcW w:w="4879" w:type="dxa"/>
            <w:tcBorders>
              <w:top w:val="nil"/>
              <w:left w:val="nil"/>
              <w:bottom w:val="nil"/>
              <w:right w:val="nil"/>
            </w:tcBorders>
            <w:vAlign w:val="center"/>
          </w:tcPr>
          <w:p w14:paraId="123B4E71">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邮编：</w:t>
            </w:r>
          </w:p>
        </w:tc>
      </w:tr>
      <w:tr w14:paraId="4D8440D8">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61A4B472">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c>
          <w:tcPr>
            <w:tcW w:w="4879" w:type="dxa"/>
            <w:tcBorders>
              <w:top w:val="nil"/>
              <w:left w:val="nil"/>
              <w:bottom w:val="nil"/>
              <w:right w:val="nil"/>
            </w:tcBorders>
            <w:vAlign w:val="center"/>
          </w:tcPr>
          <w:p w14:paraId="078E5B8B">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r>
      <w:tr w14:paraId="628E8A1A">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32B9B19B">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银行帐号： </w:t>
            </w:r>
          </w:p>
        </w:tc>
        <w:tc>
          <w:tcPr>
            <w:tcW w:w="4879" w:type="dxa"/>
            <w:tcBorders>
              <w:top w:val="nil"/>
              <w:left w:val="nil"/>
              <w:bottom w:val="nil"/>
              <w:right w:val="nil"/>
            </w:tcBorders>
            <w:vAlign w:val="center"/>
          </w:tcPr>
          <w:p w14:paraId="1F3EC5EB">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银行帐号：</w:t>
            </w:r>
          </w:p>
        </w:tc>
      </w:tr>
      <w:tr w14:paraId="3A0F71CA">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7CC95F88">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c>
          <w:tcPr>
            <w:tcW w:w="4879" w:type="dxa"/>
            <w:tcBorders>
              <w:top w:val="nil"/>
              <w:left w:val="nil"/>
              <w:bottom w:val="nil"/>
              <w:right w:val="nil"/>
            </w:tcBorders>
            <w:vAlign w:val="center"/>
          </w:tcPr>
          <w:p w14:paraId="3A7EC799">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r>
      <w:tr w14:paraId="210A9CF7">
        <w:tblPrEx>
          <w:tblCellMar>
            <w:top w:w="0" w:type="dxa"/>
            <w:left w:w="0" w:type="dxa"/>
            <w:bottom w:w="0" w:type="dxa"/>
            <w:right w:w="0" w:type="dxa"/>
          </w:tblCellMar>
        </w:tblPrEx>
        <w:trPr>
          <w:trHeight w:val="478" w:hRule="atLeast"/>
        </w:trPr>
        <w:tc>
          <w:tcPr>
            <w:tcW w:w="4965" w:type="dxa"/>
            <w:tcBorders>
              <w:top w:val="nil"/>
              <w:left w:val="nil"/>
              <w:bottom w:val="nil"/>
              <w:right w:val="nil"/>
            </w:tcBorders>
            <w:vAlign w:val="center"/>
          </w:tcPr>
          <w:p w14:paraId="1EEF4A21">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项目联系人及电话：</w:t>
            </w:r>
          </w:p>
        </w:tc>
        <w:tc>
          <w:tcPr>
            <w:tcW w:w="4879" w:type="dxa"/>
            <w:tcBorders>
              <w:top w:val="nil"/>
              <w:left w:val="nil"/>
              <w:bottom w:val="nil"/>
              <w:right w:val="nil"/>
            </w:tcBorders>
            <w:vAlign w:val="center"/>
          </w:tcPr>
          <w:p w14:paraId="365777AF">
            <w:pPr>
              <w:keepNext w:val="0"/>
              <w:keepLines w:val="0"/>
              <w:suppressLineNumbers w:val="0"/>
              <w:spacing w:before="0" w:beforeAutospacing="0" w:after="0" w:afterAutospacing="0" w:line="240" w:lineRule="exact"/>
              <w:ind w:left="0" w:right="0"/>
              <w:jc w:val="left"/>
              <w:textAlignment w:val="center"/>
              <w:rPr>
                <w:rStyle w:val="258"/>
                <w:rFonts w:hint="default"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项目联系人及电话： </w:t>
            </w:r>
          </w:p>
        </w:tc>
      </w:tr>
    </w:tbl>
    <w:p w14:paraId="7B8F2FF2">
      <w:pPr>
        <w:spacing w:line="480" w:lineRule="exact"/>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 xml:space="preserve">   </w:t>
      </w:r>
    </w:p>
    <w:p w14:paraId="3D4F1CF2">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甲方盖章：                          乙方盖章：</w:t>
      </w:r>
    </w:p>
    <w:p w14:paraId="65EBDCD3">
      <w:pPr>
        <w:rPr>
          <w:rStyle w:val="258"/>
          <w:rFonts w:ascii="宋体" w:hAnsi="宋体" w:cs="宋体"/>
          <w:b/>
          <w:color w:val="auto"/>
          <w:sz w:val="24"/>
          <w:szCs w:val="24"/>
          <w:highlight w:val="none"/>
        </w:rPr>
      </w:pPr>
    </w:p>
    <w:p w14:paraId="22F5B4FA">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甲方法定代表人或                    乙方法定代表人或</w:t>
      </w:r>
    </w:p>
    <w:p w14:paraId="69EAAA45">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委托代理人签字：                    委托代理人签字：</w:t>
      </w:r>
      <w:r>
        <w:rPr>
          <w:rStyle w:val="258"/>
          <w:rFonts w:hint="eastAsia" w:ascii="宋体" w:hAnsi="宋体" w:cs="宋体"/>
          <w:b/>
          <w:color w:val="auto"/>
          <w:sz w:val="24"/>
          <w:szCs w:val="24"/>
          <w:highlight w:val="none"/>
          <w:u w:val="single" w:color="000000"/>
        </w:rPr>
        <w:t xml:space="preserve">                     </w:t>
      </w:r>
    </w:p>
    <w:p w14:paraId="01060C0D">
      <w:pPr>
        <w:rPr>
          <w:rStyle w:val="258"/>
          <w:rFonts w:ascii="宋体" w:hAnsi="宋体" w:cs="宋体"/>
          <w:b/>
          <w:color w:val="auto"/>
          <w:sz w:val="24"/>
          <w:szCs w:val="24"/>
          <w:highlight w:val="none"/>
          <w:u w:val="single" w:color="000000"/>
        </w:rPr>
      </w:pPr>
    </w:p>
    <w:p w14:paraId="7619BC30">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rPr>
        <w:t xml:space="preserve">      </w:t>
      </w:r>
      <w:r>
        <w:rPr>
          <w:rStyle w:val="258"/>
          <w:rFonts w:hint="eastAsia" w:ascii="宋体" w:hAnsi="宋体" w:cs="宋体"/>
          <w:b/>
          <w:color w:val="auto"/>
          <w:sz w:val="24"/>
          <w:szCs w:val="24"/>
          <w:highlight w:val="none"/>
        </w:rPr>
        <w:t xml:space="preserve">日              </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日</w:t>
      </w:r>
    </w:p>
    <w:p w14:paraId="2BD81E12">
      <w:pPr>
        <w:spacing w:line="360" w:lineRule="auto"/>
        <w:rPr>
          <w:rStyle w:val="258"/>
          <w:rFonts w:ascii="宋体" w:hAnsi="宋体" w:cs="宋体"/>
          <w:color w:val="auto"/>
          <w:szCs w:val="28"/>
          <w:highlight w:val="none"/>
        </w:rPr>
      </w:pPr>
      <w:r>
        <w:rPr>
          <w:rStyle w:val="258"/>
          <w:rFonts w:hint="eastAsia" w:ascii="宋体" w:hAnsi="宋体" w:cs="宋体"/>
          <w:color w:val="auto"/>
          <w:szCs w:val="28"/>
          <w:highlight w:val="none"/>
        </w:rPr>
        <w:t xml:space="preserve">      </w:t>
      </w:r>
    </w:p>
    <w:p w14:paraId="7EB89F3E">
      <w:pPr>
        <w:spacing w:line="360" w:lineRule="auto"/>
        <w:rPr>
          <w:rStyle w:val="258"/>
          <w:rFonts w:ascii="宋体" w:hAnsi="宋体" w:cs="宋体"/>
          <w:color w:val="auto"/>
          <w:szCs w:val="28"/>
          <w:highlight w:val="none"/>
        </w:rPr>
      </w:pPr>
    </w:p>
    <w:p w14:paraId="311B893F">
      <w:pPr>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br w:type="page"/>
      </w:r>
    </w:p>
    <w:p w14:paraId="0EA471FF">
      <w:pPr>
        <w:spacing w:line="420" w:lineRule="exact"/>
        <w:ind w:firstLine="480" w:firstLineChars="200"/>
        <w:rPr>
          <w:rStyle w:val="258"/>
          <w:rFonts w:ascii="宋体" w:hAnsi="宋体" w:cs="宋体"/>
          <w:b/>
          <w:color w:val="auto"/>
          <w:sz w:val="24"/>
          <w:szCs w:val="24"/>
          <w:highlight w:val="none"/>
          <w:u w:val="single" w:color="000000"/>
        </w:rPr>
      </w:pPr>
      <w:r>
        <w:rPr>
          <w:rStyle w:val="258"/>
          <w:rFonts w:hint="eastAsia" w:ascii="宋体" w:hAnsi="宋体" w:cs="宋体"/>
          <w:color w:val="auto"/>
          <w:sz w:val="24"/>
          <w:szCs w:val="24"/>
          <w:highlight w:val="none"/>
        </w:rPr>
        <w:t>甲乙双方本着自愿、友好、平等协商的原则，依据《中华人民共和国民法典》等相关法律规定，就甲方向乙方采购货物事宜达成如下条款，希双方共同遵守：</w:t>
      </w:r>
    </w:p>
    <w:p w14:paraId="42ECDF8D">
      <w:pPr>
        <w:tabs>
          <w:tab w:val="left" w:pos="0"/>
        </w:tabs>
        <w:spacing w:line="420" w:lineRule="exact"/>
        <w:ind w:firstLine="482" w:firstLineChars="200"/>
        <w:rPr>
          <w:rStyle w:val="258"/>
          <w:rFonts w:ascii="宋体" w:hAnsi="宋体" w:cs="宋体"/>
          <w:b/>
          <w:color w:val="auto"/>
          <w:sz w:val="24"/>
          <w:szCs w:val="24"/>
          <w:highlight w:val="none"/>
          <w:u w:val="single" w:color="000000"/>
        </w:rPr>
      </w:pPr>
      <w:r>
        <w:rPr>
          <w:rStyle w:val="258"/>
          <w:rFonts w:hint="eastAsia" w:ascii="宋体" w:hAnsi="宋体" w:cs="宋体"/>
          <w:b/>
          <w:color w:val="auto"/>
          <w:sz w:val="24"/>
          <w:szCs w:val="24"/>
          <w:highlight w:val="none"/>
        </w:rPr>
        <w:t>一、送货项目名称：</w:t>
      </w:r>
      <w:r>
        <w:rPr>
          <w:rStyle w:val="258"/>
          <w:rFonts w:hint="eastAsia" w:ascii="宋体" w:hAnsi="宋体" w:cs="宋体"/>
          <w:b/>
          <w:color w:val="auto"/>
          <w:sz w:val="24"/>
          <w:szCs w:val="24"/>
          <w:highlight w:val="none"/>
          <w:u w:val="single"/>
        </w:rPr>
        <w:t xml:space="preserve">                  </w:t>
      </w:r>
    </w:p>
    <w:p w14:paraId="4AC3AA61">
      <w:pPr>
        <w:spacing w:line="420" w:lineRule="exact"/>
        <w:ind w:firstLine="482" w:firstLineChars="2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二、货物名称、技术参数、计量单位、单价：</w:t>
      </w:r>
    </w:p>
    <w:tbl>
      <w:tblPr>
        <w:tblStyle w:val="59"/>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805"/>
        <w:gridCol w:w="1649"/>
        <w:gridCol w:w="1213"/>
        <w:gridCol w:w="1399"/>
        <w:gridCol w:w="1489"/>
        <w:gridCol w:w="1743"/>
      </w:tblGrid>
      <w:tr w14:paraId="483B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72FDC244">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427DBF18">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货物名称</w:t>
            </w:r>
          </w:p>
        </w:tc>
        <w:tc>
          <w:tcPr>
            <w:tcW w:w="1649" w:type="dxa"/>
            <w:tcBorders>
              <w:top w:val="single" w:color="000000" w:sz="4" w:space="0"/>
              <w:left w:val="single" w:color="000000" w:sz="4" w:space="0"/>
              <w:bottom w:val="single" w:color="000000" w:sz="4" w:space="0"/>
              <w:right w:val="single" w:color="000000" w:sz="4" w:space="0"/>
            </w:tcBorders>
            <w:vAlign w:val="center"/>
          </w:tcPr>
          <w:p w14:paraId="23F53471">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color w:val="auto"/>
                <w:sz w:val="24"/>
                <w:szCs w:val="24"/>
                <w:highlight w:val="none"/>
              </w:rPr>
              <w:t>技术参数</w:t>
            </w:r>
          </w:p>
        </w:tc>
        <w:tc>
          <w:tcPr>
            <w:tcW w:w="1213" w:type="dxa"/>
            <w:tcBorders>
              <w:top w:val="single" w:color="000000" w:sz="4" w:space="0"/>
              <w:left w:val="single" w:color="000000" w:sz="4" w:space="0"/>
              <w:bottom w:val="single" w:color="000000" w:sz="4" w:space="0"/>
              <w:right w:val="single" w:color="000000" w:sz="4" w:space="0"/>
            </w:tcBorders>
            <w:vAlign w:val="center"/>
          </w:tcPr>
          <w:p w14:paraId="3B871165">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单位</w:t>
            </w:r>
          </w:p>
        </w:tc>
        <w:tc>
          <w:tcPr>
            <w:tcW w:w="1399" w:type="dxa"/>
            <w:tcBorders>
              <w:top w:val="single" w:color="000000" w:sz="4" w:space="0"/>
              <w:left w:val="single" w:color="000000" w:sz="4" w:space="0"/>
              <w:bottom w:val="single" w:color="000000" w:sz="4" w:space="0"/>
              <w:right w:val="single" w:color="000000" w:sz="4" w:space="0"/>
            </w:tcBorders>
            <w:vAlign w:val="center"/>
          </w:tcPr>
          <w:p w14:paraId="359A76AC">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数量</w:t>
            </w:r>
          </w:p>
        </w:tc>
        <w:tc>
          <w:tcPr>
            <w:tcW w:w="1489" w:type="dxa"/>
            <w:tcBorders>
              <w:top w:val="single" w:color="000000" w:sz="4" w:space="0"/>
              <w:left w:val="single" w:color="000000" w:sz="4" w:space="0"/>
              <w:bottom w:val="single" w:color="000000" w:sz="4" w:space="0"/>
              <w:right w:val="single" w:color="000000" w:sz="4" w:space="0"/>
            </w:tcBorders>
            <w:vAlign w:val="center"/>
          </w:tcPr>
          <w:p w14:paraId="2EFE1887">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单价（元）</w:t>
            </w:r>
          </w:p>
        </w:tc>
        <w:tc>
          <w:tcPr>
            <w:tcW w:w="1743" w:type="dxa"/>
            <w:tcBorders>
              <w:top w:val="single" w:color="000000" w:sz="4" w:space="0"/>
              <w:left w:val="single" w:color="000000" w:sz="4" w:space="0"/>
              <w:bottom w:val="single" w:color="000000" w:sz="4" w:space="0"/>
              <w:right w:val="single" w:color="000000" w:sz="4" w:space="0"/>
            </w:tcBorders>
            <w:vAlign w:val="center"/>
          </w:tcPr>
          <w:p w14:paraId="41A82D23">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小计（元）</w:t>
            </w:r>
          </w:p>
        </w:tc>
      </w:tr>
      <w:tr w14:paraId="2830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55F6F186">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4697576">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DD50E08">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E9A7FD">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627E75FB">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6E027168">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3E896190">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r>
      <w:tr w14:paraId="7762B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4D1A4168">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5B27ECF5">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533D00D">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76CA6C3">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5E02817D">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2EAA51F4">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262B08EE">
            <w:pPr>
              <w:keepNext w:val="0"/>
              <w:keepLines w:val="0"/>
              <w:suppressLineNumbers w:val="0"/>
              <w:spacing w:before="0" w:beforeAutospacing="0" w:after="0" w:afterAutospacing="0" w:line="500" w:lineRule="exact"/>
              <w:ind w:left="0" w:right="0"/>
              <w:jc w:val="center"/>
              <w:rPr>
                <w:rStyle w:val="258"/>
                <w:rFonts w:hint="default" w:ascii="宋体" w:hAnsi="宋体" w:cs="宋体"/>
                <w:color w:val="auto"/>
                <w:sz w:val="24"/>
                <w:szCs w:val="24"/>
                <w:highlight w:val="none"/>
              </w:rPr>
            </w:pPr>
          </w:p>
        </w:tc>
      </w:tr>
      <w:tr w14:paraId="447B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573" w:type="dxa"/>
            <w:gridSpan w:val="2"/>
            <w:tcBorders>
              <w:top w:val="single" w:color="000000" w:sz="4" w:space="0"/>
              <w:left w:val="single" w:color="000000" w:sz="4" w:space="0"/>
              <w:bottom w:val="single" w:color="000000" w:sz="4" w:space="0"/>
              <w:right w:val="single" w:color="000000" w:sz="4" w:space="0"/>
            </w:tcBorders>
            <w:vAlign w:val="center"/>
          </w:tcPr>
          <w:p w14:paraId="4B3B648B">
            <w:pPr>
              <w:keepNext w:val="0"/>
              <w:keepLines w:val="0"/>
              <w:suppressLineNumbers w:val="0"/>
              <w:spacing w:before="0" w:beforeAutospacing="0" w:after="0" w:afterAutospacing="0" w:line="500" w:lineRule="exact"/>
              <w:ind w:left="0" w:right="0"/>
              <w:jc w:val="center"/>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 xml:space="preserve">合同金额   </w:t>
            </w:r>
          </w:p>
        </w:tc>
        <w:tc>
          <w:tcPr>
            <w:tcW w:w="7493" w:type="dxa"/>
            <w:gridSpan w:val="5"/>
            <w:tcBorders>
              <w:top w:val="single" w:color="000000" w:sz="4" w:space="0"/>
              <w:left w:val="single" w:color="000000" w:sz="4" w:space="0"/>
              <w:bottom w:val="single" w:color="000000" w:sz="4" w:space="0"/>
              <w:right w:val="single" w:color="000000" w:sz="4" w:space="0"/>
            </w:tcBorders>
            <w:vAlign w:val="center"/>
          </w:tcPr>
          <w:p w14:paraId="78700A2B">
            <w:pPr>
              <w:keepNext w:val="0"/>
              <w:keepLines w:val="0"/>
              <w:suppressLineNumbers w:val="0"/>
              <w:spacing w:before="0" w:beforeAutospacing="0" w:after="0" w:afterAutospacing="0" w:line="500" w:lineRule="exact"/>
              <w:ind w:left="0" w:right="0"/>
              <w:rPr>
                <w:rStyle w:val="258"/>
                <w:rFonts w:hint="default" w:ascii="宋体" w:hAnsi="宋体" w:cs="宋体"/>
                <w:b/>
                <w:bCs/>
                <w:color w:val="auto"/>
                <w:sz w:val="24"/>
                <w:szCs w:val="24"/>
                <w:highlight w:val="none"/>
              </w:rPr>
            </w:pPr>
            <w:r>
              <w:rPr>
                <w:rStyle w:val="258"/>
                <w:rFonts w:hint="eastAsia" w:ascii="宋体" w:hAnsi="宋体" w:cs="宋体"/>
                <w:b/>
                <w:bCs/>
                <w:color w:val="auto"/>
                <w:sz w:val="24"/>
                <w:szCs w:val="24"/>
                <w:highlight w:val="none"/>
              </w:rPr>
              <w:t>人民币小写：        大写：</w:t>
            </w:r>
          </w:p>
        </w:tc>
      </w:tr>
    </w:tbl>
    <w:p w14:paraId="78D469A2">
      <w:pPr>
        <w:spacing w:line="400" w:lineRule="exact"/>
        <w:ind w:firstLine="420"/>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具体订货量以及交货时间以书面、短信、微信等方式确认，成交量以</w:t>
      </w:r>
      <w:r>
        <w:rPr>
          <w:rStyle w:val="67"/>
          <w:rFonts w:hint="eastAsia" w:ascii="宋体" w:hAnsi="宋体" w:cs="宋体"/>
          <w:color w:val="auto"/>
          <w:sz w:val="24"/>
          <w:szCs w:val="24"/>
          <w:highlight w:val="none"/>
        </w:rPr>
        <w:t>甲方现场专管人员对</w:t>
      </w:r>
      <w:r>
        <w:rPr>
          <w:rStyle w:val="258"/>
          <w:rFonts w:hint="eastAsia" w:ascii="宋体" w:hAnsi="宋体" w:cs="宋体"/>
          <w:color w:val="auto"/>
          <w:sz w:val="24"/>
          <w:szCs w:val="24"/>
          <w:highlight w:val="none"/>
        </w:rPr>
        <w:t>乙方送货单或对账单</w:t>
      </w:r>
      <w:r>
        <w:rPr>
          <w:rStyle w:val="67"/>
          <w:rFonts w:hint="eastAsia" w:ascii="宋体" w:hAnsi="宋体" w:cs="宋体"/>
          <w:color w:val="auto"/>
          <w:sz w:val="24"/>
          <w:szCs w:val="24"/>
          <w:highlight w:val="none"/>
        </w:rPr>
        <w:t>签字盖章</w:t>
      </w:r>
      <w:r>
        <w:rPr>
          <w:rStyle w:val="258"/>
          <w:rFonts w:hint="eastAsia" w:ascii="宋体" w:hAnsi="宋体" w:cs="宋体"/>
          <w:color w:val="auto"/>
          <w:sz w:val="24"/>
          <w:szCs w:val="24"/>
          <w:highlight w:val="none"/>
        </w:rPr>
        <w:t>为准。以上单价均为含增值税发票（税率</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%，随国家政策调整）、前期电梯安全评估费</w:t>
      </w:r>
      <w:r>
        <w:rPr>
          <w:rStyle w:val="258"/>
          <w:rFonts w:hint="eastAsia" w:ascii="宋体" w:hAnsi="宋体" w:cs="宋体"/>
          <w:color w:val="auto"/>
          <w:sz w:val="24"/>
          <w:szCs w:val="24"/>
          <w:highlight w:val="none"/>
          <w:lang w:eastAsia="zh-CN"/>
        </w:rPr>
        <w:t>（</w:t>
      </w:r>
      <w:r>
        <w:rPr>
          <w:rStyle w:val="258"/>
          <w:rFonts w:hint="eastAsia" w:ascii="宋体" w:hAnsi="宋体" w:cs="宋体"/>
          <w:color w:val="auto"/>
          <w:sz w:val="24"/>
          <w:szCs w:val="24"/>
          <w:highlight w:val="none"/>
          <w:lang w:val="en-US" w:eastAsia="zh-CN"/>
        </w:rPr>
        <w:t>如有</w:t>
      </w:r>
      <w:r>
        <w:rPr>
          <w:rStyle w:val="258"/>
          <w:rFonts w:hint="eastAsia" w:ascii="宋体" w:hAnsi="宋体" w:cs="宋体"/>
          <w:color w:val="auto"/>
          <w:sz w:val="24"/>
          <w:szCs w:val="24"/>
          <w:highlight w:val="none"/>
          <w:lang w:eastAsia="zh-CN"/>
        </w:rPr>
        <w:t>）、</w:t>
      </w:r>
      <w:r>
        <w:rPr>
          <w:rStyle w:val="258"/>
          <w:rFonts w:hint="eastAsia" w:ascii="宋体" w:hAnsi="宋体" w:cs="宋体"/>
          <w:color w:val="auto"/>
          <w:sz w:val="24"/>
          <w:szCs w:val="24"/>
          <w:highlight w:val="none"/>
        </w:rPr>
        <w:t>招标代理服务费</w:t>
      </w:r>
      <w:r>
        <w:rPr>
          <w:rStyle w:val="258"/>
          <w:rFonts w:hint="eastAsia" w:ascii="宋体" w:hAnsi="宋体" w:cs="宋体"/>
          <w:color w:val="auto"/>
          <w:sz w:val="24"/>
          <w:szCs w:val="24"/>
          <w:highlight w:val="none"/>
          <w:lang w:val="en-US" w:eastAsia="zh-CN"/>
        </w:rPr>
        <w:t>10</w:t>
      </w:r>
      <w:r>
        <w:rPr>
          <w:rStyle w:val="258"/>
          <w:rFonts w:hint="eastAsia" w:ascii="宋体" w:hAnsi="宋体" w:cs="宋体"/>
          <w:color w:val="auto"/>
          <w:sz w:val="24"/>
          <w:szCs w:val="24"/>
          <w:highlight w:val="none"/>
        </w:rPr>
        <w:t>00元、设备购买费、运输费、装卸费、保险费、安装调试费、现有电梯设备拆除工时费、人工费、税费、培训费、验收全过程直至取得质量技术监督部门验收合格发出运行许可证交付给采购人使用、质保期内的质保及维保售后服务工作等完成项目的所有费用减去旧梯残值费后的金额。采购人除此以外不支付其它费用。</w:t>
      </w:r>
    </w:p>
    <w:p w14:paraId="1D4D34F1">
      <w:pPr>
        <w:spacing w:line="400" w:lineRule="exact"/>
        <w:ind w:firstLine="420"/>
        <w:rPr>
          <w:b/>
          <w:bCs/>
          <w:color w:val="auto"/>
          <w:sz w:val="24"/>
          <w:szCs w:val="24"/>
          <w:highlight w:val="none"/>
        </w:rPr>
      </w:pPr>
      <w:bookmarkStart w:id="212" w:name="_Toc16865"/>
      <w:bookmarkStart w:id="213" w:name="_Toc10098"/>
      <w:bookmarkStart w:id="214" w:name="_Toc22065"/>
      <w:r>
        <w:rPr>
          <w:rFonts w:hint="eastAsia"/>
          <w:b/>
          <w:bCs/>
          <w:color w:val="auto"/>
          <w:sz w:val="24"/>
          <w:szCs w:val="24"/>
          <w:highlight w:val="none"/>
        </w:rPr>
        <w:t>三、货物交付：</w:t>
      </w:r>
      <w:bookmarkEnd w:id="212"/>
      <w:bookmarkEnd w:id="213"/>
      <w:bookmarkEnd w:id="214"/>
      <w:r>
        <w:rPr>
          <w:rFonts w:hint="eastAsia"/>
          <w:b/>
          <w:bCs/>
          <w:color w:val="auto"/>
          <w:sz w:val="24"/>
          <w:szCs w:val="24"/>
          <w:highlight w:val="none"/>
        </w:rPr>
        <w:t xml:space="preserve"> </w:t>
      </w:r>
    </w:p>
    <w:p w14:paraId="68042BED">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15" w:name="_Toc10029"/>
      <w:bookmarkStart w:id="216" w:name="_Toc13562"/>
      <w:bookmarkStart w:id="217" w:name="_Toc26907"/>
      <w:r>
        <w:rPr>
          <w:rStyle w:val="258"/>
          <w:rFonts w:hint="eastAsia" w:ascii="宋体" w:hAnsi="宋体" w:cs="宋体"/>
          <w:color w:val="auto"/>
          <w:sz w:val="24"/>
          <w:szCs w:val="24"/>
          <w:highlight w:val="none"/>
        </w:rPr>
        <w:t>1、交货时间：</w:t>
      </w:r>
      <w:bookmarkEnd w:id="215"/>
      <w:bookmarkEnd w:id="216"/>
      <w:bookmarkEnd w:id="217"/>
      <w:r>
        <w:rPr>
          <w:rStyle w:val="258"/>
          <w:rFonts w:hint="eastAsia" w:ascii="宋体" w:hAnsi="宋体" w:cs="宋体"/>
          <w:color w:val="auto"/>
          <w:sz w:val="24"/>
          <w:szCs w:val="24"/>
          <w:highlight w:val="none"/>
        </w:rPr>
        <w:t>自本合同签订生效之日起，乙方按甲方要求安排订货并进场施工。</w:t>
      </w:r>
    </w:p>
    <w:p w14:paraId="66A62D6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2、包装标准：按乙方出厂标准执行，由乙方负责交货时的产品完好。</w:t>
      </w:r>
    </w:p>
    <w:p w14:paraId="7EC8DE80">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lang w:val="en-IE"/>
        </w:rPr>
      </w:pPr>
      <w:bookmarkStart w:id="218" w:name="_Toc20037"/>
      <w:bookmarkStart w:id="219" w:name="_Toc19335"/>
      <w:bookmarkStart w:id="220" w:name="_Toc21265"/>
      <w:r>
        <w:rPr>
          <w:rStyle w:val="258"/>
          <w:rFonts w:hint="eastAsia" w:ascii="宋体" w:hAnsi="宋体" w:cs="宋体"/>
          <w:color w:val="auto"/>
          <w:sz w:val="24"/>
          <w:szCs w:val="24"/>
          <w:highlight w:val="none"/>
        </w:rPr>
        <w:t>3、交（提）货方式及地点：</w:t>
      </w:r>
      <w:bookmarkEnd w:id="218"/>
      <w:bookmarkEnd w:id="219"/>
      <w:bookmarkEnd w:id="220"/>
    </w:p>
    <w:p w14:paraId="7E75E4DB">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（1）交货地点和收货人姓名：交货地点：</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 </w:t>
      </w:r>
    </w:p>
    <w:p w14:paraId="5DA6A821">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收货人姓名：</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 xml:space="preserve"> 。</w:t>
      </w:r>
    </w:p>
    <w:p w14:paraId="39FCAA7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（2）运输：乙方将货物运输至项目现场。</w:t>
      </w:r>
    </w:p>
    <w:p w14:paraId="7065B76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（3）下列情形除外：</w:t>
      </w:r>
    </w:p>
    <w:p w14:paraId="7A332AF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A、甲方项目在本合同交货地点时，根据现场的需求提供货源，保质保量运送到甲方指定地点。</w:t>
      </w:r>
    </w:p>
    <w:p w14:paraId="62D0F1AF">
      <w:pPr>
        <w:widowControl/>
        <w:adjustRightInd w:val="0"/>
        <w:spacing w:line="400" w:lineRule="exact"/>
        <w:ind w:firstLine="456" w:firstLineChars="200"/>
        <w:textAlignment w:val="baseline"/>
        <w:rPr>
          <w:rStyle w:val="258"/>
          <w:rFonts w:ascii="宋体" w:hAnsi="宋体" w:cs="宋体"/>
          <w:color w:val="auto"/>
          <w:spacing w:val="-6"/>
          <w:sz w:val="24"/>
          <w:szCs w:val="24"/>
          <w:highlight w:val="none"/>
        </w:rPr>
      </w:pPr>
      <w:r>
        <w:rPr>
          <w:rStyle w:val="258"/>
          <w:rFonts w:hint="eastAsia" w:ascii="宋体" w:hAnsi="宋体" w:cs="宋体"/>
          <w:color w:val="auto"/>
          <w:spacing w:val="-6"/>
          <w:sz w:val="24"/>
          <w:szCs w:val="24"/>
          <w:highlight w:val="none"/>
        </w:rPr>
        <w:t>B、</w:t>
      </w:r>
      <w:r>
        <w:rPr>
          <w:rFonts w:hint="eastAsia" w:ascii="宋体" w:hAnsi="宋体" w:cs="宋体"/>
          <w:color w:val="auto"/>
          <w:sz w:val="24"/>
          <w:szCs w:val="24"/>
          <w:highlight w:val="none"/>
        </w:rPr>
        <w:t>甲方验收合格并接受货物之前，货物毁损、灭失等风险不发生转移。</w:t>
      </w:r>
    </w:p>
    <w:p w14:paraId="0BE092AD">
      <w:pPr>
        <w:spacing w:line="400" w:lineRule="exact"/>
        <w:ind w:firstLine="420"/>
        <w:rPr>
          <w:b/>
          <w:bCs/>
          <w:color w:val="auto"/>
          <w:sz w:val="24"/>
          <w:szCs w:val="24"/>
          <w:highlight w:val="none"/>
        </w:rPr>
      </w:pPr>
      <w:bookmarkStart w:id="221" w:name="_Toc32697"/>
      <w:bookmarkStart w:id="222" w:name="_Toc7375"/>
      <w:bookmarkStart w:id="223" w:name="_Toc462"/>
      <w:r>
        <w:rPr>
          <w:rFonts w:hint="eastAsia"/>
          <w:b/>
          <w:bCs/>
          <w:color w:val="auto"/>
          <w:sz w:val="24"/>
          <w:szCs w:val="24"/>
          <w:highlight w:val="none"/>
        </w:rPr>
        <w:t>四、货物的验收：</w:t>
      </w:r>
      <w:bookmarkEnd w:id="221"/>
      <w:bookmarkEnd w:id="222"/>
      <w:bookmarkEnd w:id="223"/>
    </w:p>
    <w:p w14:paraId="0E2C5A93">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1、乙方保证所供材料的品质及数量。甲方对所供货物标准包装进行随机抽样。</w:t>
      </w:r>
    </w:p>
    <w:p w14:paraId="58973FE7">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2、乙方在甲方约定时间内交货。乙方对甲方验收有异议时，有权复验。</w:t>
      </w:r>
    </w:p>
    <w:p w14:paraId="3E93F15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3、在交货地点由甲、乙双方同时在场情况下进行货物验收。</w:t>
      </w:r>
      <w:r>
        <w:rPr>
          <w:rFonts w:hint="eastAsia" w:ascii="宋体" w:hAnsi="宋体" w:cs="宋体"/>
          <w:color w:val="auto"/>
          <w:sz w:val="24"/>
          <w:szCs w:val="24"/>
          <w:highlight w:val="none"/>
        </w:rPr>
        <w:t>甲方仅对货物的数量和外观进行检验,并不因此减轻或免除乙方所应承担的质量保证责任。</w:t>
      </w:r>
      <w:r>
        <w:rPr>
          <w:rStyle w:val="258"/>
          <w:rFonts w:hint="eastAsia" w:ascii="宋体" w:hAnsi="宋体" w:cs="宋体"/>
          <w:color w:val="auto"/>
          <w:sz w:val="24"/>
          <w:szCs w:val="24"/>
          <w:highlight w:val="none"/>
        </w:rPr>
        <w:t>乙方货物到场，甲方应在24小时内验收签字确认，质量异议甲方应当在收货后三日内提出，</w:t>
      </w:r>
      <w:r>
        <w:rPr>
          <w:rFonts w:hint="eastAsia" w:ascii="宋体" w:hAnsi="宋体" w:cs="宋体"/>
          <w:color w:val="auto"/>
          <w:sz w:val="24"/>
          <w:szCs w:val="24"/>
          <w:highlight w:val="none"/>
        </w:rPr>
        <w:t>乙方对货物的质量保证责任不因甲方是否提出异议而免除</w:t>
      </w:r>
      <w:r>
        <w:rPr>
          <w:rStyle w:val="258"/>
          <w:rFonts w:hint="eastAsia" w:ascii="宋体" w:hAnsi="宋体" w:cs="宋体"/>
          <w:color w:val="auto"/>
          <w:sz w:val="24"/>
          <w:szCs w:val="24"/>
          <w:highlight w:val="none"/>
        </w:rPr>
        <w:t>。</w:t>
      </w:r>
    </w:p>
    <w:p w14:paraId="77E02F6C">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4、乙方提供产品合格证、检验、检测报告。产品质量符合乙方企业标准及国家合格标准，</w:t>
      </w:r>
      <w:r>
        <w:rPr>
          <w:rFonts w:hint="eastAsia" w:ascii="宋体" w:hAnsi="宋体" w:cs="宋体"/>
          <w:color w:val="auto"/>
          <w:sz w:val="24"/>
          <w:szCs w:val="24"/>
          <w:highlight w:val="none"/>
        </w:rPr>
        <w:t>否则视为乙方违约。</w:t>
      </w:r>
    </w:p>
    <w:p w14:paraId="0B3C930C">
      <w:pPr>
        <w:spacing w:line="400" w:lineRule="exact"/>
        <w:ind w:firstLine="420"/>
        <w:rPr>
          <w:b/>
          <w:bCs/>
          <w:color w:val="auto"/>
          <w:sz w:val="24"/>
          <w:szCs w:val="24"/>
          <w:highlight w:val="none"/>
        </w:rPr>
      </w:pPr>
      <w:bookmarkStart w:id="224" w:name="_Toc29062"/>
      <w:bookmarkStart w:id="225" w:name="_Toc7090"/>
      <w:bookmarkStart w:id="226" w:name="_Toc19293"/>
      <w:r>
        <w:rPr>
          <w:rFonts w:hint="eastAsia"/>
          <w:b/>
          <w:bCs/>
          <w:color w:val="auto"/>
          <w:sz w:val="24"/>
          <w:szCs w:val="24"/>
          <w:highlight w:val="none"/>
        </w:rPr>
        <w:t>五、结算方式：</w:t>
      </w:r>
      <w:bookmarkEnd w:id="224"/>
      <w:bookmarkEnd w:id="225"/>
      <w:bookmarkEnd w:id="226"/>
    </w:p>
    <w:p w14:paraId="4BC29C91">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27" w:name="_Toc29916"/>
      <w:bookmarkStart w:id="228" w:name="_Toc32078"/>
      <w:bookmarkStart w:id="229" w:name="_Toc13571"/>
      <w:r>
        <w:rPr>
          <w:rStyle w:val="258"/>
          <w:rFonts w:hint="eastAsia" w:ascii="宋体" w:hAnsi="宋体" w:cs="宋体"/>
          <w:color w:val="auto"/>
          <w:sz w:val="24"/>
          <w:szCs w:val="24"/>
          <w:highlight w:val="none"/>
        </w:rPr>
        <w:t>1、结算方式：</w:t>
      </w:r>
      <w:r>
        <w:rPr>
          <w:rStyle w:val="258"/>
          <w:rFonts w:hint="eastAsia" w:ascii="宋体" w:hAnsi="宋体" w:cs="宋体"/>
          <w:color w:val="auto"/>
          <w:sz w:val="24"/>
          <w:szCs w:val="24"/>
          <w:highlight w:val="none"/>
          <w:u w:val="single" w:color="000000"/>
        </w:rPr>
        <w:t xml:space="preserve"> 对公转账</w:t>
      </w:r>
      <w:r>
        <w:rPr>
          <w:rStyle w:val="258"/>
          <w:rFonts w:hint="eastAsia" w:ascii="宋体" w:hAnsi="宋体" w:cs="宋体"/>
          <w:color w:val="auto"/>
          <w:sz w:val="24"/>
          <w:szCs w:val="24"/>
          <w:highlight w:val="none"/>
        </w:rPr>
        <w:t>。</w:t>
      </w:r>
      <w:bookmarkEnd w:id="227"/>
      <w:bookmarkEnd w:id="228"/>
      <w:bookmarkEnd w:id="229"/>
    </w:p>
    <w:p w14:paraId="40204FA4">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2、合同签订前成交供应商向采购人提供合同金额</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%的履约担保保函（见索即付），受益人为采购人，全部工程完工并竣工验收合格后5个工作日内一次性无息退还（不计利息）。</w:t>
      </w:r>
    </w:p>
    <w:p w14:paraId="175F32A9">
      <w:pPr>
        <w:widowControl/>
        <w:adjustRightInd w:val="0"/>
        <w:spacing w:line="40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、合同签订后7个工作日内，乙方协助甲方办理小区大修基金支付流程，由小区大修基金向乙方支付工程总价的30%作为预付款后乙方正式进场，即人民币   元（大写人民币：  ），乙方进场后开始计算工期。工程竣工验收合格后，乙方协助甲方在  个工作日内办理小区大修基金剩余款项支付流程，剩余款项金额为人民币   元（大写人民币：  ）。乙方在收到预付款项后5个工作日将质保金3%支付至甲方公司账上。质保期满后无任何质量问题退还。</w:t>
      </w:r>
    </w:p>
    <w:p w14:paraId="7CF5F24E">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、政府补贴资金（如有）则按政府补贴资金申请流程进行。</w:t>
      </w:r>
    </w:p>
    <w:p w14:paraId="7837775D">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5、甲方授权甲方代表</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电话：</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与乙方核对账目，以上人员在对账单签字的行为视为甲方对对账单的认可，并加盖甲方公章。乙方将对账单书面送达甲方后，甲方应当在7日内对账目进行核对，有异议书面向乙方提出。</w:t>
      </w:r>
    </w:p>
    <w:p w14:paraId="6A1C9BF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6、甲方应按照合同约定的付款方式及时履行付款义务。</w:t>
      </w:r>
      <w:r>
        <w:rPr>
          <w:rFonts w:hint="eastAsia" w:ascii="宋体" w:hAnsi="宋体" w:cs="宋体"/>
          <w:color w:val="auto"/>
          <w:sz w:val="24"/>
          <w:szCs w:val="24"/>
          <w:highlight w:val="none"/>
        </w:rPr>
        <w:t>付款前，乙方应提供真实有效的增值税发票，否则甲方有权暂不付款，并不承担逾期付款违约责任。</w:t>
      </w:r>
      <w:r>
        <w:rPr>
          <w:rStyle w:val="258"/>
          <w:rFonts w:hint="eastAsia" w:ascii="宋体" w:hAnsi="宋体" w:cs="宋体"/>
          <w:color w:val="auto"/>
          <w:sz w:val="24"/>
          <w:szCs w:val="24"/>
          <w:highlight w:val="none"/>
        </w:rPr>
        <w:t xml:space="preserve"> </w:t>
      </w:r>
    </w:p>
    <w:p w14:paraId="3398CA60">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30" w:name="_Toc3542"/>
      <w:bookmarkStart w:id="231" w:name="_Toc23128"/>
      <w:bookmarkStart w:id="232" w:name="_Toc24402"/>
      <w:r>
        <w:rPr>
          <w:rStyle w:val="258"/>
          <w:rFonts w:hint="eastAsia" w:ascii="宋体" w:hAnsi="宋体" w:cs="宋体"/>
          <w:color w:val="auto"/>
          <w:sz w:val="24"/>
          <w:szCs w:val="24"/>
          <w:highlight w:val="none"/>
        </w:rPr>
        <w:t>7、付款时注意事项：</w:t>
      </w:r>
      <w:bookmarkEnd w:id="230"/>
      <w:bookmarkEnd w:id="231"/>
      <w:bookmarkEnd w:id="232"/>
    </w:p>
    <w:p w14:paraId="21150C15">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支付货款时，须注明付款单位名称和项目名称；</w:t>
      </w:r>
    </w:p>
    <w:p w14:paraId="73AB6F69">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付款后及时将支付凭证以书面、短信、微信等方式传给乙方授权代表人，以便及时确认；</w:t>
      </w:r>
    </w:p>
    <w:p w14:paraId="01C6596A">
      <w:pPr>
        <w:spacing w:line="400" w:lineRule="exact"/>
        <w:ind w:firstLine="420"/>
        <w:rPr>
          <w:b/>
          <w:bCs/>
          <w:color w:val="auto"/>
          <w:sz w:val="24"/>
          <w:szCs w:val="24"/>
          <w:highlight w:val="none"/>
        </w:rPr>
      </w:pPr>
      <w:bookmarkStart w:id="233" w:name="_Toc9141"/>
      <w:bookmarkStart w:id="234" w:name="_Toc5711"/>
      <w:bookmarkStart w:id="235" w:name="_Toc15362"/>
      <w:r>
        <w:rPr>
          <w:rFonts w:hint="eastAsia"/>
          <w:b/>
          <w:bCs/>
          <w:color w:val="auto"/>
          <w:sz w:val="24"/>
          <w:szCs w:val="24"/>
          <w:highlight w:val="none"/>
        </w:rPr>
        <w:t>六、安装验收</w:t>
      </w:r>
      <w:bookmarkEnd w:id="233"/>
      <w:bookmarkEnd w:id="234"/>
      <w:bookmarkEnd w:id="235"/>
    </w:p>
    <w:p w14:paraId="7DE2A70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1、供货清单的确认；</w:t>
      </w:r>
    </w:p>
    <w:p w14:paraId="6373231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2、电梯的综合性能检查；</w:t>
      </w:r>
    </w:p>
    <w:p w14:paraId="56E5D365">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3、竣工资料一套；</w:t>
      </w:r>
    </w:p>
    <w:p w14:paraId="4025E48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4、重庆特种设备检测研究院的检验报告和检验结论。</w:t>
      </w:r>
    </w:p>
    <w:p w14:paraId="55D76615">
      <w:pPr>
        <w:spacing w:line="400" w:lineRule="exact"/>
        <w:ind w:firstLine="420"/>
        <w:rPr>
          <w:b/>
          <w:bCs/>
          <w:color w:val="auto"/>
          <w:sz w:val="24"/>
          <w:szCs w:val="24"/>
          <w:highlight w:val="none"/>
        </w:rPr>
      </w:pPr>
      <w:bookmarkStart w:id="236" w:name="_Toc7963"/>
      <w:bookmarkStart w:id="237" w:name="_Toc7202"/>
      <w:bookmarkStart w:id="238" w:name="_Toc9544"/>
      <w:r>
        <w:rPr>
          <w:rFonts w:hint="eastAsia"/>
          <w:b/>
          <w:bCs/>
          <w:color w:val="auto"/>
          <w:sz w:val="24"/>
          <w:szCs w:val="24"/>
          <w:highlight w:val="none"/>
        </w:rPr>
        <w:t>七、质保期限：</w:t>
      </w:r>
      <w:bookmarkEnd w:id="236"/>
      <w:bookmarkEnd w:id="237"/>
      <w:bookmarkEnd w:id="238"/>
    </w:p>
    <w:p w14:paraId="111AA966">
      <w:pPr>
        <w:widowControl/>
        <w:adjustRightInd w:val="0"/>
        <w:spacing w:line="400" w:lineRule="exact"/>
        <w:ind w:firstLine="480" w:firstLineChars="200"/>
        <w:textAlignment w:val="baseline"/>
        <w:rPr>
          <w:rStyle w:val="258"/>
          <w:rFonts w:hint="eastAsia" w:ascii="宋体" w:hAnsi="宋体" w:cs="宋体"/>
          <w:color w:val="auto"/>
          <w:sz w:val="24"/>
          <w:szCs w:val="24"/>
          <w:highlight w:val="none"/>
        </w:rPr>
      </w:pPr>
      <w:bookmarkStart w:id="239" w:name="_Toc29930"/>
      <w:bookmarkStart w:id="240" w:name="_Toc27856"/>
      <w:bookmarkStart w:id="241" w:name="_Toc12138"/>
      <w:r>
        <w:rPr>
          <w:rStyle w:val="258"/>
          <w:rFonts w:hint="eastAsia" w:ascii="宋体" w:hAnsi="宋体" w:cs="宋体"/>
          <w:color w:val="auto"/>
          <w:sz w:val="24"/>
          <w:szCs w:val="24"/>
          <w:highlight w:val="none"/>
          <w:lang w:val="en-US" w:eastAsia="zh-CN"/>
        </w:rPr>
        <w:t>1.</w:t>
      </w:r>
      <w:r>
        <w:rPr>
          <w:rStyle w:val="258"/>
          <w:rFonts w:hint="eastAsia" w:ascii="宋体" w:hAnsi="宋体" w:cs="宋体"/>
          <w:color w:val="auto"/>
          <w:sz w:val="24"/>
          <w:szCs w:val="24"/>
          <w:highlight w:val="none"/>
        </w:rPr>
        <w:t>原厂整梯质保期为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年，原厂整机免费维保期为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年。七大核心部件（曳引机、控制柜、门机、限速器、安全钳、缓冲器、钢丝绳/钢带）质保</w:t>
      </w:r>
      <w:r>
        <w:rPr>
          <w:rStyle w:val="258"/>
          <w:rFonts w:hint="eastAsia" w:ascii="宋体" w:hAnsi="宋体" w:cs="宋体"/>
          <w:color w:val="auto"/>
          <w:sz w:val="24"/>
          <w:szCs w:val="24"/>
          <w:highlight w:val="none"/>
          <w:u w:val="single"/>
          <w:lang w:val="en-US" w:eastAsia="zh-CN"/>
        </w:rPr>
        <w:t xml:space="preserve">   </w:t>
      </w:r>
      <w:r>
        <w:rPr>
          <w:rStyle w:val="258"/>
          <w:rFonts w:hint="eastAsia" w:ascii="宋体" w:hAnsi="宋体" w:cs="宋体"/>
          <w:color w:val="auto"/>
          <w:sz w:val="24"/>
          <w:szCs w:val="24"/>
          <w:highlight w:val="none"/>
        </w:rPr>
        <w:t>年</w:t>
      </w:r>
      <w:r>
        <w:rPr>
          <w:rStyle w:val="258"/>
          <w:rFonts w:hint="eastAsia" w:ascii="宋体" w:hAnsi="宋体" w:cs="宋体"/>
          <w:color w:val="auto"/>
          <w:sz w:val="24"/>
          <w:szCs w:val="24"/>
          <w:highlight w:val="none"/>
          <w:lang w:val="en-US" w:eastAsia="zh-CN"/>
        </w:rPr>
        <w:t>.</w:t>
      </w:r>
      <w:r>
        <w:rPr>
          <w:rStyle w:val="258"/>
          <w:rFonts w:hint="eastAsia" w:ascii="宋体" w:hAnsi="宋体" w:cs="宋体"/>
          <w:color w:val="auto"/>
          <w:sz w:val="24"/>
          <w:szCs w:val="24"/>
          <w:highlight w:val="none"/>
        </w:rPr>
        <w:t>质保期从重庆市特种设备检测研究院验收合格之日算起，质保期内使用配件必须为原厂配件。</w:t>
      </w:r>
    </w:p>
    <w:p w14:paraId="2EC7109F">
      <w:pPr>
        <w:pStyle w:val="23"/>
        <w:ind w:firstLine="480" w:firstLineChars="200"/>
        <w:rPr>
          <w:rStyle w:val="258"/>
          <w:rFonts w:hint="default" w:ascii="宋体" w:hAnsi="宋体" w:cs="宋体"/>
          <w:color w:val="auto"/>
          <w:sz w:val="24"/>
          <w:szCs w:val="24"/>
          <w:highlight w:val="none"/>
          <w:lang w:val="en-US" w:eastAsia="zh-CN"/>
        </w:rPr>
      </w:pPr>
    </w:p>
    <w:p w14:paraId="0D1AA9D3">
      <w:pPr>
        <w:spacing w:line="400" w:lineRule="exact"/>
        <w:ind w:firstLine="420"/>
        <w:rPr>
          <w:b/>
          <w:bCs/>
          <w:color w:val="auto"/>
          <w:sz w:val="24"/>
          <w:szCs w:val="24"/>
          <w:highlight w:val="none"/>
        </w:rPr>
      </w:pPr>
      <w:r>
        <w:rPr>
          <w:rFonts w:hint="eastAsia"/>
          <w:b/>
          <w:bCs/>
          <w:color w:val="auto"/>
          <w:sz w:val="24"/>
          <w:szCs w:val="24"/>
          <w:highlight w:val="none"/>
        </w:rPr>
        <w:t>八、合同解除：</w:t>
      </w:r>
      <w:bookmarkEnd w:id="239"/>
      <w:bookmarkEnd w:id="240"/>
      <w:bookmarkEnd w:id="241"/>
    </w:p>
    <w:p w14:paraId="68550981">
      <w:pPr>
        <w:widowControl/>
        <w:adjustRightInd w:val="0"/>
        <w:spacing w:line="400" w:lineRule="exact"/>
        <w:ind w:firstLine="482" w:firstLineChars="200"/>
        <w:textAlignment w:val="baseline"/>
        <w:rPr>
          <w:rStyle w:val="258"/>
          <w:rFonts w:ascii="宋体" w:hAnsi="宋体" w:cs="宋体"/>
          <w:color w:val="auto"/>
          <w:sz w:val="24"/>
          <w:szCs w:val="24"/>
          <w:highlight w:val="none"/>
        </w:rPr>
      </w:pPr>
      <w:r>
        <w:rPr>
          <w:rStyle w:val="258"/>
          <w:rFonts w:hint="eastAsia" w:ascii="宋体" w:hAnsi="宋体" w:cs="宋体"/>
          <w:b/>
          <w:color w:val="auto"/>
          <w:sz w:val="24"/>
          <w:szCs w:val="24"/>
          <w:highlight w:val="none"/>
        </w:rPr>
        <w:t>1、</w:t>
      </w:r>
      <w:r>
        <w:rPr>
          <w:rStyle w:val="258"/>
          <w:rFonts w:hint="eastAsia" w:ascii="宋体" w:hAnsi="宋体" w:cs="宋体"/>
          <w:bCs/>
          <w:color w:val="auto"/>
          <w:sz w:val="24"/>
          <w:szCs w:val="24"/>
          <w:highlight w:val="none"/>
        </w:rPr>
        <w:t>甲乙双方按合同要求履行完毕</w:t>
      </w:r>
      <w:r>
        <w:rPr>
          <w:rStyle w:val="258"/>
          <w:rFonts w:hint="eastAsia" w:ascii="宋体" w:hAnsi="宋体" w:cs="宋体"/>
          <w:color w:val="auto"/>
          <w:sz w:val="24"/>
          <w:szCs w:val="24"/>
          <w:highlight w:val="none"/>
        </w:rPr>
        <w:t>；</w:t>
      </w:r>
    </w:p>
    <w:p w14:paraId="07B48FFC">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2、乙方提供的材料存在质量原因的；</w:t>
      </w:r>
    </w:p>
    <w:p w14:paraId="58730DAC">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3、未按甲方的相关要求供货并经双方协商未达成一致意见的；</w:t>
      </w:r>
    </w:p>
    <w:p w14:paraId="0460D1CA">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4、遇到不可抗力因素的。</w:t>
      </w:r>
    </w:p>
    <w:p w14:paraId="3F3E67B1">
      <w:pPr>
        <w:spacing w:line="400" w:lineRule="exact"/>
        <w:ind w:firstLine="420"/>
        <w:rPr>
          <w:b/>
          <w:bCs/>
          <w:color w:val="auto"/>
          <w:sz w:val="24"/>
          <w:szCs w:val="24"/>
          <w:highlight w:val="none"/>
        </w:rPr>
      </w:pPr>
      <w:bookmarkStart w:id="242" w:name="_Toc16340"/>
      <w:bookmarkStart w:id="243" w:name="_Toc1875"/>
      <w:bookmarkStart w:id="244" w:name="_Toc12498"/>
      <w:r>
        <w:rPr>
          <w:rFonts w:hint="eastAsia"/>
          <w:b/>
          <w:bCs/>
          <w:color w:val="auto"/>
          <w:sz w:val="24"/>
          <w:szCs w:val="24"/>
          <w:highlight w:val="none"/>
        </w:rPr>
        <w:t>九、违约责任：</w:t>
      </w:r>
      <w:bookmarkEnd w:id="242"/>
      <w:bookmarkEnd w:id="243"/>
      <w:bookmarkEnd w:id="244"/>
    </w:p>
    <w:p w14:paraId="4BD9B4F9">
      <w:pPr>
        <w:widowControl/>
        <w:adjustRightInd w:val="0"/>
        <w:spacing w:line="400" w:lineRule="exact"/>
        <w:ind w:firstLine="480" w:firstLineChars="200"/>
        <w:jc w:val="left"/>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 xml:space="preserve">1、甲方承诺按照规定以申请特别超长期国债的方式支工程款，在特别超长期国债审批过程中的延误支付，不视为甲方付款违约行为。 </w:t>
      </w:r>
    </w:p>
    <w:p w14:paraId="581375EE">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2、付款前，乙方应提供真实有效的</w:t>
      </w:r>
      <w:r>
        <w:rPr>
          <w:rFonts w:hint="eastAsia" w:ascii="宋体" w:hAnsi="宋体" w:cs="宋体"/>
          <w:color w:val="auto"/>
          <w:sz w:val="24"/>
          <w:szCs w:val="24"/>
          <w:highlight w:val="none"/>
        </w:rPr>
        <w:t>增值税</w:t>
      </w:r>
      <w:r>
        <w:rPr>
          <w:rFonts w:hint="eastAsia" w:ascii="宋体" w:hAnsi="宋体" w:cs="宋体"/>
          <w:color w:val="auto"/>
          <w:sz w:val="24"/>
          <w:szCs w:val="24"/>
          <w:highlight w:val="none"/>
          <w:lang w:val="en-US" w:eastAsia="zh-CN"/>
        </w:rPr>
        <w:t>普通</w:t>
      </w:r>
      <w:r>
        <w:rPr>
          <w:rFonts w:hint="eastAsia" w:ascii="宋体" w:hAnsi="宋体" w:cs="宋体"/>
          <w:color w:val="auto"/>
          <w:sz w:val="24"/>
          <w:szCs w:val="24"/>
          <w:highlight w:val="none"/>
        </w:rPr>
        <w:t>发票</w:t>
      </w:r>
      <w:r>
        <w:rPr>
          <w:rStyle w:val="258"/>
          <w:rFonts w:hint="eastAsia" w:ascii="宋体" w:hAnsi="宋体" w:cs="宋体"/>
          <w:color w:val="auto"/>
          <w:sz w:val="24"/>
          <w:szCs w:val="24"/>
          <w:highlight w:val="none"/>
        </w:rPr>
        <w:t>，否则甲方有权暂不付款，并不承担逾期付款违约责任。</w:t>
      </w:r>
    </w:p>
    <w:p w14:paraId="47C944D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3、甲方应提前三到五个工作日通知乙方，明确乙方交货的时间、货物，乙方应在订购单货物交货期内将货运达约定地点。乙方若逾期交货，每延迟交货一天，按所涉货款的</w:t>
      </w:r>
      <w:r>
        <w:rPr>
          <w:rStyle w:val="258"/>
          <w:rFonts w:hint="eastAsia" w:ascii="宋体" w:hAnsi="宋体" w:cs="宋体"/>
          <w:color w:val="auto"/>
          <w:sz w:val="24"/>
          <w:szCs w:val="24"/>
          <w:highlight w:val="none"/>
          <w:u w:val="single" w:color="000000"/>
        </w:rPr>
        <w:t>万分之3</w:t>
      </w:r>
      <w:r>
        <w:rPr>
          <w:rStyle w:val="258"/>
          <w:rFonts w:hint="eastAsia" w:ascii="宋体" w:hAnsi="宋体" w:cs="宋体"/>
          <w:color w:val="auto"/>
          <w:sz w:val="24"/>
          <w:szCs w:val="24"/>
          <w:highlight w:val="none"/>
          <w:u w:val="single"/>
        </w:rPr>
        <w:t>/天</w:t>
      </w:r>
      <w:r>
        <w:rPr>
          <w:rStyle w:val="258"/>
          <w:rFonts w:hint="eastAsia" w:ascii="宋体" w:hAnsi="宋体" w:cs="宋体"/>
          <w:color w:val="auto"/>
          <w:sz w:val="24"/>
          <w:szCs w:val="24"/>
          <w:highlight w:val="none"/>
        </w:rPr>
        <w:t>向甲方支付违约金（甲方原因导致延期和不可抗力因素除外）。</w:t>
      </w:r>
    </w:p>
    <w:p w14:paraId="7CFDA21F">
      <w:pPr>
        <w:spacing w:line="400" w:lineRule="exact"/>
        <w:ind w:firstLine="420"/>
        <w:rPr>
          <w:b/>
          <w:bCs/>
          <w:color w:val="auto"/>
          <w:sz w:val="24"/>
          <w:szCs w:val="24"/>
          <w:highlight w:val="none"/>
        </w:rPr>
      </w:pPr>
      <w:bookmarkStart w:id="245" w:name="_Toc12288"/>
      <w:bookmarkStart w:id="246" w:name="_Toc8473"/>
      <w:bookmarkStart w:id="247" w:name="_Toc27930"/>
      <w:r>
        <w:rPr>
          <w:rFonts w:hint="eastAsia"/>
          <w:b/>
          <w:bCs/>
          <w:color w:val="auto"/>
          <w:sz w:val="24"/>
          <w:szCs w:val="24"/>
          <w:highlight w:val="none"/>
        </w:rPr>
        <w:t>十、双方联络：</w:t>
      </w:r>
      <w:bookmarkEnd w:id="245"/>
      <w:bookmarkEnd w:id="246"/>
      <w:bookmarkEnd w:id="247"/>
    </w:p>
    <w:p w14:paraId="5F68493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1、甲方确认以下地址为其通讯地址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若甲方相关信息变更，应当及时通知乙方，否则以以上地址为准，未能收件的后果由甲方承担。</w:t>
      </w:r>
    </w:p>
    <w:p w14:paraId="73CB114C">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若乙方相关信息变更，应当及时通知甲方，否则以以上地址为准，未能收件的后果由乙方承担</w:t>
      </w:r>
      <w:r>
        <w:rPr>
          <w:rFonts w:hint="eastAsia" w:ascii="宋体" w:hAnsi="宋体" w:cs="宋体"/>
          <w:color w:val="auto"/>
          <w:sz w:val="24"/>
          <w:szCs w:val="24"/>
          <w:highlight w:val="none"/>
        </w:rPr>
        <w:t>，且甲方或司法机关向上述地址邮寄文书的，寄出之日起满3日视为送达</w:t>
      </w:r>
      <w:r>
        <w:rPr>
          <w:rStyle w:val="258"/>
          <w:rFonts w:hint="eastAsia" w:ascii="宋体" w:hAnsi="宋体" w:cs="宋体"/>
          <w:color w:val="auto"/>
          <w:sz w:val="24"/>
          <w:szCs w:val="24"/>
          <w:highlight w:val="none"/>
        </w:rPr>
        <w:t xml:space="preserve"> 。</w:t>
      </w:r>
    </w:p>
    <w:p w14:paraId="2A01EA5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w:t>
      </w:r>
      <w:r>
        <w:rPr>
          <w:rFonts w:hint="eastAsia" w:ascii="宋体" w:hAnsi="宋体" w:cs="宋体"/>
          <w:color w:val="auto"/>
          <w:sz w:val="24"/>
          <w:szCs w:val="24"/>
          <w:highlight w:val="none"/>
        </w:rPr>
        <w:t>乙方指定的前述收件人负责处理本合同的相关事务，其签署的一切书面性文件（包含微信、短信中确认的内容）的行为均有效代表乙方，对乙方产生法律效力。</w:t>
      </w:r>
    </w:p>
    <w:p w14:paraId="29D0FF51">
      <w:pPr>
        <w:spacing w:line="400" w:lineRule="exact"/>
        <w:ind w:firstLine="420"/>
        <w:rPr>
          <w:b/>
          <w:bCs/>
          <w:color w:val="auto"/>
          <w:sz w:val="24"/>
          <w:szCs w:val="24"/>
          <w:highlight w:val="none"/>
        </w:rPr>
      </w:pPr>
      <w:bookmarkStart w:id="248" w:name="_Toc12356"/>
      <w:bookmarkStart w:id="249" w:name="_Toc8699"/>
      <w:bookmarkStart w:id="250" w:name="_Toc15025"/>
      <w:r>
        <w:rPr>
          <w:rFonts w:hint="eastAsia"/>
          <w:b/>
          <w:bCs/>
          <w:color w:val="auto"/>
          <w:sz w:val="24"/>
          <w:szCs w:val="24"/>
          <w:highlight w:val="none"/>
        </w:rPr>
        <w:t>十一、解决合同纠纷的方式：</w:t>
      </w:r>
      <w:bookmarkEnd w:id="248"/>
      <w:bookmarkEnd w:id="249"/>
      <w:bookmarkEnd w:id="250"/>
    </w:p>
    <w:p w14:paraId="777499F9">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本合同在履行中发生的争议，由双方当事人协商解决。协商或解决不成的，依法向</w:t>
      </w:r>
      <w:r>
        <w:rPr>
          <w:rStyle w:val="258"/>
          <w:rFonts w:hint="eastAsia" w:ascii="宋体" w:hAnsi="宋体" w:cs="宋体"/>
          <w:color w:val="auto"/>
          <w:sz w:val="24"/>
          <w:szCs w:val="24"/>
          <w:highlight w:val="none"/>
          <w:u w:val="single" w:color="000000"/>
        </w:rPr>
        <w:t>甲方所在地</w:t>
      </w:r>
      <w:r>
        <w:rPr>
          <w:rStyle w:val="258"/>
          <w:rFonts w:hint="eastAsia" w:ascii="宋体" w:hAnsi="宋体" w:cs="宋体"/>
          <w:color w:val="auto"/>
          <w:sz w:val="24"/>
          <w:szCs w:val="24"/>
          <w:highlight w:val="none"/>
        </w:rPr>
        <w:t>人民法院起诉。</w:t>
      </w:r>
    </w:p>
    <w:p w14:paraId="506C6508">
      <w:pPr>
        <w:spacing w:line="400" w:lineRule="exact"/>
        <w:ind w:firstLine="420"/>
        <w:rPr>
          <w:b/>
          <w:bCs/>
          <w:color w:val="auto"/>
          <w:sz w:val="24"/>
          <w:szCs w:val="24"/>
          <w:highlight w:val="none"/>
        </w:rPr>
      </w:pPr>
      <w:bookmarkStart w:id="251" w:name="_Toc2737"/>
      <w:bookmarkStart w:id="252" w:name="_Toc3059"/>
      <w:bookmarkStart w:id="253" w:name="_Toc12582"/>
      <w:r>
        <w:rPr>
          <w:rFonts w:hint="eastAsia"/>
          <w:b/>
          <w:bCs/>
          <w:color w:val="auto"/>
          <w:sz w:val="24"/>
          <w:szCs w:val="24"/>
          <w:highlight w:val="none"/>
        </w:rPr>
        <w:t>十二、安全责任：</w:t>
      </w:r>
      <w:bookmarkEnd w:id="251"/>
      <w:bookmarkEnd w:id="252"/>
      <w:bookmarkEnd w:id="253"/>
    </w:p>
    <w:p w14:paraId="0778022C">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1、乙方应遵守工程建设安全生产有关管理规定，严格按安全标准组织施工并随时接受行业安全检查人员依法实施的监督检查，采取必要的安全防护措施，及时消除事故隐患。</w:t>
      </w:r>
    </w:p>
    <w:p w14:paraId="7A9D4B49">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2、在施工过程中发生安全事故，给甲、乙双方及其他第三方造成人身、财产损害的，由乙方承担民事赔偿责任和其他行政、刑事责任，甲方不承担任何责任。</w:t>
      </w:r>
    </w:p>
    <w:p w14:paraId="730C0D79">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3、发生重大伤亡及其他安全事故，乙方应按有关规定立即通知甲方并上报有关部门，同时按政府有关部门要求处理。</w:t>
      </w:r>
    </w:p>
    <w:p w14:paraId="0C7DE878">
      <w:pPr>
        <w:spacing w:line="400" w:lineRule="exact"/>
        <w:ind w:firstLine="420"/>
        <w:rPr>
          <w:b/>
          <w:bCs/>
          <w:color w:val="auto"/>
          <w:sz w:val="24"/>
          <w:szCs w:val="24"/>
          <w:highlight w:val="none"/>
        </w:rPr>
      </w:pPr>
      <w:bookmarkStart w:id="254" w:name="_Toc8658"/>
      <w:bookmarkStart w:id="255" w:name="_Toc6364"/>
      <w:r>
        <w:rPr>
          <w:rFonts w:hint="eastAsia"/>
          <w:b/>
          <w:bCs/>
          <w:color w:val="auto"/>
          <w:sz w:val="24"/>
          <w:szCs w:val="24"/>
          <w:highlight w:val="none"/>
        </w:rPr>
        <w:t>十三、其他约定事项：</w:t>
      </w:r>
      <w:bookmarkEnd w:id="254"/>
      <w:bookmarkEnd w:id="255"/>
    </w:p>
    <w:p w14:paraId="28F1DC1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1、业主如需申报政府相关补贴，乙方应全力配合。</w:t>
      </w:r>
    </w:p>
    <w:p w14:paraId="38356E3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2、乙方货物进场至电梯监督检验之前，货物保管、成品保护由乙方自行负责。</w:t>
      </w:r>
    </w:p>
    <w:p w14:paraId="3A9F2318">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3、在本合同签定后，合同如需加以补充或变更，需要双方签署书面补充合同或变更合同。</w:t>
      </w:r>
    </w:p>
    <w:p w14:paraId="5B9FDF54">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56" w:name="_Toc516"/>
      <w:bookmarkStart w:id="257" w:name="_Toc27941"/>
      <w:bookmarkStart w:id="258" w:name="_Toc23580"/>
      <w:r>
        <w:rPr>
          <w:rStyle w:val="258"/>
          <w:rFonts w:hint="eastAsia" w:ascii="宋体" w:hAnsi="宋体" w:cs="宋体"/>
          <w:color w:val="auto"/>
          <w:sz w:val="24"/>
          <w:szCs w:val="24"/>
          <w:highlight w:val="none"/>
        </w:rPr>
        <w:t>4、合同未列入之条款，应按照《中华人民共和国</w:t>
      </w:r>
      <w:r>
        <w:rPr>
          <w:rFonts w:hint="eastAsia" w:ascii="宋体" w:hAnsi="宋体" w:cs="宋体"/>
          <w:color w:val="auto"/>
          <w:sz w:val="24"/>
          <w:szCs w:val="24"/>
          <w:highlight w:val="none"/>
        </w:rPr>
        <w:t>民法典</w:t>
      </w:r>
      <w:r>
        <w:rPr>
          <w:rStyle w:val="258"/>
          <w:rFonts w:hint="eastAsia" w:ascii="宋体" w:hAnsi="宋体" w:cs="宋体"/>
          <w:color w:val="auto"/>
          <w:sz w:val="24"/>
          <w:szCs w:val="24"/>
          <w:highlight w:val="none"/>
        </w:rPr>
        <w:t>》处理。</w:t>
      </w:r>
      <w:bookmarkEnd w:id="256"/>
      <w:bookmarkEnd w:id="257"/>
      <w:bookmarkEnd w:id="258"/>
    </w:p>
    <w:p w14:paraId="63C352B8">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5、本项目的比选文件作为本合同的附件，具有同等法律效力。</w:t>
      </w:r>
    </w:p>
    <w:p w14:paraId="2181A15B">
      <w:pPr>
        <w:widowControl/>
        <w:adjustRightInd w:val="0"/>
        <w:spacing w:line="400" w:lineRule="exact"/>
        <w:ind w:firstLine="480" w:firstLineChars="200"/>
        <w:textAlignment w:val="baseline"/>
        <w:rPr>
          <w:rFonts w:ascii="宋体" w:hAnsi="宋体" w:cs="宋体"/>
          <w:color w:val="auto"/>
          <w:szCs w:val="28"/>
          <w:highlight w:val="none"/>
        </w:rPr>
      </w:pPr>
      <w:r>
        <w:rPr>
          <w:rStyle w:val="258"/>
          <w:rFonts w:hint="eastAsia" w:ascii="宋体" w:hAnsi="宋体" w:cs="宋体"/>
          <w:color w:val="auto"/>
          <w:sz w:val="24"/>
          <w:szCs w:val="24"/>
          <w:highlight w:val="none"/>
        </w:rPr>
        <w:t>6、本合同一式肆份，甲方执两份，乙方执两份，具有同等法律效力。经双方签字（盖章）后生效。</w:t>
      </w:r>
    </w:p>
    <w:p w14:paraId="0B7BBC05">
      <w:pPr>
        <w:spacing w:line="400" w:lineRule="exact"/>
        <w:ind w:right="12" w:firstLine="480"/>
        <w:rPr>
          <w:rFonts w:ascii="宋体" w:hAnsi="宋体" w:cs="宋体"/>
          <w:color w:val="auto"/>
          <w:sz w:val="24"/>
          <w:highlight w:val="none"/>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605727B1">
      <w:pPr>
        <w:pStyle w:val="2"/>
        <w:jc w:val="center"/>
        <w:rPr>
          <w:rFonts w:hAnsi="宋体" w:cs="宋体"/>
          <w:b/>
          <w:bCs/>
          <w:color w:val="auto"/>
          <w:sz w:val="30"/>
          <w:szCs w:val="30"/>
          <w:highlight w:val="none"/>
        </w:rPr>
      </w:pPr>
      <w:bookmarkStart w:id="259" w:name="_Hlt41879464"/>
      <w:bookmarkEnd w:id="259"/>
      <w:bookmarkStart w:id="260" w:name="_Toc12789072"/>
      <w:bookmarkStart w:id="261" w:name="_Toc20499"/>
      <w:bookmarkStart w:id="262" w:name="_Toc6968"/>
      <w:bookmarkStart w:id="263" w:name="_Toc9538"/>
      <w:bookmarkStart w:id="264" w:name="_Toc18521"/>
      <w:bookmarkStart w:id="265" w:name="_Toc65660378"/>
      <w:bookmarkStart w:id="266" w:name="_Toc23317"/>
      <w:r>
        <w:rPr>
          <w:rFonts w:hint="eastAsia" w:hAnsi="宋体" w:cs="宋体"/>
          <w:b/>
          <w:bCs/>
          <w:color w:val="auto"/>
          <w:sz w:val="30"/>
          <w:szCs w:val="30"/>
          <w:highlight w:val="none"/>
        </w:rPr>
        <w:t>第七篇  响应文件格式要求</w:t>
      </w:r>
      <w:bookmarkEnd w:id="260"/>
      <w:bookmarkEnd w:id="261"/>
      <w:bookmarkEnd w:id="262"/>
      <w:bookmarkEnd w:id="263"/>
      <w:bookmarkEnd w:id="264"/>
      <w:bookmarkEnd w:id="265"/>
      <w:bookmarkEnd w:id="266"/>
    </w:p>
    <w:p w14:paraId="0C22B098">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54782ED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（一）比选报价函</w:t>
      </w:r>
    </w:p>
    <w:p w14:paraId="41144C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694BF897">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二、技术（质量）部分</w:t>
      </w:r>
    </w:p>
    <w:p w14:paraId="4D63814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157519E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60D0E375">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三、商务部分</w:t>
      </w:r>
    </w:p>
    <w:p w14:paraId="144880D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47152D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69B154B1">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128E803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w:t>
      </w:r>
    </w:p>
    <w:p w14:paraId="669349F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37B083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133C2D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099A71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3F0DE9BC">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5F192FE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4436C94A">
      <w:pPr>
        <w:snapToGrid w:val="0"/>
        <w:spacing w:line="360" w:lineRule="auto"/>
        <w:rPr>
          <w:rFonts w:ascii="宋体" w:hAnsi="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FF36D5C">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267" w:name="_Toc313008356"/>
      <w:bookmarkStart w:id="268" w:name="_Toc14244"/>
      <w:bookmarkStart w:id="269" w:name="_Toc342913419"/>
      <w:bookmarkStart w:id="270" w:name="_Toc30982"/>
      <w:bookmarkStart w:id="271" w:name="_Toc65660379"/>
      <w:bookmarkStart w:id="272" w:name="_Toc26343"/>
      <w:bookmarkStart w:id="273" w:name="_Toc737"/>
      <w:bookmarkStart w:id="274" w:name="_Toc313888360"/>
      <w:bookmarkStart w:id="275" w:name="_Toc12789073"/>
      <w:bookmarkStart w:id="276" w:name="_Toc283382454"/>
      <w:r>
        <w:rPr>
          <w:rFonts w:hint="eastAsia" w:ascii="宋体" w:hAnsi="宋体" w:cs="宋体"/>
          <w:b/>
          <w:color w:val="auto"/>
          <w:sz w:val="24"/>
          <w:highlight w:val="none"/>
        </w:rPr>
        <w:t>一、经济部分</w:t>
      </w:r>
      <w:bookmarkEnd w:id="267"/>
      <w:bookmarkEnd w:id="268"/>
      <w:bookmarkEnd w:id="269"/>
      <w:bookmarkEnd w:id="270"/>
      <w:bookmarkEnd w:id="271"/>
      <w:bookmarkEnd w:id="272"/>
      <w:bookmarkEnd w:id="273"/>
      <w:bookmarkEnd w:id="274"/>
    </w:p>
    <w:bookmarkEnd w:id="275"/>
    <w:bookmarkEnd w:id="276"/>
    <w:p w14:paraId="6FEB2C8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0EABA627">
      <w:pPr>
        <w:tabs>
          <w:tab w:val="left" w:pos="6300"/>
        </w:tabs>
        <w:snapToGrid w:val="0"/>
        <w:spacing w:line="312"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比选报价函</w:t>
      </w:r>
    </w:p>
    <w:p w14:paraId="44A38000">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重庆靖正恒悦项目管理有限公司（采购代理机构名称）</w:t>
      </w:r>
      <w:r>
        <w:rPr>
          <w:rFonts w:hint="eastAsia" w:ascii="宋体" w:hAnsi="宋体" w:cs="宋体"/>
          <w:color w:val="auto"/>
          <w:sz w:val="24"/>
          <w:szCs w:val="24"/>
          <w:highlight w:val="none"/>
        </w:rPr>
        <w:t>：</w:t>
      </w:r>
    </w:p>
    <w:p w14:paraId="037849D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（比选项目名称）</w:t>
      </w:r>
      <w:r>
        <w:rPr>
          <w:rFonts w:hint="eastAsia" w:ascii="宋体" w:hAnsi="宋体" w:cs="宋体"/>
          <w:color w:val="auto"/>
          <w:sz w:val="24"/>
          <w:szCs w:val="24"/>
          <w:highlight w:val="none"/>
        </w:rPr>
        <w:t>的竞争性比选文件，经详细研究，决定参加该比选项目的报价。</w:t>
      </w:r>
    </w:p>
    <w:p w14:paraId="1DFA274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1.愿意按照竞争性比选文件中的一切要求，提供本项目的交货及技术服务，</w:t>
      </w:r>
      <w:r>
        <w:rPr>
          <w:rFonts w:hint="eastAsia" w:ascii="宋体" w:hAnsi="宋体" w:cs="宋体"/>
          <w:b/>
          <w:bCs/>
          <w:color w:val="auto"/>
          <w:sz w:val="24"/>
          <w:szCs w:val="24"/>
          <w:highlight w:val="none"/>
        </w:rPr>
        <w:t>我方所投电梯品牌</w:t>
      </w:r>
      <w:r>
        <w:rPr>
          <w:rFonts w:hint="eastAsia" w:ascii="宋体" w:hAnsi="宋体" w:cs="宋体"/>
          <w:b/>
          <w:bCs/>
          <w:color w:val="auto"/>
          <w:sz w:val="24"/>
          <w:szCs w:val="24"/>
          <w:highlight w:val="none"/>
          <w:lang w:val="en-US" w:eastAsia="zh-CN"/>
        </w:rPr>
        <w:t>及型号</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；投标总报价（含税）为人民币大写：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元整；人民币小写：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元。税率为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039BA7F4">
      <w:pPr>
        <w:tabs>
          <w:tab w:val="left" w:pos="6300"/>
        </w:tabs>
        <w:snapToGrid w:val="0"/>
        <w:spacing w:line="312"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2.我方现提交的响应文件为：响应文件正本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份，副本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份，行采家网站上传响应文件电子文档</w:t>
      </w:r>
      <w:r>
        <w:rPr>
          <w:rFonts w:hint="eastAsia" w:ascii="宋体" w:hAnsi="宋体" w:cs="宋体"/>
          <w:b/>
          <w:bCs/>
          <w:color w:val="auto"/>
          <w:sz w:val="24"/>
          <w:szCs w:val="24"/>
          <w:highlight w:val="none"/>
          <w:u w:val="single"/>
        </w:rPr>
        <w:t xml:space="preserve"> 1 </w:t>
      </w:r>
      <w:r>
        <w:rPr>
          <w:rFonts w:hint="eastAsia" w:ascii="宋体" w:hAnsi="宋体" w:cs="宋体"/>
          <w:b/>
          <w:bCs/>
          <w:color w:val="auto"/>
          <w:sz w:val="24"/>
          <w:szCs w:val="24"/>
          <w:highlight w:val="none"/>
        </w:rPr>
        <w:t>份。</w:t>
      </w:r>
    </w:p>
    <w:p w14:paraId="0B49FBD4">
      <w:pPr>
        <w:tabs>
          <w:tab w:val="left" w:pos="6300"/>
        </w:tabs>
        <w:snapToGrid w:val="0"/>
        <w:spacing w:line="312"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3.我方承诺：应在合同签订后</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日历日内交货并完成安装调试（国家法定节假日顺延），同时通过特种设备监督管理部门验收合格并取得合格的检验监督报告。原厂整梯质保期为</w:t>
      </w:r>
    </w:p>
    <w:p w14:paraId="1B0E4153">
      <w:pPr>
        <w:tabs>
          <w:tab w:val="left" w:pos="6300"/>
        </w:tabs>
        <w:snapToGrid w:val="0"/>
        <w:spacing w:line="312" w:lineRule="auto"/>
        <w:rPr>
          <w:rFonts w:ascii="宋体" w:hAnsi="宋体" w:cs="宋体"/>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年，原厂整机免费维保期为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,七大核心部件（曳引机、控制柜、门机、限速器、安全钳、缓冲器、钢丝绳/钢带）质保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年</w:t>
      </w:r>
      <w:r>
        <w:rPr>
          <w:rFonts w:hint="eastAsia" w:ascii="宋体" w:hAnsi="宋体" w:cs="宋体"/>
          <w:b/>
          <w:bCs/>
          <w:color w:val="auto"/>
          <w:sz w:val="24"/>
          <w:szCs w:val="24"/>
          <w:highlight w:val="none"/>
        </w:rPr>
        <w:t>。质保期从重庆市特种设备检测研究院验收合格之日算起，质保期内使用配件必须为原厂配件。</w:t>
      </w:r>
    </w:p>
    <w:p w14:paraId="451A3B05">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4.我方承诺：本次报价的有效期为提交响应文件截止时间起90天。</w:t>
      </w:r>
    </w:p>
    <w:p w14:paraId="7827DC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5.我方完全理解和接受贵方竞争性比选文件的一切规定和要求及评审办法。</w:t>
      </w:r>
    </w:p>
    <w:p w14:paraId="1517F26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6.在整个比选过程中，我方若有违规行为，接受按照《中华人民共和国政府采购法》和本项目《竞争性比选文件》之规定给予惩罚。</w:t>
      </w:r>
    </w:p>
    <w:p w14:paraId="2F07267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7.我方若成为成交供应商，将按照最终报价结果签订合同，并且严格履行合同义务。本承诺函将成为合同不可分割的一部分，与合同具有同等的法律效力。</w:t>
      </w:r>
    </w:p>
    <w:p w14:paraId="159EEC45">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8.我方同意按竞争性比选文件规定，交纳竞争性比选文件要求的保证金。如果我方成为成交供应商，保证在接到成交通知书后，向采购代理机构缴纳竞争性比选文件规定的采购代理服务费。</w:t>
      </w:r>
    </w:p>
    <w:p w14:paraId="6288B24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2B6F0AEE">
      <w:pPr>
        <w:tabs>
          <w:tab w:val="left" w:pos="6300"/>
        </w:tabs>
        <w:snapToGrid w:val="0"/>
        <w:spacing w:line="312" w:lineRule="auto"/>
        <w:ind w:firstLine="570"/>
        <w:rPr>
          <w:rFonts w:ascii="宋体" w:hAnsi="宋体" w:cs="宋体"/>
          <w:color w:val="auto"/>
          <w:sz w:val="24"/>
          <w:szCs w:val="24"/>
          <w:highlight w:val="none"/>
        </w:rPr>
      </w:pPr>
    </w:p>
    <w:p w14:paraId="4B3165A5">
      <w:pPr>
        <w:tabs>
          <w:tab w:val="left" w:pos="6300"/>
        </w:tabs>
        <w:snapToGrid w:val="0"/>
        <w:spacing w:line="312" w:lineRule="auto"/>
        <w:ind w:firstLine="570"/>
        <w:rPr>
          <w:rFonts w:ascii="宋体" w:hAnsi="宋体" w:cs="宋体"/>
          <w:color w:val="auto"/>
          <w:sz w:val="24"/>
          <w:szCs w:val="24"/>
          <w:highlight w:val="none"/>
        </w:rPr>
      </w:pPr>
    </w:p>
    <w:p w14:paraId="4025ED1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7F88387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71C5AC28">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52E724F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2512B57">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0F4768">
      <w:pPr>
        <w:snapToGrid w:val="0"/>
        <w:spacing w:line="312" w:lineRule="auto"/>
        <w:ind w:firstLine="480" w:firstLineChars="200"/>
        <w:rPr>
          <w:rFonts w:ascii="宋体" w:hAnsi="宋体" w:cs="宋体"/>
          <w:color w:val="auto"/>
          <w:sz w:val="24"/>
          <w:szCs w:val="24"/>
          <w:highlight w:val="none"/>
        </w:rPr>
      </w:pPr>
    </w:p>
    <w:p w14:paraId="0FCAD4A5">
      <w:pPr>
        <w:snapToGrid w:val="0"/>
        <w:spacing w:line="312" w:lineRule="auto"/>
        <w:ind w:firstLine="1680" w:firstLineChars="700"/>
        <w:jc w:val="right"/>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年   月   日</w:t>
      </w:r>
    </w:p>
    <w:p w14:paraId="07CD59C5">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2896EA4E">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BC3BE55">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1、《比选报价函》中的含税投标总报价金额应与《报价明细表》中各楼栋含税报价总计金额之和一致，否则将按无效投标处理。</w:t>
      </w:r>
    </w:p>
    <w:p w14:paraId="368AFF5A">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2、供应商应按下表填写各楼栋报价明细表中相应数据，未填报数据视为报价已包含项目实施的此项费用，由此产生的后果皆由供应商自行承担责任，采购人不再补偿。</w:t>
      </w:r>
    </w:p>
    <w:p w14:paraId="1E561E13">
      <w:pPr>
        <w:pStyle w:val="49"/>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报价明细表-1</w:t>
      </w:r>
    </w:p>
    <w:p w14:paraId="67264F1D">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 xml:space="preserve">5 </w:t>
      </w:r>
      <w:r>
        <w:rPr>
          <w:rFonts w:ascii="宋体" w:hAnsi="宋体" w:cs="宋体"/>
          <w:b/>
          <w:bCs/>
          <w:color w:val="auto"/>
          <w:sz w:val="24"/>
          <w:szCs w:val="24"/>
          <w:highlight w:val="none"/>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C95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vAlign w:val="center"/>
          </w:tcPr>
          <w:p w14:paraId="3B247DA2">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5195" w:type="dxa"/>
            <w:vAlign w:val="center"/>
          </w:tcPr>
          <w:p w14:paraId="4E71B68A">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vAlign w:val="center"/>
          </w:tcPr>
          <w:p w14:paraId="17AC5928">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1373" w:type="dxa"/>
            <w:vAlign w:val="center"/>
          </w:tcPr>
          <w:p w14:paraId="52152D5E">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5A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B43E3E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shd w:val="clear" w:color="auto" w:fill="auto"/>
            <w:vAlign w:val="center"/>
          </w:tcPr>
          <w:p w14:paraId="68AA238C">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vAlign w:val="center"/>
          </w:tcPr>
          <w:p w14:paraId="1A91EF93">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6BAED12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CB1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4ABB99A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shd w:val="clear" w:color="auto" w:fill="auto"/>
            <w:vAlign w:val="center"/>
          </w:tcPr>
          <w:p w14:paraId="1F8F9028">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vAlign w:val="center"/>
          </w:tcPr>
          <w:p w14:paraId="624659C9">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1E1E15B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3C9E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7A3A8F6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shd w:val="clear" w:color="auto" w:fill="auto"/>
            <w:vAlign w:val="center"/>
          </w:tcPr>
          <w:p w14:paraId="618460AD">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vAlign w:val="center"/>
          </w:tcPr>
          <w:p w14:paraId="5A82CB6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523CFD1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AF9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64D05C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shd w:val="clear" w:color="auto" w:fill="auto"/>
            <w:vAlign w:val="center"/>
          </w:tcPr>
          <w:p w14:paraId="2B8AB6BC">
            <w:pPr>
              <w:pStyle w:val="49"/>
              <w:keepNext w:val="0"/>
              <w:keepLines w:val="0"/>
              <w:suppressLineNumbers w:val="0"/>
              <w:spacing w:before="0" w:beforeAutospacing="0" w:after="0" w:afterAutospacing="0" w:line="240" w:lineRule="auto"/>
              <w:ind w:left="0" w:right="0"/>
              <w:jc w:val="left"/>
              <w:rPr>
                <w:rFonts w:hint="default" w:ascii="宋体" w:hAnsi="宋体" w:cs="宋体"/>
                <w:color w:val="auto"/>
                <w:kern w:val="0"/>
                <w:szCs w:val="24"/>
                <w:highlight w:val="none"/>
                <w:lang w:bidi="ar"/>
              </w:rPr>
            </w:pPr>
            <w:r>
              <w:rPr>
                <w:rFonts w:hint="eastAsia" w:ascii="宋体" w:hAnsi="宋体" w:cs="宋体"/>
                <w:color w:val="auto"/>
                <w:kern w:val="0"/>
                <w:szCs w:val="24"/>
                <w:highlight w:val="none"/>
                <w:lang w:bidi="ar"/>
              </w:rPr>
              <w:t>电梯机房部分装修装饰</w:t>
            </w:r>
          </w:p>
        </w:tc>
        <w:tc>
          <w:tcPr>
            <w:tcW w:w="2160" w:type="dxa"/>
            <w:vAlign w:val="center"/>
          </w:tcPr>
          <w:p w14:paraId="6801F8EE">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66B2D4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255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14471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shd w:val="clear" w:color="auto" w:fill="auto"/>
            <w:vAlign w:val="center"/>
          </w:tcPr>
          <w:p w14:paraId="647807E4">
            <w:pPr>
              <w:pStyle w:val="49"/>
              <w:keepNext w:val="0"/>
              <w:keepLines w:val="0"/>
              <w:suppressLineNumbers w:val="0"/>
              <w:spacing w:before="0" w:beforeAutospacing="0" w:after="0" w:afterAutospacing="0" w:line="240" w:lineRule="auto"/>
              <w:ind w:left="0" w:right="0"/>
              <w:jc w:val="left"/>
              <w:rPr>
                <w:rFonts w:hint="default" w:ascii="宋体" w:hAnsi="宋体" w:cs="宋体"/>
                <w:color w:val="auto"/>
                <w:szCs w:val="24"/>
                <w:highlight w:val="none"/>
              </w:rPr>
            </w:pPr>
            <w:r>
              <w:rPr>
                <w:rFonts w:hint="eastAsia" w:ascii="宋体" w:hAnsi="宋体" w:cs="宋体"/>
                <w:color w:val="auto"/>
                <w:kern w:val="0"/>
                <w:szCs w:val="24"/>
                <w:highlight w:val="none"/>
                <w:lang w:bidi="ar"/>
              </w:rPr>
              <w:t>措施项目费</w:t>
            </w:r>
          </w:p>
        </w:tc>
        <w:tc>
          <w:tcPr>
            <w:tcW w:w="2160" w:type="dxa"/>
            <w:vAlign w:val="center"/>
          </w:tcPr>
          <w:p w14:paraId="46565F7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4DDDBA3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DC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525107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shd w:val="clear" w:color="auto" w:fill="auto"/>
            <w:vAlign w:val="center"/>
          </w:tcPr>
          <w:p w14:paraId="16738CE6">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其他费用</w:t>
            </w:r>
          </w:p>
        </w:tc>
        <w:tc>
          <w:tcPr>
            <w:tcW w:w="2160" w:type="dxa"/>
            <w:vAlign w:val="center"/>
          </w:tcPr>
          <w:p w14:paraId="3BB92EB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A904D19">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3529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2A7A8C9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5195" w:type="dxa"/>
            <w:shd w:val="clear" w:color="auto" w:fill="auto"/>
            <w:vAlign w:val="center"/>
          </w:tcPr>
          <w:p w14:paraId="72DBBE2B">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旧梯残值</w:t>
            </w:r>
          </w:p>
        </w:tc>
        <w:tc>
          <w:tcPr>
            <w:tcW w:w="2160" w:type="dxa"/>
            <w:vAlign w:val="center"/>
          </w:tcPr>
          <w:p w14:paraId="7166647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2B9AD5C3">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481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6AA01273">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shd w:val="clear" w:color="auto" w:fill="auto"/>
            <w:vAlign w:val="center"/>
          </w:tcPr>
          <w:p w14:paraId="012927E8">
            <w:pPr>
              <w:keepNext w:val="0"/>
              <w:keepLines w:val="0"/>
              <w:widowControl/>
              <w:suppressLineNumbers w:val="0"/>
              <w:spacing w:before="0" w:beforeAutospacing="0" w:after="0" w:afterAutospacing="0"/>
              <w:ind w:left="0" w:right="0"/>
              <w:jc w:val="left"/>
              <w:textAlignment w:val="center"/>
              <w:rPr>
                <w:rFonts w:hint="default"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此楼栋含税报价总计金额=（1+2+3+4+5+6）-7</w:t>
            </w:r>
          </w:p>
        </w:tc>
        <w:tc>
          <w:tcPr>
            <w:tcW w:w="2160" w:type="dxa"/>
            <w:vAlign w:val="center"/>
          </w:tcPr>
          <w:p w14:paraId="0D324B86">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D7B2D4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5A837443">
      <w:pPr>
        <w:pStyle w:val="269"/>
        <w:ind w:left="0" w:leftChars="0" w:firstLine="0" w:firstLineChars="0"/>
        <w:rPr>
          <w:rFonts w:ascii="宋体" w:hAnsi="宋体" w:cs="宋体"/>
          <w:color w:val="auto"/>
          <w:sz w:val="24"/>
          <w:highlight w:val="none"/>
        </w:rPr>
      </w:pPr>
    </w:p>
    <w:p w14:paraId="7F41D4F0">
      <w:pPr>
        <w:adjustRightInd w:val="0"/>
        <w:snapToGrid w:val="0"/>
        <w:spacing w:line="480" w:lineRule="auto"/>
        <w:jc w:val="left"/>
        <w:rPr>
          <w:rFonts w:ascii="宋体" w:hAnsi="宋体" w:cs="宋体"/>
          <w:b/>
          <w:bCs/>
          <w:color w:val="auto"/>
          <w:szCs w:val="28"/>
          <w:highlight w:val="none"/>
        </w:rPr>
      </w:pPr>
      <w:r>
        <w:rPr>
          <w:rFonts w:hint="eastAsia" w:ascii="宋体" w:hAnsi="宋体" w:cs="宋体"/>
          <w:color w:val="auto"/>
          <w:sz w:val="24"/>
          <w:szCs w:val="24"/>
          <w:highlight w:val="none"/>
        </w:rPr>
        <w:t>注：原电梯残值抵扣不低于1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万元/台。 </w:t>
      </w:r>
      <w:r>
        <w:rPr>
          <w:rFonts w:hint="eastAsia" w:ascii="宋体" w:hAnsi="宋体" w:cs="宋体"/>
          <w:b/>
          <w:bCs/>
          <w:color w:val="auto"/>
          <w:szCs w:val="28"/>
          <w:highlight w:val="none"/>
        </w:rPr>
        <w:t xml:space="preserve">                        </w:t>
      </w:r>
    </w:p>
    <w:p w14:paraId="24A14F59">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Cs w:val="28"/>
          <w:highlight w:val="none"/>
        </w:rPr>
        <w:t xml:space="preserve">                              </w:t>
      </w:r>
      <w:r>
        <w:rPr>
          <w:rFonts w:hint="eastAsia" w:ascii="宋体" w:hAnsi="宋体" w:cs="宋体"/>
          <w:b/>
          <w:bCs/>
          <w:color w:val="auto"/>
          <w:sz w:val="24"/>
          <w:szCs w:val="24"/>
          <w:highlight w:val="none"/>
        </w:rPr>
        <w:t>供应商名称（公章）：</w:t>
      </w:r>
    </w:p>
    <w:p w14:paraId="7BFD215A">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5890C42C">
      <w:pPr>
        <w:adjustRightInd w:val="0"/>
        <w:snapToGrid w:val="0"/>
        <w:spacing w:line="480" w:lineRule="auto"/>
        <w:jc w:val="center"/>
        <w:rPr>
          <w:rFonts w:ascii="宋体" w:hAnsi="宋体" w:cs="宋体"/>
          <w:b/>
          <w:bCs/>
          <w:color w:val="auto"/>
          <w:szCs w:val="28"/>
          <w:highlight w:val="none"/>
        </w:rPr>
      </w:pPr>
    </w:p>
    <w:p w14:paraId="7B49DFA1">
      <w:pPr>
        <w:adjustRightInd w:val="0"/>
        <w:snapToGrid w:val="0"/>
        <w:spacing w:line="480" w:lineRule="auto"/>
        <w:jc w:val="center"/>
        <w:rPr>
          <w:rFonts w:ascii="宋体" w:hAnsi="宋体" w:cs="宋体"/>
          <w:b/>
          <w:bCs/>
          <w:color w:val="auto"/>
          <w:szCs w:val="28"/>
          <w:highlight w:val="none"/>
        </w:rPr>
      </w:pPr>
    </w:p>
    <w:p w14:paraId="009800F0">
      <w:pPr>
        <w:adjustRightInd w:val="0"/>
        <w:snapToGrid w:val="0"/>
        <w:spacing w:line="480" w:lineRule="auto"/>
        <w:jc w:val="center"/>
        <w:rPr>
          <w:rFonts w:ascii="宋体" w:hAnsi="宋体" w:cs="宋体"/>
          <w:b/>
          <w:bCs/>
          <w:color w:val="auto"/>
          <w:szCs w:val="28"/>
          <w:highlight w:val="none"/>
        </w:rPr>
      </w:pPr>
    </w:p>
    <w:p w14:paraId="0047A03E">
      <w:pPr>
        <w:adjustRightInd w:val="0"/>
        <w:snapToGrid w:val="0"/>
        <w:spacing w:line="480" w:lineRule="auto"/>
        <w:jc w:val="center"/>
        <w:rPr>
          <w:rFonts w:ascii="宋体" w:hAnsi="宋体" w:cs="宋体"/>
          <w:b/>
          <w:bCs/>
          <w:color w:val="auto"/>
          <w:szCs w:val="28"/>
          <w:highlight w:val="none"/>
        </w:rPr>
      </w:pPr>
    </w:p>
    <w:p w14:paraId="78816BFC">
      <w:pPr>
        <w:adjustRightInd w:val="0"/>
        <w:snapToGrid w:val="0"/>
        <w:spacing w:line="480" w:lineRule="auto"/>
        <w:jc w:val="center"/>
        <w:rPr>
          <w:rFonts w:ascii="宋体" w:hAnsi="宋体" w:cs="宋体"/>
          <w:b/>
          <w:bCs/>
          <w:color w:val="auto"/>
          <w:szCs w:val="28"/>
          <w:highlight w:val="none"/>
        </w:rPr>
      </w:pPr>
    </w:p>
    <w:p w14:paraId="3E023639">
      <w:pPr>
        <w:adjustRightInd w:val="0"/>
        <w:snapToGrid w:val="0"/>
        <w:spacing w:line="480" w:lineRule="auto"/>
        <w:jc w:val="center"/>
        <w:rPr>
          <w:rFonts w:ascii="宋体" w:hAnsi="宋体" w:cs="宋体"/>
          <w:b/>
          <w:bCs/>
          <w:color w:val="auto"/>
          <w:szCs w:val="28"/>
          <w:highlight w:val="none"/>
        </w:rPr>
      </w:pPr>
    </w:p>
    <w:p w14:paraId="6136AD8F">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rPr>
        <w:t>报价明细表-2</w:t>
      </w:r>
    </w:p>
    <w:p w14:paraId="0FF9C1BA">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5</w:t>
      </w:r>
      <w:r>
        <w:rPr>
          <w:rFonts w:ascii="宋体" w:hAnsi="宋体" w:cs="宋体"/>
          <w:b/>
          <w:bCs/>
          <w:color w:val="auto"/>
          <w:sz w:val="24"/>
          <w:szCs w:val="24"/>
          <w:highlight w:val="none"/>
        </w:rPr>
        <w:t>栋2#</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9E3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591AD5C0">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5195" w:type="dxa"/>
            <w:vAlign w:val="center"/>
          </w:tcPr>
          <w:p w14:paraId="6E621DFD">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vAlign w:val="center"/>
          </w:tcPr>
          <w:p w14:paraId="3982FE47">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1373" w:type="dxa"/>
            <w:vAlign w:val="center"/>
          </w:tcPr>
          <w:p w14:paraId="2ECB4C76">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308C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18E7274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shd w:val="clear" w:color="auto" w:fill="auto"/>
            <w:vAlign w:val="center"/>
          </w:tcPr>
          <w:p w14:paraId="5A906E2F">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vAlign w:val="center"/>
          </w:tcPr>
          <w:p w14:paraId="6F90CD3E">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D554719">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4DD8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42984BF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shd w:val="clear" w:color="auto" w:fill="auto"/>
            <w:vAlign w:val="center"/>
          </w:tcPr>
          <w:p w14:paraId="45D0A3B7">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vAlign w:val="center"/>
          </w:tcPr>
          <w:p w14:paraId="0F86F916">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47908005">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3BEB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480F6A8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shd w:val="clear" w:color="auto" w:fill="auto"/>
            <w:vAlign w:val="center"/>
          </w:tcPr>
          <w:p w14:paraId="50B704A5">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vAlign w:val="center"/>
          </w:tcPr>
          <w:p w14:paraId="6DCB372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3E3D9D0E">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50D6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4EB080B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shd w:val="clear" w:color="auto" w:fill="auto"/>
            <w:vAlign w:val="center"/>
          </w:tcPr>
          <w:p w14:paraId="7719F628">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电梯机房部分装修装饰</w:t>
            </w:r>
          </w:p>
        </w:tc>
        <w:tc>
          <w:tcPr>
            <w:tcW w:w="2160" w:type="dxa"/>
            <w:vAlign w:val="center"/>
          </w:tcPr>
          <w:p w14:paraId="1052389B">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083A35DC">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172A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5D3BC5A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shd w:val="clear" w:color="auto" w:fill="auto"/>
            <w:vAlign w:val="center"/>
          </w:tcPr>
          <w:p w14:paraId="7D423F9B">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措施项目费</w:t>
            </w:r>
          </w:p>
        </w:tc>
        <w:tc>
          <w:tcPr>
            <w:tcW w:w="2160" w:type="dxa"/>
            <w:vAlign w:val="center"/>
          </w:tcPr>
          <w:p w14:paraId="08746F40">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3DD46D0">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F92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5748B9A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shd w:val="clear" w:color="auto" w:fill="auto"/>
            <w:vAlign w:val="center"/>
          </w:tcPr>
          <w:p w14:paraId="603267DC">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其他费用</w:t>
            </w:r>
          </w:p>
        </w:tc>
        <w:tc>
          <w:tcPr>
            <w:tcW w:w="2160" w:type="dxa"/>
            <w:vAlign w:val="center"/>
          </w:tcPr>
          <w:p w14:paraId="26BB887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4DD9C6C0">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2C98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5B4D586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5195" w:type="dxa"/>
            <w:shd w:val="clear" w:color="auto" w:fill="auto"/>
            <w:vAlign w:val="center"/>
          </w:tcPr>
          <w:p w14:paraId="1444BF55">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旧梯残值</w:t>
            </w:r>
          </w:p>
        </w:tc>
        <w:tc>
          <w:tcPr>
            <w:tcW w:w="2160" w:type="dxa"/>
            <w:vAlign w:val="center"/>
          </w:tcPr>
          <w:p w14:paraId="0D6A6E7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1198550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2488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shd w:val="clear" w:color="auto" w:fill="auto"/>
            <w:vAlign w:val="center"/>
          </w:tcPr>
          <w:p w14:paraId="3E05D5F9">
            <w:pPr>
              <w:keepNext w:val="0"/>
              <w:keepLines w:val="0"/>
              <w:widowControl/>
              <w:suppressLineNumbers w:val="0"/>
              <w:spacing w:before="0" w:beforeAutospacing="0" w:after="0" w:afterAutospacing="0"/>
              <w:ind w:left="0" w:right="0"/>
              <w:jc w:val="center"/>
              <w:textAlignment w:val="center"/>
              <w:rPr>
                <w:rFonts w:hint="default" w:ascii="宋体" w:hAnsi="宋体" w:cs="宋体"/>
                <w:b/>
                <w:color w:val="auto"/>
                <w:sz w:val="24"/>
                <w:szCs w:val="24"/>
                <w:highlight w:val="none"/>
              </w:rPr>
            </w:pPr>
            <w:r>
              <w:rPr>
                <w:rFonts w:hint="eastAsia" w:ascii="宋体" w:hAnsi="宋体" w:cs="宋体"/>
                <w:color w:val="auto"/>
                <w:kern w:val="0"/>
                <w:sz w:val="24"/>
                <w:szCs w:val="24"/>
                <w:highlight w:val="none"/>
                <w:lang w:bidi="ar"/>
              </w:rPr>
              <w:t>8</w:t>
            </w:r>
          </w:p>
        </w:tc>
        <w:tc>
          <w:tcPr>
            <w:tcW w:w="5195" w:type="dxa"/>
            <w:shd w:val="clear" w:color="auto" w:fill="auto"/>
            <w:vAlign w:val="center"/>
          </w:tcPr>
          <w:p w14:paraId="09EF9713">
            <w:pPr>
              <w:keepNext w:val="0"/>
              <w:keepLines w:val="0"/>
              <w:widowControl/>
              <w:suppressLineNumbers w:val="0"/>
              <w:spacing w:before="0" w:beforeAutospacing="0" w:after="0" w:afterAutospacing="0"/>
              <w:ind w:left="0" w:right="0"/>
              <w:jc w:val="left"/>
              <w:textAlignment w:val="center"/>
              <w:rPr>
                <w:rFonts w:hint="default"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此楼栋含税报价总计金额=（1+2+3+4+5+6）-7</w:t>
            </w:r>
          </w:p>
        </w:tc>
        <w:tc>
          <w:tcPr>
            <w:tcW w:w="2160" w:type="dxa"/>
            <w:vAlign w:val="center"/>
          </w:tcPr>
          <w:p w14:paraId="04C4B46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12B05864">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6D9584FB">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注：原电梯残值抵扣不低于1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万元/台。</w:t>
      </w:r>
    </w:p>
    <w:p w14:paraId="0055F34B">
      <w:pPr>
        <w:snapToGrid w:val="0"/>
        <w:spacing w:line="380" w:lineRule="exact"/>
        <w:ind w:firstLine="420"/>
        <w:rPr>
          <w:rFonts w:ascii="宋体" w:hAnsi="宋体" w:cs="宋体"/>
          <w:b/>
          <w:bCs/>
          <w:color w:val="auto"/>
          <w:sz w:val="24"/>
          <w:szCs w:val="24"/>
          <w:highlight w:val="none"/>
        </w:rPr>
      </w:pPr>
    </w:p>
    <w:p w14:paraId="39C60194">
      <w:pPr>
        <w:snapToGrid w:val="0"/>
        <w:spacing w:line="380" w:lineRule="exact"/>
        <w:ind w:firstLine="420"/>
        <w:rPr>
          <w:rFonts w:ascii="宋体" w:hAnsi="宋体" w:cs="宋体"/>
          <w:b/>
          <w:bCs/>
          <w:color w:val="auto"/>
          <w:sz w:val="24"/>
          <w:szCs w:val="24"/>
          <w:highlight w:val="none"/>
        </w:rPr>
      </w:pPr>
    </w:p>
    <w:p w14:paraId="45E9CC63">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供应商名称（公章）：</w:t>
      </w:r>
    </w:p>
    <w:p w14:paraId="043E64DF">
      <w:pPr>
        <w:snapToGrid w:val="0"/>
        <w:spacing w:line="380" w:lineRule="exact"/>
        <w:ind w:firstLine="420"/>
        <w:jc w:val="right"/>
        <w:rPr>
          <w:rFonts w:ascii="宋体" w:hAnsi="宋体" w:cs="宋体"/>
          <w:b/>
          <w:bCs/>
          <w:color w:val="auto"/>
          <w:sz w:val="24"/>
          <w:szCs w:val="24"/>
          <w:highlight w:val="none"/>
        </w:rPr>
        <w:sectPr>
          <w:foot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b/>
          <w:bCs/>
          <w:color w:val="auto"/>
          <w:sz w:val="24"/>
          <w:szCs w:val="24"/>
          <w:highlight w:val="none"/>
        </w:rPr>
        <w:t xml:space="preserve">                                             年   月   日</w:t>
      </w:r>
    </w:p>
    <w:p w14:paraId="15047426">
      <w:pPr>
        <w:keepNext/>
        <w:keepLines/>
        <w:adjustRightInd w:val="0"/>
        <w:snapToGrid w:val="0"/>
        <w:spacing w:line="400" w:lineRule="exact"/>
        <w:ind w:firstLine="482" w:firstLineChars="200"/>
        <w:jc w:val="center"/>
        <w:outlineLvl w:val="1"/>
        <w:rPr>
          <w:rFonts w:ascii="宋体" w:hAnsi="宋体" w:cs="宋体"/>
          <w:b/>
          <w:color w:val="auto"/>
          <w:sz w:val="24"/>
          <w:highlight w:val="none"/>
        </w:rPr>
      </w:pPr>
      <w:bookmarkStart w:id="277" w:name="_Toc22655"/>
      <w:bookmarkStart w:id="278" w:name="_Toc26085"/>
      <w:bookmarkStart w:id="279" w:name="_Toc313888361"/>
      <w:bookmarkStart w:id="280" w:name="_Toc342913420"/>
      <w:bookmarkStart w:id="281" w:name="_Toc313008357"/>
      <w:bookmarkStart w:id="282" w:name="_Toc14073"/>
      <w:bookmarkStart w:id="283" w:name="_Toc32307"/>
      <w:bookmarkStart w:id="284" w:name="_Toc65660380"/>
      <w:r>
        <w:rPr>
          <w:rFonts w:hint="eastAsia" w:ascii="宋体" w:hAnsi="宋体" w:cs="宋体"/>
          <w:b/>
          <w:color w:val="auto"/>
          <w:sz w:val="24"/>
          <w:highlight w:val="none"/>
        </w:rPr>
        <w:t>二、技术（质量）部分</w:t>
      </w:r>
      <w:bookmarkEnd w:id="277"/>
      <w:bookmarkEnd w:id="278"/>
      <w:bookmarkEnd w:id="279"/>
      <w:bookmarkEnd w:id="280"/>
      <w:bookmarkEnd w:id="281"/>
      <w:bookmarkEnd w:id="282"/>
      <w:bookmarkEnd w:id="283"/>
      <w:bookmarkEnd w:id="284"/>
    </w:p>
    <w:p w14:paraId="2F6A027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6E2498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采购执行编号： </w:t>
      </w:r>
      <w:r>
        <w:rPr>
          <w:rFonts w:hint="eastAsia" w:ascii="宋体" w:hAnsi="宋体" w:cs="宋体"/>
          <w:color w:val="auto"/>
          <w:sz w:val="24"/>
          <w:szCs w:val="24"/>
          <w:highlight w:val="none"/>
          <w:lang w:eastAsia="zh-CN"/>
        </w:rPr>
        <w:t>JZHYZB-20250903</w:t>
      </w:r>
      <w:r>
        <w:rPr>
          <w:rFonts w:hint="eastAsia" w:ascii="宋体" w:hAnsi="宋体" w:cs="宋体"/>
          <w:color w:val="auto"/>
          <w:sz w:val="24"/>
          <w:szCs w:val="24"/>
          <w:highlight w:val="none"/>
        </w:rPr>
        <w:t xml:space="preserve">  </w:t>
      </w:r>
    </w:p>
    <w:p w14:paraId="7B0A2B6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骏逸新视界5栋电梯更新改造工程</w:t>
      </w:r>
      <w:r>
        <w:rPr>
          <w:rFonts w:hint="eastAsia" w:ascii="宋体" w:hAnsi="宋体" w:cs="宋体"/>
          <w:color w:val="auto"/>
          <w:sz w:val="24"/>
          <w:szCs w:val="24"/>
          <w:highlight w:val="none"/>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4F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F02E27F">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bCs/>
                <w:color w:val="auto"/>
                <w:sz w:val="21"/>
                <w:szCs w:val="21"/>
                <w:highlight w:val="none"/>
              </w:rPr>
              <w:t>序号</w:t>
            </w:r>
          </w:p>
        </w:tc>
        <w:tc>
          <w:tcPr>
            <w:tcW w:w="2844" w:type="dxa"/>
            <w:vAlign w:val="center"/>
          </w:tcPr>
          <w:p w14:paraId="3FDBC5BC">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952" w:type="dxa"/>
            <w:vAlign w:val="center"/>
          </w:tcPr>
          <w:p w14:paraId="64D3B108">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212" w:type="dxa"/>
            <w:vAlign w:val="center"/>
          </w:tcPr>
          <w:p w14:paraId="5AB1060F">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048C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DEE9F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5DEC287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1AD1D2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23F8B9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2B8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85C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6460DE1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76216BA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1EA0172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61ED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AAABC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55A35AD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7DA386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218556E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0CE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BED67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4E1DC54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3D5DE6E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6839C12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249E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A15C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044DDF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19831B6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137F514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666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74069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C4FBB1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7FC2F51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6826E4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07A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00B07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4EE665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06F8087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2A3332A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598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B8CA1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30E1C93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110DFE3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6BC839D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336D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22F1A2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E74F8F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390CBE7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4385DFB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15AB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72232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67EF61E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2BF123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0DB788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bl>
    <w:p w14:paraId="368D4B26">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270F5500">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D14B3EA">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59B2BCD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9CFE937">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0A398E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比选项目技术（质量）需求”中所列条款进行比较和响应；</w:t>
      </w:r>
    </w:p>
    <w:p w14:paraId="0E62F6B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2.本表可扩展。</w:t>
      </w:r>
    </w:p>
    <w:p w14:paraId="56CB7C6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（二）其他资料（格式自定）</w:t>
      </w:r>
    </w:p>
    <w:p w14:paraId="69A0A0F0">
      <w:pPr>
        <w:tabs>
          <w:tab w:val="left" w:pos="6300"/>
        </w:tabs>
        <w:snapToGrid w:val="0"/>
        <w:spacing w:line="500" w:lineRule="exact"/>
        <w:ind w:firstLine="480" w:firstLineChars="200"/>
        <w:rPr>
          <w:rFonts w:ascii="宋体" w:hAnsi="宋体" w:cs="宋体"/>
          <w:color w:val="auto"/>
          <w:sz w:val="24"/>
          <w:szCs w:val="24"/>
          <w:highlight w:val="none"/>
        </w:rPr>
      </w:pPr>
    </w:p>
    <w:p w14:paraId="416B229B">
      <w:pPr>
        <w:keepNext/>
        <w:keepLines/>
        <w:adjustRightInd w:val="0"/>
        <w:snapToGrid w:val="0"/>
        <w:spacing w:line="400" w:lineRule="exact"/>
        <w:ind w:firstLine="640" w:firstLineChars="200"/>
        <w:outlineLvl w:val="1"/>
        <w:rPr>
          <w:rFonts w:ascii="宋体" w:hAnsi="宋体" w:cs="宋体"/>
          <w:b/>
          <w:color w:val="auto"/>
          <w:sz w:val="24"/>
          <w:highlight w:val="none"/>
        </w:rPr>
      </w:pPr>
      <w:r>
        <w:rPr>
          <w:rFonts w:hint="eastAsia" w:ascii="宋体" w:hAnsi="宋体" w:cs="宋体"/>
          <w:color w:val="auto"/>
          <w:sz w:val="32"/>
          <w:highlight w:val="none"/>
        </w:rPr>
        <w:br w:type="page"/>
      </w:r>
      <w:bookmarkStart w:id="285" w:name="_Toc19848"/>
      <w:bookmarkStart w:id="286" w:name="_Toc32158"/>
      <w:bookmarkStart w:id="287" w:name="_Toc65660381"/>
      <w:bookmarkStart w:id="288" w:name="_Toc32339"/>
      <w:bookmarkStart w:id="289" w:name="_Toc27717"/>
      <w:bookmarkStart w:id="290" w:name="_Toc313888362"/>
      <w:bookmarkStart w:id="291" w:name="_Toc342913421"/>
      <w:bookmarkStart w:id="292" w:name="_Toc313008358"/>
      <w:r>
        <w:rPr>
          <w:rFonts w:hint="eastAsia" w:ascii="宋体" w:hAnsi="宋体" w:cs="宋体"/>
          <w:b/>
          <w:color w:val="auto"/>
          <w:sz w:val="24"/>
          <w:highlight w:val="none"/>
        </w:rPr>
        <w:t>三、</w:t>
      </w:r>
      <w:bookmarkEnd w:id="285"/>
      <w:bookmarkEnd w:id="286"/>
      <w:bookmarkEnd w:id="287"/>
      <w:bookmarkEnd w:id="288"/>
      <w:bookmarkEnd w:id="289"/>
      <w:r>
        <w:rPr>
          <w:rFonts w:hint="eastAsia" w:ascii="宋体" w:hAnsi="宋体" w:cs="宋体"/>
          <w:b/>
          <w:color w:val="auto"/>
          <w:sz w:val="24"/>
          <w:highlight w:val="none"/>
        </w:rPr>
        <w:t>商务部分</w:t>
      </w:r>
    </w:p>
    <w:p w14:paraId="17D94C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4728FBF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采购执行编号： </w:t>
      </w:r>
      <w:r>
        <w:rPr>
          <w:rFonts w:hint="eastAsia" w:ascii="宋体" w:hAnsi="宋体" w:cs="宋体"/>
          <w:color w:val="auto"/>
          <w:sz w:val="24"/>
          <w:szCs w:val="24"/>
          <w:highlight w:val="none"/>
          <w:lang w:eastAsia="zh-CN"/>
        </w:rPr>
        <w:t>JZHYZB-20250903</w:t>
      </w:r>
      <w:r>
        <w:rPr>
          <w:rFonts w:hint="eastAsia" w:ascii="宋体" w:hAnsi="宋体" w:cs="宋体"/>
          <w:color w:val="auto"/>
          <w:sz w:val="24"/>
          <w:szCs w:val="24"/>
          <w:highlight w:val="none"/>
        </w:rPr>
        <w:t xml:space="preserve">                             </w:t>
      </w:r>
    </w:p>
    <w:p w14:paraId="1954951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骏逸新视界5栋电梯更新改造工程</w:t>
      </w:r>
      <w:r>
        <w:rPr>
          <w:rFonts w:hint="eastAsia" w:ascii="宋体" w:hAnsi="宋体" w:cs="宋体"/>
          <w:color w:val="auto"/>
          <w:sz w:val="24"/>
          <w:szCs w:val="24"/>
          <w:highlight w:val="none"/>
        </w:rPr>
        <w:t xml:space="preserve">                        </w:t>
      </w:r>
    </w:p>
    <w:p w14:paraId="13D0AE0F">
      <w:pPr>
        <w:spacing w:line="400" w:lineRule="exact"/>
        <w:ind w:firstLine="480" w:firstLineChars="200"/>
        <w:rPr>
          <w:rFonts w:ascii="宋体" w:hAnsi="宋体" w:cs="宋体"/>
          <w:color w:val="auto"/>
          <w:sz w:val="24"/>
          <w:szCs w:val="24"/>
          <w:highlight w:val="none"/>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47B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7A1D0F7">
            <w:pPr>
              <w:keepNext w:val="0"/>
              <w:keepLines w:val="0"/>
              <w:suppressLineNumbers w:val="0"/>
              <w:spacing w:before="0" w:beforeAutospacing="0" w:after="0" w:afterAutospacing="0"/>
              <w:ind w:left="0" w:right="0"/>
              <w:jc w:val="center"/>
              <w:rPr>
                <w:rFonts w:hint="default" w:ascii="宋体" w:hAnsi="宋体" w:cs="宋体"/>
                <w:b/>
                <w:color w:val="auto"/>
                <w:szCs w:val="24"/>
                <w:highlight w:val="none"/>
              </w:rPr>
            </w:pPr>
            <w:r>
              <w:rPr>
                <w:rFonts w:hint="eastAsia" w:ascii="宋体" w:hAnsi="宋体" w:cs="宋体"/>
                <w:b/>
                <w:bCs/>
                <w:color w:val="auto"/>
                <w:sz w:val="21"/>
                <w:szCs w:val="21"/>
                <w:highlight w:val="none"/>
              </w:rPr>
              <w:t>序号</w:t>
            </w:r>
          </w:p>
        </w:tc>
        <w:tc>
          <w:tcPr>
            <w:tcW w:w="3184" w:type="dxa"/>
            <w:vAlign w:val="center"/>
          </w:tcPr>
          <w:p w14:paraId="679D673A">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438" w:type="dxa"/>
            <w:vAlign w:val="center"/>
          </w:tcPr>
          <w:p w14:paraId="55A9CE3C">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359" w:type="dxa"/>
            <w:vAlign w:val="center"/>
          </w:tcPr>
          <w:p w14:paraId="7E3195B9">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1575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12255E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39ED21E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5F097726">
            <w:pPr>
              <w:keepNext w:val="0"/>
              <w:keepLines w:val="0"/>
              <w:suppressLineNumbers w:val="0"/>
              <w:tabs>
                <w:tab w:val="left" w:pos="6300"/>
              </w:tabs>
              <w:snapToGrid w:val="0"/>
              <w:spacing w:before="0" w:beforeAutospacing="0" w:after="0" w:afterAutospacing="0"/>
              <w:ind w:left="0" w:right="0"/>
              <w:outlineLvl w:val="0"/>
              <w:rPr>
                <w:rFonts w:hint="default" w:ascii="宋体" w:hAnsi="宋体" w:cs="宋体"/>
                <w:color w:val="auto"/>
                <w:sz w:val="21"/>
                <w:szCs w:val="24"/>
                <w:highlight w:val="none"/>
              </w:rPr>
            </w:pPr>
          </w:p>
        </w:tc>
        <w:tc>
          <w:tcPr>
            <w:tcW w:w="2359" w:type="dxa"/>
            <w:vAlign w:val="center"/>
          </w:tcPr>
          <w:p w14:paraId="276D37D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72C0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3EC230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023DB5E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0AB63DC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6190D93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2013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2CE632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37C19A0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1617E9A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2FE3FF3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5808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65705C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1613CF4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0D17A08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5B9E01F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39E7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097159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71ACD42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7A4FFD4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585EC23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043F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C83286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23DB720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5129D2C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72428ED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bl>
    <w:p w14:paraId="6A93F98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0A624A4F">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856EB0E">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65EFEE1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596A26A8">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B5CD5B2">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比选项目商务需求”中所列条款进行比较和响应；</w:t>
      </w:r>
    </w:p>
    <w:p w14:paraId="783290ED">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774F7DAA">
      <w:pPr>
        <w:tabs>
          <w:tab w:val="left" w:pos="6300"/>
        </w:tabs>
        <w:snapToGrid w:val="0"/>
        <w:spacing w:line="480" w:lineRule="exact"/>
        <w:ind w:firstLine="480" w:firstLineChars="200"/>
        <w:rPr>
          <w:rFonts w:ascii="宋体" w:hAnsi="宋体" w:cs="宋体"/>
          <w:color w:val="auto"/>
          <w:sz w:val="24"/>
          <w:szCs w:val="24"/>
          <w:highlight w:val="none"/>
        </w:rPr>
      </w:pPr>
    </w:p>
    <w:p w14:paraId="2C83F684">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（二）其它优惠服务承诺（格式自定）</w:t>
      </w:r>
    </w:p>
    <w:p w14:paraId="7ECEFDD1">
      <w:pPr>
        <w:tabs>
          <w:tab w:val="left" w:pos="6300"/>
        </w:tabs>
        <w:snapToGrid w:val="0"/>
        <w:spacing w:line="480" w:lineRule="exact"/>
        <w:ind w:firstLine="480" w:firstLineChars="200"/>
        <w:rPr>
          <w:rFonts w:ascii="宋体" w:hAnsi="宋体" w:cs="宋体"/>
          <w:color w:val="auto"/>
          <w:sz w:val="24"/>
          <w:szCs w:val="24"/>
          <w:highlight w:val="none"/>
        </w:rPr>
      </w:pPr>
    </w:p>
    <w:p w14:paraId="7B60F459">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93" w:name="_Toc21793"/>
      <w:bookmarkStart w:id="294" w:name="_Toc2082"/>
      <w:bookmarkStart w:id="295" w:name="_Toc20162"/>
      <w:bookmarkStart w:id="296" w:name="_Toc3934"/>
      <w:bookmarkStart w:id="297" w:name="_Toc65660382"/>
      <w:r>
        <w:rPr>
          <w:rFonts w:hint="eastAsia" w:ascii="宋体" w:hAnsi="宋体" w:cs="宋体"/>
          <w:b/>
          <w:color w:val="auto"/>
          <w:sz w:val="24"/>
          <w:highlight w:val="none"/>
        </w:rPr>
        <w:t>四、</w:t>
      </w:r>
      <w:bookmarkEnd w:id="290"/>
      <w:bookmarkEnd w:id="291"/>
      <w:bookmarkEnd w:id="292"/>
      <w:r>
        <w:rPr>
          <w:rFonts w:hint="eastAsia" w:ascii="宋体" w:hAnsi="宋体" w:cs="宋体"/>
          <w:b/>
          <w:color w:val="auto"/>
          <w:sz w:val="24"/>
          <w:highlight w:val="none"/>
        </w:rPr>
        <w:t>资格条件及其他</w:t>
      </w:r>
      <w:bookmarkEnd w:id="293"/>
      <w:bookmarkEnd w:id="294"/>
      <w:bookmarkEnd w:id="295"/>
      <w:bookmarkEnd w:id="296"/>
      <w:bookmarkEnd w:id="297"/>
      <w:bookmarkStart w:id="298" w:name="_Toc342913422"/>
      <w:bookmarkStart w:id="299" w:name="_Toc313888363"/>
      <w:bookmarkStart w:id="300" w:name="_Toc313008359"/>
    </w:p>
    <w:p w14:paraId="0B337E7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0B9C84D">
      <w:pPr>
        <w:tabs>
          <w:tab w:val="left" w:pos="6300"/>
        </w:tabs>
        <w:snapToGrid w:val="0"/>
        <w:spacing w:line="500" w:lineRule="exact"/>
        <w:ind w:firstLine="570"/>
        <w:rPr>
          <w:rFonts w:ascii="宋体" w:hAnsi="宋体" w:cs="宋体"/>
          <w:color w:val="auto"/>
          <w:sz w:val="24"/>
          <w:szCs w:val="24"/>
          <w:highlight w:val="none"/>
        </w:rPr>
      </w:pPr>
    </w:p>
    <w:p w14:paraId="58274474">
      <w:pPr>
        <w:tabs>
          <w:tab w:val="left" w:pos="6300"/>
        </w:tabs>
        <w:snapToGrid w:val="0"/>
        <w:spacing w:line="500" w:lineRule="exact"/>
        <w:ind w:firstLine="570"/>
        <w:rPr>
          <w:rFonts w:ascii="宋体" w:hAnsi="宋体" w:cs="宋体"/>
          <w:color w:val="auto"/>
          <w:highlight w:val="none"/>
        </w:rPr>
      </w:pPr>
    </w:p>
    <w:p w14:paraId="3072F5C9">
      <w:pPr>
        <w:tabs>
          <w:tab w:val="left" w:pos="6300"/>
        </w:tabs>
        <w:snapToGrid w:val="0"/>
        <w:spacing w:line="500" w:lineRule="exact"/>
        <w:ind w:firstLine="570"/>
        <w:rPr>
          <w:rFonts w:ascii="宋体" w:hAnsi="宋体" w:cs="宋体"/>
          <w:color w:val="auto"/>
          <w:highlight w:val="none"/>
        </w:rPr>
      </w:pPr>
    </w:p>
    <w:p w14:paraId="7EAC194D">
      <w:pPr>
        <w:tabs>
          <w:tab w:val="left" w:pos="6300"/>
        </w:tabs>
        <w:snapToGrid w:val="0"/>
        <w:spacing w:line="500" w:lineRule="exact"/>
        <w:ind w:firstLine="570"/>
        <w:rPr>
          <w:rFonts w:ascii="宋体" w:hAnsi="宋体" w:cs="宋体"/>
          <w:color w:val="auto"/>
          <w:highlight w:val="none"/>
        </w:rPr>
      </w:pPr>
    </w:p>
    <w:p w14:paraId="18F02C4F">
      <w:pPr>
        <w:tabs>
          <w:tab w:val="left" w:pos="6300"/>
        </w:tabs>
        <w:snapToGrid w:val="0"/>
        <w:spacing w:line="500" w:lineRule="exact"/>
        <w:ind w:firstLine="570"/>
        <w:rPr>
          <w:rFonts w:ascii="宋体" w:hAnsi="宋体" w:cs="宋体"/>
          <w:color w:val="auto"/>
          <w:highlight w:val="none"/>
        </w:rPr>
      </w:pPr>
    </w:p>
    <w:p w14:paraId="03556BCD">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6ECE42D">
      <w:pPr>
        <w:tabs>
          <w:tab w:val="left" w:pos="6300"/>
        </w:tabs>
        <w:snapToGrid w:val="0"/>
        <w:spacing w:line="500" w:lineRule="exact"/>
        <w:ind w:firstLine="570"/>
        <w:rPr>
          <w:rFonts w:ascii="宋体" w:hAnsi="宋体" w:cs="宋体"/>
          <w:color w:val="auto"/>
          <w:sz w:val="24"/>
          <w:highlight w:val="none"/>
        </w:rPr>
      </w:pPr>
    </w:p>
    <w:p w14:paraId="3A877755">
      <w:pPr>
        <w:tabs>
          <w:tab w:val="left" w:pos="6300"/>
        </w:tabs>
        <w:snapToGrid w:val="0"/>
        <w:spacing w:line="500" w:lineRule="exact"/>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highlight w:val="none"/>
        </w:rPr>
        <w:t>比选项目名称：</w:t>
      </w:r>
      <w:r>
        <w:rPr>
          <w:rFonts w:hint="eastAsia" w:ascii="宋体" w:hAnsi="宋体" w:cs="宋体"/>
          <w:color w:val="auto"/>
          <w:sz w:val="24"/>
          <w:highlight w:val="none"/>
          <w:u w:val="single"/>
          <w:lang w:eastAsia="zh-CN"/>
        </w:rPr>
        <w:t>骏逸新视界5栋电梯更新改造工程</w:t>
      </w:r>
    </w:p>
    <w:p w14:paraId="1C680E3D">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12123AC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B3F94A8">
      <w:pPr>
        <w:tabs>
          <w:tab w:val="left" w:pos="6300"/>
        </w:tabs>
        <w:snapToGrid w:val="0"/>
        <w:spacing w:line="500" w:lineRule="exact"/>
        <w:ind w:firstLine="570"/>
        <w:rPr>
          <w:rFonts w:ascii="宋体" w:hAnsi="宋体" w:cs="宋体"/>
          <w:color w:val="auto"/>
          <w:sz w:val="24"/>
          <w:highlight w:val="none"/>
        </w:rPr>
      </w:pPr>
    </w:p>
    <w:p w14:paraId="2E86950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E8EAFCA">
      <w:pPr>
        <w:tabs>
          <w:tab w:val="left" w:pos="6300"/>
        </w:tabs>
        <w:snapToGrid w:val="0"/>
        <w:spacing w:line="500" w:lineRule="exact"/>
        <w:ind w:firstLine="570"/>
        <w:rPr>
          <w:rFonts w:ascii="宋体" w:hAnsi="宋体" w:cs="宋体"/>
          <w:color w:val="auto"/>
          <w:sz w:val="24"/>
          <w:highlight w:val="none"/>
        </w:rPr>
      </w:pPr>
    </w:p>
    <w:p w14:paraId="29E42CF9">
      <w:pPr>
        <w:tabs>
          <w:tab w:val="left" w:pos="6300"/>
        </w:tabs>
        <w:snapToGrid w:val="0"/>
        <w:spacing w:line="500" w:lineRule="exact"/>
        <w:ind w:firstLine="570"/>
        <w:rPr>
          <w:rFonts w:ascii="宋体" w:hAnsi="宋体" w:cs="宋体"/>
          <w:color w:val="auto"/>
          <w:sz w:val="24"/>
          <w:highlight w:val="none"/>
        </w:rPr>
      </w:pPr>
    </w:p>
    <w:p w14:paraId="6FCC3B4C">
      <w:pPr>
        <w:tabs>
          <w:tab w:val="left" w:pos="6300"/>
        </w:tabs>
        <w:snapToGrid w:val="0"/>
        <w:spacing w:line="500" w:lineRule="exact"/>
        <w:ind w:firstLine="570"/>
        <w:rPr>
          <w:rFonts w:ascii="宋体" w:hAnsi="宋体" w:cs="宋体"/>
          <w:color w:val="auto"/>
          <w:sz w:val="24"/>
          <w:highlight w:val="none"/>
        </w:rPr>
      </w:pPr>
    </w:p>
    <w:p w14:paraId="20380C8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7D1CC19">
      <w:pPr>
        <w:tabs>
          <w:tab w:val="left" w:pos="6300"/>
        </w:tabs>
        <w:snapToGrid w:val="0"/>
        <w:spacing w:line="500" w:lineRule="exact"/>
        <w:ind w:firstLine="570"/>
        <w:rPr>
          <w:rFonts w:ascii="宋体" w:hAnsi="宋体" w:cs="宋体"/>
          <w:color w:val="auto"/>
          <w:sz w:val="24"/>
          <w:highlight w:val="none"/>
        </w:rPr>
      </w:pPr>
    </w:p>
    <w:p w14:paraId="290967F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0AC7144">
      <w:pPr>
        <w:tabs>
          <w:tab w:val="left" w:pos="6300"/>
        </w:tabs>
        <w:snapToGrid w:val="0"/>
        <w:spacing w:line="500" w:lineRule="exact"/>
        <w:ind w:firstLine="570"/>
        <w:rPr>
          <w:rFonts w:ascii="宋体" w:hAnsi="宋体" w:cs="宋体"/>
          <w:color w:val="auto"/>
          <w:sz w:val="24"/>
          <w:highlight w:val="none"/>
        </w:rPr>
      </w:pPr>
    </w:p>
    <w:p w14:paraId="3BEC0085">
      <w:pPr>
        <w:tabs>
          <w:tab w:val="left" w:pos="6300"/>
        </w:tabs>
        <w:snapToGrid w:val="0"/>
        <w:spacing w:line="500" w:lineRule="exact"/>
        <w:ind w:firstLine="570"/>
        <w:rPr>
          <w:rFonts w:ascii="宋体" w:hAnsi="宋体" w:cs="宋体"/>
          <w:color w:val="auto"/>
          <w:sz w:val="24"/>
          <w:highlight w:val="none"/>
        </w:rPr>
      </w:pPr>
    </w:p>
    <w:p w14:paraId="503BE87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040A595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349C6CA">
      <w:pPr>
        <w:tabs>
          <w:tab w:val="left" w:pos="6300"/>
        </w:tabs>
        <w:snapToGrid w:val="0"/>
        <w:spacing w:line="500" w:lineRule="exact"/>
        <w:ind w:firstLine="570"/>
        <w:rPr>
          <w:rFonts w:ascii="宋体" w:hAnsi="宋体" w:cs="宋体"/>
          <w:color w:val="auto"/>
          <w:sz w:val="24"/>
          <w:highlight w:val="none"/>
        </w:rPr>
      </w:pPr>
    </w:p>
    <w:p w14:paraId="6D8BE204">
      <w:pPr>
        <w:tabs>
          <w:tab w:val="left" w:pos="6300"/>
        </w:tabs>
        <w:snapToGrid w:val="0"/>
        <w:spacing w:line="500" w:lineRule="exact"/>
        <w:ind w:firstLine="570"/>
        <w:rPr>
          <w:rFonts w:ascii="宋体" w:hAnsi="宋体" w:cs="宋体"/>
          <w:color w:val="auto"/>
          <w:sz w:val="24"/>
          <w:highlight w:val="none"/>
        </w:rPr>
      </w:pPr>
    </w:p>
    <w:p w14:paraId="2D67ECD9">
      <w:pPr>
        <w:tabs>
          <w:tab w:val="left" w:pos="6300"/>
        </w:tabs>
        <w:snapToGrid w:val="0"/>
        <w:spacing w:line="500" w:lineRule="exact"/>
        <w:ind w:firstLine="570"/>
        <w:rPr>
          <w:rFonts w:ascii="宋体" w:hAnsi="宋体" w:cs="宋体"/>
          <w:color w:val="auto"/>
          <w:sz w:val="24"/>
          <w:highlight w:val="none"/>
        </w:rPr>
      </w:pPr>
    </w:p>
    <w:p w14:paraId="4EB3A505">
      <w:pPr>
        <w:tabs>
          <w:tab w:val="left" w:pos="6300"/>
        </w:tabs>
        <w:snapToGrid w:val="0"/>
        <w:spacing w:line="500" w:lineRule="exact"/>
        <w:ind w:firstLine="570"/>
        <w:rPr>
          <w:rFonts w:ascii="宋体" w:hAnsi="宋体" w:cs="宋体"/>
          <w:color w:val="auto"/>
          <w:sz w:val="24"/>
          <w:highlight w:val="none"/>
        </w:rPr>
      </w:pPr>
    </w:p>
    <w:p w14:paraId="6DC614B2">
      <w:pPr>
        <w:tabs>
          <w:tab w:val="left" w:pos="6300"/>
        </w:tabs>
        <w:snapToGrid w:val="0"/>
        <w:spacing w:line="500" w:lineRule="exact"/>
        <w:ind w:firstLine="570"/>
        <w:rPr>
          <w:rFonts w:ascii="宋体" w:hAnsi="宋体" w:cs="宋体"/>
          <w:color w:val="auto"/>
          <w:sz w:val="24"/>
          <w:highlight w:val="none"/>
        </w:rPr>
      </w:pPr>
    </w:p>
    <w:p w14:paraId="7C1C0684">
      <w:pPr>
        <w:tabs>
          <w:tab w:val="left" w:pos="6300"/>
        </w:tabs>
        <w:snapToGrid w:val="0"/>
        <w:spacing w:line="500" w:lineRule="exact"/>
        <w:ind w:firstLine="570"/>
        <w:rPr>
          <w:rFonts w:ascii="宋体" w:hAnsi="宋体" w:cs="宋体"/>
          <w:color w:val="auto"/>
          <w:sz w:val="24"/>
          <w:highlight w:val="none"/>
        </w:rPr>
      </w:pPr>
    </w:p>
    <w:p w14:paraId="76F4EF93">
      <w:pPr>
        <w:tabs>
          <w:tab w:val="left" w:pos="6300"/>
        </w:tabs>
        <w:snapToGrid w:val="0"/>
        <w:spacing w:line="500" w:lineRule="exact"/>
        <w:ind w:firstLine="570"/>
        <w:rPr>
          <w:rFonts w:ascii="宋体" w:hAnsi="宋体" w:cs="宋体"/>
          <w:color w:val="auto"/>
          <w:sz w:val="24"/>
          <w:highlight w:val="none"/>
        </w:rPr>
      </w:pPr>
    </w:p>
    <w:p w14:paraId="03510AA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022AE3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925525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骏逸新视界5栋电梯更新改造工程</w:t>
      </w:r>
      <w:r>
        <w:rPr>
          <w:rFonts w:hint="eastAsia" w:ascii="宋体" w:hAnsi="宋体" w:cs="宋体"/>
          <w:color w:val="auto"/>
          <w:sz w:val="24"/>
          <w:highlight w:val="none"/>
          <w:u w:val="single"/>
        </w:rPr>
        <w:t xml:space="preserve"> </w:t>
      </w:r>
    </w:p>
    <w:p w14:paraId="5B06DCB7">
      <w:pPr>
        <w:tabs>
          <w:tab w:val="left" w:pos="6300"/>
        </w:tabs>
        <w:snapToGrid w:val="0"/>
        <w:spacing w:line="500" w:lineRule="exact"/>
        <w:ind w:firstLine="570"/>
        <w:rPr>
          <w:rFonts w:ascii="宋体" w:hAnsi="宋体" w:cs="宋体"/>
          <w:color w:val="auto"/>
          <w:sz w:val="24"/>
          <w:highlight w:val="none"/>
        </w:rPr>
      </w:pPr>
    </w:p>
    <w:p w14:paraId="523D3E45">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6EF0CB8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184129D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AF7ABF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EF4E77B">
      <w:pPr>
        <w:tabs>
          <w:tab w:val="left" w:pos="6300"/>
        </w:tabs>
        <w:snapToGrid w:val="0"/>
        <w:spacing w:line="500" w:lineRule="exact"/>
        <w:ind w:firstLine="570"/>
        <w:rPr>
          <w:rFonts w:ascii="宋体" w:hAnsi="宋体" w:cs="宋体"/>
          <w:color w:val="auto"/>
          <w:sz w:val="24"/>
          <w:highlight w:val="none"/>
        </w:rPr>
      </w:pPr>
    </w:p>
    <w:p w14:paraId="050D9710">
      <w:pPr>
        <w:tabs>
          <w:tab w:val="left" w:pos="6300"/>
        </w:tabs>
        <w:snapToGrid w:val="0"/>
        <w:spacing w:line="500" w:lineRule="exact"/>
        <w:ind w:firstLine="570"/>
        <w:rPr>
          <w:rFonts w:ascii="宋体" w:hAnsi="宋体" w:cs="宋体"/>
          <w:color w:val="auto"/>
          <w:sz w:val="24"/>
          <w:highlight w:val="none"/>
        </w:rPr>
      </w:pPr>
    </w:p>
    <w:p w14:paraId="4E4DC03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66691A9">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24F4DA46">
      <w:pPr>
        <w:tabs>
          <w:tab w:val="left" w:pos="6300"/>
        </w:tabs>
        <w:snapToGrid w:val="0"/>
        <w:spacing w:line="500" w:lineRule="exact"/>
        <w:ind w:firstLine="570"/>
        <w:rPr>
          <w:rFonts w:ascii="宋体" w:hAnsi="宋体" w:cs="宋体"/>
          <w:color w:val="auto"/>
          <w:sz w:val="24"/>
          <w:szCs w:val="28"/>
          <w:highlight w:val="none"/>
        </w:rPr>
      </w:pPr>
    </w:p>
    <w:p w14:paraId="256D0457">
      <w:pPr>
        <w:tabs>
          <w:tab w:val="left" w:pos="6300"/>
        </w:tabs>
        <w:snapToGrid w:val="0"/>
        <w:spacing w:line="500" w:lineRule="exact"/>
        <w:ind w:firstLine="570"/>
        <w:rPr>
          <w:rFonts w:ascii="宋体" w:hAnsi="宋体" w:cs="宋体"/>
          <w:color w:val="auto"/>
          <w:sz w:val="24"/>
          <w:highlight w:val="none"/>
        </w:rPr>
      </w:pPr>
    </w:p>
    <w:p w14:paraId="71679AA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10C1B0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05B49C4">
      <w:pPr>
        <w:tabs>
          <w:tab w:val="left" w:pos="6300"/>
        </w:tabs>
        <w:snapToGrid w:val="0"/>
        <w:spacing w:line="500" w:lineRule="exact"/>
        <w:ind w:firstLine="570"/>
        <w:rPr>
          <w:rFonts w:ascii="宋体" w:hAnsi="宋体" w:cs="宋体"/>
          <w:color w:val="auto"/>
          <w:sz w:val="24"/>
          <w:highlight w:val="none"/>
        </w:rPr>
      </w:pPr>
    </w:p>
    <w:p w14:paraId="0D8F6D88">
      <w:pPr>
        <w:tabs>
          <w:tab w:val="left" w:pos="6300"/>
        </w:tabs>
        <w:snapToGrid w:val="0"/>
        <w:spacing w:line="500" w:lineRule="exact"/>
        <w:ind w:firstLine="570"/>
        <w:rPr>
          <w:rFonts w:ascii="宋体" w:hAnsi="宋体" w:cs="宋体"/>
          <w:color w:val="auto"/>
          <w:sz w:val="24"/>
          <w:highlight w:val="none"/>
        </w:rPr>
      </w:pPr>
    </w:p>
    <w:p w14:paraId="5F7A0026">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360F06A5">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5437BA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54F2CA90">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0189C4D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29316A14">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4F33BA7F">
      <w:pPr>
        <w:tabs>
          <w:tab w:val="left" w:pos="6300"/>
        </w:tabs>
        <w:snapToGrid w:val="0"/>
        <w:spacing w:line="530" w:lineRule="exact"/>
        <w:rPr>
          <w:rFonts w:ascii="宋体" w:hAnsi="宋体" w:cs="宋体"/>
          <w:color w:val="auto"/>
          <w:sz w:val="24"/>
          <w:highlight w:val="none"/>
        </w:rPr>
      </w:pPr>
    </w:p>
    <w:p w14:paraId="16593CF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1B3A693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AF1D9E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7DD38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6258B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A6981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2744F0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058E6E98">
      <w:pPr>
        <w:tabs>
          <w:tab w:val="left" w:pos="6300"/>
        </w:tabs>
        <w:snapToGrid w:val="0"/>
        <w:spacing w:line="500" w:lineRule="exact"/>
        <w:ind w:firstLine="480" w:firstLineChars="200"/>
        <w:rPr>
          <w:rFonts w:ascii="宋体" w:hAnsi="宋体" w:cs="宋体"/>
          <w:color w:val="auto"/>
          <w:sz w:val="24"/>
          <w:highlight w:val="none"/>
        </w:rPr>
      </w:pPr>
    </w:p>
    <w:p w14:paraId="6E4D3869">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4A9B6C29">
      <w:pPr>
        <w:widowControl/>
        <w:spacing w:line="400" w:lineRule="exact"/>
        <w:ind w:firstLine="7920" w:firstLineChars="3300"/>
        <w:jc w:val="left"/>
        <w:rPr>
          <w:rFonts w:ascii="宋体" w:hAnsi="宋体" w:cs="宋体"/>
          <w:color w:val="auto"/>
          <w:sz w:val="24"/>
          <w:szCs w:val="24"/>
          <w:highlight w:val="none"/>
        </w:rPr>
      </w:pPr>
      <w:r>
        <w:rPr>
          <w:rFonts w:hint="eastAsia" w:ascii="宋体" w:hAnsi="宋体" w:cs="宋体"/>
          <w:color w:val="auto"/>
          <w:sz w:val="24"/>
          <w:highlight w:val="none"/>
        </w:rPr>
        <w:t>年   月   日</w:t>
      </w:r>
    </w:p>
    <w:p w14:paraId="0F23FA48">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183D00CD">
      <w:pPr>
        <w:widowControl/>
        <w:spacing w:line="400" w:lineRule="exact"/>
        <w:ind w:firstLine="480" w:firstLineChars="200"/>
        <w:jc w:val="left"/>
        <w:rPr>
          <w:rFonts w:ascii="宋体" w:hAnsi="宋体" w:cs="宋体"/>
          <w:color w:val="auto"/>
          <w:sz w:val="24"/>
          <w:szCs w:val="24"/>
          <w:highlight w:val="none"/>
        </w:rPr>
      </w:pPr>
    </w:p>
    <w:p w14:paraId="10D4E5C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301" w:name="_Toc65660383"/>
      <w:bookmarkStart w:id="302" w:name="_Toc15815"/>
      <w:bookmarkStart w:id="303" w:name="_Toc8013"/>
      <w:bookmarkStart w:id="304" w:name="_Toc17010"/>
      <w:bookmarkStart w:id="305" w:name="_Toc2080"/>
      <w:r>
        <w:rPr>
          <w:rFonts w:hint="eastAsia" w:ascii="宋体" w:hAnsi="宋体" w:cs="宋体"/>
          <w:b/>
          <w:color w:val="auto"/>
          <w:sz w:val="24"/>
          <w:highlight w:val="none"/>
        </w:rPr>
        <w:t>五、</w:t>
      </w:r>
      <w:bookmarkEnd w:id="298"/>
      <w:bookmarkEnd w:id="299"/>
      <w:bookmarkEnd w:id="300"/>
      <w:r>
        <w:rPr>
          <w:rFonts w:hint="eastAsia" w:ascii="宋体" w:hAnsi="宋体" w:cs="宋体"/>
          <w:b/>
          <w:color w:val="auto"/>
          <w:sz w:val="24"/>
          <w:highlight w:val="none"/>
        </w:rPr>
        <w:t>其他资料</w:t>
      </w:r>
      <w:bookmarkEnd w:id="301"/>
      <w:bookmarkEnd w:id="302"/>
      <w:bookmarkEnd w:id="303"/>
      <w:bookmarkEnd w:id="304"/>
      <w:bookmarkEnd w:id="305"/>
    </w:p>
    <w:p w14:paraId="620A44F5">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55771304">
      <w:pPr>
        <w:spacing w:line="360" w:lineRule="auto"/>
        <w:ind w:firstLine="480" w:firstLineChars="200"/>
        <w:rPr>
          <w:rFonts w:ascii="宋体" w:hAnsi="宋体" w:cs="宋体"/>
          <w:color w:val="auto"/>
          <w:sz w:val="24"/>
          <w:szCs w:val="24"/>
          <w:highlight w:val="none"/>
        </w:rPr>
      </w:pPr>
    </w:p>
    <w:p w14:paraId="212BCC68">
      <w:pPr>
        <w:spacing w:line="360" w:lineRule="auto"/>
        <w:ind w:firstLine="480" w:firstLineChars="200"/>
        <w:jc w:val="center"/>
        <w:rPr>
          <w:rFonts w:ascii="宋体" w:hAnsi="宋体" w:cs="宋体"/>
          <w:color w:val="auto"/>
          <w:sz w:val="24"/>
          <w:szCs w:val="24"/>
          <w:highlight w:val="none"/>
        </w:rPr>
      </w:pPr>
    </w:p>
    <w:p w14:paraId="48A318E7">
      <w:pPr>
        <w:spacing w:line="360" w:lineRule="auto"/>
        <w:ind w:firstLine="480" w:firstLineChars="200"/>
        <w:jc w:val="center"/>
        <w:rPr>
          <w:rFonts w:ascii="宋体" w:hAnsi="宋体" w:cs="宋体"/>
          <w:color w:val="auto"/>
          <w:sz w:val="24"/>
          <w:szCs w:val="24"/>
          <w:highlight w:val="none"/>
        </w:rPr>
      </w:pPr>
    </w:p>
    <w:p w14:paraId="1D7F399E">
      <w:pPr>
        <w:spacing w:line="360" w:lineRule="auto"/>
        <w:ind w:firstLine="480" w:firstLineChars="200"/>
        <w:jc w:val="center"/>
        <w:rPr>
          <w:rFonts w:ascii="宋体" w:hAnsi="宋体" w:cs="宋体"/>
          <w:color w:val="auto"/>
          <w:sz w:val="24"/>
          <w:szCs w:val="24"/>
          <w:highlight w:val="none"/>
        </w:rPr>
      </w:pPr>
    </w:p>
    <w:p w14:paraId="5CBB4B7B">
      <w:pPr>
        <w:spacing w:line="360" w:lineRule="auto"/>
        <w:ind w:firstLine="480" w:firstLineChars="200"/>
        <w:jc w:val="center"/>
        <w:rPr>
          <w:rFonts w:ascii="宋体" w:hAnsi="宋体" w:cs="宋体"/>
          <w:color w:val="auto"/>
          <w:sz w:val="24"/>
          <w:szCs w:val="24"/>
          <w:highlight w:val="none"/>
        </w:rPr>
      </w:pPr>
    </w:p>
    <w:p w14:paraId="7B61D758">
      <w:pPr>
        <w:spacing w:line="360" w:lineRule="auto"/>
        <w:ind w:firstLine="480" w:firstLineChars="200"/>
        <w:jc w:val="center"/>
        <w:rPr>
          <w:rFonts w:ascii="宋体" w:hAnsi="宋体" w:cs="宋体"/>
          <w:color w:val="auto"/>
          <w:sz w:val="24"/>
          <w:szCs w:val="24"/>
          <w:highlight w:val="none"/>
        </w:rPr>
      </w:pPr>
    </w:p>
    <w:p w14:paraId="2D6EE315">
      <w:pPr>
        <w:spacing w:line="360" w:lineRule="auto"/>
        <w:ind w:firstLine="480" w:firstLineChars="200"/>
        <w:jc w:val="center"/>
        <w:rPr>
          <w:rFonts w:ascii="宋体" w:hAnsi="宋体" w:cs="宋体"/>
          <w:color w:val="auto"/>
          <w:sz w:val="24"/>
          <w:szCs w:val="24"/>
          <w:highlight w:val="none"/>
        </w:rPr>
      </w:pPr>
    </w:p>
    <w:p w14:paraId="16234DBA">
      <w:pPr>
        <w:spacing w:line="360" w:lineRule="auto"/>
        <w:ind w:firstLine="480" w:firstLineChars="200"/>
        <w:jc w:val="center"/>
        <w:rPr>
          <w:rFonts w:ascii="宋体" w:hAnsi="宋体" w:cs="宋体"/>
          <w:color w:val="auto"/>
          <w:sz w:val="24"/>
          <w:szCs w:val="24"/>
          <w:highlight w:val="none"/>
        </w:rPr>
      </w:pPr>
    </w:p>
    <w:p w14:paraId="6735E1FD">
      <w:pPr>
        <w:spacing w:line="360" w:lineRule="auto"/>
        <w:ind w:firstLine="480" w:firstLineChars="200"/>
        <w:jc w:val="center"/>
        <w:rPr>
          <w:rFonts w:ascii="宋体" w:hAnsi="宋体" w:cs="宋体"/>
          <w:color w:val="auto"/>
          <w:sz w:val="24"/>
          <w:szCs w:val="24"/>
          <w:highlight w:val="none"/>
        </w:rPr>
      </w:pPr>
    </w:p>
    <w:p w14:paraId="4B7B8C93">
      <w:pPr>
        <w:spacing w:line="360" w:lineRule="auto"/>
        <w:ind w:firstLine="480" w:firstLineChars="200"/>
        <w:jc w:val="center"/>
        <w:rPr>
          <w:rFonts w:ascii="宋体" w:hAnsi="宋体" w:cs="宋体"/>
          <w:color w:val="auto"/>
          <w:sz w:val="24"/>
          <w:szCs w:val="24"/>
          <w:highlight w:val="none"/>
        </w:rPr>
      </w:pPr>
    </w:p>
    <w:p w14:paraId="3231368F">
      <w:pPr>
        <w:spacing w:line="360" w:lineRule="auto"/>
        <w:ind w:firstLine="480" w:firstLineChars="200"/>
        <w:jc w:val="center"/>
        <w:rPr>
          <w:rFonts w:ascii="宋体" w:hAnsi="宋体" w:cs="宋体"/>
          <w:color w:val="auto"/>
          <w:sz w:val="24"/>
          <w:szCs w:val="24"/>
          <w:highlight w:val="none"/>
        </w:rPr>
      </w:pPr>
    </w:p>
    <w:p w14:paraId="71DA4A17">
      <w:pPr>
        <w:spacing w:line="360" w:lineRule="auto"/>
        <w:ind w:firstLine="480" w:firstLineChars="200"/>
        <w:jc w:val="center"/>
        <w:rPr>
          <w:rFonts w:ascii="宋体" w:hAnsi="宋体" w:cs="宋体"/>
          <w:color w:val="auto"/>
          <w:sz w:val="24"/>
          <w:szCs w:val="24"/>
          <w:highlight w:val="none"/>
        </w:rPr>
      </w:pPr>
    </w:p>
    <w:p w14:paraId="58E5E133">
      <w:pPr>
        <w:spacing w:line="360" w:lineRule="auto"/>
        <w:ind w:firstLine="480" w:firstLineChars="200"/>
        <w:jc w:val="center"/>
        <w:rPr>
          <w:rFonts w:ascii="宋体" w:hAnsi="宋体" w:cs="宋体"/>
          <w:color w:val="auto"/>
          <w:sz w:val="24"/>
          <w:szCs w:val="24"/>
          <w:highlight w:val="none"/>
        </w:rPr>
      </w:pPr>
    </w:p>
    <w:p w14:paraId="0170981D">
      <w:pPr>
        <w:spacing w:line="360" w:lineRule="auto"/>
        <w:ind w:firstLine="480" w:firstLineChars="200"/>
        <w:jc w:val="center"/>
        <w:rPr>
          <w:rFonts w:ascii="宋体" w:hAnsi="宋体" w:cs="宋体"/>
          <w:color w:val="auto"/>
          <w:sz w:val="24"/>
          <w:szCs w:val="24"/>
          <w:highlight w:val="none"/>
        </w:rPr>
      </w:pPr>
    </w:p>
    <w:p w14:paraId="66C8864E">
      <w:pPr>
        <w:spacing w:line="360" w:lineRule="auto"/>
        <w:ind w:firstLine="480" w:firstLineChars="200"/>
        <w:jc w:val="center"/>
        <w:rPr>
          <w:rFonts w:ascii="宋体" w:hAnsi="宋体" w:cs="宋体"/>
          <w:color w:val="auto"/>
          <w:sz w:val="24"/>
          <w:szCs w:val="24"/>
          <w:highlight w:val="none"/>
        </w:rPr>
      </w:pPr>
    </w:p>
    <w:p w14:paraId="11A88199">
      <w:pPr>
        <w:spacing w:line="360" w:lineRule="auto"/>
        <w:ind w:firstLine="480" w:firstLineChars="200"/>
        <w:jc w:val="center"/>
        <w:rPr>
          <w:rFonts w:ascii="宋体" w:hAnsi="宋体" w:cs="宋体"/>
          <w:color w:val="auto"/>
          <w:sz w:val="24"/>
          <w:szCs w:val="24"/>
          <w:highlight w:val="none"/>
        </w:rPr>
      </w:pPr>
    </w:p>
    <w:p w14:paraId="1A8164A8">
      <w:pPr>
        <w:spacing w:line="360" w:lineRule="auto"/>
        <w:ind w:firstLine="480" w:firstLineChars="200"/>
        <w:jc w:val="center"/>
        <w:rPr>
          <w:rFonts w:ascii="宋体" w:hAnsi="宋体" w:cs="宋体"/>
          <w:color w:val="auto"/>
          <w:sz w:val="24"/>
          <w:szCs w:val="24"/>
          <w:highlight w:val="none"/>
        </w:rPr>
      </w:pPr>
    </w:p>
    <w:p w14:paraId="4DCB8592">
      <w:pPr>
        <w:spacing w:line="360" w:lineRule="auto"/>
        <w:ind w:firstLine="480" w:firstLineChars="200"/>
        <w:jc w:val="center"/>
        <w:rPr>
          <w:rFonts w:ascii="宋体" w:hAnsi="宋体" w:cs="宋体"/>
          <w:color w:val="auto"/>
          <w:sz w:val="24"/>
          <w:szCs w:val="24"/>
          <w:highlight w:val="none"/>
        </w:rPr>
      </w:pPr>
    </w:p>
    <w:p w14:paraId="6851D7C9">
      <w:pPr>
        <w:spacing w:line="360" w:lineRule="auto"/>
        <w:ind w:firstLine="480" w:firstLineChars="200"/>
        <w:jc w:val="center"/>
        <w:rPr>
          <w:rFonts w:ascii="宋体" w:hAnsi="宋体" w:cs="宋体"/>
          <w:color w:val="auto"/>
          <w:sz w:val="24"/>
          <w:szCs w:val="24"/>
          <w:highlight w:val="none"/>
        </w:rPr>
      </w:pPr>
    </w:p>
    <w:p w14:paraId="142AD07C">
      <w:pPr>
        <w:spacing w:line="360" w:lineRule="auto"/>
        <w:ind w:firstLine="480" w:firstLineChars="200"/>
        <w:jc w:val="center"/>
        <w:rPr>
          <w:rFonts w:ascii="宋体" w:hAnsi="宋体" w:cs="宋体"/>
          <w:color w:val="auto"/>
          <w:sz w:val="24"/>
          <w:szCs w:val="24"/>
          <w:highlight w:val="none"/>
        </w:rPr>
      </w:pPr>
    </w:p>
    <w:p w14:paraId="14C0C8BB">
      <w:pPr>
        <w:spacing w:line="360" w:lineRule="auto"/>
        <w:ind w:firstLine="480" w:firstLineChars="200"/>
        <w:jc w:val="center"/>
        <w:rPr>
          <w:rFonts w:ascii="宋体" w:hAnsi="宋体" w:cs="宋体"/>
          <w:color w:val="auto"/>
          <w:sz w:val="24"/>
          <w:szCs w:val="24"/>
          <w:highlight w:val="none"/>
        </w:rPr>
      </w:pPr>
    </w:p>
    <w:p w14:paraId="6BCE3D24">
      <w:pPr>
        <w:spacing w:line="360" w:lineRule="auto"/>
        <w:ind w:firstLine="480" w:firstLineChars="200"/>
        <w:jc w:val="center"/>
        <w:rPr>
          <w:rFonts w:ascii="宋体" w:hAnsi="宋体" w:cs="宋体"/>
          <w:color w:val="auto"/>
          <w:sz w:val="24"/>
          <w:szCs w:val="24"/>
          <w:highlight w:val="none"/>
        </w:rPr>
      </w:pPr>
    </w:p>
    <w:p w14:paraId="7C585DF7">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3B233489">
      <w:pPr>
        <w:rPr>
          <w:rFonts w:ascii="宋体" w:hAnsi="宋体" w:cs="宋体"/>
          <w:color w:val="auto"/>
          <w:highlight w:val="none"/>
        </w:rPr>
      </w:pPr>
    </w:p>
    <w:sectPr>
      <w:headerReference r:id="rId10" w:type="default"/>
      <w:footerReference r:id="rId11" w:type="default"/>
      <w:pgSz w:w="11907" w:h="16840"/>
      <w:pgMar w:top="1134" w:right="1191"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0EEE">
    <w:pPr>
      <w:framePr w:wrap="around" w:vAnchor="text" w:hAnchor="margin" w:xAlign="center" w:y="1"/>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p w14:paraId="66C0C84D">
    <w:pPr>
      <w:snapToGrid w:val="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899A">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3D193193">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093C">
    <w:pPr>
      <w:framePr w:wrap="around" w:vAnchor="text" w:hAnchor="margin" w:xAlign="center" w:y="1"/>
      <w:snapToGrid w:val="0"/>
      <w:jc w:val="left"/>
      <w:rPr>
        <w:rStyle w:val="63"/>
        <w:rFonts w:ascii="Times New Roman" w:hAnsi="Times New Roman"/>
        <w:sz w:val="18"/>
      </w:rPr>
    </w:pPr>
  </w:p>
  <w:p w14:paraId="5A3A7507">
    <w:pPr>
      <w:snapToGrid w:val="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A4E1">
    <w:pPr>
      <w:snapToGrid w:val="0"/>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6E76">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4B163DB9">
    <w:pPr>
      <w:snapToGrid w:val="0"/>
      <w:ind w:right="360"/>
      <w:jc w:val="left"/>
      <w:rPr>
        <w:rFonts w:ascii="Times New Roman" w:hAnsi="Times New Roman"/>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0214">
    <w:pPr>
      <w:pStyle w:val="36"/>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032B23">
                          <w:pPr>
                            <w:pStyle w:val="36"/>
                          </w:pPr>
                          <w:r>
                            <w:fldChar w:fldCharType="begin"/>
                          </w:r>
                          <w:r>
                            <w:instrText xml:space="preserve"> PAGE  \* MERGEFORMAT </w:instrText>
                          </w:r>
                          <w:r>
                            <w:fldChar w:fldCharType="separate"/>
                          </w:r>
                          <w:r>
                            <w:t>- 34 -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6032B23">
                    <w:pPr>
                      <w:pStyle w:val="3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B9CE">
    <w:pPr>
      <w:pStyle w:val="36"/>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BF817">
                          <w:pPr>
                            <w:pStyle w:val="36"/>
                          </w:pPr>
                          <w:r>
                            <w:fldChar w:fldCharType="begin"/>
                          </w:r>
                          <w:r>
                            <w:instrText xml:space="preserve"> PAGE  \* MERGEFORMAT </w:instrText>
                          </w:r>
                          <w:r>
                            <w:fldChar w:fldCharType="separate"/>
                          </w:r>
                          <w:r>
                            <w:t>- 44 -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DBF817">
                    <w:pPr>
                      <w:pStyle w:val="3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5EC2">
    <w:pPr>
      <w:pBdr>
        <w:bottom w:val="single" w:color="auto" w:sz="6" w:space="1"/>
      </w:pBdr>
      <w:snapToGrid w:val="0"/>
      <w:rPr>
        <w:rFonts w:ascii="方正仿宋_GBK" w:hAnsi="Times New Roman" w:eastAsia="方正仿宋_GBK"/>
        <w:sz w:val="21"/>
        <w:szCs w:val="21"/>
      </w:rPr>
    </w:pPr>
    <w:r>
      <w:rPr>
        <w:rFonts w:hint="eastAsia" w:ascii="方正仿宋_GBK" w:hAnsi="Times New Roman"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D616">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8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14"/>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8F99A3"/>
    <w:multiLevelType w:val="singleLevel"/>
    <w:tmpl w:val="2F8F99A3"/>
    <w:lvl w:ilvl="0" w:tentative="0">
      <w:start w:val="4"/>
      <w:numFmt w:val="chineseCounting"/>
      <w:suff w:val="nothing"/>
      <w:lvlText w:val="（%1）"/>
      <w:lvlJc w:val="left"/>
      <w:rPr>
        <w:rFonts w:hint="eastAsia"/>
      </w:rPr>
    </w:lvl>
  </w:abstractNum>
  <w:abstractNum w:abstractNumId="12">
    <w:nsid w:val="5F9F03B8"/>
    <w:multiLevelType w:val="singleLevel"/>
    <w:tmpl w:val="5F9F03B8"/>
    <w:lvl w:ilvl="0" w:tentative="0">
      <w:start w:val="3"/>
      <w:numFmt w:val="chineseCounting"/>
      <w:suff w:val="nothing"/>
      <w:lvlText w:val="%1、"/>
      <w:lvlJc w:val="left"/>
      <w:rPr>
        <w:rFonts w:hint="eastAsia"/>
      </w:rPr>
    </w:lvl>
  </w:abstractNum>
  <w:num w:numId="1">
    <w:abstractNumId w:val="7"/>
  </w:num>
  <w:num w:numId="2">
    <w:abstractNumId w:val="3"/>
  </w:num>
  <w:num w:numId="3">
    <w:abstractNumId w:val="8"/>
  </w:num>
  <w:num w:numId="4">
    <w:abstractNumId w:val="4"/>
  </w:num>
  <w:num w:numId="5">
    <w:abstractNumId w:val="0"/>
  </w:num>
  <w:num w:numId="6">
    <w:abstractNumId w:val="9"/>
  </w:num>
  <w:num w:numId="7">
    <w:abstractNumId w:val="10"/>
  </w:num>
  <w:num w:numId="8">
    <w:abstractNumId w:val="1"/>
  </w:num>
  <w:num w:numId="9">
    <w:abstractNumId w:val="2"/>
  </w:num>
  <w:num w:numId="10">
    <w:abstractNumId w:val="5"/>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6623"/>
    <w:rsid w:val="001879FD"/>
    <w:rsid w:val="0019218F"/>
    <w:rsid w:val="00193595"/>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5164"/>
    <w:rsid w:val="00287092"/>
    <w:rsid w:val="00290243"/>
    <w:rsid w:val="00291F10"/>
    <w:rsid w:val="002942EC"/>
    <w:rsid w:val="002A1EAB"/>
    <w:rsid w:val="002A411F"/>
    <w:rsid w:val="002A4956"/>
    <w:rsid w:val="002A6710"/>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E156F"/>
    <w:rsid w:val="004E38D1"/>
    <w:rsid w:val="004E55DB"/>
    <w:rsid w:val="004F161C"/>
    <w:rsid w:val="004F2D57"/>
    <w:rsid w:val="004F497A"/>
    <w:rsid w:val="004F4F7F"/>
    <w:rsid w:val="004F6399"/>
    <w:rsid w:val="00501981"/>
    <w:rsid w:val="00502B2F"/>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7655"/>
    <w:rsid w:val="00A47700"/>
    <w:rsid w:val="00A52D1B"/>
    <w:rsid w:val="00A55650"/>
    <w:rsid w:val="00A569E8"/>
    <w:rsid w:val="00A610EC"/>
    <w:rsid w:val="00A613D3"/>
    <w:rsid w:val="00A67920"/>
    <w:rsid w:val="00A67AE8"/>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667B8"/>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469A"/>
    <w:rsid w:val="01260E98"/>
    <w:rsid w:val="0132783D"/>
    <w:rsid w:val="014D4B17"/>
    <w:rsid w:val="015045B8"/>
    <w:rsid w:val="01504981"/>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7028A"/>
    <w:rsid w:val="0217728B"/>
    <w:rsid w:val="02311A90"/>
    <w:rsid w:val="02380E83"/>
    <w:rsid w:val="024E06A7"/>
    <w:rsid w:val="02590F98"/>
    <w:rsid w:val="025A0DC5"/>
    <w:rsid w:val="02661BC2"/>
    <w:rsid w:val="02722AD9"/>
    <w:rsid w:val="027258A5"/>
    <w:rsid w:val="02801118"/>
    <w:rsid w:val="02894DD9"/>
    <w:rsid w:val="028A4B59"/>
    <w:rsid w:val="02932389"/>
    <w:rsid w:val="02993EC1"/>
    <w:rsid w:val="02A15215"/>
    <w:rsid w:val="02A84BD6"/>
    <w:rsid w:val="02B81E4D"/>
    <w:rsid w:val="02BA6D6B"/>
    <w:rsid w:val="02C40750"/>
    <w:rsid w:val="02C7674C"/>
    <w:rsid w:val="02C90B1E"/>
    <w:rsid w:val="02C90CB7"/>
    <w:rsid w:val="02DE2CF9"/>
    <w:rsid w:val="02ED0078"/>
    <w:rsid w:val="02EE6DB5"/>
    <w:rsid w:val="02F43497"/>
    <w:rsid w:val="02F61CBC"/>
    <w:rsid w:val="02F756C2"/>
    <w:rsid w:val="03037AC8"/>
    <w:rsid w:val="03135958"/>
    <w:rsid w:val="03234A7E"/>
    <w:rsid w:val="033A3FB1"/>
    <w:rsid w:val="034040FC"/>
    <w:rsid w:val="0342198C"/>
    <w:rsid w:val="035D1859"/>
    <w:rsid w:val="036775E2"/>
    <w:rsid w:val="036D485E"/>
    <w:rsid w:val="03705BCA"/>
    <w:rsid w:val="03730F74"/>
    <w:rsid w:val="037D67D2"/>
    <w:rsid w:val="0388388E"/>
    <w:rsid w:val="038A036A"/>
    <w:rsid w:val="03AE2F54"/>
    <w:rsid w:val="03B12839"/>
    <w:rsid w:val="03B44E81"/>
    <w:rsid w:val="03B57EAA"/>
    <w:rsid w:val="03B8194B"/>
    <w:rsid w:val="03B947F2"/>
    <w:rsid w:val="03BD42D2"/>
    <w:rsid w:val="03C70711"/>
    <w:rsid w:val="03D110B4"/>
    <w:rsid w:val="03D865AB"/>
    <w:rsid w:val="03DD1CE2"/>
    <w:rsid w:val="03E47515"/>
    <w:rsid w:val="03E70A05"/>
    <w:rsid w:val="03EE3EEF"/>
    <w:rsid w:val="03EF58CD"/>
    <w:rsid w:val="040666BE"/>
    <w:rsid w:val="040C0819"/>
    <w:rsid w:val="040D1B6E"/>
    <w:rsid w:val="04162220"/>
    <w:rsid w:val="041F4B84"/>
    <w:rsid w:val="0420780F"/>
    <w:rsid w:val="042A3842"/>
    <w:rsid w:val="04525864"/>
    <w:rsid w:val="045964CE"/>
    <w:rsid w:val="045A27C0"/>
    <w:rsid w:val="045B52FD"/>
    <w:rsid w:val="045D32FA"/>
    <w:rsid w:val="045F3A8D"/>
    <w:rsid w:val="04644D1A"/>
    <w:rsid w:val="04677FAF"/>
    <w:rsid w:val="04787C5D"/>
    <w:rsid w:val="04846E88"/>
    <w:rsid w:val="048738C2"/>
    <w:rsid w:val="048E7165"/>
    <w:rsid w:val="04A94931"/>
    <w:rsid w:val="04AD2373"/>
    <w:rsid w:val="04CC4CB2"/>
    <w:rsid w:val="04CC6B08"/>
    <w:rsid w:val="04D8694E"/>
    <w:rsid w:val="04DB5E41"/>
    <w:rsid w:val="04DD3D50"/>
    <w:rsid w:val="04E220D4"/>
    <w:rsid w:val="04E8141C"/>
    <w:rsid w:val="04EF105C"/>
    <w:rsid w:val="04F33A71"/>
    <w:rsid w:val="04F76DD4"/>
    <w:rsid w:val="04FF7C5D"/>
    <w:rsid w:val="05092D32"/>
    <w:rsid w:val="0521388A"/>
    <w:rsid w:val="053662A1"/>
    <w:rsid w:val="05435B35"/>
    <w:rsid w:val="057175A3"/>
    <w:rsid w:val="05752968"/>
    <w:rsid w:val="0580501B"/>
    <w:rsid w:val="05832D5D"/>
    <w:rsid w:val="05880F3B"/>
    <w:rsid w:val="0592157E"/>
    <w:rsid w:val="05992189"/>
    <w:rsid w:val="05A02C7F"/>
    <w:rsid w:val="05A167D5"/>
    <w:rsid w:val="05B66017"/>
    <w:rsid w:val="05CF3DB5"/>
    <w:rsid w:val="05D22BD7"/>
    <w:rsid w:val="05D932A2"/>
    <w:rsid w:val="05E17E07"/>
    <w:rsid w:val="05FF1838"/>
    <w:rsid w:val="06025A90"/>
    <w:rsid w:val="060C08A1"/>
    <w:rsid w:val="06110DFB"/>
    <w:rsid w:val="06123656"/>
    <w:rsid w:val="0618401F"/>
    <w:rsid w:val="06204F9E"/>
    <w:rsid w:val="06355214"/>
    <w:rsid w:val="06407354"/>
    <w:rsid w:val="06500E91"/>
    <w:rsid w:val="06672E75"/>
    <w:rsid w:val="067958AB"/>
    <w:rsid w:val="067B1C86"/>
    <w:rsid w:val="068666C9"/>
    <w:rsid w:val="068C1838"/>
    <w:rsid w:val="06966A2B"/>
    <w:rsid w:val="06BB5028"/>
    <w:rsid w:val="06C40DCA"/>
    <w:rsid w:val="06C6780F"/>
    <w:rsid w:val="06C85989"/>
    <w:rsid w:val="06CD343A"/>
    <w:rsid w:val="06DC0977"/>
    <w:rsid w:val="06DF1D39"/>
    <w:rsid w:val="06F85F55"/>
    <w:rsid w:val="06F943A0"/>
    <w:rsid w:val="06FE347C"/>
    <w:rsid w:val="06FF7F4A"/>
    <w:rsid w:val="0703567E"/>
    <w:rsid w:val="07047ECE"/>
    <w:rsid w:val="07097C34"/>
    <w:rsid w:val="071853AE"/>
    <w:rsid w:val="072916E2"/>
    <w:rsid w:val="07313F51"/>
    <w:rsid w:val="07407E0E"/>
    <w:rsid w:val="074D10CC"/>
    <w:rsid w:val="07576CD8"/>
    <w:rsid w:val="077A1431"/>
    <w:rsid w:val="077D494F"/>
    <w:rsid w:val="079035F7"/>
    <w:rsid w:val="079F6F2A"/>
    <w:rsid w:val="07A43DB1"/>
    <w:rsid w:val="07A86D96"/>
    <w:rsid w:val="07AD2313"/>
    <w:rsid w:val="07C44941"/>
    <w:rsid w:val="07CE4A17"/>
    <w:rsid w:val="07CE7149"/>
    <w:rsid w:val="07D962E2"/>
    <w:rsid w:val="07DA7C53"/>
    <w:rsid w:val="07DD65F7"/>
    <w:rsid w:val="07E212EE"/>
    <w:rsid w:val="07F5433A"/>
    <w:rsid w:val="07FE1CDB"/>
    <w:rsid w:val="07FE68E4"/>
    <w:rsid w:val="080E6316"/>
    <w:rsid w:val="08187672"/>
    <w:rsid w:val="083514EA"/>
    <w:rsid w:val="083B16D7"/>
    <w:rsid w:val="0848667D"/>
    <w:rsid w:val="085705E0"/>
    <w:rsid w:val="085846A0"/>
    <w:rsid w:val="08720602"/>
    <w:rsid w:val="08751FBD"/>
    <w:rsid w:val="089D0466"/>
    <w:rsid w:val="089F1CE5"/>
    <w:rsid w:val="089F79E9"/>
    <w:rsid w:val="08AC4379"/>
    <w:rsid w:val="08B65503"/>
    <w:rsid w:val="08C4114D"/>
    <w:rsid w:val="08C55238"/>
    <w:rsid w:val="08C6429C"/>
    <w:rsid w:val="08C77405"/>
    <w:rsid w:val="08CC113E"/>
    <w:rsid w:val="08DB6A6D"/>
    <w:rsid w:val="08EF7A01"/>
    <w:rsid w:val="0904639A"/>
    <w:rsid w:val="090B777A"/>
    <w:rsid w:val="0918624A"/>
    <w:rsid w:val="092C0E5C"/>
    <w:rsid w:val="09422C9A"/>
    <w:rsid w:val="09424A96"/>
    <w:rsid w:val="094E52BC"/>
    <w:rsid w:val="094F275C"/>
    <w:rsid w:val="096A0B31"/>
    <w:rsid w:val="096A2148"/>
    <w:rsid w:val="096C1815"/>
    <w:rsid w:val="0972671A"/>
    <w:rsid w:val="097E7DA5"/>
    <w:rsid w:val="09803D7A"/>
    <w:rsid w:val="098E71BF"/>
    <w:rsid w:val="09901235"/>
    <w:rsid w:val="0999523A"/>
    <w:rsid w:val="099B68C7"/>
    <w:rsid w:val="09A83576"/>
    <w:rsid w:val="09B22E96"/>
    <w:rsid w:val="09B26559"/>
    <w:rsid w:val="09B907C2"/>
    <w:rsid w:val="09BA5D53"/>
    <w:rsid w:val="09C270E2"/>
    <w:rsid w:val="09D45935"/>
    <w:rsid w:val="09E748DF"/>
    <w:rsid w:val="09F86A86"/>
    <w:rsid w:val="09FC1D01"/>
    <w:rsid w:val="09FD076D"/>
    <w:rsid w:val="0A006242"/>
    <w:rsid w:val="0A060280"/>
    <w:rsid w:val="0A075F84"/>
    <w:rsid w:val="0A141668"/>
    <w:rsid w:val="0A4C4515"/>
    <w:rsid w:val="0A542A13"/>
    <w:rsid w:val="0A5E2458"/>
    <w:rsid w:val="0A61251E"/>
    <w:rsid w:val="0A792DA1"/>
    <w:rsid w:val="0A8C21A4"/>
    <w:rsid w:val="0A8C6724"/>
    <w:rsid w:val="0A977411"/>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91EA3"/>
    <w:rsid w:val="0B6A07AB"/>
    <w:rsid w:val="0B6B5465"/>
    <w:rsid w:val="0B721BF2"/>
    <w:rsid w:val="0B755AA9"/>
    <w:rsid w:val="0B7A3449"/>
    <w:rsid w:val="0B8069F5"/>
    <w:rsid w:val="0B814E53"/>
    <w:rsid w:val="0B826CE0"/>
    <w:rsid w:val="0B862159"/>
    <w:rsid w:val="0B962468"/>
    <w:rsid w:val="0B9D740B"/>
    <w:rsid w:val="0B9F1C6E"/>
    <w:rsid w:val="0BD555C8"/>
    <w:rsid w:val="0BDC2EFD"/>
    <w:rsid w:val="0BE1416F"/>
    <w:rsid w:val="0BE53C10"/>
    <w:rsid w:val="0BEE2489"/>
    <w:rsid w:val="0BF64289"/>
    <w:rsid w:val="0BF8410F"/>
    <w:rsid w:val="0BFA7A25"/>
    <w:rsid w:val="0C056E77"/>
    <w:rsid w:val="0C077DBF"/>
    <w:rsid w:val="0C0C366D"/>
    <w:rsid w:val="0C1222DD"/>
    <w:rsid w:val="0C1B6313"/>
    <w:rsid w:val="0C271224"/>
    <w:rsid w:val="0C2B5693"/>
    <w:rsid w:val="0C312EBF"/>
    <w:rsid w:val="0C3409D1"/>
    <w:rsid w:val="0C4A1EDF"/>
    <w:rsid w:val="0C50352B"/>
    <w:rsid w:val="0C5B40EC"/>
    <w:rsid w:val="0C774C9E"/>
    <w:rsid w:val="0CA50467"/>
    <w:rsid w:val="0CAA3452"/>
    <w:rsid w:val="0CAD77DF"/>
    <w:rsid w:val="0CC54C7F"/>
    <w:rsid w:val="0CFE2C9E"/>
    <w:rsid w:val="0D0A1FE1"/>
    <w:rsid w:val="0D0A2A0F"/>
    <w:rsid w:val="0D0F5366"/>
    <w:rsid w:val="0D1C75B2"/>
    <w:rsid w:val="0D1F15BD"/>
    <w:rsid w:val="0D2766C4"/>
    <w:rsid w:val="0D2963D8"/>
    <w:rsid w:val="0D2C757B"/>
    <w:rsid w:val="0D2F1D05"/>
    <w:rsid w:val="0D337086"/>
    <w:rsid w:val="0D352AAD"/>
    <w:rsid w:val="0D3E5667"/>
    <w:rsid w:val="0D4265B5"/>
    <w:rsid w:val="0D6856AB"/>
    <w:rsid w:val="0D6F1E62"/>
    <w:rsid w:val="0D750E6C"/>
    <w:rsid w:val="0D7A2A5F"/>
    <w:rsid w:val="0D8315C3"/>
    <w:rsid w:val="0D9A0C44"/>
    <w:rsid w:val="0D9E0A77"/>
    <w:rsid w:val="0DA76AE3"/>
    <w:rsid w:val="0DAC29F2"/>
    <w:rsid w:val="0DC80C78"/>
    <w:rsid w:val="0DCA57E5"/>
    <w:rsid w:val="0DCC061D"/>
    <w:rsid w:val="0DCE0020"/>
    <w:rsid w:val="0DCF6614"/>
    <w:rsid w:val="0DD23B5A"/>
    <w:rsid w:val="0DD47061"/>
    <w:rsid w:val="0DE11555"/>
    <w:rsid w:val="0E0475E9"/>
    <w:rsid w:val="0E0D4D74"/>
    <w:rsid w:val="0E137FAF"/>
    <w:rsid w:val="0E166C35"/>
    <w:rsid w:val="0E1D35C1"/>
    <w:rsid w:val="0E253848"/>
    <w:rsid w:val="0E32320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F0927"/>
    <w:rsid w:val="0EE71770"/>
    <w:rsid w:val="0EF93425"/>
    <w:rsid w:val="0EFA1E3D"/>
    <w:rsid w:val="0EFC3018"/>
    <w:rsid w:val="0EFD7236"/>
    <w:rsid w:val="0F0033FE"/>
    <w:rsid w:val="0F0C5B71"/>
    <w:rsid w:val="0F102B00"/>
    <w:rsid w:val="0F1D151B"/>
    <w:rsid w:val="0F1D4BC8"/>
    <w:rsid w:val="0F285F9E"/>
    <w:rsid w:val="0F2A6053"/>
    <w:rsid w:val="0F3D2270"/>
    <w:rsid w:val="0F3F5BEA"/>
    <w:rsid w:val="0F413F94"/>
    <w:rsid w:val="0F430FD4"/>
    <w:rsid w:val="0F4E4880"/>
    <w:rsid w:val="0F59068B"/>
    <w:rsid w:val="0F5A0CFF"/>
    <w:rsid w:val="0F5D0D3B"/>
    <w:rsid w:val="0F630BDA"/>
    <w:rsid w:val="0F865924"/>
    <w:rsid w:val="0F8A7A69"/>
    <w:rsid w:val="0F8D38E0"/>
    <w:rsid w:val="0FA94FFE"/>
    <w:rsid w:val="0FAF2EB3"/>
    <w:rsid w:val="0FB545CB"/>
    <w:rsid w:val="0FC24AB0"/>
    <w:rsid w:val="0FD158FF"/>
    <w:rsid w:val="0FD41C91"/>
    <w:rsid w:val="0FE22A75"/>
    <w:rsid w:val="0FE465FF"/>
    <w:rsid w:val="0FE95B56"/>
    <w:rsid w:val="0FF07479"/>
    <w:rsid w:val="0FFC3E38"/>
    <w:rsid w:val="0FFD4D1C"/>
    <w:rsid w:val="10000301"/>
    <w:rsid w:val="1004532A"/>
    <w:rsid w:val="100E00B6"/>
    <w:rsid w:val="10110D83"/>
    <w:rsid w:val="10115AD8"/>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4527"/>
    <w:rsid w:val="10755870"/>
    <w:rsid w:val="10817B8B"/>
    <w:rsid w:val="1088601E"/>
    <w:rsid w:val="1097590F"/>
    <w:rsid w:val="1098201D"/>
    <w:rsid w:val="10A30004"/>
    <w:rsid w:val="10B23B37"/>
    <w:rsid w:val="10B31AC8"/>
    <w:rsid w:val="10B512B8"/>
    <w:rsid w:val="10B65D95"/>
    <w:rsid w:val="10B826E5"/>
    <w:rsid w:val="10BD5BA8"/>
    <w:rsid w:val="10C123FA"/>
    <w:rsid w:val="10C151B6"/>
    <w:rsid w:val="10CB62AF"/>
    <w:rsid w:val="10E42AF2"/>
    <w:rsid w:val="10FC2D15"/>
    <w:rsid w:val="10FF70DE"/>
    <w:rsid w:val="11010A52"/>
    <w:rsid w:val="110613D7"/>
    <w:rsid w:val="110B7B9F"/>
    <w:rsid w:val="111B6A6A"/>
    <w:rsid w:val="111C00CF"/>
    <w:rsid w:val="11241C6E"/>
    <w:rsid w:val="113329B2"/>
    <w:rsid w:val="1164721C"/>
    <w:rsid w:val="11651816"/>
    <w:rsid w:val="116D5089"/>
    <w:rsid w:val="117A57CA"/>
    <w:rsid w:val="118440E5"/>
    <w:rsid w:val="11A4519E"/>
    <w:rsid w:val="11AE1965"/>
    <w:rsid w:val="11B461B6"/>
    <w:rsid w:val="11B76268"/>
    <w:rsid w:val="11B80336"/>
    <w:rsid w:val="11BD14E0"/>
    <w:rsid w:val="11D108B7"/>
    <w:rsid w:val="11DD55A3"/>
    <w:rsid w:val="11E53726"/>
    <w:rsid w:val="11F0177A"/>
    <w:rsid w:val="11F23DDD"/>
    <w:rsid w:val="11FB4046"/>
    <w:rsid w:val="120C3472"/>
    <w:rsid w:val="121E5C37"/>
    <w:rsid w:val="122B1445"/>
    <w:rsid w:val="122B3A78"/>
    <w:rsid w:val="122E6A5A"/>
    <w:rsid w:val="123065BD"/>
    <w:rsid w:val="12311611"/>
    <w:rsid w:val="123F17D3"/>
    <w:rsid w:val="124467EB"/>
    <w:rsid w:val="12502219"/>
    <w:rsid w:val="12531EB0"/>
    <w:rsid w:val="125C5BF4"/>
    <w:rsid w:val="12647A72"/>
    <w:rsid w:val="12672A95"/>
    <w:rsid w:val="127E0B34"/>
    <w:rsid w:val="128D521B"/>
    <w:rsid w:val="129C6FED"/>
    <w:rsid w:val="12A23EAA"/>
    <w:rsid w:val="12A4590E"/>
    <w:rsid w:val="12B1593C"/>
    <w:rsid w:val="12D371AD"/>
    <w:rsid w:val="12FB4D13"/>
    <w:rsid w:val="13080B35"/>
    <w:rsid w:val="131A2B99"/>
    <w:rsid w:val="131E23A3"/>
    <w:rsid w:val="13205B53"/>
    <w:rsid w:val="132304F7"/>
    <w:rsid w:val="13271835"/>
    <w:rsid w:val="132A71AF"/>
    <w:rsid w:val="1331316C"/>
    <w:rsid w:val="133B4FB9"/>
    <w:rsid w:val="133C68AA"/>
    <w:rsid w:val="13460D42"/>
    <w:rsid w:val="13470ED9"/>
    <w:rsid w:val="134A170E"/>
    <w:rsid w:val="134D2B8A"/>
    <w:rsid w:val="134E6B88"/>
    <w:rsid w:val="1350052E"/>
    <w:rsid w:val="13574DD0"/>
    <w:rsid w:val="13745AEF"/>
    <w:rsid w:val="139F2A74"/>
    <w:rsid w:val="13A008CD"/>
    <w:rsid w:val="13A723E3"/>
    <w:rsid w:val="13A77344"/>
    <w:rsid w:val="13CF1F85"/>
    <w:rsid w:val="13CF59D6"/>
    <w:rsid w:val="13D8488F"/>
    <w:rsid w:val="13EC307D"/>
    <w:rsid w:val="13EE0DD1"/>
    <w:rsid w:val="13FE2D40"/>
    <w:rsid w:val="140E57A8"/>
    <w:rsid w:val="141365C8"/>
    <w:rsid w:val="14456DE6"/>
    <w:rsid w:val="144B0EEA"/>
    <w:rsid w:val="14551087"/>
    <w:rsid w:val="145675AF"/>
    <w:rsid w:val="145D2C16"/>
    <w:rsid w:val="1461498E"/>
    <w:rsid w:val="14673664"/>
    <w:rsid w:val="146A5355"/>
    <w:rsid w:val="147A5E14"/>
    <w:rsid w:val="148040ED"/>
    <w:rsid w:val="14805F30"/>
    <w:rsid w:val="14973355"/>
    <w:rsid w:val="14AA4D7E"/>
    <w:rsid w:val="14B24C5C"/>
    <w:rsid w:val="14C132E4"/>
    <w:rsid w:val="14D81E33"/>
    <w:rsid w:val="14E8558F"/>
    <w:rsid w:val="14F201F3"/>
    <w:rsid w:val="14F45F31"/>
    <w:rsid w:val="15081525"/>
    <w:rsid w:val="150A66AF"/>
    <w:rsid w:val="15113B96"/>
    <w:rsid w:val="15125E28"/>
    <w:rsid w:val="151848B0"/>
    <w:rsid w:val="152239F8"/>
    <w:rsid w:val="153313C4"/>
    <w:rsid w:val="15461BF7"/>
    <w:rsid w:val="15494455"/>
    <w:rsid w:val="15641609"/>
    <w:rsid w:val="156A427D"/>
    <w:rsid w:val="158F27F9"/>
    <w:rsid w:val="1591465B"/>
    <w:rsid w:val="1594241D"/>
    <w:rsid w:val="15A9411A"/>
    <w:rsid w:val="15B11221"/>
    <w:rsid w:val="15BA62C3"/>
    <w:rsid w:val="15BC7CF8"/>
    <w:rsid w:val="15BE22B1"/>
    <w:rsid w:val="15D63E55"/>
    <w:rsid w:val="15D86B42"/>
    <w:rsid w:val="15D90BDF"/>
    <w:rsid w:val="15DD5ECA"/>
    <w:rsid w:val="15EB4733"/>
    <w:rsid w:val="15EF5C47"/>
    <w:rsid w:val="15F453FB"/>
    <w:rsid w:val="1600455E"/>
    <w:rsid w:val="16012E00"/>
    <w:rsid w:val="161F2668"/>
    <w:rsid w:val="162B2D81"/>
    <w:rsid w:val="16354F06"/>
    <w:rsid w:val="16387C49"/>
    <w:rsid w:val="163F4E6B"/>
    <w:rsid w:val="16475867"/>
    <w:rsid w:val="1649480C"/>
    <w:rsid w:val="1651451D"/>
    <w:rsid w:val="16587142"/>
    <w:rsid w:val="165A0089"/>
    <w:rsid w:val="16715BFE"/>
    <w:rsid w:val="167330E8"/>
    <w:rsid w:val="1676510F"/>
    <w:rsid w:val="16791B2B"/>
    <w:rsid w:val="167A366C"/>
    <w:rsid w:val="16A9014A"/>
    <w:rsid w:val="16B84A32"/>
    <w:rsid w:val="16BC4C89"/>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7928"/>
    <w:rsid w:val="171E5F9A"/>
    <w:rsid w:val="171F0B4E"/>
    <w:rsid w:val="172D06CB"/>
    <w:rsid w:val="172D48D7"/>
    <w:rsid w:val="174B7841"/>
    <w:rsid w:val="174D4542"/>
    <w:rsid w:val="1751178D"/>
    <w:rsid w:val="17521185"/>
    <w:rsid w:val="17527376"/>
    <w:rsid w:val="17553155"/>
    <w:rsid w:val="17671865"/>
    <w:rsid w:val="177A32CC"/>
    <w:rsid w:val="177B5C92"/>
    <w:rsid w:val="177E126D"/>
    <w:rsid w:val="17861330"/>
    <w:rsid w:val="17962426"/>
    <w:rsid w:val="179C20E1"/>
    <w:rsid w:val="179D11A9"/>
    <w:rsid w:val="17A141F7"/>
    <w:rsid w:val="17A72566"/>
    <w:rsid w:val="17B234F6"/>
    <w:rsid w:val="17D5054D"/>
    <w:rsid w:val="17E44B72"/>
    <w:rsid w:val="17F31887"/>
    <w:rsid w:val="17F431B8"/>
    <w:rsid w:val="17FB61FF"/>
    <w:rsid w:val="180A5DFF"/>
    <w:rsid w:val="180C6BE2"/>
    <w:rsid w:val="181949BB"/>
    <w:rsid w:val="181C294C"/>
    <w:rsid w:val="181C739F"/>
    <w:rsid w:val="181E3FEC"/>
    <w:rsid w:val="18326A17"/>
    <w:rsid w:val="18583BD5"/>
    <w:rsid w:val="185A4F8B"/>
    <w:rsid w:val="185F4F64"/>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B2869"/>
    <w:rsid w:val="19627DD0"/>
    <w:rsid w:val="197025FA"/>
    <w:rsid w:val="19726CE2"/>
    <w:rsid w:val="197C0CF2"/>
    <w:rsid w:val="198468B8"/>
    <w:rsid w:val="1985668C"/>
    <w:rsid w:val="19856C4C"/>
    <w:rsid w:val="19875239"/>
    <w:rsid w:val="19956654"/>
    <w:rsid w:val="19AC61A1"/>
    <w:rsid w:val="19B75B45"/>
    <w:rsid w:val="19C37774"/>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292598"/>
    <w:rsid w:val="1A3B5478"/>
    <w:rsid w:val="1A4426FE"/>
    <w:rsid w:val="1A555ADC"/>
    <w:rsid w:val="1A5B03F7"/>
    <w:rsid w:val="1A5C58EA"/>
    <w:rsid w:val="1A747435"/>
    <w:rsid w:val="1A7948E0"/>
    <w:rsid w:val="1A7E60DC"/>
    <w:rsid w:val="1A7F0309"/>
    <w:rsid w:val="1A8E4F93"/>
    <w:rsid w:val="1A953215"/>
    <w:rsid w:val="1A9D1E89"/>
    <w:rsid w:val="1AAB4BCB"/>
    <w:rsid w:val="1ABD0CE9"/>
    <w:rsid w:val="1AC26C91"/>
    <w:rsid w:val="1AD102CD"/>
    <w:rsid w:val="1AEC6857"/>
    <w:rsid w:val="1AF2262C"/>
    <w:rsid w:val="1AF4282F"/>
    <w:rsid w:val="1AF84297"/>
    <w:rsid w:val="1AF916A0"/>
    <w:rsid w:val="1B021D33"/>
    <w:rsid w:val="1B0E23ED"/>
    <w:rsid w:val="1B3A75C2"/>
    <w:rsid w:val="1B3E60DA"/>
    <w:rsid w:val="1B4C6C32"/>
    <w:rsid w:val="1B5C0E37"/>
    <w:rsid w:val="1B5F1B58"/>
    <w:rsid w:val="1B64198F"/>
    <w:rsid w:val="1B862EF8"/>
    <w:rsid w:val="1B8844BC"/>
    <w:rsid w:val="1B8E324C"/>
    <w:rsid w:val="1B9A5153"/>
    <w:rsid w:val="1B9D4639"/>
    <w:rsid w:val="1BA817B3"/>
    <w:rsid w:val="1BB16714"/>
    <w:rsid w:val="1BBA2257"/>
    <w:rsid w:val="1BC33A5C"/>
    <w:rsid w:val="1BC577D4"/>
    <w:rsid w:val="1BDD3C46"/>
    <w:rsid w:val="1BDE1625"/>
    <w:rsid w:val="1BE0016A"/>
    <w:rsid w:val="1BE315D9"/>
    <w:rsid w:val="1BFC40C1"/>
    <w:rsid w:val="1BFD52CB"/>
    <w:rsid w:val="1C0801FA"/>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731D10"/>
    <w:rsid w:val="1C8166F6"/>
    <w:rsid w:val="1C8179D9"/>
    <w:rsid w:val="1C827935"/>
    <w:rsid w:val="1C892ADC"/>
    <w:rsid w:val="1C8D2613"/>
    <w:rsid w:val="1C8E7336"/>
    <w:rsid w:val="1C903426"/>
    <w:rsid w:val="1C9E7876"/>
    <w:rsid w:val="1CA84A27"/>
    <w:rsid w:val="1CA8617A"/>
    <w:rsid w:val="1CA90268"/>
    <w:rsid w:val="1CBD6AD7"/>
    <w:rsid w:val="1CBF2C82"/>
    <w:rsid w:val="1CCF653B"/>
    <w:rsid w:val="1CD33E10"/>
    <w:rsid w:val="1CE53E3A"/>
    <w:rsid w:val="1CE80822"/>
    <w:rsid w:val="1CF7217C"/>
    <w:rsid w:val="1D044528"/>
    <w:rsid w:val="1D0600A4"/>
    <w:rsid w:val="1D085BCA"/>
    <w:rsid w:val="1D314D7C"/>
    <w:rsid w:val="1D385263"/>
    <w:rsid w:val="1D4A686E"/>
    <w:rsid w:val="1D4D7A81"/>
    <w:rsid w:val="1D7940CD"/>
    <w:rsid w:val="1D7A4260"/>
    <w:rsid w:val="1D855628"/>
    <w:rsid w:val="1D862542"/>
    <w:rsid w:val="1D935415"/>
    <w:rsid w:val="1DAA5EB2"/>
    <w:rsid w:val="1DB5761A"/>
    <w:rsid w:val="1DCF7908"/>
    <w:rsid w:val="1DD10155"/>
    <w:rsid w:val="1DF148B0"/>
    <w:rsid w:val="1DFA65A3"/>
    <w:rsid w:val="1DFD4103"/>
    <w:rsid w:val="1E1203B5"/>
    <w:rsid w:val="1E1C644B"/>
    <w:rsid w:val="1E226E68"/>
    <w:rsid w:val="1E274038"/>
    <w:rsid w:val="1E3F732A"/>
    <w:rsid w:val="1E4F5A7B"/>
    <w:rsid w:val="1E4F663B"/>
    <w:rsid w:val="1E654ED4"/>
    <w:rsid w:val="1E6E2435"/>
    <w:rsid w:val="1E741412"/>
    <w:rsid w:val="1E753113"/>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760B0"/>
    <w:rsid w:val="1F312505"/>
    <w:rsid w:val="1F316B42"/>
    <w:rsid w:val="1F3B126A"/>
    <w:rsid w:val="1F5B1F39"/>
    <w:rsid w:val="1F6B5EB7"/>
    <w:rsid w:val="1F705E2D"/>
    <w:rsid w:val="1F79116C"/>
    <w:rsid w:val="1F803150"/>
    <w:rsid w:val="1F8B663F"/>
    <w:rsid w:val="1F933B6D"/>
    <w:rsid w:val="1F971487"/>
    <w:rsid w:val="1F9B0813"/>
    <w:rsid w:val="1FA5406C"/>
    <w:rsid w:val="1FAB474C"/>
    <w:rsid w:val="1FAD2193"/>
    <w:rsid w:val="1FAE5E34"/>
    <w:rsid w:val="1FB010FC"/>
    <w:rsid w:val="1FB5190D"/>
    <w:rsid w:val="1FD473A2"/>
    <w:rsid w:val="1FD75E6D"/>
    <w:rsid w:val="1FE952FA"/>
    <w:rsid w:val="20032679"/>
    <w:rsid w:val="200D6143"/>
    <w:rsid w:val="20155E88"/>
    <w:rsid w:val="201762B3"/>
    <w:rsid w:val="201C5838"/>
    <w:rsid w:val="201E0CFC"/>
    <w:rsid w:val="202F16C0"/>
    <w:rsid w:val="20365850"/>
    <w:rsid w:val="203C3DDD"/>
    <w:rsid w:val="2042173D"/>
    <w:rsid w:val="20472A0F"/>
    <w:rsid w:val="204C0C81"/>
    <w:rsid w:val="204D1354"/>
    <w:rsid w:val="20551D5D"/>
    <w:rsid w:val="206D3E0B"/>
    <w:rsid w:val="207A40F1"/>
    <w:rsid w:val="207C0F46"/>
    <w:rsid w:val="207F3FB6"/>
    <w:rsid w:val="208134A5"/>
    <w:rsid w:val="208143B7"/>
    <w:rsid w:val="20895274"/>
    <w:rsid w:val="20A25089"/>
    <w:rsid w:val="20B4447D"/>
    <w:rsid w:val="20BB2E64"/>
    <w:rsid w:val="20BB7250"/>
    <w:rsid w:val="20C00248"/>
    <w:rsid w:val="20C6413B"/>
    <w:rsid w:val="20CC5F0A"/>
    <w:rsid w:val="20D5021D"/>
    <w:rsid w:val="20DB4F95"/>
    <w:rsid w:val="20EA0C0A"/>
    <w:rsid w:val="20EA3839"/>
    <w:rsid w:val="20F63B7C"/>
    <w:rsid w:val="20F70489"/>
    <w:rsid w:val="20F81FDE"/>
    <w:rsid w:val="21013108"/>
    <w:rsid w:val="21071D51"/>
    <w:rsid w:val="211C3DAA"/>
    <w:rsid w:val="212B539D"/>
    <w:rsid w:val="212E5902"/>
    <w:rsid w:val="21314DF3"/>
    <w:rsid w:val="21460B0C"/>
    <w:rsid w:val="21466CC1"/>
    <w:rsid w:val="215D509E"/>
    <w:rsid w:val="216A29E9"/>
    <w:rsid w:val="216B2E38"/>
    <w:rsid w:val="217A05EA"/>
    <w:rsid w:val="218E52EE"/>
    <w:rsid w:val="219A1264"/>
    <w:rsid w:val="21A809A5"/>
    <w:rsid w:val="21AA1EEC"/>
    <w:rsid w:val="21B26F3A"/>
    <w:rsid w:val="21B31E7D"/>
    <w:rsid w:val="21BA10AC"/>
    <w:rsid w:val="21CA2E7B"/>
    <w:rsid w:val="21D267A7"/>
    <w:rsid w:val="21E35F41"/>
    <w:rsid w:val="21E97EBB"/>
    <w:rsid w:val="21EA12B6"/>
    <w:rsid w:val="21F63E62"/>
    <w:rsid w:val="21FF416D"/>
    <w:rsid w:val="2205509A"/>
    <w:rsid w:val="22163C90"/>
    <w:rsid w:val="221B3C31"/>
    <w:rsid w:val="222A51F7"/>
    <w:rsid w:val="222F2989"/>
    <w:rsid w:val="22370D00"/>
    <w:rsid w:val="223D33AB"/>
    <w:rsid w:val="223D6797"/>
    <w:rsid w:val="22541E9B"/>
    <w:rsid w:val="22742C45"/>
    <w:rsid w:val="22745421"/>
    <w:rsid w:val="227B3565"/>
    <w:rsid w:val="22886894"/>
    <w:rsid w:val="228E694F"/>
    <w:rsid w:val="22900BBB"/>
    <w:rsid w:val="229C185A"/>
    <w:rsid w:val="22A939AB"/>
    <w:rsid w:val="22AB3844"/>
    <w:rsid w:val="22AF418E"/>
    <w:rsid w:val="22BC5C2F"/>
    <w:rsid w:val="22C434E6"/>
    <w:rsid w:val="22CA360C"/>
    <w:rsid w:val="22F322DF"/>
    <w:rsid w:val="22FB3ADB"/>
    <w:rsid w:val="230734DA"/>
    <w:rsid w:val="23097A09"/>
    <w:rsid w:val="230A4901"/>
    <w:rsid w:val="23186599"/>
    <w:rsid w:val="23363822"/>
    <w:rsid w:val="23492A98"/>
    <w:rsid w:val="234E00AF"/>
    <w:rsid w:val="234F4F9F"/>
    <w:rsid w:val="236004DD"/>
    <w:rsid w:val="23643277"/>
    <w:rsid w:val="236A5F21"/>
    <w:rsid w:val="237004F0"/>
    <w:rsid w:val="237C17D0"/>
    <w:rsid w:val="237C2E0C"/>
    <w:rsid w:val="23832D79"/>
    <w:rsid w:val="2393303A"/>
    <w:rsid w:val="23A81EB5"/>
    <w:rsid w:val="23AC12A8"/>
    <w:rsid w:val="23C10043"/>
    <w:rsid w:val="23C33B62"/>
    <w:rsid w:val="23C92124"/>
    <w:rsid w:val="23CB668F"/>
    <w:rsid w:val="23D92665"/>
    <w:rsid w:val="23DB74E8"/>
    <w:rsid w:val="23EC49B8"/>
    <w:rsid w:val="240F5A90"/>
    <w:rsid w:val="241C24D2"/>
    <w:rsid w:val="24287E32"/>
    <w:rsid w:val="24356EDC"/>
    <w:rsid w:val="243748CB"/>
    <w:rsid w:val="24446917"/>
    <w:rsid w:val="244C1963"/>
    <w:rsid w:val="244E07F7"/>
    <w:rsid w:val="24570568"/>
    <w:rsid w:val="247116E9"/>
    <w:rsid w:val="24770D8C"/>
    <w:rsid w:val="2478463F"/>
    <w:rsid w:val="24800324"/>
    <w:rsid w:val="248F01FE"/>
    <w:rsid w:val="249C50CF"/>
    <w:rsid w:val="24A3229B"/>
    <w:rsid w:val="24AF30A7"/>
    <w:rsid w:val="24BB54B4"/>
    <w:rsid w:val="24CB26EC"/>
    <w:rsid w:val="24CB276B"/>
    <w:rsid w:val="24D3573A"/>
    <w:rsid w:val="24D42CDE"/>
    <w:rsid w:val="24DB6334"/>
    <w:rsid w:val="24E60EA1"/>
    <w:rsid w:val="24F84776"/>
    <w:rsid w:val="250018A8"/>
    <w:rsid w:val="25034EC9"/>
    <w:rsid w:val="25052BDB"/>
    <w:rsid w:val="251C2547"/>
    <w:rsid w:val="251E2948"/>
    <w:rsid w:val="252C67D5"/>
    <w:rsid w:val="25335027"/>
    <w:rsid w:val="2533755C"/>
    <w:rsid w:val="253402FE"/>
    <w:rsid w:val="25503CCA"/>
    <w:rsid w:val="255658F1"/>
    <w:rsid w:val="25697F9B"/>
    <w:rsid w:val="2570253C"/>
    <w:rsid w:val="257313AA"/>
    <w:rsid w:val="257E032D"/>
    <w:rsid w:val="258120BD"/>
    <w:rsid w:val="258424AE"/>
    <w:rsid w:val="258831CB"/>
    <w:rsid w:val="259D10B5"/>
    <w:rsid w:val="259F6D3F"/>
    <w:rsid w:val="25AC4397"/>
    <w:rsid w:val="25AC73F0"/>
    <w:rsid w:val="25C91C70"/>
    <w:rsid w:val="25CD6031"/>
    <w:rsid w:val="25E27596"/>
    <w:rsid w:val="25E65168"/>
    <w:rsid w:val="25F25851"/>
    <w:rsid w:val="26015A19"/>
    <w:rsid w:val="26062902"/>
    <w:rsid w:val="260C19E4"/>
    <w:rsid w:val="26172776"/>
    <w:rsid w:val="261C6EDE"/>
    <w:rsid w:val="26245D8F"/>
    <w:rsid w:val="26415E76"/>
    <w:rsid w:val="264213C7"/>
    <w:rsid w:val="26461F5A"/>
    <w:rsid w:val="264B644D"/>
    <w:rsid w:val="2664268E"/>
    <w:rsid w:val="26675EF0"/>
    <w:rsid w:val="266766B2"/>
    <w:rsid w:val="26693856"/>
    <w:rsid w:val="268077C9"/>
    <w:rsid w:val="268D7140"/>
    <w:rsid w:val="269D7FD6"/>
    <w:rsid w:val="26A20792"/>
    <w:rsid w:val="26A44B7A"/>
    <w:rsid w:val="26B430B5"/>
    <w:rsid w:val="26BA6895"/>
    <w:rsid w:val="26C74DB3"/>
    <w:rsid w:val="26D422DA"/>
    <w:rsid w:val="26E01B85"/>
    <w:rsid w:val="26E069E8"/>
    <w:rsid w:val="26F22358"/>
    <w:rsid w:val="26F35DC8"/>
    <w:rsid w:val="26F44B25"/>
    <w:rsid w:val="26F74783"/>
    <w:rsid w:val="27032DC4"/>
    <w:rsid w:val="270D2A2D"/>
    <w:rsid w:val="2712188B"/>
    <w:rsid w:val="272B740C"/>
    <w:rsid w:val="273121C1"/>
    <w:rsid w:val="27384399"/>
    <w:rsid w:val="273E6D68"/>
    <w:rsid w:val="27531E6D"/>
    <w:rsid w:val="275B16C7"/>
    <w:rsid w:val="275B2D9A"/>
    <w:rsid w:val="27661F4C"/>
    <w:rsid w:val="276A2576"/>
    <w:rsid w:val="27771FB6"/>
    <w:rsid w:val="277841B0"/>
    <w:rsid w:val="27830923"/>
    <w:rsid w:val="27847502"/>
    <w:rsid w:val="279D7543"/>
    <w:rsid w:val="27A0235E"/>
    <w:rsid w:val="27A94DCE"/>
    <w:rsid w:val="27AC68C4"/>
    <w:rsid w:val="27AE5CFD"/>
    <w:rsid w:val="27BB5456"/>
    <w:rsid w:val="27C46B92"/>
    <w:rsid w:val="27C732F3"/>
    <w:rsid w:val="27C82DD9"/>
    <w:rsid w:val="27D04393"/>
    <w:rsid w:val="27D85FBE"/>
    <w:rsid w:val="27E234BC"/>
    <w:rsid w:val="27E60276"/>
    <w:rsid w:val="27EA0562"/>
    <w:rsid w:val="27F0727D"/>
    <w:rsid w:val="28064E1B"/>
    <w:rsid w:val="280D61D7"/>
    <w:rsid w:val="28121261"/>
    <w:rsid w:val="281778A7"/>
    <w:rsid w:val="283244AF"/>
    <w:rsid w:val="28370AE6"/>
    <w:rsid w:val="283F3339"/>
    <w:rsid w:val="284208D6"/>
    <w:rsid w:val="284C2EC3"/>
    <w:rsid w:val="284F35CF"/>
    <w:rsid w:val="2857412D"/>
    <w:rsid w:val="28587C4F"/>
    <w:rsid w:val="286C0DA0"/>
    <w:rsid w:val="286C17BB"/>
    <w:rsid w:val="28727189"/>
    <w:rsid w:val="2874680A"/>
    <w:rsid w:val="28820CD0"/>
    <w:rsid w:val="28844465"/>
    <w:rsid w:val="288566F4"/>
    <w:rsid w:val="288928F8"/>
    <w:rsid w:val="289016FF"/>
    <w:rsid w:val="28955C65"/>
    <w:rsid w:val="28990FE8"/>
    <w:rsid w:val="28992885"/>
    <w:rsid w:val="28B14BC9"/>
    <w:rsid w:val="28B22E8D"/>
    <w:rsid w:val="28B23C3B"/>
    <w:rsid w:val="28B37B09"/>
    <w:rsid w:val="28B37BA6"/>
    <w:rsid w:val="28B5472C"/>
    <w:rsid w:val="28B60944"/>
    <w:rsid w:val="28BF2C03"/>
    <w:rsid w:val="28C40E35"/>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657F00"/>
    <w:rsid w:val="296A66E0"/>
    <w:rsid w:val="296E2B57"/>
    <w:rsid w:val="297B40ED"/>
    <w:rsid w:val="29905390"/>
    <w:rsid w:val="2992577F"/>
    <w:rsid w:val="299E5AD3"/>
    <w:rsid w:val="29A12E98"/>
    <w:rsid w:val="29B34965"/>
    <w:rsid w:val="29BA46F0"/>
    <w:rsid w:val="29C81DEE"/>
    <w:rsid w:val="29CC6860"/>
    <w:rsid w:val="29CD5104"/>
    <w:rsid w:val="29D03AE9"/>
    <w:rsid w:val="29D35C3B"/>
    <w:rsid w:val="29E96443"/>
    <w:rsid w:val="29EA3801"/>
    <w:rsid w:val="29F77F7F"/>
    <w:rsid w:val="29FD282F"/>
    <w:rsid w:val="2A0C2A72"/>
    <w:rsid w:val="2A0D3F44"/>
    <w:rsid w:val="2A0F77B2"/>
    <w:rsid w:val="2A17569E"/>
    <w:rsid w:val="2A2E1891"/>
    <w:rsid w:val="2A33308A"/>
    <w:rsid w:val="2A522B7B"/>
    <w:rsid w:val="2A554FF6"/>
    <w:rsid w:val="2A587332"/>
    <w:rsid w:val="2A6358A0"/>
    <w:rsid w:val="2A697EC4"/>
    <w:rsid w:val="2A755520"/>
    <w:rsid w:val="2A8A6487"/>
    <w:rsid w:val="2A957438"/>
    <w:rsid w:val="2AAA6513"/>
    <w:rsid w:val="2ABA0CE3"/>
    <w:rsid w:val="2ABC6BA4"/>
    <w:rsid w:val="2ACB2722"/>
    <w:rsid w:val="2ACC6767"/>
    <w:rsid w:val="2AD3585E"/>
    <w:rsid w:val="2AD73A46"/>
    <w:rsid w:val="2AD9065F"/>
    <w:rsid w:val="2AE1609D"/>
    <w:rsid w:val="2AE934C2"/>
    <w:rsid w:val="2B0E43B4"/>
    <w:rsid w:val="2B1420FC"/>
    <w:rsid w:val="2B1963D3"/>
    <w:rsid w:val="2B2636BF"/>
    <w:rsid w:val="2B2A3E4E"/>
    <w:rsid w:val="2B2A6827"/>
    <w:rsid w:val="2B392377"/>
    <w:rsid w:val="2B3C0A9A"/>
    <w:rsid w:val="2B4E1EAD"/>
    <w:rsid w:val="2B606BD1"/>
    <w:rsid w:val="2B6B30F4"/>
    <w:rsid w:val="2B6D70C3"/>
    <w:rsid w:val="2B7B72AC"/>
    <w:rsid w:val="2B7E52A9"/>
    <w:rsid w:val="2B8124AF"/>
    <w:rsid w:val="2B812547"/>
    <w:rsid w:val="2B854247"/>
    <w:rsid w:val="2B9E6593"/>
    <w:rsid w:val="2BA453AC"/>
    <w:rsid w:val="2BBE3630"/>
    <w:rsid w:val="2BC6121D"/>
    <w:rsid w:val="2BC6254C"/>
    <w:rsid w:val="2BC730F4"/>
    <w:rsid w:val="2BC90B7E"/>
    <w:rsid w:val="2BCA04EF"/>
    <w:rsid w:val="2BE23A73"/>
    <w:rsid w:val="2BE772F2"/>
    <w:rsid w:val="2BF75B25"/>
    <w:rsid w:val="2BFC4057"/>
    <w:rsid w:val="2BFD08C4"/>
    <w:rsid w:val="2C003A50"/>
    <w:rsid w:val="2C063C1D"/>
    <w:rsid w:val="2C0F5533"/>
    <w:rsid w:val="2C0F6098"/>
    <w:rsid w:val="2C1F1C18"/>
    <w:rsid w:val="2C22559E"/>
    <w:rsid w:val="2C2F43D6"/>
    <w:rsid w:val="2C31056E"/>
    <w:rsid w:val="2C35005E"/>
    <w:rsid w:val="2C364F00"/>
    <w:rsid w:val="2C395466"/>
    <w:rsid w:val="2C3D2F5D"/>
    <w:rsid w:val="2C3D5164"/>
    <w:rsid w:val="2C514A54"/>
    <w:rsid w:val="2C5A4A61"/>
    <w:rsid w:val="2C717D50"/>
    <w:rsid w:val="2C74376C"/>
    <w:rsid w:val="2C7801D0"/>
    <w:rsid w:val="2C83302B"/>
    <w:rsid w:val="2C84529A"/>
    <w:rsid w:val="2C9C243A"/>
    <w:rsid w:val="2CBA5C99"/>
    <w:rsid w:val="2CCC46FF"/>
    <w:rsid w:val="2CD943F3"/>
    <w:rsid w:val="2CF51284"/>
    <w:rsid w:val="2CFC5F8C"/>
    <w:rsid w:val="2CFE28F9"/>
    <w:rsid w:val="2D076ADD"/>
    <w:rsid w:val="2D11306E"/>
    <w:rsid w:val="2D114DCF"/>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96688"/>
    <w:rsid w:val="2D9B47A9"/>
    <w:rsid w:val="2DA81799"/>
    <w:rsid w:val="2DAA1075"/>
    <w:rsid w:val="2DBA30ED"/>
    <w:rsid w:val="2DD17B9E"/>
    <w:rsid w:val="2DF05E5F"/>
    <w:rsid w:val="2DF84BF8"/>
    <w:rsid w:val="2E1A39AF"/>
    <w:rsid w:val="2E20297E"/>
    <w:rsid w:val="2E361EAB"/>
    <w:rsid w:val="2E362CA1"/>
    <w:rsid w:val="2E386A1D"/>
    <w:rsid w:val="2E624245"/>
    <w:rsid w:val="2E6F1538"/>
    <w:rsid w:val="2E744998"/>
    <w:rsid w:val="2E7F3168"/>
    <w:rsid w:val="2E842CB0"/>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06B60"/>
    <w:rsid w:val="2F120BE1"/>
    <w:rsid w:val="2F222891"/>
    <w:rsid w:val="2F260202"/>
    <w:rsid w:val="2F287C43"/>
    <w:rsid w:val="2F493F0A"/>
    <w:rsid w:val="2F495F2A"/>
    <w:rsid w:val="2F4F3A71"/>
    <w:rsid w:val="2F541613"/>
    <w:rsid w:val="2F756311"/>
    <w:rsid w:val="2F792C68"/>
    <w:rsid w:val="2F854E58"/>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5922DF"/>
    <w:rsid w:val="305B3FDF"/>
    <w:rsid w:val="305F095F"/>
    <w:rsid w:val="30601978"/>
    <w:rsid w:val="30681B2A"/>
    <w:rsid w:val="306857C7"/>
    <w:rsid w:val="308D5920"/>
    <w:rsid w:val="309655A9"/>
    <w:rsid w:val="30BF5C92"/>
    <w:rsid w:val="30C93074"/>
    <w:rsid w:val="30CB1CB5"/>
    <w:rsid w:val="30D10088"/>
    <w:rsid w:val="30D25086"/>
    <w:rsid w:val="30D76AEB"/>
    <w:rsid w:val="30E93A58"/>
    <w:rsid w:val="30EB1633"/>
    <w:rsid w:val="30EF5146"/>
    <w:rsid w:val="30F276FC"/>
    <w:rsid w:val="310A1821"/>
    <w:rsid w:val="310C4A77"/>
    <w:rsid w:val="311741D6"/>
    <w:rsid w:val="311F10D6"/>
    <w:rsid w:val="311F24BE"/>
    <w:rsid w:val="311F69A8"/>
    <w:rsid w:val="31307046"/>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79DB"/>
    <w:rsid w:val="31956B3E"/>
    <w:rsid w:val="319638C6"/>
    <w:rsid w:val="31970732"/>
    <w:rsid w:val="31A43F7B"/>
    <w:rsid w:val="31B15FEC"/>
    <w:rsid w:val="31B402FA"/>
    <w:rsid w:val="31D44E72"/>
    <w:rsid w:val="31E03CCA"/>
    <w:rsid w:val="31E27790"/>
    <w:rsid w:val="31F02423"/>
    <w:rsid w:val="31F664E1"/>
    <w:rsid w:val="32052E10"/>
    <w:rsid w:val="32134D7B"/>
    <w:rsid w:val="32311AA4"/>
    <w:rsid w:val="32353110"/>
    <w:rsid w:val="32362E6E"/>
    <w:rsid w:val="323A37C3"/>
    <w:rsid w:val="323A55BB"/>
    <w:rsid w:val="3240150B"/>
    <w:rsid w:val="324803BF"/>
    <w:rsid w:val="3261786D"/>
    <w:rsid w:val="326A2A2B"/>
    <w:rsid w:val="327A179F"/>
    <w:rsid w:val="328D4EBA"/>
    <w:rsid w:val="3292535C"/>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97341"/>
    <w:rsid w:val="333B5874"/>
    <w:rsid w:val="33433433"/>
    <w:rsid w:val="334545B9"/>
    <w:rsid w:val="334C37C7"/>
    <w:rsid w:val="334D2131"/>
    <w:rsid w:val="33581A56"/>
    <w:rsid w:val="33802506"/>
    <w:rsid w:val="338E5DEF"/>
    <w:rsid w:val="339D315C"/>
    <w:rsid w:val="339F2AE6"/>
    <w:rsid w:val="33A06705"/>
    <w:rsid w:val="33A645CF"/>
    <w:rsid w:val="33AD0505"/>
    <w:rsid w:val="33B33BDF"/>
    <w:rsid w:val="33B42B8C"/>
    <w:rsid w:val="33CE4D97"/>
    <w:rsid w:val="33D75FC0"/>
    <w:rsid w:val="33EA6EBD"/>
    <w:rsid w:val="33ED1F20"/>
    <w:rsid w:val="33FE2F74"/>
    <w:rsid w:val="3409363C"/>
    <w:rsid w:val="340A328C"/>
    <w:rsid w:val="340D7248"/>
    <w:rsid w:val="34160775"/>
    <w:rsid w:val="341838A6"/>
    <w:rsid w:val="34204F4C"/>
    <w:rsid w:val="342B6C55"/>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C70909"/>
    <w:rsid w:val="34D16F8B"/>
    <w:rsid w:val="34D321B9"/>
    <w:rsid w:val="34D348B8"/>
    <w:rsid w:val="34D64AA7"/>
    <w:rsid w:val="34D83195"/>
    <w:rsid w:val="34D83D60"/>
    <w:rsid w:val="34E63569"/>
    <w:rsid w:val="34E750DA"/>
    <w:rsid w:val="34F67921"/>
    <w:rsid w:val="350325D0"/>
    <w:rsid w:val="350974B0"/>
    <w:rsid w:val="350E58F0"/>
    <w:rsid w:val="35252644"/>
    <w:rsid w:val="35261B4D"/>
    <w:rsid w:val="352C7F5B"/>
    <w:rsid w:val="35415CC5"/>
    <w:rsid w:val="354631E6"/>
    <w:rsid w:val="35474A00"/>
    <w:rsid w:val="355514A4"/>
    <w:rsid w:val="356133A7"/>
    <w:rsid w:val="357B3B1B"/>
    <w:rsid w:val="35903B55"/>
    <w:rsid w:val="359412D3"/>
    <w:rsid w:val="35A146C6"/>
    <w:rsid w:val="35A95619"/>
    <w:rsid w:val="35AB1391"/>
    <w:rsid w:val="35C27548"/>
    <w:rsid w:val="35C67F79"/>
    <w:rsid w:val="35D13379"/>
    <w:rsid w:val="35D429CB"/>
    <w:rsid w:val="35D72B1B"/>
    <w:rsid w:val="35E13004"/>
    <w:rsid w:val="35E24DB2"/>
    <w:rsid w:val="35EB4C6E"/>
    <w:rsid w:val="35F20D6E"/>
    <w:rsid w:val="35F45C39"/>
    <w:rsid w:val="36004B53"/>
    <w:rsid w:val="362F0EDA"/>
    <w:rsid w:val="36315D3A"/>
    <w:rsid w:val="36363E0D"/>
    <w:rsid w:val="36413AA3"/>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E8434B"/>
    <w:rsid w:val="36EF5742"/>
    <w:rsid w:val="36F079A3"/>
    <w:rsid w:val="36F20B4D"/>
    <w:rsid w:val="36FA0A90"/>
    <w:rsid w:val="370D0F31"/>
    <w:rsid w:val="372525FF"/>
    <w:rsid w:val="372F0378"/>
    <w:rsid w:val="372F652A"/>
    <w:rsid w:val="37396A34"/>
    <w:rsid w:val="373B04F2"/>
    <w:rsid w:val="374E16EB"/>
    <w:rsid w:val="375079EC"/>
    <w:rsid w:val="375342C7"/>
    <w:rsid w:val="37565FF2"/>
    <w:rsid w:val="376223F0"/>
    <w:rsid w:val="376F3DA2"/>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8061BDA"/>
    <w:rsid w:val="381044CC"/>
    <w:rsid w:val="381366DF"/>
    <w:rsid w:val="38210309"/>
    <w:rsid w:val="38263E22"/>
    <w:rsid w:val="38290904"/>
    <w:rsid w:val="3830014D"/>
    <w:rsid w:val="38335ECE"/>
    <w:rsid w:val="383429A6"/>
    <w:rsid w:val="38431D54"/>
    <w:rsid w:val="3849468E"/>
    <w:rsid w:val="386267CB"/>
    <w:rsid w:val="386F4220"/>
    <w:rsid w:val="387060D2"/>
    <w:rsid w:val="38806B18"/>
    <w:rsid w:val="389102DA"/>
    <w:rsid w:val="389C24F8"/>
    <w:rsid w:val="389F232A"/>
    <w:rsid w:val="38B20619"/>
    <w:rsid w:val="38C47680"/>
    <w:rsid w:val="38D37649"/>
    <w:rsid w:val="38E54054"/>
    <w:rsid w:val="38F235C6"/>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A0893"/>
    <w:rsid w:val="3A2B732D"/>
    <w:rsid w:val="3A3A5CD6"/>
    <w:rsid w:val="3A4B70E9"/>
    <w:rsid w:val="3A4E015B"/>
    <w:rsid w:val="3A5C534F"/>
    <w:rsid w:val="3A667F7C"/>
    <w:rsid w:val="3A6B6DF4"/>
    <w:rsid w:val="3A7139DF"/>
    <w:rsid w:val="3A730F09"/>
    <w:rsid w:val="3A800457"/>
    <w:rsid w:val="3A826517"/>
    <w:rsid w:val="3A9374F9"/>
    <w:rsid w:val="3A997463"/>
    <w:rsid w:val="3A9B19D4"/>
    <w:rsid w:val="3A9D5BAC"/>
    <w:rsid w:val="3AA1560E"/>
    <w:rsid w:val="3AA60AE3"/>
    <w:rsid w:val="3AAB720F"/>
    <w:rsid w:val="3AAD2388"/>
    <w:rsid w:val="3AB15DF4"/>
    <w:rsid w:val="3AB53EE2"/>
    <w:rsid w:val="3AB701EF"/>
    <w:rsid w:val="3AB84DFB"/>
    <w:rsid w:val="3ABC7EBD"/>
    <w:rsid w:val="3AC30EDE"/>
    <w:rsid w:val="3AD4390D"/>
    <w:rsid w:val="3ADC4D58"/>
    <w:rsid w:val="3ADF1B88"/>
    <w:rsid w:val="3AE84145"/>
    <w:rsid w:val="3AED5DC5"/>
    <w:rsid w:val="3AF07C00"/>
    <w:rsid w:val="3B003E5B"/>
    <w:rsid w:val="3B02109A"/>
    <w:rsid w:val="3B19419E"/>
    <w:rsid w:val="3B1A13AF"/>
    <w:rsid w:val="3B265952"/>
    <w:rsid w:val="3B276B65"/>
    <w:rsid w:val="3B2C0842"/>
    <w:rsid w:val="3B385475"/>
    <w:rsid w:val="3B415A12"/>
    <w:rsid w:val="3B4C08AC"/>
    <w:rsid w:val="3B5B07F2"/>
    <w:rsid w:val="3B5B46B0"/>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67FC5"/>
    <w:rsid w:val="3BDC4070"/>
    <w:rsid w:val="3BE51ED5"/>
    <w:rsid w:val="3BE712C4"/>
    <w:rsid w:val="3BEE5B7C"/>
    <w:rsid w:val="3BF96691"/>
    <w:rsid w:val="3BFE3F91"/>
    <w:rsid w:val="3C0E1B2A"/>
    <w:rsid w:val="3C0F6496"/>
    <w:rsid w:val="3C1A68AD"/>
    <w:rsid w:val="3C221F5A"/>
    <w:rsid w:val="3C2346A6"/>
    <w:rsid w:val="3C2F6709"/>
    <w:rsid w:val="3C34421F"/>
    <w:rsid w:val="3C37572C"/>
    <w:rsid w:val="3C4760FB"/>
    <w:rsid w:val="3C484FEC"/>
    <w:rsid w:val="3C5671D9"/>
    <w:rsid w:val="3C5E3766"/>
    <w:rsid w:val="3C7254C1"/>
    <w:rsid w:val="3C752E14"/>
    <w:rsid w:val="3C776758"/>
    <w:rsid w:val="3C9608F4"/>
    <w:rsid w:val="3C986B1F"/>
    <w:rsid w:val="3C9E0CF8"/>
    <w:rsid w:val="3CA628B2"/>
    <w:rsid w:val="3CA74BDD"/>
    <w:rsid w:val="3CA80B2A"/>
    <w:rsid w:val="3CAF79B9"/>
    <w:rsid w:val="3CBB2A96"/>
    <w:rsid w:val="3CBC6F3C"/>
    <w:rsid w:val="3CC64D8C"/>
    <w:rsid w:val="3CCE695F"/>
    <w:rsid w:val="3CD27922"/>
    <w:rsid w:val="3CE4280A"/>
    <w:rsid w:val="3CF83061"/>
    <w:rsid w:val="3CFC2C39"/>
    <w:rsid w:val="3D060539"/>
    <w:rsid w:val="3D0855A2"/>
    <w:rsid w:val="3D0F48FB"/>
    <w:rsid w:val="3D257113"/>
    <w:rsid w:val="3D2F0AF9"/>
    <w:rsid w:val="3D406863"/>
    <w:rsid w:val="3D487C94"/>
    <w:rsid w:val="3D54685A"/>
    <w:rsid w:val="3D5C2D06"/>
    <w:rsid w:val="3D5E2339"/>
    <w:rsid w:val="3D6C3AFB"/>
    <w:rsid w:val="3D784546"/>
    <w:rsid w:val="3D806A9B"/>
    <w:rsid w:val="3D856577"/>
    <w:rsid w:val="3D885FA9"/>
    <w:rsid w:val="3D8C1654"/>
    <w:rsid w:val="3D934BE4"/>
    <w:rsid w:val="3D97792F"/>
    <w:rsid w:val="3DA2386D"/>
    <w:rsid w:val="3DAD1EEC"/>
    <w:rsid w:val="3DB8289D"/>
    <w:rsid w:val="3DBF485F"/>
    <w:rsid w:val="3DC079A3"/>
    <w:rsid w:val="3DE5760F"/>
    <w:rsid w:val="3DEC08A8"/>
    <w:rsid w:val="3DFF0E5D"/>
    <w:rsid w:val="3E03001F"/>
    <w:rsid w:val="3E283D84"/>
    <w:rsid w:val="3E3622B8"/>
    <w:rsid w:val="3E4573F0"/>
    <w:rsid w:val="3E4C58E9"/>
    <w:rsid w:val="3E4E10B2"/>
    <w:rsid w:val="3E4E3201"/>
    <w:rsid w:val="3E510B20"/>
    <w:rsid w:val="3E5527E2"/>
    <w:rsid w:val="3E561730"/>
    <w:rsid w:val="3E5F5509"/>
    <w:rsid w:val="3E610F8C"/>
    <w:rsid w:val="3E675386"/>
    <w:rsid w:val="3E8527E8"/>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E03AB7"/>
    <w:rsid w:val="3FE10479"/>
    <w:rsid w:val="3FF33400"/>
    <w:rsid w:val="3FFF2FBA"/>
    <w:rsid w:val="3FFFCA38"/>
    <w:rsid w:val="40033DAA"/>
    <w:rsid w:val="4008248A"/>
    <w:rsid w:val="40151FE5"/>
    <w:rsid w:val="401B25AD"/>
    <w:rsid w:val="401F4AA1"/>
    <w:rsid w:val="40334BCE"/>
    <w:rsid w:val="403B3F6F"/>
    <w:rsid w:val="403C00CA"/>
    <w:rsid w:val="4046428C"/>
    <w:rsid w:val="404C0D0E"/>
    <w:rsid w:val="40544B3B"/>
    <w:rsid w:val="405A7C3B"/>
    <w:rsid w:val="406D13F2"/>
    <w:rsid w:val="407E26B1"/>
    <w:rsid w:val="40863438"/>
    <w:rsid w:val="408F243F"/>
    <w:rsid w:val="40985140"/>
    <w:rsid w:val="409A6EE8"/>
    <w:rsid w:val="40AC3868"/>
    <w:rsid w:val="40C8717C"/>
    <w:rsid w:val="40CE527F"/>
    <w:rsid w:val="40D45B3E"/>
    <w:rsid w:val="40D52C7B"/>
    <w:rsid w:val="40D914A8"/>
    <w:rsid w:val="40DF1457"/>
    <w:rsid w:val="40E671FE"/>
    <w:rsid w:val="41002317"/>
    <w:rsid w:val="41030E35"/>
    <w:rsid w:val="41196BFD"/>
    <w:rsid w:val="412769CC"/>
    <w:rsid w:val="412C7F8F"/>
    <w:rsid w:val="41314E40"/>
    <w:rsid w:val="41344748"/>
    <w:rsid w:val="4135004E"/>
    <w:rsid w:val="41363C01"/>
    <w:rsid w:val="413C193F"/>
    <w:rsid w:val="415374D0"/>
    <w:rsid w:val="41676AB4"/>
    <w:rsid w:val="41700675"/>
    <w:rsid w:val="417E4C6C"/>
    <w:rsid w:val="418351D0"/>
    <w:rsid w:val="4185620E"/>
    <w:rsid w:val="418D65CF"/>
    <w:rsid w:val="41994793"/>
    <w:rsid w:val="41AE12EE"/>
    <w:rsid w:val="41B4140F"/>
    <w:rsid w:val="41B4781F"/>
    <w:rsid w:val="41B65472"/>
    <w:rsid w:val="41BC4620"/>
    <w:rsid w:val="41C0209A"/>
    <w:rsid w:val="41C53D52"/>
    <w:rsid w:val="41C80A89"/>
    <w:rsid w:val="41CE7C0B"/>
    <w:rsid w:val="41D67795"/>
    <w:rsid w:val="41D96BAE"/>
    <w:rsid w:val="41E72C0E"/>
    <w:rsid w:val="41E8090D"/>
    <w:rsid w:val="41EA017C"/>
    <w:rsid w:val="41EE61B3"/>
    <w:rsid w:val="41F45E6E"/>
    <w:rsid w:val="41F74C6C"/>
    <w:rsid w:val="41FD27DD"/>
    <w:rsid w:val="420773A5"/>
    <w:rsid w:val="421137D3"/>
    <w:rsid w:val="42146974"/>
    <w:rsid w:val="42197A4E"/>
    <w:rsid w:val="422E137F"/>
    <w:rsid w:val="424622E4"/>
    <w:rsid w:val="424C45B4"/>
    <w:rsid w:val="424C4859"/>
    <w:rsid w:val="425214A5"/>
    <w:rsid w:val="425C1690"/>
    <w:rsid w:val="42672AE3"/>
    <w:rsid w:val="427415DE"/>
    <w:rsid w:val="42882752"/>
    <w:rsid w:val="428970C0"/>
    <w:rsid w:val="428B0222"/>
    <w:rsid w:val="42A065E5"/>
    <w:rsid w:val="42A9004C"/>
    <w:rsid w:val="42B06F9B"/>
    <w:rsid w:val="42BA147F"/>
    <w:rsid w:val="42C062B2"/>
    <w:rsid w:val="42CB5122"/>
    <w:rsid w:val="42EE32FC"/>
    <w:rsid w:val="42F24C23"/>
    <w:rsid w:val="43014CE6"/>
    <w:rsid w:val="43102C90"/>
    <w:rsid w:val="431A7B56"/>
    <w:rsid w:val="431B1F06"/>
    <w:rsid w:val="43213EBD"/>
    <w:rsid w:val="43361F5E"/>
    <w:rsid w:val="434D7041"/>
    <w:rsid w:val="4350088E"/>
    <w:rsid w:val="436545E9"/>
    <w:rsid w:val="436C5462"/>
    <w:rsid w:val="436D0D30"/>
    <w:rsid w:val="4371243F"/>
    <w:rsid w:val="437C1CBF"/>
    <w:rsid w:val="438258CE"/>
    <w:rsid w:val="43947908"/>
    <w:rsid w:val="439873F8"/>
    <w:rsid w:val="43A644A3"/>
    <w:rsid w:val="43C00FC9"/>
    <w:rsid w:val="43D24BFD"/>
    <w:rsid w:val="43D84D01"/>
    <w:rsid w:val="43DC05F0"/>
    <w:rsid w:val="43E514BC"/>
    <w:rsid w:val="44010064"/>
    <w:rsid w:val="44277F65"/>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D1297"/>
    <w:rsid w:val="451E1B7F"/>
    <w:rsid w:val="452432EE"/>
    <w:rsid w:val="45275A63"/>
    <w:rsid w:val="45287844"/>
    <w:rsid w:val="45300B85"/>
    <w:rsid w:val="4540527E"/>
    <w:rsid w:val="45527E74"/>
    <w:rsid w:val="455308E6"/>
    <w:rsid w:val="4555378E"/>
    <w:rsid w:val="455561E0"/>
    <w:rsid w:val="45584411"/>
    <w:rsid w:val="45594965"/>
    <w:rsid w:val="455F0924"/>
    <w:rsid w:val="456735C0"/>
    <w:rsid w:val="456D2789"/>
    <w:rsid w:val="456D2D94"/>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039C5"/>
    <w:rsid w:val="45F2498B"/>
    <w:rsid w:val="45F435EA"/>
    <w:rsid w:val="45F776C2"/>
    <w:rsid w:val="46194F8D"/>
    <w:rsid w:val="461D5895"/>
    <w:rsid w:val="46252865"/>
    <w:rsid w:val="464F7E8C"/>
    <w:rsid w:val="466379A0"/>
    <w:rsid w:val="46795B73"/>
    <w:rsid w:val="46835F2C"/>
    <w:rsid w:val="469156ED"/>
    <w:rsid w:val="46A064B9"/>
    <w:rsid w:val="46B37073"/>
    <w:rsid w:val="46B37479"/>
    <w:rsid w:val="46B92C5E"/>
    <w:rsid w:val="46BC277A"/>
    <w:rsid w:val="46C53CB1"/>
    <w:rsid w:val="46C634BE"/>
    <w:rsid w:val="46CC5F1A"/>
    <w:rsid w:val="46CD70C7"/>
    <w:rsid w:val="46D25639"/>
    <w:rsid w:val="46DF3C89"/>
    <w:rsid w:val="46E40CF0"/>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F4EE8"/>
    <w:rsid w:val="47B6200F"/>
    <w:rsid w:val="47CD3B64"/>
    <w:rsid w:val="47D35DB1"/>
    <w:rsid w:val="47FA303B"/>
    <w:rsid w:val="47FB783B"/>
    <w:rsid w:val="47FC782A"/>
    <w:rsid w:val="48050DD4"/>
    <w:rsid w:val="480A1E0A"/>
    <w:rsid w:val="480A63EB"/>
    <w:rsid w:val="480D3502"/>
    <w:rsid w:val="481E7563"/>
    <w:rsid w:val="483E684A"/>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A1F71"/>
    <w:rsid w:val="48F1177C"/>
    <w:rsid w:val="49032001"/>
    <w:rsid w:val="490E2E80"/>
    <w:rsid w:val="491C5451"/>
    <w:rsid w:val="491C5DE6"/>
    <w:rsid w:val="491E1C32"/>
    <w:rsid w:val="492956CC"/>
    <w:rsid w:val="49413F52"/>
    <w:rsid w:val="494B6CBB"/>
    <w:rsid w:val="495042D1"/>
    <w:rsid w:val="495264A5"/>
    <w:rsid w:val="49585F89"/>
    <w:rsid w:val="495E079C"/>
    <w:rsid w:val="4961028C"/>
    <w:rsid w:val="496F3163"/>
    <w:rsid w:val="4970325B"/>
    <w:rsid w:val="497A16BC"/>
    <w:rsid w:val="498B7FB9"/>
    <w:rsid w:val="49951CE4"/>
    <w:rsid w:val="499875AE"/>
    <w:rsid w:val="499D18CA"/>
    <w:rsid w:val="49A41FD5"/>
    <w:rsid w:val="49A5110B"/>
    <w:rsid w:val="49A8454F"/>
    <w:rsid w:val="49A91BC0"/>
    <w:rsid w:val="49AC4C9B"/>
    <w:rsid w:val="49B223D6"/>
    <w:rsid w:val="49CF3448"/>
    <w:rsid w:val="49E73BAD"/>
    <w:rsid w:val="49EA4BDD"/>
    <w:rsid w:val="4A0B7E4D"/>
    <w:rsid w:val="4A1115B3"/>
    <w:rsid w:val="4A181F56"/>
    <w:rsid w:val="4A195F96"/>
    <w:rsid w:val="4A1D6A64"/>
    <w:rsid w:val="4A2135CB"/>
    <w:rsid w:val="4A255457"/>
    <w:rsid w:val="4A293372"/>
    <w:rsid w:val="4A2D06C2"/>
    <w:rsid w:val="4A3F61EB"/>
    <w:rsid w:val="4A457C70"/>
    <w:rsid w:val="4A60254F"/>
    <w:rsid w:val="4A690C8F"/>
    <w:rsid w:val="4A825F2B"/>
    <w:rsid w:val="4A8F5711"/>
    <w:rsid w:val="4A9858ED"/>
    <w:rsid w:val="4A9B5E30"/>
    <w:rsid w:val="4A9E1D36"/>
    <w:rsid w:val="4AA81BE0"/>
    <w:rsid w:val="4ABE090A"/>
    <w:rsid w:val="4ABF0059"/>
    <w:rsid w:val="4AC812BF"/>
    <w:rsid w:val="4AC81793"/>
    <w:rsid w:val="4ACC6808"/>
    <w:rsid w:val="4AEA314C"/>
    <w:rsid w:val="4AF3460B"/>
    <w:rsid w:val="4AF81438"/>
    <w:rsid w:val="4AFA5749"/>
    <w:rsid w:val="4B126B9F"/>
    <w:rsid w:val="4B15353E"/>
    <w:rsid w:val="4B2649EC"/>
    <w:rsid w:val="4B312C21"/>
    <w:rsid w:val="4B34064F"/>
    <w:rsid w:val="4B344B01"/>
    <w:rsid w:val="4B3519D1"/>
    <w:rsid w:val="4B394F62"/>
    <w:rsid w:val="4B44149B"/>
    <w:rsid w:val="4B461FA1"/>
    <w:rsid w:val="4B505E8B"/>
    <w:rsid w:val="4B7652B1"/>
    <w:rsid w:val="4B7C0FC4"/>
    <w:rsid w:val="4B8B48EA"/>
    <w:rsid w:val="4B935E86"/>
    <w:rsid w:val="4B9B6DB2"/>
    <w:rsid w:val="4B9D454A"/>
    <w:rsid w:val="4BAF7C48"/>
    <w:rsid w:val="4BBA5F35"/>
    <w:rsid w:val="4BC0573E"/>
    <w:rsid w:val="4BC42FEC"/>
    <w:rsid w:val="4BC46B51"/>
    <w:rsid w:val="4BCF1913"/>
    <w:rsid w:val="4BD05255"/>
    <w:rsid w:val="4BD74836"/>
    <w:rsid w:val="4BD80F46"/>
    <w:rsid w:val="4BDD6AEA"/>
    <w:rsid w:val="4BEB2A84"/>
    <w:rsid w:val="4C05635B"/>
    <w:rsid w:val="4C110813"/>
    <w:rsid w:val="4C183BDA"/>
    <w:rsid w:val="4C271C44"/>
    <w:rsid w:val="4C2D188F"/>
    <w:rsid w:val="4C3149C4"/>
    <w:rsid w:val="4C3B4FDC"/>
    <w:rsid w:val="4C3D27C9"/>
    <w:rsid w:val="4C3D6D8F"/>
    <w:rsid w:val="4C4360F4"/>
    <w:rsid w:val="4C471CF9"/>
    <w:rsid w:val="4C497B37"/>
    <w:rsid w:val="4C4D453F"/>
    <w:rsid w:val="4C541867"/>
    <w:rsid w:val="4C6644FE"/>
    <w:rsid w:val="4C6A3788"/>
    <w:rsid w:val="4C717BE6"/>
    <w:rsid w:val="4C80297D"/>
    <w:rsid w:val="4C9417C6"/>
    <w:rsid w:val="4C95087D"/>
    <w:rsid w:val="4C990151"/>
    <w:rsid w:val="4C9E7130"/>
    <w:rsid w:val="4CA25563"/>
    <w:rsid w:val="4CA40468"/>
    <w:rsid w:val="4CC66BA5"/>
    <w:rsid w:val="4CCB6C1A"/>
    <w:rsid w:val="4CE20577"/>
    <w:rsid w:val="4CE36023"/>
    <w:rsid w:val="4CE37EE9"/>
    <w:rsid w:val="4CEE64ED"/>
    <w:rsid w:val="4CFF5ED3"/>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D36D9"/>
    <w:rsid w:val="4DCF2002"/>
    <w:rsid w:val="4DD23507"/>
    <w:rsid w:val="4DDB714B"/>
    <w:rsid w:val="4DE17BEE"/>
    <w:rsid w:val="4DE3189D"/>
    <w:rsid w:val="4DF35FC2"/>
    <w:rsid w:val="4DFE6D44"/>
    <w:rsid w:val="4E013C25"/>
    <w:rsid w:val="4E02431F"/>
    <w:rsid w:val="4E067EC7"/>
    <w:rsid w:val="4E0914D7"/>
    <w:rsid w:val="4E174236"/>
    <w:rsid w:val="4E1B08FD"/>
    <w:rsid w:val="4E1F46AE"/>
    <w:rsid w:val="4E2D2CB0"/>
    <w:rsid w:val="4E2F2F55"/>
    <w:rsid w:val="4E315603"/>
    <w:rsid w:val="4E363BFC"/>
    <w:rsid w:val="4E4166B5"/>
    <w:rsid w:val="4E425E1E"/>
    <w:rsid w:val="4E452DBC"/>
    <w:rsid w:val="4E460EA4"/>
    <w:rsid w:val="4E4E56F9"/>
    <w:rsid w:val="4E4F1509"/>
    <w:rsid w:val="4E5C54C6"/>
    <w:rsid w:val="4E5F4911"/>
    <w:rsid w:val="4E6C1DEA"/>
    <w:rsid w:val="4E750842"/>
    <w:rsid w:val="4E766588"/>
    <w:rsid w:val="4E7B5D66"/>
    <w:rsid w:val="4E7C2785"/>
    <w:rsid w:val="4E7F769E"/>
    <w:rsid w:val="4E804743"/>
    <w:rsid w:val="4E824A5E"/>
    <w:rsid w:val="4E8D7060"/>
    <w:rsid w:val="4E914FC2"/>
    <w:rsid w:val="4E9478CC"/>
    <w:rsid w:val="4E9C0017"/>
    <w:rsid w:val="4E9D57F2"/>
    <w:rsid w:val="4EA50606"/>
    <w:rsid w:val="4EAC5F97"/>
    <w:rsid w:val="4EAD19C4"/>
    <w:rsid w:val="4EB81245"/>
    <w:rsid w:val="4EB9387B"/>
    <w:rsid w:val="4EC05A55"/>
    <w:rsid w:val="4EC95CE1"/>
    <w:rsid w:val="4ED937FE"/>
    <w:rsid w:val="4EE11040"/>
    <w:rsid w:val="4EEA53C2"/>
    <w:rsid w:val="4EEA7980"/>
    <w:rsid w:val="4EEF4B91"/>
    <w:rsid w:val="4EF55292"/>
    <w:rsid w:val="4EFF04C8"/>
    <w:rsid w:val="4F020299"/>
    <w:rsid w:val="4F193009"/>
    <w:rsid w:val="4F1A55B1"/>
    <w:rsid w:val="4F2064F4"/>
    <w:rsid w:val="4F216F0D"/>
    <w:rsid w:val="4F287F42"/>
    <w:rsid w:val="4F317E38"/>
    <w:rsid w:val="4F322E5A"/>
    <w:rsid w:val="4F340ACC"/>
    <w:rsid w:val="4F40679C"/>
    <w:rsid w:val="4F425B41"/>
    <w:rsid w:val="4F5B7732"/>
    <w:rsid w:val="4F731D97"/>
    <w:rsid w:val="4F863CEA"/>
    <w:rsid w:val="4F8E380C"/>
    <w:rsid w:val="4F9540B9"/>
    <w:rsid w:val="4F9F566B"/>
    <w:rsid w:val="4F9F6734"/>
    <w:rsid w:val="4FA12817"/>
    <w:rsid w:val="4FAF6685"/>
    <w:rsid w:val="4FB31116"/>
    <w:rsid w:val="4FB8741A"/>
    <w:rsid w:val="4FC46188"/>
    <w:rsid w:val="4FD159FE"/>
    <w:rsid w:val="4FD25E95"/>
    <w:rsid w:val="4FDD3A7F"/>
    <w:rsid w:val="4FE04F25"/>
    <w:rsid w:val="4FF359B6"/>
    <w:rsid w:val="4FF84F5F"/>
    <w:rsid w:val="4FFB1042"/>
    <w:rsid w:val="4FFC2ABD"/>
    <w:rsid w:val="4FFD2B5D"/>
    <w:rsid w:val="501027FE"/>
    <w:rsid w:val="501B5EF2"/>
    <w:rsid w:val="5023629C"/>
    <w:rsid w:val="50292F4D"/>
    <w:rsid w:val="502C1B48"/>
    <w:rsid w:val="50491571"/>
    <w:rsid w:val="504E4B13"/>
    <w:rsid w:val="50534BEB"/>
    <w:rsid w:val="50611263"/>
    <w:rsid w:val="50615C9C"/>
    <w:rsid w:val="50624749"/>
    <w:rsid w:val="50624806"/>
    <w:rsid w:val="506F24DD"/>
    <w:rsid w:val="50720485"/>
    <w:rsid w:val="50854860"/>
    <w:rsid w:val="508605D9"/>
    <w:rsid w:val="508D2516"/>
    <w:rsid w:val="508D6964"/>
    <w:rsid w:val="509673EA"/>
    <w:rsid w:val="509C7DFC"/>
    <w:rsid w:val="50AE2A27"/>
    <w:rsid w:val="50AE6EB8"/>
    <w:rsid w:val="50DC516E"/>
    <w:rsid w:val="50E825A5"/>
    <w:rsid w:val="50ED2B10"/>
    <w:rsid w:val="50F25C6E"/>
    <w:rsid w:val="50F641CA"/>
    <w:rsid w:val="510A38B1"/>
    <w:rsid w:val="511E595C"/>
    <w:rsid w:val="5135052B"/>
    <w:rsid w:val="51426BF5"/>
    <w:rsid w:val="51525993"/>
    <w:rsid w:val="51544338"/>
    <w:rsid w:val="515D3F33"/>
    <w:rsid w:val="51680D3A"/>
    <w:rsid w:val="516D4037"/>
    <w:rsid w:val="51714DE5"/>
    <w:rsid w:val="51756FC7"/>
    <w:rsid w:val="517729DD"/>
    <w:rsid w:val="517858CE"/>
    <w:rsid w:val="5189040D"/>
    <w:rsid w:val="519805C3"/>
    <w:rsid w:val="519B7F47"/>
    <w:rsid w:val="51A1138F"/>
    <w:rsid w:val="51AF4F35"/>
    <w:rsid w:val="51B35069"/>
    <w:rsid w:val="51BC5ACC"/>
    <w:rsid w:val="51C55D72"/>
    <w:rsid w:val="51C958BE"/>
    <w:rsid w:val="51CC08CF"/>
    <w:rsid w:val="51D204BE"/>
    <w:rsid w:val="51D9488C"/>
    <w:rsid w:val="51DB759A"/>
    <w:rsid w:val="51E43ECB"/>
    <w:rsid w:val="51F405E2"/>
    <w:rsid w:val="51F45B52"/>
    <w:rsid w:val="52041E26"/>
    <w:rsid w:val="520527C7"/>
    <w:rsid w:val="520C5A77"/>
    <w:rsid w:val="520F3BC8"/>
    <w:rsid w:val="523522B6"/>
    <w:rsid w:val="52391DA6"/>
    <w:rsid w:val="5245738A"/>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30829F0"/>
    <w:rsid w:val="531A554E"/>
    <w:rsid w:val="531E0F9C"/>
    <w:rsid w:val="532E5683"/>
    <w:rsid w:val="534B58E0"/>
    <w:rsid w:val="535C0ABD"/>
    <w:rsid w:val="535D7C11"/>
    <w:rsid w:val="535E583D"/>
    <w:rsid w:val="53640CAC"/>
    <w:rsid w:val="53710FFA"/>
    <w:rsid w:val="537D65C2"/>
    <w:rsid w:val="538552ED"/>
    <w:rsid w:val="538C2996"/>
    <w:rsid w:val="538D3D20"/>
    <w:rsid w:val="53BB3DEA"/>
    <w:rsid w:val="53BB61C7"/>
    <w:rsid w:val="53BD2965"/>
    <w:rsid w:val="53CB09D3"/>
    <w:rsid w:val="53D457EE"/>
    <w:rsid w:val="53D55F5F"/>
    <w:rsid w:val="53DF5EFD"/>
    <w:rsid w:val="53E27D52"/>
    <w:rsid w:val="53ED03CF"/>
    <w:rsid w:val="53F6133F"/>
    <w:rsid w:val="541E7C60"/>
    <w:rsid w:val="541F7C9F"/>
    <w:rsid w:val="5424616B"/>
    <w:rsid w:val="54265B5E"/>
    <w:rsid w:val="54330A77"/>
    <w:rsid w:val="54342C25"/>
    <w:rsid w:val="543B7103"/>
    <w:rsid w:val="54465D45"/>
    <w:rsid w:val="54485F67"/>
    <w:rsid w:val="544C3023"/>
    <w:rsid w:val="5463667D"/>
    <w:rsid w:val="54877909"/>
    <w:rsid w:val="5488350A"/>
    <w:rsid w:val="54921C42"/>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5EA2"/>
    <w:rsid w:val="55B71F05"/>
    <w:rsid w:val="55B84BFE"/>
    <w:rsid w:val="55B860B5"/>
    <w:rsid w:val="55D02FB5"/>
    <w:rsid w:val="55D765D8"/>
    <w:rsid w:val="55DB13C7"/>
    <w:rsid w:val="55E74F22"/>
    <w:rsid w:val="55ED4953"/>
    <w:rsid w:val="55F04FF6"/>
    <w:rsid w:val="55FD5C05"/>
    <w:rsid w:val="562C39D0"/>
    <w:rsid w:val="5633556B"/>
    <w:rsid w:val="563B4759"/>
    <w:rsid w:val="56440D1A"/>
    <w:rsid w:val="5649100F"/>
    <w:rsid w:val="565408CC"/>
    <w:rsid w:val="565B01D1"/>
    <w:rsid w:val="565D3B8A"/>
    <w:rsid w:val="56604743"/>
    <w:rsid w:val="569B5175"/>
    <w:rsid w:val="56A63A6B"/>
    <w:rsid w:val="56A97394"/>
    <w:rsid w:val="56AF23B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F1705"/>
    <w:rsid w:val="575346E6"/>
    <w:rsid w:val="57546437"/>
    <w:rsid w:val="57596A47"/>
    <w:rsid w:val="575C4647"/>
    <w:rsid w:val="57700C66"/>
    <w:rsid w:val="57710FE8"/>
    <w:rsid w:val="57881DA7"/>
    <w:rsid w:val="579652ED"/>
    <w:rsid w:val="57B856D0"/>
    <w:rsid w:val="57BB11C0"/>
    <w:rsid w:val="57CA6432"/>
    <w:rsid w:val="57D74343"/>
    <w:rsid w:val="57DA7B88"/>
    <w:rsid w:val="57F41F18"/>
    <w:rsid w:val="58216B9E"/>
    <w:rsid w:val="582270EA"/>
    <w:rsid w:val="584611FC"/>
    <w:rsid w:val="584625B9"/>
    <w:rsid w:val="585636CA"/>
    <w:rsid w:val="585E073D"/>
    <w:rsid w:val="586B2AA2"/>
    <w:rsid w:val="586D6BD1"/>
    <w:rsid w:val="58750470"/>
    <w:rsid w:val="58783F4D"/>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87FA2"/>
    <w:rsid w:val="591A2206"/>
    <w:rsid w:val="59220B64"/>
    <w:rsid w:val="59241213"/>
    <w:rsid w:val="5925099C"/>
    <w:rsid w:val="59281F8A"/>
    <w:rsid w:val="592C120A"/>
    <w:rsid w:val="5949196E"/>
    <w:rsid w:val="594B23BF"/>
    <w:rsid w:val="5959426B"/>
    <w:rsid w:val="596976B8"/>
    <w:rsid w:val="596D62FA"/>
    <w:rsid w:val="5971576F"/>
    <w:rsid w:val="59791019"/>
    <w:rsid w:val="598067A1"/>
    <w:rsid w:val="598633F7"/>
    <w:rsid w:val="598725D6"/>
    <w:rsid w:val="59A71CEC"/>
    <w:rsid w:val="59A80A2C"/>
    <w:rsid w:val="59AD6BD6"/>
    <w:rsid w:val="59B039A6"/>
    <w:rsid w:val="59B62442"/>
    <w:rsid w:val="59C3586B"/>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A1854"/>
    <w:rsid w:val="5A771855"/>
    <w:rsid w:val="5A7B26EA"/>
    <w:rsid w:val="5A882E77"/>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56220F"/>
    <w:rsid w:val="5B6A05E8"/>
    <w:rsid w:val="5B70435F"/>
    <w:rsid w:val="5B7130F1"/>
    <w:rsid w:val="5B744020"/>
    <w:rsid w:val="5B7D1D66"/>
    <w:rsid w:val="5B8F6493"/>
    <w:rsid w:val="5B9861E9"/>
    <w:rsid w:val="5B990374"/>
    <w:rsid w:val="5B9C4B16"/>
    <w:rsid w:val="5BC6564F"/>
    <w:rsid w:val="5BD62414"/>
    <w:rsid w:val="5BD7058C"/>
    <w:rsid w:val="5BDC11F0"/>
    <w:rsid w:val="5BE92B2B"/>
    <w:rsid w:val="5BED02C0"/>
    <w:rsid w:val="5BEF2162"/>
    <w:rsid w:val="5BF05CDF"/>
    <w:rsid w:val="5BFA16FB"/>
    <w:rsid w:val="5C1F5A65"/>
    <w:rsid w:val="5C3C3BB3"/>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D730A"/>
    <w:rsid w:val="5CE22035"/>
    <w:rsid w:val="5CF7587D"/>
    <w:rsid w:val="5D222DF7"/>
    <w:rsid w:val="5D272917"/>
    <w:rsid w:val="5D385550"/>
    <w:rsid w:val="5D491040"/>
    <w:rsid w:val="5D552C05"/>
    <w:rsid w:val="5D6D4FFA"/>
    <w:rsid w:val="5D704AEA"/>
    <w:rsid w:val="5D8538F5"/>
    <w:rsid w:val="5D8D253F"/>
    <w:rsid w:val="5DA34CFF"/>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953DC"/>
    <w:rsid w:val="5E546526"/>
    <w:rsid w:val="5E5E3C7C"/>
    <w:rsid w:val="5E622685"/>
    <w:rsid w:val="5E64014B"/>
    <w:rsid w:val="5E692BF8"/>
    <w:rsid w:val="5E6F461C"/>
    <w:rsid w:val="5E7E1181"/>
    <w:rsid w:val="5E8B1DC8"/>
    <w:rsid w:val="5E8E5AFF"/>
    <w:rsid w:val="5E8E66C2"/>
    <w:rsid w:val="5E921A5B"/>
    <w:rsid w:val="5E983765"/>
    <w:rsid w:val="5E992D6E"/>
    <w:rsid w:val="5EA1215C"/>
    <w:rsid w:val="5EA83F0C"/>
    <w:rsid w:val="5EB1580B"/>
    <w:rsid w:val="5EBF6C53"/>
    <w:rsid w:val="5ECC6B94"/>
    <w:rsid w:val="5EDD765C"/>
    <w:rsid w:val="5EE132BE"/>
    <w:rsid w:val="5EE21FEF"/>
    <w:rsid w:val="5EE809FF"/>
    <w:rsid w:val="5EEB1B3A"/>
    <w:rsid w:val="5F0454EA"/>
    <w:rsid w:val="5F060738"/>
    <w:rsid w:val="5F080754"/>
    <w:rsid w:val="5F1052C0"/>
    <w:rsid w:val="5F117322"/>
    <w:rsid w:val="5F175124"/>
    <w:rsid w:val="5F1C1314"/>
    <w:rsid w:val="5F324694"/>
    <w:rsid w:val="5F3308FB"/>
    <w:rsid w:val="5F395E26"/>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B65"/>
    <w:rsid w:val="5FEF131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95D3A"/>
    <w:rsid w:val="604F07E6"/>
    <w:rsid w:val="6050092C"/>
    <w:rsid w:val="6053679E"/>
    <w:rsid w:val="60615395"/>
    <w:rsid w:val="606352D7"/>
    <w:rsid w:val="607E12CC"/>
    <w:rsid w:val="608B58E7"/>
    <w:rsid w:val="608E3EBE"/>
    <w:rsid w:val="609548B6"/>
    <w:rsid w:val="60A70823"/>
    <w:rsid w:val="60AB1B22"/>
    <w:rsid w:val="60BE4E95"/>
    <w:rsid w:val="60C53FFF"/>
    <w:rsid w:val="60CE1419"/>
    <w:rsid w:val="60D060CA"/>
    <w:rsid w:val="60D23FB5"/>
    <w:rsid w:val="60DB5A3B"/>
    <w:rsid w:val="60E03D35"/>
    <w:rsid w:val="60E43825"/>
    <w:rsid w:val="60E67FD5"/>
    <w:rsid w:val="60EA40C6"/>
    <w:rsid w:val="60FB2DC7"/>
    <w:rsid w:val="60FB3346"/>
    <w:rsid w:val="60FE387E"/>
    <w:rsid w:val="61077C47"/>
    <w:rsid w:val="610859DB"/>
    <w:rsid w:val="611A1414"/>
    <w:rsid w:val="611D6EE3"/>
    <w:rsid w:val="611F0DC5"/>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50805"/>
    <w:rsid w:val="61D867CE"/>
    <w:rsid w:val="61D92C5E"/>
    <w:rsid w:val="61E6537B"/>
    <w:rsid w:val="61EE3FF7"/>
    <w:rsid w:val="62023AA5"/>
    <w:rsid w:val="62025657"/>
    <w:rsid w:val="620572E1"/>
    <w:rsid w:val="6208352F"/>
    <w:rsid w:val="620B0D4D"/>
    <w:rsid w:val="621D541D"/>
    <w:rsid w:val="62295F11"/>
    <w:rsid w:val="622A0CE9"/>
    <w:rsid w:val="6237161D"/>
    <w:rsid w:val="62425BD4"/>
    <w:rsid w:val="625469B4"/>
    <w:rsid w:val="625664E0"/>
    <w:rsid w:val="62623953"/>
    <w:rsid w:val="626537E0"/>
    <w:rsid w:val="62654AC1"/>
    <w:rsid w:val="62662018"/>
    <w:rsid w:val="626A15EF"/>
    <w:rsid w:val="627306D4"/>
    <w:rsid w:val="62742987"/>
    <w:rsid w:val="62782E5E"/>
    <w:rsid w:val="62832C3E"/>
    <w:rsid w:val="628E5862"/>
    <w:rsid w:val="62931B90"/>
    <w:rsid w:val="62970F08"/>
    <w:rsid w:val="629B237B"/>
    <w:rsid w:val="62AD7C47"/>
    <w:rsid w:val="62B31701"/>
    <w:rsid w:val="62B75221"/>
    <w:rsid w:val="62B81491"/>
    <w:rsid w:val="62C57EC0"/>
    <w:rsid w:val="62C7276D"/>
    <w:rsid w:val="62CA475F"/>
    <w:rsid w:val="62D13FB8"/>
    <w:rsid w:val="62D34DD2"/>
    <w:rsid w:val="62D522DA"/>
    <w:rsid w:val="62E0403B"/>
    <w:rsid w:val="62E77D1A"/>
    <w:rsid w:val="62F33D61"/>
    <w:rsid w:val="62F41FFC"/>
    <w:rsid w:val="62F826CC"/>
    <w:rsid w:val="62FD35E5"/>
    <w:rsid w:val="62FF6C09"/>
    <w:rsid w:val="630A67C2"/>
    <w:rsid w:val="630F44ED"/>
    <w:rsid w:val="631810DE"/>
    <w:rsid w:val="631D413D"/>
    <w:rsid w:val="63260AD7"/>
    <w:rsid w:val="632E70D3"/>
    <w:rsid w:val="634734CF"/>
    <w:rsid w:val="634A442A"/>
    <w:rsid w:val="635C14E4"/>
    <w:rsid w:val="63691D6E"/>
    <w:rsid w:val="636C5F8B"/>
    <w:rsid w:val="637721C3"/>
    <w:rsid w:val="637F3391"/>
    <w:rsid w:val="638B36A0"/>
    <w:rsid w:val="638D1F52"/>
    <w:rsid w:val="639A4752"/>
    <w:rsid w:val="63BD558F"/>
    <w:rsid w:val="63CF256C"/>
    <w:rsid w:val="63CF276F"/>
    <w:rsid w:val="63D567C7"/>
    <w:rsid w:val="63EF4A2D"/>
    <w:rsid w:val="63F279DE"/>
    <w:rsid w:val="63F844A0"/>
    <w:rsid w:val="63FC093D"/>
    <w:rsid w:val="640257A0"/>
    <w:rsid w:val="64086206"/>
    <w:rsid w:val="640C526F"/>
    <w:rsid w:val="64180BB4"/>
    <w:rsid w:val="641D178B"/>
    <w:rsid w:val="64244E7C"/>
    <w:rsid w:val="6426218D"/>
    <w:rsid w:val="64273EFE"/>
    <w:rsid w:val="642B176B"/>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A05D6F"/>
    <w:rsid w:val="65A35E8E"/>
    <w:rsid w:val="65AA47C1"/>
    <w:rsid w:val="65BC65E7"/>
    <w:rsid w:val="65CC5645"/>
    <w:rsid w:val="65D11E9E"/>
    <w:rsid w:val="65D167B0"/>
    <w:rsid w:val="65DD6469"/>
    <w:rsid w:val="65E74C15"/>
    <w:rsid w:val="65E96EF5"/>
    <w:rsid w:val="65EB0A1F"/>
    <w:rsid w:val="65F13345"/>
    <w:rsid w:val="65F51309"/>
    <w:rsid w:val="65FB22AF"/>
    <w:rsid w:val="66060C04"/>
    <w:rsid w:val="660F0098"/>
    <w:rsid w:val="66236B0A"/>
    <w:rsid w:val="6626537D"/>
    <w:rsid w:val="66321A5D"/>
    <w:rsid w:val="665976DA"/>
    <w:rsid w:val="665978D6"/>
    <w:rsid w:val="66652D12"/>
    <w:rsid w:val="666F6D80"/>
    <w:rsid w:val="667245C3"/>
    <w:rsid w:val="667A103B"/>
    <w:rsid w:val="66853957"/>
    <w:rsid w:val="669B6A87"/>
    <w:rsid w:val="669E65F5"/>
    <w:rsid w:val="66A5202F"/>
    <w:rsid w:val="66A81B0A"/>
    <w:rsid w:val="66AE1E81"/>
    <w:rsid w:val="66B60E53"/>
    <w:rsid w:val="66DB7D5A"/>
    <w:rsid w:val="66E21BDB"/>
    <w:rsid w:val="66E42BA0"/>
    <w:rsid w:val="66E9646E"/>
    <w:rsid w:val="66E96BD0"/>
    <w:rsid w:val="66F42FFF"/>
    <w:rsid w:val="66F437F4"/>
    <w:rsid w:val="66F754AA"/>
    <w:rsid w:val="671169F6"/>
    <w:rsid w:val="67132309"/>
    <w:rsid w:val="671367FA"/>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559C0"/>
    <w:rsid w:val="67F66C43"/>
    <w:rsid w:val="68106CAE"/>
    <w:rsid w:val="68156360"/>
    <w:rsid w:val="681D2B64"/>
    <w:rsid w:val="681E4C98"/>
    <w:rsid w:val="68376930"/>
    <w:rsid w:val="683A01CF"/>
    <w:rsid w:val="6843548D"/>
    <w:rsid w:val="684D4EE7"/>
    <w:rsid w:val="685B6E87"/>
    <w:rsid w:val="685D0876"/>
    <w:rsid w:val="68600D58"/>
    <w:rsid w:val="686058A9"/>
    <w:rsid w:val="68624B41"/>
    <w:rsid w:val="68711D67"/>
    <w:rsid w:val="68794A24"/>
    <w:rsid w:val="687B51E8"/>
    <w:rsid w:val="687D3B3C"/>
    <w:rsid w:val="687E0414"/>
    <w:rsid w:val="688B3417"/>
    <w:rsid w:val="68911E74"/>
    <w:rsid w:val="68921DB9"/>
    <w:rsid w:val="68931F2B"/>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4B15B7"/>
    <w:rsid w:val="69543034"/>
    <w:rsid w:val="69793B84"/>
    <w:rsid w:val="69885DC4"/>
    <w:rsid w:val="699F1AEF"/>
    <w:rsid w:val="69A17E0A"/>
    <w:rsid w:val="69AF244E"/>
    <w:rsid w:val="69BD2E65"/>
    <w:rsid w:val="69C3298E"/>
    <w:rsid w:val="69C42F0D"/>
    <w:rsid w:val="69CB6FE2"/>
    <w:rsid w:val="69CD637A"/>
    <w:rsid w:val="69D24000"/>
    <w:rsid w:val="69D90001"/>
    <w:rsid w:val="6A0227A8"/>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542D9"/>
    <w:rsid w:val="6AAD2DD6"/>
    <w:rsid w:val="6AB66BC9"/>
    <w:rsid w:val="6AC07C98"/>
    <w:rsid w:val="6ACA0A05"/>
    <w:rsid w:val="6ACB5B05"/>
    <w:rsid w:val="6AD93E55"/>
    <w:rsid w:val="6ADA17F5"/>
    <w:rsid w:val="6ADC0A54"/>
    <w:rsid w:val="6AE17CF5"/>
    <w:rsid w:val="6AE334F1"/>
    <w:rsid w:val="6AE71156"/>
    <w:rsid w:val="6AE83F12"/>
    <w:rsid w:val="6AE929BC"/>
    <w:rsid w:val="6AF168ED"/>
    <w:rsid w:val="6AFF369B"/>
    <w:rsid w:val="6B0B15E0"/>
    <w:rsid w:val="6B104474"/>
    <w:rsid w:val="6B146AB5"/>
    <w:rsid w:val="6B25683C"/>
    <w:rsid w:val="6B2A079E"/>
    <w:rsid w:val="6B346CB9"/>
    <w:rsid w:val="6B367EB4"/>
    <w:rsid w:val="6B3B4729"/>
    <w:rsid w:val="6B461EDA"/>
    <w:rsid w:val="6B487507"/>
    <w:rsid w:val="6B601395"/>
    <w:rsid w:val="6B62315D"/>
    <w:rsid w:val="6B63088A"/>
    <w:rsid w:val="6B6F7816"/>
    <w:rsid w:val="6B702365"/>
    <w:rsid w:val="6B7E19CD"/>
    <w:rsid w:val="6B7E5CE7"/>
    <w:rsid w:val="6B801646"/>
    <w:rsid w:val="6B814D9E"/>
    <w:rsid w:val="6B827BEC"/>
    <w:rsid w:val="6B8B4A16"/>
    <w:rsid w:val="6B8E684F"/>
    <w:rsid w:val="6BA02A3F"/>
    <w:rsid w:val="6BA836A7"/>
    <w:rsid w:val="6BB676C4"/>
    <w:rsid w:val="6BBB3901"/>
    <w:rsid w:val="6BBB5FAB"/>
    <w:rsid w:val="6BC801EA"/>
    <w:rsid w:val="6BCC7E83"/>
    <w:rsid w:val="6BDF6CC4"/>
    <w:rsid w:val="6BF713A0"/>
    <w:rsid w:val="6C070B91"/>
    <w:rsid w:val="6C0B3EB2"/>
    <w:rsid w:val="6C137534"/>
    <w:rsid w:val="6C1A0A77"/>
    <w:rsid w:val="6C1C4750"/>
    <w:rsid w:val="6C1F1E21"/>
    <w:rsid w:val="6C223FAC"/>
    <w:rsid w:val="6C2F5075"/>
    <w:rsid w:val="6C445118"/>
    <w:rsid w:val="6C46271A"/>
    <w:rsid w:val="6C474EF9"/>
    <w:rsid w:val="6C533564"/>
    <w:rsid w:val="6C573043"/>
    <w:rsid w:val="6C591A64"/>
    <w:rsid w:val="6C5F584C"/>
    <w:rsid w:val="6C6B6F68"/>
    <w:rsid w:val="6C6D497F"/>
    <w:rsid w:val="6C8658C3"/>
    <w:rsid w:val="6C8B3CB7"/>
    <w:rsid w:val="6C8F160B"/>
    <w:rsid w:val="6CA35367"/>
    <w:rsid w:val="6CAA5DF6"/>
    <w:rsid w:val="6CAD6199"/>
    <w:rsid w:val="6CAF7728"/>
    <w:rsid w:val="6CB07B43"/>
    <w:rsid w:val="6CBA2382"/>
    <w:rsid w:val="6CBA5185"/>
    <w:rsid w:val="6CBD2E6E"/>
    <w:rsid w:val="6CC16782"/>
    <w:rsid w:val="6CCE0EE6"/>
    <w:rsid w:val="6CD1329B"/>
    <w:rsid w:val="6CDA5C14"/>
    <w:rsid w:val="6CE67B1F"/>
    <w:rsid w:val="6CEF622B"/>
    <w:rsid w:val="6D027DC8"/>
    <w:rsid w:val="6D08160C"/>
    <w:rsid w:val="6D25240D"/>
    <w:rsid w:val="6D2C09C3"/>
    <w:rsid w:val="6D2D540F"/>
    <w:rsid w:val="6D3035D1"/>
    <w:rsid w:val="6D351C89"/>
    <w:rsid w:val="6D43796C"/>
    <w:rsid w:val="6D4C2232"/>
    <w:rsid w:val="6D534A3D"/>
    <w:rsid w:val="6D594C53"/>
    <w:rsid w:val="6D5A2293"/>
    <w:rsid w:val="6D5E6EFE"/>
    <w:rsid w:val="6D631B18"/>
    <w:rsid w:val="6D7323BF"/>
    <w:rsid w:val="6D7E54FF"/>
    <w:rsid w:val="6D8158D8"/>
    <w:rsid w:val="6D875787"/>
    <w:rsid w:val="6D8C1D7F"/>
    <w:rsid w:val="6DA619D6"/>
    <w:rsid w:val="6DAB6551"/>
    <w:rsid w:val="6DC1631B"/>
    <w:rsid w:val="6DD275E0"/>
    <w:rsid w:val="6DD9608C"/>
    <w:rsid w:val="6DE42EE4"/>
    <w:rsid w:val="6DE970EA"/>
    <w:rsid w:val="6DEF74ED"/>
    <w:rsid w:val="6DF32CA7"/>
    <w:rsid w:val="6DF5641E"/>
    <w:rsid w:val="6DF73A81"/>
    <w:rsid w:val="6DF826BE"/>
    <w:rsid w:val="6E015F3D"/>
    <w:rsid w:val="6E0C373D"/>
    <w:rsid w:val="6E1578A4"/>
    <w:rsid w:val="6E1E47A6"/>
    <w:rsid w:val="6E272FA3"/>
    <w:rsid w:val="6E3033A3"/>
    <w:rsid w:val="6E3130ED"/>
    <w:rsid w:val="6E3F386B"/>
    <w:rsid w:val="6E4530EE"/>
    <w:rsid w:val="6E47182B"/>
    <w:rsid w:val="6E4E3360"/>
    <w:rsid w:val="6E512CD3"/>
    <w:rsid w:val="6E633318"/>
    <w:rsid w:val="6E6416A4"/>
    <w:rsid w:val="6E6B34A3"/>
    <w:rsid w:val="6E6D1362"/>
    <w:rsid w:val="6E6E4D61"/>
    <w:rsid w:val="6E7C4644"/>
    <w:rsid w:val="6E8020D3"/>
    <w:rsid w:val="6E813D91"/>
    <w:rsid w:val="6E895C81"/>
    <w:rsid w:val="6E8F42D3"/>
    <w:rsid w:val="6E8F54B4"/>
    <w:rsid w:val="6E994449"/>
    <w:rsid w:val="6EA63EC8"/>
    <w:rsid w:val="6EB4008C"/>
    <w:rsid w:val="6EBC1098"/>
    <w:rsid w:val="6EBD1AB8"/>
    <w:rsid w:val="6EC4377A"/>
    <w:rsid w:val="6ED35665"/>
    <w:rsid w:val="6ED53D6E"/>
    <w:rsid w:val="6EE83F08"/>
    <w:rsid w:val="6EEC6A5A"/>
    <w:rsid w:val="6F08315C"/>
    <w:rsid w:val="6F0D3ED0"/>
    <w:rsid w:val="6F236464"/>
    <w:rsid w:val="6F2822B5"/>
    <w:rsid w:val="6F3874AA"/>
    <w:rsid w:val="6F4418DA"/>
    <w:rsid w:val="6F4709FD"/>
    <w:rsid w:val="6F4D6A39"/>
    <w:rsid w:val="6F571084"/>
    <w:rsid w:val="6F5B2A24"/>
    <w:rsid w:val="6F623646"/>
    <w:rsid w:val="6F6417C4"/>
    <w:rsid w:val="6F685621"/>
    <w:rsid w:val="6F6A457A"/>
    <w:rsid w:val="6F8B594A"/>
    <w:rsid w:val="6F8C5863"/>
    <w:rsid w:val="6F9E164D"/>
    <w:rsid w:val="6FAD572A"/>
    <w:rsid w:val="6FB52FCC"/>
    <w:rsid w:val="6FB652BB"/>
    <w:rsid w:val="6FB95BB9"/>
    <w:rsid w:val="6FE17FF0"/>
    <w:rsid w:val="6FE7439B"/>
    <w:rsid w:val="6FE969BF"/>
    <w:rsid w:val="6FED7AA7"/>
    <w:rsid w:val="6FF57A3D"/>
    <w:rsid w:val="70002411"/>
    <w:rsid w:val="700E342C"/>
    <w:rsid w:val="700F0F64"/>
    <w:rsid w:val="701B4455"/>
    <w:rsid w:val="70217031"/>
    <w:rsid w:val="70243A7D"/>
    <w:rsid w:val="70267986"/>
    <w:rsid w:val="70340C9E"/>
    <w:rsid w:val="70395B51"/>
    <w:rsid w:val="703D730B"/>
    <w:rsid w:val="70412BED"/>
    <w:rsid w:val="704B2437"/>
    <w:rsid w:val="7054140D"/>
    <w:rsid w:val="7065090D"/>
    <w:rsid w:val="7067248C"/>
    <w:rsid w:val="707324D0"/>
    <w:rsid w:val="7081436D"/>
    <w:rsid w:val="70830B30"/>
    <w:rsid w:val="70843EF3"/>
    <w:rsid w:val="70881259"/>
    <w:rsid w:val="708E3D85"/>
    <w:rsid w:val="708F0AD1"/>
    <w:rsid w:val="709D2496"/>
    <w:rsid w:val="709D4824"/>
    <w:rsid w:val="70A15B5A"/>
    <w:rsid w:val="70BC1F99"/>
    <w:rsid w:val="70C1525D"/>
    <w:rsid w:val="70CD6084"/>
    <w:rsid w:val="70CE1C35"/>
    <w:rsid w:val="70D23836"/>
    <w:rsid w:val="70DB7F45"/>
    <w:rsid w:val="70E45AD2"/>
    <w:rsid w:val="70F03B20"/>
    <w:rsid w:val="70F71FB3"/>
    <w:rsid w:val="711A0B9D"/>
    <w:rsid w:val="7121327D"/>
    <w:rsid w:val="712317FC"/>
    <w:rsid w:val="7138122D"/>
    <w:rsid w:val="713E451B"/>
    <w:rsid w:val="71433036"/>
    <w:rsid w:val="7148570A"/>
    <w:rsid w:val="714E0188"/>
    <w:rsid w:val="714F1788"/>
    <w:rsid w:val="715F4B4E"/>
    <w:rsid w:val="716330C5"/>
    <w:rsid w:val="716D38A1"/>
    <w:rsid w:val="7184022A"/>
    <w:rsid w:val="718C698D"/>
    <w:rsid w:val="71924139"/>
    <w:rsid w:val="71A368B8"/>
    <w:rsid w:val="71AF7537"/>
    <w:rsid w:val="71B36606"/>
    <w:rsid w:val="71BC3FF7"/>
    <w:rsid w:val="71C04C20"/>
    <w:rsid w:val="71CA609A"/>
    <w:rsid w:val="71D60F68"/>
    <w:rsid w:val="71DC7E8D"/>
    <w:rsid w:val="71E12B57"/>
    <w:rsid w:val="71E566F8"/>
    <w:rsid w:val="71E87F09"/>
    <w:rsid w:val="71FB1615"/>
    <w:rsid w:val="71FD64F5"/>
    <w:rsid w:val="72052CA7"/>
    <w:rsid w:val="720D5082"/>
    <w:rsid w:val="72146C9B"/>
    <w:rsid w:val="721557B8"/>
    <w:rsid w:val="723C253D"/>
    <w:rsid w:val="723F4D5F"/>
    <w:rsid w:val="724E2614"/>
    <w:rsid w:val="724F355A"/>
    <w:rsid w:val="72605D30"/>
    <w:rsid w:val="72617E43"/>
    <w:rsid w:val="726437F6"/>
    <w:rsid w:val="7264404D"/>
    <w:rsid w:val="726C2C48"/>
    <w:rsid w:val="726D3426"/>
    <w:rsid w:val="727236FB"/>
    <w:rsid w:val="72741343"/>
    <w:rsid w:val="72747DC5"/>
    <w:rsid w:val="727B544A"/>
    <w:rsid w:val="72872DB0"/>
    <w:rsid w:val="728B3BA1"/>
    <w:rsid w:val="729251C6"/>
    <w:rsid w:val="72A37174"/>
    <w:rsid w:val="72BB6E10"/>
    <w:rsid w:val="72C06107"/>
    <w:rsid w:val="72DA6732"/>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A39F5"/>
    <w:rsid w:val="738B062C"/>
    <w:rsid w:val="73944605"/>
    <w:rsid w:val="73985622"/>
    <w:rsid w:val="739C4363"/>
    <w:rsid w:val="73A100AF"/>
    <w:rsid w:val="73A31545"/>
    <w:rsid w:val="73AC4A69"/>
    <w:rsid w:val="73AF6852"/>
    <w:rsid w:val="73B33721"/>
    <w:rsid w:val="73B53504"/>
    <w:rsid w:val="73CE2013"/>
    <w:rsid w:val="73D7393F"/>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970208"/>
    <w:rsid w:val="74A215D5"/>
    <w:rsid w:val="74A9060F"/>
    <w:rsid w:val="74A92964"/>
    <w:rsid w:val="74AC57AA"/>
    <w:rsid w:val="74AC6B3A"/>
    <w:rsid w:val="74B17A6A"/>
    <w:rsid w:val="74B97DE3"/>
    <w:rsid w:val="74C035F2"/>
    <w:rsid w:val="74C41CC3"/>
    <w:rsid w:val="74CE5A34"/>
    <w:rsid w:val="74E93D82"/>
    <w:rsid w:val="74EE4AA7"/>
    <w:rsid w:val="74F454AB"/>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5572D"/>
    <w:rsid w:val="76193DFA"/>
    <w:rsid w:val="761F501E"/>
    <w:rsid w:val="762404D4"/>
    <w:rsid w:val="762E07DC"/>
    <w:rsid w:val="7645433A"/>
    <w:rsid w:val="76520E7E"/>
    <w:rsid w:val="765D0AC2"/>
    <w:rsid w:val="76610E1E"/>
    <w:rsid w:val="766506E4"/>
    <w:rsid w:val="766F287A"/>
    <w:rsid w:val="76701021"/>
    <w:rsid w:val="767D3C03"/>
    <w:rsid w:val="76827062"/>
    <w:rsid w:val="768A53A8"/>
    <w:rsid w:val="768B24F9"/>
    <w:rsid w:val="76944CA4"/>
    <w:rsid w:val="7696634D"/>
    <w:rsid w:val="76985AE2"/>
    <w:rsid w:val="769907B6"/>
    <w:rsid w:val="769F7D98"/>
    <w:rsid w:val="76B175BC"/>
    <w:rsid w:val="76B6683F"/>
    <w:rsid w:val="76B97545"/>
    <w:rsid w:val="76C3433D"/>
    <w:rsid w:val="76C375E1"/>
    <w:rsid w:val="76C9651D"/>
    <w:rsid w:val="76D1711F"/>
    <w:rsid w:val="76D20CDE"/>
    <w:rsid w:val="76D731F7"/>
    <w:rsid w:val="76DA2E7B"/>
    <w:rsid w:val="76DE0552"/>
    <w:rsid w:val="76E039BC"/>
    <w:rsid w:val="76F019B6"/>
    <w:rsid w:val="77007465"/>
    <w:rsid w:val="77104FD8"/>
    <w:rsid w:val="77111E40"/>
    <w:rsid w:val="77206FD3"/>
    <w:rsid w:val="77253DF8"/>
    <w:rsid w:val="772C6A64"/>
    <w:rsid w:val="772D4B79"/>
    <w:rsid w:val="772E644B"/>
    <w:rsid w:val="772F6324"/>
    <w:rsid w:val="77495E85"/>
    <w:rsid w:val="775F1633"/>
    <w:rsid w:val="77647B3B"/>
    <w:rsid w:val="776C1D72"/>
    <w:rsid w:val="776C64FC"/>
    <w:rsid w:val="776D7803"/>
    <w:rsid w:val="776E6765"/>
    <w:rsid w:val="7777673E"/>
    <w:rsid w:val="777B754B"/>
    <w:rsid w:val="77871F6E"/>
    <w:rsid w:val="77963C6B"/>
    <w:rsid w:val="77991D23"/>
    <w:rsid w:val="77AC5563"/>
    <w:rsid w:val="77C74149"/>
    <w:rsid w:val="77CD3E6F"/>
    <w:rsid w:val="77DE7BD3"/>
    <w:rsid w:val="77E76D58"/>
    <w:rsid w:val="77F86763"/>
    <w:rsid w:val="78032F91"/>
    <w:rsid w:val="784976AB"/>
    <w:rsid w:val="784C764C"/>
    <w:rsid w:val="784D3788"/>
    <w:rsid w:val="787C1C3D"/>
    <w:rsid w:val="788C60D5"/>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85F20"/>
    <w:rsid w:val="793E7BA2"/>
    <w:rsid w:val="793F2B12"/>
    <w:rsid w:val="794054AC"/>
    <w:rsid w:val="79411FC0"/>
    <w:rsid w:val="79416DAC"/>
    <w:rsid w:val="794351C7"/>
    <w:rsid w:val="7956297A"/>
    <w:rsid w:val="795E5A72"/>
    <w:rsid w:val="796E0486"/>
    <w:rsid w:val="797144A4"/>
    <w:rsid w:val="797F7531"/>
    <w:rsid w:val="7994264C"/>
    <w:rsid w:val="79984EFC"/>
    <w:rsid w:val="79A42F8A"/>
    <w:rsid w:val="79AE52D4"/>
    <w:rsid w:val="79BC4EA2"/>
    <w:rsid w:val="79C43E47"/>
    <w:rsid w:val="79C756FD"/>
    <w:rsid w:val="79CC3E3D"/>
    <w:rsid w:val="79CE3815"/>
    <w:rsid w:val="79D733D5"/>
    <w:rsid w:val="79D966BA"/>
    <w:rsid w:val="79E4735A"/>
    <w:rsid w:val="79E92D7D"/>
    <w:rsid w:val="79EA53F0"/>
    <w:rsid w:val="79EC36BB"/>
    <w:rsid w:val="79F82B71"/>
    <w:rsid w:val="79FB191F"/>
    <w:rsid w:val="7A0E424F"/>
    <w:rsid w:val="7A250A85"/>
    <w:rsid w:val="7A3958BB"/>
    <w:rsid w:val="7A4E712B"/>
    <w:rsid w:val="7A5A538E"/>
    <w:rsid w:val="7A5A5BA8"/>
    <w:rsid w:val="7A5C5BD6"/>
    <w:rsid w:val="7A61783D"/>
    <w:rsid w:val="7A66163F"/>
    <w:rsid w:val="7A7408C7"/>
    <w:rsid w:val="7A7F18A6"/>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652B9F"/>
    <w:rsid w:val="7B722E89"/>
    <w:rsid w:val="7B806ADF"/>
    <w:rsid w:val="7B8410DB"/>
    <w:rsid w:val="7B8657AD"/>
    <w:rsid w:val="7B89704B"/>
    <w:rsid w:val="7B8B2806"/>
    <w:rsid w:val="7B995D1E"/>
    <w:rsid w:val="7BA05FB3"/>
    <w:rsid w:val="7BA8292F"/>
    <w:rsid w:val="7BB6059A"/>
    <w:rsid w:val="7BCD0401"/>
    <w:rsid w:val="7BCF0EA8"/>
    <w:rsid w:val="7BD66691"/>
    <w:rsid w:val="7BE11714"/>
    <w:rsid w:val="7BEF28D0"/>
    <w:rsid w:val="7BF344C5"/>
    <w:rsid w:val="7BF50744"/>
    <w:rsid w:val="7BFC00D7"/>
    <w:rsid w:val="7C001CD6"/>
    <w:rsid w:val="7C116FC2"/>
    <w:rsid w:val="7C1C704C"/>
    <w:rsid w:val="7C357219"/>
    <w:rsid w:val="7C3714E0"/>
    <w:rsid w:val="7C3A64F7"/>
    <w:rsid w:val="7C4C3564"/>
    <w:rsid w:val="7C4D6B6B"/>
    <w:rsid w:val="7C604061"/>
    <w:rsid w:val="7C64079E"/>
    <w:rsid w:val="7C6B6751"/>
    <w:rsid w:val="7C7A2991"/>
    <w:rsid w:val="7C8D4118"/>
    <w:rsid w:val="7C91213C"/>
    <w:rsid w:val="7C99757F"/>
    <w:rsid w:val="7C9B25CE"/>
    <w:rsid w:val="7C9D2A38"/>
    <w:rsid w:val="7CAA3794"/>
    <w:rsid w:val="7CB029CD"/>
    <w:rsid w:val="7CB542E7"/>
    <w:rsid w:val="7CBC55FB"/>
    <w:rsid w:val="7CC71EEB"/>
    <w:rsid w:val="7CCE3D6A"/>
    <w:rsid w:val="7CD930BD"/>
    <w:rsid w:val="7CDD64B7"/>
    <w:rsid w:val="7CE15D25"/>
    <w:rsid w:val="7CED2A91"/>
    <w:rsid w:val="7CEF740C"/>
    <w:rsid w:val="7CF11C3E"/>
    <w:rsid w:val="7CF152E5"/>
    <w:rsid w:val="7D184A39"/>
    <w:rsid w:val="7D253442"/>
    <w:rsid w:val="7D2D7007"/>
    <w:rsid w:val="7D36464E"/>
    <w:rsid w:val="7D374D36"/>
    <w:rsid w:val="7D3A60A2"/>
    <w:rsid w:val="7D4615F6"/>
    <w:rsid w:val="7D4B0076"/>
    <w:rsid w:val="7D651BFD"/>
    <w:rsid w:val="7D733A32"/>
    <w:rsid w:val="7D7C3DCB"/>
    <w:rsid w:val="7D845D1C"/>
    <w:rsid w:val="7D9B4E14"/>
    <w:rsid w:val="7D9F3E29"/>
    <w:rsid w:val="7D9F7BF1"/>
    <w:rsid w:val="7DA56094"/>
    <w:rsid w:val="7DA64894"/>
    <w:rsid w:val="7DA71A0B"/>
    <w:rsid w:val="7DA912DF"/>
    <w:rsid w:val="7DA97C07"/>
    <w:rsid w:val="7DAB0D8C"/>
    <w:rsid w:val="7DAB2992"/>
    <w:rsid w:val="7DB27F48"/>
    <w:rsid w:val="7DBB1A86"/>
    <w:rsid w:val="7DC9191C"/>
    <w:rsid w:val="7DDA2D2B"/>
    <w:rsid w:val="7DDA3FE2"/>
    <w:rsid w:val="7DE61F4E"/>
    <w:rsid w:val="7DE72B62"/>
    <w:rsid w:val="7DF67617"/>
    <w:rsid w:val="7DFD4AA0"/>
    <w:rsid w:val="7DFD74E0"/>
    <w:rsid w:val="7E0620B6"/>
    <w:rsid w:val="7E140500"/>
    <w:rsid w:val="7E313A4A"/>
    <w:rsid w:val="7E382007"/>
    <w:rsid w:val="7E393A63"/>
    <w:rsid w:val="7E3B120C"/>
    <w:rsid w:val="7E4070BC"/>
    <w:rsid w:val="7E410BFA"/>
    <w:rsid w:val="7E417F15"/>
    <w:rsid w:val="7E45506D"/>
    <w:rsid w:val="7E4800B3"/>
    <w:rsid w:val="7E4A5D8B"/>
    <w:rsid w:val="7E560C13"/>
    <w:rsid w:val="7E64452C"/>
    <w:rsid w:val="7E644BF6"/>
    <w:rsid w:val="7E6572EE"/>
    <w:rsid w:val="7E712ECD"/>
    <w:rsid w:val="7E785DB5"/>
    <w:rsid w:val="7E7B375A"/>
    <w:rsid w:val="7E904A01"/>
    <w:rsid w:val="7E942AA5"/>
    <w:rsid w:val="7E9521CD"/>
    <w:rsid w:val="7E9C052C"/>
    <w:rsid w:val="7E9F2E67"/>
    <w:rsid w:val="7EBA1B05"/>
    <w:rsid w:val="7EC24622"/>
    <w:rsid w:val="7ED37308"/>
    <w:rsid w:val="7EDB4998"/>
    <w:rsid w:val="7EDD0509"/>
    <w:rsid w:val="7EE177BF"/>
    <w:rsid w:val="7EF00996"/>
    <w:rsid w:val="7EF90044"/>
    <w:rsid w:val="7EFA526B"/>
    <w:rsid w:val="7EFC7159"/>
    <w:rsid w:val="7F0730DD"/>
    <w:rsid w:val="7F097E5D"/>
    <w:rsid w:val="7F0A04A3"/>
    <w:rsid w:val="7F0A5111"/>
    <w:rsid w:val="7F0D421A"/>
    <w:rsid w:val="7F146B45"/>
    <w:rsid w:val="7F1F73AD"/>
    <w:rsid w:val="7F3215D4"/>
    <w:rsid w:val="7F381330"/>
    <w:rsid w:val="7F5E765E"/>
    <w:rsid w:val="7F6C1280"/>
    <w:rsid w:val="7F7562BD"/>
    <w:rsid w:val="7F8A7D3D"/>
    <w:rsid w:val="7FA357DC"/>
    <w:rsid w:val="7FA8530F"/>
    <w:rsid w:val="7FAA3445"/>
    <w:rsid w:val="7FAB6B6F"/>
    <w:rsid w:val="7FAE7BCD"/>
    <w:rsid w:val="7FB71B57"/>
    <w:rsid w:val="7FBB3107"/>
    <w:rsid w:val="7FC11792"/>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254"/>
    <w:qFormat/>
    <w:uiPriority w:val="0"/>
    <w:pPr>
      <w:keepNext/>
      <w:snapToGrid w:val="0"/>
      <w:spacing w:line="360" w:lineRule="atLeast"/>
      <w:outlineLvl w:val="0"/>
    </w:pPr>
    <w:rPr>
      <w:rFonts w:ascii="宋体"/>
    </w:rPr>
  </w:style>
  <w:style w:type="paragraph" w:styleId="3">
    <w:name w:val="heading 2"/>
    <w:basedOn w:val="1"/>
    <w:next w:val="1"/>
    <w:link w:val="263"/>
    <w:qFormat/>
    <w:uiPriority w:val="0"/>
    <w:pPr>
      <w:keepNext/>
      <w:keepLines/>
      <w:spacing w:line="413" w:lineRule="auto"/>
      <w:outlineLvl w:val="1"/>
    </w:pPr>
    <w:rPr>
      <w:rFonts w:ascii="Arial" w:hAnsi="Arial" w:eastAsia="黑体"/>
      <w:b/>
      <w:sz w:val="32"/>
    </w:rPr>
  </w:style>
  <w:style w:type="paragraph" w:styleId="4">
    <w:name w:val="heading 3"/>
    <w:basedOn w:val="1"/>
    <w:next w:val="1"/>
    <w:link w:val="208"/>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Indent"/>
    <w:basedOn w:val="1"/>
    <w:next w:val="15"/>
    <w:link w:val="214"/>
    <w:qFormat/>
    <w:uiPriority w:val="0"/>
    <w:pPr>
      <w:spacing w:line="700" w:lineRule="exact"/>
      <w:ind w:left="960"/>
    </w:pPr>
    <w:rPr>
      <w:sz w:val="4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22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index 3"/>
    <w:basedOn w:val="1"/>
    <w:next w:val="1"/>
    <w:semiHidden/>
    <w:qFormat/>
    <w:uiPriority w:val="0"/>
    <w:pPr>
      <w:ind w:left="600" w:hanging="200"/>
    </w:pPr>
  </w:style>
  <w:style w:type="paragraph" w:styleId="33">
    <w:name w:val="Date"/>
    <w:basedOn w:val="1"/>
    <w:next w:val="1"/>
    <w:link w:val="228"/>
    <w:qFormat/>
    <w:uiPriority w:val="0"/>
  </w:style>
  <w:style w:type="paragraph" w:styleId="34">
    <w:name w:val="Body Text Indent 2"/>
    <w:basedOn w:val="1"/>
    <w:link w:val="221"/>
    <w:qFormat/>
    <w:uiPriority w:val="0"/>
    <w:pPr>
      <w:snapToGrid w:val="0"/>
      <w:spacing w:line="560" w:lineRule="atLeast"/>
      <w:ind w:firstLine="540"/>
    </w:pPr>
  </w:style>
  <w:style w:type="paragraph" w:styleId="35">
    <w:name w:val="Balloon Text"/>
    <w:basedOn w:val="1"/>
    <w:link w:val="261"/>
    <w:qFormat/>
    <w:uiPriority w:val="99"/>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59"/>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3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rPr>
      <w:rFonts w:ascii="Times New Roman" w:hAnsi="Times New Roman"/>
      <w:sz w:val="21"/>
      <w:szCs w:val="21"/>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225"/>
    <w:qFormat/>
    <w:uiPriority w:val="0"/>
    <w:pPr>
      <w:adjustRightInd/>
      <w:spacing w:line="240" w:lineRule="auto"/>
      <w:textAlignment w:val="auto"/>
    </w:pPr>
  </w:style>
  <w:style w:type="paragraph" w:styleId="57">
    <w:name w:val="Body Text First Indent"/>
    <w:basedOn w:val="23"/>
    <w:qFormat/>
    <w:uiPriority w:val="0"/>
    <w:pPr>
      <w:spacing w:line="360" w:lineRule="auto"/>
      <w:ind w:firstLine="420"/>
    </w:pPr>
    <w:rPr>
      <w:rFonts w:ascii="宋体" w:hAnsi="宋体"/>
      <w:sz w:val="24"/>
    </w:rPr>
  </w:style>
  <w:style w:type="paragraph" w:styleId="58">
    <w:name w:val="Body Text First Indent 2"/>
    <w:basedOn w:val="16"/>
    <w:link w:val="213"/>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无间隔1"/>
    <w:qFormat/>
    <w:uiPriority w:val="1"/>
    <w:pPr>
      <w:jc w:val="both"/>
    </w:pPr>
    <w:rPr>
      <w:rFonts w:ascii="Times New Roman" w:hAnsi="Times New Roman" w:eastAsia="Times New Roman" w:cs="Times New Roman"/>
      <w:lang w:val="en-US" w:eastAsia="zh-CN" w:bidi="ar-SA"/>
    </w:rPr>
  </w:style>
  <w:style w:type="paragraph" w:styleId="70">
    <w:name w:val="Quote"/>
    <w:basedOn w:val="1"/>
    <w:next w:val="1"/>
    <w:qFormat/>
    <w:uiPriority w:val="29"/>
    <w:pPr>
      <w:spacing w:beforeLines="50" w:afterLines="50" w:line="360" w:lineRule="auto"/>
    </w:pPr>
    <w:rPr>
      <w:i/>
      <w:iCs/>
      <w:color w:val="000000"/>
      <w:sz w:val="21"/>
      <w:szCs w:val="24"/>
      <w:lang w:val="zh-CN"/>
    </w:rPr>
  </w:style>
  <w:style w:type="paragraph" w:customStyle="1" w:styleId="7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Char2 Char Char Char Char Char Char"/>
    <w:basedOn w:val="1"/>
    <w:qFormat/>
    <w:uiPriority w:val="0"/>
    <w:rPr>
      <w:rFonts w:ascii="仿宋_GB2312"/>
      <w:b/>
      <w:sz w:val="30"/>
    </w:rPr>
  </w:style>
  <w:style w:type="paragraph" w:customStyle="1" w:styleId="73">
    <w:name w:val="样式1"/>
    <w:basedOn w:val="5"/>
    <w:qFormat/>
    <w:uiPriority w:val="0"/>
    <w:pPr>
      <w:tabs>
        <w:tab w:val="left" w:pos="720"/>
      </w:tabs>
      <w:spacing w:line="560" w:lineRule="atLeast"/>
      <w:ind w:left="420" w:hanging="420"/>
    </w:pPr>
  </w:style>
  <w:style w:type="paragraph" w:customStyle="1" w:styleId="74">
    <w:name w:val="表头样式"/>
    <w:basedOn w:val="1"/>
    <w:qFormat/>
    <w:uiPriority w:val="0"/>
    <w:pPr>
      <w:autoSpaceDE w:val="0"/>
      <w:autoSpaceDN w:val="0"/>
      <w:adjustRightInd w:val="0"/>
      <w:spacing w:line="360" w:lineRule="auto"/>
      <w:jc w:val="left"/>
    </w:pPr>
    <w:rPr>
      <w:b/>
      <w:kern w:val="0"/>
      <w:sz w:val="21"/>
    </w:rPr>
  </w:style>
  <w:style w:type="paragraph" w:customStyle="1" w:styleId="75">
    <w:name w:val="首行缩进"/>
    <w:basedOn w:val="1"/>
    <w:qFormat/>
    <w:uiPriority w:val="0"/>
    <w:pPr>
      <w:numPr>
        <w:ilvl w:val="0"/>
        <w:numId w:val="4"/>
      </w:numPr>
      <w:spacing w:line="360" w:lineRule="auto"/>
    </w:pPr>
    <w:rPr>
      <w:rFonts w:eastAsia="仿宋_GB2312"/>
    </w:rPr>
  </w:style>
  <w:style w:type="paragraph" w:customStyle="1" w:styleId="7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7">
    <w:name w:val="关键词"/>
    <w:basedOn w:val="1"/>
    <w:next w:val="1"/>
    <w:qFormat/>
    <w:uiPriority w:val="0"/>
    <w:pPr>
      <w:spacing w:line="360" w:lineRule="auto"/>
    </w:pPr>
    <w:rPr>
      <w:rFonts w:eastAsia="黑体"/>
      <w:sz w:val="20"/>
    </w:rPr>
  </w:style>
  <w:style w:type="paragraph" w:customStyle="1" w:styleId="78">
    <w:name w:val="首行缩进 1"/>
    <w:basedOn w:val="1"/>
    <w:qFormat/>
    <w:uiPriority w:val="0"/>
    <w:pPr>
      <w:spacing w:line="360" w:lineRule="auto"/>
      <w:ind w:firstLine="200" w:firstLineChars="200"/>
    </w:pPr>
    <w:rPr>
      <w:sz w:val="24"/>
    </w:rPr>
  </w:style>
  <w:style w:type="paragraph" w:customStyle="1" w:styleId="79">
    <w:name w:val="Char1 Char Char Char"/>
    <w:basedOn w:val="1"/>
    <w:qFormat/>
    <w:uiPriority w:val="0"/>
    <w:rPr>
      <w:rFonts w:ascii="Tahoma" w:hAnsi="Tahoma"/>
      <w:sz w:val="24"/>
    </w:rPr>
  </w:style>
  <w:style w:type="paragraph" w:customStyle="1" w:styleId="80">
    <w:name w:val="样式 正文缩进正文（首行缩进两字）表正文正文非缩进特点标题4段1 + 首行缩进:  2 字符"/>
    <w:basedOn w:val="15"/>
    <w:qFormat/>
    <w:uiPriority w:val="0"/>
    <w:pPr>
      <w:ind w:firstLine="480" w:firstLineChars="200"/>
    </w:pPr>
  </w:style>
  <w:style w:type="paragraph" w:customStyle="1" w:styleId="81">
    <w:name w:val="Table Contents"/>
    <w:basedOn w:val="23"/>
    <w:qFormat/>
    <w:uiPriority w:val="0"/>
    <w:pPr>
      <w:suppressAutoHyphens/>
      <w:jc w:val="left"/>
    </w:pPr>
    <w:rPr>
      <w:rFonts w:ascii="Times New Roman" w:eastAsia="Times New Roman"/>
      <w:kern w:val="0"/>
      <w:sz w:val="24"/>
    </w:rPr>
  </w:style>
  <w:style w:type="paragraph" w:customStyle="1" w:styleId="82">
    <w:name w:val="正文字缩2字"/>
    <w:basedOn w:val="1"/>
    <w:qFormat/>
    <w:uiPriority w:val="0"/>
    <w:pPr>
      <w:spacing w:line="360" w:lineRule="auto"/>
      <w:ind w:left="200" w:leftChars="200" w:firstLine="200" w:firstLineChars="200"/>
    </w:pPr>
    <w:rPr>
      <w:sz w:val="24"/>
    </w:rPr>
  </w:style>
  <w:style w:type="paragraph" w:customStyle="1" w:styleId="8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5">
    <w:name w:val="摘要"/>
    <w:basedOn w:val="1"/>
    <w:next w:val="3"/>
    <w:qFormat/>
    <w:uiPriority w:val="0"/>
    <w:pPr>
      <w:spacing w:line="360" w:lineRule="auto"/>
    </w:pPr>
    <w:rPr>
      <w:rFonts w:eastAsia="黑体"/>
      <w:sz w:val="20"/>
    </w:rPr>
  </w:style>
  <w:style w:type="paragraph" w:customStyle="1" w:styleId="86">
    <w:name w:val="图例"/>
    <w:basedOn w:val="1"/>
    <w:qFormat/>
    <w:uiPriority w:val="0"/>
    <w:pPr>
      <w:spacing w:line="360" w:lineRule="auto"/>
      <w:jc w:val="center"/>
    </w:pPr>
    <w:rPr>
      <w:rFonts w:eastAsia="仿宋_GB2312"/>
      <w:b/>
      <w:sz w:val="24"/>
    </w:rPr>
  </w:style>
  <w:style w:type="paragraph" w:customStyle="1" w:styleId="87">
    <w:name w:val="样式1xz"/>
    <w:basedOn w:val="1"/>
    <w:qFormat/>
    <w:uiPriority w:val="0"/>
    <w:pPr>
      <w:tabs>
        <w:tab w:val="left" w:pos="1050"/>
        <w:tab w:val="right" w:leader="dot" w:pos="8296"/>
      </w:tabs>
    </w:pPr>
    <w:rPr>
      <w:caps/>
      <w:spacing w:val="20"/>
      <w:sz w:val="24"/>
    </w:rPr>
  </w:style>
  <w:style w:type="paragraph" w:customStyle="1" w:styleId="88">
    <w:name w:val="Char Char Char Char Char"/>
    <w:basedOn w:val="1"/>
    <w:qFormat/>
    <w:uiPriority w:val="0"/>
    <w:pPr>
      <w:tabs>
        <w:tab w:val="left" w:pos="425"/>
      </w:tabs>
      <w:ind w:left="1620" w:hanging="360"/>
    </w:pPr>
    <w:rPr>
      <w:rFonts w:ascii="Tahoma" w:hAnsi="Tahoma"/>
      <w:sz w:val="24"/>
    </w:rPr>
  </w:style>
  <w:style w:type="paragraph" w:customStyle="1" w:styleId="89">
    <w:name w:val="Char"/>
    <w:basedOn w:val="1"/>
    <w:qFormat/>
    <w:uiPriority w:val="0"/>
    <w:pPr>
      <w:spacing w:line="240" w:lineRule="atLeast"/>
      <w:ind w:left="420" w:firstLine="420"/>
    </w:pPr>
    <w:rPr>
      <w:kern w:val="0"/>
      <w:sz w:val="21"/>
    </w:rPr>
  </w:style>
  <w:style w:type="paragraph" w:customStyle="1" w:styleId="90">
    <w:name w:val="Char Char1 Char"/>
    <w:basedOn w:val="1"/>
    <w:qFormat/>
    <w:uiPriority w:val="0"/>
    <w:rPr>
      <w:rFonts w:ascii="Tahoma" w:hAnsi="Tahoma"/>
      <w:sz w:val="24"/>
      <w:szCs w:val="24"/>
    </w:rPr>
  </w:style>
  <w:style w:type="paragraph" w:customStyle="1" w:styleId="9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2">
    <w:name w:val="表格内文字"/>
    <w:basedOn w:val="30"/>
    <w:qFormat/>
    <w:uiPriority w:val="0"/>
    <w:pPr>
      <w:adjustRightInd w:val="0"/>
    </w:pPr>
    <w:rPr>
      <w:color w:val="000000"/>
      <w:lang w:val="en-GB"/>
    </w:rPr>
  </w:style>
  <w:style w:type="paragraph" w:customStyle="1" w:styleId="93">
    <w:name w:val="1.正文"/>
    <w:basedOn w:val="1"/>
    <w:qFormat/>
    <w:uiPriority w:val="0"/>
    <w:pPr>
      <w:spacing w:line="360" w:lineRule="auto"/>
      <w:ind w:left="540" w:leftChars="225" w:firstLine="540" w:firstLineChars="225"/>
    </w:pPr>
    <w:rPr>
      <w:sz w:val="24"/>
    </w:rPr>
  </w:style>
  <w:style w:type="paragraph" w:customStyle="1" w:styleId="94">
    <w:name w:val="正文文本缩进 21"/>
    <w:basedOn w:val="1"/>
    <w:qFormat/>
    <w:uiPriority w:val="0"/>
    <w:pPr>
      <w:adjustRightInd w:val="0"/>
      <w:ind w:firstLine="420"/>
      <w:textAlignment w:val="baseline"/>
    </w:pPr>
    <w:rPr>
      <w:sz w:val="24"/>
    </w:rPr>
  </w:style>
  <w:style w:type="paragraph" w:customStyle="1" w:styleId="9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编号正文"/>
    <w:basedOn w:val="97"/>
    <w:qFormat/>
    <w:uiPriority w:val="0"/>
    <w:pPr>
      <w:snapToGrid/>
      <w:spacing w:line="360" w:lineRule="auto"/>
      <w:ind w:left="1407" w:hanging="1047"/>
      <w:jc w:val="left"/>
    </w:pPr>
    <w:rPr>
      <w:rFonts w:eastAsia="仿宋_GB2312"/>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文本框样式1"/>
    <w:basedOn w:val="1"/>
    <w:qFormat/>
    <w:uiPriority w:val="0"/>
    <w:pPr>
      <w:adjustRightInd w:val="0"/>
      <w:snapToGrid w:val="0"/>
      <w:spacing w:line="180" w:lineRule="exact"/>
      <w:jc w:val="center"/>
    </w:pPr>
    <w:rPr>
      <w:sz w:val="21"/>
    </w:rPr>
  </w:style>
  <w:style w:type="paragraph" w:customStyle="1" w:styleId="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1">
    <w:name w:val="正文（首行不缩进）"/>
    <w:basedOn w:val="1"/>
    <w:qFormat/>
    <w:uiPriority w:val="0"/>
    <w:pPr>
      <w:autoSpaceDE w:val="0"/>
      <w:autoSpaceDN w:val="0"/>
      <w:adjustRightInd w:val="0"/>
      <w:spacing w:line="360" w:lineRule="auto"/>
      <w:jc w:val="left"/>
    </w:pPr>
    <w:rPr>
      <w:kern w:val="0"/>
      <w:sz w:val="21"/>
    </w:rPr>
  </w:style>
  <w:style w:type="paragraph" w:customStyle="1" w:styleId="10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4">
    <w:name w:val="附录3"/>
    <w:basedOn w:val="1"/>
    <w:next w:val="1"/>
    <w:qFormat/>
    <w:uiPriority w:val="0"/>
    <w:pPr>
      <w:tabs>
        <w:tab w:val="left" w:pos="851"/>
      </w:tabs>
      <w:ind w:left="425" w:hanging="425"/>
      <w:outlineLvl w:val="2"/>
    </w:pPr>
    <w:rPr>
      <w:rFonts w:eastAsia="黑体"/>
      <w:b/>
      <w:sz w:val="32"/>
    </w:rPr>
  </w:style>
  <w:style w:type="paragraph" w:customStyle="1" w:styleId="105">
    <w:name w:val="1"/>
    <w:basedOn w:val="1"/>
    <w:next w:val="30"/>
    <w:qFormat/>
    <w:uiPriority w:val="0"/>
    <w:rPr>
      <w:rFonts w:ascii="宋体" w:hAnsi="Courier New"/>
      <w:sz w:val="21"/>
    </w:rPr>
  </w:style>
  <w:style w:type="paragraph" w:customStyle="1" w:styleId="106">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7">
    <w:name w:val="段落正文"/>
    <w:basedOn w:val="1"/>
    <w:qFormat/>
    <w:uiPriority w:val="0"/>
    <w:pPr>
      <w:spacing w:beforeLines="50" w:line="360" w:lineRule="auto"/>
      <w:ind w:firstLine="200" w:firstLineChars="200"/>
    </w:pPr>
    <w:rPr>
      <w:spacing w:val="2"/>
      <w:sz w:val="24"/>
    </w:rPr>
  </w:style>
  <w:style w:type="paragraph" w:customStyle="1" w:styleId="10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09">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内容标题"/>
    <w:basedOn w:val="18"/>
    <w:qFormat/>
    <w:uiPriority w:val="0"/>
    <w:rPr>
      <w:rFonts w:ascii="Tahoma" w:hAnsi="Tahoma"/>
      <w:sz w:val="24"/>
    </w:rPr>
  </w:style>
  <w:style w:type="paragraph" w:customStyle="1" w:styleId="112">
    <w:name w:val="Char Char Char Char Char Char Char"/>
    <w:basedOn w:val="18"/>
    <w:qFormat/>
    <w:uiPriority w:val="0"/>
    <w:rPr>
      <w:rFonts w:ascii="宋体" w:hAnsi="Tahoma"/>
    </w:rPr>
  </w:style>
  <w:style w:type="paragraph" w:customStyle="1" w:styleId="113">
    <w:name w:val="Title - Revision"/>
    <w:basedOn w:val="55"/>
    <w:qFormat/>
    <w:uiPriority w:val="0"/>
  </w:style>
  <w:style w:type="paragraph" w:customStyle="1" w:styleId="114">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5">
    <w:name w:val="简单回函地址"/>
    <w:basedOn w:val="1"/>
    <w:qFormat/>
    <w:uiPriority w:val="0"/>
    <w:pPr>
      <w:adjustRightInd w:val="0"/>
      <w:snapToGrid w:val="0"/>
      <w:spacing w:line="360" w:lineRule="auto"/>
    </w:pPr>
    <w:rPr>
      <w:sz w:val="24"/>
    </w:rPr>
  </w:style>
  <w:style w:type="paragraph" w:customStyle="1" w:styleId="116">
    <w:name w:val="Table Text Char Char Char"/>
    <w:link w:val="220"/>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文本1"/>
    <w:basedOn w:val="1"/>
    <w:qFormat/>
    <w:uiPriority w:val="0"/>
    <w:pPr>
      <w:adjustRightInd w:val="0"/>
      <w:spacing w:line="312" w:lineRule="atLeast"/>
      <w:jc w:val="center"/>
      <w:textAlignment w:val="baseline"/>
    </w:pPr>
    <w:rPr>
      <w:kern w:val="0"/>
      <w:sz w:val="18"/>
    </w:rPr>
  </w:style>
  <w:style w:type="paragraph" w:customStyle="1" w:styleId="121">
    <w:name w:val="文字"/>
    <w:basedOn w:val="1"/>
    <w:link w:val="240"/>
    <w:qFormat/>
    <w:uiPriority w:val="0"/>
    <w:pPr>
      <w:tabs>
        <w:tab w:val="left" w:pos="8520"/>
      </w:tabs>
      <w:spacing w:line="312" w:lineRule="auto"/>
      <w:ind w:right="-210" w:firstLine="556"/>
    </w:pPr>
    <w:rPr>
      <w:rFonts w:ascii="宋体"/>
    </w:rPr>
  </w:style>
  <w:style w:type="paragraph" w:customStyle="1" w:styleId="122">
    <w:name w:val="样式2"/>
    <w:basedOn w:val="5"/>
    <w:qFormat/>
    <w:uiPriority w:val="0"/>
    <w:pPr>
      <w:numPr>
        <w:ilvl w:val="0"/>
        <w:numId w:val="7"/>
      </w:numPr>
      <w:spacing w:line="400" w:lineRule="exact"/>
      <w:jc w:val="center"/>
      <w:outlineLvl w:val="0"/>
    </w:pPr>
    <w:rPr>
      <w:b w:val="0"/>
      <w:sz w:val="44"/>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正文表格"/>
    <w:basedOn w:val="1"/>
    <w:qFormat/>
    <w:uiPriority w:val="0"/>
    <w:pPr>
      <w:adjustRightInd w:val="0"/>
    </w:pPr>
    <w:rPr>
      <w:sz w:val="24"/>
    </w:rPr>
  </w:style>
  <w:style w:type="paragraph" w:customStyle="1" w:styleId="125">
    <w:name w:val="IN Feature"/>
    <w:next w:val="10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6">
    <w:name w:val="Char1"/>
    <w:basedOn w:val="1"/>
    <w:qFormat/>
    <w:uiPriority w:val="0"/>
    <w:rPr>
      <w:sz w:val="21"/>
    </w:rPr>
  </w:style>
  <w:style w:type="paragraph" w:customStyle="1" w:styleId="127">
    <w:name w:val="可研正文"/>
    <w:basedOn w:val="23"/>
    <w:qFormat/>
    <w:uiPriority w:val="0"/>
    <w:pPr>
      <w:adjustRightInd w:val="0"/>
      <w:snapToGrid w:val="0"/>
      <w:spacing w:line="440" w:lineRule="exact"/>
      <w:ind w:firstLine="567"/>
    </w:pPr>
    <w:rPr>
      <w:sz w:val="28"/>
    </w:rPr>
  </w:style>
  <w:style w:type="paragraph" w:customStyle="1" w:styleId="128">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2">
    <w:name w:val="没有缩进（为图形使用）"/>
    <w:basedOn w:val="1"/>
    <w:qFormat/>
    <w:uiPriority w:val="0"/>
    <w:pPr>
      <w:spacing w:line="360" w:lineRule="auto"/>
    </w:pPr>
    <w:rPr>
      <w:sz w:val="24"/>
    </w:rPr>
  </w:style>
  <w:style w:type="paragraph" w:customStyle="1" w:styleId="133">
    <w:name w:val="Char Char Char"/>
    <w:basedOn w:val="1"/>
    <w:qFormat/>
    <w:uiPriority w:val="0"/>
    <w:rPr>
      <w:rFonts w:ascii="Tahoma" w:hAnsi="Tahoma"/>
      <w:sz w:val="24"/>
    </w:rPr>
  </w:style>
  <w:style w:type="paragraph" w:customStyle="1" w:styleId="134">
    <w:name w:val="表文字"/>
    <w:qFormat/>
    <w:uiPriority w:val="0"/>
    <w:rPr>
      <w:rFonts w:ascii="宋体" w:hAnsi="Calibri" w:eastAsia="宋体" w:cs="Times New Roman"/>
      <w:kern w:val="2"/>
      <w:lang w:val="en-US" w:eastAsia="zh-CN" w:bidi="ar-SA"/>
    </w:rPr>
  </w:style>
  <w:style w:type="paragraph" w:customStyle="1" w:styleId="135">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8">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二级列表"/>
    <w:basedOn w:val="107"/>
    <w:next w:val="107"/>
    <w:qFormat/>
    <w:uiPriority w:val="0"/>
    <w:pPr>
      <w:tabs>
        <w:tab w:val="left" w:pos="2120"/>
      </w:tabs>
      <w:ind w:firstLine="0" w:firstLineChars="0"/>
    </w:pPr>
    <w:rPr>
      <w:b/>
    </w:rPr>
  </w:style>
  <w:style w:type="paragraph" w:customStyle="1" w:styleId="141">
    <w:name w:val="Char Char14 Char Char"/>
    <w:basedOn w:val="1"/>
    <w:qFormat/>
    <w:uiPriority w:val="0"/>
    <w:rPr>
      <w:sz w:val="21"/>
      <w:szCs w:val="24"/>
    </w:rPr>
  </w:style>
  <w:style w:type="paragraph" w:customStyle="1" w:styleId="142">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3">
    <w:name w:val="Char2"/>
    <w:basedOn w:val="1"/>
    <w:qFormat/>
    <w:uiPriority w:val="0"/>
    <w:pPr>
      <w:spacing w:line="240" w:lineRule="atLeast"/>
      <w:ind w:left="420" w:firstLine="420"/>
    </w:pPr>
    <w:rPr>
      <w:kern w:val="0"/>
      <w:sz w:val="21"/>
    </w:rPr>
  </w:style>
  <w:style w:type="paragraph" w:customStyle="1" w:styleId="144">
    <w:name w:val="样式4"/>
    <w:basedOn w:val="5"/>
    <w:qFormat/>
    <w:uiPriority w:val="0"/>
    <w:pPr>
      <w:adjustRightInd w:val="0"/>
      <w:snapToGrid w:val="0"/>
    </w:p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7">
    <w:name w:val="af"/>
    <w:basedOn w:val="1"/>
    <w:qFormat/>
    <w:uiPriority w:val="0"/>
    <w:pPr>
      <w:widowControl/>
      <w:spacing w:line="300" w:lineRule="atLeast"/>
      <w:jc w:val="left"/>
    </w:pPr>
    <w:rPr>
      <w:rFonts w:ascii="宋体" w:hAnsi="宋体"/>
      <w:kern w:val="0"/>
      <w:sz w:val="18"/>
    </w:rPr>
  </w:style>
  <w:style w:type="paragraph" w:customStyle="1" w:styleId="14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9">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0">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1">
    <w:name w:val="标准正文"/>
    <w:basedOn w:val="16"/>
    <w:qFormat/>
    <w:uiPriority w:val="0"/>
    <w:pPr>
      <w:spacing w:line="360" w:lineRule="auto"/>
      <w:ind w:left="0" w:firstLine="482"/>
    </w:pPr>
    <w:rPr>
      <w:rFonts w:ascii="Arial" w:hAnsi="Arial"/>
      <w:sz w:val="24"/>
    </w:rPr>
  </w:style>
  <w:style w:type="paragraph" w:customStyle="1" w:styleId="152">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3">
    <w:name w:val="二级条标题"/>
    <w:basedOn w:val="154"/>
    <w:next w:val="131"/>
    <w:qFormat/>
    <w:uiPriority w:val="0"/>
    <w:pPr>
      <w:ind w:left="840"/>
      <w:outlineLvl w:val="3"/>
    </w:pPr>
  </w:style>
  <w:style w:type="paragraph" w:customStyle="1" w:styleId="154">
    <w:name w:val="一级条标题"/>
    <w:basedOn w:val="152"/>
    <w:next w:val="131"/>
    <w:qFormat/>
    <w:uiPriority w:val="0"/>
    <w:pPr>
      <w:numPr>
        <w:numId w:val="0"/>
      </w:numPr>
      <w:spacing w:beforeLines="0" w:afterLines="0"/>
      <w:ind w:left="525"/>
      <w:outlineLvl w:val="2"/>
    </w:pPr>
    <w:rPr>
      <w:sz w:val="21"/>
    </w:rPr>
  </w:style>
  <w:style w:type="paragraph" w:customStyle="1" w:styleId="15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标题无"/>
    <w:basedOn w:val="1"/>
    <w:qFormat/>
    <w:uiPriority w:val="0"/>
    <w:pPr>
      <w:spacing w:line="360" w:lineRule="auto"/>
    </w:pPr>
    <w:rPr>
      <w:sz w:val="24"/>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xl23"/>
    <w:basedOn w:val="1"/>
    <w:qFormat/>
    <w:uiPriority w:val="0"/>
    <w:pPr>
      <w:widowControl/>
      <w:spacing w:beforeAutospacing="1" w:afterAutospacing="1" w:line="360" w:lineRule="auto"/>
      <w:textAlignment w:val="top"/>
    </w:pPr>
    <w:rPr>
      <w:kern w:val="0"/>
      <w:sz w:val="24"/>
    </w:rPr>
  </w:style>
  <w:style w:type="paragraph" w:customStyle="1" w:styleId="159">
    <w:name w:val="正文文本 21"/>
    <w:basedOn w:val="1"/>
    <w:qFormat/>
    <w:uiPriority w:val="0"/>
    <w:pPr>
      <w:adjustRightInd w:val="0"/>
      <w:spacing w:line="360" w:lineRule="auto"/>
      <w:ind w:firstLine="480"/>
      <w:textAlignment w:val="baseline"/>
    </w:pPr>
    <w:rPr>
      <w:sz w:val="24"/>
    </w:rPr>
  </w:style>
  <w:style w:type="paragraph" w:customStyle="1" w:styleId="16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1 Char Char Char1"/>
    <w:basedOn w:val="1"/>
    <w:qFormat/>
    <w:uiPriority w:val="0"/>
    <w:rPr>
      <w:rFonts w:ascii="Tahoma" w:hAnsi="Tahoma"/>
      <w:sz w:val="30"/>
    </w:rPr>
  </w:style>
  <w:style w:type="paragraph" w:customStyle="1" w:styleId="163">
    <w:name w:val="Char Char Char Char Char Char Char1"/>
    <w:basedOn w:val="1"/>
    <w:qFormat/>
    <w:uiPriority w:val="0"/>
    <w:rPr>
      <w:rFonts w:ascii="Tahoma" w:hAnsi="Tahoma"/>
      <w:sz w:val="24"/>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_Style 159"/>
    <w:qFormat/>
    <w:uiPriority w:val="0"/>
    <w:rPr>
      <w:rFonts w:ascii="Calibri" w:hAnsi="Calibri" w:eastAsia="宋体" w:cs="Times New Roman"/>
      <w:kern w:val="2"/>
      <w:sz w:val="21"/>
      <w:lang w:val="en-US" w:eastAsia="zh-CN" w:bidi="ar-SA"/>
    </w:rPr>
  </w:style>
  <w:style w:type="paragraph" w:customStyle="1" w:styleId="166">
    <w:name w:val="样式 宋体 五号 行距: 单倍行距"/>
    <w:basedOn w:val="1"/>
    <w:qFormat/>
    <w:uiPriority w:val="0"/>
    <w:pPr>
      <w:adjustRightInd w:val="0"/>
      <w:jc w:val="left"/>
    </w:pPr>
    <w:rPr>
      <w:rFonts w:ascii="宋体" w:hAnsi="宋体"/>
      <w:kern w:val="0"/>
      <w:sz w:val="21"/>
    </w:rPr>
  </w:style>
  <w:style w:type="paragraph" w:customStyle="1" w:styleId="167">
    <w:name w:val="Table Text"/>
    <w:link w:val="209"/>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9">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0">
    <w:name w:val="正文 + 三号"/>
    <w:basedOn w:val="1"/>
    <w:qFormat/>
    <w:uiPriority w:val="0"/>
    <w:rPr>
      <w:sz w:val="21"/>
    </w:rPr>
  </w:style>
  <w:style w:type="paragraph" w:customStyle="1" w:styleId="171">
    <w:name w:val="默认段落字体 Para Char Char Char Char Char Char Char Char Char1 Char Char Char Char"/>
    <w:basedOn w:val="1"/>
    <w:qFormat/>
    <w:uiPriority w:val="0"/>
    <w:rPr>
      <w:rFonts w:ascii="Tahoma" w:hAnsi="Tahoma"/>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3">
    <w:name w:val="Title - Date"/>
    <w:basedOn w:val="55"/>
    <w:next w:val="1"/>
    <w:qFormat/>
    <w:uiPriority w:val="0"/>
    <w:rPr>
      <w:sz w:val="28"/>
    </w:rPr>
  </w:style>
  <w:style w:type="paragraph" w:customStyle="1" w:styleId="17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5">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7">
    <w:name w:val="正文4"/>
    <w:basedOn w:val="1"/>
    <w:qFormat/>
    <w:uiPriority w:val="0"/>
    <w:pPr>
      <w:tabs>
        <w:tab w:val="left" w:pos="1275"/>
      </w:tabs>
      <w:spacing w:line="360" w:lineRule="auto"/>
      <w:ind w:left="820" w:leftChars="400" w:hanging="705"/>
    </w:pPr>
    <w:rPr>
      <w:sz w:val="24"/>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0">
    <w:name w:val="默认段落字体 Para Char Char Char Char Char Char Char"/>
    <w:basedOn w:val="1"/>
    <w:qFormat/>
    <w:uiPriority w:val="0"/>
    <w:rPr>
      <w:rFonts w:ascii="Tahoma" w:hAnsi="Tahoma"/>
      <w:sz w:val="24"/>
    </w:rPr>
  </w:style>
  <w:style w:type="paragraph" w:customStyle="1" w:styleId="181">
    <w:name w:val="样式 首行缩进:  0.74 厘米"/>
    <w:basedOn w:val="1"/>
    <w:qFormat/>
    <w:uiPriority w:val="0"/>
    <w:pPr>
      <w:spacing w:line="360" w:lineRule="auto"/>
      <w:ind w:firstLine="420"/>
    </w:pPr>
    <w:rPr>
      <w:sz w:val="24"/>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Style Heading 3h3Heading 3 - oldLevel 3 HeadH3level_3PIM 3se..."/>
    <w:basedOn w:val="4"/>
    <w:qFormat/>
    <w:uiPriority w:val="0"/>
    <w:pPr>
      <w:tabs>
        <w:tab w:val="left" w:pos="709"/>
        <w:tab w:val="left" w:pos="1620"/>
      </w:tabs>
      <w:ind w:left="1620" w:hanging="360"/>
    </w:pPr>
  </w:style>
  <w:style w:type="paragraph" w:customStyle="1" w:styleId="18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1"/>
    <w:basedOn w:val="1"/>
    <w:qFormat/>
    <w:uiPriority w:val="0"/>
    <w:pPr>
      <w:widowControl/>
      <w:spacing w:line="240" w:lineRule="exact"/>
      <w:jc w:val="left"/>
    </w:pPr>
    <w:rPr>
      <w:rFonts w:ascii="Verdana" w:hAnsi="Verdana"/>
      <w:kern w:val="0"/>
      <w:sz w:val="20"/>
      <w:lang w:eastAsia="en-US"/>
    </w:rPr>
  </w:style>
  <w:style w:type="paragraph" w:customStyle="1" w:styleId="18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0">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1">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3">
    <w:name w:val="样式 行距: 1.5 倍行距1"/>
    <w:basedOn w:val="1"/>
    <w:qFormat/>
    <w:uiPriority w:val="0"/>
    <w:pPr>
      <w:snapToGrid w:val="0"/>
    </w:pPr>
    <w:rPr>
      <w:sz w:val="21"/>
    </w:rPr>
  </w:style>
  <w:style w:type="paragraph" w:customStyle="1" w:styleId="194">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5">
    <w:name w:val="图片文字"/>
    <w:basedOn w:val="1"/>
    <w:qFormat/>
    <w:uiPriority w:val="0"/>
    <w:pPr>
      <w:spacing w:line="240" w:lineRule="atLeast"/>
      <w:jc w:val="center"/>
    </w:pPr>
    <w:rPr>
      <w:sz w:val="21"/>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98">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99">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0">
    <w:name w:val="Char Char 字元 字元 字元 Char Char Char Char"/>
    <w:basedOn w:val="1"/>
    <w:qFormat/>
    <w:uiPriority w:val="0"/>
    <w:pPr>
      <w:adjustRightInd w:val="0"/>
      <w:spacing w:line="360" w:lineRule="auto"/>
    </w:pPr>
    <w:rPr>
      <w:kern w:val="0"/>
      <w:sz w:val="24"/>
    </w:rPr>
  </w:style>
  <w:style w:type="paragraph" w:customStyle="1" w:styleId="201">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2">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5">
    <w:name w:val="style1"/>
    <w:basedOn w:val="1"/>
    <w:qFormat/>
    <w:uiPriority w:val="0"/>
    <w:pPr>
      <w:widowControl/>
      <w:spacing w:beforeAutospacing="1" w:afterAutospacing="1"/>
      <w:jc w:val="left"/>
    </w:pPr>
    <w:rPr>
      <w:rFonts w:ascii="宋体" w:hAnsi="宋体"/>
      <w:kern w:val="0"/>
      <w:sz w:val="21"/>
    </w:rPr>
  </w:style>
  <w:style w:type="character" w:customStyle="1" w:styleId="206">
    <w:name w:val="Char Char3"/>
    <w:qFormat/>
    <w:uiPriority w:val="0"/>
    <w:rPr>
      <w:rFonts w:eastAsia="宋体"/>
      <w:kern w:val="2"/>
      <w:sz w:val="18"/>
      <w:lang w:val="en-US" w:eastAsia="zh-CN"/>
    </w:rPr>
  </w:style>
  <w:style w:type="character" w:customStyle="1" w:styleId="207">
    <w:name w:val="title_emph1"/>
    <w:qFormat/>
    <w:uiPriority w:val="0"/>
    <w:rPr>
      <w:rFonts w:hint="default" w:ascii="Arial" w:hAnsi="Arial"/>
      <w:b/>
      <w:sz w:val="20"/>
    </w:rPr>
  </w:style>
  <w:style w:type="character" w:customStyle="1" w:styleId="208">
    <w:name w:val="标题 3 Char"/>
    <w:link w:val="4"/>
    <w:qFormat/>
    <w:uiPriority w:val="0"/>
    <w:rPr>
      <w:rFonts w:eastAsia="宋体"/>
      <w:b/>
      <w:kern w:val="2"/>
      <w:sz w:val="32"/>
      <w:lang w:val="en-US" w:eastAsia="zh-CN"/>
    </w:rPr>
  </w:style>
  <w:style w:type="character" w:customStyle="1" w:styleId="209">
    <w:name w:val="Table Text Char"/>
    <w:link w:val="167"/>
    <w:qFormat/>
    <w:uiPriority w:val="0"/>
    <w:rPr>
      <w:rFonts w:ascii="Arial" w:hAnsi="Arial"/>
      <w:kern w:val="2"/>
      <w:sz w:val="18"/>
      <w:lang w:val="en-US" w:eastAsia="zh-CN" w:bidi="ar-SA"/>
    </w:rPr>
  </w:style>
  <w:style w:type="character" w:customStyle="1" w:styleId="210">
    <w:name w:val="Char Char11"/>
    <w:qFormat/>
    <w:uiPriority w:val="0"/>
    <w:rPr>
      <w:rFonts w:ascii="宋体"/>
      <w:kern w:val="2"/>
      <w:sz w:val="28"/>
    </w:rPr>
  </w:style>
  <w:style w:type="character" w:customStyle="1" w:styleId="211">
    <w:name w:val="top-det1"/>
    <w:qFormat/>
    <w:uiPriority w:val="0"/>
    <w:rPr>
      <w:b/>
      <w:color w:val="000000"/>
    </w:rPr>
  </w:style>
  <w:style w:type="character" w:customStyle="1" w:styleId="212">
    <w:name w:val="font31"/>
    <w:basedOn w:val="61"/>
    <w:qFormat/>
    <w:uiPriority w:val="0"/>
    <w:rPr>
      <w:rFonts w:hint="default" w:ascii="Times New Roman" w:hAnsi="Times New Roman" w:cs="Times New Roman"/>
      <w:color w:val="000000"/>
      <w:sz w:val="20"/>
      <w:szCs w:val="20"/>
      <w:u w:val="none"/>
    </w:rPr>
  </w:style>
  <w:style w:type="character" w:customStyle="1" w:styleId="213">
    <w:name w:val="正文首行缩进 2 Char"/>
    <w:basedOn w:val="214"/>
    <w:link w:val="58"/>
    <w:qFormat/>
    <w:uiPriority w:val="0"/>
    <w:rPr>
      <w:kern w:val="2"/>
      <w:sz w:val="44"/>
    </w:rPr>
  </w:style>
  <w:style w:type="character" w:customStyle="1" w:styleId="214">
    <w:name w:val="正文文本缩进 Char"/>
    <w:link w:val="16"/>
    <w:qFormat/>
    <w:uiPriority w:val="0"/>
    <w:rPr>
      <w:kern w:val="2"/>
      <w:sz w:val="44"/>
    </w:rPr>
  </w:style>
  <w:style w:type="character" w:customStyle="1" w:styleId="215">
    <w:name w:val="Table Heading Char Char"/>
    <w:qFormat/>
    <w:uiPriority w:val="0"/>
    <w:rPr>
      <w:rFonts w:ascii="Arial" w:hAnsi="Arial" w:eastAsia="黑体"/>
      <w:kern w:val="2"/>
      <w:sz w:val="18"/>
      <w:lang w:val="en-US" w:eastAsia="zh-CN"/>
    </w:rPr>
  </w:style>
  <w:style w:type="character" w:customStyle="1" w:styleId="216">
    <w:name w:val="样式 宋体"/>
    <w:qFormat/>
    <w:uiPriority w:val="0"/>
    <w:rPr>
      <w:rFonts w:ascii="宋体" w:hAnsi="宋体" w:eastAsia="宋体"/>
      <w:sz w:val="28"/>
    </w:rPr>
  </w:style>
  <w:style w:type="character" w:customStyle="1" w:styleId="217">
    <w:name w:val="小 Char"/>
    <w:qFormat/>
    <w:uiPriority w:val="0"/>
    <w:rPr>
      <w:rFonts w:ascii="宋体" w:hAnsi="Courier New" w:eastAsia="宋体"/>
      <w:kern w:val="2"/>
      <w:sz w:val="21"/>
      <w:lang w:val="en-US" w:eastAsia="zh-CN" w:bidi="ar-SA"/>
    </w:rPr>
  </w:style>
  <w:style w:type="character" w:customStyle="1" w:styleId="218">
    <w:name w:val="Char Char6"/>
    <w:qFormat/>
    <w:uiPriority w:val="0"/>
    <w:rPr>
      <w:rFonts w:ascii="仿宋_GB2312" w:eastAsia="仿宋_GB2312"/>
      <w:kern w:val="2"/>
      <w:sz w:val="32"/>
    </w:rPr>
  </w:style>
  <w:style w:type="character" w:customStyle="1" w:styleId="219">
    <w:name w:val="标题 2 字符"/>
    <w:qFormat/>
    <w:uiPriority w:val="0"/>
    <w:rPr>
      <w:rFonts w:ascii="Arial" w:hAnsi="Arial" w:eastAsia="黑体"/>
      <w:b/>
      <w:kern w:val="2"/>
      <w:sz w:val="32"/>
    </w:rPr>
  </w:style>
  <w:style w:type="character" w:customStyle="1" w:styleId="220">
    <w:name w:val="Table Text Char Char Char Char"/>
    <w:link w:val="116"/>
    <w:qFormat/>
    <w:uiPriority w:val="0"/>
    <w:rPr>
      <w:rFonts w:ascii="Arial" w:hAnsi="Arial"/>
      <w:kern w:val="2"/>
      <w:sz w:val="18"/>
      <w:lang w:val="en-US" w:eastAsia="zh-CN" w:bidi="ar-SA"/>
    </w:rPr>
  </w:style>
  <w:style w:type="character" w:customStyle="1" w:styleId="221">
    <w:name w:val="正文文本缩进 2 Char"/>
    <w:link w:val="34"/>
    <w:qFormat/>
    <w:uiPriority w:val="0"/>
    <w:rPr>
      <w:kern w:val="2"/>
      <w:sz w:val="28"/>
    </w:rPr>
  </w:style>
  <w:style w:type="character" w:customStyle="1" w:styleId="222">
    <w:name w:val="Char Char7"/>
    <w:qFormat/>
    <w:uiPriority w:val="0"/>
    <w:rPr>
      <w:rFonts w:ascii="宋体" w:hAnsi="宋体" w:eastAsia="宋体"/>
      <w:kern w:val="2"/>
      <w:sz w:val="28"/>
    </w:rPr>
  </w:style>
  <w:style w:type="character" w:customStyle="1" w:styleId="223">
    <w:name w:val="font21"/>
    <w:basedOn w:val="61"/>
    <w:qFormat/>
    <w:uiPriority w:val="0"/>
    <w:rPr>
      <w:rFonts w:hint="eastAsia" w:ascii="宋体" w:hAnsi="宋体" w:eastAsia="宋体" w:cs="宋体"/>
      <w:color w:val="000000"/>
      <w:sz w:val="20"/>
      <w:szCs w:val="20"/>
      <w:u w:val="none"/>
    </w:rPr>
  </w:style>
  <w:style w:type="character" w:customStyle="1" w:styleId="224">
    <w:name w:val="Char Char5"/>
    <w:qFormat/>
    <w:uiPriority w:val="0"/>
    <w:rPr>
      <w:rFonts w:ascii="Arial" w:hAnsi="Arial" w:eastAsia="宋体"/>
      <w:b/>
      <w:smallCaps/>
      <w:kern w:val="28"/>
      <w:sz w:val="36"/>
      <w:lang w:val="en-US" w:eastAsia="en-US"/>
    </w:rPr>
  </w:style>
  <w:style w:type="character" w:customStyle="1" w:styleId="225">
    <w:name w:val="批注主题 Char"/>
    <w:basedOn w:val="226"/>
    <w:link w:val="56"/>
    <w:qFormat/>
    <w:uiPriority w:val="0"/>
    <w:rPr>
      <w:sz w:val="24"/>
    </w:rPr>
  </w:style>
  <w:style w:type="character" w:customStyle="1" w:styleId="226">
    <w:name w:val="批注文字 Char"/>
    <w:link w:val="20"/>
    <w:qFormat/>
    <w:uiPriority w:val="0"/>
    <w:rPr>
      <w:sz w:val="24"/>
    </w:rPr>
  </w:style>
  <w:style w:type="character" w:customStyle="1" w:styleId="227">
    <w:name w:val="未命名11"/>
    <w:qFormat/>
    <w:uiPriority w:val="0"/>
    <w:rPr>
      <w:color w:val="77FFFF"/>
      <w:sz w:val="24"/>
    </w:rPr>
  </w:style>
  <w:style w:type="character" w:customStyle="1" w:styleId="228">
    <w:name w:val="日期 Char"/>
    <w:link w:val="33"/>
    <w:qFormat/>
    <w:uiPriority w:val="0"/>
    <w:rPr>
      <w:kern w:val="2"/>
      <w:sz w:val="28"/>
    </w:rPr>
  </w:style>
  <w:style w:type="character" w:customStyle="1" w:styleId="229">
    <w:name w:val="正文 + 三号 Char"/>
    <w:qFormat/>
    <w:uiPriority w:val="0"/>
    <w:rPr>
      <w:rFonts w:eastAsia="宋体"/>
      <w:kern w:val="2"/>
      <w:sz w:val="21"/>
      <w:lang w:val="en-US" w:eastAsia="zh-CN"/>
    </w:rPr>
  </w:style>
  <w:style w:type="character" w:customStyle="1" w:styleId="230">
    <w:name w:val="Char Char2"/>
    <w:qFormat/>
    <w:uiPriority w:val="0"/>
    <w:rPr>
      <w:rFonts w:eastAsia="宋体"/>
      <w:kern w:val="2"/>
      <w:sz w:val="18"/>
      <w:lang w:val="en-US" w:eastAsia="zh-CN"/>
    </w:rPr>
  </w:style>
  <w:style w:type="character" w:customStyle="1" w:styleId="231">
    <w:name w:val="H2 Char"/>
    <w:qFormat/>
    <w:uiPriority w:val="0"/>
    <w:rPr>
      <w:rFonts w:ascii="Arial" w:hAnsi="Arial" w:eastAsia="宋体"/>
      <w:kern w:val="2"/>
      <w:sz w:val="28"/>
      <w:lang w:val="en-US" w:eastAsia="zh-CN"/>
    </w:rPr>
  </w:style>
  <w:style w:type="character" w:customStyle="1" w:styleId="232">
    <w:name w:val="font1"/>
    <w:qFormat/>
    <w:uiPriority w:val="0"/>
    <w:rPr>
      <w:color w:val="000000"/>
      <w:sz w:val="18"/>
    </w:rPr>
  </w:style>
  <w:style w:type="character" w:customStyle="1" w:styleId="233">
    <w:name w:val="v151"/>
    <w:qFormat/>
    <w:uiPriority w:val="0"/>
    <w:rPr>
      <w:sz w:val="18"/>
    </w:rPr>
  </w:style>
  <w:style w:type="character" w:customStyle="1" w:styleId="234">
    <w:name w:val="脚注文本 Char"/>
    <w:link w:val="41"/>
    <w:qFormat/>
    <w:uiPriority w:val="0"/>
    <w:rPr>
      <w:kern w:val="2"/>
      <w:sz w:val="18"/>
    </w:rPr>
  </w:style>
  <w:style w:type="character" w:customStyle="1" w:styleId="235">
    <w:name w:val="Char Char"/>
    <w:qFormat/>
    <w:uiPriority w:val="0"/>
    <w:rPr>
      <w:rFonts w:ascii="宋体" w:hAnsi="宋体" w:eastAsia="宋体"/>
      <w:kern w:val="2"/>
      <w:sz w:val="24"/>
      <w:lang w:val="en-US" w:eastAsia="zh-CN" w:bidi="ar-SA"/>
    </w:rPr>
  </w:style>
  <w:style w:type="character" w:customStyle="1" w:styleId="236">
    <w:name w:val="crowed11"/>
    <w:qFormat/>
    <w:uiPriority w:val="0"/>
    <w:rPr>
      <w:rFonts w:hint="default" w:ascii="_x000B__x000C_" w:hAnsi="_x000B__x000C_"/>
      <w:sz w:val="24"/>
    </w:rPr>
  </w:style>
  <w:style w:type="character" w:customStyle="1" w:styleId="237">
    <w:name w:val="标书正文:  0.74 厘米 Char1"/>
    <w:qFormat/>
    <w:uiPriority w:val="0"/>
    <w:rPr>
      <w:rFonts w:eastAsia="宋体"/>
      <w:kern w:val="2"/>
      <w:sz w:val="24"/>
      <w:lang w:val="en-US" w:eastAsia="zh-CN"/>
    </w:rPr>
  </w:style>
  <w:style w:type="character" w:customStyle="1" w:styleId="238">
    <w:name w:val="Table Text Char1 Char"/>
    <w:qFormat/>
    <w:uiPriority w:val="0"/>
    <w:rPr>
      <w:rFonts w:ascii="Arial" w:hAnsi="Arial"/>
      <w:kern w:val="2"/>
      <w:sz w:val="18"/>
      <w:lang w:val="en-US" w:eastAsia="zh-CN" w:bidi="ar-SA"/>
    </w:rPr>
  </w:style>
  <w:style w:type="character" w:customStyle="1" w:styleId="239">
    <w:name w:val="Char Char4"/>
    <w:qFormat/>
    <w:uiPriority w:val="0"/>
    <w:rPr>
      <w:rFonts w:eastAsia="宋体"/>
      <w:b/>
      <w:kern w:val="2"/>
      <w:sz w:val="21"/>
      <w:lang w:val="en-US" w:eastAsia="zh-CN"/>
    </w:rPr>
  </w:style>
  <w:style w:type="character" w:customStyle="1" w:styleId="240">
    <w:name w:val="文字 Char"/>
    <w:link w:val="121"/>
    <w:qFormat/>
    <w:uiPriority w:val="0"/>
    <w:rPr>
      <w:rFonts w:ascii="宋体"/>
      <w:kern w:val="2"/>
      <w:sz w:val="28"/>
    </w:rPr>
  </w:style>
  <w:style w:type="character" w:customStyle="1" w:styleId="241">
    <w:name w:val="content-white1"/>
    <w:qFormat/>
    <w:uiPriority w:val="0"/>
    <w:rPr>
      <w:rFonts w:ascii="_x000B__x000C_" w:hAnsi="_x000B__x000C_"/>
      <w:color w:val="auto"/>
      <w:sz w:val="18"/>
      <w:u w:val="none"/>
    </w:rPr>
  </w:style>
  <w:style w:type="paragraph" w:customStyle="1" w:styleId="242">
    <w:name w:val="列出段落1"/>
    <w:basedOn w:val="1"/>
    <w:link w:val="252"/>
    <w:unhideWhenUsed/>
    <w:qFormat/>
    <w:uiPriority w:val="34"/>
    <w:pPr>
      <w:ind w:firstLine="420" w:firstLineChars="200"/>
    </w:pPr>
  </w:style>
  <w:style w:type="paragraph" w:customStyle="1" w:styleId="243">
    <w:name w:val="Table Paragraph"/>
    <w:basedOn w:val="1"/>
    <w:qFormat/>
    <w:uiPriority w:val="1"/>
    <w:pPr>
      <w:jc w:val="left"/>
    </w:pPr>
    <w:rPr>
      <w:kern w:val="0"/>
      <w:sz w:val="22"/>
      <w:szCs w:val="22"/>
      <w:lang w:eastAsia="en-US"/>
    </w:rPr>
  </w:style>
  <w:style w:type="character" w:customStyle="1" w:styleId="244">
    <w:name w:val="font41"/>
    <w:basedOn w:val="61"/>
    <w:qFormat/>
    <w:uiPriority w:val="0"/>
    <w:rPr>
      <w:rFonts w:hint="eastAsia" w:ascii="宋体" w:hAnsi="宋体" w:eastAsia="宋体" w:cs="宋体"/>
      <w:b/>
      <w:color w:val="000000"/>
      <w:sz w:val="20"/>
      <w:szCs w:val="20"/>
      <w:u w:val="none"/>
    </w:rPr>
  </w:style>
  <w:style w:type="character" w:customStyle="1" w:styleId="245">
    <w:name w:val="font11"/>
    <w:basedOn w:val="61"/>
    <w:qFormat/>
    <w:uiPriority w:val="0"/>
    <w:rPr>
      <w:rFonts w:hint="eastAsia" w:ascii="宋体" w:hAnsi="宋体" w:eastAsia="宋体" w:cs="宋体"/>
      <w:color w:val="000000"/>
      <w:sz w:val="20"/>
      <w:szCs w:val="20"/>
      <w:u w:val="none"/>
    </w:rPr>
  </w:style>
  <w:style w:type="character" w:customStyle="1" w:styleId="246">
    <w:name w:val="font61"/>
    <w:basedOn w:val="61"/>
    <w:qFormat/>
    <w:uiPriority w:val="0"/>
    <w:rPr>
      <w:rFonts w:hint="default" w:ascii="Times New Roman" w:hAnsi="Times New Roman" w:cs="Times New Roman"/>
      <w:color w:val="000000"/>
      <w:sz w:val="20"/>
      <w:szCs w:val="20"/>
      <w:u w:val="none"/>
    </w:rPr>
  </w:style>
  <w:style w:type="character" w:customStyle="1" w:styleId="247">
    <w:name w:val="font81"/>
    <w:basedOn w:val="61"/>
    <w:qFormat/>
    <w:uiPriority w:val="0"/>
    <w:rPr>
      <w:rFonts w:hint="default" w:ascii="Times New Roman" w:hAnsi="Times New Roman" w:cs="Times New Roman"/>
      <w:b/>
      <w:color w:val="000000"/>
      <w:sz w:val="20"/>
      <w:szCs w:val="20"/>
      <w:u w:val="none"/>
    </w:rPr>
  </w:style>
  <w:style w:type="character" w:customStyle="1" w:styleId="248">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49">
    <w:name w:val="修订1"/>
    <w:hidden/>
    <w:semiHidden/>
    <w:qFormat/>
    <w:uiPriority w:val="99"/>
    <w:rPr>
      <w:rFonts w:ascii="Calibri" w:hAnsi="Calibri" w:eastAsia="宋体" w:cs="Times New Roman"/>
      <w:kern w:val="2"/>
      <w:sz w:val="28"/>
      <w:lang w:val="en-US" w:eastAsia="zh-CN" w:bidi="ar-SA"/>
    </w:rPr>
  </w:style>
  <w:style w:type="paragraph" w:customStyle="1" w:styleId="250">
    <w:name w:val="修订2"/>
    <w:hidden/>
    <w:semiHidden/>
    <w:qFormat/>
    <w:uiPriority w:val="99"/>
    <w:rPr>
      <w:rFonts w:ascii="Calibri" w:hAnsi="Calibri" w:eastAsia="宋体" w:cs="Times New Roman"/>
      <w:kern w:val="2"/>
      <w:sz w:val="28"/>
      <w:lang w:val="en-US" w:eastAsia="zh-CN" w:bidi="ar-SA"/>
    </w:rPr>
  </w:style>
  <w:style w:type="paragraph" w:customStyle="1" w:styleId="251">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2">
    <w:name w:val="列出段落 Char"/>
    <w:link w:val="242"/>
    <w:qFormat/>
    <w:uiPriority w:val="34"/>
    <w:rPr>
      <w:rFonts w:ascii="Calibri" w:hAnsi="Calibri" w:eastAsia="宋体" w:cs="Times New Roman"/>
      <w:kern w:val="2"/>
      <w:sz w:val="28"/>
    </w:rPr>
  </w:style>
  <w:style w:type="table" w:customStyle="1" w:styleId="253">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4">
    <w:name w:val="标题 1 Char"/>
    <w:link w:val="2"/>
    <w:qFormat/>
    <w:uiPriority w:val="0"/>
    <w:rPr>
      <w:rFonts w:ascii="宋体"/>
    </w:rPr>
  </w:style>
  <w:style w:type="paragraph" w:customStyle="1" w:styleId="255">
    <w:name w:val="表样式"/>
    <w:basedOn w:val="1"/>
    <w:qFormat/>
    <w:uiPriority w:val="0"/>
    <w:rPr>
      <w:rFonts w:ascii="Times New Roman" w:hAnsi="Times New Roman"/>
    </w:rPr>
  </w:style>
  <w:style w:type="paragraph" w:customStyle="1" w:styleId="256">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7">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8">
    <w:name w:val="NormalCharacter"/>
    <w:qFormat/>
    <w:uiPriority w:val="0"/>
  </w:style>
  <w:style w:type="character" w:customStyle="1" w:styleId="259">
    <w:name w:val="页眉 Char"/>
    <w:link w:val="37"/>
    <w:qFormat/>
    <w:uiPriority w:val="0"/>
    <w:rPr>
      <w:rFonts w:ascii="Calibri" w:hAnsi="Calibri"/>
      <w:kern w:val="2"/>
      <w:sz w:val="18"/>
    </w:rPr>
  </w:style>
  <w:style w:type="table" w:customStyle="1" w:styleId="26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1">
    <w:name w:val="批注框文本 Char"/>
    <w:link w:val="35"/>
    <w:qFormat/>
    <w:uiPriority w:val="99"/>
    <w:rPr>
      <w:rFonts w:ascii="Calibri" w:hAnsi="Calibri"/>
      <w:kern w:val="2"/>
      <w:sz w:val="18"/>
    </w:rPr>
  </w:style>
  <w:style w:type="paragraph" w:customStyle="1" w:styleId="262">
    <w:name w:val="正  文"/>
    <w:basedOn w:val="1"/>
    <w:qFormat/>
    <w:uiPriority w:val="0"/>
    <w:pPr>
      <w:spacing w:line="360" w:lineRule="auto"/>
      <w:ind w:firstLine="200" w:firstLineChars="200"/>
    </w:pPr>
    <w:rPr>
      <w:rFonts w:ascii="宋体"/>
      <w:sz w:val="24"/>
      <w:szCs w:val="24"/>
    </w:rPr>
  </w:style>
  <w:style w:type="character" w:customStyle="1" w:styleId="263">
    <w:name w:val="标题 2 Char"/>
    <w:link w:val="3"/>
    <w:qFormat/>
    <w:uiPriority w:val="0"/>
    <w:rPr>
      <w:rFonts w:ascii="Arial" w:hAnsi="Arial" w:eastAsia="黑体"/>
      <w:b/>
      <w:kern w:val="2"/>
      <w:sz w:val="32"/>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45</Pages>
  <Words>194</Words>
  <Characters>213</Characters>
  <Lines>1</Lines>
  <Paragraphs>1</Paragraphs>
  <TotalTime>70</TotalTime>
  <ScaleCrop>false</ScaleCrop>
  <LinksUpToDate>false</LinksUpToDate>
  <CharactersWithSpaces>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2025-06-25T03:32:00Z</dcterms:created>
  <dc:creator>罗成</dc:creator>
  <cp:lastModifiedBy>LJ</cp:lastModifiedBy>
  <cp:lastPrinted>2019-03-05T07:20:00Z</cp:lastPrinted>
  <dcterms:modified xsi:type="dcterms:W3CDTF">2025-09-17T09:21:19Z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C349D6D0BF4A42B5BDA1EBF1EFD89409_13</vt:lpwstr>
  </property>
  <property fmtid="{D5CDD505-2E9C-101B-9397-08002B2CF9AE}" pid="4" name="KSOTemplateDocerSaveRecord">
    <vt:lpwstr>eyJoZGlkIjoiYmRhYjZmODE3MWRjYzc5YmI3MDQxNmFiOWViMWUzM2IiLCJ1c2VySWQiOiIxMjE4MzEzMjQyIn0=</vt:lpwstr>
  </property>
</Properties>
</file>