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14D3A">
      <w:pPr>
        <w:pStyle w:val="2"/>
        <w:rPr>
          <w:rFonts w:hint="eastAsia" w:ascii="宋体" w:hAnsi="宋体" w:eastAsia="宋体" w:cs="宋体"/>
          <w:color w:val="auto"/>
          <w:highlight w:val="none"/>
          <w:lang w:eastAsia="zh-CN"/>
        </w:rPr>
      </w:pPr>
      <w:bookmarkStart w:id="0" w:name="_Toc24500"/>
      <w:r>
        <w:rPr>
          <w:rFonts w:hint="eastAsia" w:ascii="宋体" w:hAnsi="宋体" w:eastAsia="宋体" w:cs="宋体"/>
          <w:color w:val="auto"/>
          <w:highlight w:val="none"/>
        </w:rPr>
        <w:t xml:space="preserve">第一章  </w:t>
      </w:r>
      <w:r>
        <w:rPr>
          <w:rFonts w:hint="eastAsia" w:ascii="宋体" w:hAnsi="宋体" w:eastAsia="宋体" w:cs="宋体"/>
          <w:color w:val="auto"/>
          <w:highlight w:val="none"/>
          <w:lang w:eastAsia="zh-CN"/>
        </w:rPr>
        <w:t>比选邀请函</w:t>
      </w:r>
      <w:bookmarkEnd w:id="0"/>
    </w:p>
    <w:p w14:paraId="0B362662">
      <w:pPr>
        <w:pStyle w:val="2"/>
        <w:outlineLvl w:val="9"/>
        <w:rPr>
          <w:rFonts w:hint="eastAsia" w:ascii="宋体" w:hAnsi="宋体" w:eastAsia="宋体" w:cs="宋体"/>
          <w:color w:val="auto"/>
          <w:highlight w:val="none"/>
          <w:lang w:val="zh-CN"/>
        </w:rPr>
      </w:pPr>
      <w:bookmarkStart w:id="1" w:name="_Toc10924"/>
      <w:bookmarkStart w:id="2" w:name="_Toc31073"/>
      <w:r>
        <w:rPr>
          <w:rFonts w:hint="eastAsia" w:ascii="宋体" w:hAnsi="宋体" w:eastAsia="宋体" w:cs="宋体"/>
          <w:color w:val="auto"/>
          <w:highlight w:val="none"/>
          <w:lang w:val="zh-CN"/>
        </w:rPr>
        <w:t>比选邀请函</w:t>
      </w:r>
      <w:bookmarkEnd w:id="1"/>
      <w:bookmarkEnd w:id="2"/>
    </w:p>
    <w:p w14:paraId="1F74AD7E">
      <w:pPr>
        <w:pStyle w:val="2"/>
        <w:jc w:val="both"/>
        <w:outlineLvl w:val="9"/>
        <w:rPr>
          <w:rFonts w:hint="eastAsia" w:ascii="宋体" w:hAnsi="宋体" w:eastAsia="宋体" w:cs="宋体"/>
          <w:b w:val="0"/>
          <w:bCs/>
          <w:color w:val="auto"/>
          <w:sz w:val="24"/>
          <w:szCs w:val="22"/>
          <w:highlight w:val="none"/>
          <w:lang w:val="zh-CN" w:eastAsia="zh-CN"/>
        </w:rPr>
      </w:pPr>
      <w:r>
        <w:rPr>
          <w:rFonts w:hint="eastAsia" w:ascii="宋体" w:hAnsi="宋体" w:eastAsia="宋体" w:cs="宋体"/>
          <w:color w:val="auto"/>
          <w:sz w:val="24"/>
          <w:highlight w:val="none"/>
          <w:u w:val="single"/>
          <w:lang w:val="en-US" w:eastAsia="zh-CN"/>
        </w:rPr>
        <w:t xml:space="preserve">  </w:t>
      </w:r>
      <w:bookmarkStart w:id="3" w:name="_Toc12768"/>
      <w:bookmarkStart w:id="4" w:name="_Toc14474"/>
      <w:r>
        <w:rPr>
          <w:rFonts w:hint="eastAsia" w:ascii="宋体" w:hAnsi="宋体" w:eastAsia="宋体" w:cs="宋体"/>
          <w:color w:val="auto"/>
          <w:sz w:val="24"/>
          <w:highlight w:val="none"/>
          <w:u w:val="single"/>
          <w:lang w:val="en-US" w:eastAsia="zh-CN"/>
        </w:rPr>
        <w:t xml:space="preserve">（被邀请单位名称）        </w:t>
      </w:r>
      <w:r>
        <w:rPr>
          <w:rFonts w:hint="eastAsia" w:ascii="宋体" w:hAnsi="宋体" w:eastAsia="宋体" w:cs="宋体"/>
          <w:b w:val="0"/>
          <w:bCs/>
          <w:snapToGrid w:val="0"/>
          <w:color w:val="auto"/>
          <w:kern w:val="0"/>
          <w:sz w:val="24"/>
          <w:szCs w:val="16"/>
          <w:highlight w:val="none"/>
          <w:u w:val="none"/>
          <w:lang w:eastAsia="zh-CN"/>
        </w:rPr>
        <w:t>：</w:t>
      </w:r>
      <w:bookmarkEnd w:id="3"/>
      <w:bookmarkEnd w:id="4"/>
    </w:p>
    <w:p w14:paraId="452EA758">
      <w:pPr>
        <w:tabs>
          <w:tab w:val="left" w:pos="2788"/>
        </w:tabs>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贵州枕泉翠谷康养产业发展有限公司</w:t>
      </w:r>
      <w:r>
        <w:rPr>
          <w:rFonts w:hint="eastAsia" w:ascii="宋体" w:hAnsi="宋体" w:eastAsia="宋体" w:cs="宋体"/>
          <w:color w:val="auto"/>
          <w:sz w:val="24"/>
          <w:highlight w:val="none"/>
        </w:rPr>
        <w:t>拟对“</w:t>
      </w:r>
      <w:r>
        <w:rPr>
          <w:rFonts w:hint="eastAsia" w:ascii="宋体" w:hAnsi="宋体" w:eastAsia="宋体" w:cs="宋体"/>
          <w:color w:val="auto"/>
          <w:sz w:val="24"/>
          <w:highlight w:val="none"/>
          <w:u w:val="single"/>
          <w:lang w:eastAsia="zh-CN"/>
        </w:rPr>
        <w:t>桐梓县枕泉翠谷康养中心装修建设项目一标段、二标段造价咨询服务</w:t>
      </w:r>
      <w:r>
        <w:rPr>
          <w:rFonts w:hint="eastAsia" w:ascii="宋体" w:hAnsi="宋体" w:eastAsia="宋体" w:cs="宋体"/>
          <w:color w:val="auto"/>
          <w:sz w:val="24"/>
          <w:highlight w:val="none"/>
        </w:rPr>
        <w:t>”进行</w:t>
      </w:r>
      <w:r>
        <w:rPr>
          <w:rFonts w:hint="eastAsia" w:ascii="宋体" w:hAnsi="宋体" w:eastAsia="宋体" w:cs="宋体"/>
          <w:color w:val="auto"/>
          <w:sz w:val="24"/>
          <w:highlight w:val="none"/>
          <w:lang w:val="en-US" w:eastAsia="zh-CN"/>
        </w:rPr>
        <w:t>邀请</w:t>
      </w:r>
      <w:r>
        <w:rPr>
          <w:rFonts w:hint="eastAsia" w:ascii="宋体" w:hAnsi="宋体" w:eastAsia="宋体" w:cs="宋体"/>
          <w:color w:val="auto"/>
          <w:sz w:val="24"/>
          <w:highlight w:val="none"/>
        </w:rPr>
        <w:t>比选，现诚邀符合资格条件的潜在申请人参与本项目的比选。</w:t>
      </w:r>
    </w:p>
    <w:p w14:paraId="15DEF541">
      <w:pPr>
        <w:spacing w:line="52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一、工程概况：</w:t>
      </w:r>
    </w:p>
    <w:p w14:paraId="4A63B1E9">
      <w:pPr>
        <w:spacing w:line="520" w:lineRule="exact"/>
        <w:ind w:firstLine="480" w:firstLineChars="200"/>
        <w:outlineLvl w:val="9"/>
        <w:rPr>
          <w:rFonts w:hint="eastAsia" w:ascii="宋体" w:hAnsi="宋体" w:eastAsia="宋体" w:cs="宋体"/>
          <w:color w:val="auto"/>
          <w:sz w:val="24"/>
          <w:highlight w:val="none"/>
          <w:lang w:eastAsia="zh-CN"/>
        </w:rPr>
      </w:pPr>
      <w:bookmarkStart w:id="5" w:name="_Toc535830323"/>
      <w:r>
        <w:rPr>
          <w:rFonts w:hint="eastAsia" w:ascii="宋体" w:hAnsi="宋体" w:eastAsia="宋体" w:cs="宋体"/>
          <w:color w:val="auto"/>
          <w:sz w:val="24"/>
          <w:highlight w:val="none"/>
        </w:rPr>
        <w:t>1、项目名称：</w:t>
      </w:r>
      <w:bookmarkEnd w:id="5"/>
      <w:r>
        <w:rPr>
          <w:rFonts w:hint="eastAsia" w:ascii="宋体" w:hAnsi="宋体" w:eastAsia="宋体" w:cs="宋体"/>
          <w:color w:val="auto"/>
          <w:sz w:val="24"/>
          <w:highlight w:val="none"/>
          <w:lang w:eastAsia="zh-CN"/>
        </w:rPr>
        <w:t>桐梓县枕泉翠谷康养中心装修建设项目一标段、二标段造价咨询服务。</w:t>
      </w:r>
    </w:p>
    <w:p w14:paraId="42C9B2EF">
      <w:pPr>
        <w:spacing w:line="52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2、建设地点：</w:t>
      </w:r>
      <w:r>
        <w:rPr>
          <w:rFonts w:hint="eastAsia" w:ascii="宋体" w:hAnsi="宋体" w:eastAsia="宋体" w:cs="宋体"/>
          <w:color w:val="auto"/>
          <w:sz w:val="24"/>
          <w:highlight w:val="none"/>
          <w:lang w:eastAsia="zh-CN"/>
        </w:rPr>
        <w:t>贵州省遵义市桐梓县</w:t>
      </w:r>
      <w:r>
        <w:rPr>
          <w:rFonts w:hint="eastAsia" w:ascii="宋体" w:hAnsi="宋体" w:eastAsia="宋体" w:cs="宋体"/>
          <w:color w:val="auto"/>
          <w:sz w:val="24"/>
          <w:highlight w:val="none"/>
        </w:rPr>
        <w:t>。</w:t>
      </w:r>
    </w:p>
    <w:p w14:paraId="2C650E60">
      <w:pPr>
        <w:spacing w:line="52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3、项目规模</w:t>
      </w:r>
      <w:r>
        <w:rPr>
          <w:rFonts w:hint="eastAsia" w:ascii="宋体" w:hAnsi="宋体" w:eastAsia="宋体" w:cs="宋体"/>
          <w:color w:val="auto"/>
          <w:sz w:val="24"/>
          <w:highlight w:val="none"/>
          <w:lang w:val="en-US" w:eastAsia="zh-CN"/>
        </w:rPr>
        <w:t>及内容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一标段：</w:t>
      </w:r>
      <w:r>
        <w:rPr>
          <w:rFonts w:hint="eastAsia" w:ascii="宋体" w:hAnsi="宋体" w:eastAsia="宋体" w:cs="宋体"/>
          <w:color w:val="auto"/>
          <w:kern w:val="0"/>
          <w:sz w:val="24"/>
          <w:szCs w:val="24"/>
          <w:highlight w:val="none"/>
          <w:u w:val="single"/>
        </w:rPr>
        <w:t>建筑面积12695.95㎡</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 xml:space="preserve"> 温泉度假（温泉酒店与合院），打造含108间的温泉酒店、26间高端温泉养生合院；为干细胞康养中心提供空间载体，配套建设高标准实验室与治疗中心相关配套区域，布局温泉疗愈设施。二标段：建筑面积13193.87㎡，7层建筑，设置300个床位。按二级标准建设康养医院，打造干细胞再生医学中心（含高标准实验室与治疗中心）；配套建设门诊部，落地对接华大医生集团远程医疗系统的智慧康养数据平台；布局康复服务、养生保健功能用房及养生理疗室、阳光SPA房、VIP会员专属区等康养设施，承担康养会员中心健康管理核心功能。</w:t>
      </w:r>
    </w:p>
    <w:p w14:paraId="24FB4F74">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、比选范围：本</w:t>
      </w:r>
      <w:r>
        <w:rPr>
          <w:rFonts w:hint="eastAsia" w:ascii="宋体" w:hAnsi="宋体" w:eastAsia="宋体" w:cs="宋体"/>
          <w:color w:val="auto"/>
          <w:sz w:val="24"/>
          <w:highlight w:val="none"/>
          <w:lang w:val="en-US" w:eastAsia="zh-CN"/>
        </w:rPr>
        <w:t>项目的造价咨询服务</w:t>
      </w:r>
      <w:r>
        <w:rPr>
          <w:rFonts w:hint="eastAsia" w:ascii="宋体" w:hAnsi="宋体" w:eastAsia="宋体" w:cs="宋体"/>
          <w:color w:val="auto"/>
          <w:sz w:val="24"/>
          <w:highlight w:val="none"/>
        </w:rPr>
        <w:t>工作</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具体包括工程量清单编制、施工阶段全过程控制、结算审计等</w:t>
      </w:r>
      <w:r>
        <w:rPr>
          <w:rFonts w:hint="eastAsia" w:ascii="宋体" w:hAnsi="宋体" w:eastAsia="宋体" w:cs="宋体"/>
          <w:color w:val="auto"/>
          <w:sz w:val="24"/>
          <w:highlight w:val="none"/>
        </w:rPr>
        <w:t>。</w:t>
      </w:r>
    </w:p>
    <w:p w14:paraId="7C382325">
      <w:pPr>
        <w:spacing w:line="52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、服务期限：</w:t>
      </w:r>
      <w:r>
        <w:rPr>
          <w:rFonts w:hint="eastAsia" w:ascii="宋体" w:hAnsi="宋体" w:eastAsia="宋体" w:cs="宋体"/>
          <w:color w:val="auto"/>
          <w:sz w:val="24"/>
          <w:highlight w:val="none"/>
          <w:lang w:val="en-US" w:eastAsia="zh-CN"/>
        </w:rPr>
        <w:t>自合同签订至完成该项</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lang w:val="en-US" w:eastAsia="zh-CN"/>
        </w:rPr>
        <w:t>工作，其中：计划施工工期：420日历天。</w:t>
      </w:r>
    </w:p>
    <w:p w14:paraId="39363685">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服务质量：达到国家及地方现行</w:t>
      </w:r>
      <w:r>
        <w:rPr>
          <w:rFonts w:hint="eastAsia" w:ascii="宋体" w:hAnsi="宋体" w:eastAsia="宋体" w:cs="宋体"/>
          <w:color w:val="auto"/>
          <w:sz w:val="24"/>
          <w:highlight w:val="none"/>
          <w:lang w:val="en-US" w:eastAsia="zh-CN"/>
        </w:rPr>
        <w:t>行业</w:t>
      </w:r>
      <w:r>
        <w:rPr>
          <w:rFonts w:hint="eastAsia" w:ascii="宋体" w:hAnsi="宋体" w:eastAsia="宋体" w:cs="宋体"/>
          <w:color w:val="auto"/>
          <w:sz w:val="24"/>
          <w:highlight w:val="none"/>
        </w:rPr>
        <w:t>合格标准。</w:t>
      </w:r>
    </w:p>
    <w:p w14:paraId="6255BAF2">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二、比选申请人资格要求：</w:t>
      </w:r>
    </w:p>
    <w:p w14:paraId="41857F9F">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1.具有独立企业法人资格；</w:t>
      </w:r>
    </w:p>
    <w:p w14:paraId="7F2AC211">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负责人要求</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具有全国注册造价工程师（一级</w:t>
      </w:r>
      <w:r>
        <w:rPr>
          <w:rFonts w:hint="eastAsia" w:ascii="宋体" w:hAnsi="宋体" w:eastAsia="宋体" w:cs="宋体"/>
          <w:color w:val="auto"/>
          <w:sz w:val="24"/>
          <w:szCs w:val="24"/>
          <w:highlight w:val="none"/>
          <w:lang w:val="en-US" w:eastAsia="zh-CN"/>
        </w:rPr>
        <w:t>注册</w:t>
      </w:r>
      <w:r>
        <w:rPr>
          <w:rFonts w:hint="eastAsia" w:ascii="宋体" w:hAnsi="宋体" w:eastAsia="宋体" w:cs="宋体"/>
          <w:color w:val="auto"/>
          <w:sz w:val="24"/>
          <w:szCs w:val="24"/>
          <w:highlight w:val="none"/>
        </w:rPr>
        <w:t>造价工程师）</w:t>
      </w:r>
      <w:r>
        <w:rPr>
          <w:rFonts w:hint="eastAsia" w:ascii="宋体" w:hAnsi="宋体" w:eastAsia="宋体" w:cs="宋体"/>
          <w:color w:val="auto"/>
          <w:sz w:val="24"/>
          <w:szCs w:val="24"/>
          <w:highlight w:val="none"/>
          <w:lang w:val="en-US" w:eastAsia="zh-CN"/>
        </w:rPr>
        <w:t>证书</w:t>
      </w:r>
      <w:r>
        <w:rPr>
          <w:rFonts w:hint="eastAsia" w:ascii="宋体" w:hAnsi="宋体" w:eastAsia="宋体" w:cs="宋体"/>
          <w:color w:val="auto"/>
          <w:sz w:val="24"/>
          <w:highlight w:val="none"/>
        </w:rPr>
        <w:t>；</w:t>
      </w:r>
    </w:p>
    <w:p w14:paraId="60AE93B9">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.信誉要求：未处于财产被接管、冻结、破产状态，未处于四川省行政区域内有关行政处罚期间和投标禁入期；</w:t>
      </w:r>
    </w:p>
    <w:p w14:paraId="0F258A41">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.业绩要求：20</w:t>
      </w: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年1月1日以来，比选申请人至少具有1个已完成的总投资不低于</w:t>
      </w:r>
      <w:r>
        <w:rPr>
          <w:rFonts w:hint="eastAsia" w:ascii="宋体" w:hAnsi="宋体" w:eastAsia="宋体" w:cs="宋体"/>
          <w:color w:val="auto"/>
          <w:sz w:val="24"/>
          <w:highlight w:val="none"/>
          <w:lang w:val="en-US" w:eastAsia="zh-CN"/>
        </w:rPr>
        <w:t>10000</w:t>
      </w:r>
      <w:r>
        <w:rPr>
          <w:rFonts w:hint="eastAsia" w:ascii="宋体" w:hAnsi="宋体" w:eastAsia="宋体" w:cs="宋体"/>
          <w:color w:val="auto"/>
          <w:sz w:val="24"/>
          <w:highlight w:val="none"/>
        </w:rPr>
        <w:t>万元的</w:t>
      </w:r>
      <w:r>
        <w:rPr>
          <w:rFonts w:hint="eastAsia" w:ascii="宋体" w:hAnsi="宋体" w:eastAsia="宋体" w:cs="宋体"/>
          <w:color w:val="auto"/>
          <w:sz w:val="24"/>
          <w:highlight w:val="none"/>
          <w:lang w:val="en-US" w:eastAsia="zh-CN"/>
        </w:rPr>
        <w:t>造价咨询服务</w:t>
      </w:r>
      <w:r>
        <w:rPr>
          <w:rFonts w:hint="eastAsia" w:ascii="宋体" w:hAnsi="宋体" w:eastAsia="宋体" w:cs="宋体"/>
          <w:color w:val="auto"/>
          <w:sz w:val="24"/>
          <w:highlight w:val="none"/>
        </w:rPr>
        <w:t>业绩。</w:t>
      </w:r>
    </w:p>
    <w:p w14:paraId="561468AA">
      <w:pPr>
        <w:tabs>
          <w:tab w:val="left" w:pos="2085"/>
        </w:tabs>
        <w:adjustRightInd w:val="0"/>
        <w:snapToGrid w:val="0"/>
        <w:spacing w:line="520" w:lineRule="exact"/>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三、比选文件获取时间、地点：</w:t>
      </w:r>
    </w:p>
    <w:p w14:paraId="1E6FD719">
      <w:pPr>
        <w:spacing w:line="52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3.1.符合要求、有意愿参与的单位请于</w:t>
      </w:r>
      <w:r>
        <w:rPr>
          <w:rFonts w:hint="eastAsia" w:ascii="宋体" w:hAnsi="宋体" w:eastAsia="宋体" w:cs="宋体"/>
          <w:color w:val="auto"/>
          <w:sz w:val="24"/>
          <w:highlight w:val="none"/>
          <w:lang w:eastAsia="zh-CN"/>
        </w:rPr>
        <w:t>2026年4月</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按</w:t>
      </w:r>
      <w:r>
        <w:rPr>
          <w:rFonts w:hint="eastAsia" w:ascii="宋体" w:hAnsi="宋体" w:eastAsia="宋体" w:cs="宋体"/>
          <w:color w:val="auto"/>
          <w:sz w:val="24"/>
          <w:highlight w:val="none"/>
        </w:rPr>
        <w:t>下列</w:t>
      </w:r>
      <w:r>
        <w:rPr>
          <w:rFonts w:hint="eastAsia" w:ascii="宋体" w:hAnsi="宋体" w:eastAsia="宋体" w:cs="宋体"/>
          <w:color w:val="auto"/>
          <w:sz w:val="24"/>
          <w:highlight w:val="none"/>
          <w:lang w:val="en-US" w:eastAsia="zh-CN"/>
        </w:rPr>
        <w:t>要求将报名资料</w:t>
      </w:r>
      <w:r>
        <w:rPr>
          <w:rFonts w:hint="eastAsia" w:ascii="宋体" w:hAnsi="宋体" w:eastAsia="宋体" w:cs="宋体"/>
          <w:color w:val="auto"/>
          <w:sz w:val="24"/>
          <w:highlight w:val="none"/>
        </w:rPr>
        <w:t>（原件请于开标当日交至我公司工作人员）以PDF形式发送至邮箱：</w:t>
      </w:r>
    </w:p>
    <w:p w14:paraId="67471A95">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yd8881121@qq.com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比选文件将在比选申请人报名审核通过后发送至其报名的邮箱</w:t>
      </w:r>
      <w:r>
        <w:rPr>
          <w:rFonts w:hint="eastAsia" w:ascii="宋体" w:hAnsi="宋体" w:eastAsia="宋体" w:cs="宋体"/>
          <w:color w:val="auto"/>
          <w:sz w:val="24"/>
          <w:highlight w:val="none"/>
        </w:rPr>
        <w:t>。获取</w:t>
      </w:r>
      <w:r>
        <w:rPr>
          <w:rFonts w:hint="eastAsia" w:ascii="宋体" w:hAnsi="宋体" w:eastAsia="宋体" w:cs="宋体"/>
          <w:color w:val="auto"/>
          <w:sz w:val="24"/>
          <w:highlight w:val="none"/>
          <w:lang w:val="en-US" w:eastAsia="zh-CN"/>
        </w:rPr>
        <w:t>比选文件</w:t>
      </w:r>
      <w:r>
        <w:rPr>
          <w:rFonts w:hint="eastAsia" w:ascii="宋体" w:hAnsi="宋体" w:eastAsia="宋体" w:cs="宋体"/>
          <w:color w:val="auto"/>
          <w:sz w:val="24"/>
          <w:highlight w:val="none"/>
        </w:rPr>
        <w:t>需下列证件（证明、证书）：</w:t>
      </w:r>
    </w:p>
    <w:p w14:paraId="008AF1D0">
      <w:pPr>
        <w:spacing w:line="52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（1）经办人有效身份证（验原件交加盖鲜章的复印件）和单位介绍信（交原件）</w:t>
      </w:r>
    </w:p>
    <w:p w14:paraId="08E86BBD">
      <w:pPr>
        <w:spacing w:line="52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（2）企业法人营业执照（验原件交加盖鲜章的复印件）</w:t>
      </w:r>
    </w:p>
    <w:p w14:paraId="4C1BCA68">
      <w:pPr>
        <w:spacing w:line="52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r>
        <w:rPr>
          <w:rFonts w:hint="eastAsia" w:ascii="宋体" w:hAnsi="宋体" w:eastAsia="宋体" w:cs="宋体"/>
          <w:color w:val="auto"/>
          <w:sz w:val="24"/>
          <w:szCs w:val="21"/>
          <w:highlight w:val="none"/>
        </w:rPr>
        <w:t>比选文件资料费每套</w:t>
      </w:r>
      <w:r>
        <w:rPr>
          <w:rFonts w:hint="eastAsia" w:ascii="宋体" w:hAnsi="宋体" w:eastAsia="宋体" w:cs="宋体"/>
          <w:color w:val="auto"/>
          <w:sz w:val="24"/>
          <w:szCs w:val="21"/>
          <w:highlight w:val="none"/>
          <w:u w:val="single"/>
          <w:lang w:val="en-US" w:eastAsia="zh-CN"/>
        </w:rPr>
        <w:t>3</w:t>
      </w:r>
      <w:r>
        <w:rPr>
          <w:rFonts w:hint="eastAsia" w:ascii="宋体" w:hAnsi="宋体" w:eastAsia="宋体" w:cs="宋体"/>
          <w:color w:val="auto"/>
          <w:sz w:val="24"/>
          <w:szCs w:val="21"/>
          <w:highlight w:val="none"/>
          <w:u w:val="single"/>
        </w:rPr>
        <w:t>00</w:t>
      </w:r>
      <w:r>
        <w:rPr>
          <w:rFonts w:hint="eastAsia" w:ascii="宋体" w:hAnsi="宋体" w:eastAsia="宋体" w:cs="宋体"/>
          <w:color w:val="auto"/>
          <w:sz w:val="24"/>
          <w:szCs w:val="21"/>
          <w:highlight w:val="none"/>
        </w:rPr>
        <w:t>元，比选文件获取后不退, 比选申请资格不能转让。</w:t>
      </w:r>
    </w:p>
    <w:p w14:paraId="3D3D3B64">
      <w:pPr>
        <w:tabs>
          <w:tab w:val="left" w:pos="2085"/>
        </w:tabs>
        <w:adjustRightInd w:val="0"/>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四、比选申请文件的递交</w:t>
      </w:r>
    </w:p>
    <w:p w14:paraId="3B7B113E">
      <w:pPr>
        <w:spacing w:line="520" w:lineRule="exact"/>
        <w:ind w:firstLine="600" w:firstLineChars="2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1、比选申请文件递交的截止时间（比选截止时间，下同）为</w:t>
      </w:r>
      <w:r>
        <w:rPr>
          <w:rFonts w:hint="eastAsia" w:ascii="宋体" w:hAnsi="宋体" w:eastAsia="宋体" w:cs="宋体"/>
          <w:color w:val="auto"/>
          <w:sz w:val="24"/>
          <w:highlight w:val="none"/>
          <w:u w:val="single"/>
          <w:lang w:eastAsia="zh-CN"/>
        </w:rPr>
        <w:t>2026年4月</w:t>
      </w:r>
      <w:r>
        <w:rPr>
          <w:rFonts w:hint="eastAsia" w:ascii="宋体" w:hAnsi="宋体" w:eastAsia="宋体" w:cs="宋体"/>
          <w:color w:val="auto"/>
          <w:sz w:val="24"/>
          <w:highlight w:val="none"/>
          <w:u w:val="single"/>
          <w:lang w:val="en-US" w:eastAsia="zh-CN"/>
        </w:rPr>
        <w:t>24</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分，地点为</w:t>
      </w:r>
      <w:r>
        <w:rPr>
          <w:rFonts w:hint="eastAsia" w:ascii="宋体" w:hAnsi="宋体" w:eastAsia="宋体" w:cs="宋体"/>
          <w:color w:val="auto"/>
          <w:sz w:val="24"/>
          <w:highlight w:val="none"/>
          <w:u w:val="single"/>
          <w:lang w:val="en-US" w:eastAsia="zh-CN"/>
        </w:rPr>
        <w:t>成都市武侯区湖滨路锦水源4号楼</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四川中诚毅达工程项目管理有限公司开标室</w:t>
      </w:r>
      <w:r>
        <w:rPr>
          <w:rFonts w:hint="eastAsia" w:ascii="宋体" w:hAnsi="宋体" w:eastAsia="宋体" w:cs="宋体"/>
          <w:color w:val="auto"/>
          <w:sz w:val="24"/>
          <w:highlight w:val="none"/>
          <w:u w:val="single"/>
        </w:rPr>
        <w:t>。</w:t>
      </w:r>
    </w:p>
    <w:p w14:paraId="12359C70">
      <w:pPr>
        <w:spacing w:line="52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2、 逾期送达的或者未送达指定地点的比选申请文件，比选人不予受理。</w:t>
      </w:r>
    </w:p>
    <w:p w14:paraId="1C135FDD">
      <w:pPr>
        <w:spacing w:line="520" w:lineRule="exact"/>
        <w:rPr>
          <w:rFonts w:hint="eastAsia" w:ascii="宋体" w:hAnsi="宋体" w:eastAsia="宋体" w:cs="宋体"/>
          <w:color w:val="auto"/>
          <w:sz w:val="24"/>
          <w:highlight w:val="none"/>
        </w:rPr>
      </w:pPr>
    </w:p>
    <w:p w14:paraId="2DE33620">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、联系方式</w:t>
      </w:r>
    </w:p>
    <w:p w14:paraId="51C8DCBC">
      <w:pPr>
        <w:spacing w:line="520" w:lineRule="exact"/>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rPr>
        <w:t>比 选</w:t>
      </w:r>
      <w:r>
        <w:rPr>
          <w:rFonts w:hint="eastAsia" w:ascii="宋体" w:hAnsi="宋体" w:eastAsia="宋体" w:cs="宋体"/>
          <w:color w:val="auto"/>
          <w:sz w:val="24"/>
          <w:szCs w:val="21"/>
          <w:highlight w:val="none"/>
        </w:rPr>
        <w:t xml:space="preserve"> 人：</w:t>
      </w:r>
      <w:r>
        <w:rPr>
          <w:rFonts w:hint="eastAsia" w:ascii="宋体" w:hAnsi="宋体" w:eastAsia="宋体" w:cs="宋体"/>
          <w:color w:val="auto"/>
          <w:sz w:val="24"/>
          <w:szCs w:val="21"/>
          <w:highlight w:val="none"/>
          <w:lang w:val="en-US" w:eastAsia="zh-CN"/>
        </w:rPr>
        <w:t>贵州枕泉翠谷康养产业发展有限公司</w:t>
      </w:r>
    </w:p>
    <w:p w14:paraId="601BCA35">
      <w:pPr>
        <w:spacing w:line="520" w:lineRule="exact"/>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rPr>
        <w:t>地    址：</w:t>
      </w:r>
      <w:r>
        <w:rPr>
          <w:rFonts w:hint="eastAsia" w:ascii="宋体" w:hAnsi="宋体" w:eastAsia="宋体" w:cs="宋体"/>
          <w:color w:val="auto"/>
          <w:sz w:val="24"/>
          <w:szCs w:val="21"/>
          <w:highlight w:val="none"/>
          <w:lang w:eastAsia="zh-CN"/>
        </w:rPr>
        <w:t>贵州省遵义市桐梓县楚米镇元田村碗厂组</w:t>
      </w:r>
    </w:p>
    <w:p w14:paraId="59CD7223">
      <w:pPr>
        <w:spacing w:line="520" w:lineRule="exact"/>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rPr>
        <w:t>联 系 人：</w:t>
      </w:r>
      <w:r>
        <w:rPr>
          <w:rFonts w:hint="eastAsia" w:ascii="宋体" w:hAnsi="宋体" w:eastAsia="宋体" w:cs="宋体"/>
          <w:color w:val="auto"/>
          <w:sz w:val="24"/>
          <w:szCs w:val="21"/>
          <w:highlight w:val="none"/>
          <w:lang w:eastAsia="zh-CN"/>
        </w:rPr>
        <w:t>赵老师</w:t>
      </w:r>
    </w:p>
    <w:p w14:paraId="73B393AB">
      <w:pPr>
        <w:spacing w:line="520" w:lineRule="exact"/>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rPr>
        <w:t>电    话</w:t>
      </w:r>
      <w:r>
        <w:rPr>
          <w:rFonts w:hint="eastAsia" w:ascii="宋体" w:hAnsi="宋体" w:eastAsia="宋体" w:cs="宋体"/>
          <w:color w:val="auto"/>
          <w:sz w:val="24"/>
          <w:szCs w:val="21"/>
          <w:highlight w:val="none"/>
          <w:lang w:eastAsia="zh-CN"/>
        </w:rPr>
        <w:t>：15923382657</w:t>
      </w:r>
    </w:p>
    <w:p w14:paraId="6A65488F">
      <w:pPr>
        <w:spacing w:line="520" w:lineRule="exact"/>
        <w:rPr>
          <w:rFonts w:hint="eastAsia" w:ascii="宋体" w:hAnsi="宋体" w:eastAsia="宋体" w:cs="宋体"/>
          <w:color w:val="auto"/>
          <w:sz w:val="24"/>
          <w:szCs w:val="21"/>
          <w:highlight w:val="none"/>
          <w:lang w:val="en-US" w:eastAsia="zh-CN"/>
        </w:rPr>
      </w:pPr>
    </w:p>
    <w:p w14:paraId="77407C4E">
      <w:pPr>
        <w:spacing w:line="520" w:lineRule="exact"/>
        <w:rPr>
          <w:rFonts w:hint="eastAsia" w:ascii="宋体" w:hAnsi="宋体" w:eastAsia="宋体" w:cs="宋体"/>
          <w:color w:val="auto"/>
          <w:sz w:val="24"/>
          <w:szCs w:val="21"/>
          <w:highlight w:val="none"/>
        </w:rPr>
      </w:pPr>
    </w:p>
    <w:p w14:paraId="7DE00B90">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比选代理机构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四川中诚毅达工程项目管理有限公司</w:t>
      </w:r>
    </w:p>
    <w:p w14:paraId="4ED2D8D8">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val="en-US" w:eastAsia="zh-CN"/>
        </w:rPr>
        <w:t>成都市武侯区湖滨路锦水源4号楼</w:t>
      </w:r>
    </w:p>
    <w:p w14:paraId="0620A1C4">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彭老师</w:t>
      </w:r>
    </w:p>
    <w:p w14:paraId="13F7C314">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lang w:eastAsia="zh-CN"/>
        </w:rPr>
        <w:t>19308053762</w:t>
      </w:r>
    </w:p>
    <w:p w14:paraId="3769EA61">
      <w:pPr>
        <w:sectPr>
          <w:pgSz w:w="11906" w:h="16838"/>
          <w:pgMar w:top="1440" w:right="1800" w:bottom="1440" w:left="1800" w:header="851" w:footer="992" w:gutter="0"/>
          <w:cols w:space="425" w:num="1"/>
          <w:docGrid w:type="lines" w:linePitch="312" w:charSpace="0"/>
        </w:sectPr>
      </w:pPr>
    </w:p>
    <w:p w14:paraId="0171FB62">
      <w:pPr>
        <w:pStyle w:val="2"/>
        <w:rPr>
          <w:rFonts w:hint="eastAsia" w:ascii="宋体" w:hAnsi="宋体" w:eastAsia="宋体" w:cs="宋体"/>
          <w:color w:val="auto"/>
          <w:highlight w:val="none"/>
        </w:rPr>
      </w:pPr>
      <w:bookmarkStart w:id="6" w:name="_Toc62"/>
      <w:r>
        <w:rPr>
          <w:rFonts w:hint="eastAsia" w:ascii="宋体" w:hAnsi="宋体" w:eastAsia="宋体" w:cs="宋体"/>
          <w:color w:val="auto"/>
          <w:highlight w:val="none"/>
        </w:rPr>
        <w:t>第二章  比选申请须知及比选申请须知前附表</w:t>
      </w:r>
      <w:bookmarkEnd w:id="6"/>
    </w:p>
    <w:p w14:paraId="68218697">
      <w:pPr>
        <w:spacing w:line="360" w:lineRule="auto"/>
        <w:ind w:left="18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比选申请须知前附表</w:t>
      </w:r>
    </w:p>
    <w:tbl>
      <w:tblPr>
        <w:tblStyle w:val="3"/>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748"/>
        <w:gridCol w:w="7130"/>
      </w:tblGrid>
      <w:tr w14:paraId="28F0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81" w:type="dxa"/>
            <w:vAlign w:val="center"/>
          </w:tcPr>
          <w:p w14:paraId="2E4344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1748" w:type="dxa"/>
            <w:vAlign w:val="center"/>
          </w:tcPr>
          <w:p w14:paraId="50CC7D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　款</w:t>
            </w:r>
          </w:p>
        </w:tc>
        <w:tc>
          <w:tcPr>
            <w:tcW w:w="7130" w:type="dxa"/>
            <w:vAlign w:val="center"/>
          </w:tcPr>
          <w:p w14:paraId="602788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内容规定</w:t>
            </w:r>
          </w:p>
        </w:tc>
      </w:tr>
      <w:tr w14:paraId="1D2A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681" w:type="dxa"/>
            <w:vMerge w:val="restart"/>
            <w:vAlign w:val="center"/>
          </w:tcPr>
          <w:p w14:paraId="59A657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48" w:type="dxa"/>
            <w:vMerge w:val="restart"/>
            <w:vAlign w:val="center"/>
          </w:tcPr>
          <w:p w14:paraId="317583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工程概况</w:t>
            </w:r>
          </w:p>
        </w:tc>
        <w:tc>
          <w:tcPr>
            <w:tcW w:w="7130" w:type="dxa"/>
            <w:vAlign w:val="center"/>
          </w:tcPr>
          <w:p w14:paraId="1F83E6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桐梓县枕泉翠谷康养中心装修建设项目一标段、二标段造价咨询服务</w:t>
            </w:r>
          </w:p>
        </w:tc>
      </w:tr>
      <w:tr w14:paraId="5BD6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681" w:type="dxa"/>
            <w:vMerge w:val="continue"/>
            <w:vAlign w:val="center"/>
          </w:tcPr>
          <w:p w14:paraId="46317C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p>
        </w:tc>
        <w:tc>
          <w:tcPr>
            <w:tcW w:w="1748" w:type="dxa"/>
            <w:vMerge w:val="continue"/>
            <w:tcBorders>
              <w:bottom w:val="nil"/>
            </w:tcBorders>
            <w:vAlign w:val="center"/>
          </w:tcPr>
          <w:p w14:paraId="06E98F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p>
        </w:tc>
        <w:tc>
          <w:tcPr>
            <w:tcW w:w="7130" w:type="dxa"/>
            <w:vAlign w:val="center"/>
          </w:tcPr>
          <w:p w14:paraId="057D4BA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项目地点：</w:t>
            </w:r>
            <w:r>
              <w:rPr>
                <w:rFonts w:hint="eastAsia" w:ascii="宋体" w:hAnsi="宋体" w:eastAsia="宋体" w:cs="宋体"/>
                <w:color w:val="auto"/>
                <w:sz w:val="21"/>
                <w:szCs w:val="21"/>
                <w:highlight w:val="none"/>
                <w:lang w:val="en-US" w:eastAsia="zh-CN"/>
              </w:rPr>
              <w:t>详见比选邀请函</w:t>
            </w:r>
          </w:p>
        </w:tc>
      </w:tr>
      <w:tr w14:paraId="1458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81" w:type="dxa"/>
            <w:vMerge w:val="continue"/>
            <w:vAlign w:val="center"/>
          </w:tcPr>
          <w:p w14:paraId="12B4BE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p>
        </w:tc>
        <w:tc>
          <w:tcPr>
            <w:tcW w:w="1748" w:type="dxa"/>
            <w:vMerge w:val="continue"/>
            <w:tcBorders>
              <w:bottom w:val="nil"/>
            </w:tcBorders>
            <w:vAlign w:val="center"/>
          </w:tcPr>
          <w:p w14:paraId="3905B8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p>
        </w:tc>
        <w:tc>
          <w:tcPr>
            <w:tcW w:w="7130" w:type="dxa"/>
            <w:vAlign w:val="center"/>
          </w:tcPr>
          <w:p w14:paraId="6CF94F8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项目规模</w:t>
            </w:r>
            <w:r>
              <w:rPr>
                <w:rFonts w:hint="eastAsia" w:ascii="宋体" w:hAnsi="宋体" w:eastAsia="宋体" w:cs="宋体"/>
                <w:color w:val="auto"/>
                <w:sz w:val="21"/>
                <w:szCs w:val="21"/>
                <w:highlight w:val="none"/>
                <w:lang w:val="en-US" w:eastAsia="zh-CN"/>
              </w:rPr>
              <w:t>及内容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详见比选邀请函</w:t>
            </w:r>
            <w:r>
              <w:rPr>
                <w:rFonts w:hint="eastAsia" w:ascii="宋体" w:hAnsi="宋体" w:eastAsia="宋体" w:cs="宋体"/>
                <w:color w:val="auto"/>
                <w:sz w:val="21"/>
                <w:szCs w:val="21"/>
                <w:highlight w:val="none"/>
              </w:rPr>
              <w:t>。</w:t>
            </w:r>
          </w:p>
        </w:tc>
      </w:tr>
      <w:tr w14:paraId="274B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81" w:type="dxa"/>
            <w:vAlign w:val="center"/>
          </w:tcPr>
          <w:p w14:paraId="433764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48" w:type="dxa"/>
            <w:vAlign w:val="center"/>
          </w:tcPr>
          <w:p w14:paraId="62E936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比选范围</w:t>
            </w:r>
          </w:p>
        </w:tc>
        <w:tc>
          <w:tcPr>
            <w:tcW w:w="7130" w:type="dxa"/>
            <w:vAlign w:val="center"/>
          </w:tcPr>
          <w:p w14:paraId="405F5D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详见比选邀请函</w:t>
            </w:r>
          </w:p>
        </w:tc>
      </w:tr>
      <w:tr w14:paraId="1A58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81" w:type="dxa"/>
            <w:vMerge w:val="restart"/>
            <w:vAlign w:val="center"/>
          </w:tcPr>
          <w:p w14:paraId="778977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48" w:type="dxa"/>
            <w:vAlign w:val="center"/>
          </w:tcPr>
          <w:p w14:paraId="562278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7130" w:type="dxa"/>
            <w:vAlign w:val="center"/>
          </w:tcPr>
          <w:p w14:paraId="4A488E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详见比选邀请函</w:t>
            </w:r>
          </w:p>
        </w:tc>
      </w:tr>
      <w:tr w14:paraId="5A40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81" w:type="dxa"/>
            <w:vMerge w:val="continue"/>
            <w:vAlign w:val="center"/>
          </w:tcPr>
          <w:p w14:paraId="76D628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p>
        </w:tc>
        <w:tc>
          <w:tcPr>
            <w:tcW w:w="1748" w:type="dxa"/>
            <w:vAlign w:val="center"/>
          </w:tcPr>
          <w:p w14:paraId="5F089B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w:t>
            </w:r>
          </w:p>
        </w:tc>
        <w:tc>
          <w:tcPr>
            <w:tcW w:w="7130" w:type="dxa"/>
            <w:vAlign w:val="center"/>
          </w:tcPr>
          <w:p w14:paraId="5E2839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详见比选邀请函</w:t>
            </w:r>
          </w:p>
        </w:tc>
      </w:tr>
      <w:tr w14:paraId="7B19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681" w:type="dxa"/>
            <w:vAlign w:val="center"/>
          </w:tcPr>
          <w:p w14:paraId="561B32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48" w:type="dxa"/>
            <w:vAlign w:val="center"/>
          </w:tcPr>
          <w:p w14:paraId="28A523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比选申请人</w:t>
            </w:r>
          </w:p>
          <w:p w14:paraId="6FF3FB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130" w:type="dxa"/>
            <w:vAlign w:val="center"/>
          </w:tcPr>
          <w:p w14:paraId="457CEB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资格要求：详见比选邀请函</w:t>
            </w:r>
            <w:r>
              <w:rPr>
                <w:rFonts w:hint="eastAsia" w:ascii="宋体" w:hAnsi="宋体" w:eastAsia="宋体" w:cs="宋体"/>
                <w:color w:val="auto"/>
                <w:sz w:val="21"/>
                <w:szCs w:val="21"/>
                <w:highlight w:val="none"/>
              </w:rPr>
              <w:t>；</w:t>
            </w:r>
          </w:p>
          <w:p w14:paraId="45E3C6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负责人要求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详见比选邀请函</w:t>
            </w:r>
            <w:r>
              <w:rPr>
                <w:rFonts w:hint="eastAsia" w:ascii="宋体" w:hAnsi="宋体" w:eastAsia="宋体" w:cs="宋体"/>
                <w:color w:val="auto"/>
                <w:sz w:val="21"/>
                <w:szCs w:val="21"/>
                <w:highlight w:val="none"/>
              </w:rPr>
              <w:t>；</w:t>
            </w:r>
          </w:p>
          <w:p w14:paraId="09A559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r>
              <w:rPr>
                <w:rFonts w:hint="eastAsia" w:ascii="宋体" w:hAnsi="宋体" w:eastAsia="宋体" w:cs="宋体"/>
                <w:color w:val="auto"/>
                <w:sz w:val="21"/>
                <w:szCs w:val="21"/>
                <w:highlight w:val="none"/>
                <w:lang w:val="en-US" w:eastAsia="zh-CN"/>
              </w:rPr>
              <w:t>详见比选邀请函</w:t>
            </w:r>
            <w:r>
              <w:rPr>
                <w:rFonts w:hint="eastAsia" w:ascii="宋体" w:hAnsi="宋体" w:eastAsia="宋体" w:cs="宋体"/>
                <w:color w:val="auto"/>
                <w:sz w:val="21"/>
                <w:szCs w:val="21"/>
                <w:highlight w:val="none"/>
              </w:rPr>
              <w:t>；</w:t>
            </w:r>
          </w:p>
          <w:p w14:paraId="0C751D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r>
              <w:rPr>
                <w:rFonts w:hint="eastAsia" w:ascii="宋体" w:hAnsi="宋体" w:eastAsia="宋体" w:cs="宋体"/>
                <w:color w:val="auto"/>
                <w:sz w:val="21"/>
                <w:szCs w:val="21"/>
                <w:highlight w:val="none"/>
                <w:lang w:val="en-US" w:eastAsia="zh-CN"/>
              </w:rPr>
              <w:t>详见比选邀请函</w:t>
            </w:r>
            <w:r>
              <w:rPr>
                <w:rFonts w:hint="eastAsia" w:ascii="宋体" w:hAnsi="宋体" w:eastAsia="宋体" w:cs="宋体"/>
                <w:color w:val="auto"/>
                <w:sz w:val="21"/>
                <w:szCs w:val="21"/>
                <w:highlight w:val="none"/>
              </w:rPr>
              <w:t>。</w:t>
            </w:r>
          </w:p>
        </w:tc>
      </w:tr>
      <w:tr w14:paraId="5FDA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81" w:type="dxa"/>
            <w:vAlign w:val="center"/>
          </w:tcPr>
          <w:p w14:paraId="4FE3DE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48" w:type="dxa"/>
            <w:vAlign w:val="center"/>
          </w:tcPr>
          <w:p w14:paraId="759DA2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比选答疑</w:t>
            </w:r>
          </w:p>
        </w:tc>
        <w:tc>
          <w:tcPr>
            <w:tcW w:w="7130" w:type="dxa"/>
            <w:vAlign w:val="center"/>
          </w:tcPr>
          <w:p w14:paraId="0770A0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比选申请人对比选文件有疑问的，可在</w:t>
            </w:r>
            <w:r>
              <w:rPr>
                <w:rFonts w:hint="eastAsia" w:ascii="宋体" w:hAnsi="宋体" w:eastAsia="宋体" w:cs="宋体"/>
                <w:color w:val="auto"/>
                <w:sz w:val="21"/>
                <w:szCs w:val="21"/>
                <w:highlight w:val="none"/>
                <w:lang w:eastAsia="zh-CN"/>
              </w:rPr>
              <w:t>2026年4月</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时之前（比选申请人在此时间之后提出的问题，比选人不再进行澄清和答复）通过书面形式向比选人提出要求澄清或修改内容。</w:t>
            </w:r>
          </w:p>
        </w:tc>
      </w:tr>
      <w:tr w14:paraId="1B43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1" w:type="dxa"/>
            <w:vAlign w:val="center"/>
          </w:tcPr>
          <w:p w14:paraId="5F045B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48" w:type="dxa"/>
            <w:vAlign w:val="center"/>
          </w:tcPr>
          <w:p w14:paraId="66E81D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比选申请有效期</w:t>
            </w:r>
          </w:p>
        </w:tc>
        <w:tc>
          <w:tcPr>
            <w:tcW w:w="7130" w:type="dxa"/>
            <w:vAlign w:val="center"/>
          </w:tcPr>
          <w:p w14:paraId="5747A2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比选申请截止之日起60个日历天内有效。</w:t>
            </w:r>
          </w:p>
        </w:tc>
      </w:tr>
      <w:tr w14:paraId="7C19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681" w:type="dxa"/>
            <w:vAlign w:val="center"/>
          </w:tcPr>
          <w:p w14:paraId="64691C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748" w:type="dxa"/>
            <w:vAlign w:val="center"/>
          </w:tcPr>
          <w:p w14:paraId="69A57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w:t>
            </w:r>
          </w:p>
          <w:p w14:paraId="2F02E7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w:t>
            </w:r>
          </w:p>
        </w:tc>
        <w:tc>
          <w:tcPr>
            <w:tcW w:w="7130" w:type="dxa"/>
            <w:vAlign w:val="center"/>
          </w:tcPr>
          <w:p w14:paraId="3CB8D2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参选保证金</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万元 </w:t>
            </w:r>
          </w:p>
          <w:p w14:paraId="394854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开户行：中国工商银行股份有限公司成都培根路支行</w:t>
            </w:r>
          </w:p>
          <w:p w14:paraId="51FD6F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户  名：四川中诚毅达工程项目管理有限公司   </w:t>
            </w:r>
          </w:p>
          <w:p w14:paraId="393CFA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号：4402 0703 0900 0143 477</w:t>
            </w:r>
          </w:p>
          <w:p w14:paraId="168CCB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提交的方式： </w:t>
            </w:r>
          </w:p>
          <w:p w14:paraId="0DF591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基本账户银行转账或银行电汇或银行保函</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保证保险方式（单位名称必须与</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名称一致，并注明项目名称）。</w:t>
            </w:r>
          </w:p>
          <w:p w14:paraId="6B552F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提交的时间：</w:t>
            </w:r>
            <w:r>
              <w:rPr>
                <w:rFonts w:hint="eastAsia" w:ascii="宋体" w:hAnsi="宋体" w:eastAsia="宋体" w:cs="宋体"/>
                <w:color w:val="auto"/>
                <w:sz w:val="21"/>
                <w:szCs w:val="21"/>
                <w:highlight w:val="none"/>
                <w:lang w:eastAsia="zh-CN"/>
              </w:rPr>
              <w:t>参选保证金</w:t>
            </w:r>
            <w:r>
              <w:rPr>
                <w:rFonts w:hint="eastAsia" w:ascii="宋体" w:hAnsi="宋体" w:eastAsia="宋体" w:cs="宋体"/>
                <w:color w:val="auto"/>
                <w:sz w:val="21"/>
                <w:szCs w:val="21"/>
                <w:highlight w:val="none"/>
              </w:rPr>
              <w:t>递交截止时间为</w:t>
            </w:r>
            <w:r>
              <w:rPr>
                <w:rFonts w:hint="eastAsia" w:ascii="宋体" w:hAnsi="宋体" w:eastAsia="宋体" w:cs="宋体"/>
                <w:color w:val="auto"/>
                <w:sz w:val="21"/>
                <w:szCs w:val="21"/>
                <w:highlight w:val="none"/>
                <w:lang w:eastAsia="zh-CN"/>
              </w:rPr>
              <w:t>比选截止时间</w:t>
            </w:r>
            <w:r>
              <w:rPr>
                <w:rFonts w:hint="eastAsia" w:ascii="宋体" w:hAnsi="宋体" w:eastAsia="宋体" w:cs="宋体"/>
                <w:color w:val="auto"/>
                <w:sz w:val="21"/>
                <w:szCs w:val="21"/>
                <w:highlight w:val="none"/>
              </w:rPr>
              <w:t>前一个工作日下午16点00分（以到账时间为准）</w:t>
            </w:r>
          </w:p>
          <w:p w14:paraId="0E88F7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注：联合体</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参选保证金</w:t>
            </w:r>
            <w:r>
              <w:rPr>
                <w:rFonts w:hint="eastAsia" w:ascii="宋体" w:hAnsi="宋体" w:eastAsia="宋体" w:cs="宋体"/>
                <w:color w:val="auto"/>
                <w:sz w:val="21"/>
                <w:szCs w:val="21"/>
                <w:highlight w:val="none"/>
              </w:rPr>
              <w:t>以牵头人的名义递交。</w:t>
            </w:r>
          </w:p>
        </w:tc>
      </w:tr>
      <w:tr w14:paraId="663B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9" w:hRule="atLeast"/>
        </w:trPr>
        <w:tc>
          <w:tcPr>
            <w:tcW w:w="681" w:type="dxa"/>
            <w:vAlign w:val="center"/>
          </w:tcPr>
          <w:p w14:paraId="3B2D0F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748" w:type="dxa"/>
            <w:vAlign w:val="center"/>
          </w:tcPr>
          <w:p w14:paraId="77BB0F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参选保证金</w:t>
            </w:r>
            <w:r>
              <w:rPr>
                <w:rFonts w:hint="eastAsia" w:ascii="宋体" w:hAnsi="宋体" w:eastAsia="宋体" w:cs="宋体"/>
                <w:color w:val="auto"/>
                <w:sz w:val="21"/>
                <w:szCs w:val="21"/>
                <w:highlight w:val="none"/>
              </w:rPr>
              <w:t>的退还及不予以退还情形</w:t>
            </w:r>
          </w:p>
        </w:tc>
        <w:tc>
          <w:tcPr>
            <w:tcW w:w="7130" w:type="dxa"/>
            <w:vAlign w:val="center"/>
          </w:tcPr>
          <w:p w14:paraId="0F30CA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参选保证金</w:t>
            </w:r>
            <w:r>
              <w:rPr>
                <w:rFonts w:hint="eastAsia" w:ascii="宋体" w:hAnsi="宋体" w:eastAsia="宋体" w:cs="宋体"/>
                <w:color w:val="auto"/>
                <w:sz w:val="21"/>
                <w:szCs w:val="21"/>
                <w:highlight w:val="none"/>
              </w:rPr>
              <w:t xml:space="preserve">的正常退还程序 </w:t>
            </w:r>
          </w:p>
          <w:p w14:paraId="04BF4B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向中选人发放中选通知书之日起</w:t>
            </w:r>
            <w:r>
              <w:rPr>
                <w:rFonts w:hint="eastAsia" w:ascii="宋体" w:hAnsi="宋体" w:eastAsia="宋体" w:cs="宋体"/>
                <w:color w:val="auto"/>
                <w:sz w:val="21"/>
                <w:szCs w:val="21"/>
                <w:highlight w:val="none"/>
              </w:rPr>
              <w:t>5个工作日内向未中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退还</w:t>
            </w:r>
            <w:r>
              <w:rPr>
                <w:rFonts w:hint="eastAsia" w:ascii="宋体" w:hAnsi="宋体" w:eastAsia="宋体" w:cs="宋体"/>
                <w:color w:val="auto"/>
                <w:sz w:val="21"/>
                <w:szCs w:val="21"/>
                <w:highlight w:val="none"/>
                <w:lang w:eastAsia="zh-CN"/>
              </w:rPr>
              <w:t>参选保证金</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中选人</w:t>
            </w:r>
            <w:r>
              <w:rPr>
                <w:rFonts w:hint="eastAsia" w:ascii="宋体" w:hAnsi="宋体" w:eastAsia="宋体" w:cs="宋体"/>
                <w:color w:val="auto"/>
                <w:sz w:val="21"/>
                <w:szCs w:val="21"/>
                <w:highlight w:val="none"/>
              </w:rPr>
              <w:t>交纳的</w:t>
            </w:r>
            <w:r>
              <w:rPr>
                <w:rFonts w:hint="eastAsia" w:ascii="宋体" w:hAnsi="宋体" w:eastAsia="宋体" w:cs="宋体"/>
                <w:color w:val="auto"/>
                <w:sz w:val="21"/>
                <w:szCs w:val="21"/>
                <w:highlight w:val="none"/>
                <w:lang w:eastAsia="zh-CN"/>
              </w:rPr>
              <w:t>参选保证金</w:t>
            </w:r>
            <w:r>
              <w:rPr>
                <w:rFonts w:hint="eastAsia" w:ascii="宋体" w:hAnsi="宋体" w:eastAsia="宋体" w:cs="宋体"/>
                <w:color w:val="auto"/>
                <w:sz w:val="21"/>
                <w:szCs w:val="21"/>
                <w:highlight w:val="none"/>
              </w:rPr>
              <w:t>在合同签订生效后五个工作日内全额退还。</w:t>
            </w:r>
          </w:p>
          <w:p w14:paraId="41E442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（二）比选保证金的退还方式 </w:t>
            </w:r>
          </w:p>
          <w:tbl>
            <w:tblPr>
              <w:tblStyle w:val="3"/>
              <w:tblW w:w="6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00"/>
            </w:tblGrid>
            <w:tr w14:paraId="0BA9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300" w:type="dxa"/>
                </w:tcPr>
                <w:p w14:paraId="0AB472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以银行转账支票或银行电汇方式提交的保证金，将保证金退还至原拨付账户；以保函方式提交的保证金，按保函约定方式退还。</w:t>
                  </w:r>
                </w:p>
              </w:tc>
            </w:tr>
          </w:tbl>
          <w:p w14:paraId="35CE26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比选申请人有下列情形之一的，不予退还比选保证金：</w:t>
            </w:r>
          </w:p>
          <w:p w14:paraId="503186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（一）在提交比选申请文件截止时间后到比选文件规定的比选申请有效期终止之前，比选申请人撤回、补充、修改或替代比选申请文件的；</w:t>
            </w:r>
          </w:p>
          <w:p w14:paraId="7D2DDA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（二）中选通知书发出后，中选人放弃中选项目的，无正当理由不与比选人签订合同的，在签订合同时向比选人提出附加条件或者更改合同实质性内容的，或者拒不提交所要求的履约保证金的；</w:t>
            </w:r>
          </w:p>
          <w:p w14:paraId="08C572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（三）比选申请人在比选活动中串通投标、弄虚作假的；</w:t>
            </w:r>
          </w:p>
          <w:p w14:paraId="08E70A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（四）法律法规规定不予退还的其他情形。</w:t>
            </w:r>
          </w:p>
        </w:tc>
      </w:tr>
      <w:tr w14:paraId="78FA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81" w:type="dxa"/>
            <w:vAlign w:val="center"/>
          </w:tcPr>
          <w:p w14:paraId="135850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748" w:type="dxa"/>
            <w:vAlign w:val="center"/>
          </w:tcPr>
          <w:p w14:paraId="76691E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w:t>
            </w:r>
          </w:p>
          <w:p w14:paraId="583B8E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文件份数</w:t>
            </w:r>
          </w:p>
        </w:tc>
        <w:tc>
          <w:tcPr>
            <w:tcW w:w="7130" w:type="dxa"/>
            <w:vAlign w:val="center"/>
          </w:tcPr>
          <w:p w14:paraId="7EFF0D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正本一份，副本一份，电子文档一份。</w:t>
            </w:r>
          </w:p>
        </w:tc>
      </w:tr>
      <w:tr w14:paraId="31B3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81" w:type="dxa"/>
            <w:vAlign w:val="center"/>
          </w:tcPr>
          <w:p w14:paraId="5A4464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748" w:type="dxa"/>
            <w:vAlign w:val="center"/>
          </w:tcPr>
          <w:p w14:paraId="562B92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比选申请文件递交时间及地点</w:t>
            </w:r>
          </w:p>
        </w:tc>
        <w:tc>
          <w:tcPr>
            <w:tcW w:w="7130" w:type="dxa"/>
            <w:vAlign w:val="center"/>
          </w:tcPr>
          <w:p w14:paraId="7C8630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eastAsia="宋体" w:cs="宋体"/>
                <w:color w:val="auto"/>
                <w:sz w:val="21"/>
                <w:szCs w:val="21"/>
                <w:highlight w:val="none"/>
                <w:lang w:eastAsia="zh-CN"/>
              </w:rPr>
              <w:t>2026年4月</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0至</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0（北京时间）</w:t>
            </w:r>
          </w:p>
          <w:p w14:paraId="387C78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w:t>
            </w:r>
            <w:r>
              <w:rPr>
                <w:rFonts w:hint="eastAsia" w:ascii="宋体" w:hAnsi="宋体" w:eastAsia="宋体" w:cs="宋体"/>
                <w:color w:val="auto"/>
                <w:sz w:val="21"/>
                <w:szCs w:val="21"/>
                <w:highlight w:val="none"/>
                <w:lang w:val="en-US" w:eastAsia="zh-CN"/>
              </w:rPr>
              <w:t>成都市武侯区湖滨路锦水源4号楼</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四川中诚毅达工程项目管理有限公司开标室</w:t>
            </w:r>
          </w:p>
        </w:tc>
      </w:tr>
      <w:tr w14:paraId="7854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81" w:type="dxa"/>
            <w:vAlign w:val="center"/>
          </w:tcPr>
          <w:p w14:paraId="0A23C3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748" w:type="dxa"/>
            <w:vAlign w:val="center"/>
          </w:tcPr>
          <w:p w14:paraId="2D5A56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w:t>
            </w:r>
          </w:p>
          <w:p w14:paraId="6A5700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p>
        </w:tc>
        <w:tc>
          <w:tcPr>
            <w:tcW w:w="7130" w:type="dxa"/>
            <w:vAlign w:val="center"/>
          </w:tcPr>
          <w:p w14:paraId="3379D9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2026年4月</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0（北京时间）</w:t>
            </w:r>
          </w:p>
        </w:tc>
      </w:tr>
      <w:tr w14:paraId="4C43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81" w:type="dxa"/>
            <w:vAlign w:val="center"/>
          </w:tcPr>
          <w:p w14:paraId="1E628B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8" w:type="dxa"/>
            <w:vAlign w:val="center"/>
          </w:tcPr>
          <w:p w14:paraId="242A40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递交比选申</w:t>
            </w:r>
          </w:p>
          <w:p w14:paraId="2A1492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请文件地点</w:t>
            </w:r>
          </w:p>
        </w:tc>
        <w:tc>
          <w:tcPr>
            <w:tcW w:w="7130" w:type="dxa"/>
            <w:vAlign w:val="center"/>
          </w:tcPr>
          <w:p w14:paraId="09A457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成都市武侯区湖滨路锦水源4号楼</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四川中诚毅达工程项目管理有限公司开标室</w:t>
            </w:r>
          </w:p>
        </w:tc>
      </w:tr>
      <w:tr w14:paraId="16E8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81" w:type="dxa"/>
            <w:vAlign w:val="center"/>
          </w:tcPr>
          <w:p w14:paraId="670069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748" w:type="dxa"/>
            <w:vAlign w:val="center"/>
          </w:tcPr>
          <w:p w14:paraId="62AD3A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评选办法</w:t>
            </w:r>
          </w:p>
          <w:p w14:paraId="6A35A9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及标准</w:t>
            </w:r>
          </w:p>
        </w:tc>
        <w:tc>
          <w:tcPr>
            <w:tcW w:w="7130" w:type="dxa"/>
            <w:vAlign w:val="center"/>
          </w:tcPr>
          <w:p w14:paraId="72B246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综合评估法（详见比选文件）总分：满分100分</w:t>
            </w:r>
          </w:p>
        </w:tc>
      </w:tr>
      <w:tr w14:paraId="66C5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681" w:type="dxa"/>
            <w:vAlign w:val="center"/>
          </w:tcPr>
          <w:p w14:paraId="6E6A3F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748" w:type="dxa"/>
            <w:vAlign w:val="center"/>
          </w:tcPr>
          <w:p w14:paraId="3CA1E7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130" w:type="dxa"/>
            <w:vAlign w:val="center"/>
          </w:tcPr>
          <w:p w14:paraId="0D4FC4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履约保证金金额：中选价的10% </w:t>
            </w:r>
          </w:p>
          <w:p w14:paraId="321676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履约保证金形式：银行转账或银行保函方式、保证保险方式缴纳。</w:t>
            </w:r>
          </w:p>
          <w:p w14:paraId="446524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交付方式及时间要求：中选人须在领取中选通知书后15个工作日内</w:t>
            </w:r>
            <w:r>
              <w:rPr>
                <w:rFonts w:hint="eastAsia" w:ascii="宋体" w:hAnsi="宋体" w:eastAsia="宋体" w:cs="宋体"/>
                <w:color w:val="auto"/>
                <w:sz w:val="21"/>
                <w:szCs w:val="21"/>
                <w:highlight w:val="none"/>
                <w:lang w:val="en-US" w:eastAsia="zh-CN"/>
              </w:rPr>
              <w:t>且在合同签订前</w:t>
            </w:r>
            <w:r>
              <w:rPr>
                <w:rFonts w:hint="eastAsia" w:ascii="宋体" w:hAnsi="宋体" w:eastAsia="宋体" w:cs="宋体"/>
                <w:color w:val="auto"/>
                <w:sz w:val="21"/>
                <w:szCs w:val="21"/>
                <w:highlight w:val="none"/>
              </w:rPr>
              <w:t>提交。</w:t>
            </w:r>
          </w:p>
        </w:tc>
      </w:tr>
      <w:tr w14:paraId="0C32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81" w:type="dxa"/>
            <w:vAlign w:val="center"/>
          </w:tcPr>
          <w:p w14:paraId="601E08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48" w:type="dxa"/>
            <w:vAlign w:val="center"/>
          </w:tcPr>
          <w:p w14:paraId="2601DC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w:t>
            </w:r>
          </w:p>
        </w:tc>
        <w:tc>
          <w:tcPr>
            <w:tcW w:w="7130" w:type="dxa"/>
            <w:vAlign w:val="center"/>
          </w:tcPr>
          <w:p w14:paraId="085952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中选人</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国家计委计价格（2002）1980号文</w:t>
            </w:r>
            <w:r>
              <w:rPr>
                <w:rFonts w:hint="eastAsia" w:ascii="宋体" w:hAnsi="宋体" w:eastAsia="宋体" w:cs="宋体"/>
                <w:color w:val="auto"/>
                <w:sz w:val="21"/>
                <w:szCs w:val="21"/>
                <w:highlight w:val="none"/>
                <w:lang w:val="en-US" w:eastAsia="zh-CN"/>
              </w:rPr>
              <w:t>下浮20%执行，中选人在领取中选通知书前一次性向招标代理公司支付。</w:t>
            </w:r>
          </w:p>
        </w:tc>
      </w:tr>
      <w:tr w14:paraId="6FA5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81" w:type="dxa"/>
            <w:vAlign w:val="center"/>
          </w:tcPr>
          <w:p w14:paraId="044B2F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748" w:type="dxa"/>
            <w:vAlign w:val="center"/>
          </w:tcPr>
          <w:p w14:paraId="153A99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7130" w:type="dxa"/>
            <w:vAlign w:val="center"/>
          </w:tcPr>
          <w:p w14:paraId="0A180B2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本次比选最高限价为：</w:t>
            </w:r>
            <w:r>
              <w:rPr>
                <w:rFonts w:hint="eastAsia" w:ascii="宋体" w:hAnsi="宋体" w:eastAsia="宋体" w:cs="宋体"/>
                <w:color w:val="auto"/>
                <w:sz w:val="21"/>
                <w:szCs w:val="21"/>
                <w:highlight w:val="none"/>
                <w:u w:val="single"/>
                <w:lang w:val="en-US" w:eastAsia="zh-CN"/>
              </w:rPr>
              <w:t>314.52万元</w:t>
            </w:r>
            <w:r>
              <w:rPr>
                <w:rFonts w:hint="eastAsia" w:ascii="宋体" w:hAnsi="宋体" w:eastAsia="宋体" w:cs="宋体"/>
                <w:color w:val="auto"/>
                <w:sz w:val="21"/>
                <w:szCs w:val="21"/>
                <w:highlight w:val="none"/>
                <w:lang w:val="en-US" w:eastAsia="zh-CN"/>
              </w:rPr>
              <w:t>。（其中一标段：157.26万元，二标段157.26</w:t>
            </w:r>
          </w:p>
          <w:p w14:paraId="1DB64A5B">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比选申请人的报价不得超过比选最高限价，否则其比选申请将被否决。</w:t>
            </w:r>
          </w:p>
          <w:p w14:paraId="6B2556D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本项目申请人报价以暂定建安费</w:t>
            </w:r>
            <w:r>
              <w:rPr>
                <w:rFonts w:hint="eastAsia" w:ascii="宋体" w:hAnsi="宋体" w:eastAsia="宋体" w:cs="宋体"/>
                <w:color w:val="auto"/>
                <w:sz w:val="21"/>
                <w:szCs w:val="21"/>
                <w:highlight w:val="none"/>
                <w:lang w:val="en-US" w:eastAsia="zh-CN"/>
              </w:rPr>
              <w:t>9800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val="en-US" w:eastAsia="zh-CN"/>
              </w:rPr>
              <w:t>每标段</w:t>
            </w:r>
            <w:r>
              <w:rPr>
                <w:rFonts w:hint="eastAsia" w:ascii="宋体" w:hAnsi="宋体" w:eastAsia="宋体" w:cs="宋体"/>
                <w:color w:val="auto"/>
                <w:sz w:val="21"/>
                <w:szCs w:val="21"/>
                <w:highlight w:val="none"/>
              </w:rPr>
              <w:t>为计费基数，按《贵州省建设工程造价咨询服务费参考标准》的通知黔造价协【2021】10号：以</w:t>
            </w:r>
            <w:r>
              <w:rPr>
                <w:rFonts w:hint="eastAsia" w:ascii="宋体" w:hAnsi="宋体" w:eastAsia="宋体" w:cs="宋体"/>
                <w:color w:val="auto"/>
                <w:sz w:val="21"/>
                <w:szCs w:val="21"/>
                <w:highlight w:val="none"/>
                <w:lang w:val="en-US" w:eastAsia="zh-CN"/>
              </w:rPr>
              <w:t>工程量清单和招标控制价编制或审核（工程量清单计价）、建设项目实施阶段全过程造价控制、工程结算编制汇总</w:t>
            </w:r>
            <w:r>
              <w:rPr>
                <w:rFonts w:hint="eastAsia" w:ascii="宋体" w:hAnsi="宋体" w:eastAsia="宋体" w:cs="宋体"/>
                <w:color w:val="auto"/>
                <w:sz w:val="21"/>
                <w:szCs w:val="21"/>
                <w:highlight w:val="none"/>
              </w:rPr>
              <w:t>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《贵州省建设工程造价咨询服务费参考标准》的通知黔造价协【2021】10号</w:t>
            </w:r>
            <w:r>
              <w:rPr>
                <w:rFonts w:hint="eastAsia" w:ascii="宋体" w:hAnsi="宋体" w:eastAsia="宋体" w:cs="宋体"/>
                <w:color w:val="auto"/>
                <w:sz w:val="21"/>
                <w:szCs w:val="21"/>
                <w:highlight w:val="none"/>
                <w:lang w:val="en-US" w:eastAsia="zh-CN"/>
              </w:rPr>
              <w:t>若项目建设涉及建设项目实施阶段全过程造价控制，工程结算编制不再收取基础费用，相应的效益费按文件规定的费率打六折执行）</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每标段按7</w:t>
            </w:r>
            <w:r>
              <w:rPr>
                <w:rFonts w:hint="eastAsia" w:ascii="宋体" w:hAnsi="宋体" w:eastAsia="宋体" w:cs="宋体"/>
                <w:color w:val="auto"/>
                <w:sz w:val="21"/>
                <w:szCs w:val="21"/>
                <w:highlight w:val="none"/>
              </w:rPr>
              <w:t>折</w:t>
            </w:r>
            <w:r>
              <w:rPr>
                <w:rFonts w:hint="eastAsia" w:ascii="宋体" w:hAnsi="宋体" w:eastAsia="宋体" w:cs="宋体"/>
                <w:color w:val="auto"/>
                <w:sz w:val="21"/>
                <w:szCs w:val="21"/>
                <w:highlight w:val="none"/>
                <w:lang w:val="en-US" w:eastAsia="zh-CN"/>
              </w:rPr>
              <w:t>计算</w:t>
            </w:r>
            <w:r>
              <w:rPr>
                <w:rFonts w:hint="eastAsia" w:ascii="宋体" w:hAnsi="宋体" w:eastAsia="宋体" w:cs="宋体"/>
                <w:color w:val="auto"/>
                <w:sz w:val="21"/>
                <w:szCs w:val="21"/>
                <w:highlight w:val="none"/>
              </w:rPr>
              <w:t>，基数</w:t>
            </w:r>
            <w:r>
              <w:rPr>
                <w:rFonts w:hint="eastAsia" w:ascii="宋体" w:hAnsi="宋体" w:eastAsia="宋体" w:cs="宋体"/>
                <w:color w:val="auto"/>
                <w:sz w:val="21"/>
                <w:szCs w:val="21"/>
                <w:highlight w:val="none"/>
                <w:lang w:val="en-US" w:eastAsia="zh-CN"/>
              </w:rPr>
              <w:t>224.655</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157.26</w:t>
            </w:r>
            <w:r>
              <w:rPr>
                <w:rFonts w:hint="eastAsia" w:ascii="宋体" w:hAnsi="宋体" w:eastAsia="宋体" w:cs="宋体"/>
                <w:color w:val="auto"/>
                <w:sz w:val="21"/>
                <w:szCs w:val="21"/>
                <w:highlight w:val="none"/>
              </w:rPr>
              <w:t>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申请人</w:t>
            </w:r>
            <w:r>
              <w:rPr>
                <w:rFonts w:hint="eastAsia" w:ascii="宋体" w:hAnsi="宋体" w:eastAsia="宋体" w:cs="宋体"/>
                <w:color w:val="auto"/>
                <w:sz w:val="21"/>
                <w:szCs w:val="21"/>
                <w:highlight w:val="none"/>
              </w:rPr>
              <w:t>总报价不得超过最高限价，否则由评标委员会作否决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处理</w:t>
            </w:r>
            <w:r>
              <w:rPr>
                <w:rFonts w:hint="eastAsia" w:ascii="宋体" w:hAnsi="宋体" w:eastAsia="宋体" w:cs="宋体"/>
                <w:color w:val="auto"/>
                <w:sz w:val="21"/>
                <w:szCs w:val="21"/>
                <w:highlight w:val="none"/>
                <w:lang w:eastAsia="zh-CN"/>
              </w:rPr>
              <w:t>。</w:t>
            </w:r>
          </w:p>
        </w:tc>
      </w:tr>
      <w:tr w14:paraId="6F9F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681" w:type="dxa"/>
            <w:vAlign w:val="center"/>
          </w:tcPr>
          <w:p w14:paraId="3248E7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748" w:type="dxa"/>
            <w:vAlign w:val="center"/>
          </w:tcPr>
          <w:p w14:paraId="0973B5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w:t>
            </w:r>
          </w:p>
          <w:p w14:paraId="490493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文件格式</w:t>
            </w:r>
          </w:p>
        </w:tc>
        <w:tc>
          <w:tcPr>
            <w:tcW w:w="7130" w:type="dxa"/>
            <w:vAlign w:val="center"/>
          </w:tcPr>
          <w:p w14:paraId="21BFF6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（1）比选申请人不得对比选文件格式中的内容进行删减或修改。</w:t>
            </w:r>
          </w:p>
          <w:p w14:paraId="6C4CFF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比选申请人可以在格式内容之外另行说明和增加相关内容，作为比选申请文件的组成部分。另行说明或自行增加的内容、以及按比选文件格式在空格（下划线）由比选申请人填写的内容，不得与比选文件的强制性审查标准和禁止性规定相抵触。</w:t>
            </w:r>
          </w:p>
          <w:p w14:paraId="4F6749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（3）按比选文件格式在空格（下划线）由比选申请人填写的内容，确实没有需要填写的，可以在空格中用“/”标示，也可以不填（空白）。</w:t>
            </w:r>
          </w:p>
          <w:p w14:paraId="23266F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（4）比选申请文件应对比选文件提出的所有实质性要求和条件作出实质性响应，并且实质性响应的内容不得互相矛盾。</w:t>
            </w:r>
          </w:p>
          <w:p w14:paraId="73DABC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（5）比选申请文件应内容完整，字迹清晰可辨。比选申请文件（包括所附证明）字迹或印章模糊导致无法确认关键技术方案、关键工期、关键工程质量保证措施、投标价格的，应作废标处理。</w:t>
            </w:r>
          </w:p>
          <w:p w14:paraId="3585B3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（6）比选申请文件所附证明应内容完整并清晰可辨。所附证明内容不完整或字迹、印章模糊的，评选委员会应要求比选申请人提供原件核验。</w:t>
            </w:r>
          </w:p>
        </w:tc>
      </w:tr>
      <w:tr w14:paraId="3550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trPr>
        <w:tc>
          <w:tcPr>
            <w:tcW w:w="681" w:type="dxa"/>
            <w:vAlign w:val="center"/>
          </w:tcPr>
          <w:p w14:paraId="149FAC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748" w:type="dxa"/>
            <w:vAlign w:val="center"/>
          </w:tcPr>
          <w:p w14:paraId="36AD7C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w:t>
            </w:r>
          </w:p>
        </w:tc>
        <w:tc>
          <w:tcPr>
            <w:tcW w:w="7130" w:type="dxa"/>
            <w:vAlign w:val="center"/>
          </w:tcPr>
          <w:p w14:paraId="6C8299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（1）所有要求授权委托人签字的地方都应用不褪色的墨水或签字笔由本人亲笔手写签字（包括姓和名），不得用盖章（如签名章、签字章等）代替，也不得由他人代签。</w:t>
            </w:r>
          </w:p>
          <w:p w14:paraId="32B46F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（2）所有要求比选申请人盖章的地方都应加盖比选申请人单位（法定名称）章，不得使用专用印章（如经济合同章、投标专用章等）或下属单位印章代替，否则视为无效标书。</w:t>
            </w:r>
          </w:p>
          <w:p w14:paraId="4CC714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比选申请文件格式中要求比选申请人“法定代表人或其委托代理人”签字或盖章的，如法定代表人亲自参加比选而不委托代理人参加比选的，由法定代表人签字或盖章；法定代表人授权委托代理人参加比选的，由委托代理人签字，也可由法定代表人签字或盖章。</w:t>
            </w:r>
          </w:p>
          <w:p w14:paraId="4612B5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（4）比选申请文件若有修改，修改处应由比选申请人法定代表人或其委托代理人签字或加盖单位章。</w:t>
            </w:r>
          </w:p>
          <w:p w14:paraId="60B002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（5）比选申请文件中提供的证明材料应加盖比选申请人单位（法定名称）章。</w:t>
            </w:r>
          </w:p>
        </w:tc>
      </w:tr>
      <w:tr w14:paraId="02FF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81" w:type="dxa"/>
            <w:vAlign w:val="center"/>
          </w:tcPr>
          <w:p w14:paraId="6BD60F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748" w:type="dxa"/>
            <w:vAlign w:val="center"/>
          </w:tcPr>
          <w:p w14:paraId="4FCDA2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w:t>
            </w:r>
          </w:p>
        </w:tc>
        <w:tc>
          <w:tcPr>
            <w:tcW w:w="7130" w:type="dxa"/>
            <w:vAlign w:val="center"/>
          </w:tcPr>
          <w:p w14:paraId="30102E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比选申请文件的正本和副本一律用A4复印纸（图、表及证件可以除外）编制和复制。正本和副本应采用粘贴方式左侧装订，不得采用活页夹等可随时拆换的方式装订，不得有零散页。比选申请文件应严格按照 “比选文件格式”中的目录次序装订；若同一册的内容较多，可装订成若干分册，并在封面标明次序及册数。</w:t>
            </w:r>
          </w:p>
          <w:p w14:paraId="639B03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比选申请文件中的证明、证件及附件等的复制件应集中紧附在相应正文内容后面，并尽量与前面正文部分的顺序相对应。</w:t>
            </w:r>
          </w:p>
        </w:tc>
      </w:tr>
      <w:tr w14:paraId="2C6E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681" w:type="dxa"/>
            <w:vAlign w:val="center"/>
          </w:tcPr>
          <w:p w14:paraId="29EF52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748" w:type="dxa"/>
            <w:vAlign w:val="center"/>
          </w:tcPr>
          <w:p w14:paraId="6E9F78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比选申请文件的包装和密封</w:t>
            </w:r>
          </w:p>
        </w:tc>
        <w:tc>
          <w:tcPr>
            <w:tcW w:w="7130" w:type="dxa"/>
            <w:vAlign w:val="center"/>
          </w:tcPr>
          <w:p w14:paraId="6182C5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比选申请文件的正本和副本应分开包装，正本一个包装，副本一个包装，当副本超过一份时，参选人可以每一份副本一个包装。</w:t>
            </w:r>
          </w:p>
          <w:p w14:paraId="0D8345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每一个包装都应在其封套的封口处加贴封条，并在封套的封口处加盖比选申请人单位章（鲜章）。</w:t>
            </w:r>
          </w:p>
          <w:p w14:paraId="241D34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电子文档单独密封，密封方式不限。</w:t>
            </w:r>
          </w:p>
        </w:tc>
      </w:tr>
      <w:tr w14:paraId="690E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81" w:type="dxa"/>
            <w:vAlign w:val="center"/>
          </w:tcPr>
          <w:p w14:paraId="4211FC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748" w:type="dxa"/>
            <w:vAlign w:val="center"/>
          </w:tcPr>
          <w:p w14:paraId="114E4B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封套上应载明的信息</w:t>
            </w:r>
          </w:p>
        </w:tc>
        <w:tc>
          <w:tcPr>
            <w:tcW w:w="7130" w:type="dxa"/>
            <w:vAlign w:val="center"/>
          </w:tcPr>
          <w:p w14:paraId="70D0D6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（项目名称）</w:t>
            </w:r>
          </w:p>
          <w:p w14:paraId="1C273B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比选申请人名称：</w:t>
            </w:r>
          </w:p>
          <w:p w14:paraId="640C28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比选申请书在＿年＿月＿日＿时 分前不得开启</w:t>
            </w:r>
          </w:p>
        </w:tc>
      </w:tr>
      <w:tr w14:paraId="4998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681" w:type="dxa"/>
            <w:vAlign w:val="center"/>
          </w:tcPr>
          <w:p w14:paraId="5256FE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748" w:type="dxa"/>
            <w:vAlign w:val="center"/>
          </w:tcPr>
          <w:p w14:paraId="25EAFC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低于成本</w:t>
            </w:r>
          </w:p>
        </w:tc>
        <w:tc>
          <w:tcPr>
            <w:tcW w:w="7130" w:type="dxa"/>
            <w:vAlign w:val="center"/>
          </w:tcPr>
          <w:p w14:paraId="3462BB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启动低于成本评审的具体标准：</w:t>
            </w:r>
          </w:p>
          <w:p w14:paraId="25C14F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比选报价金额与比选最高限价金额的比值（比值＝报价金额÷最高限价金额，四舍五入后保留两位小数）的百分数小于或等于</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0%，且与所有比选申请人（指在成本评审前未被否决的比选申请人）的报价金额算术平均值的比值（四舍五入后保留两位小数）的百分数小于或等于</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5%。</w:t>
            </w:r>
          </w:p>
        </w:tc>
      </w:tr>
      <w:tr w14:paraId="1B00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81" w:type="dxa"/>
            <w:vAlign w:val="center"/>
          </w:tcPr>
          <w:p w14:paraId="6C3302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748" w:type="dxa"/>
            <w:vAlign w:val="center"/>
          </w:tcPr>
          <w:p w14:paraId="6F3FA2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130" w:type="dxa"/>
            <w:vAlign w:val="center"/>
          </w:tcPr>
          <w:p w14:paraId="1E41EF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不组织。比选申请人须自行踏勘。</w:t>
            </w:r>
          </w:p>
        </w:tc>
      </w:tr>
      <w:tr w14:paraId="2BCB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81" w:type="dxa"/>
            <w:vAlign w:val="center"/>
          </w:tcPr>
          <w:p w14:paraId="6DF970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748" w:type="dxa"/>
            <w:vAlign w:val="center"/>
          </w:tcPr>
          <w:p w14:paraId="52E184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评选委员会</w:t>
            </w:r>
          </w:p>
          <w:p w14:paraId="7FAD58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组建</w:t>
            </w:r>
          </w:p>
        </w:tc>
        <w:tc>
          <w:tcPr>
            <w:tcW w:w="7130" w:type="dxa"/>
            <w:vAlign w:val="center"/>
          </w:tcPr>
          <w:p w14:paraId="267998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本项目的评选委员会由比选人</w:t>
            </w:r>
            <w:r>
              <w:rPr>
                <w:rFonts w:hint="eastAsia" w:ascii="宋体" w:hAnsi="宋体" w:eastAsia="宋体" w:cs="宋体"/>
                <w:color w:val="auto"/>
                <w:sz w:val="21"/>
                <w:szCs w:val="21"/>
                <w:highlight w:val="none"/>
                <w:lang w:val="en-US" w:eastAsia="zh-CN"/>
              </w:rPr>
              <w:t>依法</w:t>
            </w:r>
            <w:r>
              <w:rPr>
                <w:rFonts w:hint="eastAsia" w:ascii="宋体" w:hAnsi="宋体" w:eastAsia="宋体" w:cs="宋体"/>
                <w:color w:val="auto"/>
                <w:sz w:val="21"/>
                <w:szCs w:val="21"/>
                <w:highlight w:val="none"/>
              </w:rPr>
              <w:t>组建。</w:t>
            </w:r>
          </w:p>
          <w:p w14:paraId="6ADC69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评选委员会组成：3人及以上单数。</w:t>
            </w:r>
          </w:p>
        </w:tc>
      </w:tr>
    </w:tbl>
    <w:p w14:paraId="68956EDA">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BBF47"/>
    <w:multiLevelType w:val="singleLevel"/>
    <w:tmpl w:val="C5CBBF4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F4B17"/>
    <w:rsid w:val="215F4B17"/>
    <w:rsid w:val="353E3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黑体" w:hAnsi="Arial" w:eastAsia="黑体"/>
      <w:bCs/>
      <w:sz w:val="36"/>
      <w:szCs w:val="32"/>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2026-04-18T09:44:00Z</dcterms:created>
  <dc:creator>罗</dc:creator>
  <cp:lastModifiedBy>罗</cp:lastModifiedBy>
  <dcterms:modified xsi:type="dcterms:W3CDTF">2026-04-18T09:45:21Z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C89D68C494074E1E9956C8A338143456_11</vt:lpwstr>
  </property>
  <property fmtid="{D5CDD505-2E9C-101B-9397-08002B2CF9AE}" pid="4" name="KSOTemplateDocerSaveRecord">
    <vt:lpwstr>eyJoZGlkIjoiOWZjMTYyZWJhOTdkZGExNGE1NTYwNDQ1OTNiYjZhYTgiLCJ1c2VySWQiOiIxNjIyNDM3NDUwIn0=</vt:lpwstr>
  </property>
</Properties>
</file>