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14:paraId="183D20CB">
      <w:pPr>
        <w:pStyle w:val="22"/>
      </w:pPr>
    </w:p>
    <w:p w14:paraId="66345BEA">
      <w:pPr>
        <w:rPr>
          <w:rFonts w:ascii="宋体" w:hAnsi="宋体" w:eastAsia="宋体" w:cs="宋体"/>
        </w:rPr>
      </w:pPr>
    </w:p>
    <w:p w14:paraId="62E9BF0B">
      <w:pPr>
        <w:rPr>
          <w:rFonts w:ascii="宋体" w:hAnsi="宋体" w:eastAsia="宋体" w:cs="宋体"/>
        </w:rPr>
      </w:pPr>
    </w:p>
    <w:p w14:paraId="49A8CFA9">
      <w:pPr>
        <w:jc w:val="center"/>
        <w:outlineLvl w:val="0"/>
        <w:rPr>
          <w:rFonts w:hint="eastAsia" w:ascii="宋体" w:hAnsi="宋体" w:eastAsia="宋体" w:cs="宋体"/>
          <w:b/>
          <w:bCs/>
          <w:spacing w:val="80"/>
          <w:sz w:val="100"/>
          <w:szCs w:val="112"/>
          <w:lang w:eastAsia="zh-CN"/>
        </w:rPr>
      </w:pPr>
      <w:r>
        <w:rPr>
          <w:rFonts w:hint="eastAsia" w:ascii="宋体" w:hAnsi="宋体" w:eastAsia="宋体" w:cs="宋体"/>
          <w:b/>
          <w:bCs/>
          <w:spacing w:val="80"/>
          <w:sz w:val="100"/>
          <w:szCs w:val="112"/>
          <w:lang w:eastAsia="zh-CN"/>
        </w:rPr>
        <w:t>政府采购</w:t>
      </w:r>
    </w:p>
    <w:p w14:paraId="144DA865">
      <w:pPr>
        <w:jc w:val="center"/>
        <w:outlineLvl w:val="0"/>
        <w:rPr>
          <w:rFonts w:ascii="宋体" w:hAnsi="宋体" w:eastAsia="宋体" w:cs="宋体"/>
          <w:spacing w:val="80"/>
          <w:sz w:val="100"/>
          <w:szCs w:val="112"/>
        </w:rPr>
      </w:pPr>
      <w:bookmarkStart w:id="0" w:name="_Toc9041"/>
      <w:bookmarkStart w:id="1" w:name="_Toc9266"/>
      <w:bookmarkStart w:id="2" w:name="_Toc14400"/>
      <w:bookmarkStart w:id="3" w:name="_Toc22706"/>
      <w:bookmarkStart w:id="4" w:name="_Toc20997"/>
      <w:bookmarkStart w:id="5" w:name="_Toc19927"/>
      <w:bookmarkStart w:id="6" w:name="_Toc21413"/>
      <w:bookmarkStart w:id="7" w:name="_Toc30147"/>
      <w:r>
        <w:rPr>
          <w:rFonts w:hint="eastAsia" w:ascii="宋体" w:hAnsi="宋体" w:eastAsia="宋体" w:cs="宋体"/>
          <w:b/>
          <w:bCs/>
          <w:spacing w:val="80"/>
          <w:sz w:val="100"/>
          <w:szCs w:val="112"/>
        </w:rPr>
        <w:t>竞争性谈判文件</w:t>
      </w:r>
      <w:bookmarkEnd w:id="0"/>
      <w:bookmarkEnd w:id="1"/>
      <w:bookmarkEnd w:id="2"/>
      <w:bookmarkEnd w:id="3"/>
      <w:bookmarkEnd w:id="4"/>
      <w:bookmarkEnd w:id="5"/>
      <w:bookmarkEnd w:id="6"/>
      <w:bookmarkEnd w:id="7"/>
    </w:p>
    <w:p w14:paraId="6607F13C">
      <w:pPr>
        <w:spacing w:line="700" w:lineRule="exact"/>
        <w:ind w:firstLine="840" w:firstLineChars="300"/>
        <w:rPr>
          <w:rFonts w:ascii="宋体" w:hAnsi="宋体" w:eastAsia="宋体" w:cs="宋体"/>
          <w:szCs w:val="28"/>
        </w:rPr>
      </w:pPr>
    </w:p>
    <w:p w14:paraId="247D21DB">
      <w:pPr>
        <w:ind w:firstLine="840" w:firstLineChars="300"/>
        <w:rPr>
          <w:rFonts w:ascii="宋体" w:hAnsi="宋体" w:cs="宋体"/>
        </w:rPr>
      </w:pPr>
    </w:p>
    <w:p w14:paraId="5AD74EAB">
      <w:pPr>
        <w:spacing w:line="700" w:lineRule="exact"/>
        <w:ind w:firstLine="840" w:firstLineChars="300"/>
        <w:rPr>
          <w:rFonts w:ascii="宋体" w:hAnsi="宋体" w:eastAsia="宋体" w:cs="宋体"/>
          <w:szCs w:val="28"/>
        </w:rPr>
      </w:pPr>
    </w:p>
    <w:p w14:paraId="663C6692">
      <w:pPr>
        <w:pStyle w:val="2"/>
        <w:jc w:val="distribute"/>
      </w:pPr>
    </w:p>
    <w:p w14:paraId="0DD26659">
      <w:pPr>
        <w:spacing w:line="700" w:lineRule="exact"/>
        <w:ind w:firstLine="643" w:firstLineChars="200"/>
        <w:rPr>
          <w:rFonts w:hint="default" w:ascii="宋体" w:hAnsi="宋体" w:eastAsia="宋体" w:cs="宋体"/>
          <w:b/>
          <w:bCs/>
          <w:sz w:val="32"/>
          <w:szCs w:val="32"/>
          <w:u w:val="single"/>
          <w:lang w:val="en-US" w:eastAsia="zh-CN"/>
        </w:rPr>
      </w:pPr>
      <w:r>
        <w:rPr>
          <w:rFonts w:hint="eastAsia" w:ascii="宋体" w:hAnsi="宋体" w:eastAsia="宋体" w:cs="宋体"/>
          <w:b/>
          <w:bCs/>
          <w:sz w:val="32"/>
          <w:szCs w:val="32"/>
          <w:u w:val="single"/>
        </w:rPr>
        <w:t>项目编号：CQZH2</w:t>
      </w:r>
      <w:r>
        <w:rPr>
          <w:rFonts w:hint="eastAsia" w:ascii="宋体" w:hAnsi="宋体" w:eastAsia="宋体" w:cs="宋体"/>
          <w:b/>
          <w:bCs/>
          <w:sz w:val="32"/>
          <w:szCs w:val="32"/>
          <w:u w:val="single"/>
          <w:lang w:val="en-US" w:eastAsia="zh-CN"/>
        </w:rPr>
        <w:t>5096</w:t>
      </w:r>
    </w:p>
    <w:p w14:paraId="697C8293">
      <w:pPr>
        <w:spacing w:line="700" w:lineRule="exact"/>
        <w:ind w:firstLine="643" w:firstLineChars="200"/>
        <w:rPr>
          <w:rFonts w:hint="eastAsia" w:ascii="宋体" w:hAnsi="宋体" w:eastAsia="宋体" w:cs="宋体"/>
          <w:b/>
          <w:bCs/>
          <w:sz w:val="32"/>
          <w:szCs w:val="32"/>
          <w:u w:val="single"/>
          <w:lang w:eastAsia="zh-CN"/>
        </w:rPr>
      </w:pPr>
      <w:r>
        <w:rPr>
          <w:rFonts w:hint="eastAsia" w:ascii="宋体" w:hAnsi="宋体" w:eastAsia="宋体" w:cs="宋体"/>
          <w:b/>
          <w:bCs/>
          <w:sz w:val="32"/>
          <w:szCs w:val="32"/>
          <w:u w:val="single"/>
        </w:rPr>
        <w:t>项目名称：</w:t>
      </w:r>
      <w:r>
        <w:rPr>
          <w:rFonts w:hint="eastAsia" w:ascii="宋体" w:hAnsi="宋体" w:eastAsia="宋体" w:cs="宋体"/>
          <w:b/>
          <w:bCs/>
          <w:sz w:val="32"/>
          <w:szCs w:val="32"/>
          <w:u w:val="single"/>
          <w:lang w:eastAsia="zh-CN"/>
        </w:rPr>
        <w:t>体育场屋顶彩钢瓦更换、钢结构局部更换及刷漆项目</w:t>
      </w:r>
    </w:p>
    <w:p w14:paraId="66A75217">
      <w:pPr>
        <w:spacing w:line="700" w:lineRule="exact"/>
        <w:ind w:firstLine="643" w:firstLineChars="200"/>
        <w:rPr>
          <w:rFonts w:ascii="宋体" w:hAnsi="宋体" w:eastAsia="宋体" w:cs="宋体"/>
          <w:b/>
          <w:bCs/>
          <w:sz w:val="32"/>
          <w:szCs w:val="32"/>
          <w:u w:val="single"/>
        </w:rPr>
      </w:pPr>
      <w:r>
        <w:rPr>
          <w:rFonts w:hint="eastAsia" w:ascii="宋体" w:hAnsi="宋体" w:eastAsia="宋体" w:cs="宋体"/>
          <w:b/>
          <w:bCs/>
          <w:sz w:val="32"/>
          <w:szCs w:val="32"/>
          <w:u w:val="single"/>
        </w:rPr>
        <w:t>采</w:t>
      </w:r>
      <w:r>
        <w:rPr>
          <w:rFonts w:hint="eastAsia" w:ascii="宋体" w:hAnsi="宋体" w:eastAsia="宋体" w:cs="宋体"/>
          <w:b/>
          <w:bCs/>
          <w:sz w:val="32"/>
          <w:szCs w:val="32"/>
          <w:u w:val="single"/>
          <w:lang w:val="en-US" w:eastAsia="zh-CN"/>
        </w:rPr>
        <w:t xml:space="preserve"> </w:t>
      </w:r>
      <w:r>
        <w:rPr>
          <w:rFonts w:hint="eastAsia" w:ascii="宋体" w:hAnsi="宋体" w:eastAsia="宋体" w:cs="宋体"/>
          <w:b/>
          <w:bCs/>
          <w:sz w:val="32"/>
          <w:szCs w:val="32"/>
          <w:u w:val="single"/>
        </w:rPr>
        <w:t>购</w:t>
      </w:r>
      <w:r>
        <w:rPr>
          <w:rFonts w:hint="eastAsia" w:ascii="宋体" w:hAnsi="宋体" w:eastAsia="宋体" w:cs="宋体"/>
          <w:b/>
          <w:bCs/>
          <w:sz w:val="32"/>
          <w:szCs w:val="32"/>
          <w:u w:val="single"/>
          <w:lang w:val="en-US" w:eastAsia="zh-CN"/>
        </w:rPr>
        <w:t xml:space="preserve"> </w:t>
      </w:r>
      <w:r>
        <w:rPr>
          <w:rFonts w:hint="eastAsia" w:ascii="宋体" w:hAnsi="宋体" w:eastAsia="宋体" w:cs="宋体"/>
          <w:b/>
          <w:bCs/>
          <w:sz w:val="32"/>
          <w:szCs w:val="32"/>
          <w:u w:val="single"/>
        </w:rPr>
        <w:t>人：重庆市荣昌区文化和旅游发展委员会</w:t>
      </w:r>
    </w:p>
    <w:p w14:paraId="012581E9">
      <w:pPr>
        <w:spacing w:line="700" w:lineRule="exact"/>
        <w:ind w:firstLine="643" w:firstLineChars="200"/>
        <w:rPr>
          <w:rFonts w:ascii="宋体" w:hAnsi="宋体" w:eastAsia="宋体" w:cs="宋体"/>
          <w:sz w:val="32"/>
          <w:szCs w:val="32"/>
        </w:rPr>
      </w:pPr>
      <w:r>
        <w:rPr>
          <w:rFonts w:hint="eastAsia" w:ascii="宋体" w:hAnsi="宋体" w:eastAsia="宋体" w:cs="宋体"/>
          <w:b/>
          <w:bCs/>
          <w:sz w:val="32"/>
          <w:szCs w:val="32"/>
          <w:u w:val="single"/>
        </w:rPr>
        <w:t>代理机构：重庆展辉招标代理有限公司</w:t>
      </w:r>
    </w:p>
    <w:p w14:paraId="45D28AEF">
      <w:pPr>
        <w:spacing w:line="720" w:lineRule="exact"/>
        <w:rPr>
          <w:rFonts w:ascii="宋体" w:hAnsi="宋体" w:eastAsia="宋体" w:cs="宋体"/>
          <w:sz w:val="48"/>
          <w:szCs w:val="32"/>
        </w:rPr>
      </w:pPr>
    </w:p>
    <w:p w14:paraId="70D0AC5B">
      <w:pPr>
        <w:spacing w:line="420" w:lineRule="exact"/>
        <w:jc w:val="center"/>
        <w:outlineLvl w:val="9"/>
        <w:rPr>
          <w:rFonts w:ascii="宋体" w:hAnsi="宋体" w:eastAsia="宋体" w:cs="宋体"/>
          <w:b/>
          <w:bCs/>
          <w:szCs w:val="28"/>
        </w:rPr>
      </w:pPr>
      <w:bookmarkStart w:id="8" w:name="_Toc4256"/>
      <w:bookmarkStart w:id="9" w:name="_Toc2956"/>
      <w:bookmarkStart w:id="10" w:name="_Toc27136"/>
      <w:bookmarkStart w:id="11" w:name="_Toc18387"/>
      <w:bookmarkStart w:id="12" w:name="_Toc5510"/>
      <w:bookmarkStart w:id="13" w:name="_Toc31448"/>
      <w:bookmarkStart w:id="14" w:name="_Toc11758"/>
    </w:p>
    <w:p w14:paraId="3111A390">
      <w:pPr>
        <w:spacing w:line="420" w:lineRule="exact"/>
        <w:ind w:firstLine="3534" w:firstLineChars="1100"/>
        <w:jc w:val="both"/>
        <w:outlineLvl w:val="0"/>
        <w:rPr>
          <w:rFonts w:ascii="宋体" w:hAnsi="宋体" w:eastAsia="宋体" w:cs="宋体"/>
          <w:b/>
          <w:bCs/>
          <w:sz w:val="32"/>
          <w:szCs w:val="32"/>
          <w:u w:val="single"/>
        </w:rPr>
      </w:pPr>
      <w:bookmarkStart w:id="15" w:name="_Toc22686"/>
      <w:r>
        <w:rPr>
          <w:rFonts w:hint="eastAsia" w:ascii="宋体" w:hAnsi="宋体" w:eastAsia="宋体" w:cs="宋体"/>
          <w:b/>
          <w:bCs/>
          <w:sz w:val="32"/>
          <w:szCs w:val="32"/>
          <w:u w:val="single"/>
          <w:lang w:val="en-US" w:eastAsia="zh-CN"/>
        </w:rPr>
        <w:t>2025</w:t>
      </w:r>
      <w:r>
        <w:rPr>
          <w:rFonts w:hint="eastAsia" w:ascii="宋体" w:hAnsi="宋体" w:eastAsia="宋体" w:cs="宋体"/>
          <w:b/>
          <w:bCs/>
          <w:sz w:val="32"/>
          <w:szCs w:val="32"/>
          <w:u w:val="single"/>
        </w:rPr>
        <w:t>年</w:t>
      </w:r>
      <w:r>
        <w:rPr>
          <w:rFonts w:hint="eastAsia" w:ascii="宋体" w:hAnsi="宋体" w:eastAsia="宋体" w:cs="宋体"/>
          <w:b/>
          <w:bCs/>
          <w:sz w:val="32"/>
          <w:szCs w:val="32"/>
          <w:u w:val="single"/>
          <w:lang w:val="en-US" w:eastAsia="zh-CN"/>
        </w:rPr>
        <w:t>11</w:t>
      </w:r>
      <w:r>
        <w:rPr>
          <w:rFonts w:hint="eastAsia" w:ascii="宋体" w:hAnsi="宋体" w:eastAsia="宋体" w:cs="宋体"/>
          <w:b/>
          <w:bCs/>
          <w:sz w:val="32"/>
          <w:szCs w:val="32"/>
          <w:u w:val="single"/>
        </w:rPr>
        <w:t>月</w:t>
      </w:r>
      <w:bookmarkEnd w:id="8"/>
      <w:bookmarkEnd w:id="9"/>
      <w:bookmarkEnd w:id="10"/>
      <w:bookmarkEnd w:id="11"/>
      <w:bookmarkEnd w:id="12"/>
      <w:bookmarkEnd w:id="13"/>
      <w:bookmarkEnd w:id="14"/>
      <w:bookmarkEnd w:id="15"/>
    </w:p>
    <w:p w14:paraId="67FB82DF">
      <w:pPr>
        <w:jc w:val="center"/>
        <w:rPr>
          <w:rFonts w:ascii="宋体" w:hAnsi="宋体" w:eastAsia="宋体" w:cs="宋体"/>
          <w:sz w:val="44"/>
          <w:szCs w:val="28"/>
        </w:rPr>
      </w:pPr>
    </w:p>
    <w:p w14:paraId="088A1540">
      <w:pPr>
        <w:jc w:val="center"/>
        <w:rPr>
          <w:rFonts w:ascii="宋体" w:hAnsi="宋体" w:eastAsia="宋体" w:cs="宋体"/>
          <w:sz w:val="44"/>
          <w:szCs w:val="28"/>
        </w:rPr>
        <w:sectPr>
          <w:headerReference r:id="rId3" w:type="default"/>
          <w:footerReference r:id="rId4" w:type="default"/>
          <w:pgSz w:w="11915" w:h="16840"/>
          <w:pgMar w:top="1134" w:right="1134" w:bottom="1134" w:left="1134" w:header="964" w:footer="992" w:gutter="0"/>
          <w:pgNumType w:fmt="decimal" w:start="1"/>
          <w:cols w:space="720" w:num="1"/>
          <w:docGrid w:type="lines" w:linePitch="393" w:charSpace="0"/>
        </w:sectPr>
      </w:pPr>
    </w:p>
    <w:p w14:paraId="5D321060">
      <w:pPr>
        <w:jc w:val="center"/>
        <w:outlineLvl w:val="0"/>
        <w:rPr>
          <w:rFonts w:ascii="宋体" w:hAnsi="宋体" w:eastAsia="宋体" w:cs="宋体"/>
          <w:sz w:val="32"/>
          <w:szCs w:val="32"/>
        </w:rPr>
      </w:pPr>
      <w:bookmarkStart w:id="16" w:name="_Toc12575"/>
      <w:bookmarkStart w:id="17" w:name="_Toc14504"/>
      <w:bookmarkStart w:id="18" w:name="_Toc6880"/>
      <w:bookmarkStart w:id="19" w:name="_Toc13165"/>
      <w:r>
        <w:rPr>
          <w:rFonts w:hint="eastAsia" w:ascii="宋体" w:hAnsi="宋体" w:eastAsia="宋体" w:cs="宋体"/>
          <w:b/>
          <w:bCs/>
          <w:sz w:val="32"/>
          <w:szCs w:val="32"/>
        </w:rPr>
        <w:t>目  录</w:t>
      </w:r>
      <w:bookmarkEnd w:id="16"/>
      <w:bookmarkEnd w:id="17"/>
      <w:bookmarkEnd w:id="18"/>
      <w:bookmarkEnd w:id="19"/>
    </w:p>
    <w:p w14:paraId="74129CE1">
      <w:pPr>
        <w:spacing w:line="400" w:lineRule="exact"/>
        <w:jc w:val="center"/>
        <w:rPr>
          <w:rFonts w:ascii="宋体" w:hAnsi="宋体" w:eastAsia="宋体" w:cs="宋体"/>
          <w:sz w:val="44"/>
          <w:szCs w:val="28"/>
        </w:rPr>
      </w:pPr>
    </w:p>
    <w:p w14:paraId="615A0EAF">
      <w:pPr>
        <w:pStyle w:val="37"/>
        <w:tabs>
          <w:tab w:val="right" w:leader="dot" w:pos="9647"/>
        </w:tabs>
      </w:pPr>
      <w:r>
        <w:rPr>
          <w:rFonts w:hint="eastAsia"/>
          <w:lang w:val="en-US" w:eastAsia="zh-CN"/>
        </w:rPr>
        <w:t xml:space="preserve">  </w:t>
      </w:r>
      <w:r>
        <w:fldChar w:fldCharType="begin"/>
      </w:r>
      <w:r>
        <w:instrText xml:space="preserve">TOC \o "1-4" \h \u </w:instrText>
      </w:r>
      <w:r>
        <w:fldChar w:fldCharType="separate"/>
      </w:r>
      <w:r>
        <w:rPr>
          <w:b/>
          <w:bCs/>
        </w:rPr>
        <w:fldChar w:fldCharType="begin"/>
      </w:r>
      <w:r>
        <w:rPr>
          <w:b/>
          <w:bCs/>
        </w:rPr>
        <w:instrText xml:space="preserve"> HYPERLINK \l _Toc25642 </w:instrText>
      </w:r>
      <w:r>
        <w:rPr>
          <w:b/>
          <w:bCs/>
        </w:rPr>
        <w:fldChar w:fldCharType="separate"/>
      </w:r>
      <w:r>
        <w:rPr>
          <w:rFonts w:hint="eastAsia" w:ascii="宋体" w:hAnsi="宋体" w:eastAsia="宋体" w:cs="宋体"/>
          <w:b/>
          <w:bCs w:val="0"/>
          <w:kern w:val="2"/>
          <w:sz w:val="28"/>
          <w:szCs w:val="30"/>
          <w:lang w:val="en-US" w:eastAsia="zh-CN" w:bidi="ar-SA"/>
        </w:rPr>
        <w:t>第一篇  竞争性谈判邀请书</w:t>
      </w:r>
      <w:r>
        <w:rPr>
          <w:b/>
          <w:bCs/>
        </w:rPr>
        <w:tab/>
      </w:r>
      <w:r>
        <w:rPr>
          <w:b/>
          <w:bCs/>
        </w:rPr>
        <w:fldChar w:fldCharType="begin"/>
      </w:r>
      <w:r>
        <w:rPr>
          <w:b/>
          <w:bCs/>
        </w:rPr>
        <w:instrText xml:space="preserve"> PAGEREF _Toc25642 \h </w:instrText>
      </w:r>
      <w:r>
        <w:rPr>
          <w:b/>
          <w:bCs/>
        </w:rPr>
        <w:fldChar w:fldCharType="separate"/>
      </w:r>
      <w:r>
        <w:rPr>
          <w:b/>
          <w:bCs/>
        </w:rPr>
        <w:t>3</w:t>
      </w:r>
      <w:r>
        <w:rPr>
          <w:b/>
          <w:bCs/>
        </w:rPr>
        <w:fldChar w:fldCharType="end"/>
      </w:r>
      <w:r>
        <w:rPr>
          <w:b/>
          <w:bCs/>
        </w:rPr>
        <w:fldChar w:fldCharType="end"/>
      </w:r>
    </w:p>
    <w:p w14:paraId="007F93C4">
      <w:pPr>
        <w:pStyle w:val="46"/>
        <w:tabs>
          <w:tab w:val="right" w:leader="dot" w:pos="9647"/>
        </w:tabs>
        <w:ind w:left="0" w:leftChars="0" w:firstLine="280" w:firstLineChars="100"/>
      </w:pPr>
      <w:r>
        <w:fldChar w:fldCharType="begin"/>
      </w:r>
      <w:r>
        <w:instrText xml:space="preserve"> HYPERLINK \l _Toc23947 </w:instrText>
      </w:r>
      <w:r>
        <w:fldChar w:fldCharType="separate"/>
      </w:r>
      <w:r>
        <w:rPr>
          <w:rFonts w:hint="eastAsia" w:ascii="宋体" w:hAnsi="宋体" w:eastAsia="宋体" w:cs="宋体"/>
          <w:b/>
          <w:bCs w:val="0"/>
          <w:szCs w:val="30"/>
        </w:rPr>
        <w:t>第</w:t>
      </w:r>
      <w:r>
        <w:rPr>
          <w:rFonts w:hint="eastAsia" w:ascii="宋体" w:hAnsi="宋体" w:eastAsia="宋体" w:cs="宋体"/>
          <w:b/>
          <w:bCs w:val="0"/>
          <w:szCs w:val="30"/>
          <w:lang w:eastAsia="zh-CN"/>
        </w:rPr>
        <w:t>二</w:t>
      </w:r>
      <w:r>
        <w:rPr>
          <w:rFonts w:hint="eastAsia" w:ascii="宋体" w:hAnsi="宋体" w:eastAsia="宋体" w:cs="宋体"/>
          <w:b/>
          <w:bCs w:val="0"/>
          <w:szCs w:val="30"/>
        </w:rPr>
        <w:t>篇  谈判项目信息及技术需求</w:t>
      </w:r>
      <w:r>
        <w:tab/>
      </w:r>
      <w:r>
        <w:fldChar w:fldCharType="begin"/>
      </w:r>
      <w:r>
        <w:instrText xml:space="preserve"> PAGEREF _Toc23947 \h </w:instrText>
      </w:r>
      <w:r>
        <w:fldChar w:fldCharType="separate"/>
      </w:r>
      <w:r>
        <w:t>5</w:t>
      </w:r>
      <w:r>
        <w:fldChar w:fldCharType="end"/>
      </w:r>
      <w:r>
        <w:fldChar w:fldCharType="end"/>
      </w:r>
    </w:p>
    <w:p w14:paraId="5450B8C1">
      <w:pPr>
        <w:pStyle w:val="46"/>
        <w:tabs>
          <w:tab w:val="right" w:leader="dot" w:pos="9647"/>
        </w:tabs>
        <w:ind w:left="0" w:leftChars="0" w:firstLine="281" w:firstLineChars="100"/>
        <w:rPr>
          <w:b/>
          <w:bCs/>
        </w:rPr>
      </w:pPr>
      <w:r>
        <w:rPr>
          <w:b/>
          <w:bCs/>
        </w:rPr>
        <w:fldChar w:fldCharType="begin"/>
      </w:r>
      <w:r>
        <w:rPr>
          <w:b/>
          <w:bCs/>
        </w:rPr>
        <w:instrText xml:space="preserve"> HYPERLINK \l _Toc11860 </w:instrText>
      </w:r>
      <w:r>
        <w:rPr>
          <w:b/>
          <w:bCs/>
        </w:rPr>
        <w:fldChar w:fldCharType="separate"/>
      </w:r>
      <w:r>
        <w:rPr>
          <w:rFonts w:hint="eastAsia" w:ascii="宋体" w:hAnsi="宋体" w:eastAsia="宋体" w:cs="宋体"/>
          <w:b/>
          <w:bCs/>
          <w:szCs w:val="36"/>
        </w:rPr>
        <w:t>第</w:t>
      </w:r>
      <w:r>
        <w:rPr>
          <w:rFonts w:hint="eastAsia" w:ascii="宋体" w:hAnsi="宋体" w:eastAsia="宋体" w:cs="宋体"/>
          <w:b/>
          <w:bCs/>
          <w:szCs w:val="36"/>
          <w:lang w:eastAsia="zh-CN"/>
        </w:rPr>
        <w:t>三</w:t>
      </w:r>
      <w:r>
        <w:rPr>
          <w:rFonts w:hint="eastAsia" w:ascii="宋体" w:hAnsi="宋体" w:eastAsia="宋体" w:cs="宋体"/>
          <w:b/>
          <w:bCs/>
          <w:szCs w:val="36"/>
        </w:rPr>
        <w:t>篇  谈判项目商务需求</w:t>
      </w:r>
      <w:r>
        <w:rPr>
          <w:b/>
          <w:bCs/>
        </w:rPr>
        <w:tab/>
      </w:r>
      <w:r>
        <w:rPr>
          <w:b/>
          <w:bCs/>
        </w:rPr>
        <w:fldChar w:fldCharType="begin"/>
      </w:r>
      <w:r>
        <w:rPr>
          <w:b/>
          <w:bCs/>
        </w:rPr>
        <w:instrText xml:space="preserve"> PAGEREF _Toc11860 \h </w:instrText>
      </w:r>
      <w:r>
        <w:rPr>
          <w:b/>
          <w:bCs/>
        </w:rPr>
        <w:fldChar w:fldCharType="separate"/>
      </w:r>
      <w:r>
        <w:rPr>
          <w:b/>
          <w:bCs/>
        </w:rPr>
        <w:t>6</w:t>
      </w:r>
      <w:r>
        <w:rPr>
          <w:b/>
          <w:bCs/>
        </w:rPr>
        <w:fldChar w:fldCharType="end"/>
      </w:r>
      <w:r>
        <w:rPr>
          <w:b/>
          <w:bCs/>
        </w:rPr>
        <w:fldChar w:fldCharType="end"/>
      </w:r>
    </w:p>
    <w:p w14:paraId="7DBC33B6">
      <w:pPr>
        <w:pStyle w:val="46"/>
        <w:tabs>
          <w:tab w:val="right" w:leader="dot" w:pos="9647"/>
        </w:tabs>
        <w:ind w:left="0" w:leftChars="0" w:firstLine="281" w:firstLineChars="100"/>
      </w:pPr>
      <w:r>
        <w:rPr>
          <w:b/>
          <w:bCs/>
        </w:rPr>
        <w:fldChar w:fldCharType="begin"/>
      </w:r>
      <w:r>
        <w:rPr>
          <w:b/>
          <w:bCs/>
        </w:rPr>
        <w:instrText xml:space="preserve"> HYPERLINK \l _Toc9716 </w:instrText>
      </w:r>
      <w:r>
        <w:rPr>
          <w:b/>
          <w:bCs/>
        </w:rPr>
        <w:fldChar w:fldCharType="separate"/>
      </w:r>
      <w:r>
        <w:rPr>
          <w:rFonts w:hint="eastAsia" w:ascii="宋体" w:hAnsi="宋体" w:eastAsia="宋体" w:cs="宋体"/>
          <w:b/>
          <w:bCs/>
          <w:szCs w:val="30"/>
        </w:rPr>
        <w:t>第四篇  采购程序、评定成交的标准、无效谈判及采购终止</w:t>
      </w:r>
      <w:r>
        <w:rPr>
          <w:b/>
          <w:bCs/>
        </w:rPr>
        <w:tab/>
      </w:r>
      <w:r>
        <w:rPr>
          <w:b/>
          <w:bCs/>
        </w:rPr>
        <w:fldChar w:fldCharType="begin"/>
      </w:r>
      <w:r>
        <w:rPr>
          <w:b/>
          <w:bCs/>
        </w:rPr>
        <w:instrText xml:space="preserve"> PAGEREF _Toc9716 \h </w:instrText>
      </w:r>
      <w:r>
        <w:rPr>
          <w:b/>
          <w:bCs/>
        </w:rPr>
        <w:fldChar w:fldCharType="separate"/>
      </w:r>
      <w:r>
        <w:rPr>
          <w:b/>
          <w:bCs/>
        </w:rPr>
        <w:t>8</w:t>
      </w:r>
      <w:r>
        <w:rPr>
          <w:b/>
          <w:bCs/>
        </w:rPr>
        <w:fldChar w:fldCharType="end"/>
      </w:r>
      <w:r>
        <w:rPr>
          <w:b/>
          <w:bCs/>
        </w:rPr>
        <w:fldChar w:fldCharType="end"/>
      </w:r>
    </w:p>
    <w:p w14:paraId="5E5AA673">
      <w:pPr>
        <w:pStyle w:val="37"/>
        <w:tabs>
          <w:tab w:val="right" w:leader="dot" w:pos="9647"/>
        </w:tabs>
      </w:pPr>
      <w:r>
        <w:rPr>
          <w:rFonts w:hint="eastAsia"/>
          <w:lang w:val="en-US" w:eastAsia="zh-CN"/>
        </w:rPr>
        <w:t xml:space="preserve">  </w:t>
      </w:r>
      <w:r>
        <w:fldChar w:fldCharType="begin"/>
      </w:r>
      <w:r>
        <w:instrText xml:space="preserve"> HYPERLINK \l _Toc14891 </w:instrText>
      </w:r>
      <w:r>
        <w:fldChar w:fldCharType="separate"/>
      </w:r>
      <w:r>
        <w:rPr>
          <w:rFonts w:hint="eastAsia" w:ascii="宋体" w:hAnsi="宋体" w:eastAsia="宋体" w:cs="宋体"/>
          <w:b/>
          <w:bCs/>
          <w:kern w:val="2"/>
          <w:sz w:val="28"/>
          <w:szCs w:val="36"/>
          <w:lang w:val="en-US" w:eastAsia="zh-CN" w:bidi="ar-SA"/>
        </w:rPr>
        <w:t>第五篇  供应商须知</w:t>
      </w:r>
      <w:r>
        <w:tab/>
      </w:r>
      <w:r>
        <w:fldChar w:fldCharType="begin"/>
      </w:r>
      <w:r>
        <w:instrText xml:space="preserve"> PAGEREF _Toc14891 \h </w:instrText>
      </w:r>
      <w:r>
        <w:fldChar w:fldCharType="separate"/>
      </w:r>
      <w:r>
        <w:t>12</w:t>
      </w:r>
      <w:r>
        <w:fldChar w:fldCharType="end"/>
      </w:r>
      <w:r>
        <w:fldChar w:fldCharType="end"/>
      </w:r>
    </w:p>
    <w:p w14:paraId="6E3DBDE4">
      <w:pPr>
        <w:pStyle w:val="46"/>
        <w:tabs>
          <w:tab w:val="right" w:leader="dot" w:pos="9647"/>
        </w:tabs>
        <w:ind w:left="0" w:leftChars="0" w:firstLine="281" w:firstLineChars="100"/>
        <w:rPr>
          <w:b/>
          <w:bCs/>
        </w:rPr>
      </w:pPr>
      <w:r>
        <w:rPr>
          <w:b/>
          <w:bCs/>
        </w:rPr>
        <w:fldChar w:fldCharType="begin"/>
      </w:r>
      <w:r>
        <w:rPr>
          <w:b/>
          <w:bCs/>
        </w:rPr>
        <w:instrText xml:space="preserve"> HYPERLINK \l _Toc27242 </w:instrText>
      </w:r>
      <w:r>
        <w:rPr>
          <w:b/>
          <w:bCs/>
        </w:rPr>
        <w:fldChar w:fldCharType="separate"/>
      </w:r>
      <w:r>
        <w:rPr>
          <w:rFonts w:hint="eastAsia" w:ascii="宋体" w:hAnsi="宋体" w:eastAsia="宋体" w:cs="宋体"/>
          <w:b/>
          <w:bCs/>
          <w:szCs w:val="36"/>
        </w:rPr>
        <w:t>第</w:t>
      </w:r>
      <w:r>
        <w:rPr>
          <w:rFonts w:hint="eastAsia" w:ascii="宋体" w:hAnsi="宋体" w:eastAsia="宋体" w:cs="宋体"/>
          <w:b/>
          <w:bCs/>
          <w:szCs w:val="36"/>
          <w:lang w:eastAsia="zh-CN"/>
        </w:rPr>
        <w:t>六</w:t>
      </w:r>
      <w:r>
        <w:rPr>
          <w:rFonts w:hint="eastAsia" w:ascii="宋体" w:hAnsi="宋体" w:eastAsia="宋体" w:cs="宋体"/>
          <w:b/>
          <w:bCs/>
          <w:szCs w:val="36"/>
        </w:rPr>
        <w:t>篇  合同草案条款</w:t>
      </w:r>
      <w:r>
        <w:rPr>
          <w:b/>
          <w:bCs/>
        </w:rPr>
        <w:tab/>
      </w:r>
      <w:r>
        <w:rPr>
          <w:b/>
          <w:bCs/>
        </w:rPr>
        <w:fldChar w:fldCharType="begin"/>
      </w:r>
      <w:r>
        <w:rPr>
          <w:b/>
          <w:bCs/>
        </w:rPr>
        <w:instrText xml:space="preserve"> PAGEREF _Toc27242 \h </w:instrText>
      </w:r>
      <w:r>
        <w:rPr>
          <w:b/>
          <w:bCs/>
        </w:rPr>
        <w:fldChar w:fldCharType="separate"/>
      </w:r>
      <w:r>
        <w:rPr>
          <w:b/>
          <w:bCs/>
        </w:rPr>
        <w:t>15</w:t>
      </w:r>
      <w:r>
        <w:rPr>
          <w:b/>
          <w:bCs/>
        </w:rPr>
        <w:fldChar w:fldCharType="end"/>
      </w:r>
      <w:r>
        <w:rPr>
          <w:b/>
          <w:bCs/>
        </w:rPr>
        <w:fldChar w:fldCharType="end"/>
      </w:r>
    </w:p>
    <w:p w14:paraId="0BB8E3C1">
      <w:pPr>
        <w:pStyle w:val="46"/>
        <w:tabs>
          <w:tab w:val="right" w:leader="dot" w:pos="9647"/>
        </w:tabs>
        <w:ind w:left="0" w:leftChars="0" w:firstLine="281" w:firstLineChars="100"/>
      </w:pPr>
      <w:r>
        <w:rPr>
          <w:b/>
          <w:bCs/>
        </w:rPr>
        <w:fldChar w:fldCharType="begin"/>
      </w:r>
      <w:r>
        <w:rPr>
          <w:b/>
          <w:bCs/>
        </w:rPr>
        <w:instrText xml:space="preserve"> HYPERLINK \l _Toc14020 </w:instrText>
      </w:r>
      <w:r>
        <w:rPr>
          <w:b/>
          <w:bCs/>
        </w:rPr>
        <w:fldChar w:fldCharType="separate"/>
      </w:r>
      <w:r>
        <w:rPr>
          <w:rFonts w:hint="eastAsia" w:ascii="宋体" w:hAnsi="宋体" w:eastAsia="宋体" w:cs="宋体"/>
          <w:b/>
          <w:bCs/>
          <w:szCs w:val="30"/>
        </w:rPr>
        <w:t>第</w:t>
      </w:r>
      <w:r>
        <w:rPr>
          <w:rFonts w:hint="eastAsia" w:ascii="宋体" w:hAnsi="宋体" w:eastAsia="宋体" w:cs="宋体"/>
          <w:b/>
          <w:bCs/>
          <w:szCs w:val="30"/>
          <w:lang w:eastAsia="zh-CN"/>
        </w:rPr>
        <w:t>七</w:t>
      </w:r>
      <w:r>
        <w:rPr>
          <w:rFonts w:hint="eastAsia" w:ascii="宋体" w:hAnsi="宋体" w:eastAsia="宋体" w:cs="宋体"/>
          <w:b/>
          <w:bCs/>
          <w:szCs w:val="30"/>
        </w:rPr>
        <w:t>篇  响应文件格式要求</w:t>
      </w:r>
      <w:r>
        <w:rPr>
          <w:b/>
          <w:bCs/>
        </w:rPr>
        <w:tab/>
      </w:r>
      <w:r>
        <w:rPr>
          <w:b/>
          <w:bCs/>
        </w:rPr>
        <w:fldChar w:fldCharType="begin"/>
      </w:r>
      <w:r>
        <w:rPr>
          <w:b/>
          <w:bCs/>
        </w:rPr>
        <w:instrText xml:space="preserve"> PAGEREF _Toc14020 \h </w:instrText>
      </w:r>
      <w:r>
        <w:rPr>
          <w:b/>
          <w:bCs/>
        </w:rPr>
        <w:fldChar w:fldCharType="separate"/>
      </w:r>
      <w:r>
        <w:rPr>
          <w:b/>
          <w:bCs/>
        </w:rPr>
        <w:t>32</w:t>
      </w:r>
      <w:r>
        <w:rPr>
          <w:b/>
          <w:bCs/>
        </w:rPr>
        <w:fldChar w:fldCharType="end"/>
      </w:r>
      <w:r>
        <w:rPr>
          <w:b/>
          <w:bCs/>
        </w:rPr>
        <w:fldChar w:fldCharType="end"/>
      </w:r>
    </w:p>
    <w:p w14:paraId="6BC9222E">
      <w:r>
        <w:fldChar w:fldCharType="end"/>
      </w:r>
    </w:p>
    <w:p w14:paraId="7AE74308"/>
    <w:p w14:paraId="43D1E940">
      <w:pPr>
        <w:rPr>
          <w:rFonts w:ascii="宋体" w:hAnsi="宋体" w:eastAsia="宋体" w:cs="宋体"/>
          <w:sz w:val="44"/>
          <w:szCs w:val="28"/>
        </w:rPr>
      </w:pPr>
    </w:p>
    <w:p w14:paraId="42795E6A">
      <w:pPr>
        <w:outlineLvl w:val="9"/>
      </w:pPr>
    </w:p>
    <w:p w14:paraId="1873E9DD">
      <w:pPr>
        <w:sectPr>
          <w:footerReference r:id="rId5" w:type="default"/>
          <w:pgSz w:w="11915" w:h="16840"/>
          <w:pgMar w:top="1134" w:right="1134" w:bottom="1134" w:left="1134" w:header="850" w:footer="850" w:gutter="0"/>
          <w:pgNumType w:fmt="decimal"/>
          <w:cols w:space="720" w:num="1"/>
          <w:docGrid w:type="lines" w:linePitch="393" w:charSpace="0"/>
        </w:sectPr>
      </w:pPr>
    </w:p>
    <w:p w14:paraId="469873E8">
      <w:pPr>
        <w:pStyle w:val="4"/>
        <w:spacing w:before="0" w:after="0" w:line="440" w:lineRule="exact"/>
        <w:jc w:val="center"/>
        <w:rPr>
          <w:rFonts w:ascii="宋体" w:hAnsi="宋体" w:eastAsia="宋体" w:cs="宋体"/>
          <w:sz w:val="36"/>
          <w:szCs w:val="30"/>
        </w:rPr>
      </w:pPr>
      <w:bookmarkStart w:id="20" w:name="_Toc19557"/>
      <w:bookmarkStart w:id="21" w:name="_Toc25642"/>
      <w:bookmarkStart w:id="22" w:name="_Toc6400"/>
      <w:bookmarkStart w:id="23" w:name="_Toc17642"/>
      <w:bookmarkStart w:id="24" w:name="_Toc10131"/>
      <w:r>
        <w:rPr>
          <w:rFonts w:hint="eastAsia" w:ascii="宋体" w:hAnsi="宋体" w:eastAsia="宋体" w:cs="宋体"/>
          <w:sz w:val="36"/>
          <w:szCs w:val="30"/>
        </w:rPr>
        <w:t>第一篇  竞争性谈判邀请书</w:t>
      </w:r>
      <w:bookmarkEnd w:id="20"/>
      <w:bookmarkEnd w:id="21"/>
      <w:bookmarkEnd w:id="22"/>
      <w:bookmarkEnd w:id="23"/>
      <w:bookmarkEnd w:id="24"/>
    </w:p>
    <w:p w14:paraId="648A47D4">
      <w:pPr>
        <w:spacing w:line="440" w:lineRule="exact"/>
        <w:ind w:firstLine="480" w:firstLineChars="200"/>
        <w:rPr>
          <w:rFonts w:ascii="宋体" w:hAnsi="宋体" w:eastAsia="宋体" w:cs="宋体"/>
          <w:szCs w:val="28"/>
        </w:rPr>
      </w:pPr>
      <w:r>
        <w:rPr>
          <w:rFonts w:hint="eastAsia" w:ascii="宋体" w:hAnsi="宋体" w:eastAsia="宋体" w:cs="宋体"/>
          <w:sz w:val="24"/>
          <w:szCs w:val="24"/>
        </w:rPr>
        <w:t>重庆展辉招标代理有限公司（以下简称：采购代理机构）接受重庆市荣昌区文化和旅游发展委员会的委托，对</w:t>
      </w:r>
      <w:r>
        <w:rPr>
          <w:rFonts w:hint="eastAsia" w:ascii="宋体" w:hAnsi="宋体" w:eastAsia="宋体" w:cs="宋体"/>
          <w:sz w:val="24"/>
          <w:szCs w:val="24"/>
          <w:lang w:eastAsia="zh-CN"/>
        </w:rPr>
        <w:t>体育场屋顶彩钢瓦更换、钢结构局部更换及刷漆项目</w:t>
      </w:r>
      <w:r>
        <w:rPr>
          <w:rFonts w:hint="eastAsia" w:ascii="宋体" w:hAnsi="宋体" w:eastAsia="宋体" w:cs="宋体"/>
          <w:sz w:val="24"/>
          <w:szCs w:val="24"/>
        </w:rPr>
        <w:t>进行竞争性谈判采购，欢迎有资格的供应商前来参加谈判。</w:t>
      </w:r>
    </w:p>
    <w:p w14:paraId="11C90F4B">
      <w:pPr>
        <w:pStyle w:val="5"/>
        <w:spacing w:before="0" w:after="0" w:line="440" w:lineRule="exact"/>
        <w:ind w:firstLine="482" w:firstLineChars="200"/>
        <w:rPr>
          <w:rFonts w:ascii="宋体" w:hAnsi="宋体" w:cs="宋体"/>
          <w:sz w:val="24"/>
          <w:szCs w:val="24"/>
        </w:rPr>
      </w:pPr>
      <w:bookmarkStart w:id="25" w:name="_Toc2861"/>
      <w:bookmarkStart w:id="26" w:name="_Toc7004"/>
      <w:bookmarkStart w:id="27" w:name="_Toc22063"/>
      <w:bookmarkStart w:id="28" w:name="_Toc3700"/>
      <w:bookmarkStart w:id="29" w:name="_Toc21954"/>
      <w:r>
        <w:rPr>
          <w:rFonts w:hint="eastAsia" w:ascii="宋体" w:hAnsi="宋体" w:cs="宋体"/>
          <w:sz w:val="24"/>
          <w:szCs w:val="24"/>
        </w:rPr>
        <w:t>一、竞争性谈判内容</w:t>
      </w:r>
      <w:bookmarkEnd w:id="25"/>
      <w:bookmarkEnd w:id="26"/>
      <w:bookmarkEnd w:id="27"/>
      <w:bookmarkEnd w:id="28"/>
      <w:bookmarkEnd w:id="29"/>
    </w:p>
    <w:tbl>
      <w:tblPr>
        <w:tblStyle w:val="59"/>
        <w:tblW w:w="910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20"/>
        <w:gridCol w:w="1775"/>
        <w:gridCol w:w="1549"/>
        <w:gridCol w:w="2756"/>
      </w:tblGrid>
      <w:tr w14:paraId="04EC24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vAlign w:val="center"/>
          </w:tcPr>
          <w:p w14:paraId="73E98C58">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bCs/>
                <w:sz w:val="24"/>
                <w:szCs w:val="24"/>
              </w:rPr>
            </w:pPr>
            <w:bookmarkStart w:id="30" w:name="_Toc28992"/>
            <w:bookmarkStart w:id="31" w:name="_Toc2886"/>
            <w:bookmarkStart w:id="32" w:name="_Toc6678"/>
            <w:bookmarkStart w:id="33" w:name="_Toc3423"/>
            <w:bookmarkStart w:id="34" w:name="_Toc20011"/>
            <w:bookmarkStart w:id="35" w:name="_Toc11408"/>
            <w:r>
              <w:rPr>
                <w:rFonts w:hint="eastAsia" w:ascii="宋体" w:hAnsi="宋体" w:eastAsia="宋体" w:cs="宋体"/>
                <w:b/>
                <w:bCs/>
                <w:sz w:val="24"/>
                <w:szCs w:val="24"/>
              </w:rPr>
              <w:t>项目名称</w:t>
            </w:r>
            <w:bookmarkEnd w:id="30"/>
            <w:bookmarkEnd w:id="31"/>
            <w:bookmarkEnd w:id="32"/>
          </w:p>
        </w:tc>
        <w:tc>
          <w:tcPr>
            <w:tcW w:w="1775" w:type="dxa"/>
            <w:vAlign w:val="center"/>
          </w:tcPr>
          <w:p w14:paraId="797DD9CD">
            <w:pPr>
              <w:pStyle w:val="23"/>
              <w:keepNext w:val="0"/>
              <w:keepLines w:val="0"/>
              <w:suppressLineNumbers w:val="0"/>
              <w:spacing w:before="0" w:beforeAutospacing="0" w:after="0" w:afterAutospacing="0" w:line="240" w:lineRule="atLeast"/>
              <w:ind w:left="0" w:right="0"/>
              <w:jc w:val="center"/>
              <w:outlineLvl w:val="0"/>
              <w:rPr>
                <w:rFonts w:hint="eastAsia" w:ascii="宋体" w:hAnsi="宋体" w:eastAsia="宋体" w:cs="宋体"/>
                <w:b/>
                <w:bCs/>
                <w:sz w:val="24"/>
                <w:szCs w:val="24"/>
              </w:rPr>
            </w:pPr>
            <w:bookmarkStart w:id="36" w:name="_Toc6890"/>
            <w:bookmarkStart w:id="37" w:name="_Toc25364"/>
            <w:bookmarkStart w:id="38" w:name="_Toc25821"/>
            <w:r>
              <w:rPr>
                <w:rFonts w:hint="eastAsia" w:ascii="宋体" w:hAnsi="宋体" w:eastAsia="宋体" w:cs="宋体"/>
                <w:b/>
                <w:bCs/>
                <w:sz w:val="24"/>
                <w:szCs w:val="24"/>
              </w:rPr>
              <w:t>最高限价</w:t>
            </w:r>
          </w:p>
          <w:p w14:paraId="67BA7B66">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bCs/>
                <w:sz w:val="24"/>
                <w:szCs w:val="24"/>
              </w:rPr>
            </w:pPr>
            <w:r>
              <w:rPr>
                <w:rFonts w:hint="eastAsia" w:ascii="宋体" w:hAnsi="宋体" w:eastAsia="宋体" w:cs="宋体"/>
                <w:b/>
                <w:bCs/>
                <w:sz w:val="24"/>
                <w:szCs w:val="24"/>
              </w:rPr>
              <w:t>（元）</w:t>
            </w:r>
            <w:bookmarkEnd w:id="36"/>
            <w:bookmarkEnd w:id="37"/>
            <w:bookmarkEnd w:id="38"/>
          </w:p>
        </w:tc>
        <w:tc>
          <w:tcPr>
            <w:tcW w:w="1549" w:type="dxa"/>
            <w:vAlign w:val="center"/>
          </w:tcPr>
          <w:p w14:paraId="2154D94A">
            <w:pPr>
              <w:pStyle w:val="23"/>
              <w:keepNext w:val="0"/>
              <w:keepLines w:val="0"/>
              <w:suppressLineNumbers w:val="0"/>
              <w:spacing w:before="0" w:beforeAutospacing="0" w:after="0" w:afterAutospacing="0" w:line="240" w:lineRule="atLeast"/>
              <w:ind w:left="0" w:right="0"/>
              <w:jc w:val="center"/>
              <w:outlineLvl w:val="0"/>
              <w:rPr>
                <w:rFonts w:hint="eastAsia" w:ascii="宋体" w:hAnsi="宋体" w:eastAsia="宋体" w:cs="宋体"/>
                <w:b/>
                <w:bCs/>
                <w:sz w:val="24"/>
                <w:szCs w:val="24"/>
                <w:lang w:eastAsia="zh-CN"/>
              </w:rPr>
            </w:pPr>
            <w:bookmarkStart w:id="39" w:name="_Toc8310"/>
            <w:bookmarkStart w:id="40" w:name="_Toc11089"/>
            <w:bookmarkStart w:id="41" w:name="_Toc22693"/>
            <w:r>
              <w:rPr>
                <w:rFonts w:hint="eastAsia" w:ascii="宋体" w:hAnsi="宋体" w:eastAsia="宋体" w:cs="宋体"/>
                <w:b/>
                <w:bCs/>
                <w:sz w:val="24"/>
                <w:szCs w:val="24"/>
              </w:rPr>
              <w:t>成交供应商</w:t>
            </w:r>
            <w:r>
              <w:rPr>
                <w:rFonts w:hint="eastAsia" w:ascii="宋体" w:hAnsi="宋体" w:eastAsia="宋体" w:cs="宋体"/>
                <w:b/>
                <w:bCs/>
                <w:sz w:val="24"/>
                <w:szCs w:val="24"/>
                <w:lang w:eastAsia="zh-CN"/>
              </w:rPr>
              <w:t>（</w:t>
            </w:r>
            <w:r>
              <w:rPr>
                <w:rFonts w:hint="eastAsia" w:ascii="宋体" w:hAnsi="宋体" w:eastAsia="宋体" w:cs="宋体"/>
                <w:b/>
                <w:bCs/>
                <w:sz w:val="24"/>
                <w:szCs w:val="24"/>
              </w:rPr>
              <w:t>数量</w:t>
            </w:r>
            <w:bookmarkEnd w:id="39"/>
            <w:bookmarkEnd w:id="40"/>
            <w:bookmarkEnd w:id="41"/>
            <w:r>
              <w:rPr>
                <w:rFonts w:hint="eastAsia" w:ascii="宋体" w:hAnsi="宋体" w:eastAsia="宋体" w:cs="宋体"/>
                <w:b/>
                <w:bCs/>
                <w:sz w:val="24"/>
                <w:szCs w:val="24"/>
                <w:lang w:eastAsia="zh-CN"/>
              </w:rPr>
              <w:t>）</w:t>
            </w:r>
          </w:p>
        </w:tc>
        <w:tc>
          <w:tcPr>
            <w:tcW w:w="2756" w:type="dxa"/>
            <w:vAlign w:val="center"/>
          </w:tcPr>
          <w:p w14:paraId="7946B737">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b/>
                <w:bCs/>
                <w:sz w:val="24"/>
                <w:szCs w:val="24"/>
              </w:rPr>
            </w:pPr>
            <w:bookmarkStart w:id="42" w:name="_Toc20549"/>
            <w:r>
              <w:rPr>
                <w:rFonts w:hint="eastAsia" w:ascii="宋体" w:hAnsi="宋体" w:eastAsia="宋体" w:cs="宋体"/>
                <w:b/>
                <w:bCs/>
                <w:sz w:val="24"/>
                <w:szCs w:val="24"/>
              </w:rPr>
              <w:t>采购标的对应的中小企业划分标准所属行业</w:t>
            </w:r>
            <w:bookmarkEnd w:id="42"/>
          </w:p>
        </w:tc>
      </w:tr>
      <w:tr w14:paraId="6AAB49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020" w:type="dxa"/>
            <w:vAlign w:val="center"/>
          </w:tcPr>
          <w:p w14:paraId="6CE559C5">
            <w:pPr>
              <w:keepNext w:val="0"/>
              <w:keepLines w:val="0"/>
              <w:suppressLineNumbers w:val="0"/>
              <w:spacing w:before="0" w:beforeAutospacing="0" w:after="0" w:afterAutospacing="0" w:line="400" w:lineRule="exact"/>
              <w:ind w:left="0" w:right="0"/>
              <w:rPr>
                <w:rFonts w:hint="eastAsia" w:ascii="宋体" w:hAnsi="宋体" w:eastAsia="宋体" w:cs="宋体"/>
                <w:sz w:val="24"/>
                <w:szCs w:val="24"/>
                <w:lang w:eastAsia="zh-CN"/>
              </w:rPr>
            </w:pPr>
            <w:r>
              <w:rPr>
                <w:rFonts w:hint="eastAsia" w:ascii="宋体" w:hAnsi="宋体" w:eastAsia="宋体" w:cs="宋体"/>
                <w:sz w:val="24"/>
                <w:szCs w:val="24"/>
                <w:lang w:eastAsia="zh-CN"/>
              </w:rPr>
              <w:t>体育场屋顶彩钢瓦更换、钢结构局部更换及刷漆项目</w:t>
            </w:r>
          </w:p>
        </w:tc>
        <w:tc>
          <w:tcPr>
            <w:tcW w:w="1775" w:type="dxa"/>
            <w:vAlign w:val="center"/>
          </w:tcPr>
          <w:p w14:paraId="56A86F6A">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color w:val="000000" w:themeColor="text1"/>
                <w:sz w:val="24"/>
                <w:szCs w:val="24"/>
                <w:lang w:val="en-US" w:eastAsia="zh-CN"/>
                <w14:textFill>
                  <w14:solidFill>
                    <w14:schemeClr w14:val="tx1"/>
                  </w14:solidFill>
                </w14:textFill>
              </w:rPr>
            </w:pPr>
            <w:r>
              <w:rPr>
                <w:rFonts w:hint="eastAsia" w:ascii="宋体" w:hAnsi="宋体" w:eastAsia="宋体" w:cs="宋体"/>
                <w:color w:val="auto"/>
                <w:sz w:val="24"/>
                <w:szCs w:val="24"/>
                <w:lang w:val="en-US" w:eastAsia="zh-CN"/>
              </w:rPr>
              <w:t>300476.48</w:t>
            </w:r>
          </w:p>
        </w:tc>
        <w:tc>
          <w:tcPr>
            <w:tcW w:w="1549" w:type="dxa"/>
            <w:vAlign w:val="center"/>
          </w:tcPr>
          <w:p w14:paraId="07902F0C">
            <w:pPr>
              <w:pStyle w:val="23"/>
              <w:keepNext w:val="0"/>
              <w:keepLines w:val="0"/>
              <w:suppressLineNumbers w:val="0"/>
              <w:spacing w:before="0" w:beforeAutospacing="0" w:after="0" w:afterAutospacing="0" w:line="240" w:lineRule="atLeast"/>
              <w:ind w:left="0" w:right="0"/>
              <w:jc w:val="center"/>
              <w:outlineLvl w:val="0"/>
              <w:rPr>
                <w:rFonts w:hint="default" w:ascii="宋体" w:hAnsi="宋体" w:eastAsia="宋体" w:cs="宋体"/>
                <w:color w:val="000000" w:themeColor="text1"/>
                <w:sz w:val="24"/>
                <w:szCs w:val="24"/>
                <w14:textFill>
                  <w14:solidFill>
                    <w14:schemeClr w14:val="tx1"/>
                  </w14:solidFill>
                </w14:textFill>
              </w:rPr>
            </w:pPr>
            <w:bookmarkStart w:id="43" w:name="_Toc24181"/>
            <w:bookmarkStart w:id="44" w:name="_Toc3187"/>
            <w:bookmarkStart w:id="45" w:name="_Toc18931"/>
            <w:r>
              <w:rPr>
                <w:rFonts w:hint="eastAsia" w:ascii="宋体" w:hAnsi="宋体" w:eastAsia="宋体" w:cs="宋体"/>
                <w:color w:val="000000" w:themeColor="text1"/>
                <w:sz w:val="24"/>
                <w:szCs w:val="24"/>
                <w14:textFill>
                  <w14:solidFill>
                    <w14:schemeClr w14:val="tx1"/>
                  </w14:solidFill>
                </w14:textFill>
              </w:rPr>
              <w:t>1名</w:t>
            </w:r>
            <w:bookmarkEnd w:id="43"/>
            <w:bookmarkEnd w:id="44"/>
            <w:bookmarkEnd w:id="45"/>
          </w:p>
        </w:tc>
        <w:tc>
          <w:tcPr>
            <w:tcW w:w="2756" w:type="dxa"/>
            <w:vAlign w:val="center"/>
          </w:tcPr>
          <w:p w14:paraId="1E67C621">
            <w:pPr>
              <w:keepNext w:val="0"/>
              <w:keepLines w:val="0"/>
              <w:suppressLineNumbers w:val="0"/>
              <w:spacing w:before="0" w:beforeAutospacing="0" w:after="0" w:afterAutospacing="0" w:line="400" w:lineRule="exact"/>
              <w:ind w:left="0" w:right="0" w:firstLine="720" w:firstLineChars="3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建筑业</w:t>
            </w:r>
          </w:p>
        </w:tc>
      </w:tr>
    </w:tbl>
    <w:p w14:paraId="7138E676">
      <w:pPr>
        <w:pStyle w:val="5"/>
        <w:spacing w:before="0" w:after="0" w:line="440" w:lineRule="exact"/>
        <w:ind w:firstLine="482" w:firstLineChars="200"/>
        <w:rPr>
          <w:rFonts w:ascii="宋体" w:hAnsi="宋体" w:cs="宋体"/>
          <w:sz w:val="24"/>
          <w:szCs w:val="24"/>
        </w:rPr>
      </w:pPr>
      <w:bookmarkStart w:id="46" w:name="_Toc9253"/>
      <w:bookmarkStart w:id="47" w:name="_Toc727"/>
      <w:r>
        <w:rPr>
          <w:rFonts w:hint="eastAsia" w:ascii="宋体" w:hAnsi="宋体" w:cs="宋体"/>
          <w:sz w:val="24"/>
          <w:szCs w:val="24"/>
        </w:rPr>
        <w:t>二、资金来源</w:t>
      </w:r>
      <w:bookmarkEnd w:id="33"/>
      <w:bookmarkEnd w:id="34"/>
      <w:bookmarkEnd w:id="35"/>
      <w:bookmarkEnd w:id="46"/>
      <w:bookmarkEnd w:id="47"/>
    </w:p>
    <w:p w14:paraId="21A7D009">
      <w:pPr>
        <w:spacing w:line="440" w:lineRule="exact"/>
        <w:ind w:firstLine="480" w:firstLineChars="200"/>
        <w:rPr>
          <w:rFonts w:ascii="宋体" w:hAnsi="宋体" w:eastAsia="宋体" w:cs="宋体"/>
          <w:color w:val="000000"/>
          <w:sz w:val="24"/>
          <w:szCs w:val="24"/>
        </w:rPr>
      </w:pPr>
      <w:r>
        <w:rPr>
          <w:rFonts w:hint="eastAsia" w:ascii="宋体" w:hAnsi="宋体" w:eastAsia="宋体" w:cs="宋体"/>
          <w:color w:val="000000"/>
          <w:sz w:val="24"/>
          <w:szCs w:val="24"/>
        </w:rPr>
        <w:t>财政资金。</w:t>
      </w:r>
    </w:p>
    <w:p w14:paraId="6EA98F1A">
      <w:pPr>
        <w:pStyle w:val="5"/>
        <w:spacing w:before="0" w:after="0" w:line="440" w:lineRule="exact"/>
        <w:ind w:firstLine="482" w:firstLineChars="200"/>
        <w:rPr>
          <w:rFonts w:ascii="宋体" w:hAnsi="宋体" w:cs="宋体"/>
          <w:sz w:val="24"/>
          <w:szCs w:val="24"/>
        </w:rPr>
      </w:pPr>
      <w:bookmarkStart w:id="48" w:name="_Toc8634"/>
      <w:bookmarkStart w:id="49" w:name="_Toc17239"/>
      <w:bookmarkStart w:id="50" w:name="_Toc19581"/>
      <w:bookmarkStart w:id="51" w:name="_Toc29708"/>
      <w:bookmarkStart w:id="52" w:name="_Toc25566"/>
      <w:r>
        <w:rPr>
          <w:rFonts w:hint="eastAsia" w:ascii="宋体" w:hAnsi="宋体" w:cs="宋体"/>
          <w:sz w:val="24"/>
          <w:szCs w:val="24"/>
        </w:rPr>
        <w:t>三、谈判资格</w:t>
      </w:r>
      <w:bookmarkEnd w:id="48"/>
      <w:bookmarkEnd w:id="49"/>
      <w:bookmarkEnd w:id="50"/>
      <w:bookmarkEnd w:id="51"/>
      <w:bookmarkEnd w:id="52"/>
    </w:p>
    <w:p w14:paraId="4D278ECE">
      <w:pPr>
        <w:spacing w:line="440" w:lineRule="exact"/>
        <w:ind w:firstLine="480" w:firstLineChars="200"/>
        <w:rPr>
          <w:rFonts w:hint="eastAsia" w:ascii="宋体" w:hAnsi="宋体" w:eastAsia="宋体" w:cs="宋体"/>
          <w:sz w:val="24"/>
          <w:szCs w:val="24"/>
        </w:rPr>
      </w:pPr>
      <w:bookmarkStart w:id="53" w:name="_Toc3494"/>
      <w:bookmarkStart w:id="54" w:name="_Toc20987"/>
      <w:bookmarkStart w:id="55" w:name="_Toc2454"/>
      <w:bookmarkStart w:id="56" w:name="_Toc6703"/>
      <w:r>
        <w:rPr>
          <w:rFonts w:hint="eastAsia" w:ascii="宋体" w:hAnsi="宋体" w:eastAsia="宋体" w:cs="宋体"/>
          <w:sz w:val="24"/>
          <w:szCs w:val="24"/>
        </w:rPr>
        <w:t>（一）满足《中华人民共和国政府采购法》第二十二条规定；</w:t>
      </w:r>
    </w:p>
    <w:p w14:paraId="0995D0F5">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（二）落实政府采购政策需满足的资格要求：</w:t>
      </w:r>
      <w:r>
        <w:rPr>
          <w:rFonts w:hint="eastAsia" w:ascii="宋体" w:hAnsi="宋体" w:eastAsia="宋体" w:cs="宋体"/>
          <w:sz w:val="24"/>
          <w:szCs w:val="24"/>
          <w:lang w:eastAsia="zh-CN"/>
        </w:rPr>
        <w:t>无</w:t>
      </w:r>
      <w:r>
        <w:rPr>
          <w:rFonts w:hint="eastAsia" w:ascii="宋体" w:hAnsi="宋体" w:eastAsia="宋体" w:cs="宋体"/>
          <w:sz w:val="24"/>
          <w:szCs w:val="24"/>
        </w:rPr>
        <w:t>；</w:t>
      </w:r>
    </w:p>
    <w:p w14:paraId="6CA8B135">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（三）特定资格条件</w:t>
      </w:r>
    </w:p>
    <w:p w14:paraId="0BC12163">
      <w:pPr>
        <w:spacing w:line="440" w:lineRule="exact"/>
        <w:ind w:firstLine="480" w:firstLineChars="200"/>
        <w:rPr>
          <w:rFonts w:hint="eastAsia" w:ascii="宋体" w:hAnsi="宋体" w:eastAsia="宋体" w:cs="宋体"/>
          <w:sz w:val="24"/>
          <w:szCs w:val="24"/>
          <w:lang w:eastAsia="zh-CN"/>
        </w:rPr>
      </w:pPr>
      <w:r>
        <w:rPr>
          <w:rFonts w:hint="eastAsia" w:ascii="宋体" w:hAnsi="宋体" w:eastAsia="宋体" w:cs="宋体"/>
          <w:sz w:val="24"/>
          <w:szCs w:val="24"/>
          <w:lang w:val="en-US" w:eastAsia="zh-CN"/>
        </w:rPr>
        <w:t>1、</w:t>
      </w:r>
      <w:r>
        <w:rPr>
          <w:rFonts w:hint="eastAsia" w:ascii="宋体" w:hAnsi="宋体" w:eastAsia="宋体" w:cs="宋体"/>
          <w:sz w:val="24"/>
          <w:szCs w:val="24"/>
        </w:rPr>
        <w:t>具备建设行政主管部门颁发的建筑工程施工总承包三级及以上资质或建筑装修装饰工程专业承包二级及以上资质</w:t>
      </w:r>
      <w:r>
        <w:rPr>
          <w:rFonts w:hint="eastAsia" w:ascii="宋体" w:hAnsi="宋体" w:eastAsia="宋体" w:cs="宋体"/>
          <w:sz w:val="24"/>
          <w:szCs w:val="24"/>
          <w:lang w:eastAsia="zh-CN"/>
        </w:rPr>
        <w:t>；</w:t>
      </w:r>
    </w:p>
    <w:p w14:paraId="213788E4">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2、</w:t>
      </w:r>
      <w:r>
        <w:rPr>
          <w:rFonts w:hint="eastAsia" w:ascii="宋体" w:hAnsi="宋体" w:eastAsia="宋体" w:cs="宋体"/>
          <w:sz w:val="24"/>
          <w:szCs w:val="24"/>
          <w:lang w:eastAsia="zh-CN"/>
        </w:rPr>
        <w:t>具备合格有效的《安全生产许可证》</w:t>
      </w:r>
      <w:r>
        <w:rPr>
          <w:rFonts w:hint="eastAsia" w:ascii="宋体" w:hAnsi="宋体" w:eastAsia="宋体" w:cs="宋体"/>
          <w:sz w:val="24"/>
          <w:szCs w:val="24"/>
          <w:lang w:val="en-US" w:eastAsia="zh-CN"/>
        </w:rPr>
        <w:t xml:space="preserve"> 。</w:t>
      </w:r>
    </w:p>
    <w:p w14:paraId="173972F8">
      <w:pPr>
        <w:spacing w:line="440" w:lineRule="exact"/>
        <w:ind w:firstLine="482" w:firstLineChars="200"/>
        <w:rPr>
          <w:rFonts w:hint="eastAsia" w:ascii="宋体" w:hAnsi="宋体" w:eastAsia="宋体" w:cs="宋体"/>
          <w:b/>
          <w:bCs/>
          <w:sz w:val="24"/>
          <w:szCs w:val="24"/>
        </w:rPr>
      </w:pPr>
      <w:bookmarkStart w:id="57" w:name="_Toc27518"/>
      <w:r>
        <w:rPr>
          <w:rFonts w:hint="eastAsia" w:ascii="宋体" w:hAnsi="宋体" w:eastAsia="宋体" w:cs="宋体"/>
          <w:b/>
          <w:bCs/>
          <w:sz w:val="24"/>
          <w:szCs w:val="24"/>
        </w:rPr>
        <w:t>四、谈判有关说明</w:t>
      </w:r>
      <w:bookmarkEnd w:id="53"/>
      <w:bookmarkEnd w:id="54"/>
      <w:bookmarkEnd w:id="55"/>
      <w:bookmarkEnd w:id="56"/>
      <w:bookmarkEnd w:id="57"/>
    </w:p>
    <w:p w14:paraId="1EE270F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（一）凡有意参加谈判的供应商，请于公告发布之日起至提交响应文件截止时间之前，在行采家（https://www</w:t>
      </w:r>
      <w:r>
        <w:rPr>
          <w:rFonts w:hint="eastAsia" w:ascii="宋体" w:hAnsi="宋体" w:eastAsia="宋体" w:cs="宋体"/>
          <w:sz w:val="24"/>
        </w:rPr>
        <w:t>.gec123.com/）</w:t>
      </w:r>
      <w:r>
        <w:rPr>
          <w:rFonts w:hint="eastAsia" w:ascii="宋体" w:hAnsi="宋体" w:eastAsia="宋体" w:cs="宋体"/>
          <w:sz w:val="24"/>
          <w:szCs w:val="24"/>
        </w:rPr>
        <w:t>下载本项目竞争性谈判文件以及图纸、补遗等谈判前公布的所有项目资料，无论供应商下载与否，均视为已知晓所有谈判实质性要求内容。</w:t>
      </w:r>
    </w:p>
    <w:p w14:paraId="21AB8B0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（二）报名及采购文件发售</w:t>
      </w:r>
    </w:p>
    <w:p w14:paraId="2DBD6822">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1.报名和采购文件发售期：202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2</w:t>
      </w:r>
      <w:r>
        <w:rPr>
          <w:rFonts w:hint="eastAsia" w:ascii="宋体" w:hAnsi="宋体" w:eastAsia="宋体" w:cs="宋体"/>
          <w:sz w:val="24"/>
          <w:szCs w:val="24"/>
        </w:rPr>
        <w:t>日至202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5</w:t>
      </w:r>
      <w:r>
        <w:rPr>
          <w:rFonts w:hint="eastAsia" w:ascii="宋体" w:hAnsi="宋体" w:eastAsia="宋体" w:cs="宋体"/>
          <w:sz w:val="24"/>
          <w:szCs w:val="24"/>
        </w:rPr>
        <w:t>日（工作时间）</w:t>
      </w:r>
    </w:p>
    <w:p w14:paraId="38FA2EF3">
      <w:pPr>
        <w:spacing w:line="440" w:lineRule="exact"/>
        <w:ind w:left="-2" w:firstLine="480" w:firstLineChars="200"/>
        <w:rPr>
          <w:rFonts w:ascii="宋体" w:hAnsi="宋体" w:eastAsia="宋体" w:cs="宋体"/>
          <w:sz w:val="24"/>
          <w:szCs w:val="24"/>
        </w:rPr>
      </w:pPr>
      <w:r>
        <w:rPr>
          <w:rFonts w:hint="eastAsia" w:ascii="宋体" w:hAnsi="宋体" w:eastAsia="宋体" w:cs="宋体"/>
          <w:sz w:val="24"/>
          <w:szCs w:val="24"/>
        </w:rPr>
        <w:t>2.采购文件售价：人民币</w:t>
      </w:r>
      <w:r>
        <w:rPr>
          <w:rFonts w:hint="eastAsia" w:ascii="宋体" w:hAnsi="宋体" w:eastAsia="宋体" w:cs="宋体"/>
          <w:sz w:val="24"/>
          <w:szCs w:val="24"/>
          <w:lang w:val="en-US" w:eastAsia="zh-CN"/>
        </w:rPr>
        <w:t>4</w:t>
      </w:r>
      <w:r>
        <w:rPr>
          <w:rFonts w:hint="eastAsia" w:ascii="宋体" w:hAnsi="宋体" w:eastAsia="宋体" w:cs="宋体"/>
          <w:sz w:val="24"/>
          <w:szCs w:val="24"/>
        </w:rPr>
        <w:t>00元/份（售后不退）。</w:t>
      </w:r>
    </w:p>
    <w:p w14:paraId="2785B6A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3.文件购</w:t>
      </w:r>
      <w:r>
        <w:rPr>
          <w:rFonts w:hint="eastAsia" w:ascii="宋体" w:hAnsi="宋体" w:eastAsia="宋体" w:cs="宋体"/>
          <w:sz w:val="24"/>
        </w:rPr>
        <w:t>买方式</w:t>
      </w:r>
    </w:p>
    <w:p w14:paraId="7AF14DA1">
      <w:pPr>
        <w:spacing w:line="380" w:lineRule="exact"/>
        <w:ind w:firstLine="480" w:firstLineChars="200"/>
        <w:rPr>
          <w:rFonts w:ascii="宋体" w:hAnsi="宋体" w:eastAsia="宋体" w:cs="宋体"/>
          <w:sz w:val="24"/>
          <w:szCs w:val="24"/>
        </w:rPr>
      </w:pPr>
      <w:r>
        <w:rPr>
          <w:rFonts w:hint="eastAsia" w:ascii="宋体" w:hAnsi="宋体" w:eastAsia="宋体" w:cs="宋体"/>
          <w:sz w:val="24"/>
          <w:szCs w:val="24"/>
        </w:rPr>
        <w:t>在报名和采购文件发售期内供应商扫描二维码缴纳报名费，填写《重庆展辉招标代理有限公司采购文件发售登记表》，将发售登记表扫描件发送至邮箱404088077@qq.com，邮件主题为：项目名称+供应商单位名称报名资料。</w:t>
      </w:r>
    </w:p>
    <w:p w14:paraId="7B0D1BC6">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（三）供应商须满足以下三种要件，其响应文件才被接受：</w:t>
      </w:r>
    </w:p>
    <w:p w14:paraId="092A8561">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1.按时递交了响应文件；</w:t>
      </w:r>
    </w:p>
    <w:p w14:paraId="66003C4F">
      <w:pPr>
        <w:spacing w:line="400" w:lineRule="exact"/>
        <w:ind w:left="476" w:leftChars="170"/>
        <w:rPr>
          <w:rFonts w:ascii="宋体" w:hAnsi="宋体" w:eastAsia="宋体" w:cs="宋体"/>
          <w:sz w:val="24"/>
          <w:szCs w:val="24"/>
        </w:rPr>
      </w:pPr>
      <w:r>
        <w:rPr>
          <w:rFonts w:hint="eastAsia" w:ascii="宋体" w:hAnsi="宋体" w:eastAsia="宋体" w:cs="宋体"/>
          <w:sz w:val="24"/>
          <w:szCs w:val="24"/>
        </w:rPr>
        <w:t>2.递交《重庆展辉招标代理有限公司采购文件发售登记表》并购买了采购文件；</w:t>
      </w:r>
    </w:p>
    <w:p w14:paraId="721DF2D3">
      <w:pPr>
        <w:spacing w:line="400" w:lineRule="exact"/>
        <w:ind w:left="476" w:leftChars="170"/>
        <w:rPr>
          <w:rFonts w:ascii="宋体" w:hAnsi="宋体" w:eastAsia="宋体" w:cs="宋体"/>
        </w:rPr>
      </w:pPr>
      <w:r>
        <w:rPr>
          <w:rFonts w:hint="eastAsia" w:ascii="宋体" w:hAnsi="宋体" w:eastAsia="宋体" w:cs="宋体"/>
          <w:sz w:val="24"/>
          <w:szCs w:val="24"/>
        </w:rPr>
        <w:t>3.按时足额缴纳了投标保证金。</w:t>
      </w:r>
    </w:p>
    <w:p w14:paraId="605FB52F">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（四）谈判地点：重庆展辉招标代理有限公司开评标室（重庆市荣昌区昌龙大道37号瑞尔国际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r>
        <w:rPr>
          <w:rFonts w:hint="eastAsia" w:ascii="宋体" w:hAnsi="宋体" w:eastAsia="宋体" w:cs="宋体"/>
          <w:sz w:val="24"/>
          <w:szCs w:val="24"/>
        </w:rPr>
        <w:t>）</w:t>
      </w:r>
    </w:p>
    <w:p w14:paraId="36AEC099">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（五）响应文件递交开始时间：202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6</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15</w:t>
      </w:r>
      <w:r>
        <w:rPr>
          <w:rFonts w:hint="eastAsia" w:ascii="宋体" w:hAnsi="宋体" w:eastAsia="宋体" w:cs="宋体"/>
          <w:sz w:val="24"/>
          <w:szCs w:val="24"/>
        </w:rPr>
        <w:t>：</w:t>
      </w:r>
      <w:r>
        <w:rPr>
          <w:rFonts w:hint="eastAsia" w:ascii="宋体" w:hAnsi="宋体" w:eastAsia="宋体" w:cs="宋体"/>
          <w:sz w:val="24"/>
          <w:szCs w:val="24"/>
          <w:lang w:val="en-US" w:eastAsia="zh-CN"/>
        </w:rPr>
        <w:t>3</w:t>
      </w:r>
      <w:r>
        <w:rPr>
          <w:rFonts w:hint="eastAsia" w:ascii="宋体" w:hAnsi="宋体" w:eastAsia="宋体" w:cs="宋体"/>
          <w:sz w:val="24"/>
          <w:szCs w:val="24"/>
        </w:rPr>
        <w:t>0</w:t>
      </w:r>
    </w:p>
    <w:p w14:paraId="303DB844">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（六）响应文件递交截止时间：202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6</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16</w:t>
      </w:r>
      <w:r>
        <w:rPr>
          <w:rFonts w:hint="eastAsia" w:ascii="宋体" w:hAnsi="宋体" w:eastAsia="宋体" w:cs="宋体"/>
          <w:sz w:val="24"/>
          <w:szCs w:val="24"/>
        </w:rPr>
        <w:t>：</w:t>
      </w:r>
      <w:r>
        <w:rPr>
          <w:rFonts w:hint="eastAsia" w:ascii="宋体" w:hAnsi="宋体" w:eastAsia="宋体" w:cs="宋体"/>
          <w:sz w:val="24"/>
          <w:szCs w:val="24"/>
          <w:lang w:val="en-US" w:eastAsia="zh-CN"/>
        </w:rPr>
        <w:t>0</w:t>
      </w:r>
      <w:r>
        <w:rPr>
          <w:rFonts w:hint="eastAsia" w:ascii="宋体" w:hAnsi="宋体" w:eastAsia="宋体" w:cs="宋体"/>
          <w:sz w:val="24"/>
          <w:szCs w:val="24"/>
        </w:rPr>
        <w:t>0</w:t>
      </w:r>
    </w:p>
    <w:p w14:paraId="1808517C">
      <w:pPr>
        <w:spacing w:line="400" w:lineRule="exact"/>
        <w:ind w:left="476" w:leftChars="170"/>
        <w:rPr>
          <w:rFonts w:ascii="宋体" w:hAnsi="宋体" w:eastAsia="宋体" w:cs="宋体"/>
          <w:sz w:val="24"/>
          <w:szCs w:val="24"/>
        </w:rPr>
      </w:pPr>
      <w:r>
        <w:rPr>
          <w:rFonts w:hint="eastAsia" w:ascii="宋体" w:hAnsi="宋体" w:eastAsia="宋体" w:cs="宋体"/>
          <w:sz w:val="24"/>
          <w:szCs w:val="24"/>
        </w:rPr>
        <w:t>（七）谈判开始时间：202</w:t>
      </w:r>
      <w:r>
        <w:rPr>
          <w:rFonts w:hint="eastAsia" w:ascii="宋体" w:hAnsi="宋体" w:eastAsia="宋体" w:cs="宋体"/>
          <w:sz w:val="24"/>
          <w:szCs w:val="24"/>
          <w:lang w:val="en-US" w:eastAsia="zh-CN"/>
        </w:rPr>
        <w:t>5</w:t>
      </w:r>
      <w:r>
        <w:rPr>
          <w:rFonts w:hint="eastAsia" w:ascii="宋体" w:hAnsi="宋体" w:eastAsia="宋体" w:cs="宋体"/>
          <w:sz w:val="24"/>
          <w:szCs w:val="24"/>
        </w:rPr>
        <w:t>年</w:t>
      </w:r>
      <w:r>
        <w:rPr>
          <w:rFonts w:hint="eastAsia" w:ascii="宋体" w:hAnsi="宋体" w:eastAsia="宋体" w:cs="宋体"/>
          <w:sz w:val="24"/>
          <w:szCs w:val="24"/>
          <w:lang w:val="en-US" w:eastAsia="zh-CN"/>
        </w:rPr>
        <w:t>11</w:t>
      </w:r>
      <w:r>
        <w:rPr>
          <w:rFonts w:hint="eastAsia" w:ascii="宋体" w:hAnsi="宋体" w:eastAsia="宋体" w:cs="宋体"/>
          <w:sz w:val="24"/>
          <w:szCs w:val="24"/>
        </w:rPr>
        <w:t>月</w:t>
      </w:r>
      <w:r>
        <w:rPr>
          <w:rFonts w:hint="eastAsia" w:ascii="宋体" w:hAnsi="宋体" w:eastAsia="宋体" w:cs="宋体"/>
          <w:sz w:val="24"/>
          <w:szCs w:val="24"/>
          <w:lang w:val="en-US" w:eastAsia="zh-CN"/>
        </w:rPr>
        <w:t>6</w:t>
      </w:r>
      <w:r>
        <w:rPr>
          <w:rFonts w:hint="eastAsia" w:ascii="宋体" w:hAnsi="宋体" w:eastAsia="宋体" w:cs="宋体"/>
          <w:sz w:val="24"/>
          <w:szCs w:val="24"/>
        </w:rPr>
        <w:t>日北京时间</w:t>
      </w:r>
      <w:r>
        <w:rPr>
          <w:rFonts w:hint="eastAsia" w:ascii="宋体" w:hAnsi="宋体" w:eastAsia="宋体" w:cs="宋体"/>
          <w:sz w:val="24"/>
          <w:szCs w:val="24"/>
          <w:lang w:val="en-US" w:eastAsia="zh-CN"/>
        </w:rPr>
        <w:t>16</w:t>
      </w:r>
      <w:r>
        <w:rPr>
          <w:rFonts w:hint="eastAsia" w:ascii="宋体" w:hAnsi="宋体" w:eastAsia="宋体" w:cs="宋体"/>
          <w:sz w:val="24"/>
          <w:szCs w:val="24"/>
        </w:rPr>
        <w:t>：</w:t>
      </w:r>
      <w:r>
        <w:rPr>
          <w:rFonts w:hint="eastAsia" w:ascii="宋体" w:hAnsi="宋体" w:eastAsia="宋体" w:cs="宋体"/>
          <w:sz w:val="24"/>
          <w:szCs w:val="24"/>
          <w:lang w:val="en-US" w:eastAsia="zh-CN"/>
        </w:rPr>
        <w:t>0</w:t>
      </w:r>
      <w:r>
        <w:rPr>
          <w:rFonts w:hint="eastAsia" w:ascii="宋体" w:hAnsi="宋体" w:eastAsia="宋体" w:cs="宋体"/>
          <w:sz w:val="24"/>
          <w:szCs w:val="24"/>
        </w:rPr>
        <w:t>0</w:t>
      </w:r>
    </w:p>
    <w:p w14:paraId="698E2BCE">
      <w:pPr>
        <w:pStyle w:val="5"/>
        <w:spacing w:before="0" w:after="0" w:line="440" w:lineRule="exact"/>
        <w:ind w:firstLine="482" w:firstLineChars="200"/>
        <w:rPr>
          <w:rFonts w:ascii="宋体" w:hAnsi="宋体" w:cs="宋体"/>
          <w:sz w:val="24"/>
          <w:szCs w:val="24"/>
        </w:rPr>
      </w:pPr>
      <w:bookmarkStart w:id="58" w:name="_Toc15800"/>
      <w:bookmarkStart w:id="59" w:name="_Toc22384"/>
      <w:bookmarkStart w:id="60" w:name="_Toc16651"/>
      <w:bookmarkStart w:id="61" w:name="_Toc30587"/>
      <w:bookmarkStart w:id="62" w:name="_Toc20248"/>
      <w:r>
        <w:rPr>
          <w:rFonts w:hint="eastAsia" w:ascii="宋体" w:hAnsi="宋体" w:cs="宋体"/>
          <w:sz w:val="24"/>
          <w:szCs w:val="24"/>
          <w:lang w:eastAsia="zh-CN"/>
        </w:rPr>
        <w:t>五</w:t>
      </w:r>
      <w:r>
        <w:rPr>
          <w:rFonts w:hint="eastAsia" w:ascii="宋体" w:hAnsi="宋体" w:cs="宋体"/>
          <w:sz w:val="24"/>
          <w:szCs w:val="24"/>
        </w:rPr>
        <w:t>、其它有关规定</w:t>
      </w:r>
      <w:bookmarkEnd w:id="58"/>
      <w:bookmarkEnd w:id="59"/>
      <w:bookmarkEnd w:id="60"/>
      <w:bookmarkEnd w:id="61"/>
      <w:bookmarkEnd w:id="62"/>
    </w:p>
    <w:p w14:paraId="6EF45D1C">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（一）单位负责人为同一人或者存在直接控股、管理关系的不同供应商，不得参加同一合同项（分包）下的政府采购活动，否则均为无效响应。</w:t>
      </w:r>
    </w:p>
    <w:p w14:paraId="08FF398C">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（二）为采购项目提供整体设计、规范编制或者项目管理、监理、检测等服务的供应商，不得再参加该采购项目的其他采购活动。</w:t>
      </w:r>
    </w:p>
    <w:p w14:paraId="71404DE2">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（三）同一合同项（分包）下为单一品目的货物采购中，同一品牌同一型号产品有多家供应商参加响应，只能按照一家供应商计算。</w:t>
      </w:r>
    </w:p>
    <w:p w14:paraId="7EC93933">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（四）同一合同项（分包）下的货物，制造商参与采购的，不得再委托代理商参与采购。</w:t>
      </w:r>
    </w:p>
    <w:p w14:paraId="64622E18">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五）本项目在响应文件提交截止时间前发布的采购文件及补遗文件（如果有）一律在重庆市政府采购网发布，请各供应商注意查看；无论供应商查看与否，均视同供应商已知晓本项目采购文件、补遗文件（如果有）的内容。</w:t>
      </w:r>
    </w:p>
    <w:p w14:paraId="5408B4E5">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（六）超过响应文件截止时间递交的响应文件，恕不接收。</w:t>
      </w:r>
    </w:p>
    <w:p w14:paraId="3AC78701">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（七）谈判费用：无论谈判结果如何，供应商参与本项目谈判的所有费用均应由供应商自行承担。</w:t>
      </w:r>
    </w:p>
    <w:p w14:paraId="5D86CBAF">
      <w:pPr>
        <w:spacing w:line="440" w:lineRule="exact"/>
        <w:ind w:firstLine="480" w:firstLineChars="200"/>
        <w:rPr>
          <w:rFonts w:ascii="宋体" w:hAnsi="宋体" w:eastAsia="宋体" w:cs="宋体"/>
          <w:sz w:val="24"/>
          <w:szCs w:val="24"/>
        </w:rPr>
      </w:pPr>
      <w:r>
        <w:rPr>
          <w:rFonts w:hint="eastAsia" w:ascii="宋体" w:hAnsi="宋体" w:eastAsia="宋体" w:cs="宋体"/>
          <w:b w:val="0"/>
          <w:bCs w:val="0"/>
          <w:sz w:val="24"/>
          <w:szCs w:val="24"/>
        </w:rPr>
        <w:t>（八）本项目不</w:t>
      </w:r>
      <w:r>
        <w:rPr>
          <w:rFonts w:hint="eastAsia" w:ascii="宋体" w:hAnsi="宋体" w:eastAsia="宋体" w:cs="宋体"/>
          <w:sz w:val="24"/>
          <w:szCs w:val="24"/>
        </w:rPr>
        <w:t>采购活动。</w:t>
      </w:r>
    </w:p>
    <w:p w14:paraId="541F9B70">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（十）为减少响应误差，供应商自行到现场踏勘，并对考察中获取的现场资料负责。不论供应商是否考察过现场，均被认为在递交响应文件前已经了解现场情况。</w:t>
      </w:r>
    </w:p>
    <w:p w14:paraId="78DB49F8">
      <w:pPr>
        <w:spacing w:line="360" w:lineRule="auto"/>
        <w:ind w:firstLine="482" w:firstLineChars="200"/>
        <w:outlineLvl w:val="2"/>
        <w:rPr>
          <w:rFonts w:ascii="宋体" w:hAnsi="宋体" w:eastAsia="宋体" w:cs="宋体"/>
          <w:b/>
          <w:bCs/>
          <w:color w:val="FF0000"/>
          <w:sz w:val="24"/>
          <w:szCs w:val="24"/>
        </w:rPr>
      </w:pPr>
      <w:bookmarkStart w:id="63" w:name="_Toc15891"/>
      <w:bookmarkStart w:id="64" w:name="_Toc4570"/>
      <w:bookmarkStart w:id="65" w:name="_Toc6270"/>
      <w:bookmarkStart w:id="66" w:name="_Toc31800"/>
      <w:r>
        <w:rPr>
          <w:rFonts w:hint="eastAsia" w:ascii="宋体" w:hAnsi="宋体" w:eastAsia="宋体" w:cs="宋体"/>
          <w:b/>
          <w:bCs/>
          <w:sz w:val="24"/>
          <w:szCs w:val="24"/>
          <w:lang w:eastAsia="zh-CN"/>
        </w:rPr>
        <w:t>六</w:t>
      </w:r>
      <w:r>
        <w:rPr>
          <w:rFonts w:hint="eastAsia" w:ascii="宋体" w:hAnsi="宋体" w:eastAsia="宋体" w:cs="宋体"/>
          <w:b/>
          <w:bCs/>
          <w:sz w:val="24"/>
          <w:szCs w:val="24"/>
        </w:rPr>
        <w:t>、联系方式</w:t>
      </w:r>
      <w:bookmarkEnd w:id="63"/>
      <w:bookmarkEnd w:id="64"/>
      <w:bookmarkEnd w:id="65"/>
      <w:bookmarkEnd w:id="66"/>
    </w:p>
    <w:p w14:paraId="42AE57C1">
      <w:pPr>
        <w:widowControl/>
        <w:ind w:firstLine="480" w:firstLineChars="200"/>
        <w:jc w:val="left"/>
        <w:rPr>
          <w:rFonts w:ascii="宋体" w:hAnsi="宋体" w:eastAsia="宋体" w:cs="宋体"/>
          <w:sz w:val="24"/>
          <w:szCs w:val="24"/>
        </w:rPr>
      </w:pPr>
      <w:r>
        <w:rPr>
          <w:rFonts w:hint="eastAsia" w:ascii="宋体" w:hAnsi="宋体" w:eastAsia="宋体" w:cs="宋体"/>
          <w:sz w:val="24"/>
          <w:szCs w:val="24"/>
        </w:rPr>
        <w:t>（一）采购人：</w:t>
      </w:r>
      <w:r>
        <w:rPr>
          <w:rFonts w:hint="eastAsia" w:ascii="宋体" w:hAnsi="宋体" w:eastAsia="宋体" w:cs="宋体"/>
          <w:kern w:val="0"/>
          <w:sz w:val="24"/>
          <w:szCs w:val="24"/>
          <w:lang w:bidi="ar"/>
        </w:rPr>
        <w:t>重庆市荣昌区文化和旅游发展委员会</w:t>
      </w:r>
    </w:p>
    <w:p w14:paraId="2860EE25">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1、采购联系人：杨老师</w:t>
      </w:r>
    </w:p>
    <w:p w14:paraId="4C6E8244">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电  话：023-61471976</w:t>
      </w:r>
    </w:p>
    <w:p w14:paraId="24C2AEC4">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2、项目负责人：</w:t>
      </w:r>
      <w:r>
        <w:rPr>
          <w:rFonts w:hint="eastAsia" w:ascii="宋体" w:hAnsi="宋体" w:eastAsia="宋体" w:cs="宋体"/>
          <w:sz w:val="24"/>
          <w:szCs w:val="24"/>
          <w:lang w:val="en-US" w:eastAsia="zh-CN"/>
        </w:rPr>
        <w:t>戴</w:t>
      </w:r>
      <w:r>
        <w:rPr>
          <w:rFonts w:hint="eastAsia" w:ascii="宋体" w:hAnsi="宋体" w:eastAsia="宋体" w:cs="宋体"/>
          <w:sz w:val="24"/>
          <w:szCs w:val="24"/>
        </w:rPr>
        <w:t>老师</w:t>
      </w:r>
    </w:p>
    <w:p w14:paraId="136D03E2">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电  话：</w:t>
      </w:r>
      <w:r>
        <w:rPr>
          <w:rFonts w:hint="eastAsia" w:ascii="宋体" w:hAnsi="宋体"/>
          <w:sz w:val="24"/>
        </w:rPr>
        <w:t>15123303939</w:t>
      </w:r>
    </w:p>
    <w:p w14:paraId="79ADD8DD">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地  址：</w:t>
      </w:r>
      <w:bookmarkStart w:id="438" w:name="_GoBack"/>
      <w:r>
        <w:rPr>
          <w:rFonts w:hint="eastAsia" w:ascii="宋体" w:hAnsi="宋体" w:eastAsia="宋体" w:cs="宋体"/>
          <w:sz w:val="24"/>
          <w:szCs w:val="24"/>
        </w:rPr>
        <w:t>重庆市荣昌区行政中心</w:t>
      </w:r>
      <w:bookmarkEnd w:id="438"/>
    </w:p>
    <w:p w14:paraId="3ECF92D3">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（二）采购代理机构：重庆展辉招标代理有限公司</w:t>
      </w:r>
    </w:p>
    <w:p w14:paraId="08398627">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1、业务联系人：</w:t>
      </w:r>
      <w:r>
        <w:rPr>
          <w:rFonts w:hint="eastAsia" w:ascii="宋体" w:hAnsi="宋体" w:eastAsia="宋体" w:cs="宋体"/>
          <w:sz w:val="24"/>
          <w:szCs w:val="24"/>
          <w:lang w:eastAsia="zh-CN"/>
        </w:rPr>
        <w:t>于</w:t>
      </w:r>
      <w:r>
        <w:rPr>
          <w:rFonts w:hint="eastAsia" w:ascii="宋体" w:hAnsi="宋体" w:eastAsia="宋体" w:cs="宋体"/>
          <w:sz w:val="24"/>
          <w:szCs w:val="24"/>
        </w:rPr>
        <w:t>老师</w:t>
      </w:r>
    </w:p>
    <w:p w14:paraId="1217309E">
      <w:pPr>
        <w:spacing w:line="440" w:lineRule="exact"/>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电  话：1</w:t>
      </w:r>
      <w:r>
        <w:rPr>
          <w:rFonts w:hint="eastAsia" w:ascii="宋体" w:hAnsi="宋体" w:eastAsia="宋体" w:cs="宋体"/>
          <w:sz w:val="24"/>
          <w:szCs w:val="24"/>
          <w:lang w:val="en-US" w:eastAsia="zh-CN"/>
        </w:rPr>
        <w:t>5998966652</w:t>
      </w:r>
    </w:p>
    <w:p w14:paraId="57F825C4">
      <w:pPr>
        <w:spacing w:line="44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地  址：重庆市荣昌区昌龙大道37号瑞尔国际</w:t>
      </w:r>
      <w:r>
        <w:rPr>
          <w:rFonts w:hint="eastAsia" w:ascii="宋体" w:hAnsi="宋体" w:eastAsia="宋体" w:cs="宋体"/>
          <w:sz w:val="24"/>
          <w:szCs w:val="24"/>
          <w:lang w:val="en-US" w:eastAsia="zh-CN"/>
        </w:rPr>
        <w:t>3</w:t>
      </w:r>
      <w:r>
        <w:rPr>
          <w:rFonts w:hint="eastAsia" w:ascii="宋体" w:hAnsi="宋体" w:eastAsia="宋体" w:cs="宋体"/>
          <w:sz w:val="24"/>
          <w:szCs w:val="24"/>
        </w:rPr>
        <w:t>号楼</w:t>
      </w:r>
      <w:r>
        <w:rPr>
          <w:rFonts w:hint="eastAsia" w:ascii="宋体" w:hAnsi="宋体" w:eastAsia="宋体" w:cs="宋体"/>
          <w:sz w:val="24"/>
          <w:szCs w:val="24"/>
          <w:lang w:val="en-US" w:eastAsia="zh-CN"/>
        </w:rPr>
        <w:t>808</w:t>
      </w:r>
    </w:p>
    <w:p w14:paraId="794DE4B1">
      <w:pPr>
        <w:pStyle w:val="4"/>
        <w:spacing w:line="440" w:lineRule="exact"/>
        <w:jc w:val="both"/>
        <w:rPr>
          <w:rFonts w:ascii="宋体" w:hAnsi="宋体" w:eastAsia="宋体" w:cs="宋体"/>
          <w:bCs/>
          <w:color w:val="000000"/>
          <w:sz w:val="36"/>
          <w:szCs w:val="30"/>
        </w:rPr>
      </w:pPr>
      <w:r>
        <w:rPr>
          <w:rFonts w:hint="eastAsia" w:ascii="宋体" w:hAnsi="宋体" w:eastAsia="宋体" w:cs="宋体"/>
        </w:rPr>
        <w:br w:type="page"/>
      </w:r>
      <w:bookmarkStart w:id="67" w:name="_Toc13085"/>
      <w:bookmarkStart w:id="68" w:name="_Toc17873"/>
      <w:bookmarkStart w:id="69" w:name="_Toc5359"/>
      <w:bookmarkStart w:id="70" w:name="_Toc872"/>
      <w:r>
        <w:rPr>
          <w:rFonts w:hint="eastAsia" w:ascii="宋体" w:hAnsi="宋体" w:eastAsia="宋体" w:cs="宋体"/>
          <w:lang w:val="en-US" w:eastAsia="zh-CN"/>
        </w:rPr>
        <w:t xml:space="preserve">            </w:t>
      </w:r>
      <w:bookmarkStart w:id="71" w:name="_Toc23947"/>
      <w:r>
        <w:rPr>
          <w:rFonts w:hint="eastAsia" w:ascii="宋体" w:hAnsi="宋体" w:eastAsia="宋体" w:cs="宋体"/>
          <w:bCs/>
          <w:color w:val="000000"/>
          <w:sz w:val="36"/>
          <w:szCs w:val="30"/>
        </w:rPr>
        <w:t>第</w:t>
      </w:r>
      <w:r>
        <w:rPr>
          <w:rFonts w:hint="eastAsia" w:ascii="宋体" w:hAnsi="宋体" w:eastAsia="宋体" w:cs="宋体"/>
          <w:bCs/>
          <w:color w:val="000000"/>
          <w:sz w:val="36"/>
          <w:szCs w:val="30"/>
          <w:lang w:eastAsia="zh-CN"/>
        </w:rPr>
        <w:t>二</w:t>
      </w:r>
      <w:r>
        <w:rPr>
          <w:rFonts w:hint="eastAsia" w:ascii="宋体" w:hAnsi="宋体" w:eastAsia="宋体" w:cs="宋体"/>
          <w:bCs/>
          <w:color w:val="000000"/>
          <w:sz w:val="36"/>
          <w:szCs w:val="30"/>
        </w:rPr>
        <w:t>篇  谈判项目信息及技术需求</w:t>
      </w:r>
      <w:bookmarkEnd w:id="67"/>
      <w:bookmarkEnd w:id="68"/>
      <w:bookmarkEnd w:id="69"/>
      <w:bookmarkEnd w:id="70"/>
      <w:bookmarkEnd w:id="71"/>
    </w:p>
    <w:p w14:paraId="32F83EC7">
      <w:pPr>
        <w:pStyle w:val="5"/>
        <w:spacing w:before="0" w:after="0" w:line="440" w:lineRule="exact"/>
        <w:ind w:firstLine="482" w:firstLineChars="200"/>
        <w:rPr>
          <w:rFonts w:hint="eastAsia" w:ascii="宋体" w:hAnsi="宋体" w:eastAsia="宋体" w:cs="宋体"/>
          <w:b/>
          <w:bCs/>
          <w:kern w:val="2"/>
          <w:sz w:val="24"/>
          <w:szCs w:val="24"/>
          <w:lang w:val="en-US" w:eastAsia="zh-CN" w:bidi="ar-SA"/>
        </w:rPr>
      </w:pPr>
      <w:bookmarkStart w:id="72" w:name="_Toc31598"/>
      <w:bookmarkStart w:id="73" w:name="_Toc80027302"/>
      <w:bookmarkStart w:id="74" w:name="_Toc16394"/>
      <w:r>
        <w:rPr>
          <w:rFonts w:hint="eastAsia" w:ascii="宋体" w:hAnsi="宋体" w:eastAsia="宋体" w:cs="宋体"/>
          <w:b/>
          <w:bCs/>
          <w:kern w:val="2"/>
          <w:sz w:val="24"/>
          <w:szCs w:val="24"/>
          <w:lang w:val="en-US" w:eastAsia="zh-CN" w:bidi="ar-SA"/>
        </w:rPr>
        <w:t>一、项目</w:t>
      </w:r>
      <w:bookmarkEnd w:id="72"/>
      <w:bookmarkEnd w:id="73"/>
      <w:r>
        <w:rPr>
          <w:rFonts w:hint="eastAsia" w:ascii="宋体" w:hAnsi="宋体" w:cs="宋体"/>
          <w:b/>
          <w:bCs/>
          <w:kern w:val="2"/>
          <w:sz w:val="24"/>
          <w:szCs w:val="24"/>
          <w:lang w:val="en-US" w:eastAsia="zh-CN" w:bidi="ar-SA"/>
        </w:rPr>
        <w:t>内容</w:t>
      </w:r>
      <w:bookmarkEnd w:id="74"/>
    </w:p>
    <w:p w14:paraId="014DFADC">
      <w:pPr>
        <w:spacing w:line="400" w:lineRule="exact"/>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详见工程量清单。</w:t>
      </w:r>
    </w:p>
    <w:p w14:paraId="2B0C8257">
      <w:pPr>
        <w:spacing w:line="400" w:lineRule="exact"/>
        <w:ind w:firstLine="482" w:firstLineChars="200"/>
        <w:rPr>
          <w:rFonts w:hint="default" w:ascii="宋体" w:hAnsi="宋体" w:eastAsia="宋体" w:cs="宋体"/>
          <w:b/>
          <w:bCs/>
          <w:kern w:val="2"/>
          <w:sz w:val="24"/>
          <w:szCs w:val="24"/>
          <w:lang w:val="en-US" w:eastAsia="zh-CN" w:bidi="ar-SA"/>
        </w:rPr>
      </w:pPr>
      <w:bookmarkStart w:id="75" w:name="_Toc27236"/>
      <w:bookmarkStart w:id="76" w:name="_Toc21599"/>
      <w:bookmarkStart w:id="77" w:name="_Toc17068"/>
      <w:bookmarkStart w:id="78" w:name="_Toc7818"/>
      <w:r>
        <w:rPr>
          <w:rFonts w:hint="eastAsia" w:ascii="宋体" w:hAnsi="宋体" w:eastAsia="宋体" w:cs="宋体"/>
          <w:b/>
          <w:bCs/>
          <w:kern w:val="2"/>
          <w:sz w:val="24"/>
          <w:szCs w:val="24"/>
          <w:lang w:val="en-US" w:eastAsia="zh-CN" w:bidi="ar-SA"/>
        </w:rPr>
        <w:t>二、</w:t>
      </w:r>
      <w:bookmarkEnd w:id="75"/>
      <w:bookmarkEnd w:id="76"/>
      <w:bookmarkEnd w:id="77"/>
      <w:bookmarkEnd w:id="78"/>
      <w:r>
        <w:rPr>
          <w:rFonts w:hint="eastAsia" w:ascii="宋体" w:hAnsi="宋体" w:eastAsia="宋体" w:cs="宋体"/>
          <w:b/>
          <w:bCs/>
          <w:kern w:val="2"/>
          <w:sz w:val="24"/>
          <w:szCs w:val="24"/>
          <w:lang w:val="en-US" w:eastAsia="zh-CN" w:bidi="ar-SA"/>
        </w:rPr>
        <w:t>采购相关要求</w:t>
      </w:r>
    </w:p>
    <w:p w14:paraId="377ADC9B">
      <w:pPr>
        <w:spacing w:line="400" w:lineRule="exact"/>
        <w:ind w:firstLine="480" w:firstLineChars="200"/>
        <w:rPr>
          <w:rFonts w:hint="eastAsia" w:ascii="宋体" w:hAnsi="宋体" w:eastAsia="宋体" w:cs="宋体"/>
          <w:color w:val="auto"/>
          <w:kern w:val="0"/>
          <w:sz w:val="24"/>
          <w:szCs w:val="24"/>
        </w:rPr>
      </w:pPr>
      <w:r>
        <w:rPr>
          <w:rFonts w:hint="eastAsia" w:ascii="宋体" w:hAnsi="宋体" w:eastAsia="宋体" w:cs="宋体"/>
          <w:color w:val="auto"/>
          <w:kern w:val="0"/>
          <w:sz w:val="24"/>
          <w:szCs w:val="24"/>
        </w:rPr>
        <w:t>1、</w:t>
      </w:r>
      <w:r>
        <w:rPr>
          <w:rFonts w:hint="eastAsia" w:ascii="宋体" w:hAnsi="宋体" w:eastAsia="宋体" w:cs="宋体"/>
          <w:color w:val="auto"/>
          <w:kern w:val="0"/>
          <w:sz w:val="24"/>
          <w:szCs w:val="24"/>
          <w:lang w:eastAsia="zh-CN"/>
        </w:rPr>
        <w:t>本项目</w:t>
      </w:r>
      <w:r>
        <w:rPr>
          <w:rFonts w:hint="eastAsia" w:ascii="宋体" w:hAnsi="宋体" w:eastAsia="宋体" w:cs="宋体"/>
          <w:color w:val="auto"/>
          <w:kern w:val="0"/>
          <w:sz w:val="24"/>
          <w:szCs w:val="24"/>
        </w:rPr>
        <w:t>采用的</w:t>
      </w:r>
      <w:r>
        <w:rPr>
          <w:rFonts w:hint="eastAsia" w:ascii="宋体" w:hAnsi="宋体" w:eastAsia="宋体" w:cs="宋体"/>
          <w:color w:val="auto"/>
          <w:kern w:val="0"/>
          <w:sz w:val="24"/>
          <w:szCs w:val="24"/>
          <w:lang w:eastAsia="zh-CN"/>
        </w:rPr>
        <w:t>油漆</w:t>
      </w:r>
      <w:r>
        <w:rPr>
          <w:rFonts w:hint="eastAsia" w:ascii="宋体" w:hAnsi="宋体" w:eastAsia="宋体" w:cs="宋体"/>
          <w:color w:val="auto"/>
          <w:kern w:val="0"/>
          <w:sz w:val="24"/>
          <w:szCs w:val="24"/>
        </w:rPr>
        <w:t>产品必须符合国家颁布或行业规定要求</w:t>
      </w:r>
      <w:r>
        <w:rPr>
          <w:rFonts w:hint="eastAsia" w:ascii="宋体" w:hAnsi="宋体" w:eastAsia="宋体" w:cs="宋体"/>
          <w:color w:val="auto"/>
          <w:kern w:val="0"/>
          <w:sz w:val="24"/>
          <w:szCs w:val="24"/>
          <w:lang w:eastAsia="zh-CN"/>
        </w:rPr>
        <w:t>（提供检验报告，原件备查）。</w:t>
      </w:r>
    </w:p>
    <w:p w14:paraId="709A872B">
      <w:pPr>
        <w:spacing w:line="400" w:lineRule="exact"/>
        <w:ind w:firstLine="480" w:firstLineChars="200"/>
        <w:rPr>
          <w:rFonts w:hint="default" w:ascii="宋体" w:hAnsi="宋体" w:eastAsia="宋体" w:cs="宋体"/>
          <w:color w:val="auto"/>
          <w:kern w:val="0"/>
          <w:sz w:val="24"/>
          <w:szCs w:val="24"/>
          <w:lang w:val="en-US" w:eastAsia="zh-CN"/>
        </w:rPr>
      </w:pPr>
      <w:r>
        <w:rPr>
          <w:rFonts w:hint="eastAsia" w:ascii="宋体" w:hAnsi="宋体" w:eastAsia="宋体" w:cs="宋体"/>
          <w:color w:val="auto"/>
          <w:kern w:val="0"/>
          <w:sz w:val="24"/>
          <w:szCs w:val="24"/>
        </w:rPr>
        <w:t>2</w:t>
      </w:r>
      <w:r>
        <w:rPr>
          <w:rFonts w:hint="eastAsia" w:ascii="宋体" w:hAnsi="宋体" w:eastAsia="宋体" w:cs="宋体"/>
          <w:color w:val="auto"/>
          <w:kern w:val="0"/>
          <w:sz w:val="24"/>
          <w:szCs w:val="24"/>
          <w:lang w:eastAsia="zh-CN"/>
        </w:rPr>
        <w:t>、成交供应商签订合同后及时将油漆产品送至采购人指定检测机构进行检验，取得满足要求的检验报告</w:t>
      </w:r>
      <w:r>
        <w:rPr>
          <w:rFonts w:hint="eastAsia" w:ascii="宋体" w:hAnsi="宋体" w:eastAsia="宋体" w:cs="宋体"/>
          <w:color w:val="auto"/>
          <w:kern w:val="0"/>
          <w:sz w:val="24"/>
          <w:szCs w:val="24"/>
          <w:lang w:val="en-US" w:eastAsia="zh-CN"/>
        </w:rPr>
        <w:t>证明</w:t>
      </w:r>
      <w:r>
        <w:rPr>
          <w:rFonts w:hint="eastAsia" w:ascii="宋体" w:hAnsi="宋体" w:eastAsia="宋体" w:cs="宋体"/>
          <w:color w:val="auto"/>
          <w:kern w:val="0"/>
          <w:sz w:val="24"/>
          <w:szCs w:val="24"/>
          <w:lang w:eastAsia="zh-CN"/>
        </w:rPr>
        <w:t>经采购单位同意后方可进场施工，</w:t>
      </w:r>
      <w:r>
        <w:rPr>
          <w:rFonts w:hint="eastAsia" w:ascii="宋体" w:hAnsi="宋体" w:eastAsia="宋体" w:cs="宋体"/>
          <w:color w:val="auto"/>
          <w:kern w:val="0"/>
          <w:sz w:val="24"/>
          <w:szCs w:val="24"/>
          <w:lang w:val="en-US" w:eastAsia="zh-CN"/>
        </w:rPr>
        <w:t>相关费用由成交供应商承担。</w:t>
      </w:r>
    </w:p>
    <w:p w14:paraId="1AE55D23">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3、</w:t>
      </w:r>
      <w:r>
        <w:rPr>
          <w:rFonts w:hint="eastAsia" w:ascii="宋体" w:hAnsi="宋体" w:eastAsia="宋体" w:cs="宋体"/>
          <w:kern w:val="0"/>
          <w:sz w:val="24"/>
          <w:szCs w:val="24"/>
          <w:lang w:eastAsia="zh-CN"/>
        </w:rPr>
        <w:t>成交供应商</w:t>
      </w:r>
      <w:r>
        <w:rPr>
          <w:rFonts w:hint="eastAsia" w:ascii="宋体" w:hAnsi="宋体" w:eastAsia="宋体" w:cs="宋体"/>
          <w:kern w:val="0"/>
          <w:sz w:val="24"/>
          <w:szCs w:val="24"/>
        </w:rPr>
        <w:t>须做到安全文明施工，并做好相应的施工安全公告及警戒标识，施工人员需做好安全防护，施工过程中发生的一切安全事故及风险由投标单位自行负责。</w:t>
      </w:r>
    </w:p>
    <w:p w14:paraId="7A62340E">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4</w:t>
      </w:r>
      <w:r>
        <w:rPr>
          <w:rFonts w:hint="eastAsia" w:ascii="宋体" w:hAnsi="宋体" w:eastAsia="宋体" w:cs="宋体"/>
          <w:kern w:val="0"/>
          <w:sz w:val="24"/>
          <w:szCs w:val="24"/>
        </w:rPr>
        <w:t>、工程结算依据：根据采购人或其委托的质量检测部门对项目进行验收，根据实际面积结算。</w:t>
      </w:r>
    </w:p>
    <w:p w14:paraId="291F7EA6">
      <w:pPr>
        <w:spacing w:line="400" w:lineRule="exact"/>
        <w:ind w:firstLine="480" w:firstLineChars="200"/>
        <w:rPr>
          <w:rFonts w:hint="default" w:ascii="宋体" w:hAnsi="宋体" w:eastAsia="宋体" w:cs="宋体"/>
          <w:kern w:val="0"/>
          <w:sz w:val="24"/>
          <w:szCs w:val="24"/>
        </w:rPr>
      </w:pPr>
      <w:r>
        <w:rPr>
          <w:rFonts w:hint="eastAsia" w:ascii="宋体" w:hAnsi="宋体" w:eastAsia="宋体" w:cs="宋体"/>
          <w:kern w:val="0"/>
          <w:sz w:val="24"/>
          <w:szCs w:val="24"/>
          <w:lang w:val="en-US" w:eastAsia="zh-CN"/>
        </w:rPr>
        <w:t>5</w:t>
      </w:r>
      <w:r>
        <w:rPr>
          <w:rFonts w:hint="eastAsia" w:ascii="宋体" w:hAnsi="宋体" w:eastAsia="宋体" w:cs="宋体"/>
          <w:kern w:val="0"/>
          <w:sz w:val="24"/>
          <w:szCs w:val="24"/>
        </w:rPr>
        <w:t>、</w:t>
      </w:r>
      <w:r>
        <w:rPr>
          <w:rFonts w:hint="eastAsia" w:ascii="宋体" w:hAnsi="宋体" w:eastAsia="宋体" w:cs="宋体"/>
          <w:color w:val="auto"/>
          <w:kern w:val="0"/>
          <w:sz w:val="24"/>
          <w:szCs w:val="24"/>
          <w:lang w:eastAsia="zh-CN"/>
        </w:rPr>
        <w:t>现场项目</w:t>
      </w:r>
      <w:r>
        <w:rPr>
          <w:rFonts w:hint="eastAsia" w:ascii="宋体" w:hAnsi="宋体" w:eastAsia="宋体" w:cs="宋体"/>
          <w:color w:val="auto"/>
          <w:kern w:val="0"/>
          <w:sz w:val="24"/>
          <w:szCs w:val="24"/>
        </w:rPr>
        <w:t>负责人应具有工程类专业中级及以上职称</w:t>
      </w:r>
      <w:r>
        <w:rPr>
          <w:rFonts w:hint="eastAsia" w:ascii="宋体" w:hAnsi="宋体" w:eastAsia="宋体" w:cs="宋体"/>
          <w:color w:val="auto"/>
          <w:kern w:val="0"/>
          <w:sz w:val="24"/>
          <w:szCs w:val="24"/>
          <w:lang w:eastAsia="zh-CN"/>
        </w:rPr>
        <w:t>（提供证书复印件</w:t>
      </w:r>
      <w:r>
        <w:rPr>
          <w:rFonts w:hint="eastAsia" w:ascii="宋体" w:hAnsi="宋体" w:eastAsia="宋体" w:cs="宋体"/>
          <w:color w:val="0000FF"/>
          <w:kern w:val="0"/>
          <w:sz w:val="24"/>
          <w:szCs w:val="24"/>
          <w:lang w:eastAsia="zh-CN"/>
        </w:rPr>
        <w:t>）</w:t>
      </w:r>
      <w:r>
        <w:rPr>
          <w:rFonts w:hint="eastAsia" w:ascii="宋体" w:hAnsi="宋体" w:eastAsia="宋体" w:cs="宋体"/>
          <w:kern w:val="0"/>
          <w:sz w:val="24"/>
          <w:szCs w:val="24"/>
        </w:rPr>
        <w:t>。</w:t>
      </w:r>
    </w:p>
    <w:p w14:paraId="13C19360">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6</w:t>
      </w:r>
      <w:r>
        <w:rPr>
          <w:rFonts w:hint="eastAsia" w:ascii="宋体" w:hAnsi="宋体" w:eastAsia="宋体" w:cs="宋体"/>
          <w:kern w:val="0"/>
          <w:sz w:val="24"/>
          <w:szCs w:val="24"/>
        </w:rPr>
        <w:t>、符合高空作业规范管理：</w:t>
      </w:r>
    </w:p>
    <w:p w14:paraId="48D536EF">
      <w:pPr>
        <w:spacing w:line="400" w:lineRule="exact"/>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6.1 成交供应商签订合同时须提供现场项目负责人和高空作业人员的意外保险资料（提供复印件，原件备查），投标（响应）文件里所列人员与实际现场项目负责人和高空作业人员须保持一致。</w:t>
      </w:r>
    </w:p>
    <w:p w14:paraId="1A3D918D">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6.2 从事高空作</w:t>
      </w:r>
      <w:r>
        <w:rPr>
          <w:rFonts w:hint="eastAsia" w:ascii="宋体" w:hAnsi="宋体" w:eastAsia="宋体" w:cs="宋体"/>
          <w:kern w:val="0"/>
          <w:sz w:val="24"/>
          <w:szCs w:val="24"/>
        </w:rPr>
        <w:t>业的人员，必须进行身体检查。凡患有高血压、心脏病、癫痫症、恐高症及其他不适应高空作业的人，一律不准从事高空作业。</w:t>
      </w:r>
    </w:p>
    <w:p w14:paraId="78430634">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 xml:space="preserve">6.3 </w:t>
      </w:r>
      <w:r>
        <w:rPr>
          <w:rFonts w:hint="eastAsia" w:ascii="宋体" w:hAnsi="宋体" w:eastAsia="宋体" w:cs="宋体"/>
          <w:kern w:val="0"/>
          <w:sz w:val="24"/>
          <w:szCs w:val="24"/>
        </w:rPr>
        <w:t>高空作业前，应仔细检查安全用具，如安全帽、安全带、梯子、跳板、脚手架等，如有不符合要求的应立即改进或拒绝登高作业。</w:t>
      </w:r>
    </w:p>
    <w:p w14:paraId="3F8895AD">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 xml:space="preserve">6.4 </w:t>
      </w:r>
      <w:r>
        <w:rPr>
          <w:rFonts w:hint="eastAsia" w:ascii="宋体" w:hAnsi="宋体" w:eastAsia="宋体" w:cs="宋体"/>
          <w:kern w:val="0"/>
          <w:sz w:val="24"/>
          <w:szCs w:val="24"/>
        </w:rPr>
        <w:t>所有高空作业人员，不准穿硬底鞋，一律使用安全带。安全带一般应高挂低用，即将安全带绳端的钩子挂在高的地方，而人在较低处进行作业。</w:t>
      </w:r>
    </w:p>
    <w:p w14:paraId="1890DA09">
      <w:pPr>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lang w:val="en-US" w:eastAsia="zh-CN"/>
        </w:rPr>
        <w:t xml:space="preserve">6.5 </w:t>
      </w:r>
      <w:r>
        <w:rPr>
          <w:rFonts w:hint="eastAsia" w:ascii="宋体" w:hAnsi="宋体" w:eastAsia="宋体" w:cs="宋体"/>
          <w:kern w:val="0"/>
          <w:sz w:val="24"/>
          <w:szCs w:val="24"/>
        </w:rPr>
        <w:t>高空作业人员不准从高空往地面抛掷物件，也不准从地面上往高空抛物件，应使用绳索、吊篮等传递物件</w:t>
      </w:r>
      <w:r>
        <w:rPr>
          <w:rFonts w:hint="eastAsia" w:ascii="宋体" w:hAnsi="宋体" w:eastAsia="宋体" w:cs="宋体"/>
          <w:kern w:val="0"/>
          <w:sz w:val="24"/>
          <w:szCs w:val="24"/>
          <w:lang w:eastAsia="zh-CN"/>
        </w:rPr>
        <w:t>，</w:t>
      </w:r>
      <w:r>
        <w:rPr>
          <w:rFonts w:hint="eastAsia" w:ascii="宋体" w:hAnsi="宋体" w:eastAsia="宋体" w:cs="宋体"/>
          <w:kern w:val="0"/>
          <w:sz w:val="24"/>
          <w:szCs w:val="24"/>
        </w:rPr>
        <w:t>特殊情况下，如果必须从高空往地面抛掷物件时，地面应有人看管，以确保不伤害他人和损坏设备。</w:t>
      </w:r>
    </w:p>
    <w:p w14:paraId="321250CE">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lang w:val="en-US" w:eastAsia="zh-CN"/>
        </w:rPr>
        <w:t xml:space="preserve">6.6 </w:t>
      </w:r>
      <w:r>
        <w:rPr>
          <w:rFonts w:hint="eastAsia" w:ascii="宋体" w:hAnsi="宋体" w:eastAsia="宋体" w:cs="宋体"/>
          <w:kern w:val="0"/>
          <w:sz w:val="24"/>
          <w:szCs w:val="24"/>
        </w:rPr>
        <w:t>高空作业区的下方地面，严禁堆放脚手架、跳板或其他杂物，地面人员应禁止在高空作业区的正下方停留或通行。</w:t>
      </w:r>
    </w:p>
    <w:p w14:paraId="3ED122DD">
      <w:pPr>
        <w:spacing w:line="400" w:lineRule="exact"/>
        <w:ind w:firstLine="480" w:firstLineChars="200"/>
        <w:rPr>
          <w:rFonts w:hint="default" w:ascii="宋体" w:hAnsi="宋体" w:eastAsia="宋体" w:cs="宋体"/>
          <w:kern w:val="0"/>
          <w:sz w:val="24"/>
          <w:szCs w:val="24"/>
          <w:lang w:val="en-US" w:eastAsia="zh-CN"/>
        </w:rPr>
      </w:pPr>
      <w:r>
        <w:rPr>
          <w:rFonts w:hint="eastAsia" w:ascii="宋体" w:hAnsi="宋体" w:eastAsia="宋体" w:cs="宋体"/>
          <w:kern w:val="0"/>
          <w:sz w:val="24"/>
          <w:szCs w:val="24"/>
          <w:lang w:val="en-US" w:eastAsia="zh-CN"/>
        </w:rPr>
        <w:t xml:space="preserve">6.7 </w:t>
      </w:r>
      <w:r>
        <w:rPr>
          <w:rFonts w:hint="eastAsia" w:ascii="宋体" w:hAnsi="宋体" w:eastAsia="宋体" w:cs="宋体"/>
          <w:kern w:val="0"/>
          <w:sz w:val="24"/>
          <w:szCs w:val="24"/>
        </w:rPr>
        <w:t>作业</w:t>
      </w:r>
      <w:r>
        <w:rPr>
          <w:rFonts w:hint="eastAsia" w:ascii="宋体" w:hAnsi="宋体" w:eastAsia="宋体" w:cs="宋体"/>
          <w:kern w:val="0"/>
          <w:sz w:val="24"/>
          <w:szCs w:val="24"/>
          <w:lang w:val="en-US" w:eastAsia="zh-CN"/>
        </w:rPr>
        <w:t>期间，禁止饮酒。</w:t>
      </w:r>
    </w:p>
    <w:p w14:paraId="750CF1DB">
      <w:pPr>
        <w:numPr>
          <w:ilvl w:val="0"/>
          <w:numId w:val="0"/>
        </w:numPr>
        <w:rPr>
          <w:rFonts w:hint="eastAsia"/>
          <w:lang w:val="en-US" w:eastAsia="zh-CN"/>
        </w:rPr>
      </w:pPr>
    </w:p>
    <w:p w14:paraId="3766C5AD">
      <w:pPr>
        <w:numPr>
          <w:ilvl w:val="0"/>
          <w:numId w:val="0"/>
        </w:numPr>
        <w:spacing w:line="400" w:lineRule="exact"/>
        <w:jc w:val="both"/>
        <w:outlineLvl w:val="1"/>
        <w:rPr>
          <w:rFonts w:ascii="宋体" w:hAnsi="宋体" w:eastAsia="宋体" w:cs="宋体"/>
          <w:b/>
          <w:bCs/>
          <w:color w:val="000000"/>
          <w:sz w:val="36"/>
          <w:szCs w:val="30"/>
        </w:rPr>
      </w:pPr>
      <w:r>
        <w:rPr>
          <w:rFonts w:hint="eastAsia" w:ascii="宋体" w:hAnsi="宋体" w:eastAsia="宋体" w:cs="宋体"/>
          <w:kern w:val="0"/>
          <w:sz w:val="24"/>
          <w:szCs w:val="24"/>
        </w:rPr>
        <w:br w:type="page"/>
      </w:r>
      <w:bookmarkStart w:id="79" w:name="_Toc29404"/>
      <w:bookmarkStart w:id="80" w:name="_Toc12873"/>
      <w:bookmarkStart w:id="81" w:name="_Toc7016"/>
      <w:r>
        <w:rPr>
          <w:rFonts w:hint="eastAsia" w:ascii="宋体" w:hAnsi="宋体" w:eastAsia="宋体" w:cs="宋体"/>
          <w:kern w:val="0"/>
          <w:sz w:val="24"/>
          <w:szCs w:val="24"/>
          <w:lang w:val="en-US" w:eastAsia="zh-CN"/>
        </w:rPr>
        <w:t xml:space="preserve">             </w:t>
      </w:r>
      <w:bookmarkStart w:id="82" w:name="_Toc11860"/>
      <w:r>
        <w:rPr>
          <w:rFonts w:hint="eastAsia" w:ascii="宋体" w:hAnsi="宋体" w:eastAsia="宋体" w:cs="宋体"/>
          <w:kern w:val="0"/>
          <w:sz w:val="24"/>
          <w:szCs w:val="24"/>
          <w:lang w:val="en-US" w:eastAsia="zh-CN"/>
        </w:rPr>
        <w:t xml:space="preserve">          </w:t>
      </w:r>
      <w:r>
        <w:rPr>
          <w:rFonts w:hint="eastAsia" w:ascii="宋体" w:hAnsi="宋体" w:eastAsia="宋体" w:cs="宋体"/>
          <w:b/>
          <w:bCs/>
          <w:color w:val="000000"/>
          <w:sz w:val="36"/>
          <w:szCs w:val="36"/>
        </w:rPr>
        <w:t>第</w:t>
      </w:r>
      <w:r>
        <w:rPr>
          <w:rFonts w:hint="eastAsia" w:ascii="宋体" w:hAnsi="宋体" w:eastAsia="宋体" w:cs="宋体"/>
          <w:b/>
          <w:bCs/>
          <w:color w:val="000000"/>
          <w:sz w:val="36"/>
          <w:szCs w:val="36"/>
          <w:lang w:eastAsia="zh-CN"/>
        </w:rPr>
        <w:t>三</w:t>
      </w:r>
      <w:r>
        <w:rPr>
          <w:rFonts w:hint="eastAsia" w:ascii="宋体" w:hAnsi="宋体" w:eastAsia="宋体" w:cs="宋体"/>
          <w:b/>
          <w:bCs/>
          <w:color w:val="000000"/>
          <w:sz w:val="36"/>
          <w:szCs w:val="36"/>
        </w:rPr>
        <w:t>篇  谈判项目商务需求</w:t>
      </w:r>
      <w:bookmarkEnd w:id="79"/>
      <w:bookmarkEnd w:id="80"/>
      <w:bookmarkEnd w:id="81"/>
      <w:bookmarkEnd w:id="82"/>
    </w:p>
    <w:p w14:paraId="13F6C5E4">
      <w:pPr>
        <w:pStyle w:val="5"/>
        <w:spacing w:before="0" w:after="0" w:line="400" w:lineRule="exact"/>
        <w:ind w:firstLine="482" w:firstLineChars="200"/>
        <w:rPr>
          <w:rFonts w:ascii="宋体" w:hAnsi="宋体" w:cs="宋体"/>
          <w:sz w:val="24"/>
          <w:szCs w:val="24"/>
        </w:rPr>
      </w:pPr>
      <w:bookmarkStart w:id="83" w:name="_Toc26258"/>
      <w:bookmarkStart w:id="84" w:name="_Toc7912"/>
      <w:bookmarkStart w:id="85" w:name="_Toc10201"/>
      <w:bookmarkStart w:id="86" w:name="_Toc24421"/>
      <w:bookmarkStart w:id="87" w:name="_Toc7191"/>
      <w:r>
        <w:rPr>
          <w:rFonts w:hint="eastAsia" w:ascii="宋体" w:hAnsi="宋体" w:cs="宋体"/>
          <w:sz w:val="24"/>
          <w:szCs w:val="24"/>
        </w:rPr>
        <w:t>一、</w:t>
      </w:r>
      <w:r>
        <w:rPr>
          <w:rFonts w:hint="eastAsia" w:ascii="宋体" w:hAnsi="宋体" w:cs="宋体"/>
          <w:sz w:val="24"/>
          <w:szCs w:val="24"/>
          <w:lang w:val="en-US" w:eastAsia="zh-CN"/>
        </w:rPr>
        <w:t>实施</w:t>
      </w:r>
      <w:r>
        <w:rPr>
          <w:rFonts w:hint="eastAsia" w:ascii="宋体" w:hAnsi="宋体" w:cs="宋体"/>
          <w:sz w:val="24"/>
          <w:szCs w:val="24"/>
        </w:rPr>
        <w:t>时间、地点及验收方式</w:t>
      </w:r>
      <w:bookmarkEnd w:id="83"/>
      <w:bookmarkEnd w:id="84"/>
      <w:bookmarkEnd w:id="85"/>
      <w:bookmarkEnd w:id="86"/>
      <w:bookmarkEnd w:id="87"/>
    </w:p>
    <w:p w14:paraId="7398485A">
      <w:pPr>
        <w:spacing w:line="4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一</w:t>
      </w:r>
      <w:r>
        <w:rPr>
          <w:rFonts w:hint="eastAsia" w:ascii="宋体" w:hAnsi="宋体" w:eastAsia="宋体" w:cs="宋体"/>
          <w:sz w:val="24"/>
          <w:szCs w:val="24"/>
        </w:rPr>
        <w:t>）实施时间</w:t>
      </w:r>
    </w:p>
    <w:p w14:paraId="4BF3684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lang w:val="en-US" w:eastAsia="zh-CN"/>
        </w:rPr>
        <w:t>成</w:t>
      </w:r>
      <w:r>
        <w:rPr>
          <w:rFonts w:hint="eastAsia" w:ascii="宋体" w:hAnsi="宋体" w:eastAsia="宋体" w:cs="宋体"/>
          <w:color w:val="auto"/>
          <w:sz w:val="24"/>
          <w:szCs w:val="24"/>
          <w:lang w:val="en-US" w:eastAsia="zh-CN"/>
        </w:rPr>
        <w:t>交</w:t>
      </w:r>
      <w:r>
        <w:rPr>
          <w:rFonts w:hint="eastAsia" w:ascii="宋体" w:hAnsi="宋体" w:eastAsia="宋体" w:cs="宋体"/>
          <w:color w:val="auto"/>
          <w:kern w:val="0"/>
          <w:sz w:val="24"/>
          <w:szCs w:val="24"/>
        </w:rPr>
        <w:t>供应商签订合同后</w:t>
      </w:r>
      <w:r>
        <w:rPr>
          <w:rFonts w:hint="eastAsia" w:ascii="宋体" w:hAnsi="宋体" w:eastAsia="宋体" w:cs="宋体"/>
          <w:color w:val="auto"/>
          <w:kern w:val="0"/>
          <w:sz w:val="24"/>
          <w:szCs w:val="24"/>
          <w:lang w:eastAsia="zh-CN"/>
        </w:rPr>
        <w:t>，</w:t>
      </w:r>
      <w:r>
        <w:rPr>
          <w:rFonts w:hint="eastAsia" w:ascii="宋体" w:hAnsi="宋体" w:eastAsia="宋体" w:cs="宋体"/>
          <w:kern w:val="0"/>
          <w:sz w:val="24"/>
          <w:szCs w:val="24"/>
          <w:lang w:val="en-US" w:eastAsia="zh-CN"/>
        </w:rPr>
        <w:t>现场项目负责人和高空作业人员的</w:t>
      </w:r>
      <w:r>
        <w:rPr>
          <w:rFonts w:hint="eastAsia" w:ascii="宋体" w:hAnsi="宋体" w:eastAsia="宋体" w:cs="宋体"/>
          <w:color w:val="auto"/>
          <w:kern w:val="0"/>
          <w:sz w:val="24"/>
          <w:szCs w:val="24"/>
          <w:lang w:val="en-US" w:eastAsia="zh-CN"/>
        </w:rPr>
        <w:t>意外保险生效，油漆产品检验合格后施工开始计算，</w:t>
      </w:r>
      <w:r>
        <w:rPr>
          <w:rFonts w:ascii="宋体" w:hAnsi="宋体" w:eastAsia="宋体" w:cs="宋体"/>
          <w:color w:val="auto"/>
          <w:kern w:val="0"/>
          <w:sz w:val="24"/>
          <w:szCs w:val="24"/>
        </w:rPr>
        <w:t>30</w:t>
      </w:r>
      <w:r>
        <w:rPr>
          <w:rFonts w:hint="eastAsia" w:ascii="宋体" w:hAnsi="宋体" w:eastAsia="宋体" w:cs="宋体"/>
          <w:color w:val="auto"/>
          <w:kern w:val="0"/>
          <w:sz w:val="24"/>
          <w:szCs w:val="24"/>
        </w:rPr>
        <w:t>天内完成</w:t>
      </w:r>
      <w:r>
        <w:rPr>
          <w:rFonts w:hint="eastAsia" w:ascii="宋体" w:hAnsi="宋体" w:eastAsia="宋体" w:cs="宋体"/>
          <w:color w:val="auto"/>
          <w:kern w:val="0"/>
          <w:sz w:val="24"/>
          <w:szCs w:val="24"/>
          <w:lang w:eastAsia="zh-CN"/>
        </w:rPr>
        <w:t>本</w:t>
      </w:r>
      <w:r>
        <w:rPr>
          <w:rFonts w:hint="eastAsia" w:ascii="宋体" w:hAnsi="宋体" w:eastAsia="宋体" w:cs="宋体"/>
          <w:kern w:val="0"/>
          <w:sz w:val="24"/>
          <w:szCs w:val="24"/>
          <w:lang w:val="en-US" w:eastAsia="zh-CN"/>
        </w:rPr>
        <w:t>项目</w:t>
      </w:r>
      <w:r>
        <w:rPr>
          <w:rFonts w:hint="eastAsia" w:ascii="宋体" w:hAnsi="宋体" w:eastAsia="宋体" w:cs="宋体"/>
          <w:kern w:val="0"/>
          <w:sz w:val="24"/>
          <w:szCs w:val="24"/>
        </w:rPr>
        <w:t>。</w:t>
      </w:r>
    </w:p>
    <w:p w14:paraId="69FB3F86">
      <w:pPr>
        <w:numPr>
          <w:ilvl w:val="0"/>
          <w:numId w:val="14"/>
        </w:numPr>
        <w:spacing w:line="400" w:lineRule="exact"/>
        <w:ind w:firstLine="480" w:firstLineChars="200"/>
        <w:rPr>
          <w:rFonts w:hint="eastAsia" w:ascii="宋体" w:hAnsi="宋体" w:eastAsia="宋体" w:cs="宋体"/>
          <w:sz w:val="24"/>
          <w:szCs w:val="24"/>
        </w:rPr>
      </w:pPr>
      <w:r>
        <w:rPr>
          <w:rFonts w:hint="eastAsia" w:ascii="宋体" w:hAnsi="宋体" w:eastAsia="宋体" w:cs="宋体"/>
          <w:sz w:val="24"/>
          <w:szCs w:val="24"/>
        </w:rPr>
        <w:t>实施地点</w:t>
      </w:r>
    </w:p>
    <w:p w14:paraId="1ABE0522">
      <w:pPr>
        <w:numPr>
          <w:ilvl w:val="0"/>
          <w:numId w:val="0"/>
        </w:numPr>
        <w:spacing w:line="400" w:lineRule="exact"/>
        <w:ind w:firstLine="480" w:firstLineChars="200"/>
        <w:rPr>
          <w:rFonts w:ascii="宋体" w:hAnsi="宋体" w:eastAsia="宋体" w:cs="宋体"/>
          <w:sz w:val="24"/>
          <w:szCs w:val="24"/>
        </w:rPr>
      </w:pPr>
      <w:r>
        <w:rPr>
          <w:rFonts w:hint="eastAsia" w:ascii="宋体" w:hAnsi="宋体" w:eastAsia="宋体" w:cs="宋体"/>
          <w:sz w:val="24"/>
          <w:lang w:val="en-US" w:eastAsia="zh-CN"/>
        </w:rPr>
        <w:t>荣昌区体育馆</w:t>
      </w:r>
      <w:r>
        <w:rPr>
          <w:rFonts w:hint="eastAsia" w:ascii="宋体" w:hAnsi="宋体" w:eastAsia="宋体" w:cs="宋体"/>
          <w:sz w:val="24"/>
          <w:szCs w:val="24"/>
        </w:rPr>
        <w:t>。</w:t>
      </w:r>
    </w:p>
    <w:p w14:paraId="64C9225A">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三</w:t>
      </w:r>
      <w:r>
        <w:rPr>
          <w:rFonts w:hint="eastAsia" w:ascii="宋体" w:hAnsi="宋体" w:eastAsia="宋体" w:cs="宋体"/>
          <w:sz w:val="24"/>
          <w:szCs w:val="24"/>
        </w:rPr>
        <w:t>）验收方式</w:t>
      </w:r>
    </w:p>
    <w:p w14:paraId="56BDE51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采购人或其委托的质量检测部门对项目进行验收，签订验收报告</w:t>
      </w:r>
      <w:r>
        <w:rPr>
          <w:rFonts w:hint="eastAsia" w:ascii="宋体" w:hAnsi="宋体" w:eastAsia="宋体" w:cs="宋体"/>
          <w:sz w:val="24"/>
          <w:szCs w:val="24"/>
          <w:lang w:eastAsia="zh-CN"/>
        </w:rPr>
        <w:t>；</w:t>
      </w:r>
      <w:r>
        <w:rPr>
          <w:rFonts w:hint="eastAsia" w:ascii="宋体" w:hAnsi="宋体" w:eastAsia="宋体" w:cs="宋体"/>
          <w:sz w:val="24"/>
          <w:szCs w:val="24"/>
        </w:rPr>
        <w:t>若验收不合格需要整改的，</w:t>
      </w:r>
      <w:r>
        <w:rPr>
          <w:rFonts w:hint="eastAsia" w:ascii="宋体" w:hAnsi="宋体" w:eastAsia="宋体" w:cs="宋体"/>
          <w:sz w:val="24"/>
          <w:szCs w:val="24"/>
          <w:lang w:val="en-US" w:eastAsia="zh-CN"/>
        </w:rPr>
        <w:t>成交供应商</w:t>
      </w:r>
      <w:r>
        <w:rPr>
          <w:rFonts w:hint="eastAsia" w:ascii="宋体" w:hAnsi="宋体" w:eastAsia="宋体" w:cs="宋体"/>
          <w:sz w:val="24"/>
          <w:szCs w:val="24"/>
        </w:rPr>
        <w:t>需无偿整改直至合格</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相关费用由成交供应商承担</w:t>
      </w:r>
      <w:r>
        <w:rPr>
          <w:rFonts w:hint="eastAsia" w:ascii="宋体" w:hAnsi="宋体" w:eastAsia="宋体" w:cs="宋体"/>
          <w:sz w:val="24"/>
          <w:szCs w:val="24"/>
        </w:rPr>
        <w:t>。</w:t>
      </w:r>
    </w:p>
    <w:p w14:paraId="7D9C0CD8">
      <w:pPr>
        <w:pStyle w:val="5"/>
        <w:spacing w:before="0" w:after="0" w:line="400" w:lineRule="exact"/>
        <w:ind w:firstLine="482" w:firstLineChars="200"/>
        <w:rPr>
          <w:rFonts w:ascii="宋体" w:hAnsi="宋体" w:cs="宋体"/>
          <w:sz w:val="24"/>
          <w:szCs w:val="24"/>
        </w:rPr>
      </w:pPr>
      <w:bookmarkStart w:id="88" w:name="_Toc2891"/>
      <w:bookmarkStart w:id="89" w:name="_Toc13821"/>
      <w:bookmarkStart w:id="90" w:name="_Toc10034"/>
      <w:bookmarkStart w:id="91" w:name="_Toc13752"/>
      <w:bookmarkStart w:id="92" w:name="_Toc29619"/>
      <w:r>
        <w:rPr>
          <w:rFonts w:hint="eastAsia" w:ascii="宋体" w:hAnsi="宋体" w:cs="宋体"/>
          <w:sz w:val="24"/>
          <w:szCs w:val="24"/>
        </w:rPr>
        <w:t>二、质量保证及售后服务</w:t>
      </w:r>
      <w:bookmarkEnd w:id="88"/>
      <w:bookmarkEnd w:id="89"/>
      <w:bookmarkEnd w:id="90"/>
      <w:bookmarkEnd w:id="91"/>
      <w:bookmarkEnd w:id="92"/>
    </w:p>
    <w:p w14:paraId="2D33FCB2">
      <w:pPr>
        <w:spacing w:line="400" w:lineRule="exact"/>
        <w:ind w:firstLine="480" w:firstLineChars="200"/>
        <w:rPr>
          <w:rFonts w:ascii="宋体" w:hAnsi="宋体" w:eastAsia="宋体" w:cs="宋体"/>
          <w:sz w:val="24"/>
          <w:szCs w:val="24"/>
        </w:rPr>
      </w:pPr>
      <w:bookmarkStart w:id="93" w:name="_Toc32425"/>
      <w:bookmarkStart w:id="94" w:name="_Toc6364_WPSOffice_Level2"/>
      <w:bookmarkStart w:id="95" w:name="_Toc26015_WPSOffice_Level2"/>
      <w:bookmarkStart w:id="96" w:name="_Toc11934"/>
      <w:r>
        <w:rPr>
          <w:rFonts w:ascii="宋体" w:hAnsi="宋体" w:eastAsia="宋体" w:cs="宋体"/>
          <w:sz w:val="24"/>
          <w:szCs w:val="24"/>
        </w:rPr>
        <w:t>1</w:t>
      </w:r>
      <w:r>
        <w:rPr>
          <w:rFonts w:hint="eastAsia" w:ascii="宋体" w:hAnsi="宋体" w:eastAsia="宋体" w:cs="宋体"/>
          <w:sz w:val="24"/>
          <w:szCs w:val="24"/>
        </w:rPr>
        <w:t>、质量保证</w:t>
      </w:r>
    </w:p>
    <w:p w14:paraId="2BD2865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 xml:space="preserve">（1）质量要求：整体工程达到国家现行有关施工质量验收规范要求，达到合格标准。 </w:t>
      </w:r>
    </w:p>
    <w:p w14:paraId="3909D82E">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（2）缺陷责任期（工程质量保修期）：本工程质保期为</w:t>
      </w:r>
      <w:r>
        <w:rPr>
          <w:rFonts w:ascii="宋体" w:hAnsi="宋体" w:eastAsia="宋体" w:cs="宋体"/>
          <w:sz w:val="24"/>
          <w:szCs w:val="24"/>
        </w:rPr>
        <w:t>24</w:t>
      </w:r>
      <w:r>
        <w:rPr>
          <w:rFonts w:hint="eastAsia" w:ascii="宋体" w:hAnsi="宋体" w:eastAsia="宋体" w:cs="宋体"/>
          <w:sz w:val="24"/>
          <w:szCs w:val="24"/>
        </w:rPr>
        <w:t>个月，承包人应按工程质量保修规定对承包的所有工程进行保修。</w:t>
      </w:r>
    </w:p>
    <w:p w14:paraId="189A6B5B">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（3）质量保修期自工程竣工验收合格之日起计算。</w:t>
      </w:r>
    </w:p>
    <w:p w14:paraId="5AF40759">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2、售后服务</w:t>
      </w:r>
    </w:p>
    <w:p w14:paraId="368D0EDA">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供应商和厂家在服务期内应当为采购人提供以下技术支持服务：</w:t>
      </w:r>
    </w:p>
    <w:p w14:paraId="66F4CF42">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1、质量保证期内服务要求</w:t>
      </w:r>
    </w:p>
    <w:p w14:paraId="16FE4A0B">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1.1电话咨询</w:t>
      </w:r>
    </w:p>
    <w:p w14:paraId="5461E85B">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成交供应商和厂家应当为用户提供技术援助电话，解答用户在使用中遇到的问题，及时为用户提出解决问题的建议。</w:t>
      </w:r>
    </w:p>
    <w:p w14:paraId="78B4ECAA">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1.2现场响应</w:t>
      </w:r>
    </w:p>
    <w:p w14:paraId="576EEC44">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用户遇到使用及技术问题，电话咨询不能解决的，成交供应商或厂家应在1小时内采取相应响应措施；无法在2小时内解决的，应在4小时内派出专业人员进行技术支持。</w:t>
      </w:r>
    </w:p>
    <w:p w14:paraId="23EB0422">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2、服务要求</w:t>
      </w:r>
    </w:p>
    <w:p w14:paraId="7C35D669">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2.1成交供应商和厂家应同样提供免费电话咨询服务，并应承诺提供产品上门维护服务。</w:t>
      </w:r>
    </w:p>
    <w:p w14:paraId="32CB8CE9">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2.2质量保证期过后，采购人需要继续由原成交供应商和厂家提供售后服务的，成交供应商和厂家应以优惠价格提供售后服务。</w:t>
      </w:r>
    </w:p>
    <w:p w14:paraId="3A6EF2A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3、故障响应时间要求</w:t>
      </w:r>
    </w:p>
    <w:p w14:paraId="74BB3F89">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供应商接到使用方出现问题的通知后立即作出响应，4小时内到达现场进行处理。</w:t>
      </w:r>
    </w:p>
    <w:p w14:paraId="32CA6DAE">
      <w:pPr>
        <w:spacing w:line="400" w:lineRule="exact"/>
        <w:ind w:firstLine="482" w:firstLineChars="200"/>
        <w:outlineLvl w:val="2"/>
        <w:rPr>
          <w:rFonts w:ascii="宋体" w:hAnsi="宋体" w:eastAsia="宋体" w:cs="宋体"/>
          <w:b/>
          <w:sz w:val="24"/>
          <w:szCs w:val="24"/>
        </w:rPr>
      </w:pPr>
      <w:bookmarkStart w:id="97" w:name="_Toc4406"/>
      <w:bookmarkStart w:id="98" w:name="_Toc5000"/>
      <w:r>
        <w:rPr>
          <w:rFonts w:hint="eastAsia" w:ascii="宋体" w:hAnsi="宋体" w:eastAsia="宋体" w:cs="宋体"/>
          <w:b/>
          <w:sz w:val="24"/>
          <w:szCs w:val="24"/>
        </w:rPr>
        <w:t>三、报价要求</w:t>
      </w:r>
      <w:bookmarkEnd w:id="93"/>
      <w:bookmarkEnd w:id="94"/>
      <w:bookmarkEnd w:id="95"/>
      <w:bookmarkEnd w:id="96"/>
      <w:bookmarkEnd w:id="97"/>
      <w:bookmarkEnd w:id="98"/>
    </w:p>
    <w:p w14:paraId="3DC5A6B4">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本项目均为人民币报价，包括但不限于包括完成本项目所需的原料或货物购买（制造）费、辅材费、运输费、人工服务费、税费及安全风险等与之相关的全部费用，实行包干制。因中标供应商自身原因造成漏报、少报皆由其自行承担责任，采购人不再补偿。</w:t>
      </w:r>
    </w:p>
    <w:p w14:paraId="17127651">
      <w:pPr>
        <w:ind w:firstLine="482" w:firstLineChars="200"/>
        <w:outlineLvl w:val="2"/>
        <w:rPr>
          <w:rFonts w:ascii="宋体" w:hAnsi="宋体" w:eastAsia="宋体" w:cs="宋体"/>
          <w:b/>
          <w:sz w:val="24"/>
          <w:szCs w:val="24"/>
        </w:rPr>
      </w:pPr>
      <w:bookmarkStart w:id="99" w:name="_Toc12199"/>
      <w:bookmarkStart w:id="100" w:name="_Toc29986"/>
      <w:bookmarkStart w:id="101" w:name="_Toc20879"/>
      <w:bookmarkStart w:id="102" w:name="_Toc22446"/>
      <w:bookmarkStart w:id="103" w:name="_Toc3176"/>
      <w:r>
        <w:rPr>
          <w:rFonts w:hint="eastAsia" w:ascii="宋体" w:hAnsi="宋体" w:eastAsia="宋体" w:cs="宋体"/>
          <w:b/>
          <w:sz w:val="24"/>
          <w:szCs w:val="24"/>
        </w:rPr>
        <w:t>四、付款方式</w:t>
      </w:r>
      <w:bookmarkEnd w:id="99"/>
      <w:bookmarkEnd w:id="100"/>
      <w:bookmarkEnd w:id="101"/>
      <w:bookmarkEnd w:id="102"/>
      <w:bookmarkEnd w:id="103"/>
    </w:p>
    <w:p w14:paraId="56E8C365">
      <w:pPr>
        <w:ind w:firstLine="480" w:firstLineChars="200"/>
        <w:rPr>
          <w:rFonts w:ascii="宋体" w:hAnsi="宋体" w:eastAsia="宋体" w:cs="宋体"/>
          <w:sz w:val="24"/>
          <w:szCs w:val="24"/>
        </w:rPr>
      </w:pPr>
      <w:r>
        <w:rPr>
          <w:rFonts w:hint="eastAsia" w:ascii="宋体" w:hAnsi="宋体" w:eastAsia="宋体" w:cs="宋体"/>
          <w:sz w:val="24"/>
          <w:szCs w:val="24"/>
        </w:rPr>
        <w:t>1、付款方式：</w:t>
      </w:r>
      <w:r>
        <w:rPr>
          <w:rFonts w:ascii="宋体" w:hAnsi="宋体" w:eastAsia="宋体" w:cs="宋体"/>
          <w:sz w:val="24"/>
          <w:szCs w:val="24"/>
        </w:rPr>
        <w:t>银行</w:t>
      </w:r>
      <w:r>
        <w:rPr>
          <w:rFonts w:hint="eastAsia" w:ascii="宋体" w:hAnsi="宋体" w:eastAsia="宋体" w:cs="宋体"/>
          <w:sz w:val="24"/>
          <w:szCs w:val="24"/>
        </w:rPr>
        <w:t>转账支付。</w:t>
      </w:r>
    </w:p>
    <w:p w14:paraId="62E43FD6">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2、支付方式：</w:t>
      </w:r>
      <w:r>
        <w:rPr>
          <w:rFonts w:hint="eastAsia" w:ascii="宋体" w:hAnsi="宋体" w:eastAsia="宋体" w:cs="宋体"/>
          <w:sz w:val="24"/>
          <w:szCs w:val="24"/>
          <w:lang w:eastAsia="zh-CN"/>
        </w:rPr>
        <w:t>签订合同后支付50%的预付款，验收合格后支付尾款，具体支付时间以区财政局批准为准。</w:t>
      </w:r>
    </w:p>
    <w:p w14:paraId="3561A822">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outlineLvl w:val="2"/>
        <w:rPr>
          <w:rFonts w:ascii="宋体" w:hAnsi="宋体" w:eastAsia="宋体" w:cs="宋体"/>
          <w:b/>
          <w:sz w:val="24"/>
          <w:szCs w:val="24"/>
        </w:rPr>
      </w:pPr>
      <w:bookmarkStart w:id="104" w:name="_Toc7725"/>
      <w:bookmarkStart w:id="105" w:name="_Toc18195"/>
      <w:bookmarkStart w:id="106" w:name="_Toc22549"/>
      <w:bookmarkStart w:id="107" w:name="_Toc10376"/>
      <w:bookmarkStart w:id="108" w:name="_Toc7515"/>
      <w:r>
        <w:rPr>
          <w:rFonts w:hint="eastAsia" w:ascii="宋体" w:hAnsi="宋体" w:eastAsia="宋体" w:cs="宋体"/>
          <w:b/>
          <w:sz w:val="24"/>
          <w:szCs w:val="24"/>
        </w:rPr>
        <w:t>五、知识产权</w:t>
      </w:r>
      <w:bookmarkEnd w:id="104"/>
      <w:bookmarkEnd w:id="105"/>
      <w:bookmarkEnd w:id="106"/>
    </w:p>
    <w:p w14:paraId="42B5A80E">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rPr>
          <w:rFonts w:ascii="宋体" w:hAnsi="宋体" w:eastAsia="宋体" w:cs="宋体"/>
          <w:sz w:val="24"/>
          <w:szCs w:val="24"/>
        </w:rPr>
      </w:pPr>
      <w:r>
        <w:rPr>
          <w:rFonts w:hint="eastAsia" w:ascii="宋体" w:hAnsi="宋体" w:eastAsia="宋体" w:cs="宋体"/>
          <w:sz w:val="24"/>
          <w:szCs w:val="24"/>
        </w:rPr>
        <w:t>采购人在中华人民共和国境内使用成交供应商提供的货物及服务时免受第三方提出的侵犯其专利权或其它知识产权的起诉。如果第三方提出侵权指控，成交供应商应承担由此而引起的一切法律责任和费用。</w:t>
      </w:r>
    </w:p>
    <w:p w14:paraId="26A65B23">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outlineLvl w:val="2"/>
        <w:rPr>
          <w:rFonts w:hint="eastAsia" w:ascii="宋体" w:hAnsi="宋体" w:eastAsia="宋体" w:cs="宋体"/>
          <w:b/>
          <w:sz w:val="24"/>
          <w:szCs w:val="24"/>
        </w:rPr>
      </w:pPr>
      <w:bookmarkStart w:id="109" w:name="_Toc18093"/>
      <w:bookmarkStart w:id="110" w:name="_Toc31920"/>
      <w:bookmarkStart w:id="111" w:name="_Toc21470"/>
      <w:r>
        <w:rPr>
          <w:rFonts w:hint="eastAsia" w:ascii="宋体" w:hAnsi="宋体" w:eastAsia="宋体" w:cs="宋体"/>
          <w:b/>
          <w:sz w:val="24"/>
          <w:szCs w:val="24"/>
        </w:rPr>
        <w:t>六、</w:t>
      </w:r>
      <w:bookmarkEnd w:id="109"/>
      <w:r>
        <w:rPr>
          <w:rFonts w:hint="eastAsia" w:ascii="宋体" w:hAnsi="宋体" w:eastAsia="宋体" w:cs="宋体"/>
          <w:b/>
          <w:sz w:val="24"/>
          <w:szCs w:val="24"/>
        </w:rPr>
        <w:t>现场踏勘</w:t>
      </w:r>
    </w:p>
    <w:p w14:paraId="142F27BA">
      <w:pPr>
        <w:spacing w:line="400" w:lineRule="exact"/>
        <w:ind w:firstLine="480" w:firstLineChars="200"/>
        <w:rPr>
          <w:rFonts w:hint="eastAsia" w:ascii="宋体" w:hAnsi="宋体" w:eastAsia="宋体" w:cs="宋体"/>
          <w:kern w:val="0"/>
          <w:sz w:val="24"/>
          <w:szCs w:val="24"/>
        </w:rPr>
      </w:pPr>
      <w:r>
        <w:rPr>
          <w:rFonts w:hint="eastAsia" w:ascii="宋体" w:hAnsi="宋体" w:eastAsia="宋体" w:cs="宋体"/>
          <w:kern w:val="0"/>
          <w:sz w:val="24"/>
          <w:szCs w:val="24"/>
        </w:rPr>
        <w:t>供应商应在递交响应文件前需自行到本项目现场进行勘察，对本项目现场及周边环境进行踏勘以了解本项目风险和义务，以便获取编制响应文件所需的所有资料，并在其响应文件中已充分考虑了现场和环境条件，踏勘现场所产生的费用由投标供应商自行承担。无论供应商是否踏勘过现场，均视为递交响应文件前已踏勘过现场并认可本项目施工现场符合本项目施工要求及条件。</w:t>
      </w:r>
    </w:p>
    <w:p w14:paraId="2F880F5B">
      <w:pPr>
        <w:keepNext w:val="0"/>
        <w:keepLines w:val="0"/>
        <w:pageBreakBefore w:val="0"/>
        <w:widowControl w:val="0"/>
        <w:kinsoku/>
        <w:wordWrap/>
        <w:overflowPunct/>
        <w:topLinePunct w:val="0"/>
        <w:autoSpaceDE/>
        <w:autoSpaceDN/>
        <w:bidi w:val="0"/>
        <w:adjustRightInd/>
        <w:snapToGrid/>
        <w:spacing w:line="400" w:lineRule="exact"/>
        <w:ind w:firstLine="482" w:firstLineChars="200"/>
        <w:textAlignment w:val="auto"/>
        <w:outlineLvl w:val="2"/>
        <w:rPr>
          <w:rFonts w:ascii="宋体" w:hAnsi="宋体" w:eastAsia="宋体" w:cs="宋体"/>
          <w:b/>
          <w:sz w:val="24"/>
          <w:szCs w:val="24"/>
        </w:rPr>
      </w:pPr>
      <w:bookmarkStart w:id="112" w:name="_Toc15399"/>
      <w:r>
        <w:rPr>
          <w:rFonts w:hint="eastAsia" w:ascii="宋体" w:hAnsi="宋体" w:eastAsia="宋体" w:cs="宋体"/>
          <w:b/>
          <w:sz w:val="24"/>
          <w:szCs w:val="24"/>
        </w:rPr>
        <w:t>七、其他</w:t>
      </w:r>
      <w:bookmarkEnd w:id="107"/>
      <w:bookmarkEnd w:id="108"/>
      <w:bookmarkEnd w:id="110"/>
      <w:bookmarkEnd w:id="111"/>
      <w:bookmarkEnd w:id="112"/>
    </w:p>
    <w:p w14:paraId="5D685066">
      <w:pPr>
        <w:keepNext w:val="0"/>
        <w:keepLines w:val="0"/>
        <w:pageBreakBefore w:val="0"/>
        <w:widowControl w:val="0"/>
        <w:kinsoku/>
        <w:wordWrap/>
        <w:overflowPunct/>
        <w:topLinePunct w:val="0"/>
        <w:autoSpaceDE/>
        <w:autoSpaceDN/>
        <w:bidi w:val="0"/>
        <w:adjustRightInd/>
        <w:snapToGrid/>
        <w:spacing w:line="400" w:lineRule="exact"/>
        <w:ind w:firstLine="480" w:firstLineChars="200"/>
        <w:textAlignment w:val="auto"/>
        <w:outlineLvl w:val="9"/>
        <w:rPr>
          <w:rFonts w:hint="eastAsia" w:ascii="宋体" w:hAnsi="宋体" w:eastAsia="宋体" w:cs="宋体"/>
          <w:sz w:val="24"/>
          <w:szCs w:val="24"/>
          <w:lang w:eastAsia="zh-CN"/>
        </w:rPr>
      </w:pPr>
      <w:r>
        <w:rPr>
          <w:rFonts w:hint="eastAsia" w:ascii="宋体" w:hAnsi="宋体" w:eastAsia="宋体" w:cs="宋体"/>
          <w:bCs/>
          <w:sz w:val="24"/>
          <w:szCs w:val="24"/>
        </w:rPr>
        <w:t>（一）</w:t>
      </w:r>
      <w:r>
        <w:rPr>
          <w:rFonts w:hint="eastAsia" w:ascii="宋体" w:hAnsi="宋体" w:eastAsia="宋体" w:cs="宋体"/>
          <w:sz w:val="24"/>
          <w:szCs w:val="24"/>
        </w:rPr>
        <w:t>成交候选人或成交供应商放弃成交项目，无正当理由不与采购人签订合同，在签订合同时向采购人提出附加条件或者更改合同实质性内容，取消其成交资格</w:t>
      </w:r>
      <w:r>
        <w:rPr>
          <w:rFonts w:hint="eastAsia" w:ascii="宋体" w:hAnsi="宋体" w:eastAsia="宋体" w:cs="宋体"/>
          <w:sz w:val="24"/>
          <w:szCs w:val="24"/>
          <w:lang w:eastAsia="zh-CN"/>
        </w:rPr>
        <w:t>。</w:t>
      </w:r>
    </w:p>
    <w:p w14:paraId="0ACC729B">
      <w:pPr>
        <w:spacing w:line="400" w:lineRule="exact"/>
        <w:ind w:firstLine="480" w:firstLineChars="200"/>
        <w:rPr>
          <w:rFonts w:ascii="宋体" w:hAnsi="宋体" w:eastAsia="宋体" w:cs="宋体"/>
          <w:bCs/>
          <w:sz w:val="24"/>
          <w:szCs w:val="24"/>
        </w:rPr>
      </w:pPr>
      <w:r>
        <w:rPr>
          <w:rFonts w:hint="eastAsia" w:ascii="宋体" w:hAnsi="宋体" w:eastAsia="宋体" w:cs="宋体"/>
          <w:bCs/>
          <w:sz w:val="24"/>
          <w:szCs w:val="24"/>
          <w:lang w:eastAsia="zh-CN"/>
        </w:rPr>
        <w:t>（二）</w:t>
      </w:r>
      <w:r>
        <w:rPr>
          <w:rFonts w:hint="eastAsia" w:ascii="宋体" w:hAnsi="宋体" w:eastAsia="宋体" w:cs="宋体"/>
          <w:bCs/>
          <w:sz w:val="24"/>
          <w:szCs w:val="24"/>
        </w:rPr>
        <w:t>供应商必须在响应文件中对以上条款和服务承诺明确列出，承诺内容必须达到本篇及竞争性谈判其他条款的要求。</w:t>
      </w:r>
    </w:p>
    <w:p w14:paraId="583280B8">
      <w:pPr>
        <w:spacing w:line="400" w:lineRule="exact"/>
        <w:ind w:firstLine="480" w:firstLineChars="200"/>
        <w:rPr>
          <w:rFonts w:hint="eastAsia" w:ascii="宋体" w:hAnsi="宋体" w:eastAsia="宋体" w:cs="宋体"/>
          <w:bCs/>
          <w:sz w:val="24"/>
          <w:szCs w:val="24"/>
        </w:rPr>
      </w:pPr>
      <w:r>
        <w:rPr>
          <w:rFonts w:hint="eastAsia" w:ascii="宋体" w:hAnsi="宋体" w:eastAsia="宋体" w:cs="宋体"/>
          <w:bCs/>
          <w:sz w:val="24"/>
          <w:szCs w:val="24"/>
        </w:rPr>
        <w:t>（</w:t>
      </w:r>
      <w:r>
        <w:rPr>
          <w:rFonts w:hint="eastAsia" w:ascii="宋体" w:hAnsi="宋体" w:eastAsia="宋体" w:cs="宋体"/>
          <w:bCs/>
          <w:sz w:val="24"/>
          <w:szCs w:val="24"/>
          <w:lang w:eastAsia="zh-CN"/>
        </w:rPr>
        <w:t>三</w:t>
      </w:r>
      <w:r>
        <w:rPr>
          <w:rFonts w:hint="eastAsia" w:ascii="宋体" w:hAnsi="宋体" w:eastAsia="宋体" w:cs="宋体"/>
          <w:bCs/>
          <w:sz w:val="24"/>
          <w:szCs w:val="24"/>
        </w:rPr>
        <w:t>）其他未尽事宜由供需双方在采购合同中详细约定。</w:t>
      </w:r>
    </w:p>
    <w:p w14:paraId="4414516B">
      <w:pPr>
        <w:widowControl/>
        <w:jc w:val="left"/>
        <w:rPr>
          <w:rStyle w:val="71"/>
          <w:rFonts w:ascii="宋体" w:hAnsi="宋体" w:eastAsia="宋体" w:cs="宋体"/>
          <w:sz w:val="36"/>
          <w:szCs w:val="36"/>
        </w:rPr>
      </w:pPr>
      <w:bookmarkStart w:id="113" w:name="_Toc2776"/>
      <w:bookmarkStart w:id="114" w:name="_Toc27258"/>
      <w:bookmarkStart w:id="115" w:name="_Toc23108"/>
      <w:bookmarkStart w:id="116" w:name="_Toc8203"/>
    </w:p>
    <w:p w14:paraId="75C234A4">
      <w:pPr>
        <w:widowControl/>
        <w:jc w:val="left"/>
        <w:rPr>
          <w:rStyle w:val="71"/>
          <w:rFonts w:ascii="宋体" w:hAnsi="宋体" w:eastAsia="宋体" w:cs="宋体"/>
          <w:sz w:val="36"/>
          <w:szCs w:val="36"/>
        </w:rPr>
      </w:pPr>
    </w:p>
    <w:p w14:paraId="785E4996">
      <w:pPr>
        <w:rPr>
          <w:rStyle w:val="71"/>
          <w:rFonts w:ascii="宋体" w:hAnsi="宋体" w:eastAsia="宋体" w:cs="宋体"/>
          <w:sz w:val="36"/>
          <w:szCs w:val="36"/>
        </w:rPr>
      </w:pPr>
      <w:r>
        <w:rPr>
          <w:rStyle w:val="71"/>
          <w:rFonts w:ascii="宋体" w:hAnsi="宋体" w:eastAsia="宋体" w:cs="宋体"/>
          <w:sz w:val="36"/>
          <w:szCs w:val="36"/>
        </w:rPr>
        <w:br w:type="page"/>
      </w:r>
    </w:p>
    <w:p w14:paraId="4C54993D">
      <w:pPr>
        <w:pStyle w:val="4"/>
        <w:snapToGrid w:val="0"/>
        <w:spacing w:before="0" w:after="0" w:line="360" w:lineRule="auto"/>
        <w:rPr>
          <w:rFonts w:hAnsi="宋体" w:eastAsia="宋体" w:cs="宋体"/>
          <w:b w:val="0"/>
          <w:sz w:val="36"/>
          <w:szCs w:val="30"/>
        </w:rPr>
      </w:pPr>
      <w:bookmarkStart w:id="117" w:name="_Toc141882141"/>
      <w:bookmarkStart w:id="118" w:name="_Toc65660349"/>
      <w:bookmarkStart w:id="119" w:name="_Toc106034640"/>
      <w:bookmarkStart w:id="120" w:name="_Toc17149"/>
      <w:bookmarkStart w:id="121" w:name="_Toc142059992"/>
      <w:bookmarkStart w:id="122" w:name="_Toc16123"/>
      <w:bookmarkStart w:id="123" w:name="_Toc9716"/>
      <w:bookmarkStart w:id="124" w:name="_Toc5272"/>
      <w:bookmarkStart w:id="125" w:name="_Toc24195"/>
      <w:r>
        <w:rPr>
          <w:rFonts w:hint="eastAsia" w:ascii="宋体" w:hAnsi="宋体" w:eastAsia="宋体" w:cs="宋体"/>
          <w:bCs/>
          <w:sz w:val="36"/>
          <w:szCs w:val="30"/>
        </w:rPr>
        <w:t>第四篇  采购程序、评定成交的标准、无效谈判及采购终止</w:t>
      </w:r>
      <w:bookmarkEnd w:id="117"/>
      <w:bookmarkEnd w:id="118"/>
      <w:bookmarkEnd w:id="119"/>
      <w:bookmarkEnd w:id="120"/>
      <w:bookmarkEnd w:id="121"/>
      <w:bookmarkEnd w:id="122"/>
      <w:bookmarkEnd w:id="123"/>
      <w:bookmarkEnd w:id="124"/>
      <w:bookmarkEnd w:id="125"/>
    </w:p>
    <w:p w14:paraId="4ED53FAC">
      <w:pPr>
        <w:pStyle w:val="4"/>
        <w:adjustRightInd w:val="0"/>
        <w:snapToGrid w:val="0"/>
        <w:spacing w:before="0" w:after="0" w:line="400" w:lineRule="exact"/>
        <w:ind w:firstLine="482" w:firstLineChars="200"/>
        <w:rPr>
          <w:rFonts w:ascii="宋体" w:hAnsi="宋体" w:eastAsia="宋体" w:cs="宋体"/>
          <w:sz w:val="24"/>
        </w:rPr>
      </w:pPr>
      <w:bookmarkStart w:id="126" w:name="_Toc141882142"/>
      <w:bookmarkStart w:id="127" w:name="_Toc17955"/>
      <w:bookmarkStart w:id="128" w:name="_Toc65660350"/>
      <w:bookmarkStart w:id="129" w:name="_Toc5167"/>
      <w:bookmarkStart w:id="130" w:name="_Toc1098"/>
      <w:bookmarkStart w:id="131" w:name="_Toc64732012"/>
      <w:bookmarkStart w:id="132" w:name="_Toc106034641"/>
      <w:bookmarkStart w:id="133" w:name="_Toc142059993"/>
      <w:bookmarkStart w:id="134" w:name="_Toc14421"/>
      <w:bookmarkStart w:id="135" w:name="_Toc9361"/>
      <w:r>
        <w:rPr>
          <w:rFonts w:hint="eastAsia" w:ascii="宋体" w:hAnsi="宋体" w:eastAsia="宋体" w:cs="宋体"/>
          <w:sz w:val="24"/>
        </w:rPr>
        <w:t>一、采购程序</w:t>
      </w:r>
      <w:bookmarkEnd w:id="126"/>
      <w:bookmarkEnd w:id="127"/>
      <w:bookmarkEnd w:id="128"/>
      <w:bookmarkEnd w:id="129"/>
      <w:bookmarkEnd w:id="130"/>
      <w:bookmarkEnd w:id="131"/>
      <w:bookmarkEnd w:id="132"/>
      <w:bookmarkEnd w:id="133"/>
      <w:bookmarkEnd w:id="134"/>
      <w:bookmarkEnd w:id="135"/>
    </w:p>
    <w:p w14:paraId="08979B3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（一）谈判按竞争性谈判文件规定的时间和地点进行。供应商须有法定代表人（或其授权代表）或自然人参加并签到。</w:t>
      </w:r>
    </w:p>
    <w:p w14:paraId="5CF266DC">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 xml:space="preserve">（二）竞争性谈判以抽签的形式确定谈判顺序，由本项目谈判小组分别与各供应商进行谈判。在谈判前，对各供应商的资格条件、实质性响应等进行审查。 </w:t>
      </w:r>
    </w:p>
    <w:p w14:paraId="7ED4C29D">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1.资格性审查。依据法律法规和竞争性谈判文件的规定，对响应文件中的资格证明材料、保证金等进行审查。资格性审查内容如下：</w:t>
      </w:r>
    </w:p>
    <w:tbl>
      <w:tblPr>
        <w:tblStyle w:val="59"/>
        <w:tblW w:w="962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1021"/>
        <w:gridCol w:w="2693"/>
        <w:gridCol w:w="5097"/>
      </w:tblGrid>
      <w:tr w14:paraId="2A48B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tcBorders>
              <w:top w:val="single" w:color="auto" w:sz="4" w:space="0"/>
              <w:left w:val="single" w:color="auto" w:sz="4" w:space="0"/>
              <w:bottom w:val="single" w:color="auto" w:sz="4" w:space="0"/>
              <w:right w:val="single" w:color="auto" w:sz="4" w:space="0"/>
            </w:tcBorders>
            <w:noWrap w:val="0"/>
            <w:vAlign w:val="center"/>
          </w:tcPr>
          <w:p w14:paraId="492FAAB6">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序号</w:t>
            </w:r>
          </w:p>
        </w:tc>
        <w:tc>
          <w:tcPr>
            <w:tcW w:w="3714" w:type="dxa"/>
            <w:gridSpan w:val="2"/>
            <w:tcBorders>
              <w:top w:val="single" w:color="auto" w:sz="4" w:space="0"/>
              <w:left w:val="single" w:color="auto" w:sz="4" w:space="0"/>
              <w:bottom w:val="single" w:color="auto" w:sz="4" w:space="0"/>
              <w:right w:val="single" w:color="auto" w:sz="4" w:space="0"/>
            </w:tcBorders>
            <w:noWrap w:val="0"/>
            <w:vAlign w:val="center"/>
          </w:tcPr>
          <w:p w14:paraId="4A1A652E">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检查因素</w:t>
            </w:r>
          </w:p>
        </w:tc>
        <w:tc>
          <w:tcPr>
            <w:tcW w:w="5097" w:type="dxa"/>
            <w:tcBorders>
              <w:top w:val="single" w:color="auto" w:sz="4" w:space="0"/>
              <w:left w:val="single" w:color="auto" w:sz="4" w:space="0"/>
              <w:bottom w:val="single" w:color="auto" w:sz="4" w:space="0"/>
              <w:right w:val="single" w:color="auto" w:sz="4" w:space="0"/>
            </w:tcBorders>
            <w:noWrap w:val="0"/>
            <w:vAlign w:val="center"/>
          </w:tcPr>
          <w:p w14:paraId="7ACB5468">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检查内容</w:t>
            </w:r>
          </w:p>
        </w:tc>
      </w:tr>
      <w:tr w14:paraId="605045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restart"/>
            <w:noWrap w:val="0"/>
            <w:vAlign w:val="center"/>
          </w:tcPr>
          <w:p w14:paraId="0BED553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（一）</w:t>
            </w:r>
          </w:p>
        </w:tc>
        <w:tc>
          <w:tcPr>
            <w:tcW w:w="1021" w:type="dxa"/>
            <w:vMerge w:val="restart"/>
            <w:noWrap w:val="0"/>
            <w:vAlign w:val="center"/>
          </w:tcPr>
          <w:p w14:paraId="1E094FB0">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《中华人民共和国政府采购法》第二十二条规定</w:t>
            </w:r>
          </w:p>
        </w:tc>
        <w:tc>
          <w:tcPr>
            <w:tcW w:w="2693" w:type="dxa"/>
            <w:noWrap w:val="0"/>
            <w:vAlign w:val="center"/>
          </w:tcPr>
          <w:p w14:paraId="59452B94">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1.具有独立承担民事责任的能力</w:t>
            </w:r>
          </w:p>
        </w:tc>
        <w:tc>
          <w:tcPr>
            <w:tcW w:w="5097" w:type="dxa"/>
            <w:noWrap w:val="0"/>
            <w:vAlign w:val="center"/>
          </w:tcPr>
          <w:p w14:paraId="1526ABE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 xml:space="preserve">1.供应商法人营业执照（副本）或事业单位法人证书（副本）或个体工商户营业执照或有效的自然人身份证明或社会团体法人登记证书（提供复印件）。 </w:t>
            </w:r>
          </w:p>
          <w:p w14:paraId="1D2CA6D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2.供应商法定代表人身份证明和法定代表人授权代表委托书。</w:t>
            </w:r>
          </w:p>
        </w:tc>
      </w:tr>
      <w:tr w14:paraId="3A651B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618EAA24">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3B1FF698">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26A72310">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2.具有良好的商业信誉和健全的财务会计制度</w:t>
            </w:r>
          </w:p>
        </w:tc>
        <w:tc>
          <w:tcPr>
            <w:tcW w:w="5097" w:type="dxa"/>
            <w:vMerge w:val="restart"/>
            <w:noWrap w:val="0"/>
            <w:vAlign w:val="center"/>
          </w:tcPr>
          <w:p w14:paraId="1DF8CA82">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供应商提供“基本资格条件承诺函”（格式详见第七篇）</w:t>
            </w:r>
          </w:p>
        </w:tc>
      </w:tr>
      <w:tr w14:paraId="39995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631E3AFB">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26D112B4">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44313D36">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3.具有履行合同所必需的设备和专业技术能力</w:t>
            </w:r>
          </w:p>
        </w:tc>
        <w:tc>
          <w:tcPr>
            <w:tcW w:w="5097" w:type="dxa"/>
            <w:vMerge w:val="continue"/>
            <w:noWrap w:val="0"/>
            <w:vAlign w:val="center"/>
          </w:tcPr>
          <w:p w14:paraId="3CA6A980">
            <w:pPr>
              <w:keepNext w:val="0"/>
              <w:keepLines w:val="0"/>
              <w:suppressLineNumbers w:val="0"/>
              <w:spacing w:before="0" w:beforeAutospacing="0" w:after="0" w:afterAutospacing="0"/>
              <w:ind w:left="0" w:right="0"/>
              <w:rPr>
                <w:rFonts w:hint="default" w:ascii="宋体" w:hAnsi="宋体" w:eastAsia="宋体" w:cs="宋体"/>
                <w:sz w:val="24"/>
                <w:szCs w:val="24"/>
              </w:rPr>
            </w:pPr>
          </w:p>
        </w:tc>
      </w:tr>
      <w:tr w14:paraId="5E711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69D37FFD">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26AF7908">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2B157C6F">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4.有依法缴纳税收和社会保障金的良好记录</w:t>
            </w:r>
          </w:p>
        </w:tc>
        <w:tc>
          <w:tcPr>
            <w:tcW w:w="5097" w:type="dxa"/>
            <w:vMerge w:val="continue"/>
            <w:noWrap w:val="0"/>
            <w:vAlign w:val="center"/>
          </w:tcPr>
          <w:p w14:paraId="02C5268E">
            <w:pPr>
              <w:keepNext w:val="0"/>
              <w:keepLines w:val="0"/>
              <w:suppressLineNumbers w:val="0"/>
              <w:spacing w:before="0" w:beforeAutospacing="0" w:after="0" w:afterAutospacing="0"/>
              <w:ind w:left="0" w:right="0"/>
              <w:rPr>
                <w:rFonts w:hint="default" w:ascii="宋体" w:hAnsi="宋体" w:eastAsia="宋体" w:cs="宋体"/>
                <w:sz w:val="24"/>
                <w:szCs w:val="24"/>
              </w:rPr>
            </w:pPr>
          </w:p>
        </w:tc>
      </w:tr>
      <w:tr w14:paraId="5980A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vMerge w:val="continue"/>
            <w:noWrap w:val="0"/>
            <w:vAlign w:val="center"/>
          </w:tcPr>
          <w:p w14:paraId="6EB23970">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1274747D">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0528D1DA">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5.参加政府采购活动前三年内，在经营活动中没有重大违法记录</w:t>
            </w:r>
          </w:p>
        </w:tc>
        <w:tc>
          <w:tcPr>
            <w:tcW w:w="5097" w:type="dxa"/>
            <w:vMerge w:val="continue"/>
            <w:noWrap w:val="0"/>
            <w:vAlign w:val="center"/>
          </w:tcPr>
          <w:p w14:paraId="7435074F">
            <w:pPr>
              <w:keepNext w:val="0"/>
              <w:keepLines w:val="0"/>
              <w:suppressLineNumbers w:val="0"/>
              <w:spacing w:before="0" w:beforeAutospacing="0" w:after="0" w:afterAutospacing="0"/>
              <w:ind w:left="0" w:right="0"/>
              <w:rPr>
                <w:rFonts w:hint="default" w:ascii="宋体" w:hAnsi="宋体" w:eastAsia="宋体" w:cs="宋体"/>
                <w:sz w:val="24"/>
                <w:szCs w:val="24"/>
              </w:rPr>
            </w:pPr>
          </w:p>
        </w:tc>
      </w:tr>
      <w:tr w14:paraId="50549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noWrap w:val="0"/>
            <w:vAlign w:val="center"/>
          </w:tcPr>
          <w:p w14:paraId="6B510002">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13BD4694">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17AE4FA8">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6.法律、行政法规规定的其他条件</w:t>
            </w:r>
          </w:p>
        </w:tc>
        <w:tc>
          <w:tcPr>
            <w:tcW w:w="5097" w:type="dxa"/>
            <w:noWrap w:val="0"/>
            <w:vAlign w:val="center"/>
          </w:tcPr>
          <w:p w14:paraId="3C91D0AB">
            <w:pPr>
              <w:keepNext w:val="0"/>
              <w:keepLines w:val="0"/>
              <w:suppressLineNumbers w:val="0"/>
              <w:spacing w:before="0" w:beforeAutospacing="0" w:after="0" w:afterAutospacing="0"/>
              <w:ind w:left="0" w:right="0"/>
              <w:rPr>
                <w:rFonts w:hint="default" w:ascii="宋体" w:hAnsi="宋体" w:eastAsia="宋体" w:cs="宋体"/>
                <w:sz w:val="24"/>
                <w:szCs w:val="24"/>
              </w:rPr>
            </w:pPr>
          </w:p>
        </w:tc>
      </w:tr>
      <w:tr w14:paraId="18800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5" w:hRule="atLeast"/>
        </w:trPr>
        <w:tc>
          <w:tcPr>
            <w:tcW w:w="817" w:type="dxa"/>
            <w:vMerge w:val="continue"/>
            <w:noWrap w:val="0"/>
            <w:vAlign w:val="center"/>
          </w:tcPr>
          <w:p w14:paraId="0CA39B23">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1021" w:type="dxa"/>
            <w:vMerge w:val="continue"/>
            <w:noWrap w:val="0"/>
            <w:vAlign w:val="center"/>
          </w:tcPr>
          <w:p w14:paraId="07D9E04F">
            <w:pPr>
              <w:keepNext w:val="0"/>
              <w:keepLines w:val="0"/>
              <w:suppressLineNumbers w:val="0"/>
              <w:spacing w:before="0" w:beforeAutospacing="0" w:after="0" w:afterAutospacing="0"/>
              <w:ind w:left="0" w:right="0"/>
              <w:rPr>
                <w:rFonts w:hint="default" w:ascii="宋体" w:hAnsi="宋体" w:eastAsia="宋体" w:cs="宋体"/>
                <w:sz w:val="24"/>
                <w:szCs w:val="24"/>
              </w:rPr>
            </w:pPr>
          </w:p>
        </w:tc>
        <w:tc>
          <w:tcPr>
            <w:tcW w:w="2693" w:type="dxa"/>
            <w:noWrap w:val="0"/>
            <w:vAlign w:val="center"/>
          </w:tcPr>
          <w:p w14:paraId="18AD2AFB">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7.本项目的特定资格要求</w:t>
            </w:r>
          </w:p>
        </w:tc>
        <w:tc>
          <w:tcPr>
            <w:tcW w:w="5097" w:type="dxa"/>
            <w:noWrap w:val="0"/>
            <w:vAlign w:val="center"/>
          </w:tcPr>
          <w:p w14:paraId="312827BC">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按“第一篇三、供应商资格要求（三）本项目的特定资格要求”的要求提交（如果有）。</w:t>
            </w:r>
          </w:p>
        </w:tc>
      </w:tr>
      <w:tr w14:paraId="023BC2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7" w:type="dxa"/>
            <w:noWrap w:val="0"/>
            <w:vAlign w:val="center"/>
          </w:tcPr>
          <w:p w14:paraId="1E8DBF92">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（二）</w:t>
            </w:r>
          </w:p>
        </w:tc>
        <w:tc>
          <w:tcPr>
            <w:tcW w:w="3714" w:type="dxa"/>
            <w:gridSpan w:val="2"/>
            <w:noWrap w:val="0"/>
            <w:vAlign w:val="center"/>
          </w:tcPr>
          <w:p w14:paraId="13F22A5D">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落实政府采购政策需满足的资格要求</w:t>
            </w:r>
          </w:p>
        </w:tc>
        <w:tc>
          <w:tcPr>
            <w:tcW w:w="5097" w:type="dxa"/>
            <w:noWrap w:val="0"/>
            <w:vAlign w:val="center"/>
          </w:tcPr>
          <w:p w14:paraId="22AE86A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按“第一篇三、供应商资格要求（二）落实政府采购政策需满足的资格要求”的要求提交。</w:t>
            </w:r>
          </w:p>
        </w:tc>
      </w:tr>
      <w:tr w14:paraId="43FB6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8" w:hRule="atLeast"/>
        </w:trPr>
        <w:tc>
          <w:tcPr>
            <w:tcW w:w="817" w:type="dxa"/>
            <w:noWrap w:val="0"/>
            <w:vAlign w:val="top"/>
          </w:tcPr>
          <w:p w14:paraId="1703328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（三）</w:t>
            </w:r>
          </w:p>
        </w:tc>
        <w:tc>
          <w:tcPr>
            <w:tcW w:w="3714" w:type="dxa"/>
            <w:gridSpan w:val="2"/>
            <w:noWrap w:val="0"/>
            <w:vAlign w:val="top"/>
          </w:tcPr>
          <w:p w14:paraId="69668200">
            <w:pPr>
              <w:keepNext w:val="0"/>
              <w:keepLines w:val="0"/>
              <w:suppressLineNumbers w:val="0"/>
              <w:spacing w:before="0" w:beforeAutospacing="0" w:after="0" w:afterAutospacing="0"/>
              <w:ind w:left="0" w:right="0"/>
              <w:jc w:val="left"/>
              <w:rPr>
                <w:rFonts w:hint="default" w:ascii="宋体" w:hAnsi="宋体" w:eastAsia="宋体" w:cs="宋体"/>
                <w:sz w:val="24"/>
                <w:szCs w:val="24"/>
              </w:rPr>
            </w:pPr>
            <w:r>
              <w:rPr>
                <w:rFonts w:hint="eastAsia" w:ascii="宋体" w:hAnsi="宋体" w:eastAsia="宋体" w:cs="宋体"/>
                <w:sz w:val="24"/>
                <w:szCs w:val="24"/>
              </w:rPr>
              <w:t>保证金</w:t>
            </w:r>
          </w:p>
        </w:tc>
        <w:tc>
          <w:tcPr>
            <w:tcW w:w="5097" w:type="dxa"/>
            <w:noWrap w:val="0"/>
            <w:vAlign w:val="top"/>
          </w:tcPr>
          <w:p w14:paraId="3B4A615C">
            <w:pPr>
              <w:keepNext w:val="0"/>
              <w:keepLines w:val="0"/>
              <w:suppressLineNumbers w:val="0"/>
              <w:spacing w:before="0" w:beforeAutospacing="0" w:after="0" w:afterAutospacing="0"/>
              <w:ind w:left="0" w:right="0"/>
              <w:rPr>
                <w:rFonts w:hint="default" w:ascii="宋体" w:hAnsi="宋体" w:eastAsia="宋体" w:cs="宋体"/>
                <w:sz w:val="24"/>
                <w:szCs w:val="24"/>
                <w:lang w:val="en-US" w:eastAsia="zh-CN"/>
              </w:rPr>
            </w:pPr>
            <w:r>
              <w:rPr>
                <w:rFonts w:hint="eastAsia" w:ascii="宋体" w:hAnsi="宋体" w:eastAsia="宋体" w:cs="宋体"/>
                <w:sz w:val="24"/>
                <w:szCs w:val="24"/>
                <w:lang w:eastAsia="zh-CN"/>
              </w:rPr>
              <w:t>无</w:t>
            </w:r>
            <w:r>
              <w:rPr>
                <w:rFonts w:hint="eastAsia" w:ascii="宋体" w:hAnsi="宋体" w:eastAsia="宋体" w:cs="宋体"/>
                <w:sz w:val="24"/>
                <w:szCs w:val="24"/>
                <w:lang w:val="en-US" w:eastAsia="zh-CN"/>
              </w:rPr>
              <w:t xml:space="preserve"> </w:t>
            </w:r>
          </w:p>
        </w:tc>
      </w:tr>
    </w:tbl>
    <w:p w14:paraId="6AB3C33C">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注：</w:t>
      </w:r>
    </w:p>
    <w:p w14:paraId="49F63511">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kern w:val="0"/>
          <w:sz w:val="24"/>
          <w:szCs w:val="24"/>
        </w:rPr>
        <w:t>根据《中华人民共和国政府采购法实施条例》第十九条“参加政府采购活动前三年内，在经营活动中没有重大违法记录”中“重大违法记录”，是指供应商因违法经营受到刑事处罚或者责令停产停业、吊销许可证或者执照、较大数额罚款等行政处罚。行政处罚中“较大数额”的认定标准，按照“财政部关于《中华人民共和国政府采购法实施条例》第十九条第一款“较大数额罚款”具体适用问题的意见（财库〔2022〕3 号）”执行。供应商可于响应文件递交截止时间前通过 “信用中国”网站(www.creditchina.gov.cn)、"中国政府采购网"(www.ccgp.gov.cn)等渠道查询信用记录。</w:t>
      </w:r>
    </w:p>
    <w:p w14:paraId="5F35B59C">
      <w:pPr>
        <w:snapToGrid w:val="0"/>
        <w:spacing w:line="400" w:lineRule="exact"/>
        <w:ind w:firstLine="480" w:firstLineChars="200"/>
        <w:rPr>
          <w:rFonts w:ascii="宋体" w:hAnsi="宋体" w:eastAsia="宋体" w:cs="宋体"/>
          <w:kern w:val="0"/>
          <w:sz w:val="24"/>
          <w:szCs w:val="24"/>
        </w:rPr>
      </w:pPr>
      <w:r>
        <w:rPr>
          <w:rFonts w:hint="eastAsia" w:ascii="宋体" w:hAnsi="宋体" w:eastAsia="宋体" w:cs="宋体"/>
          <w:sz w:val="24"/>
          <w:szCs w:val="24"/>
        </w:rPr>
        <w:t>2.实质性响应审查。谈判小组应当对响应文件进行评审，并根据谈判文件规定的采购程序、评定成交的标准等事项与实质性响应谈判文件要求的供应商进行谈判。未实质性响应谈判文件的响应文件按无效处理，谈判小组应当告知有关供应商。实质性响应审查内容如下：</w:t>
      </w:r>
    </w:p>
    <w:tbl>
      <w:tblPr>
        <w:tblStyle w:val="59"/>
        <w:tblW w:w="9628" w:type="dxa"/>
        <w:tblInd w:w="11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2694"/>
        <w:gridCol w:w="6259"/>
      </w:tblGrid>
      <w:tr w14:paraId="7DB12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21" w:hRule="atLeast"/>
        </w:trPr>
        <w:tc>
          <w:tcPr>
            <w:tcW w:w="675" w:type="dxa"/>
            <w:noWrap w:val="0"/>
            <w:vAlign w:val="center"/>
          </w:tcPr>
          <w:p w14:paraId="7834584C">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序号</w:t>
            </w:r>
          </w:p>
        </w:tc>
        <w:tc>
          <w:tcPr>
            <w:tcW w:w="2694" w:type="dxa"/>
            <w:noWrap w:val="0"/>
            <w:vAlign w:val="center"/>
          </w:tcPr>
          <w:p w14:paraId="7A4C01FB">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审查因素</w:t>
            </w:r>
          </w:p>
        </w:tc>
        <w:tc>
          <w:tcPr>
            <w:tcW w:w="6259" w:type="dxa"/>
            <w:noWrap w:val="0"/>
            <w:vAlign w:val="center"/>
          </w:tcPr>
          <w:p w14:paraId="00C6E19D">
            <w:pPr>
              <w:keepNext w:val="0"/>
              <w:keepLines w:val="0"/>
              <w:suppressLineNumbers w:val="0"/>
              <w:spacing w:before="0" w:beforeAutospacing="0" w:after="0" w:afterAutospacing="0"/>
              <w:ind w:left="0" w:right="0"/>
              <w:jc w:val="center"/>
              <w:rPr>
                <w:rFonts w:hint="default" w:ascii="宋体" w:hAnsi="宋体" w:eastAsia="宋体" w:cs="宋体"/>
                <w:b/>
                <w:kern w:val="0"/>
                <w:sz w:val="21"/>
                <w:szCs w:val="21"/>
              </w:rPr>
            </w:pPr>
            <w:r>
              <w:rPr>
                <w:rFonts w:hint="eastAsia" w:ascii="宋体" w:hAnsi="宋体" w:eastAsia="宋体" w:cs="宋体"/>
                <w:b/>
                <w:kern w:val="0"/>
                <w:sz w:val="21"/>
                <w:szCs w:val="21"/>
              </w:rPr>
              <w:t>审查标准</w:t>
            </w:r>
          </w:p>
        </w:tc>
      </w:tr>
      <w:tr w14:paraId="374A99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675" w:type="dxa"/>
            <w:vMerge w:val="restart"/>
            <w:noWrap w:val="0"/>
            <w:vAlign w:val="center"/>
          </w:tcPr>
          <w:p w14:paraId="45DC634C">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1</w:t>
            </w:r>
          </w:p>
        </w:tc>
        <w:tc>
          <w:tcPr>
            <w:tcW w:w="2694" w:type="dxa"/>
            <w:noWrap w:val="0"/>
            <w:vAlign w:val="center"/>
          </w:tcPr>
          <w:p w14:paraId="46E6B9F6">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响应文件签署或盖章</w:t>
            </w:r>
          </w:p>
        </w:tc>
        <w:tc>
          <w:tcPr>
            <w:tcW w:w="6259" w:type="dxa"/>
            <w:noWrap w:val="0"/>
            <w:vAlign w:val="center"/>
          </w:tcPr>
          <w:p w14:paraId="279B1219">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按“第七篇响应文件格式要求”要求签署或盖章</w:t>
            </w:r>
          </w:p>
        </w:tc>
      </w:tr>
      <w:tr w14:paraId="53A2DD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 w:hRule="atLeast"/>
        </w:trPr>
        <w:tc>
          <w:tcPr>
            <w:tcW w:w="675" w:type="dxa"/>
            <w:vMerge w:val="continue"/>
            <w:noWrap w:val="0"/>
            <w:vAlign w:val="center"/>
          </w:tcPr>
          <w:p w14:paraId="4014111D">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noWrap w:val="0"/>
            <w:vAlign w:val="center"/>
          </w:tcPr>
          <w:p w14:paraId="5C54D1AB">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w:t>
            </w:r>
          </w:p>
        </w:tc>
        <w:tc>
          <w:tcPr>
            <w:tcW w:w="6259" w:type="dxa"/>
            <w:noWrap w:val="0"/>
            <w:vAlign w:val="center"/>
          </w:tcPr>
          <w:p w14:paraId="2D74795D">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法定代表人身份证明及授权委托书有效，符合竞争性谈判文件规定的格式，签署或盖章齐全。</w:t>
            </w:r>
          </w:p>
        </w:tc>
      </w:tr>
      <w:tr w14:paraId="524DE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675" w:type="dxa"/>
            <w:vMerge w:val="continue"/>
            <w:noWrap w:val="0"/>
            <w:vAlign w:val="center"/>
          </w:tcPr>
          <w:p w14:paraId="0A968282">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noWrap w:val="0"/>
            <w:vAlign w:val="center"/>
          </w:tcPr>
          <w:p w14:paraId="3A58EC5A">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响应方案</w:t>
            </w:r>
          </w:p>
        </w:tc>
        <w:tc>
          <w:tcPr>
            <w:tcW w:w="6259" w:type="dxa"/>
            <w:noWrap w:val="0"/>
            <w:vAlign w:val="center"/>
          </w:tcPr>
          <w:p w14:paraId="4DF4F3C2">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只能有一个响应方案。</w:t>
            </w:r>
          </w:p>
        </w:tc>
      </w:tr>
      <w:tr w14:paraId="06A8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675" w:type="dxa"/>
            <w:vMerge w:val="continue"/>
            <w:noWrap w:val="0"/>
            <w:vAlign w:val="center"/>
          </w:tcPr>
          <w:p w14:paraId="7AD23FAF">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noWrap w:val="0"/>
            <w:vAlign w:val="center"/>
          </w:tcPr>
          <w:p w14:paraId="0BCD0CA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报价唯一</w:t>
            </w:r>
          </w:p>
        </w:tc>
        <w:tc>
          <w:tcPr>
            <w:tcW w:w="6259" w:type="dxa"/>
            <w:noWrap w:val="0"/>
            <w:vAlign w:val="center"/>
          </w:tcPr>
          <w:p w14:paraId="4F0C3BDB">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只能有一个有效报价，不得提交选择性报价。</w:t>
            </w:r>
          </w:p>
        </w:tc>
      </w:tr>
      <w:tr w14:paraId="15BE78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trPr>
        <w:tc>
          <w:tcPr>
            <w:tcW w:w="675" w:type="dxa"/>
            <w:noWrap w:val="0"/>
            <w:vAlign w:val="center"/>
          </w:tcPr>
          <w:p w14:paraId="506C048F">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2</w:t>
            </w:r>
          </w:p>
        </w:tc>
        <w:tc>
          <w:tcPr>
            <w:tcW w:w="2694" w:type="dxa"/>
            <w:noWrap w:val="0"/>
            <w:vAlign w:val="center"/>
          </w:tcPr>
          <w:p w14:paraId="08D632A6">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响应文件份数</w:t>
            </w:r>
          </w:p>
        </w:tc>
        <w:tc>
          <w:tcPr>
            <w:tcW w:w="6259" w:type="dxa"/>
            <w:noWrap w:val="0"/>
            <w:vAlign w:val="center"/>
          </w:tcPr>
          <w:p w14:paraId="5DD36DD7">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响应文件正、副</w:t>
            </w:r>
            <w:r>
              <w:rPr>
                <w:rFonts w:hint="eastAsia" w:ascii="宋体" w:hAnsi="宋体" w:eastAsia="宋体" w:cs="宋体"/>
                <w:sz w:val="24"/>
                <w:szCs w:val="24"/>
                <w:lang w:val="en-US" w:eastAsia="zh-CN"/>
              </w:rPr>
              <w:t>本</w:t>
            </w:r>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电子U盘</w:t>
            </w:r>
            <w:r>
              <w:rPr>
                <w:rFonts w:hint="eastAsia" w:ascii="宋体" w:hAnsi="宋体" w:eastAsia="宋体" w:cs="宋体"/>
                <w:sz w:val="24"/>
                <w:szCs w:val="24"/>
                <w:lang w:eastAsia="zh-CN"/>
              </w:rPr>
              <w:t>）</w:t>
            </w:r>
            <w:r>
              <w:rPr>
                <w:rFonts w:hint="eastAsia" w:ascii="宋体" w:hAnsi="宋体" w:eastAsia="宋体" w:cs="宋体"/>
                <w:sz w:val="24"/>
                <w:szCs w:val="24"/>
              </w:rPr>
              <w:t>数量符合竞争性谈判文件要求。</w:t>
            </w:r>
          </w:p>
        </w:tc>
      </w:tr>
      <w:tr w14:paraId="706E06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5" w:hRule="atLeast"/>
        </w:trPr>
        <w:tc>
          <w:tcPr>
            <w:tcW w:w="675" w:type="dxa"/>
            <w:vMerge w:val="restart"/>
            <w:noWrap w:val="0"/>
            <w:vAlign w:val="center"/>
          </w:tcPr>
          <w:p w14:paraId="05D58314">
            <w:pPr>
              <w:keepNext w:val="0"/>
              <w:keepLines w:val="0"/>
              <w:suppressLineNumbers w:val="0"/>
              <w:spacing w:before="0" w:beforeAutospacing="0" w:after="0" w:afterAutospacing="0"/>
              <w:ind w:left="0" w:right="0"/>
              <w:jc w:val="center"/>
              <w:rPr>
                <w:rFonts w:hint="default" w:ascii="宋体" w:hAnsi="宋体" w:eastAsia="宋体" w:cs="宋体"/>
                <w:sz w:val="24"/>
                <w:szCs w:val="24"/>
              </w:rPr>
            </w:pPr>
            <w:r>
              <w:rPr>
                <w:rFonts w:hint="eastAsia" w:ascii="宋体" w:hAnsi="宋体" w:eastAsia="宋体" w:cs="宋体"/>
                <w:sz w:val="24"/>
                <w:szCs w:val="24"/>
              </w:rPr>
              <w:t>3</w:t>
            </w:r>
          </w:p>
        </w:tc>
        <w:tc>
          <w:tcPr>
            <w:tcW w:w="2694" w:type="dxa"/>
            <w:noWrap w:val="0"/>
            <w:vAlign w:val="center"/>
          </w:tcPr>
          <w:p w14:paraId="37856D1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响应文件内容</w:t>
            </w:r>
          </w:p>
        </w:tc>
        <w:tc>
          <w:tcPr>
            <w:tcW w:w="6259" w:type="dxa"/>
            <w:noWrap w:val="0"/>
            <w:vAlign w:val="center"/>
          </w:tcPr>
          <w:p w14:paraId="76B65D9D">
            <w:pPr>
              <w:pStyle w:val="32"/>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对竞争性谈判文件第二篇、第三篇规定的谈判内容进行实质性响应。</w:t>
            </w:r>
          </w:p>
        </w:tc>
      </w:tr>
      <w:tr w14:paraId="03C77B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trPr>
        <w:tc>
          <w:tcPr>
            <w:tcW w:w="675" w:type="dxa"/>
            <w:vMerge w:val="continue"/>
            <w:noWrap w:val="0"/>
            <w:vAlign w:val="center"/>
          </w:tcPr>
          <w:p w14:paraId="33BDC34A">
            <w:pPr>
              <w:keepNext w:val="0"/>
              <w:keepLines w:val="0"/>
              <w:suppressLineNumbers w:val="0"/>
              <w:spacing w:before="0" w:beforeAutospacing="0" w:after="0" w:afterAutospacing="0"/>
              <w:ind w:left="0" w:right="0"/>
              <w:jc w:val="center"/>
              <w:rPr>
                <w:rFonts w:hint="default" w:ascii="宋体" w:hAnsi="宋体" w:eastAsia="宋体" w:cs="宋体"/>
                <w:sz w:val="24"/>
                <w:szCs w:val="24"/>
              </w:rPr>
            </w:pPr>
          </w:p>
        </w:tc>
        <w:tc>
          <w:tcPr>
            <w:tcW w:w="2694" w:type="dxa"/>
            <w:noWrap w:val="0"/>
            <w:vAlign w:val="center"/>
          </w:tcPr>
          <w:p w14:paraId="045FEA6E">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谈判有效期</w:t>
            </w:r>
          </w:p>
        </w:tc>
        <w:tc>
          <w:tcPr>
            <w:tcW w:w="6259" w:type="dxa"/>
            <w:noWrap w:val="0"/>
            <w:vAlign w:val="center"/>
          </w:tcPr>
          <w:p w14:paraId="25E8A9A9">
            <w:pPr>
              <w:keepNext w:val="0"/>
              <w:keepLines w:val="0"/>
              <w:suppressLineNumbers w:val="0"/>
              <w:spacing w:before="0" w:beforeAutospacing="0" w:after="0" w:afterAutospacing="0"/>
              <w:ind w:left="0" w:right="0"/>
              <w:rPr>
                <w:rFonts w:hint="default" w:ascii="宋体" w:hAnsi="宋体" w:eastAsia="宋体" w:cs="宋体"/>
                <w:sz w:val="24"/>
                <w:szCs w:val="24"/>
              </w:rPr>
            </w:pPr>
            <w:r>
              <w:rPr>
                <w:rFonts w:hint="eastAsia" w:ascii="宋体" w:hAnsi="宋体" w:eastAsia="宋体" w:cs="宋体"/>
                <w:sz w:val="24"/>
                <w:szCs w:val="24"/>
              </w:rPr>
              <w:t>响应文件及有关承诺文件有效期为提交响应文件截止时间起90天。</w:t>
            </w:r>
          </w:p>
        </w:tc>
      </w:tr>
    </w:tbl>
    <w:p w14:paraId="64220F05">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谈判小组在对响应文件的有效性、完整性和响应程度进行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2EF0B5C7">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谈判小组要求供应商澄清、说明或者更正响应文件应当以书面形式作出。供应商的澄清、说明或者更正应当由法定代表人（或其授权代表）或自然人（供应商为自然人）签署或者加盖公章。由授权代表签署的，应当附法定代表人授权书。供应商为自然人的，应当由本人签署并附身份证明。</w:t>
      </w:r>
    </w:p>
    <w:p w14:paraId="610D79E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（四）在谈判过程中谈判的任何一方不得向他人透露与谈判有关的技术资料、价格或其他信息。</w:t>
      </w:r>
    </w:p>
    <w:p w14:paraId="4EDCFC9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在谈判过程中，谈判小组可以根据竞争性谈判文件和谈判情况实质性变动采购需求中的技术（质量）、服务要求以及合同草案条款，但不得变动竞争性谈判文件中的其他内容。实质性变动的内容，须经采购人代表确认。对竞争性谈判文件作出的实质性变动是竞争性谈判文件的有效组成部分，谈判小组应当及时以书面形式同时通知所有参加谈判的供应商。供应商应当按照谈判文件的变动情况和谈判小组的要求重新提交响应文件，并由其法定代表人或授权代表签字或者加盖公章。由授权代表签字的，应当附法定代表人授权书。供应商为自然人的，应当由本人签字并附身份证明。</w:t>
      </w:r>
    </w:p>
    <w:p w14:paraId="454D6BF9">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（六）供应商在谈判时作出的所有书面承诺须由法定代表人（或其授权代表）或自然人（供应商为自然人）签署。</w:t>
      </w:r>
    </w:p>
    <w:p w14:paraId="7DE1ED16">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七）谈判结束后，谈判小组要求所有参加正式谈判的供应商在规定时间内同时书面提交最后报价及有关承诺（《最后报价表》在谈判现场向供应商提供）。已提交响应文件但未在规定时间内进行最后报价的供应商，视为放弃最后报价，以供应商响应文件中的报价为准。</w:t>
      </w:r>
    </w:p>
    <w:p w14:paraId="7535547D">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（八）评审的依据为竞争性谈判文件和响应文件（含有效的补充文件）。谈判小组判断响应文件对竞争性谈判文件的响应，仅基于响应文件本身而不靠外部证据。</w:t>
      </w:r>
    </w:p>
    <w:p w14:paraId="5377DCAA">
      <w:pPr>
        <w:pStyle w:val="4"/>
        <w:adjustRightInd w:val="0"/>
        <w:snapToGrid w:val="0"/>
        <w:spacing w:before="0" w:after="0" w:line="400" w:lineRule="exact"/>
        <w:ind w:firstLine="482" w:firstLineChars="200"/>
        <w:rPr>
          <w:rFonts w:ascii="宋体" w:hAnsi="宋体" w:eastAsia="宋体" w:cs="宋体"/>
          <w:sz w:val="24"/>
        </w:rPr>
      </w:pPr>
      <w:bookmarkStart w:id="136" w:name="_Toc30639"/>
      <w:bookmarkStart w:id="137" w:name="_Toc141882143"/>
      <w:bookmarkStart w:id="138" w:name="_Toc11713"/>
      <w:bookmarkStart w:id="139" w:name="_Toc11302"/>
      <w:bookmarkStart w:id="140" w:name="_Toc26309"/>
      <w:bookmarkStart w:id="141" w:name="_Toc30755"/>
      <w:bookmarkStart w:id="142" w:name="_Toc64732013"/>
      <w:bookmarkStart w:id="143" w:name="_Toc65660351"/>
      <w:bookmarkStart w:id="144" w:name="_Toc142059994"/>
      <w:bookmarkStart w:id="145" w:name="_Toc106034642"/>
      <w:r>
        <w:rPr>
          <w:rFonts w:hint="eastAsia" w:ascii="宋体" w:hAnsi="宋体" w:eastAsia="宋体" w:cs="宋体"/>
          <w:sz w:val="24"/>
        </w:rPr>
        <w:t>二、评定成交的标准</w:t>
      </w:r>
      <w:bookmarkEnd w:id="136"/>
      <w:bookmarkEnd w:id="137"/>
      <w:bookmarkEnd w:id="138"/>
      <w:bookmarkEnd w:id="139"/>
      <w:bookmarkEnd w:id="140"/>
      <w:bookmarkEnd w:id="141"/>
      <w:bookmarkEnd w:id="142"/>
      <w:bookmarkEnd w:id="143"/>
      <w:bookmarkEnd w:id="144"/>
      <w:bookmarkEnd w:id="145"/>
    </w:p>
    <w:p w14:paraId="1FB10214">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（一）谈判小组将依照本竞争性谈判文件相关规定对技术（质量）和服务均能满足竞争性谈判实质性响应要求的供应商所提交的最后报价进行政策性扣减，并依据扣减后的价格按照由低到高的顺序提出3名</w:t>
      </w:r>
      <w:r>
        <w:rPr>
          <w:rFonts w:hint="eastAsia" w:ascii="宋体" w:hAnsi="宋体" w:eastAsia="宋体" w:cs="宋体"/>
          <w:sz w:val="24"/>
          <w:szCs w:val="24"/>
          <w:lang w:eastAsia="zh-CN"/>
        </w:rPr>
        <w:t>及</w:t>
      </w:r>
      <w:r>
        <w:rPr>
          <w:rFonts w:hint="eastAsia" w:ascii="宋体" w:hAnsi="宋体" w:eastAsia="宋体" w:cs="宋体"/>
          <w:sz w:val="24"/>
          <w:szCs w:val="24"/>
        </w:rPr>
        <w:t>以上成交候选人，并编写评审报告。</w:t>
      </w:r>
    </w:p>
    <w:p w14:paraId="2CFB9432">
      <w:pPr>
        <w:pStyle w:val="33"/>
        <w:spacing w:line="400" w:lineRule="exact"/>
        <w:ind w:left="560"/>
        <w:rPr>
          <w:rFonts w:ascii="宋体" w:hAnsi="宋体" w:eastAsia="宋体" w:cs="宋体"/>
          <w:sz w:val="24"/>
          <w:szCs w:val="24"/>
        </w:rPr>
      </w:pPr>
      <w:r>
        <w:rPr>
          <w:rFonts w:hint="eastAsia" w:ascii="宋体" w:hAnsi="宋体" w:eastAsia="宋体" w:cs="宋体"/>
          <w:sz w:val="24"/>
          <w:szCs w:val="24"/>
        </w:rPr>
        <w:t>注：政策性扣减方式</w:t>
      </w:r>
    </w:p>
    <w:p w14:paraId="100332BD">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1.供应商为非联合体参与谈判的，对小微型企业给予</w:t>
      </w:r>
      <w:r>
        <w:rPr>
          <w:rFonts w:hint="eastAsia" w:ascii="宋体" w:hAnsi="宋体" w:eastAsia="宋体" w:cs="宋体"/>
          <w:sz w:val="24"/>
          <w:szCs w:val="24"/>
          <w:u w:val="single"/>
        </w:rPr>
        <w:t xml:space="preserve"> 10 </w:t>
      </w:r>
      <w:r>
        <w:rPr>
          <w:rFonts w:hint="eastAsia" w:ascii="宋体" w:hAnsi="宋体" w:eastAsia="宋体" w:cs="宋体"/>
          <w:sz w:val="24"/>
          <w:szCs w:val="24"/>
        </w:rPr>
        <w:t>%的扣除，以扣除后的报价参与评审。</w:t>
      </w:r>
    </w:p>
    <w:p w14:paraId="5A13D152">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2.监狱企业、残疾人福利性单位视同小型、微型企业。</w:t>
      </w:r>
    </w:p>
    <w:p w14:paraId="41216A91">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（二）若供应商的最后报价经扣减后价格相同，按技术（质量）的优劣顺序排列；以上都相同的，按服务条款的优劣顺序排列。</w:t>
      </w:r>
    </w:p>
    <w:p w14:paraId="452AF5CA">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（三）成交价格=成交供应商的最后报价。</w:t>
      </w:r>
    </w:p>
    <w:p w14:paraId="69293095">
      <w:pPr>
        <w:pStyle w:val="4"/>
        <w:adjustRightInd w:val="0"/>
        <w:snapToGrid w:val="0"/>
        <w:spacing w:before="0" w:after="0" w:line="400" w:lineRule="exact"/>
        <w:ind w:firstLine="482" w:firstLineChars="200"/>
        <w:rPr>
          <w:rFonts w:ascii="宋体" w:hAnsi="宋体" w:eastAsia="宋体" w:cs="宋体"/>
          <w:sz w:val="24"/>
        </w:rPr>
      </w:pPr>
      <w:bookmarkStart w:id="146" w:name="_Toc142059995"/>
      <w:bookmarkStart w:id="147" w:name="_Toc141882144"/>
      <w:bookmarkStart w:id="148" w:name="_Toc106034643"/>
      <w:bookmarkStart w:id="149" w:name="_Toc65660352"/>
      <w:bookmarkStart w:id="150" w:name="_Toc22356"/>
      <w:bookmarkStart w:id="151" w:name="_Toc7023"/>
      <w:bookmarkStart w:id="152" w:name="_Toc12644"/>
      <w:bookmarkStart w:id="153" w:name="_Toc29113"/>
      <w:bookmarkStart w:id="154" w:name="_Toc5332"/>
      <w:r>
        <w:rPr>
          <w:rFonts w:hint="eastAsia" w:ascii="宋体" w:hAnsi="宋体" w:eastAsia="宋体" w:cs="宋体"/>
          <w:sz w:val="24"/>
        </w:rPr>
        <w:t>三、无效谈判</w:t>
      </w:r>
      <w:bookmarkEnd w:id="146"/>
      <w:bookmarkEnd w:id="147"/>
      <w:bookmarkEnd w:id="148"/>
      <w:bookmarkEnd w:id="149"/>
      <w:bookmarkEnd w:id="150"/>
      <w:bookmarkEnd w:id="151"/>
      <w:bookmarkEnd w:id="152"/>
      <w:bookmarkEnd w:id="153"/>
      <w:bookmarkEnd w:id="154"/>
    </w:p>
    <w:p w14:paraId="6763C56F">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供应商发生以下条款情况之一者，视为无效谈判：</w:t>
      </w:r>
    </w:p>
    <w:p w14:paraId="3FE16827">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（一）供应商不符合规定的资格条件的；</w:t>
      </w:r>
    </w:p>
    <w:p w14:paraId="69FDF625">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（二）供应商未通过实质性响应审查的；</w:t>
      </w:r>
    </w:p>
    <w:p w14:paraId="40A6E5A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（三）供应商的法定代表人（或其授权代表）或自然人未参加谈判的；</w:t>
      </w:r>
    </w:p>
    <w:p w14:paraId="16B361A4">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（四）供应商未在保证金到账截止时间前足额交纳所参与包保证金的；</w:t>
      </w:r>
    </w:p>
    <w:p w14:paraId="4C53AC86">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（五）供应商所提交的响应文件未按“第七篇响应文件格式要求”要求签署或盖章的；</w:t>
      </w:r>
    </w:p>
    <w:p w14:paraId="233379B7">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（六）供应商的最后报价超过采购预算或最高限价的；</w:t>
      </w:r>
    </w:p>
    <w:p w14:paraId="3AB0570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（七）供应商不接受谈判小组修正后的价格的；</w:t>
      </w:r>
    </w:p>
    <w:p w14:paraId="7FE6145E">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（八）单位负责人为同一人或者存在直接控股、管理关系的不同供应商，参加同一合同项（包）谈判的；</w:t>
      </w:r>
    </w:p>
    <w:p w14:paraId="2B4421F7">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（九）为采购项目提供整体设计、规范编制或者项目管理、监理、检测等服务的供应商再参加该采购项目的其他采购活动的；</w:t>
      </w:r>
    </w:p>
    <w:p w14:paraId="0A4A25F0">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（十）同一合同项（包）下的货物，制造商参与谈判，再委托代理商参与谈判的；</w:t>
      </w:r>
    </w:p>
    <w:p w14:paraId="3141C792">
      <w:pPr>
        <w:pStyle w:val="33"/>
        <w:spacing w:line="400" w:lineRule="exact"/>
        <w:ind w:left="0" w:leftChars="0" w:firstLine="480" w:firstLineChars="200"/>
        <w:rPr>
          <w:rFonts w:ascii="宋体" w:hAnsi="宋体" w:eastAsia="宋体" w:cs="宋体"/>
          <w:sz w:val="24"/>
          <w:szCs w:val="24"/>
        </w:rPr>
      </w:pPr>
      <w:r>
        <w:rPr>
          <w:rFonts w:hint="eastAsia" w:ascii="宋体" w:hAnsi="宋体" w:eastAsia="宋体" w:cs="宋体"/>
          <w:sz w:val="24"/>
          <w:szCs w:val="24"/>
        </w:rPr>
        <w:t>（十一）供应商响应文件内容有与国家现行法律法规相违背的内容，或附有采购人无法接受条件的；</w:t>
      </w:r>
    </w:p>
    <w:p w14:paraId="3AEDD308">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（十二）法律、法规和竞争性谈判文件规定的其他无效情形。</w:t>
      </w:r>
    </w:p>
    <w:p w14:paraId="7585D36A">
      <w:pPr>
        <w:pStyle w:val="4"/>
        <w:adjustRightInd w:val="0"/>
        <w:snapToGrid w:val="0"/>
        <w:spacing w:before="0" w:after="0" w:line="400" w:lineRule="exact"/>
        <w:ind w:firstLine="482" w:firstLineChars="200"/>
        <w:rPr>
          <w:rFonts w:ascii="宋体" w:hAnsi="宋体" w:eastAsia="宋体" w:cs="宋体"/>
          <w:sz w:val="24"/>
        </w:rPr>
      </w:pPr>
      <w:bookmarkStart w:id="155" w:name="_Toc7704"/>
      <w:bookmarkStart w:id="156" w:name="_Toc24663"/>
      <w:bookmarkStart w:id="157" w:name="_Toc106034644"/>
      <w:bookmarkStart w:id="158" w:name="_Toc28422"/>
      <w:bookmarkStart w:id="159" w:name="_Toc141882145"/>
      <w:bookmarkStart w:id="160" w:name="_Toc31579"/>
      <w:bookmarkStart w:id="161" w:name="_Toc142059996"/>
      <w:bookmarkStart w:id="162" w:name="_Toc65660353"/>
      <w:bookmarkStart w:id="163" w:name="_Toc29298"/>
      <w:r>
        <w:rPr>
          <w:rFonts w:hint="eastAsia" w:ascii="宋体" w:hAnsi="宋体" w:eastAsia="宋体" w:cs="宋体"/>
          <w:sz w:val="24"/>
        </w:rPr>
        <w:t>四、采购终止</w:t>
      </w:r>
      <w:bookmarkEnd w:id="155"/>
      <w:bookmarkEnd w:id="156"/>
      <w:bookmarkEnd w:id="157"/>
      <w:bookmarkEnd w:id="158"/>
      <w:bookmarkEnd w:id="159"/>
      <w:bookmarkEnd w:id="160"/>
      <w:bookmarkEnd w:id="161"/>
      <w:bookmarkEnd w:id="162"/>
      <w:bookmarkEnd w:id="163"/>
    </w:p>
    <w:p w14:paraId="2EDF608F">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出现下列情形之一的，采购人或者采购代理机构应当终止竞争性谈判采购活动，发布项目终止公告并说明原因，重新开展采购活动：</w:t>
      </w:r>
    </w:p>
    <w:p w14:paraId="4829DB04">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（一）因情况变化，不再符合规定的竞争性谈判采购方式适用情形的；</w:t>
      </w:r>
    </w:p>
    <w:p w14:paraId="4DE4AC14">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（二）出现影响采购公正的违法、违规行为的；</w:t>
      </w:r>
    </w:p>
    <w:p w14:paraId="32501250">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（三）在采购过程中符合竞争要求的供应商或者报价未超过采购预算的供应商不足3家的，但《政府采购非招标采购方式管理办法》第二十七条第二款规定的情形除外。</w:t>
      </w:r>
    </w:p>
    <w:p w14:paraId="0B70DF4B">
      <w:pPr>
        <w:spacing w:line="360" w:lineRule="auto"/>
        <w:ind w:firstLine="480" w:firstLineChars="200"/>
        <w:rPr>
          <w:rFonts w:ascii="宋体" w:hAnsi="宋体" w:eastAsia="宋体" w:cs="宋体"/>
          <w:kern w:val="0"/>
          <w:sz w:val="24"/>
          <w:szCs w:val="24"/>
        </w:rPr>
        <w:sectPr>
          <w:footerReference r:id="rId6" w:type="default"/>
          <w:pgSz w:w="11907" w:h="16840"/>
          <w:pgMar w:top="1134" w:right="1134" w:bottom="1134" w:left="1134" w:header="851" w:footer="850" w:gutter="0"/>
          <w:pgNumType w:fmt="decimal"/>
          <w:cols w:space="720" w:num="1"/>
          <w:docGrid w:linePitch="380" w:charSpace="-5735"/>
        </w:sectPr>
      </w:pPr>
    </w:p>
    <w:p w14:paraId="6BBCA84C">
      <w:pPr>
        <w:pStyle w:val="3"/>
        <w:keepLines/>
        <w:snapToGrid/>
        <w:spacing w:line="360" w:lineRule="auto"/>
        <w:ind w:firstLine="3253" w:firstLineChars="900"/>
        <w:jc w:val="both"/>
        <w:rPr>
          <w:rFonts w:hAnsi="宋体" w:eastAsia="宋体" w:cs="宋体"/>
          <w:b/>
          <w:sz w:val="36"/>
          <w:szCs w:val="30"/>
        </w:rPr>
      </w:pPr>
      <w:bookmarkStart w:id="164" w:name="_Toc106034645"/>
      <w:bookmarkStart w:id="165" w:name="_Toc10768"/>
      <w:bookmarkStart w:id="166" w:name="_Toc20055"/>
      <w:bookmarkStart w:id="167" w:name="_Toc14891"/>
      <w:bookmarkStart w:id="168" w:name="_Toc18209"/>
      <w:bookmarkStart w:id="169" w:name="_Toc142059997"/>
      <w:bookmarkStart w:id="170" w:name="_Toc65660354"/>
      <w:r>
        <w:rPr>
          <w:rFonts w:hint="eastAsia" w:hAnsi="宋体" w:eastAsia="宋体" w:cs="宋体"/>
          <w:b/>
          <w:bCs/>
          <w:sz w:val="36"/>
          <w:szCs w:val="30"/>
        </w:rPr>
        <w:t>第五篇  供应商须知</w:t>
      </w:r>
      <w:bookmarkEnd w:id="164"/>
      <w:bookmarkEnd w:id="165"/>
      <w:bookmarkEnd w:id="166"/>
      <w:bookmarkEnd w:id="167"/>
      <w:bookmarkEnd w:id="168"/>
      <w:bookmarkEnd w:id="169"/>
      <w:bookmarkEnd w:id="170"/>
    </w:p>
    <w:p w14:paraId="4B0C3296">
      <w:pPr>
        <w:pStyle w:val="4"/>
        <w:adjustRightInd w:val="0"/>
        <w:snapToGrid w:val="0"/>
        <w:spacing w:before="0" w:after="0" w:line="400" w:lineRule="exact"/>
        <w:ind w:firstLine="482" w:firstLineChars="200"/>
        <w:rPr>
          <w:rFonts w:ascii="宋体" w:hAnsi="宋体" w:eastAsia="宋体" w:cs="宋体"/>
          <w:sz w:val="24"/>
        </w:rPr>
      </w:pPr>
      <w:bookmarkStart w:id="171" w:name="_Toc5290"/>
      <w:bookmarkStart w:id="172" w:name="_Toc142059998"/>
      <w:bookmarkStart w:id="173" w:name="_Toc65660355"/>
      <w:bookmarkStart w:id="174" w:name="_Toc32580"/>
      <w:bookmarkStart w:id="175" w:name="_Toc16524"/>
      <w:bookmarkStart w:id="176" w:name="_Toc5347"/>
      <w:bookmarkStart w:id="177" w:name="_Toc106034646"/>
      <w:r>
        <w:rPr>
          <w:rFonts w:hint="eastAsia" w:ascii="宋体" w:hAnsi="宋体" w:eastAsia="宋体" w:cs="宋体"/>
          <w:sz w:val="24"/>
        </w:rPr>
        <w:t>一、谈判费用</w:t>
      </w:r>
      <w:bookmarkEnd w:id="171"/>
      <w:bookmarkEnd w:id="172"/>
      <w:bookmarkEnd w:id="173"/>
      <w:bookmarkEnd w:id="174"/>
      <w:bookmarkEnd w:id="175"/>
      <w:bookmarkEnd w:id="176"/>
      <w:bookmarkEnd w:id="177"/>
    </w:p>
    <w:p w14:paraId="3645DB9F">
      <w:pPr>
        <w:pStyle w:val="146"/>
        <w:spacing w:line="400" w:lineRule="exact"/>
        <w:ind w:firstLine="480" w:firstLineChars="200"/>
        <w:rPr>
          <w:rFonts w:hAnsi="宋体" w:eastAsia="宋体" w:cs="宋体"/>
          <w:sz w:val="24"/>
          <w:szCs w:val="24"/>
        </w:rPr>
      </w:pPr>
      <w:r>
        <w:rPr>
          <w:rFonts w:hint="eastAsia" w:hAnsi="宋体" w:eastAsia="宋体" w:cs="宋体"/>
          <w:sz w:val="24"/>
          <w:szCs w:val="24"/>
        </w:rPr>
        <w:t>参与谈判的供应商应承担其编制响应文件与递交响应文件所涉及的一切费用，不论谈判结果如何，采购人和采购代理机构在任何情况下无义务也无责任承担这些费用。</w:t>
      </w:r>
    </w:p>
    <w:p w14:paraId="0D855929">
      <w:pPr>
        <w:pStyle w:val="4"/>
        <w:adjustRightInd w:val="0"/>
        <w:snapToGrid w:val="0"/>
        <w:spacing w:before="0" w:after="0" w:line="400" w:lineRule="exact"/>
        <w:ind w:firstLine="482" w:firstLineChars="200"/>
        <w:rPr>
          <w:rFonts w:ascii="宋体" w:hAnsi="宋体" w:eastAsia="宋体" w:cs="宋体"/>
          <w:sz w:val="24"/>
        </w:rPr>
      </w:pPr>
      <w:bookmarkStart w:id="178" w:name="_Toc32054"/>
      <w:bookmarkStart w:id="179" w:name="_Toc31739"/>
      <w:bookmarkStart w:id="180" w:name="_Toc24874"/>
      <w:bookmarkStart w:id="181" w:name="_Toc142059999"/>
      <w:bookmarkStart w:id="182" w:name="_Toc5915"/>
      <w:bookmarkStart w:id="183" w:name="_Toc106034647"/>
      <w:bookmarkStart w:id="184" w:name="_Toc65660356"/>
      <w:r>
        <w:rPr>
          <w:rFonts w:hint="eastAsia" w:ascii="宋体" w:hAnsi="宋体" w:eastAsia="宋体" w:cs="宋体"/>
          <w:sz w:val="24"/>
        </w:rPr>
        <w:t>二、竞争性谈判文件</w:t>
      </w:r>
      <w:bookmarkEnd w:id="178"/>
      <w:bookmarkEnd w:id="179"/>
      <w:bookmarkEnd w:id="180"/>
      <w:bookmarkEnd w:id="181"/>
      <w:bookmarkEnd w:id="182"/>
      <w:bookmarkEnd w:id="183"/>
      <w:bookmarkEnd w:id="184"/>
      <w:r>
        <w:rPr>
          <w:rFonts w:hint="eastAsia" w:ascii="宋体" w:hAnsi="宋体" w:eastAsia="宋体" w:cs="宋体"/>
          <w:sz w:val="24"/>
        </w:rPr>
        <w:tab/>
      </w:r>
    </w:p>
    <w:p w14:paraId="7F12EF5C">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（一）竞争性谈判文件由竞争性谈判邀请书、谈判项目技术需求、谈判项目服务需求、采购程序、评定成交的标准、无效谈判及采购终止、供应商须知、合同草案条款、响应文件格式要求七部分组成。</w:t>
      </w:r>
    </w:p>
    <w:p w14:paraId="68DA4921">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（二）采购人（或采购代理机构）所作的一切有效的书面通知、修改及补充，都是竞争性谈判文件不可分割的部分。</w:t>
      </w:r>
    </w:p>
    <w:p w14:paraId="0EE0B4F3">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（三）本竞争性谈判文件中，谈判小组根据与供应商谈判情况可能实质性变动的内容为竞争性谈判文件第二、三、六篇全部内容。</w:t>
      </w:r>
    </w:p>
    <w:p w14:paraId="2A1BCA37">
      <w:pPr>
        <w:pStyle w:val="4"/>
        <w:adjustRightInd w:val="0"/>
        <w:snapToGrid w:val="0"/>
        <w:spacing w:before="0" w:after="0" w:line="400" w:lineRule="exact"/>
        <w:ind w:firstLine="482" w:firstLineChars="200"/>
        <w:rPr>
          <w:rFonts w:ascii="宋体" w:hAnsi="宋体" w:eastAsia="宋体" w:cs="宋体"/>
          <w:sz w:val="24"/>
        </w:rPr>
      </w:pPr>
      <w:bookmarkStart w:id="185" w:name="_Toc2790"/>
      <w:bookmarkStart w:id="186" w:name="_Toc3061"/>
      <w:bookmarkStart w:id="187" w:name="_Toc27930"/>
      <w:bookmarkStart w:id="188" w:name="_Toc142060000"/>
      <w:bookmarkStart w:id="189" w:name="_Toc106034648"/>
      <w:bookmarkStart w:id="190" w:name="_Toc65660357"/>
      <w:bookmarkStart w:id="191" w:name="_Toc9532"/>
      <w:r>
        <w:rPr>
          <w:rFonts w:hint="eastAsia" w:ascii="宋体" w:hAnsi="宋体" w:eastAsia="宋体" w:cs="宋体"/>
          <w:sz w:val="24"/>
        </w:rPr>
        <w:t>三、谈判要求</w:t>
      </w:r>
      <w:bookmarkEnd w:id="185"/>
      <w:bookmarkEnd w:id="186"/>
      <w:bookmarkEnd w:id="187"/>
      <w:bookmarkEnd w:id="188"/>
      <w:bookmarkEnd w:id="189"/>
      <w:bookmarkEnd w:id="190"/>
      <w:bookmarkEnd w:id="191"/>
    </w:p>
    <w:p w14:paraId="5CCCD2E9">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（一）响应文件</w:t>
      </w:r>
    </w:p>
    <w:p w14:paraId="2CF01EDF">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供应商应当按照竞争性谈判文件的要求编制响应文件，并对竞争性谈判文件提出的要求和条件作出实质性响应，响应文件原则上采用软面订本。</w:t>
      </w:r>
    </w:p>
    <w:p w14:paraId="5C62229E">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1.响应文件组成</w:t>
      </w:r>
    </w:p>
    <w:p w14:paraId="7EA90EA8">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响应文件由“第七篇响应文件格式要求”规定的部分和供应商所作的一切有效补充、修改和承诺等文件组成，供应商应按照“第七篇响应文件格式”规定进行编写和装订，也可在基本格式基础上对表格进行扩展，未规定格式的由供应商自定格式。</w:t>
      </w:r>
    </w:p>
    <w:p w14:paraId="6C04520E">
      <w:pPr>
        <w:spacing w:line="400" w:lineRule="exact"/>
        <w:ind w:firstLine="480" w:firstLineChars="200"/>
        <w:rPr>
          <w:rFonts w:ascii="宋体" w:hAnsi="宋体" w:eastAsia="宋体" w:cs="宋体"/>
          <w:sz w:val="24"/>
          <w:szCs w:val="24"/>
        </w:rPr>
      </w:pPr>
      <w:r>
        <w:rPr>
          <w:rFonts w:ascii="宋体" w:hAnsi="宋体" w:eastAsia="宋体" w:cs="宋体"/>
          <w:sz w:val="24"/>
          <w:szCs w:val="24"/>
        </w:rPr>
        <w:t>2</w:t>
      </w:r>
      <w:r>
        <w:rPr>
          <w:rFonts w:hint="eastAsia" w:ascii="宋体" w:hAnsi="宋体" w:eastAsia="宋体" w:cs="宋体"/>
          <w:sz w:val="24"/>
          <w:szCs w:val="24"/>
        </w:rPr>
        <w:t>.谈判有效期：响应文件及有关承诺文件有效期为提交响应文件截止时间起90天。</w:t>
      </w:r>
    </w:p>
    <w:p w14:paraId="333DA209">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eastAsia="zh-CN"/>
        </w:rPr>
        <w:t>二</w:t>
      </w:r>
      <w:r>
        <w:rPr>
          <w:rFonts w:hint="eastAsia" w:ascii="宋体" w:hAnsi="宋体" w:eastAsia="宋体" w:cs="宋体"/>
          <w:sz w:val="24"/>
          <w:szCs w:val="24"/>
        </w:rPr>
        <w:t>）修正错误</w:t>
      </w:r>
    </w:p>
    <w:p w14:paraId="328576FB">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若供应商所递交的响应文件或最后报价中的价格出现大写金额和小写金额不一致的错误，以大写金额修正为准。</w:t>
      </w:r>
    </w:p>
    <w:p w14:paraId="19665D8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谈判小组按上述修正错误的原则及方法修正供应商的报价，供应商同意并签署确认后，修正后的报价对供应商具有约束作用。如果供应商不接受修正后的价格，将视为无效谈判。</w:t>
      </w:r>
    </w:p>
    <w:p w14:paraId="63E303A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（四）提交响应文件的份数和签署</w:t>
      </w:r>
    </w:p>
    <w:p w14:paraId="36E666F3">
      <w:pPr>
        <w:snapToGrid w:val="0"/>
        <w:spacing w:line="400" w:lineRule="exact"/>
        <w:ind w:firstLine="480" w:firstLineChars="200"/>
        <w:rPr>
          <w:rFonts w:hint="eastAsia" w:ascii="宋体" w:hAnsi="宋体" w:eastAsia="宋体" w:cs="宋体"/>
          <w:kern w:val="2"/>
          <w:sz w:val="24"/>
          <w:szCs w:val="24"/>
          <w:lang w:val="en-US" w:eastAsia="zh-CN" w:bidi="ar"/>
        </w:rPr>
      </w:pPr>
      <w:r>
        <w:rPr>
          <w:rFonts w:hint="eastAsia" w:ascii="宋体" w:hAnsi="宋体" w:eastAsia="宋体" w:cs="宋体"/>
          <w:sz w:val="24"/>
          <w:szCs w:val="24"/>
        </w:rPr>
        <w:t>1.</w:t>
      </w:r>
      <w:r>
        <w:rPr>
          <w:rFonts w:hint="eastAsia" w:ascii="宋体" w:hAnsi="宋体" w:eastAsia="宋体" w:cs="宋体"/>
          <w:b/>
          <w:kern w:val="2"/>
          <w:sz w:val="24"/>
          <w:szCs w:val="24"/>
          <w:lang w:val="en-US" w:eastAsia="zh-CN" w:bidi="ar"/>
        </w:rPr>
        <w:t>其中正本一份，副本一份，电子文档一份</w:t>
      </w:r>
      <w:r>
        <w:rPr>
          <w:rFonts w:hint="eastAsia" w:ascii="宋体" w:hAnsi="宋体" w:eastAsia="宋体" w:cs="宋体"/>
          <w:kern w:val="2"/>
          <w:sz w:val="24"/>
          <w:szCs w:val="24"/>
          <w:lang w:val="en-US" w:eastAsia="zh-CN" w:bidi="ar"/>
        </w:rPr>
        <w:t>（电子文档内容应与纸质文件正本一致，如不一致以纸质文件正本为准。推荐采用光盘或U盘为电子文档载体）；副本可为正本的复印件，应与正本一致，如出现不一致情况以正本为准。</w:t>
      </w:r>
    </w:p>
    <w:p w14:paraId="2026B784">
      <w:pPr>
        <w:snapToGrid w:val="0"/>
        <w:spacing w:line="400" w:lineRule="exact"/>
        <w:ind w:firstLine="480" w:firstLineChars="200"/>
        <w:rPr>
          <w:rFonts w:ascii="宋体" w:hAnsi="宋体" w:eastAsia="宋体" w:cs="宋体"/>
          <w:sz w:val="24"/>
        </w:rPr>
      </w:pPr>
      <w:r>
        <w:rPr>
          <w:rFonts w:hint="eastAsia" w:ascii="宋体" w:hAnsi="宋体" w:eastAsia="宋体" w:cs="宋体"/>
          <w:sz w:val="24"/>
          <w:szCs w:val="24"/>
        </w:rPr>
        <w:t>2.</w:t>
      </w:r>
      <w:r>
        <w:rPr>
          <w:rFonts w:hint="eastAsia" w:ascii="宋体" w:hAnsi="宋体" w:eastAsia="宋体" w:cs="宋体"/>
          <w:sz w:val="24"/>
        </w:rPr>
        <w:t>在响应文件正本中，竞争性谈判文件第七篇响应文件格式中规定签署、盖章的地方必须按其规定签署、盖章。</w:t>
      </w:r>
    </w:p>
    <w:p w14:paraId="4C4EC36C">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3.若供应商对响应文件的错处作必要修改，则应在修改处加盖供应商公章或由法定代表人（或其授权代表）或自然人</w:t>
      </w:r>
      <w:r>
        <w:rPr>
          <w:rFonts w:hint="eastAsia" w:ascii="宋体" w:hAnsi="宋体" w:eastAsia="宋体" w:cs="宋体"/>
          <w:sz w:val="24"/>
          <w:szCs w:val="24"/>
        </w:rPr>
        <w:t>（供应商为自然人）签署</w:t>
      </w:r>
      <w:r>
        <w:rPr>
          <w:rFonts w:hint="eastAsia" w:ascii="宋体" w:hAnsi="宋体" w:eastAsia="宋体" w:cs="宋体"/>
          <w:sz w:val="24"/>
        </w:rPr>
        <w:t>确认。</w:t>
      </w:r>
    </w:p>
    <w:p w14:paraId="31F6DE51">
      <w:pPr>
        <w:snapToGrid w:val="0"/>
        <w:spacing w:line="400" w:lineRule="exact"/>
        <w:ind w:firstLine="480" w:firstLineChars="200"/>
        <w:rPr>
          <w:rFonts w:ascii="宋体" w:hAnsi="宋体" w:eastAsia="宋体" w:cs="宋体"/>
          <w:sz w:val="24"/>
        </w:rPr>
      </w:pPr>
      <w:r>
        <w:rPr>
          <w:rFonts w:hint="eastAsia" w:ascii="宋体" w:hAnsi="宋体" w:eastAsia="宋体" w:cs="宋体"/>
          <w:sz w:val="24"/>
        </w:rPr>
        <w:t>4.电报、电话、传真形式的响应文件概不接受。</w:t>
      </w:r>
    </w:p>
    <w:p w14:paraId="6EB1C7C7">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（五）响应文件的递交</w:t>
      </w:r>
    </w:p>
    <w:p w14:paraId="6C58B464">
      <w:pPr>
        <w:pStyle w:val="52"/>
        <w:keepNext w:val="0"/>
        <w:keepLines w:val="0"/>
        <w:widowControl w:val="0"/>
        <w:suppressLineNumbers w:val="0"/>
        <w:spacing w:before="0" w:beforeAutospacing="0" w:after="0" w:afterAutospacing="0" w:line="400" w:lineRule="exact"/>
        <w:ind w:left="0" w:right="0" w:firstLine="480" w:firstLineChars="200"/>
        <w:jc w:val="both"/>
        <w:rPr>
          <w:rFonts w:hAnsi="宋体" w:eastAsia="宋体" w:cs="宋体"/>
          <w:sz w:val="24"/>
        </w:rPr>
      </w:pPr>
      <w:r>
        <w:rPr>
          <w:rFonts w:hint="eastAsia" w:ascii="宋体" w:hAnsi="宋体" w:eastAsia="宋体" w:cs="宋体"/>
          <w:kern w:val="2"/>
          <w:sz w:val="24"/>
          <w:szCs w:val="24"/>
          <w:lang w:val="en-US" w:eastAsia="zh-CN" w:bidi="ar"/>
        </w:rPr>
        <w:t>响应文件的正本、副本以及电子文档均应密封送达谈判地点，应在封套上注明谈判项目名称、供应商名称。若正本、副本以及电子文档分别进行密封的，还应在封套上注明“正本”、“副本”、“电子文档”字样。</w:t>
      </w:r>
    </w:p>
    <w:p w14:paraId="3A8ED8E8">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（六）响应文件语言：简体中文</w:t>
      </w:r>
    </w:p>
    <w:p w14:paraId="1B031DF0">
      <w:pPr>
        <w:snapToGrid w:val="0"/>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（七）供应商参与人员</w:t>
      </w:r>
    </w:p>
    <w:p w14:paraId="25946BEF">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各供应商应当派1-2名代表参与谈判，至少1人应为法定代表人（或其授权代表）或自然人（供应商为自然人）。</w:t>
      </w:r>
    </w:p>
    <w:p w14:paraId="30906387">
      <w:pPr>
        <w:pStyle w:val="4"/>
        <w:adjustRightInd w:val="0"/>
        <w:snapToGrid w:val="0"/>
        <w:spacing w:before="0" w:after="0" w:line="400" w:lineRule="exact"/>
        <w:ind w:firstLine="482" w:firstLineChars="200"/>
        <w:rPr>
          <w:rFonts w:ascii="宋体" w:hAnsi="宋体" w:eastAsia="宋体" w:cs="宋体"/>
          <w:sz w:val="24"/>
        </w:rPr>
      </w:pPr>
      <w:bookmarkStart w:id="192" w:name="_Toc142060001"/>
      <w:bookmarkStart w:id="193" w:name="_Toc9430"/>
      <w:bookmarkStart w:id="194" w:name="_Toc106034649"/>
      <w:bookmarkStart w:id="195" w:name="_Toc65660358"/>
      <w:bookmarkStart w:id="196" w:name="_Toc6242"/>
      <w:bookmarkStart w:id="197" w:name="_Toc14702"/>
      <w:bookmarkStart w:id="198" w:name="_Toc7053"/>
      <w:r>
        <w:rPr>
          <w:rFonts w:hint="eastAsia" w:ascii="宋体" w:hAnsi="宋体" w:eastAsia="宋体" w:cs="宋体"/>
          <w:sz w:val="24"/>
        </w:rPr>
        <w:t>四、成交供应商的确定和变更</w:t>
      </w:r>
      <w:bookmarkEnd w:id="192"/>
      <w:bookmarkEnd w:id="193"/>
      <w:bookmarkEnd w:id="194"/>
      <w:bookmarkEnd w:id="195"/>
      <w:bookmarkEnd w:id="196"/>
      <w:bookmarkEnd w:id="197"/>
      <w:bookmarkEnd w:id="198"/>
    </w:p>
    <w:p w14:paraId="2C1D7A81">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一）采购代理机构应当在评审结束后2个工作日内将评审报告送采购人确认。采购人应当在收到评审报告后5个工作日内，从评审报告提出的成交候选人中，根据质量和服务均能满足采购文件实质性响应要求且最后报价最低的原则确定成交供应商，也可以书面授权谈判小组直接确定成交供应商。采购人逾期未确定成交供应商且不提出异议的，视为确定评审报告提出的最后报价最低的供应商为成交供应商。</w:t>
      </w:r>
    </w:p>
    <w:p w14:paraId="3E4A457B">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（二）成交供应商的变更</w:t>
      </w:r>
    </w:p>
    <w:p w14:paraId="7AACC432">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1.成交供应商拒绝签订政府采购合同的，采购人可以按照评审报告推荐的成交候选人顺序，确定排名下一位的候选人为成交供应商，也可以重新开展政府采购活动。拒绝签订政府采购合同的成交供应商不得参加对该项目重新开展的采购活动。</w:t>
      </w:r>
    </w:p>
    <w:p w14:paraId="56EEF053">
      <w:pPr>
        <w:snapToGrid w:val="0"/>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2.成交供应商无充分理由放弃成交的，采购人将向同级财政部门报告，财政部门将根据相关法律法规的规定进行处理。</w:t>
      </w:r>
    </w:p>
    <w:p w14:paraId="66E3BC7F">
      <w:pPr>
        <w:pStyle w:val="4"/>
        <w:adjustRightInd w:val="0"/>
        <w:snapToGrid w:val="0"/>
        <w:spacing w:before="0" w:after="0" w:line="400" w:lineRule="exact"/>
        <w:ind w:firstLine="482" w:firstLineChars="200"/>
        <w:rPr>
          <w:rFonts w:ascii="宋体" w:hAnsi="宋体" w:eastAsia="宋体" w:cs="宋体"/>
          <w:sz w:val="24"/>
        </w:rPr>
      </w:pPr>
      <w:bookmarkStart w:id="199" w:name="_Toc22956"/>
      <w:bookmarkStart w:id="200" w:name="_Toc65660359"/>
      <w:bookmarkStart w:id="201" w:name="_Toc1092"/>
      <w:bookmarkStart w:id="202" w:name="_Toc21342"/>
      <w:bookmarkStart w:id="203" w:name="_Toc142060002"/>
      <w:bookmarkStart w:id="204" w:name="_Toc29821"/>
      <w:bookmarkStart w:id="205" w:name="_Toc106034650"/>
      <w:r>
        <w:rPr>
          <w:rFonts w:hint="eastAsia" w:ascii="宋体" w:hAnsi="宋体" w:eastAsia="宋体" w:cs="宋体"/>
          <w:sz w:val="24"/>
        </w:rPr>
        <w:t>五、成交通知</w:t>
      </w:r>
      <w:bookmarkEnd w:id="199"/>
      <w:bookmarkEnd w:id="200"/>
      <w:bookmarkEnd w:id="201"/>
      <w:bookmarkEnd w:id="202"/>
      <w:bookmarkEnd w:id="203"/>
      <w:bookmarkEnd w:id="204"/>
      <w:bookmarkEnd w:id="205"/>
    </w:p>
    <w:p w14:paraId="20904392">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（一）成交供应商确定后，采购代理机构将在行采家上发布成交结果公告。</w:t>
      </w:r>
    </w:p>
    <w:p w14:paraId="7EE844EC">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（二）结果公告发出同时，采购代理机构将以书面形式发出《成交通知书》。《成交通知书》一经发出即发生法律效力。《成交通知书》将作为签订合同的依据。</w:t>
      </w:r>
    </w:p>
    <w:p w14:paraId="4787C159">
      <w:pPr>
        <w:pStyle w:val="4"/>
        <w:adjustRightInd w:val="0"/>
        <w:snapToGrid w:val="0"/>
        <w:spacing w:before="0" w:after="0" w:line="400" w:lineRule="exact"/>
        <w:ind w:firstLine="482" w:firstLineChars="200"/>
        <w:rPr>
          <w:rFonts w:ascii="宋体" w:hAnsi="宋体" w:eastAsia="宋体" w:cs="宋体"/>
          <w:sz w:val="24"/>
        </w:rPr>
      </w:pPr>
      <w:bookmarkStart w:id="206" w:name="_Toc6902"/>
      <w:bookmarkStart w:id="207" w:name="_Toc1010"/>
      <w:bookmarkStart w:id="208" w:name="_Toc30909"/>
      <w:bookmarkStart w:id="209" w:name="_Toc65660360"/>
      <w:bookmarkStart w:id="210" w:name="_Toc142060003"/>
      <w:bookmarkStart w:id="211" w:name="_Toc106034651"/>
      <w:bookmarkStart w:id="212" w:name="_Toc27084"/>
      <w:r>
        <w:rPr>
          <w:rFonts w:hint="eastAsia" w:ascii="宋体" w:hAnsi="宋体" w:eastAsia="宋体" w:cs="宋体"/>
          <w:sz w:val="24"/>
        </w:rPr>
        <w:t>六、关于质疑</w:t>
      </w:r>
      <w:bookmarkEnd w:id="206"/>
      <w:bookmarkEnd w:id="207"/>
      <w:bookmarkEnd w:id="208"/>
      <w:bookmarkEnd w:id="209"/>
      <w:bookmarkEnd w:id="210"/>
      <w:bookmarkEnd w:id="211"/>
      <w:bookmarkEnd w:id="212"/>
    </w:p>
    <w:p w14:paraId="48B504D7">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（一）质疑</w:t>
      </w:r>
    </w:p>
    <w:p w14:paraId="5C15EEF0">
      <w:pPr>
        <w:spacing w:line="400" w:lineRule="exact"/>
        <w:ind w:right="12" w:firstLine="480"/>
        <w:rPr>
          <w:rFonts w:ascii="宋体" w:hAnsi="宋体" w:eastAsia="宋体" w:cs="宋体"/>
          <w:sz w:val="24"/>
        </w:rPr>
      </w:pPr>
      <w:r>
        <w:rPr>
          <w:rFonts w:hint="eastAsia" w:ascii="宋体" w:hAnsi="宋体" w:eastAsia="宋体" w:cs="宋体"/>
          <w:sz w:val="24"/>
        </w:rPr>
        <w:t>供应商认为采购文件、采购过程和成交结果使自己的权益收到伤害的，可向采购人或采购代理机构以书面形式提出质疑。</w:t>
      </w:r>
    </w:p>
    <w:p w14:paraId="0A99DF2B">
      <w:pPr>
        <w:spacing w:line="400" w:lineRule="exact"/>
        <w:ind w:right="12" w:firstLine="480"/>
        <w:rPr>
          <w:rFonts w:ascii="宋体" w:hAnsi="宋体" w:eastAsia="宋体" w:cs="宋体"/>
          <w:sz w:val="24"/>
        </w:rPr>
      </w:pPr>
      <w:r>
        <w:rPr>
          <w:rFonts w:hint="eastAsia" w:ascii="宋体" w:hAnsi="宋体" w:eastAsia="宋体" w:cs="宋体"/>
          <w:sz w:val="24"/>
        </w:rPr>
        <w:t xml:space="preserve">提出质疑的应当是参与所质疑项目采购活动的供应商。 </w:t>
      </w:r>
    </w:p>
    <w:p w14:paraId="7058959B">
      <w:pPr>
        <w:spacing w:line="400" w:lineRule="exact"/>
        <w:ind w:right="12" w:firstLine="480"/>
        <w:rPr>
          <w:rFonts w:ascii="宋体" w:hAnsi="宋体" w:eastAsia="宋体" w:cs="宋体"/>
          <w:sz w:val="24"/>
        </w:rPr>
      </w:pPr>
      <w:r>
        <w:rPr>
          <w:rFonts w:hint="eastAsia" w:ascii="宋体" w:hAnsi="宋体" w:eastAsia="宋体" w:cs="宋体"/>
          <w:sz w:val="24"/>
        </w:rPr>
        <w:t>1.质疑时限、内容</w:t>
      </w:r>
    </w:p>
    <w:p w14:paraId="039F65AD">
      <w:pPr>
        <w:spacing w:line="400" w:lineRule="exact"/>
        <w:ind w:right="12" w:firstLine="480"/>
        <w:rPr>
          <w:rFonts w:ascii="宋体" w:hAnsi="宋体" w:eastAsia="宋体" w:cs="宋体"/>
          <w:sz w:val="24"/>
        </w:rPr>
      </w:pPr>
      <w:r>
        <w:rPr>
          <w:rFonts w:hint="eastAsia" w:ascii="宋体" w:hAnsi="宋体" w:eastAsia="宋体" w:cs="宋体"/>
          <w:sz w:val="24"/>
        </w:rPr>
        <w:t>1.1供应商认为采购文件、采购过程、成交结果使自己的权益受到损害的，可以在知道或者应知其权益受到损害之日起7个工作日内，以书面形式向采购人、采购代理机构提出质疑。</w:t>
      </w:r>
    </w:p>
    <w:p w14:paraId="0218B56E">
      <w:pPr>
        <w:spacing w:line="400" w:lineRule="exact"/>
        <w:ind w:right="12" w:firstLine="480"/>
        <w:rPr>
          <w:rFonts w:ascii="宋体" w:hAnsi="宋体" w:eastAsia="宋体" w:cs="宋体"/>
          <w:sz w:val="24"/>
        </w:rPr>
      </w:pPr>
      <w:r>
        <w:rPr>
          <w:rFonts w:hint="eastAsia" w:ascii="宋体" w:hAnsi="宋体" w:eastAsia="宋体" w:cs="宋体"/>
          <w:sz w:val="24"/>
        </w:rPr>
        <w:t>1.2供应商提出质疑应当提交质疑函和必要的证明材料，质疑函应当包括下列内容：</w:t>
      </w:r>
    </w:p>
    <w:p w14:paraId="1072DF2F">
      <w:pPr>
        <w:spacing w:line="400" w:lineRule="exact"/>
        <w:ind w:right="12" w:firstLine="480"/>
        <w:rPr>
          <w:rFonts w:ascii="宋体" w:hAnsi="宋体" w:eastAsia="宋体" w:cs="宋体"/>
          <w:sz w:val="24"/>
        </w:rPr>
      </w:pPr>
      <w:r>
        <w:rPr>
          <w:rFonts w:hint="eastAsia" w:ascii="宋体" w:hAnsi="宋体" w:eastAsia="宋体" w:cs="宋体"/>
          <w:sz w:val="24"/>
        </w:rPr>
        <w:t>1.2.1供应商的姓名或者名称、地址、邮编、联系人及联系电话；</w:t>
      </w:r>
    </w:p>
    <w:p w14:paraId="12D6F3AC">
      <w:pPr>
        <w:spacing w:line="400" w:lineRule="exact"/>
        <w:ind w:right="12" w:firstLine="480"/>
        <w:rPr>
          <w:rFonts w:ascii="宋体" w:hAnsi="宋体" w:eastAsia="宋体" w:cs="宋体"/>
          <w:sz w:val="24"/>
        </w:rPr>
      </w:pPr>
      <w:r>
        <w:rPr>
          <w:rFonts w:hint="eastAsia" w:ascii="宋体" w:hAnsi="宋体" w:eastAsia="宋体" w:cs="宋体"/>
          <w:sz w:val="24"/>
        </w:rPr>
        <w:t>1.2.2</w:t>
      </w:r>
      <w:r>
        <w:rPr>
          <w:rFonts w:hint="eastAsia" w:ascii="宋体" w:hAnsi="宋体" w:eastAsia="宋体" w:cs="宋体"/>
          <w:sz w:val="24"/>
          <w:szCs w:val="24"/>
        </w:rPr>
        <w:t>质疑项目的项目名称、项目号以及采购执行编号</w:t>
      </w:r>
      <w:r>
        <w:rPr>
          <w:rFonts w:hint="eastAsia" w:ascii="宋体" w:hAnsi="宋体" w:eastAsia="宋体" w:cs="宋体"/>
          <w:sz w:val="24"/>
        </w:rPr>
        <w:t>；</w:t>
      </w:r>
    </w:p>
    <w:p w14:paraId="15978A13">
      <w:pPr>
        <w:spacing w:line="400" w:lineRule="exact"/>
        <w:ind w:right="12" w:firstLine="480"/>
        <w:rPr>
          <w:rFonts w:ascii="宋体" w:hAnsi="宋体" w:eastAsia="宋体" w:cs="宋体"/>
          <w:sz w:val="24"/>
        </w:rPr>
      </w:pPr>
      <w:r>
        <w:rPr>
          <w:rFonts w:hint="eastAsia" w:ascii="宋体" w:hAnsi="宋体" w:eastAsia="宋体" w:cs="宋体"/>
          <w:sz w:val="24"/>
        </w:rPr>
        <w:t>1.2.3具体、明确的质疑事项和与质疑事项相关的请求；</w:t>
      </w:r>
    </w:p>
    <w:p w14:paraId="66E7B519">
      <w:pPr>
        <w:spacing w:line="400" w:lineRule="exact"/>
        <w:ind w:right="12" w:firstLine="480"/>
        <w:rPr>
          <w:rFonts w:ascii="宋体" w:hAnsi="宋体" w:eastAsia="宋体" w:cs="宋体"/>
          <w:sz w:val="24"/>
        </w:rPr>
      </w:pPr>
      <w:r>
        <w:rPr>
          <w:rFonts w:hint="eastAsia" w:ascii="宋体" w:hAnsi="宋体" w:eastAsia="宋体" w:cs="宋体"/>
          <w:sz w:val="24"/>
        </w:rPr>
        <w:t>1.2.4事实依据；</w:t>
      </w:r>
    </w:p>
    <w:p w14:paraId="5EC77918">
      <w:pPr>
        <w:spacing w:line="400" w:lineRule="exact"/>
        <w:ind w:right="12" w:firstLine="480"/>
        <w:rPr>
          <w:rFonts w:ascii="宋体" w:hAnsi="宋体" w:eastAsia="宋体" w:cs="宋体"/>
          <w:sz w:val="24"/>
        </w:rPr>
      </w:pPr>
      <w:r>
        <w:rPr>
          <w:rFonts w:hint="eastAsia" w:ascii="宋体" w:hAnsi="宋体" w:eastAsia="宋体" w:cs="宋体"/>
          <w:sz w:val="24"/>
        </w:rPr>
        <w:t>1.2.5必要的法律依据；</w:t>
      </w:r>
    </w:p>
    <w:p w14:paraId="6F5B3AB1">
      <w:pPr>
        <w:spacing w:line="400" w:lineRule="exact"/>
        <w:ind w:right="12" w:firstLine="480"/>
        <w:rPr>
          <w:rFonts w:ascii="宋体" w:hAnsi="宋体" w:eastAsia="宋体" w:cs="宋体"/>
          <w:sz w:val="24"/>
        </w:rPr>
      </w:pPr>
      <w:r>
        <w:rPr>
          <w:rFonts w:hint="eastAsia" w:ascii="宋体" w:hAnsi="宋体" w:eastAsia="宋体" w:cs="宋体"/>
          <w:sz w:val="24"/>
        </w:rPr>
        <w:t>1.2.6提出质疑的日期；</w:t>
      </w:r>
    </w:p>
    <w:p w14:paraId="71C49D34">
      <w:pPr>
        <w:spacing w:line="400" w:lineRule="exact"/>
        <w:ind w:right="12" w:firstLine="480"/>
        <w:rPr>
          <w:rFonts w:ascii="宋体" w:hAnsi="宋体" w:eastAsia="宋体" w:cs="宋体"/>
          <w:sz w:val="24"/>
        </w:rPr>
      </w:pPr>
      <w:r>
        <w:rPr>
          <w:rFonts w:hint="eastAsia" w:ascii="宋体" w:hAnsi="宋体" w:eastAsia="宋体" w:cs="宋体"/>
          <w:sz w:val="24"/>
        </w:rPr>
        <w:t>1.2.7营业执照（或事业单位法人证书，或个体工商户营业执照或有效的自然人身份证明）复印件；</w:t>
      </w:r>
    </w:p>
    <w:p w14:paraId="0B7D91C0">
      <w:pPr>
        <w:spacing w:line="400" w:lineRule="exact"/>
        <w:ind w:right="12" w:firstLine="480"/>
        <w:rPr>
          <w:rFonts w:ascii="宋体" w:hAnsi="宋体" w:eastAsia="宋体" w:cs="宋体"/>
          <w:sz w:val="24"/>
        </w:rPr>
      </w:pPr>
      <w:r>
        <w:rPr>
          <w:rFonts w:hint="eastAsia" w:ascii="宋体" w:hAnsi="宋体" w:eastAsia="宋体" w:cs="宋体"/>
          <w:sz w:val="24"/>
        </w:rPr>
        <w:t>1.2.8法定代表人授权委托书原件、法定代表人身份证复印件和其授权代表的身份证复印件（供应商为自然人的提供自然人身份证复印件）；</w:t>
      </w:r>
    </w:p>
    <w:p w14:paraId="5332E86F">
      <w:pPr>
        <w:spacing w:line="400" w:lineRule="exact"/>
        <w:ind w:right="12" w:firstLine="480"/>
        <w:rPr>
          <w:rFonts w:ascii="宋体" w:hAnsi="宋体" w:eastAsia="宋体" w:cs="宋体"/>
          <w:sz w:val="24"/>
        </w:rPr>
      </w:pPr>
      <w:r>
        <w:rPr>
          <w:rFonts w:hint="eastAsia" w:ascii="宋体" w:hAnsi="宋体" w:eastAsia="宋体" w:cs="宋体"/>
          <w:sz w:val="24"/>
        </w:rPr>
        <w:t>1.3供应商为自然人的，质疑函应当由本人签字；供应商为法人或者其他组织的，质疑函应当由法定代表人、主要负责人，或者其授权代表签字或者盖章，并加盖公章。</w:t>
      </w:r>
    </w:p>
    <w:p w14:paraId="56447BAB">
      <w:pPr>
        <w:spacing w:line="400" w:lineRule="exact"/>
        <w:ind w:right="12" w:firstLine="480"/>
        <w:rPr>
          <w:rFonts w:ascii="宋体" w:hAnsi="宋体" w:eastAsia="宋体" w:cs="宋体"/>
          <w:sz w:val="24"/>
        </w:rPr>
      </w:pPr>
      <w:r>
        <w:rPr>
          <w:rFonts w:hint="eastAsia" w:ascii="宋体" w:hAnsi="宋体" w:eastAsia="宋体" w:cs="宋体"/>
          <w:sz w:val="24"/>
        </w:rPr>
        <w:t>2.质疑答复</w:t>
      </w:r>
    </w:p>
    <w:p w14:paraId="053F2627">
      <w:pPr>
        <w:spacing w:line="400" w:lineRule="exact"/>
        <w:ind w:right="12" w:firstLine="480"/>
        <w:rPr>
          <w:rFonts w:ascii="宋体" w:hAnsi="宋体" w:eastAsia="宋体" w:cs="宋体"/>
          <w:sz w:val="24"/>
        </w:rPr>
      </w:pPr>
      <w:r>
        <w:rPr>
          <w:rFonts w:hint="eastAsia" w:ascii="宋体" w:hAnsi="宋体" w:eastAsia="宋体" w:cs="宋体"/>
          <w:sz w:val="24"/>
        </w:rPr>
        <w:t>采购人、采购代理机构应当在收到供应商的书面质疑后七个工作日内作出答复，并以书面形式通知质疑供应商和其他有关供应商。</w:t>
      </w:r>
    </w:p>
    <w:p w14:paraId="0FB7C5B8">
      <w:pPr>
        <w:pStyle w:val="4"/>
        <w:adjustRightInd w:val="0"/>
        <w:snapToGrid w:val="0"/>
        <w:spacing w:before="0" w:after="0" w:line="400" w:lineRule="exact"/>
        <w:ind w:firstLine="482" w:firstLineChars="200"/>
        <w:rPr>
          <w:rFonts w:ascii="宋体" w:hAnsi="宋体" w:eastAsia="宋体" w:cs="宋体"/>
          <w:sz w:val="24"/>
        </w:rPr>
      </w:pPr>
      <w:bookmarkStart w:id="213" w:name="_Toc15183"/>
      <w:bookmarkStart w:id="214" w:name="_Toc106034652"/>
      <w:bookmarkStart w:id="215" w:name="_Toc3127"/>
      <w:bookmarkStart w:id="216" w:name="_Toc65660361"/>
      <w:bookmarkStart w:id="217" w:name="_Toc7144"/>
      <w:bookmarkStart w:id="218" w:name="_Toc142060004"/>
      <w:bookmarkStart w:id="219" w:name="_Toc16648"/>
      <w:r>
        <w:rPr>
          <w:rFonts w:hint="eastAsia" w:ascii="宋体" w:hAnsi="宋体" w:eastAsia="宋体" w:cs="宋体"/>
          <w:sz w:val="24"/>
        </w:rPr>
        <w:t>七、签订合同</w:t>
      </w:r>
      <w:bookmarkEnd w:id="213"/>
      <w:bookmarkEnd w:id="214"/>
      <w:bookmarkEnd w:id="215"/>
      <w:bookmarkEnd w:id="216"/>
      <w:bookmarkEnd w:id="217"/>
      <w:bookmarkEnd w:id="218"/>
      <w:bookmarkEnd w:id="219"/>
    </w:p>
    <w:p w14:paraId="074E66E4">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（一）</w:t>
      </w:r>
      <w:r>
        <w:rPr>
          <w:rFonts w:hint="eastAsia" w:ascii="宋体" w:hAnsi="宋体" w:eastAsia="宋体" w:cs="宋体"/>
          <w:sz w:val="24"/>
        </w:rPr>
        <w:t>采购人原则上应在成交通知书发出之日起二十日内和成交供应商签订政府采购合同，无正当理由不得拒绝或拖延合同签订</w:t>
      </w:r>
      <w:r>
        <w:rPr>
          <w:rFonts w:hint="eastAsia" w:ascii="宋体" w:hAnsi="宋体" w:eastAsia="宋体" w:cs="宋体"/>
          <w:sz w:val="24"/>
          <w:szCs w:val="24"/>
        </w:rPr>
        <w:t>。所签订的合同不得对竞争性谈判文件和供应商的响应文件作实质性修改。其他未尽事宜由采购人和成交供应商在采购合同中详细约定。</w:t>
      </w:r>
    </w:p>
    <w:p w14:paraId="610EB364">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（二）竞争性谈判文件、供应商的响应文件及澄清文件等，均为签订政府采购合同的依据。</w:t>
      </w:r>
    </w:p>
    <w:p w14:paraId="3C965798">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三</w:t>
      </w:r>
      <w:r>
        <w:rPr>
          <w:rFonts w:hint="eastAsia" w:ascii="宋体" w:hAnsi="宋体" w:eastAsia="宋体" w:cs="宋体"/>
          <w:sz w:val="24"/>
          <w:szCs w:val="24"/>
        </w:rPr>
        <w:t>）合同生效条款由供需双方约定，法律、行政法规规定应当办理批准、登记等手续后生效的合同，依照其规定。</w:t>
      </w:r>
    </w:p>
    <w:p w14:paraId="38BD53C1">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四</w:t>
      </w:r>
      <w:r>
        <w:rPr>
          <w:rFonts w:hint="eastAsia" w:ascii="宋体" w:hAnsi="宋体" w:eastAsia="宋体" w:cs="宋体"/>
          <w:sz w:val="24"/>
          <w:szCs w:val="24"/>
        </w:rPr>
        <w:t>）合同原则上应按照《重庆市政府采购合同》签订，相关单位要求适用合同通用格式版本的，应按其要求另行签订其他合同。</w:t>
      </w:r>
    </w:p>
    <w:p w14:paraId="66AB517A">
      <w:pPr>
        <w:spacing w:line="400" w:lineRule="exact"/>
        <w:ind w:firstLine="360" w:firstLineChars="150"/>
        <w:rPr>
          <w:rFonts w:ascii="宋体" w:hAnsi="宋体" w:eastAsia="宋体" w:cs="宋体"/>
          <w:sz w:val="24"/>
          <w:szCs w:val="24"/>
        </w:rPr>
      </w:pPr>
      <w:r>
        <w:rPr>
          <w:rFonts w:hint="eastAsia" w:ascii="宋体" w:hAnsi="宋体" w:eastAsia="宋体" w:cs="宋体"/>
          <w:sz w:val="24"/>
          <w:szCs w:val="24"/>
        </w:rPr>
        <w:t>（</w:t>
      </w:r>
      <w:r>
        <w:rPr>
          <w:rFonts w:hint="eastAsia" w:ascii="宋体" w:hAnsi="宋体" w:eastAsia="宋体" w:cs="宋体"/>
          <w:sz w:val="24"/>
          <w:szCs w:val="24"/>
          <w:lang w:val="en-US" w:eastAsia="zh-CN"/>
        </w:rPr>
        <w:t>五</w:t>
      </w:r>
      <w:r>
        <w:rPr>
          <w:rFonts w:hint="eastAsia" w:ascii="宋体" w:hAnsi="宋体" w:eastAsia="宋体" w:cs="宋体"/>
          <w:sz w:val="24"/>
          <w:szCs w:val="24"/>
        </w:rPr>
        <w:t>）采购人要求成交供应商提供履约保证金的，应当在竞争性谈判文件中予以约定。成交供应商履约完毕后，采购人根据采购文件规定无息退还其履约保证金。</w:t>
      </w:r>
    </w:p>
    <w:p w14:paraId="6DF54EAC">
      <w:pPr>
        <w:pStyle w:val="4"/>
        <w:adjustRightInd w:val="0"/>
        <w:snapToGrid w:val="0"/>
        <w:spacing w:before="0" w:after="0" w:line="400" w:lineRule="exact"/>
        <w:ind w:firstLine="482" w:firstLineChars="200"/>
        <w:rPr>
          <w:rFonts w:ascii="宋体" w:hAnsi="宋体" w:eastAsia="宋体" w:cs="宋体"/>
          <w:sz w:val="24"/>
        </w:rPr>
      </w:pPr>
      <w:bookmarkStart w:id="220" w:name="_Toc23822"/>
      <w:bookmarkStart w:id="221" w:name="_Toc142060005"/>
      <w:bookmarkStart w:id="222" w:name="_Toc24087"/>
      <w:bookmarkStart w:id="223" w:name="_Toc106034653"/>
      <w:r>
        <w:rPr>
          <w:rFonts w:hint="eastAsia" w:ascii="宋体" w:hAnsi="宋体" w:eastAsia="宋体" w:cs="宋体"/>
          <w:sz w:val="24"/>
        </w:rPr>
        <w:t>八、项目验收</w:t>
      </w:r>
      <w:bookmarkEnd w:id="220"/>
      <w:bookmarkEnd w:id="221"/>
      <w:bookmarkEnd w:id="222"/>
      <w:bookmarkEnd w:id="223"/>
    </w:p>
    <w:p w14:paraId="1C9802D4">
      <w:pPr>
        <w:spacing w:line="400" w:lineRule="exact"/>
        <w:ind w:firstLine="360" w:firstLineChars="150"/>
        <w:rPr>
          <w:rFonts w:ascii="宋体" w:hAnsi="宋体" w:eastAsia="宋体" w:cs="宋体"/>
          <w:sz w:val="24"/>
          <w:szCs w:val="24"/>
        </w:rPr>
      </w:pPr>
      <w:r>
        <w:rPr>
          <w:rFonts w:hint="eastAsia" w:ascii="宋体" w:hAnsi="宋体" w:eastAsia="宋体" w:cs="宋体"/>
          <w:sz w:val="24"/>
        </w:rPr>
        <w:t>合同执行完毕，采购人或采购代理机构原则上应在7个工作日内组织履约情况验收，不得无故拖延或附加额外条件。</w:t>
      </w:r>
    </w:p>
    <w:p w14:paraId="3122BEFA">
      <w:pPr>
        <w:pStyle w:val="4"/>
        <w:adjustRightInd w:val="0"/>
        <w:snapToGrid w:val="0"/>
        <w:spacing w:before="0" w:after="0" w:line="400" w:lineRule="exact"/>
        <w:ind w:firstLine="482" w:firstLineChars="200"/>
        <w:rPr>
          <w:rFonts w:ascii="宋体" w:hAnsi="宋体" w:eastAsia="宋体" w:cs="宋体"/>
          <w:sz w:val="24"/>
        </w:rPr>
      </w:pPr>
      <w:bookmarkStart w:id="224" w:name="_Toc20009"/>
      <w:bookmarkStart w:id="225" w:name="_Toc30443"/>
      <w:bookmarkStart w:id="226" w:name="_Toc106034654"/>
      <w:bookmarkStart w:id="227" w:name="_Toc29513"/>
      <w:bookmarkStart w:id="228" w:name="_Toc142060006"/>
      <w:bookmarkStart w:id="229" w:name="_Toc32594"/>
      <w:bookmarkStart w:id="230" w:name="_Toc65660362"/>
      <w:r>
        <w:rPr>
          <w:rFonts w:hint="eastAsia" w:ascii="宋体" w:hAnsi="宋体" w:eastAsia="宋体" w:cs="宋体"/>
          <w:sz w:val="24"/>
        </w:rPr>
        <w:t>九、采购代理服务费</w:t>
      </w:r>
      <w:bookmarkEnd w:id="224"/>
      <w:bookmarkEnd w:id="225"/>
      <w:bookmarkEnd w:id="226"/>
      <w:bookmarkEnd w:id="227"/>
      <w:bookmarkEnd w:id="228"/>
      <w:bookmarkEnd w:id="229"/>
      <w:bookmarkEnd w:id="230"/>
    </w:p>
    <w:p w14:paraId="47911015">
      <w:pPr>
        <w:spacing w:line="360" w:lineRule="auto"/>
        <w:ind w:right="12" w:firstLine="480"/>
        <w:rPr>
          <w:rFonts w:ascii="宋体" w:hAnsi="宋体" w:eastAsia="宋体" w:cs="宋体"/>
          <w:sz w:val="24"/>
        </w:rPr>
      </w:pPr>
      <w:r>
        <w:rPr>
          <w:rFonts w:hint="eastAsia" w:ascii="宋体" w:hAnsi="宋体" w:eastAsia="宋体" w:cs="宋体"/>
          <w:sz w:val="24"/>
        </w:rPr>
        <w:t>1</w:t>
      </w:r>
      <w:r>
        <w:rPr>
          <w:rFonts w:ascii="宋体" w:hAnsi="宋体" w:eastAsia="宋体" w:cs="宋体"/>
          <w:sz w:val="24"/>
        </w:rPr>
        <w:t>.</w:t>
      </w:r>
      <w:r>
        <w:rPr>
          <w:rFonts w:hint="eastAsia" w:ascii="宋体" w:hAnsi="宋体" w:eastAsia="宋体" w:cs="宋体"/>
          <w:sz w:val="24"/>
        </w:rPr>
        <w:t>本项目采购代理服务费</w:t>
      </w:r>
      <w:r>
        <w:rPr>
          <w:rFonts w:hint="eastAsia" w:ascii="宋体" w:hAnsi="宋体" w:eastAsia="宋体" w:cs="宋体"/>
          <w:sz w:val="24"/>
          <w:lang w:val="en-US" w:eastAsia="zh-CN"/>
        </w:rPr>
        <w:t>35</w:t>
      </w:r>
      <w:r>
        <w:rPr>
          <w:rFonts w:ascii="宋体" w:hAnsi="宋体" w:eastAsia="宋体" w:cs="宋体"/>
          <w:color w:val="000000"/>
          <w:sz w:val="24"/>
        </w:rPr>
        <w:t>00</w:t>
      </w:r>
      <w:r>
        <w:rPr>
          <w:rFonts w:hint="eastAsia" w:ascii="宋体" w:hAnsi="宋体" w:eastAsia="宋体" w:cs="宋体"/>
          <w:sz w:val="24"/>
        </w:rPr>
        <w:t>元整</w:t>
      </w:r>
      <w:r>
        <w:rPr>
          <w:rFonts w:hint="eastAsia" w:ascii="宋体" w:hAnsi="宋体" w:eastAsia="宋体" w:cs="宋体"/>
          <w:sz w:val="24"/>
          <w:lang w:eastAsia="zh-CN"/>
        </w:rPr>
        <w:t>（大写：叁仟伍佰元整）</w:t>
      </w:r>
      <w:r>
        <w:rPr>
          <w:rFonts w:hint="eastAsia" w:ascii="宋体" w:hAnsi="宋体" w:eastAsia="宋体" w:cs="宋体"/>
          <w:sz w:val="24"/>
        </w:rPr>
        <w:t>，由中标人支付，即中标人在领取中标通知书之前以转账形式一次性支付给代理机构。</w:t>
      </w:r>
    </w:p>
    <w:p w14:paraId="5F6C975C">
      <w:pPr>
        <w:spacing w:line="360" w:lineRule="auto"/>
        <w:ind w:right="12" w:firstLine="480"/>
        <w:rPr>
          <w:rFonts w:ascii="宋体" w:hAnsi="宋体" w:eastAsia="宋体" w:cs="宋体"/>
          <w:sz w:val="24"/>
        </w:rPr>
      </w:pPr>
      <w:r>
        <w:rPr>
          <w:rFonts w:hint="eastAsia" w:ascii="宋体" w:hAnsi="宋体" w:eastAsia="宋体" w:cs="宋体"/>
          <w:sz w:val="24"/>
        </w:rPr>
        <w:t>2</w:t>
      </w:r>
      <w:r>
        <w:rPr>
          <w:rFonts w:ascii="宋体" w:hAnsi="宋体" w:eastAsia="宋体" w:cs="宋体"/>
          <w:sz w:val="24"/>
        </w:rPr>
        <w:t>.</w:t>
      </w:r>
      <w:r>
        <w:rPr>
          <w:rFonts w:hint="eastAsia" w:ascii="宋体" w:hAnsi="宋体" w:eastAsia="宋体" w:cs="宋体"/>
          <w:sz w:val="24"/>
        </w:rPr>
        <w:t>采购代理服务费缴纳账户信息：</w:t>
      </w:r>
    </w:p>
    <w:p w14:paraId="49D2BF3A">
      <w:pPr>
        <w:spacing w:line="360" w:lineRule="auto"/>
        <w:ind w:right="12" w:firstLine="480"/>
        <w:rPr>
          <w:rFonts w:ascii="宋体" w:hAnsi="宋体" w:eastAsia="宋体" w:cs="宋体"/>
          <w:sz w:val="24"/>
        </w:rPr>
      </w:pPr>
      <w:r>
        <w:rPr>
          <w:rFonts w:hint="eastAsia" w:ascii="宋体" w:hAnsi="宋体" w:eastAsia="宋体" w:cs="宋体"/>
          <w:sz w:val="24"/>
        </w:rPr>
        <w:t>户  名：重庆展辉招标代理有限公司</w:t>
      </w:r>
    </w:p>
    <w:p w14:paraId="681BCEC1">
      <w:pPr>
        <w:spacing w:line="360" w:lineRule="auto"/>
        <w:ind w:right="12" w:firstLine="480"/>
        <w:rPr>
          <w:rFonts w:ascii="宋体" w:hAnsi="宋体" w:eastAsia="宋体" w:cs="宋体"/>
          <w:sz w:val="24"/>
        </w:rPr>
      </w:pPr>
      <w:r>
        <w:rPr>
          <w:rFonts w:hint="eastAsia" w:ascii="宋体" w:hAnsi="宋体" w:eastAsia="宋体" w:cs="宋体"/>
          <w:sz w:val="24"/>
        </w:rPr>
        <w:t>开户行：工商银行荣昌支行</w:t>
      </w:r>
    </w:p>
    <w:p w14:paraId="326C4A90">
      <w:pPr>
        <w:spacing w:line="360" w:lineRule="auto"/>
        <w:ind w:right="12" w:firstLine="480"/>
        <w:rPr>
          <w:rFonts w:ascii="宋体" w:hAnsi="宋体" w:eastAsia="宋体" w:cs="宋体"/>
          <w:sz w:val="24"/>
          <w:szCs w:val="22"/>
        </w:rPr>
      </w:pPr>
      <w:r>
        <w:rPr>
          <w:rFonts w:hint="eastAsia" w:ascii="宋体" w:hAnsi="宋体" w:eastAsia="宋体" w:cs="宋体"/>
          <w:sz w:val="24"/>
        </w:rPr>
        <w:t>账  号：3100097109200134460</w:t>
      </w:r>
    </w:p>
    <w:p w14:paraId="375DBCA9">
      <w:pPr>
        <w:ind w:firstLine="1807" w:firstLineChars="500"/>
        <w:rPr>
          <w:rFonts w:hint="eastAsia" w:ascii="宋体" w:hAnsi="宋体" w:eastAsia="宋体" w:cs="宋体"/>
          <w:sz w:val="36"/>
          <w:szCs w:val="36"/>
          <w:lang w:eastAsia="zh-CN"/>
        </w:rPr>
      </w:pPr>
      <w:bookmarkStart w:id="231" w:name="_Toc27242"/>
      <w:r>
        <w:rPr>
          <w:rStyle w:val="71"/>
          <w:rFonts w:hint="eastAsia" w:ascii="宋体" w:hAnsi="宋体" w:eastAsia="宋体" w:cs="宋体"/>
          <w:sz w:val="36"/>
          <w:szCs w:val="36"/>
        </w:rPr>
        <w:t>第</w:t>
      </w:r>
      <w:r>
        <w:rPr>
          <w:rStyle w:val="71"/>
          <w:rFonts w:hint="eastAsia" w:ascii="宋体" w:hAnsi="宋体" w:eastAsia="宋体" w:cs="宋体"/>
          <w:sz w:val="36"/>
          <w:szCs w:val="36"/>
          <w:lang w:eastAsia="zh-CN"/>
        </w:rPr>
        <w:t>六</w:t>
      </w:r>
      <w:r>
        <w:rPr>
          <w:rStyle w:val="71"/>
          <w:rFonts w:hint="eastAsia" w:ascii="宋体" w:hAnsi="宋体" w:eastAsia="宋体" w:cs="宋体"/>
          <w:sz w:val="36"/>
          <w:szCs w:val="36"/>
        </w:rPr>
        <w:t>篇  合同草案条款</w:t>
      </w:r>
      <w:bookmarkEnd w:id="113"/>
      <w:bookmarkEnd w:id="114"/>
      <w:bookmarkEnd w:id="115"/>
      <w:bookmarkEnd w:id="116"/>
      <w:bookmarkEnd w:id="231"/>
      <w:r>
        <w:rPr>
          <w:rStyle w:val="71"/>
          <w:rFonts w:hint="eastAsia" w:ascii="宋体" w:hAnsi="宋体" w:eastAsia="宋体" w:cs="宋体"/>
          <w:sz w:val="36"/>
          <w:szCs w:val="36"/>
          <w:lang w:eastAsia="zh-CN"/>
        </w:rPr>
        <w:t>（格式可自拟）</w:t>
      </w:r>
    </w:p>
    <w:p w14:paraId="016ADA1A">
      <w:pPr>
        <w:jc w:val="center"/>
        <w:rPr>
          <w:rFonts w:hint="eastAsia" w:ascii="宋体" w:hAnsi="宋体" w:cs="宋体"/>
          <w:b/>
          <w:bCs/>
          <w:sz w:val="28"/>
          <w:szCs w:val="21"/>
        </w:rPr>
      </w:pPr>
      <w:bookmarkStart w:id="232" w:name="_Toc14337141"/>
      <w:bookmarkStart w:id="233" w:name="_Toc523218899"/>
      <w:bookmarkStart w:id="234" w:name="_Toc4568865"/>
      <w:bookmarkStart w:id="235" w:name="_Toc351203494"/>
    </w:p>
    <w:p w14:paraId="762D2753">
      <w:pPr>
        <w:jc w:val="center"/>
        <w:rPr>
          <w:rFonts w:ascii="宋体" w:hAnsi="宋体"/>
          <w:b/>
          <w:bCs/>
          <w:sz w:val="32"/>
          <w:szCs w:val="21"/>
        </w:rPr>
      </w:pPr>
      <w:r>
        <w:rPr>
          <w:rFonts w:hint="eastAsia" w:ascii="宋体" w:hAnsi="宋体" w:cs="宋体"/>
          <w:b/>
          <w:bCs/>
          <w:sz w:val="28"/>
          <w:szCs w:val="21"/>
        </w:rPr>
        <w:t>第一节  合同协议书</w:t>
      </w:r>
      <w:bookmarkEnd w:id="232"/>
      <w:bookmarkEnd w:id="233"/>
      <w:bookmarkEnd w:id="234"/>
    </w:p>
    <w:p w14:paraId="67A5FDDE">
      <w:pPr>
        <w:rPr>
          <w:rFonts w:ascii="宋体" w:hAnsi="宋体"/>
        </w:rPr>
      </w:pPr>
    </w:p>
    <w:p w14:paraId="2A59BABF">
      <w:pPr>
        <w:spacing w:line="360" w:lineRule="auto"/>
        <w:ind w:right="-392" w:rightChars="-140"/>
        <w:rPr>
          <w:rFonts w:ascii="宋体" w:hAnsi="宋体" w:cs="宋体"/>
          <w:b/>
          <w:sz w:val="24"/>
          <w:szCs w:val="24"/>
        </w:rPr>
      </w:pPr>
      <w:r>
        <w:rPr>
          <w:rFonts w:hint="eastAsia" w:ascii="宋体" w:hAnsi="宋体" w:cs="宋体"/>
          <w:b/>
          <w:sz w:val="24"/>
          <w:szCs w:val="24"/>
        </w:rPr>
        <w:t>发包人（全称）：</w:t>
      </w:r>
      <w:r>
        <w:rPr>
          <w:rFonts w:hint="eastAsia" w:ascii="宋体" w:hAnsi="宋体" w:cs="宋体"/>
          <w:sz w:val="24"/>
          <w:szCs w:val="24"/>
        </w:rPr>
        <w:t xml:space="preserve">  </w:t>
      </w:r>
      <w:r>
        <w:rPr>
          <w:rFonts w:hint="eastAsia" w:ascii="宋体" w:hAnsi="宋体" w:cs="宋体"/>
          <w:sz w:val="24"/>
          <w:szCs w:val="24"/>
          <w:u w:val="single"/>
        </w:rPr>
        <w:t xml:space="preserve">                           </w:t>
      </w:r>
      <w:r>
        <w:rPr>
          <w:rFonts w:hint="eastAsia" w:ascii="宋体" w:hAnsi="宋体" w:cs="MingLiU_HKSCS"/>
          <w:b/>
          <w:sz w:val="24"/>
          <w:szCs w:val="24"/>
          <w:u w:val="single"/>
        </w:rPr>
        <w:t xml:space="preserve">      </w:t>
      </w:r>
      <w:r>
        <w:rPr>
          <w:rFonts w:hint="eastAsia" w:ascii="宋体" w:hAnsi="宋体" w:cs="MingLiU_HKSCS"/>
          <w:b/>
          <w:sz w:val="24"/>
          <w:szCs w:val="24"/>
        </w:rPr>
        <w:t xml:space="preserve">                   </w:t>
      </w:r>
    </w:p>
    <w:p w14:paraId="6B1017CD">
      <w:pPr>
        <w:spacing w:line="360" w:lineRule="auto"/>
        <w:rPr>
          <w:rFonts w:ascii="宋体" w:hAnsi="宋体" w:cs="宋体"/>
          <w:b/>
          <w:sz w:val="24"/>
          <w:szCs w:val="24"/>
          <w:u w:val="single"/>
        </w:rPr>
      </w:pPr>
      <w:r>
        <w:rPr>
          <w:rFonts w:hint="eastAsia" w:ascii="宋体" w:hAnsi="宋体" w:cs="宋体"/>
          <w:b/>
          <w:sz w:val="24"/>
          <w:szCs w:val="24"/>
        </w:rPr>
        <w:t>承包人（全称）：</w:t>
      </w:r>
      <w:r>
        <w:rPr>
          <w:rFonts w:hint="eastAsia" w:ascii="宋体" w:hAnsi="宋体" w:cs="MingLiU_HKSCS"/>
          <w:b/>
          <w:sz w:val="24"/>
          <w:szCs w:val="24"/>
        </w:rPr>
        <w:t xml:space="preserve">  </w:t>
      </w:r>
      <w:r>
        <w:rPr>
          <w:rFonts w:hint="eastAsia" w:ascii="宋体" w:hAnsi="宋体" w:cs="MingLiU_HKSCS"/>
          <w:b/>
          <w:sz w:val="24"/>
          <w:szCs w:val="24"/>
          <w:u w:val="single"/>
        </w:rPr>
        <w:t xml:space="preserve">                                 </w:t>
      </w:r>
    </w:p>
    <w:p w14:paraId="35F19E0E">
      <w:pPr>
        <w:spacing w:line="360" w:lineRule="auto"/>
        <w:ind w:firstLine="480" w:firstLineChars="200"/>
        <w:rPr>
          <w:rFonts w:ascii="宋体" w:hAnsi="宋体" w:cs="宋体"/>
          <w:sz w:val="24"/>
          <w:szCs w:val="24"/>
        </w:rPr>
      </w:pPr>
      <w:r>
        <w:rPr>
          <w:rFonts w:hint="eastAsia" w:ascii="宋体" w:hAnsi="宋体" w:cs="宋体"/>
          <w:sz w:val="24"/>
          <w:szCs w:val="24"/>
        </w:rPr>
        <w:t>根据《中华人民共和国</w:t>
      </w:r>
      <w:r>
        <w:rPr>
          <w:rFonts w:hint="eastAsia" w:ascii="宋体" w:hAnsi="宋体" w:cs="宋体"/>
          <w:sz w:val="24"/>
          <w:szCs w:val="24"/>
          <w:lang w:eastAsia="zh-CN"/>
        </w:rPr>
        <w:t>民法典</w:t>
      </w:r>
      <w:r>
        <w:rPr>
          <w:rFonts w:hint="eastAsia" w:ascii="宋体" w:hAnsi="宋体" w:cs="宋体"/>
          <w:sz w:val="24"/>
          <w:szCs w:val="24"/>
        </w:rPr>
        <w:t>》、《中华人民共和国建筑法》及有关法律规定，遵循平等、自愿、公平和诚实信用的原则，双方就</w:t>
      </w:r>
      <w:r>
        <w:rPr>
          <w:rFonts w:hint="eastAsia" w:ascii="宋体" w:hAnsi="宋体" w:cs="宋体"/>
          <w:sz w:val="24"/>
          <w:szCs w:val="24"/>
          <w:u w:val="single"/>
        </w:rPr>
        <w:t xml:space="preserve">       </w:t>
      </w:r>
      <w:r>
        <w:rPr>
          <w:rFonts w:hint="eastAsia" w:ascii="宋体" w:hAnsi="宋体" w:cs="宋体"/>
          <w:sz w:val="24"/>
          <w:szCs w:val="24"/>
        </w:rPr>
        <w:t>施工及有关事项协商一致，共同达成如下协议：</w:t>
      </w:r>
    </w:p>
    <w:p w14:paraId="6E6A7B4D">
      <w:pPr>
        <w:spacing w:line="360" w:lineRule="auto"/>
        <w:rPr>
          <w:rFonts w:ascii="宋体" w:hAnsi="宋体" w:cs="宋体"/>
          <w:sz w:val="24"/>
          <w:szCs w:val="24"/>
        </w:rPr>
      </w:pPr>
      <w:r>
        <w:rPr>
          <w:rFonts w:hint="eastAsia" w:ascii="宋体" w:hAnsi="宋体" w:cs="宋体"/>
          <w:sz w:val="24"/>
          <w:szCs w:val="24"/>
        </w:rPr>
        <w:t>一、工程概况</w:t>
      </w:r>
    </w:p>
    <w:p w14:paraId="6654C52D">
      <w:pPr>
        <w:spacing w:line="360" w:lineRule="auto"/>
        <w:ind w:firstLine="470" w:firstLineChars="196"/>
        <w:rPr>
          <w:rFonts w:ascii="宋体" w:hAnsi="宋体" w:cs="宋体"/>
          <w:sz w:val="24"/>
          <w:szCs w:val="24"/>
          <w:u w:val="single"/>
        </w:rPr>
      </w:pPr>
      <w:r>
        <w:rPr>
          <w:rFonts w:hint="eastAsia" w:ascii="宋体" w:hAnsi="宋体" w:cs="宋体"/>
          <w:bCs/>
          <w:sz w:val="24"/>
          <w:szCs w:val="24"/>
        </w:rPr>
        <w:t>1.工程名称</w:t>
      </w:r>
      <w:r>
        <w:rPr>
          <w:rFonts w:hint="eastAsia" w:ascii="宋体" w:hAnsi="宋体" w:cs="宋体"/>
          <w:sz w:val="24"/>
          <w:szCs w:val="24"/>
        </w:rPr>
        <w:t>：</w:t>
      </w:r>
      <w:r>
        <w:rPr>
          <w:rFonts w:hint="eastAsia" w:ascii="宋体" w:hAnsi="宋体" w:cs="宋体"/>
          <w:sz w:val="24"/>
          <w:szCs w:val="24"/>
          <w:u w:val="single"/>
        </w:rPr>
        <w:t xml:space="preserve">                                        </w:t>
      </w:r>
      <w:r>
        <w:rPr>
          <w:rFonts w:hint="eastAsia" w:ascii="宋体" w:hAnsi="宋体" w:cs="宋体"/>
          <w:sz w:val="24"/>
          <w:szCs w:val="24"/>
        </w:rPr>
        <w:t>。</w:t>
      </w:r>
    </w:p>
    <w:p w14:paraId="4BC15E0A">
      <w:pPr>
        <w:spacing w:line="360" w:lineRule="auto"/>
        <w:ind w:firstLine="470" w:firstLineChars="196"/>
        <w:rPr>
          <w:rFonts w:ascii="宋体" w:hAnsi="宋体" w:cs="宋体"/>
          <w:bCs/>
          <w:sz w:val="24"/>
          <w:szCs w:val="24"/>
        </w:rPr>
      </w:pPr>
      <w:r>
        <w:rPr>
          <w:rFonts w:hint="eastAsia" w:ascii="宋体" w:hAnsi="宋体" w:cs="宋体"/>
          <w:bCs/>
          <w:sz w:val="24"/>
          <w:szCs w:val="24"/>
        </w:rPr>
        <w:t>2.工程地点：</w:t>
      </w:r>
      <w:r>
        <w:rPr>
          <w:rFonts w:hint="eastAsia" w:ascii="宋体" w:hAnsi="宋体" w:cs="MingLiU_HKSCS"/>
          <w:sz w:val="24"/>
          <w:szCs w:val="24"/>
          <w:u w:val="single"/>
        </w:rPr>
        <w:t xml:space="preserve">                                    </w:t>
      </w:r>
      <w:r>
        <w:rPr>
          <w:rFonts w:hint="eastAsia" w:ascii="宋体" w:hAnsi="宋体" w:cs="宋体"/>
          <w:sz w:val="24"/>
          <w:szCs w:val="24"/>
        </w:rPr>
        <w:t>。</w:t>
      </w:r>
    </w:p>
    <w:p w14:paraId="511DE0FF">
      <w:pPr>
        <w:spacing w:line="360" w:lineRule="auto"/>
        <w:ind w:firstLine="470" w:firstLineChars="196"/>
        <w:rPr>
          <w:rFonts w:ascii="宋体" w:hAnsi="宋体" w:cs="宋体"/>
          <w:bCs/>
          <w:sz w:val="24"/>
          <w:szCs w:val="24"/>
        </w:rPr>
      </w:pPr>
      <w:r>
        <w:rPr>
          <w:rFonts w:hint="eastAsia" w:ascii="宋体" w:hAnsi="宋体" w:cs="宋体"/>
          <w:bCs/>
          <w:sz w:val="24"/>
          <w:szCs w:val="24"/>
        </w:rPr>
        <w:t>3.工程立项批准文号：</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10D4067B">
      <w:pPr>
        <w:spacing w:line="360" w:lineRule="auto"/>
        <w:ind w:firstLine="470" w:firstLineChars="196"/>
        <w:rPr>
          <w:rFonts w:ascii="宋体" w:hAnsi="宋体" w:cs="宋体"/>
          <w:bCs/>
          <w:sz w:val="24"/>
          <w:szCs w:val="24"/>
        </w:rPr>
      </w:pPr>
      <w:r>
        <w:rPr>
          <w:rFonts w:hint="eastAsia" w:ascii="宋体" w:hAnsi="宋体" w:cs="宋体"/>
          <w:bCs/>
          <w:sz w:val="24"/>
          <w:szCs w:val="24"/>
        </w:rPr>
        <w:t>4.资金来源：</w:t>
      </w:r>
      <w:r>
        <w:rPr>
          <w:rFonts w:hint="eastAsia" w:ascii="宋体" w:hAnsi="宋体" w:cs="MingLiU_HKSCS"/>
          <w:sz w:val="24"/>
          <w:szCs w:val="24"/>
          <w:u w:val="single"/>
        </w:rPr>
        <w:t xml:space="preserve">                                   </w:t>
      </w:r>
      <w:r>
        <w:rPr>
          <w:rFonts w:hint="eastAsia" w:ascii="宋体" w:hAnsi="宋体" w:cs="宋体"/>
          <w:bCs/>
          <w:sz w:val="24"/>
          <w:szCs w:val="24"/>
        </w:rPr>
        <w:t>。</w:t>
      </w:r>
    </w:p>
    <w:p w14:paraId="0CDECC90">
      <w:pPr>
        <w:spacing w:line="360" w:lineRule="auto"/>
        <w:ind w:firstLine="470" w:firstLineChars="196"/>
        <w:rPr>
          <w:rFonts w:ascii="宋体" w:hAnsi="宋体" w:cs="宋体"/>
          <w:bCs/>
          <w:sz w:val="24"/>
          <w:szCs w:val="24"/>
        </w:rPr>
      </w:pPr>
      <w:r>
        <w:rPr>
          <w:rFonts w:hint="eastAsia" w:ascii="宋体" w:hAnsi="宋体" w:cs="宋体"/>
          <w:bCs/>
          <w:sz w:val="24"/>
          <w:szCs w:val="24"/>
        </w:rPr>
        <w:t>5.工程内容：</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360E0547">
      <w:pPr>
        <w:spacing w:line="360" w:lineRule="auto"/>
        <w:ind w:firstLine="470" w:firstLineChars="196"/>
        <w:rPr>
          <w:rFonts w:ascii="宋体" w:hAnsi="宋体" w:cs="宋体"/>
          <w:bCs/>
          <w:sz w:val="24"/>
          <w:szCs w:val="24"/>
        </w:rPr>
      </w:pPr>
      <w:r>
        <w:rPr>
          <w:rFonts w:hint="eastAsia" w:ascii="宋体" w:hAnsi="宋体" w:cs="宋体"/>
          <w:sz w:val="24"/>
          <w:szCs w:val="24"/>
        </w:rPr>
        <w:t>群体工程应附《承包人承揽工程项目一览表》（附件1）。</w:t>
      </w:r>
    </w:p>
    <w:p w14:paraId="4341C1D4">
      <w:pPr>
        <w:spacing w:line="360" w:lineRule="auto"/>
        <w:ind w:firstLine="470" w:firstLineChars="196"/>
        <w:rPr>
          <w:rFonts w:ascii="宋体" w:hAnsi="宋体" w:cs="宋体"/>
          <w:bCs/>
          <w:sz w:val="24"/>
          <w:szCs w:val="24"/>
        </w:rPr>
      </w:pPr>
      <w:r>
        <w:rPr>
          <w:rFonts w:hint="eastAsia" w:ascii="宋体" w:hAnsi="宋体" w:cs="宋体"/>
          <w:bCs/>
          <w:sz w:val="24"/>
          <w:szCs w:val="24"/>
        </w:rPr>
        <w:t>6.工程承包范围：</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bCs/>
          <w:sz w:val="24"/>
          <w:szCs w:val="24"/>
        </w:rPr>
        <w:t>。</w:t>
      </w:r>
    </w:p>
    <w:p w14:paraId="58B6CA2A">
      <w:pPr>
        <w:spacing w:line="360" w:lineRule="auto"/>
        <w:rPr>
          <w:rFonts w:ascii="宋体" w:hAnsi="宋体" w:cs="宋体"/>
          <w:sz w:val="24"/>
          <w:szCs w:val="24"/>
        </w:rPr>
      </w:pPr>
      <w:r>
        <w:rPr>
          <w:rFonts w:hint="eastAsia" w:ascii="宋体" w:hAnsi="宋体" w:cs="宋体"/>
          <w:sz w:val="24"/>
          <w:szCs w:val="24"/>
        </w:rPr>
        <w:t>二、合同工期</w:t>
      </w:r>
    </w:p>
    <w:p w14:paraId="75BD6E55">
      <w:pPr>
        <w:spacing w:line="360" w:lineRule="auto"/>
        <w:ind w:firstLine="459"/>
        <w:rPr>
          <w:rFonts w:ascii="宋体" w:hAnsi="宋体" w:cs="宋体"/>
          <w:sz w:val="24"/>
          <w:szCs w:val="24"/>
        </w:rPr>
      </w:pPr>
      <w:r>
        <w:rPr>
          <w:rFonts w:hint="eastAsia" w:ascii="宋体" w:hAnsi="宋体" w:cs="宋体"/>
          <w:sz w:val="24"/>
          <w:szCs w:val="24"/>
        </w:rPr>
        <w:t>计划开工日期：</w:t>
      </w:r>
      <w:r>
        <w:rPr>
          <w:rFonts w:hint="eastAsia" w:ascii="宋体" w:hAnsi="宋体" w:cs="宋体"/>
          <w:sz w:val="24"/>
          <w:szCs w:val="24"/>
          <w:u w:val="single"/>
        </w:rPr>
        <w:t xml:space="preserve">      </w:t>
      </w:r>
      <w:r>
        <w:rPr>
          <w:rFonts w:hint="eastAsia" w:ascii="宋体" w:hAnsi="宋体" w:cs="宋体"/>
          <w:sz w:val="24"/>
          <w:szCs w:val="24"/>
        </w:rPr>
        <w:t>年</w:t>
      </w:r>
      <w:r>
        <w:rPr>
          <w:rFonts w:hint="eastAsia" w:ascii="宋体" w:hAnsi="宋体" w:cs="宋体"/>
          <w:sz w:val="24"/>
          <w:szCs w:val="24"/>
          <w:u w:val="single"/>
        </w:rPr>
        <w:t xml:space="preserve">    </w:t>
      </w:r>
      <w:r>
        <w:rPr>
          <w:rFonts w:hint="eastAsia" w:ascii="宋体" w:hAnsi="宋体" w:cs="宋体"/>
          <w:sz w:val="24"/>
          <w:szCs w:val="24"/>
        </w:rPr>
        <w:t>月</w:t>
      </w:r>
      <w:r>
        <w:rPr>
          <w:rFonts w:hint="eastAsia" w:ascii="宋体" w:hAnsi="宋体" w:cs="宋体"/>
          <w:sz w:val="24"/>
          <w:szCs w:val="24"/>
          <w:u w:val="single"/>
        </w:rPr>
        <w:t xml:space="preserve">    </w:t>
      </w:r>
      <w:r>
        <w:rPr>
          <w:rFonts w:hint="eastAsia" w:ascii="宋体" w:hAnsi="宋体" w:cs="宋体"/>
          <w:sz w:val="24"/>
          <w:szCs w:val="24"/>
        </w:rPr>
        <w:t>日（具体开工时间</w:t>
      </w:r>
      <w:r>
        <w:rPr>
          <w:rFonts w:hint="eastAsia" w:ascii="宋体" w:hAnsi="宋体" w:cs="宋体"/>
          <w:sz w:val="24"/>
          <w:szCs w:val="24"/>
          <w:u w:val="single"/>
        </w:rPr>
        <w:t>以监理确认的开工令为准</w:t>
      </w:r>
      <w:r>
        <w:rPr>
          <w:rFonts w:hint="eastAsia" w:ascii="宋体" w:hAnsi="宋体" w:cs="宋体"/>
          <w:sz w:val="24"/>
          <w:szCs w:val="24"/>
        </w:rPr>
        <w:t>。）</w:t>
      </w:r>
    </w:p>
    <w:p w14:paraId="4FD1BADA">
      <w:pPr>
        <w:spacing w:line="360" w:lineRule="auto"/>
        <w:ind w:firstLine="459"/>
        <w:rPr>
          <w:rFonts w:ascii="宋体" w:hAnsi="宋体" w:cs="宋体"/>
          <w:sz w:val="24"/>
          <w:szCs w:val="24"/>
          <w:u w:val="single"/>
        </w:rPr>
      </w:pPr>
      <w:r>
        <w:rPr>
          <w:rFonts w:hint="eastAsia" w:ascii="宋体" w:hAnsi="宋体" w:cs="宋体"/>
          <w:sz w:val="24"/>
          <w:szCs w:val="24"/>
        </w:rPr>
        <w:t>计划竣工日期：</w:t>
      </w:r>
      <w:r>
        <w:rPr>
          <w:rFonts w:hint="eastAsia" w:ascii="宋体" w:hAnsi="宋体" w:cs="宋体"/>
          <w:sz w:val="24"/>
          <w:szCs w:val="24"/>
          <w:u w:val="single"/>
        </w:rPr>
        <w:t xml:space="preserve">      </w:t>
      </w:r>
      <w:r>
        <w:rPr>
          <w:rFonts w:hint="eastAsia" w:ascii="宋体" w:hAnsi="宋体" w:cs="宋体"/>
          <w:sz w:val="24"/>
          <w:szCs w:val="24"/>
        </w:rPr>
        <w:t>年</w:t>
      </w:r>
      <w:r>
        <w:rPr>
          <w:rFonts w:hint="eastAsia" w:ascii="宋体" w:hAnsi="宋体" w:cs="宋体"/>
          <w:sz w:val="24"/>
          <w:szCs w:val="24"/>
          <w:u w:val="single"/>
        </w:rPr>
        <w:t xml:space="preserve">    </w:t>
      </w:r>
      <w:r>
        <w:rPr>
          <w:rFonts w:hint="eastAsia" w:ascii="宋体" w:hAnsi="宋体" w:cs="宋体"/>
          <w:sz w:val="24"/>
          <w:szCs w:val="24"/>
        </w:rPr>
        <w:t>月</w:t>
      </w:r>
      <w:r>
        <w:rPr>
          <w:rFonts w:hint="eastAsia" w:ascii="宋体" w:hAnsi="宋体" w:cs="宋体"/>
          <w:sz w:val="24"/>
          <w:szCs w:val="24"/>
          <w:u w:val="single"/>
        </w:rPr>
        <w:t xml:space="preserve">    </w:t>
      </w:r>
      <w:r>
        <w:rPr>
          <w:rFonts w:hint="eastAsia" w:ascii="宋体" w:hAnsi="宋体" w:cs="宋体"/>
          <w:sz w:val="24"/>
          <w:szCs w:val="24"/>
        </w:rPr>
        <w:t>日（竣工日期</w:t>
      </w:r>
      <w:r>
        <w:rPr>
          <w:rFonts w:hint="eastAsia" w:ascii="宋体" w:hAnsi="宋体" w:cs="宋体"/>
          <w:sz w:val="24"/>
          <w:szCs w:val="24"/>
          <w:u w:val="single"/>
        </w:rPr>
        <w:t>以竣工报告时间为准。）</w:t>
      </w:r>
    </w:p>
    <w:p w14:paraId="659F91F2">
      <w:pPr>
        <w:spacing w:line="360" w:lineRule="auto"/>
        <w:ind w:firstLine="459"/>
        <w:rPr>
          <w:rFonts w:ascii="宋体" w:hAnsi="宋体" w:cs="宋体"/>
          <w:sz w:val="24"/>
          <w:szCs w:val="24"/>
        </w:rPr>
      </w:pPr>
      <w:r>
        <w:rPr>
          <w:rFonts w:hint="eastAsia" w:ascii="宋体" w:hAnsi="宋体" w:cs="宋体"/>
          <w:sz w:val="24"/>
          <w:szCs w:val="24"/>
        </w:rPr>
        <w:t>工期总日历天数：</w:t>
      </w:r>
      <w:r>
        <w:rPr>
          <w:rFonts w:hint="eastAsia" w:ascii="宋体" w:hAnsi="宋体" w:cs="宋体"/>
          <w:sz w:val="24"/>
          <w:szCs w:val="24"/>
          <w:u w:val="single"/>
        </w:rPr>
        <w:t xml:space="preserve">           </w:t>
      </w:r>
      <w:r>
        <w:rPr>
          <w:rFonts w:hint="eastAsia" w:ascii="宋体" w:hAnsi="宋体" w:cs="宋体"/>
          <w:sz w:val="24"/>
          <w:szCs w:val="24"/>
        </w:rPr>
        <w:t>日历天。</w:t>
      </w:r>
    </w:p>
    <w:p w14:paraId="6A36CC48">
      <w:pPr>
        <w:spacing w:line="360" w:lineRule="auto"/>
        <w:rPr>
          <w:rFonts w:ascii="宋体" w:hAnsi="宋体" w:cs="宋体"/>
          <w:sz w:val="24"/>
          <w:szCs w:val="24"/>
        </w:rPr>
      </w:pPr>
      <w:r>
        <w:rPr>
          <w:rFonts w:hint="eastAsia" w:ascii="宋体" w:hAnsi="宋体" w:cs="宋体"/>
          <w:sz w:val="24"/>
          <w:szCs w:val="24"/>
        </w:rPr>
        <w:t>三、质量标准</w:t>
      </w:r>
    </w:p>
    <w:p w14:paraId="1AA80757">
      <w:pPr>
        <w:spacing w:line="360" w:lineRule="auto"/>
        <w:ind w:firstLine="459"/>
        <w:rPr>
          <w:rFonts w:ascii="宋体" w:hAnsi="宋体" w:cs="宋体"/>
          <w:sz w:val="24"/>
          <w:szCs w:val="24"/>
          <w:u w:val="single"/>
        </w:rPr>
      </w:pPr>
      <w:r>
        <w:rPr>
          <w:rFonts w:ascii="宋体" w:hAnsi="宋体"/>
          <w:sz w:val="24"/>
          <w:szCs w:val="24"/>
          <w:u w:val="single"/>
        </w:rPr>
        <w:t>工程质量符合</w:t>
      </w:r>
      <w:r>
        <w:rPr>
          <w:rFonts w:hint="eastAsia" w:ascii="宋体" w:hAnsi="宋体"/>
          <w:sz w:val="24"/>
          <w:szCs w:val="24"/>
          <w:u w:val="single"/>
        </w:rPr>
        <w:t>国家现行有关施工质量验收规范要求，并达到合格标准</w:t>
      </w:r>
      <w:r>
        <w:rPr>
          <w:rFonts w:ascii="宋体" w:hAnsi="宋体"/>
          <w:sz w:val="24"/>
          <w:szCs w:val="24"/>
          <w:u w:val="single"/>
        </w:rPr>
        <w:t>。</w:t>
      </w:r>
    </w:p>
    <w:p w14:paraId="7CCF2288">
      <w:pPr>
        <w:spacing w:line="360" w:lineRule="auto"/>
        <w:rPr>
          <w:rFonts w:ascii="宋体" w:hAnsi="宋体" w:cs="宋体"/>
          <w:sz w:val="24"/>
          <w:szCs w:val="24"/>
        </w:rPr>
      </w:pPr>
      <w:r>
        <w:rPr>
          <w:rFonts w:hint="eastAsia" w:ascii="宋体" w:hAnsi="宋体" w:cs="宋体"/>
          <w:sz w:val="24"/>
          <w:szCs w:val="24"/>
        </w:rPr>
        <w:t>四、签约合同价与合同价格形式</w:t>
      </w:r>
      <w:r>
        <w:rPr>
          <w:rFonts w:hint="eastAsia" w:ascii="宋体" w:hAnsi="宋体" w:cs="宋体"/>
          <w:sz w:val="24"/>
          <w:szCs w:val="24"/>
        </w:rPr>
        <w:tab/>
      </w:r>
    </w:p>
    <w:p w14:paraId="3637B6C7">
      <w:pPr>
        <w:spacing w:line="360" w:lineRule="auto"/>
        <w:ind w:firstLine="480" w:firstLineChars="200"/>
        <w:rPr>
          <w:rFonts w:ascii="宋体" w:hAnsi="宋体" w:cs="宋体"/>
          <w:sz w:val="24"/>
          <w:szCs w:val="24"/>
          <w:u w:val="single"/>
        </w:rPr>
      </w:pPr>
      <w:r>
        <w:rPr>
          <w:rFonts w:hint="eastAsia" w:ascii="宋体" w:hAnsi="宋体" w:cs="宋体"/>
          <w:sz w:val="24"/>
          <w:szCs w:val="24"/>
        </w:rPr>
        <w:t xml:space="preserve">1.签约合同价为： </w:t>
      </w:r>
      <w:r>
        <w:rPr>
          <w:rFonts w:hint="eastAsia" w:ascii="宋体" w:hAnsi="宋体" w:cs="宋体"/>
          <w:sz w:val="24"/>
          <w:szCs w:val="24"/>
          <w:u w:val="single"/>
        </w:rPr>
        <w:t xml:space="preserve">                              </w:t>
      </w:r>
    </w:p>
    <w:p w14:paraId="045FA18D">
      <w:pPr>
        <w:spacing w:line="360" w:lineRule="auto"/>
        <w:ind w:firstLine="600" w:firstLineChars="2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xml:space="preserve">）(¥ </w:t>
      </w:r>
      <w:r>
        <w:rPr>
          <w:rFonts w:hint="eastAsia" w:ascii="宋体" w:hAnsi="宋体" w:cs="宋体"/>
          <w:sz w:val="24"/>
          <w:szCs w:val="24"/>
          <w:u w:val="single"/>
        </w:rPr>
        <w:t xml:space="preserve">                    </w:t>
      </w:r>
      <w:r>
        <w:rPr>
          <w:rFonts w:hint="eastAsia" w:ascii="宋体" w:hAnsi="宋体" w:cs="宋体"/>
          <w:sz w:val="24"/>
          <w:szCs w:val="24"/>
        </w:rPr>
        <w:t>元)；</w:t>
      </w:r>
    </w:p>
    <w:p w14:paraId="7D44FC9D">
      <w:pPr>
        <w:spacing w:line="360" w:lineRule="auto"/>
        <w:ind w:firstLine="480" w:firstLineChars="200"/>
        <w:rPr>
          <w:rFonts w:ascii="宋体" w:hAnsi="宋体" w:cs="宋体"/>
          <w:sz w:val="24"/>
          <w:szCs w:val="24"/>
        </w:rPr>
      </w:pPr>
      <w:r>
        <w:rPr>
          <w:rFonts w:hint="eastAsia" w:ascii="宋体" w:hAnsi="宋体" w:cs="宋体"/>
          <w:sz w:val="24"/>
          <w:szCs w:val="24"/>
        </w:rPr>
        <w:t>其中：</w:t>
      </w:r>
    </w:p>
    <w:p w14:paraId="360B2E8B">
      <w:pPr>
        <w:spacing w:line="360" w:lineRule="auto"/>
        <w:ind w:firstLine="480" w:firstLineChars="200"/>
        <w:rPr>
          <w:rFonts w:ascii="宋体" w:hAnsi="宋体" w:cs="宋体"/>
          <w:sz w:val="24"/>
          <w:szCs w:val="24"/>
        </w:rPr>
      </w:pPr>
      <w:r>
        <w:rPr>
          <w:rFonts w:hint="eastAsia" w:ascii="宋体" w:hAnsi="宋体" w:cs="宋体"/>
          <w:sz w:val="24"/>
          <w:szCs w:val="24"/>
        </w:rPr>
        <w:t>（1）安全文明施工费：</w:t>
      </w:r>
      <w:r>
        <w:rPr>
          <w:rFonts w:hint="eastAsia" w:ascii="宋体" w:hAnsi="宋体" w:cs="宋体"/>
          <w:sz w:val="24"/>
          <w:szCs w:val="24"/>
          <w:u w:val="single"/>
        </w:rPr>
        <w:t xml:space="preserve">                      </w:t>
      </w:r>
      <w:r>
        <w:rPr>
          <w:rFonts w:hint="eastAsia" w:ascii="宋体" w:hAnsi="宋体" w:cs="宋体"/>
          <w:sz w:val="24"/>
          <w:szCs w:val="24"/>
        </w:rPr>
        <w:t xml:space="preserve">                        </w:t>
      </w:r>
    </w:p>
    <w:p w14:paraId="165AAB47">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元)；</w:t>
      </w:r>
    </w:p>
    <w:p w14:paraId="567479D9">
      <w:pPr>
        <w:spacing w:line="360" w:lineRule="auto"/>
        <w:ind w:firstLine="480" w:firstLineChars="200"/>
        <w:rPr>
          <w:rFonts w:ascii="宋体" w:hAnsi="宋体" w:cs="宋体"/>
          <w:sz w:val="24"/>
          <w:szCs w:val="24"/>
        </w:rPr>
      </w:pPr>
      <w:r>
        <w:rPr>
          <w:rFonts w:hint="eastAsia" w:ascii="宋体" w:hAnsi="宋体" w:cs="宋体"/>
          <w:sz w:val="24"/>
          <w:szCs w:val="24"/>
        </w:rPr>
        <w:t>（2）材料和工程设备暂估价金额：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4E2563E9">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67AED468">
      <w:pPr>
        <w:spacing w:line="360" w:lineRule="auto"/>
        <w:ind w:firstLine="480" w:firstLineChars="200"/>
        <w:rPr>
          <w:rFonts w:ascii="宋体" w:hAnsi="宋体" w:cs="宋体"/>
          <w:sz w:val="24"/>
          <w:szCs w:val="24"/>
        </w:rPr>
      </w:pPr>
      <w:r>
        <w:rPr>
          <w:rFonts w:hint="eastAsia" w:ascii="宋体" w:hAnsi="宋体" w:cs="宋体"/>
          <w:sz w:val="24"/>
          <w:szCs w:val="24"/>
        </w:rPr>
        <w:t>（3）专业工程暂估价金额：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577C3C7E">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47EC2319">
      <w:pPr>
        <w:spacing w:line="360" w:lineRule="auto"/>
        <w:ind w:firstLine="480" w:firstLineChars="200"/>
        <w:rPr>
          <w:rFonts w:ascii="宋体" w:hAnsi="宋体" w:cs="宋体"/>
          <w:sz w:val="24"/>
          <w:szCs w:val="24"/>
        </w:rPr>
      </w:pPr>
      <w:r>
        <w:rPr>
          <w:rFonts w:hint="eastAsia" w:ascii="宋体" w:hAnsi="宋体" w:cs="宋体"/>
          <w:sz w:val="24"/>
          <w:szCs w:val="24"/>
        </w:rPr>
        <w:t>（4）暂列金额：</w:t>
      </w:r>
      <w:r>
        <w:rPr>
          <w:rFonts w:hint="eastAsia" w:ascii="宋体" w:hAnsi="宋体" w:cs="宋体"/>
          <w:sz w:val="24"/>
          <w:szCs w:val="24"/>
          <w:u w:val="single"/>
        </w:rPr>
        <w:t xml:space="preserve">                     </w:t>
      </w:r>
      <w:r>
        <w:rPr>
          <w:rFonts w:hint="eastAsia" w:ascii="宋体" w:hAnsi="宋体" w:cs="宋体"/>
          <w:sz w:val="24"/>
          <w:szCs w:val="24"/>
        </w:rPr>
        <w:t xml:space="preserve"> </w:t>
      </w:r>
    </w:p>
    <w:p w14:paraId="712E5CEF">
      <w:pPr>
        <w:spacing w:line="360" w:lineRule="auto"/>
        <w:ind w:firstLine="1080" w:firstLineChars="450"/>
        <w:rPr>
          <w:rFonts w:ascii="宋体" w:hAnsi="宋体" w:cs="宋体"/>
          <w:sz w:val="24"/>
          <w:szCs w:val="24"/>
        </w:rPr>
      </w:pPr>
      <w:r>
        <w:rPr>
          <w:rFonts w:hint="eastAsia" w:ascii="宋体" w:hAnsi="宋体" w:cs="宋体"/>
          <w:sz w:val="24"/>
          <w:szCs w:val="24"/>
        </w:rPr>
        <w:t>人民币（大写：</w:t>
      </w:r>
      <w:r>
        <w:rPr>
          <w:rFonts w:hint="eastAsia" w:ascii="宋体" w:hAnsi="宋体" w:cs="宋体"/>
          <w:sz w:val="24"/>
          <w:szCs w:val="24"/>
          <w:u w:val="single"/>
        </w:rPr>
        <w:t xml:space="preserve">                      </w:t>
      </w:r>
      <w:r>
        <w:rPr>
          <w:rFonts w:hint="eastAsia" w:ascii="宋体" w:hAnsi="宋体" w:cs="宋体"/>
          <w:sz w:val="24"/>
          <w:szCs w:val="24"/>
        </w:rPr>
        <w:t>） (¥</w:t>
      </w:r>
      <w:r>
        <w:rPr>
          <w:rFonts w:hint="eastAsia" w:ascii="宋体" w:hAnsi="宋体" w:cs="宋体"/>
          <w:sz w:val="24"/>
          <w:szCs w:val="24"/>
          <w:u w:val="single"/>
        </w:rPr>
        <w:t xml:space="preserve">                     </w:t>
      </w:r>
      <w:r>
        <w:rPr>
          <w:rFonts w:hint="eastAsia" w:ascii="宋体" w:hAnsi="宋体" w:cs="宋体"/>
          <w:sz w:val="24"/>
          <w:szCs w:val="24"/>
        </w:rPr>
        <w:t xml:space="preserve"> 元)。</w:t>
      </w:r>
    </w:p>
    <w:p w14:paraId="19717792">
      <w:pPr>
        <w:spacing w:line="360" w:lineRule="auto"/>
        <w:ind w:firstLine="480" w:firstLineChars="200"/>
        <w:rPr>
          <w:rFonts w:ascii="宋体" w:hAnsi="宋体" w:cs="宋体"/>
          <w:sz w:val="24"/>
          <w:szCs w:val="24"/>
        </w:rPr>
      </w:pPr>
      <w:r>
        <w:rPr>
          <w:rFonts w:hint="eastAsia" w:ascii="宋体" w:hAnsi="宋体" w:cs="宋体"/>
          <w:sz w:val="24"/>
          <w:szCs w:val="24"/>
        </w:rPr>
        <w:t>2.合同价格形式：</w:t>
      </w:r>
      <w:r>
        <w:rPr>
          <w:rFonts w:hint="eastAsia" w:ascii="宋体" w:hAnsi="宋体" w:cs="MingLiU_HKSCS"/>
          <w:sz w:val="24"/>
          <w:szCs w:val="24"/>
          <w:u w:val="single"/>
        </w:rPr>
        <w:t xml:space="preserve">                           </w:t>
      </w:r>
      <w:r>
        <w:rPr>
          <w:rFonts w:hint="eastAsia" w:ascii="宋体" w:hAnsi="宋体" w:cs="宋体"/>
          <w:sz w:val="24"/>
          <w:szCs w:val="24"/>
        </w:rPr>
        <w:t>。</w:t>
      </w:r>
    </w:p>
    <w:p w14:paraId="010D872C">
      <w:pPr>
        <w:spacing w:line="360" w:lineRule="auto"/>
        <w:rPr>
          <w:rFonts w:ascii="宋体" w:hAnsi="宋体" w:cs="宋体"/>
          <w:sz w:val="24"/>
          <w:szCs w:val="24"/>
        </w:rPr>
      </w:pPr>
      <w:r>
        <w:rPr>
          <w:rFonts w:hint="eastAsia" w:ascii="宋体" w:hAnsi="宋体" w:cs="宋体"/>
          <w:sz w:val="24"/>
          <w:szCs w:val="24"/>
        </w:rPr>
        <w:t>五、项目经理</w:t>
      </w:r>
    </w:p>
    <w:p w14:paraId="68DAAC93">
      <w:pPr>
        <w:spacing w:line="360" w:lineRule="auto"/>
        <w:ind w:firstLine="480" w:firstLineChars="200"/>
        <w:rPr>
          <w:rFonts w:ascii="宋体" w:hAnsi="宋体" w:cs="宋体"/>
          <w:sz w:val="24"/>
          <w:szCs w:val="24"/>
        </w:rPr>
      </w:pPr>
      <w:r>
        <w:rPr>
          <w:rFonts w:hint="eastAsia" w:ascii="宋体" w:hAnsi="宋体" w:cs="宋体"/>
          <w:sz w:val="24"/>
          <w:szCs w:val="24"/>
        </w:rPr>
        <w:t>承包人项目经理：</w:t>
      </w:r>
      <w:r>
        <w:rPr>
          <w:rFonts w:hint="eastAsia" w:ascii="宋体" w:hAnsi="宋体" w:cs="MingLiU_HKSCS"/>
          <w:sz w:val="24"/>
          <w:szCs w:val="24"/>
          <w:u w:val="single"/>
        </w:rPr>
        <w:t xml:space="preserve">                              </w:t>
      </w:r>
      <w:r>
        <w:rPr>
          <w:rFonts w:hint="eastAsia" w:ascii="宋体" w:hAnsi="宋体" w:cs="宋体"/>
          <w:sz w:val="24"/>
          <w:szCs w:val="24"/>
        </w:rPr>
        <w:t>。</w:t>
      </w:r>
    </w:p>
    <w:p w14:paraId="4E5F6996">
      <w:pPr>
        <w:spacing w:line="360" w:lineRule="auto"/>
        <w:ind w:firstLine="480" w:firstLineChars="200"/>
        <w:rPr>
          <w:rFonts w:ascii="宋体" w:hAnsi="宋体" w:cs="宋体"/>
          <w:sz w:val="24"/>
          <w:szCs w:val="24"/>
        </w:rPr>
      </w:pPr>
      <w:r>
        <w:rPr>
          <w:rFonts w:hint="eastAsia" w:ascii="宋体" w:hAnsi="宋体" w:cs="宋体"/>
          <w:sz w:val="24"/>
          <w:szCs w:val="24"/>
        </w:rPr>
        <w:t>执业资格证号：</w:t>
      </w:r>
      <w:r>
        <w:rPr>
          <w:rFonts w:hint="eastAsia" w:ascii="宋体" w:hAnsi="宋体" w:cs="MingLiU_HKSCS"/>
          <w:sz w:val="24"/>
          <w:szCs w:val="24"/>
          <w:u w:val="single"/>
        </w:rPr>
        <w:t xml:space="preserve">                         </w:t>
      </w:r>
      <w:r>
        <w:rPr>
          <w:rFonts w:hint="eastAsia" w:ascii="宋体" w:hAnsi="宋体" w:cs="宋体"/>
          <w:sz w:val="24"/>
          <w:szCs w:val="24"/>
          <w:u w:val="single"/>
        </w:rPr>
        <w:t>。</w:t>
      </w:r>
      <w:r>
        <w:rPr>
          <w:rFonts w:hint="eastAsia" w:ascii="宋体" w:hAnsi="宋体" w:cs="宋体"/>
          <w:sz w:val="24"/>
          <w:szCs w:val="24"/>
        </w:rPr>
        <w:t>联系电话：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09333854">
      <w:pPr>
        <w:spacing w:line="360" w:lineRule="auto"/>
        <w:rPr>
          <w:rFonts w:ascii="宋体" w:hAnsi="宋体" w:cs="宋体"/>
          <w:sz w:val="24"/>
          <w:szCs w:val="24"/>
        </w:rPr>
      </w:pPr>
      <w:r>
        <w:rPr>
          <w:rFonts w:hint="eastAsia" w:ascii="宋体" w:hAnsi="宋体" w:cs="宋体"/>
          <w:sz w:val="24"/>
          <w:szCs w:val="24"/>
        </w:rPr>
        <w:t>六、合同文件构成</w:t>
      </w:r>
    </w:p>
    <w:p w14:paraId="73BC01E4">
      <w:pPr>
        <w:spacing w:line="360" w:lineRule="auto"/>
        <w:ind w:firstLine="480" w:firstLineChars="200"/>
        <w:rPr>
          <w:rFonts w:ascii="宋体" w:hAnsi="宋体" w:cs="宋体"/>
          <w:bCs/>
          <w:sz w:val="24"/>
          <w:szCs w:val="24"/>
        </w:rPr>
      </w:pPr>
      <w:r>
        <w:rPr>
          <w:rFonts w:hint="eastAsia" w:ascii="宋体" w:hAnsi="宋体" w:cs="宋体"/>
          <w:bCs/>
          <w:sz w:val="24"/>
          <w:szCs w:val="24"/>
        </w:rPr>
        <w:t>本协议书与下列文件一起构成合同文件：</w:t>
      </w:r>
    </w:p>
    <w:p w14:paraId="30E8991C">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（1）中标通知书；</w:t>
      </w:r>
    </w:p>
    <w:p w14:paraId="0C48D7F9">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 xml:space="preserve">（2）投标函及其附录； </w:t>
      </w:r>
    </w:p>
    <w:p w14:paraId="595A0F04">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（3）专用合同条款及其附件；</w:t>
      </w:r>
    </w:p>
    <w:p w14:paraId="12D06E0E">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（4）通用合同条款；</w:t>
      </w:r>
    </w:p>
    <w:p w14:paraId="5D5C6D45">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（5）</w:t>
      </w:r>
      <w:r>
        <w:rPr>
          <w:rFonts w:hint="eastAsia" w:ascii="宋体" w:hAnsi="宋体"/>
          <w:sz w:val="24"/>
          <w:szCs w:val="24"/>
        </w:rPr>
        <w:t>相关方安全环境实施细则；</w:t>
      </w:r>
    </w:p>
    <w:p w14:paraId="3002476C">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（6）技术标准和要求；</w:t>
      </w:r>
    </w:p>
    <w:p w14:paraId="1A5EB5CC">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（7）图纸；</w:t>
      </w:r>
    </w:p>
    <w:p w14:paraId="2E1A3164">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（8）已标价工程量清单或预算书；</w:t>
      </w:r>
    </w:p>
    <w:p w14:paraId="2D955F21">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（9）其他合同文件。</w:t>
      </w:r>
    </w:p>
    <w:p w14:paraId="1E19CADA">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在合同订立及履行过程中形成的与合同有关的文件均构成合同文件组成部分。</w:t>
      </w:r>
    </w:p>
    <w:p w14:paraId="6BC9406A">
      <w:pPr>
        <w:autoSpaceDE w:val="0"/>
        <w:autoSpaceDN w:val="0"/>
        <w:adjustRightInd w:val="0"/>
        <w:spacing w:line="360" w:lineRule="auto"/>
        <w:ind w:firstLine="480" w:firstLineChars="200"/>
        <w:rPr>
          <w:rFonts w:ascii="宋体" w:hAnsi="宋体" w:cs="宋体"/>
          <w:sz w:val="24"/>
          <w:szCs w:val="24"/>
        </w:rPr>
      </w:pPr>
      <w:r>
        <w:rPr>
          <w:rFonts w:hint="eastAsia" w:ascii="宋体" w:hAnsi="宋体" w:cs="宋体"/>
          <w:sz w:val="24"/>
          <w:szCs w:val="24"/>
        </w:rPr>
        <w:t>上述各项合同文件包括合同当事人就该项合同文件所作出的补充和修改，属于同一类内容的文件，应以最新签署的为准。专用合同条款及其附件须经合同当事人签字或盖章。</w:t>
      </w:r>
    </w:p>
    <w:p w14:paraId="5BA034CE">
      <w:pPr>
        <w:spacing w:line="360" w:lineRule="auto"/>
        <w:rPr>
          <w:rFonts w:ascii="宋体" w:hAnsi="宋体" w:cs="宋体"/>
          <w:sz w:val="24"/>
          <w:szCs w:val="24"/>
        </w:rPr>
      </w:pPr>
      <w:r>
        <w:rPr>
          <w:rFonts w:hint="eastAsia" w:ascii="宋体" w:hAnsi="宋体" w:cs="宋体"/>
          <w:sz w:val="24"/>
          <w:szCs w:val="24"/>
        </w:rPr>
        <w:t>七、承诺</w:t>
      </w:r>
    </w:p>
    <w:p w14:paraId="0A16E214">
      <w:pPr>
        <w:spacing w:line="360" w:lineRule="auto"/>
        <w:ind w:firstLine="480" w:firstLineChars="200"/>
        <w:rPr>
          <w:rFonts w:ascii="宋体" w:hAnsi="宋体" w:cs="宋体"/>
          <w:bCs/>
          <w:sz w:val="24"/>
          <w:szCs w:val="24"/>
        </w:rPr>
      </w:pPr>
      <w:r>
        <w:rPr>
          <w:rFonts w:hint="eastAsia" w:ascii="宋体" w:hAnsi="宋体" w:cs="宋体"/>
          <w:bCs/>
          <w:sz w:val="24"/>
          <w:szCs w:val="24"/>
        </w:rPr>
        <w:t>1.发包人承诺按照法律规定履行项目审批手续、筹集工程建设资金并按照合同约定的期限和方式支付合同价款。</w:t>
      </w:r>
    </w:p>
    <w:p w14:paraId="1EC02DE7">
      <w:pPr>
        <w:spacing w:line="360" w:lineRule="auto"/>
        <w:ind w:firstLine="480" w:firstLineChars="200"/>
        <w:rPr>
          <w:rFonts w:ascii="宋体" w:hAnsi="宋体" w:cs="宋体"/>
          <w:bCs/>
          <w:sz w:val="24"/>
          <w:szCs w:val="24"/>
        </w:rPr>
      </w:pPr>
      <w:r>
        <w:rPr>
          <w:rFonts w:hint="eastAsia" w:ascii="宋体" w:hAnsi="宋体" w:cs="宋体"/>
          <w:bCs/>
          <w:sz w:val="24"/>
          <w:szCs w:val="24"/>
        </w:rPr>
        <w:t>2.承包人承诺按照法律规定及合同约定组织完成工程施工，确保工程质量和安全，不进行转包及违法分包，并在缺陷责任期及保修期内承担相应的工程维修责任。</w:t>
      </w:r>
    </w:p>
    <w:p w14:paraId="3C8CB6D1">
      <w:pPr>
        <w:spacing w:line="360" w:lineRule="auto"/>
        <w:ind w:firstLine="480" w:firstLineChars="200"/>
        <w:rPr>
          <w:rFonts w:ascii="宋体" w:hAnsi="宋体" w:cs="宋体"/>
          <w:bCs/>
          <w:sz w:val="24"/>
          <w:szCs w:val="24"/>
        </w:rPr>
      </w:pPr>
      <w:r>
        <w:rPr>
          <w:rFonts w:hint="eastAsia" w:ascii="宋体" w:hAnsi="宋体" w:cs="宋体"/>
          <w:bCs/>
          <w:sz w:val="24"/>
          <w:szCs w:val="24"/>
        </w:rPr>
        <w:t>3.发包人和承包人通过招投标形式签订合同的，双方理解并承诺不再就同一工程另行签订与合同实质性内容相背离的协议。</w:t>
      </w:r>
    </w:p>
    <w:p w14:paraId="002393F0">
      <w:pPr>
        <w:spacing w:line="360" w:lineRule="auto"/>
        <w:rPr>
          <w:rFonts w:ascii="宋体" w:hAnsi="宋体" w:cs="宋体"/>
          <w:sz w:val="24"/>
          <w:szCs w:val="24"/>
        </w:rPr>
      </w:pPr>
      <w:r>
        <w:rPr>
          <w:rFonts w:hint="eastAsia" w:ascii="宋体" w:hAnsi="宋体" w:cs="宋体"/>
          <w:sz w:val="24"/>
          <w:szCs w:val="24"/>
        </w:rPr>
        <w:t>八、词语含义</w:t>
      </w:r>
    </w:p>
    <w:p w14:paraId="3EA13504">
      <w:pPr>
        <w:spacing w:line="360" w:lineRule="auto"/>
        <w:ind w:firstLine="480" w:firstLineChars="200"/>
        <w:rPr>
          <w:rFonts w:ascii="宋体" w:hAnsi="宋体" w:cs="宋体"/>
          <w:bCs/>
          <w:sz w:val="24"/>
          <w:szCs w:val="24"/>
        </w:rPr>
      </w:pPr>
      <w:r>
        <w:rPr>
          <w:rFonts w:hint="eastAsia" w:ascii="宋体" w:hAnsi="宋体" w:cs="宋体"/>
          <w:bCs/>
          <w:sz w:val="24"/>
          <w:szCs w:val="24"/>
        </w:rPr>
        <w:t>本协议书中词语含义与第二部分通用合同条款中赋予的含义相同。</w:t>
      </w:r>
    </w:p>
    <w:p w14:paraId="765237EE">
      <w:pPr>
        <w:spacing w:line="360" w:lineRule="auto"/>
        <w:rPr>
          <w:rFonts w:ascii="宋体" w:hAnsi="宋体" w:cs="宋体"/>
          <w:sz w:val="24"/>
          <w:szCs w:val="24"/>
        </w:rPr>
      </w:pPr>
      <w:r>
        <w:rPr>
          <w:rFonts w:hint="eastAsia" w:ascii="宋体" w:hAnsi="宋体" w:cs="宋体"/>
          <w:sz w:val="24"/>
          <w:szCs w:val="24"/>
        </w:rPr>
        <w:t>九、签订时间</w:t>
      </w:r>
    </w:p>
    <w:p w14:paraId="2E703075">
      <w:pPr>
        <w:spacing w:line="360" w:lineRule="auto"/>
        <w:ind w:firstLine="480" w:firstLineChars="200"/>
        <w:rPr>
          <w:rFonts w:ascii="宋体" w:hAnsi="宋体" w:cs="宋体"/>
          <w:bCs/>
          <w:sz w:val="24"/>
          <w:szCs w:val="24"/>
        </w:rPr>
      </w:pPr>
      <w:r>
        <w:rPr>
          <w:rFonts w:hint="eastAsia" w:ascii="宋体" w:hAnsi="宋体" w:cs="宋体"/>
          <w:bCs/>
          <w:sz w:val="24"/>
          <w:szCs w:val="24"/>
        </w:rPr>
        <w:t>本合同于</w:t>
      </w:r>
      <w:r>
        <w:rPr>
          <w:rFonts w:hint="eastAsia" w:ascii="宋体" w:hAnsi="宋体" w:cs="宋体"/>
          <w:bCs/>
          <w:sz w:val="24"/>
          <w:szCs w:val="24"/>
          <w:u w:val="single"/>
        </w:rPr>
        <w:t xml:space="preserve">       </w:t>
      </w:r>
      <w:r>
        <w:rPr>
          <w:rFonts w:hint="eastAsia" w:ascii="宋体" w:hAnsi="宋体" w:cs="宋体"/>
          <w:bCs/>
          <w:sz w:val="24"/>
          <w:szCs w:val="24"/>
        </w:rPr>
        <w:t>年</w:t>
      </w:r>
      <w:r>
        <w:rPr>
          <w:rFonts w:hint="eastAsia" w:ascii="宋体" w:hAnsi="宋体" w:cs="宋体"/>
          <w:bCs/>
          <w:sz w:val="24"/>
          <w:szCs w:val="24"/>
          <w:u w:val="single"/>
        </w:rPr>
        <w:t xml:space="preserve">   </w:t>
      </w:r>
      <w:r>
        <w:rPr>
          <w:rFonts w:hint="eastAsia" w:ascii="宋体" w:hAnsi="宋体" w:cs="宋体"/>
          <w:bCs/>
          <w:sz w:val="24"/>
          <w:szCs w:val="24"/>
        </w:rPr>
        <w:t>月</w:t>
      </w:r>
      <w:r>
        <w:rPr>
          <w:rFonts w:hint="eastAsia" w:ascii="宋体" w:hAnsi="宋体" w:cs="宋体"/>
          <w:bCs/>
          <w:sz w:val="24"/>
          <w:szCs w:val="24"/>
          <w:u w:val="single"/>
        </w:rPr>
        <w:t xml:space="preserve">    </w:t>
      </w:r>
      <w:r>
        <w:rPr>
          <w:rFonts w:hint="eastAsia" w:ascii="宋体" w:hAnsi="宋体" w:cs="宋体"/>
          <w:bCs/>
          <w:sz w:val="24"/>
          <w:szCs w:val="24"/>
        </w:rPr>
        <w:t>日签订。</w:t>
      </w:r>
    </w:p>
    <w:p w14:paraId="107E4468">
      <w:pPr>
        <w:spacing w:line="360" w:lineRule="auto"/>
        <w:rPr>
          <w:rFonts w:ascii="宋体" w:hAnsi="宋体" w:cs="宋体"/>
          <w:sz w:val="24"/>
          <w:szCs w:val="24"/>
        </w:rPr>
      </w:pPr>
      <w:r>
        <w:rPr>
          <w:rFonts w:hint="eastAsia" w:ascii="宋体" w:hAnsi="宋体" w:cs="宋体"/>
          <w:sz w:val="24"/>
          <w:szCs w:val="24"/>
        </w:rPr>
        <w:t>十、签订地点</w:t>
      </w:r>
    </w:p>
    <w:p w14:paraId="58B24E82">
      <w:pPr>
        <w:spacing w:line="360" w:lineRule="auto"/>
        <w:ind w:firstLine="480" w:firstLineChars="200"/>
        <w:rPr>
          <w:rFonts w:ascii="宋体" w:hAnsi="宋体" w:cs="宋体"/>
          <w:bCs/>
          <w:sz w:val="24"/>
          <w:szCs w:val="24"/>
        </w:rPr>
      </w:pPr>
      <w:r>
        <w:rPr>
          <w:rFonts w:hint="eastAsia" w:ascii="宋体" w:hAnsi="宋体" w:cs="宋体"/>
          <w:bCs/>
          <w:sz w:val="24"/>
          <w:szCs w:val="24"/>
        </w:rPr>
        <w:t>本合同在</w:t>
      </w:r>
      <w:r>
        <w:rPr>
          <w:rFonts w:hint="eastAsia" w:ascii="宋体" w:hAnsi="宋体" w:cs="宋体"/>
          <w:bCs/>
          <w:sz w:val="24"/>
          <w:szCs w:val="24"/>
          <w:u w:val="single"/>
        </w:rPr>
        <w:t xml:space="preserve">                  </w:t>
      </w:r>
      <w:r>
        <w:rPr>
          <w:rFonts w:hint="eastAsia" w:ascii="宋体" w:hAnsi="宋体" w:cs="宋体"/>
          <w:bCs/>
          <w:sz w:val="24"/>
          <w:szCs w:val="24"/>
        </w:rPr>
        <w:t>签订。</w:t>
      </w:r>
    </w:p>
    <w:p w14:paraId="75FE12B5">
      <w:pPr>
        <w:spacing w:line="360" w:lineRule="auto"/>
        <w:rPr>
          <w:rFonts w:ascii="宋体" w:hAnsi="宋体" w:cs="宋体"/>
          <w:sz w:val="24"/>
          <w:szCs w:val="24"/>
        </w:rPr>
      </w:pPr>
      <w:r>
        <w:rPr>
          <w:rFonts w:hint="eastAsia" w:ascii="宋体" w:hAnsi="宋体" w:cs="宋体"/>
          <w:sz w:val="24"/>
          <w:szCs w:val="24"/>
        </w:rPr>
        <w:t>十一、补充协议</w:t>
      </w:r>
    </w:p>
    <w:p w14:paraId="2047EBA8">
      <w:pPr>
        <w:spacing w:line="360" w:lineRule="auto"/>
        <w:ind w:firstLine="480" w:firstLineChars="200"/>
        <w:rPr>
          <w:rFonts w:ascii="宋体" w:hAnsi="宋体" w:cs="宋体"/>
          <w:b/>
          <w:bCs/>
          <w:sz w:val="24"/>
          <w:szCs w:val="24"/>
        </w:rPr>
      </w:pPr>
      <w:r>
        <w:rPr>
          <w:rFonts w:hint="eastAsia" w:ascii="宋体" w:hAnsi="宋体" w:cs="宋体"/>
          <w:bCs/>
          <w:sz w:val="24"/>
          <w:szCs w:val="24"/>
        </w:rPr>
        <w:t>合同未尽事宜，合同当事人另行签订补充协议，补充协议是合同的组成部分。</w:t>
      </w:r>
    </w:p>
    <w:p w14:paraId="68FD9923">
      <w:pPr>
        <w:spacing w:line="360" w:lineRule="auto"/>
        <w:rPr>
          <w:rFonts w:ascii="宋体" w:hAnsi="宋体" w:cs="宋体"/>
          <w:sz w:val="24"/>
          <w:szCs w:val="24"/>
        </w:rPr>
      </w:pPr>
      <w:r>
        <w:rPr>
          <w:rFonts w:hint="eastAsia" w:ascii="宋体" w:hAnsi="宋体" w:cs="宋体"/>
          <w:sz w:val="24"/>
          <w:szCs w:val="24"/>
        </w:rPr>
        <w:t>十二、合同生效</w:t>
      </w:r>
    </w:p>
    <w:p w14:paraId="139ADA05">
      <w:pPr>
        <w:spacing w:line="360" w:lineRule="auto"/>
        <w:ind w:firstLine="480" w:firstLineChars="200"/>
        <w:rPr>
          <w:rFonts w:ascii="宋体" w:hAnsi="宋体" w:cs="宋体"/>
          <w:bCs/>
          <w:sz w:val="24"/>
          <w:szCs w:val="24"/>
        </w:rPr>
      </w:pPr>
      <w:r>
        <w:rPr>
          <w:rFonts w:hint="eastAsia" w:ascii="宋体" w:hAnsi="宋体" w:cs="宋体"/>
          <w:bCs/>
          <w:sz w:val="24"/>
          <w:szCs w:val="24"/>
        </w:rPr>
        <w:t>本合同自</w:t>
      </w:r>
      <w:r>
        <w:rPr>
          <w:rFonts w:hint="eastAsia" w:ascii="宋体" w:hAnsi="宋体" w:cs="宋体"/>
          <w:bCs/>
          <w:sz w:val="24"/>
          <w:szCs w:val="24"/>
          <w:u w:val="single"/>
        </w:rPr>
        <w:t xml:space="preserve">                 </w:t>
      </w:r>
      <w:r>
        <w:rPr>
          <w:rFonts w:hint="eastAsia" w:ascii="宋体" w:hAnsi="宋体" w:cs="宋体"/>
          <w:bCs/>
          <w:sz w:val="24"/>
          <w:szCs w:val="24"/>
        </w:rPr>
        <w:t>生效。</w:t>
      </w:r>
    </w:p>
    <w:p w14:paraId="0C26799A">
      <w:pPr>
        <w:spacing w:line="360" w:lineRule="auto"/>
        <w:rPr>
          <w:rFonts w:ascii="宋体" w:hAnsi="宋体" w:cs="宋体"/>
          <w:sz w:val="24"/>
          <w:szCs w:val="24"/>
        </w:rPr>
      </w:pPr>
      <w:r>
        <w:rPr>
          <w:rFonts w:hint="eastAsia" w:ascii="宋体" w:hAnsi="宋体" w:cs="宋体"/>
          <w:sz w:val="24"/>
          <w:szCs w:val="24"/>
        </w:rPr>
        <w:t>十三、合同份数</w:t>
      </w:r>
    </w:p>
    <w:p w14:paraId="468A774C">
      <w:pPr>
        <w:spacing w:line="360" w:lineRule="auto"/>
        <w:ind w:firstLine="480" w:firstLineChars="200"/>
        <w:rPr>
          <w:rFonts w:ascii="宋体" w:hAnsi="宋体" w:cs="宋体"/>
          <w:bCs/>
          <w:sz w:val="24"/>
          <w:szCs w:val="24"/>
        </w:rPr>
      </w:pPr>
      <w:r>
        <w:rPr>
          <w:rFonts w:hint="eastAsia" w:ascii="宋体" w:hAnsi="宋体" w:cs="宋体"/>
          <w:bCs/>
          <w:sz w:val="24"/>
          <w:szCs w:val="24"/>
        </w:rPr>
        <w:t>本合同一式</w:t>
      </w:r>
      <w:r>
        <w:rPr>
          <w:rFonts w:hint="eastAsia" w:ascii="宋体" w:hAnsi="宋体" w:cs="宋体"/>
          <w:bCs/>
          <w:sz w:val="24"/>
          <w:szCs w:val="24"/>
          <w:u w:val="single"/>
        </w:rPr>
        <w:t xml:space="preserve">    </w:t>
      </w:r>
      <w:r>
        <w:rPr>
          <w:rFonts w:hint="eastAsia" w:ascii="宋体" w:hAnsi="宋体" w:cs="宋体"/>
          <w:bCs/>
          <w:sz w:val="24"/>
          <w:szCs w:val="24"/>
        </w:rPr>
        <w:t>份，均具有同等法律效力，发包人执</w:t>
      </w:r>
      <w:r>
        <w:rPr>
          <w:rFonts w:hint="eastAsia" w:ascii="宋体" w:hAnsi="宋体" w:cs="宋体"/>
          <w:bCs/>
          <w:sz w:val="24"/>
          <w:szCs w:val="24"/>
          <w:u w:val="single"/>
        </w:rPr>
        <w:t xml:space="preserve">    </w:t>
      </w:r>
      <w:r>
        <w:rPr>
          <w:rFonts w:hint="eastAsia" w:ascii="宋体" w:hAnsi="宋体" w:cs="宋体"/>
          <w:bCs/>
          <w:sz w:val="24"/>
          <w:szCs w:val="24"/>
        </w:rPr>
        <w:t>份，承包人执</w:t>
      </w:r>
      <w:r>
        <w:rPr>
          <w:rFonts w:hint="eastAsia" w:ascii="宋体" w:hAnsi="宋体" w:cs="宋体"/>
          <w:bCs/>
          <w:sz w:val="24"/>
          <w:szCs w:val="24"/>
          <w:u w:val="single"/>
        </w:rPr>
        <w:t xml:space="preserve">    </w:t>
      </w:r>
      <w:r>
        <w:rPr>
          <w:rFonts w:hint="eastAsia" w:ascii="宋体" w:hAnsi="宋体" w:cs="宋体"/>
          <w:bCs/>
          <w:sz w:val="24"/>
          <w:szCs w:val="24"/>
        </w:rPr>
        <w:t>份。</w:t>
      </w:r>
    </w:p>
    <w:p w14:paraId="3D341B98">
      <w:pPr>
        <w:spacing w:line="360" w:lineRule="auto"/>
        <w:rPr>
          <w:rFonts w:ascii="宋体" w:hAnsi="宋体" w:cs="宋体"/>
          <w:sz w:val="24"/>
          <w:szCs w:val="24"/>
        </w:rPr>
      </w:pPr>
    </w:p>
    <w:p w14:paraId="0AFF42DE">
      <w:pPr>
        <w:spacing w:line="360" w:lineRule="auto"/>
        <w:rPr>
          <w:rFonts w:ascii="宋体" w:hAnsi="宋体" w:cs="宋体"/>
          <w:sz w:val="24"/>
          <w:szCs w:val="24"/>
        </w:rPr>
      </w:pPr>
      <w:r>
        <w:rPr>
          <w:rFonts w:hint="eastAsia" w:ascii="宋体" w:hAnsi="宋体" w:cs="宋体"/>
          <w:sz w:val="24"/>
          <w:szCs w:val="24"/>
        </w:rPr>
        <w:t>发包人：  (公章)                       承包人：  (公章)</w:t>
      </w:r>
    </w:p>
    <w:p w14:paraId="71E14562">
      <w:pPr>
        <w:spacing w:line="360" w:lineRule="auto"/>
        <w:rPr>
          <w:rFonts w:ascii="宋体" w:hAnsi="宋体" w:cs="宋体"/>
          <w:sz w:val="24"/>
          <w:szCs w:val="24"/>
        </w:rPr>
      </w:pPr>
      <w:r>
        <w:rPr>
          <w:rFonts w:hint="eastAsia" w:ascii="宋体" w:hAnsi="宋体" w:cs="宋体"/>
          <w:sz w:val="24"/>
          <w:szCs w:val="24"/>
        </w:rPr>
        <w:t>法定代表人或其委托代理人：             法定代表人或其委托代理人：</w:t>
      </w:r>
    </w:p>
    <w:p w14:paraId="0677D07D">
      <w:pPr>
        <w:spacing w:line="360" w:lineRule="auto"/>
        <w:rPr>
          <w:rFonts w:ascii="宋体" w:hAnsi="宋体" w:cs="宋体"/>
          <w:sz w:val="24"/>
          <w:szCs w:val="24"/>
        </w:rPr>
      </w:pPr>
      <w:r>
        <w:rPr>
          <w:rFonts w:hint="eastAsia" w:ascii="宋体" w:hAnsi="宋体" w:cs="宋体"/>
          <w:sz w:val="24"/>
          <w:szCs w:val="24"/>
        </w:rPr>
        <w:t>（签字）                              （签字）</w:t>
      </w:r>
    </w:p>
    <w:p w14:paraId="7E924E62">
      <w:pPr>
        <w:tabs>
          <w:tab w:val="left" w:pos="4410"/>
        </w:tabs>
        <w:spacing w:line="360" w:lineRule="auto"/>
        <w:rPr>
          <w:rFonts w:ascii="宋体" w:hAnsi="宋体" w:cs="宋体"/>
          <w:sz w:val="24"/>
          <w:szCs w:val="24"/>
        </w:rPr>
      </w:pPr>
      <w:r>
        <w:rPr>
          <w:rFonts w:hint="eastAsia" w:ascii="宋体" w:hAnsi="宋体" w:cs="宋体"/>
          <w:sz w:val="24"/>
          <w:szCs w:val="24"/>
        </w:rPr>
        <w:t>组织机构代码：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组织机构代码：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7BDD5A87">
      <w:pPr>
        <w:spacing w:line="360" w:lineRule="auto"/>
        <w:rPr>
          <w:rFonts w:ascii="宋体" w:hAnsi="宋体" w:cs="宋体"/>
          <w:sz w:val="24"/>
          <w:szCs w:val="24"/>
        </w:rPr>
      </w:pPr>
      <w:r>
        <w:rPr>
          <w:rFonts w:hint="eastAsia" w:ascii="宋体" w:hAnsi="宋体" w:cs="宋体"/>
          <w:sz w:val="24"/>
          <w:szCs w:val="24"/>
        </w:rPr>
        <w:t>地  址：</w:t>
      </w:r>
      <w:r>
        <w:rPr>
          <w:rFonts w:hint="eastAsia" w:ascii="宋体" w:hAnsi="宋体" w:cs="MingLiU_HKSCS"/>
          <w:sz w:val="24"/>
          <w:szCs w:val="24"/>
          <w:u w:val="single"/>
        </w:rPr>
        <w:t xml:space="preserve">                          </w:t>
      </w:r>
      <w:r>
        <w:rPr>
          <w:rFonts w:hint="eastAsia" w:ascii="宋体" w:hAnsi="宋体" w:cs="MingLiU_HKSCS"/>
          <w:sz w:val="24"/>
          <w:szCs w:val="24"/>
        </w:rPr>
        <w:t xml:space="preserve">    </w:t>
      </w:r>
      <w:r>
        <w:rPr>
          <w:rFonts w:hint="eastAsia" w:ascii="宋体" w:hAnsi="宋体" w:cs="宋体"/>
          <w:sz w:val="24"/>
          <w:szCs w:val="24"/>
        </w:rPr>
        <w:t>地  址：</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3C468557">
      <w:pPr>
        <w:spacing w:line="360" w:lineRule="auto"/>
        <w:rPr>
          <w:rFonts w:ascii="宋体" w:hAnsi="宋体" w:cs="宋体"/>
          <w:sz w:val="24"/>
          <w:szCs w:val="24"/>
        </w:rPr>
      </w:pPr>
      <w:r>
        <w:rPr>
          <w:rFonts w:hint="eastAsia" w:ascii="宋体" w:hAnsi="宋体" w:cs="宋体"/>
          <w:sz w:val="24"/>
          <w:szCs w:val="24"/>
        </w:rPr>
        <w:t>邮政编码：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邮政编码：</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379CB9DB">
      <w:pPr>
        <w:spacing w:line="360" w:lineRule="auto"/>
        <w:rPr>
          <w:rFonts w:ascii="宋体" w:hAnsi="宋体" w:cs="宋体"/>
          <w:sz w:val="24"/>
          <w:szCs w:val="24"/>
        </w:rPr>
      </w:pPr>
      <w:r>
        <w:rPr>
          <w:rFonts w:hint="eastAsia" w:ascii="宋体" w:hAnsi="宋体" w:cs="宋体"/>
          <w:sz w:val="24"/>
          <w:szCs w:val="24"/>
        </w:rPr>
        <w:t>法定代表人：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法定代表人：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714AAB0D">
      <w:pPr>
        <w:spacing w:line="360" w:lineRule="auto"/>
        <w:rPr>
          <w:rFonts w:ascii="宋体" w:hAnsi="宋体" w:cs="宋体"/>
          <w:sz w:val="24"/>
          <w:szCs w:val="24"/>
        </w:rPr>
      </w:pPr>
      <w:r>
        <w:rPr>
          <w:rFonts w:hint="eastAsia" w:ascii="宋体" w:hAnsi="宋体" w:cs="宋体"/>
          <w:sz w:val="24"/>
          <w:szCs w:val="24"/>
        </w:rPr>
        <w:t>委托代理人：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委托代理人：</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21D71081">
      <w:pPr>
        <w:spacing w:line="360" w:lineRule="auto"/>
        <w:rPr>
          <w:rFonts w:ascii="宋体" w:hAnsi="宋体" w:cs="宋体"/>
          <w:sz w:val="24"/>
          <w:szCs w:val="24"/>
        </w:rPr>
      </w:pPr>
      <w:r>
        <w:rPr>
          <w:rFonts w:hint="eastAsia" w:ascii="宋体" w:hAnsi="宋体" w:cs="宋体"/>
          <w:sz w:val="24"/>
          <w:szCs w:val="24"/>
        </w:rPr>
        <w:t>电  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电  话：</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1299F7E2">
      <w:pPr>
        <w:spacing w:line="360" w:lineRule="auto"/>
        <w:rPr>
          <w:rFonts w:ascii="宋体" w:hAnsi="宋体" w:cs="宋体"/>
          <w:sz w:val="24"/>
          <w:szCs w:val="24"/>
        </w:rPr>
      </w:pPr>
      <w:r>
        <w:rPr>
          <w:rFonts w:hint="eastAsia" w:ascii="宋体" w:hAnsi="宋体" w:cs="宋体"/>
          <w:sz w:val="24"/>
          <w:szCs w:val="24"/>
        </w:rPr>
        <w:t>传  真：</w:t>
      </w:r>
      <w:r>
        <w:rPr>
          <w:rFonts w:hint="eastAsia" w:ascii="宋体" w:hAnsi="宋体" w:cs="MingLiU_HKSCS"/>
          <w:sz w:val="24"/>
          <w:szCs w:val="24"/>
          <w:u w:val="single"/>
        </w:rPr>
        <w:t xml:space="preserve">                         </w:t>
      </w:r>
      <w:r>
        <w:rPr>
          <w:rFonts w:hint="eastAsia" w:ascii="宋体" w:hAnsi="宋体" w:cs="MingLiU_HKSCS"/>
          <w:sz w:val="24"/>
          <w:szCs w:val="24"/>
        </w:rPr>
        <w:t xml:space="preserve">    </w:t>
      </w:r>
      <w:r>
        <w:rPr>
          <w:rFonts w:hint="eastAsia" w:ascii="宋体" w:hAnsi="宋体" w:cs="宋体"/>
          <w:sz w:val="24"/>
          <w:szCs w:val="24"/>
        </w:rPr>
        <w:t>传  真：</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64226ADF">
      <w:pPr>
        <w:spacing w:line="360" w:lineRule="auto"/>
        <w:rPr>
          <w:rFonts w:ascii="宋体" w:hAnsi="宋体" w:cs="宋体"/>
          <w:sz w:val="24"/>
          <w:szCs w:val="24"/>
        </w:rPr>
      </w:pPr>
      <w:r>
        <w:rPr>
          <w:rFonts w:hint="eastAsia" w:ascii="宋体" w:hAnsi="宋体" w:cs="宋体"/>
          <w:sz w:val="24"/>
          <w:szCs w:val="24"/>
        </w:rPr>
        <w:t>电子信箱：</w:t>
      </w:r>
      <w:r>
        <w:rPr>
          <w:rFonts w:hint="eastAsia" w:ascii="宋体" w:hAnsi="宋体" w:cs="宋体"/>
          <w:sz w:val="24"/>
          <w:szCs w:val="24"/>
          <w:u w:val="single"/>
        </w:rPr>
        <w:t xml:space="preserve">                       </w:t>
      </w:r>
      <w:r>
        <w:rPr>
          <w:rFonts w:hint="eastAsia" w:ascii="宋体" w:hAnsi="宋体" w:cs="宋体"/>
          <w:sz w:val="24"/>
          <w:szCs w:val="24"/>
        </w:rPr>
        <w:t xml:space="preserve">    电子信箱：</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p>
    <w:p w14:paraId="25E00A2D">
      <w:pPr>
        <w:spacing w:line="360" w:lineRule="auto"/>
        <w:rPr>
          <w:rFonts w:ascii="宋体" w:hAnsi="宋体" w:cs="宋体"/>
          <w:sz w:val="24"/>
          <w:szCs w:val="24"/>
        </w:rPr>
      </w:pPr>
      <w:r>
        <w:rPr>
          <w:rFonts w:hint="eastAsia" w:ascii="宋体" w:hAnsi="宋体" w:cs="宋体"/>
          <w:sz w:val="24"/>
          <w:szCs w:val="24"/>
        </w:rPr>
        <w:t>开户银行：</w:t>
      </w:r>
      <w:r>
        <w:rPr>
          <w:rFonts w:hint="eastAsia" w:ascii="宋体" w:hAnsi="宋体" w:cs="MingLiU_HKSCS"/>
          <w:sz w:val="24"/>
          <w:szCs w:val="24"/>
          <w:u w:val="single"/>
        </w:rPr>
        <w:t xml:space="preserve">                      </w:t>
      </w:r>
      <w:r>
        <w:rPr>
          <w:rFonts w:hint="eastAsia" w:ascii="宋体" w:hAnsi="宋体" w:cs="宋体"/>
          <w:sz w:val="24"/>
          <w:szCs w:val="24"/>
        </w:rPr>
        <w:t xml:space="preserve">     开户银行：</w:t>
      </w:r>
      <w:r>
        <w:rPr>
          <w:rFonts w:hint="eastAsia" w:ascii="宋体" w:hAnsi="宋体" w:cs="MingLiU_HKSCS"/>
          <w:sz w:val="24"/>
          <w:szCs w:val="24"/>
          <w:u w:val="single"/>
        </w:rPr>
        <w:t xml:space="preserve">                      </w:t>
      </w:r>
    </w:p>
    <w:p w14:paraId="10EB241D">
      <w:pPr>
        <w:adjustRightInd w:val="0"/>
        <w:snapToGrid w:val="0"/>
        <w:spacing w:line="360" w:lineRule="auto"/>
        <w:rPr>
          <w:rFonts w:ascii="宋体" w:hAnsi="宋体"/>
          <w:szCs w:val="21"/>
        </w:rPr>
      </w:pPr>
      <w:r>
        <w:rPr>
          <w:rFonts w:hint="eastAsia" w:ascii="宋体" w:hAnsi="宋体" w:cs="宋体"/>
          <w:sz w:val="24"/>
          <w:szCs w:val="24"/>
        </w:rPr>
        <w:t>账  号：</w:t>
      </w:r>
      <w:r>
        <w:rPr>
          <w:rFonts w:hint="eastAsia" w:ascii="宋体" w:hAnsi="宋体" w:cs="MingLiU_HKSCS"/>
          <w:sz w:val="24"/>
          <w:szCs w:val="24"/>
          <w:u w:val="single"/>
        </w:rPr>
        <w:t xml:space="preserve">                     </w:t>
      </w:r>
      <w:r>
        <w:rPr>
          <w:rFonts w:hint="eastAsia" w:ascii="宋体" w:hAnsi="宋体" w:cs="宋体"/>
          <w:sz w:val="24"/>
          <w:szCs w:val="24"/>
          <w:u w:val="single"/>
        </w:rPr>
        <w:t xml:space="preserve">   </w:t>
      </w:r>
      <w:r>
        <w:rPr>
          <w:rFonts w:hint="eastAsia" w:ascii="宋体" w:hAnsi="宋体" w:cs="宋体"/>
          <w:sz w:val="24"/>
          <w:szCs w:val="24"/>
        </w:rPr>
        <w:t xml:space="preserve">     账  号：</w:t>
      </w:r>
      <w:r>
        <w:rPr>
          <w:rFonts w:hint="eastAsia" w:ascii="宋体" w:hAnsi="宋体" w:cs="MingLiU_HKSCS"/>
          <w:sz w:val="24"/>
          <w:szCs w:val="24"/>
          <w:u w:val="single"/>
        </w:rPr>
        <w:t xml:space="preserve">     </w:t>
      </w:r>
      <w:r>
        <w:rPr>
          <w:rFonts w:hint="eastAsia" w:ascii="宋体" w:hAnsi="宋体" w:cs="MingLiU_HKSCS"/>
          <w:szCs w:val="21"/>
          <w:u w:val="single"/>
        </w:rPr>
        <w:t xml:space="preserve">               </w:t>
      </w:r>
      <w:r>
        <w:rPr>
          <w:rFonts w:hint="eastAsia" w:ascii="宋体" w:hAnsi="宋体" w:cs="宋体"/>
          <w:szCs w:val="21"/>
          <w:u w:val="single"/>
        </w:rPr>
        <w:t xml:space="preserve">    </w:t>
      </w:r>
    </w:p>
    <w:p w14:paraId="09C478A6">
      <w:pPr>
        <w:widowControl/>
        <w:jc w:val="left"/>
        <w:rPr>
          <w:rFonts w:ascii="宋体" w:hAnsi="宋体"/>
          <w:b/>
          <w:sz w:val="24"/>
          <w:szCs w:val="24"/>
        </w:rPr>
      </w:pPr>
      <w:bookmarkStart w:id="236" w:name="_Toc14337142"/>
      <w:bookmarkStart w:id="237" w:name="_Toc18001050"/>
      <w:bookmarkStart w:id="238" w:name="_Toc18000992"/>
      <w:bookmarkStart w:id="239" w:name="_Toc21118207"/>
      <w:bookmarkStart w:id="240" w:name="_Toc4568866"/>
      <w:r>
        <w:rPr>
          <w:rFonts w:ascii="宋体" w:hAnsi="宋体"/>
          <w:b/>
          <w:sz w:val="24"/>
          <w:szCs w:val="24"/>
        </w:rPr>
        <w:br w:type="page"/>
      </w:r>
    </w:p>
    <w:p w14:paraId="008CD159">
      <w:pPr>
        <w:adjustRightInd w:val="0"/>
        <w:snapToGrid w:val="0"/>
        <w:spacing w:line="500" w:lineRule="exact"/>
        <w:jc w:val="center"/>
        <w:rPr>
          <w:rFonts w:ascii="宋体" w:hAnsi="宋体"/>
          <w:b/>
          <w:sz w:val="24"/>
          <w:szCs w:val="24"/>
        </w:rPr>
      </w:pPr>
      <w:r>
        <w:rPr>
          <w:rFonts w:ascii="宋体" w:hAnsi="宋体"/>
          <w:b/>
          <w:sz w:val="24"/>
          <w:szCs w:val="24"/>
        </w:rPr>
        <w:t>第二</w:t>
      </w:r>
      <w:r>
        <w:rPr>
          <w:rFonts w:hint="eastAsia" w:ascii="宋体" w:hAnsi="宋体"/>
          <w:b/>
          <w:sz w:val="24"/>
          <w:szCs w:val="24"/>
        </w:rPr>
        <w:t>节</w:t>
      </w:r>
      <w:r>
        <w:rPr>
          <w:rFonts w:ascii="宋体" w:hAnsi="宋体"/>
          <w:b/>
          <w:sz w:val="24"/>
          <w:szCs w:val="24"/>
        </w:rPr>
        <w:t xml:space="preserve"> 通用合同条款</w:t>
      </w:r>
      <w:bookmarkEnd w:id="235"/>
      <w:bookmarkEnd w:id="236"/>
      <w:bookmarkEnd w:id="237"/>
      <w:bookmarkEnd w:id="238"/>
      <w:bookmarkEnd w:id="239"/>
      <w:bookmarkEnd w:id="240"/>
    </w:p>
    <w:p w14:paraId="609CEF77">
      <w:pPr>
        <w:autoSpaceDE w:val="0"/>
        <w:autoSpaceDN w:val="0"/>
        <w:adjustRightInd w:val="0"/>
        <w:spacing w:line="360" w:lineRule="auto"/>
        <w:ind w:firstLine="480" w:firstLineChars="200"/>
        <w:rPr>
          <w:rFonts w:ascii="宋体" w:hAnsi="宋体"/>
          <w:sz w:val="24"/>
          <w:szCs w:val="24"/>
        </w:rPr>
      </w:pPr>
      <w:r>
        <w:rPr>
          <w:rFonts w:hint="eastAsia" w:ascii="宋体" w:hAnsi="宋体"/>
          <w:sz w:val="24"/>
          <w:szCs w:val="24"/>
        </w:rPr>
        <w:t>通用合同条款直接采用中华人民共和国住房和城乡建设部与国家工商行政管理总局联合制定的《建设工程施工合同》（GF-2017-0201）示范文本第二部分《通用合同条款》。</w:t>
      </w:r>
    </w:p>
    <w:p w14:paraId="1ECADC0B">
      <w:pPr>
        <w:autoSpaceDE w:val="0"/>
        <w:autoSpaceDN w:val="0"/>
        <w:adjustRightInd w:val="0"/>
        <w:spacing w:line="360" w:lineRule="auto"/>
        <w:ind w:firstLine="560" w:firstLineChars="200"/>
        <w:rPr>
          <w:rFonts w:ascii="宋体" w:hAnsi="宋体" w:cs="宋体"/>
          <w:szCs w:val="28"/>
        </w:rPr>
      </w:pPr>
    </w:p>
    <w:p w14:paraId="487B5133">
      <w:pPr>
        <w:autoSpaceDE w:val="0"/>
        <w:autoSpaceDN w:val="0"/>
        <w:adjustRightInd w:val="0"/>
        <w:spacing w:line="360" w:lineRule="auto"/>
        <w:ind w:firstLine="560" w:firstLineChars="200"/>
        <w:rPr>
          <w:rFonts w:ascii="宋体" w:hAnsi="宋体" w:cs="宋体"/>
          <w:szCs w:val="28"/>
        </w:rPr>
      </w:pPr>
    </w:p>
    <w:p w14:paraId="22AF9D36">
      <w:pPr>
        <w:autoSpaceDE w:val="0"/>
        <w:autoSpaceDN w:val="0"/>
        <w:adjustRightInd w:val="0"/>
        <w:spacing w:line="360" w:lineRule="auto"/>
        <w:ind w:firstLine="560" w:firstLineChars="200"/>
        <w:rPr>
          <w:rFonts w:ascii="宋体" w:hAnsi="宋体" w:cs="宋体"/>
          <w:szCs w:val="28"/>
        </w:rPr>
      </w:pPr>
    </w:p>
    <w:p w14:paraId="0C4E6845">
      <w:pPr>
        <w:autoSpaceDE w:val="0"/>
        <w:autoSpaceDN w:val="0"/>
        <w:adjustRightInd w:val="0"/>
        <w:spacing w:line="360" w:lineRule="auto"/>
        <w:ind w:firstLine="560" w:firstLineChars="200"/>
        <w:rPr>
          <w:rFonts w:ascii="宋体" w:hAnsi="宋体" w:cs="宋体"/>
          <w:szCs w:val="28"/>
        </w:rPr>
      </w:pPr>
    </w:p>
    <w:p w14:paraId="36F98209">
      <w:pPr>
        <w:autoSpaceDE w:val="0"/>
        <w:autoSpaceDN w:val="0"/>
        <w:adjustRightInd w:val="0"/>
        <w:spacing w:line="360" w:lineRule="auto"/>
        <w:ind w:firstLine="560" w:firstLineChars="200"/>
        <w:rPr>
          <w:rFonts w:ascii="宋体" w:hAnsi="宋体" w:cs="宋体"/>
          <w:szCs w:val="28"/>
        </w:rPr>
      </w:pPr>
    </w:p>
    <w:p w14:paraId="4DD6A60A">
      <w:pPr>
        <w:autoSpaceDE w:val="0"/>
        <w:autoSpaceDN w:val="0"/>
        <w:adjustRightInd w:val="0"/>
        <w:spacing w:line="360" w:lineRule="auto"/>
        <w:ind w:firstLine="560" w:firstLineChars="200"/>
        <w:rPr>
          <w:rFonts w:ascii="宋体" w:hAnsi="宋体" w:cs="宋体"/>
          <w:szCs w:val="28"/>
        </w:rPr>
      </w:pPr>
    </w:p>
    <w:p w14:paraId="03091951">
      <w:pPr>
        <w:autoSpaceDE w:val="0"/>
        <w:autoSpaceDN w:val="0"/>
        <w:adjustRightInd w:val="0"/>
        <w:spacing w:line="360" w:lineRule="auto"/>
        <w:ind w:firstLine="560" w:firstLineChars="200"/>
        <w:rPr>
          <w:rFonts w:ascii="宋体" w:hAnsi="宋体" w:cs="宋体"/>
          <w:szCs w:val="28"/>
        </w:rPr>
      </w:pPr>
    </w:p>
    <w:p w14:paraId="3E5C07E2">
      <w:pPr>
        <w:autoSpaceDE w:val="0"/>
        <w:autoSpaceDN w:val="0"/>
        <w:adjustRightInd w:val="0"/>
        <w:spacing w:line="360" w:lineRule="auto"/>
        <w:ind w:firstLine="560" w:firstLineChars="200"/>
        <w:rPr>
          <w:rFonts w:ascii="宋体" w:hAnsi="宋体" w:cs="宋体"/>
          <w:szCs w:val="28"/>
        </w:rPr>
      </w:pPr>
    </w:p>
    <w:p w14:paraId="0D9F0F35">
      <w:pPr>
        <w:autoSpaceDE w:val="0"/>
        <w:autoSpaceDN w:val="0"/>
        <w:adjustRightInd w:val="0"/>
        <w:spacing w:line="360" w:lineRule="auto"/>
        <w:ind w:firstLine="560" w:firstLineChars="200"/>
        <w:rPr>
          <w:rFonts w:ascii="宋体" w:hAnsi="宋体" w:cs="宋体"/>
          <w:szCs w:val="28"/>
        </w:rPr>
      </w:pPr>
    </w:p>
    <w:p w14:paraId="4810FA92">
      <w:pPr>
        <w:autoSpaceDE w:val="0"/>
        <w:autoSpaceDN w:val="0"/>
        <w:adjustRightInd w:val="0"/>
        <w:spacing w:line="360" w:lineRule="auto"/>
        <w:ind w:firstLine="560" w:firstLineChars="200"/>
        <w:rPr>
          <w:rFonts w:ascii="宋体" w:hAnsi="宋体" w:cs="宋体"/>
          <w:szCs w:val="28"/>
        </w:rPr>
      </w:pPr>
    </w:p>
    <w:p w14:paraId="480A9475">
      <w:pPr>
        <w:autoSpaceDE w:val="0"/>
        <w:autoSpaceDN w:val="0"/>
        <w:adjustRightInd w:val="0"/>
        <w:spacing w:line="360" w:lineRule="auto"/>
        <w:ind w:firstLine="560" w:firstLineChars="200"/>
        <w:rPr>
          <w:rFonts w:ascii="宋体" w:hAnsi="宋体" w:cs="宋体"/>
          <w:szCs w:val="28"/>
        </w:rPr>
      </w:pPr>
    </w:p>
    <w:p w14:paraId="72498737">
      <w:pPr>
        <w:autoSpaceDE w:val="0"/>
        <w:autoSpaceDN w:val="0"/>
        <w:adjustRightInd w:val="0"/>
        <w:spacing w:line="360" w:lineRule="auto"/>
        <w:ind w:firstLine="560" w:firstLineChars="200"/>
        <w:rPr>
          <w:rFonts w:ascii="宋体" w:hAnsi="宋体" w:cs="宋体"/>
          <w:szCs w:val="28"/>
        </w:rPr>
      </w:pPr>
    </w:p>
    <w:p w14:paraId="00C8ED8A">
      <w:pPr>
        <w:autoSpaceDE w:val="0"/>
        <w:autoSpaceDN w:val="0"/>
        <w:adjustRightInd w:val="0"/>
        <w:spacing w:line="360" w:lineRule="auto"/>
        <w:ind w:firstLine="560" w:firstLineChars="200"/>
        <w:rPr>
          <w:rFonts w:ascii="宋体" w:hAnsi="宋体" w:cs="宋体"/>
          <w:szCs w:val="28"/>
        </w:rPr>
      </w:pPr>
    </w:p>
    <w:p w14:paraId="64CA2B6F">
      <w:pPr>
        <w:autoSpaceDE w:val="0"/>
        <w:autoSpaceDN w:val="0"/>
        <w:adjustRightInd w:val="0"/>
        <w:spacing w:line="360" w:lineRule="auto"/>
        <w:ind w:firstLine="560" w:firstLineChars="200"/>
        <w:rPr>
          <w:rFonts w:ascii="宋体" w:hAnsi="宋体" w:cs="宋体"/>
          <w:szCs w:val="28"/>
        </w:rPr>
      </w:pPr>
    </w:p>
    <w:p w14:paraId="50480CE3">
      <w:pPr>
        <w:autoSpaceDE w:val="0"/>
        <w:autoSpaceDN w:val="0"/>
        <w:adjustRightInd w:val="0"/>
        <w:spacing w:line="360" w:lineRule="auto"/>
        <w:ind w:firstLine="560" w:firstLineChars="200"/>
        <w:rPr>
          <w:rFonts w:ascii="宋体" w:hAnsi="宋体" w:cs="宋体"/>
          <w:szCs w:val="28"/>
        </w:rPr>
      </w:pPr>
    </w:p>
    <w:p w14:paraId="711EB978">
      <w:pPr>
        <w:autoSpaceDE w:val="0"/>
        <w:autoSpaceDN w:val="0"/>
        <w:adjustRightInd w:val="0"/>
        <w:spacing w:line="360" w:lineRule="auto"/>
        <w:ind w:firstLine="560" w:firstLineChars="200"/>
        <w:rPr>
          <w:rFonts w:ascii="宋体" w:hAnsi="宋体" w:cs="宋体"/>
          <w:szCs w:val="28"/>
        </w:rPr>
      </w:pPr>
    </w:p>
    <w:p w14:paraId="02585E34">
      <w:pPr>
        <w:autoSpaceDE w:val="0"/>
        <w:autoSpaceDN w:val="0"/>
        <w:adjustRightInd w:val="0"/>
        <w:spacing w:line="360" w:lineRule="auto"/>
        <w:ind w:firstLine="560" w:firstLineChars="200"/>
        <w:rPr>
          <w:rFonts w:ascii="宋体" w:hAnsi="宋体" w:cs="宋体"/>
          <w:szCs w:val="28"/>
        </w:rPr>
      </w:pPr>
    </w:p>
    <w:p w14:paraId="40EC73A9">
      <w:pPr>
        <w:autoSpaceDE w:val="0"/>
        <w:autoSpaceDN w:val="0"/>
        <w:adjustRightInd w:val="0"/>
        <w:spacing w:line="360" w:lineRule="auto"/>
        <w:ind w:firstLine="560" w:firstLineChars="200"/>
        <w:rPr>
          <w:rFonts w:ascii="宋体" w:hAnsi="宋体" w:cs="宋体"/>
          <w:szCs w:val="28"/>
        </w:rPr>
      </w:pPr>
    </w:p>
    <w:p w14:paraId="78CD26D1">
      <w:pPr>
        <w:autoSpaceDE w:val="0"/>
        <w:autoSpaceDN w:val="0"/>
        <w:adjustRightInd w:val="0"/>
        <w:spacing w:line="360" w:lineRule="auto"/>
        <w:ind w:firstLine="560" w:firstLineChars="200"/>
        <w:rPr>
          <w:rFonts w:ascii="宋体" w:hAnsi="宋体" w:cs="宋体"/>
          <w:szCs w:val="28"/>
        </w:rPr>
      </w:pPr>
    </w:p>
    <w:p w14:paraId="394005CB">
      <w:pPr>
        <w:adjustRightInd w:val="0"/>
        <w:snapToGrid w:val="0"/>
        <w:spacing w:line="500" w:lineRule="exact"/>
        <w:jc w:val="center"/>
        <w:rPr>
          <w:rFonts w:ascii="宋体" w:hAnsi="宋体"/>
          <w:b/>
          <w:sz w:val="24"/>
          <w:szCs w:val="24"/>
        </w:rPr>
      </w:pPr>
      <w:bookmarkStart w:id="241" w:name="_Toc18001051"/>
      <w:bookmarkStart w:id="242" w:name="_Toc21118208"/>
      <w:bookmarkStart w:id="243" w:name="_Toc18000993"/>
      <w:bookmarkStart w:id="244" w:name="_Toc14337143"/>
      <w:r>
        <w:rPr>
          <w:rFonts w:ascii="宋体" w:hAnsi="宋体"/>
          <w:b/>
          <w:sz w:val="24"/>
          <w:szCs w:val="24"/>
        </w:rPr>
        <w:br w:type="page"/>
      </w:r>
      <w:r>
        <w:rPr>
          <w:rFonts w:ascii="宋体" w:hAnsi="宋体"/>
          <w:b/>
          <w:sz w:val="24"/>
          <w:szCs w:val="24"/>
        </w:rPr>
        <w:t>第三</w:t>
      </w:r>
      <w:r>
        <w:rPr>
          <w:rFonts w:hint="eastAsia" w:ascii="宋体" w:hAnsi="宋体"/>
          <w:b/>
          <w:sz w:val="24"/>
          <w:szCs w:val="24"/>
        </w:rPr>
        <w:t>节</w:t>
      </w:r>
      <w:r>
        <w:rPr>
          <w:rFonts w:ascii="宋体" w:hAnsi="宋体"/>
          <w:b/>
          <w:sz w:val="24"/>
          <w:szCs w:val="24"/>
        </w:rPr>
        <w:t xml:space="preserve"> </w:t>
      </w:r>
      <w:r>
        <w:rPr>
          <w:rFonts w:hint="eastAsia" w:ascii="宋体" w:hAnsi="宋体"/>
          <w:b/>
          <w:sz w:val="24"/>
          <w:szCs w:val="24"/>
        </w:rPr>
        <w:t>专用合同条款</w:t>
      </w:r>
      <w:bookmarkEnd w:id="241"/>
      <w:bookmarkEnd w:id="242"/>
      <w:bookmarkEnd w:id="243"/>
      <w:bookmarkEnd w:id="244"/>
    </w:p>
    <w:p w14:paraId="02A772A6">
      <w:pPr>
        <w:adjustRightInd w:val="0"/>
        <w:snapToGrid w:val="0"/>
        <w:spacing w:line="400" w:lineRule="exact"/>
        <w:rPr>
          <w:rFonts w:ascii="宋体" w:hAnsi="宋体"/>
          <w:sz w:val="24"/>
          <w:szCs w:val="24"/>
        </w:rPr>
      </w:pPr>
      <w:r>
        <w:rPr>
          <w:rFonts w:hint="eastAsia" w:ascii="宋体" w:hAnsi="宋体"/>
          <w:sz w:val="24"/>
          <w:szCs w:val="24"/>
        </w:rPr>
        <w:t>[专用合同条款是对通用合同条款原则性约定的细化、完善、补充的条款。]</w:t>
      </w:r>
    </w:p>
    <w:p w14:paraId="0465C9E7">
      <w:pPr>
        <w:pStyle w:val="158"/>
        <w:spacing w:line="500" w:lineRule="exact"/>
        <w:ind w:firstLine="480"/>
        <w:rPr>
          <w:rFonts w:ascii="宋体" w:hAnsi="宋体"/>
          <w:b/>
          <w:bCs/>
          <w:szCs w:val="24"/>
        </w:rPr>
      </w:pPr>
      <w:bookmarkStart w:id="245" w:name="_Toc351203633"/>
      <w:r>
        <w:rPr>
          <w:rFonts w:ascii="宋体" w:hAnsi="宋体"/>
          <w:b/>
          <w:bCs/>
          <w:szCs w:val="24"/>
        </w:rPr>
        <w:t>1. 一般约定</w:t>
      </w:r>
      <w:bookmarkEnd w:id="245"/>
    </w:p>
    <w:p w14:paraId="66E2D415">
      <w:pPr>
        <w:pStyle w:val="158"/>
        <w:spacing w:line="500" w:lineRule="exact"/>
        <w:ind w:firstLine="480"/>
        <w:rPr>
          <w:rFonts w:ascii="宋体" w:hAnsi="宋体"/>
          <w:szCs w:val="24"/>
        </w:rPr>
      </w:pPr>
      <w:r>
        <w:rPr>
          <w:rFonts w:ascii="宋体" w:hAnsi="宋体"/>
          <w:szCs w:val="24"/>
        </w:rPr>
        <w:t>1.1 词语定义</w:t>
      </w:r>
    </w:p>
    <w:p w14:paraId="76F6BEA4">
      <w:pPr>
        <w:pStyle w:val="158"/>
        <w:spacing w:line="500" w:lineRule="exact"/>
        <w:ind w:firstLine="480"/>
        <w:rPr>
          <w:rStyle w:val="261"/>
          <w:szCs w:val="24"/>
        </w:rPr>
      </w:pPr>
      <w:r>
        <w:rPr>
          <w:rStyle w:val="261"/>
          <w:szCs w:val="24"/>
        </w:rPr>
        <w:t>1.1.1合同</w:t>
      </w:r>
    </w:p>
    <w:p w14:paraId="69DC3742">
      <w:pPr>
        <w:pStyle w:val="158"/>
        <w:spacing w:line="500" w:lineRule="exact"/>
        <w:ind w:firstLine="480"/>
        <w:rPr>
          <w:rFonts w:ascii="宋体" w:hAnsi="宋体"/>
          <w:szCs w:val="24"/>
        </w:rPr>
      </w:pPr>
      <w:r>
        <w:rPr>
          <w:rStyle w:val="261"/>
          <w:szCs w:val="24"/>
        </w:rPr>
        <w:t>1.1.1.10其他合同文件包括：</w:t>
      </w:r>
      <w:r>
        <w:rPr>
          <w:rStyle w:val="261"/>
          <w:rFonts w:hint="eastAsia"/>
          <w:szCs w:val="24"/>
        </w:rPr>
        <w:t>补充协议、发包人或监理人发布的变更指示、工程签证、会议纪要、备忘录等</w:t>
      </w:r>
      <w:r>
        <w:rPr>
          <w:rStyle w:val="261"/>
          <w:szCs w:val="24"/>
        </w:rPr>
        <w:t>。</w:t>
      </w:r>
    </w:p>
    <w:p w14:paraId="0E80CEAF">
      <w:pPr>
        <w:adjustRightInd w:val="0"/>
        <w:snapToGrid w:val="0"/>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1.1.2  </w:t>
      </w:r>
      <w:r>
        <w:rPr>
          <w:rFonts w:hint="eastAsia" w:ascii="宋体" w:hAnsi="宋体"/>
          <w:sz w:val="24"/>
          <w:szCs w:val="24"/>
        </w:rPr>
        <w:t>合同当事人和人员</w:t>
      </w:r>
    </w:p>
    <w:p w14:paraId="3E0F3D3F">
      <w:pPr>
        <w:adjustRightInd w:val="0"/>
        <w:snapToGrid w:val="0"/>
        <w:spacing w:line="500" w:lineRule="exact"/>
        <w:rPr>
          <w:rFonts w:ascii="宋体" w:hAnsi="宋体"/>
          <w:sz w:val="24"/>
          <w:szCs w:val="24"/>
        </w:rPr>
      </w:pPr>
      <w:r>
        <w:rPr>
          <w:rFonts w:ascii="宋体" w:hAnsi="宋体"/>
          <w:sz w:val="24"/>
          <w:szCs w:val="24"/>
        </w:rPr>
        <w:t xml:space="preserve">    1.1.2.2  </w:t>
      </w:r>
      <w:r>
        <w:rPr>
          <w:rFonts w:hint="eastAsia" w:ascii="宋体" w:hAnsi="宋体"/>
          <w:sz w:val="24"/>
          <w:szCs w:val="24"/>
        </w:rPr>
        <w:t>招标人：</w:t>
      </w:r>
      <w:r>
        <w:rPr>
          <w:rFonts w:ascii="宋体" w:hAnsi="宋体"/>
          <w:sz w:val="24"/>
          <w:szCs w:val="24"/>
          <w:u w:val="single"/>
        </w:rPr>
        <w:t xml:space="preserve">                                                     </w:t>
      </w:r>
    </w:p>
    <w:p w14:paraId="127969F8">
      <w:pPr>
        <w:adjustRightInd w:val="0"/>
        <w:snapToGrid w:val="0"/>
        <w:spacing w:line="500" w:lineRule="exact"/>
        <w:rPr>
          <w:rFonts w:ascii="宋体" w:hAnsi="宋体"/>
          <w:sz w:val="24"/>
          <w:szCs w:val="24"/>
        </w:rPr>
      </w:pPr>
      <w:r>
        <w:rPr>
          <w:rFonts w:ascii="宋体" w:hAnsi="宋体"/>
          <w:sz w:val="24"/>
          <w:szCs w:val="24"/>
        </w:rPr>
        <w:t xml:space="preserve">    1.1.2.3  </w:t>
      </w:r>
      <w:r>
        <w:rPr>
          <w:rFonts w:hint="eastAsia" w:ascii="宋体" w:hAnsi="宋体"/>
          <w:sz w:val="24"/>
          <w:szCs w:val="24"/>
        </w:rPr>
        <w:t>中标人：</w:t>
      </w:r>
      <w:r>
        <w:rPr>
          <w:rFonts w:ascii="宋体" w:hAnsi="宋体"/>
          <w:sz w:val="24"/>
          <w:szCs w:val="24"/>
          <w:u w:val="single"/>
        </w:rPr>
        <w:t xml:space="preserve">                                                     </w:t>
      </w:r>
    </w:p>
    <w:p w14:paraId="5E7ED2DD">
      <w:pPr>
        <w:adjustRightInd w:val="0"/>
        <w:snapToGrid w:val="0"/>
        <w:spacing w:line="500" w:lineRule="exact"/>
        <w:rPr>
          <w:rFonts w:ascii="宋体" w:hAnsi="宋体"/>
          <w:sz w:val="24"/>
          <w:szCs w:val="24"/>
        </w:rPr>
      </w:pPr>
      <w:r>
        <w:rPr>
          <w:rFonts w:ascii="宋体" w:hAnsi="宋体"/>
          <w:sz w:val="24"/>
          <w:szCs w:val="24"/>
        </w:rPr>
        <w:t xml:space="preserve">    1.1.2.6  </w:t>
      </w:r>
      <w:r>
        <w:rPr>
          <w:rFonts w:hint="eastAsia" w:ascii="宋体" w:hAnsi="宋体"/>
          <w:sz w:val="24"/>
          <w:szCs w:val="24"/>
        </w:rPr>
        <w:t>监理人：</w:t>
      </w:r>
      <w:r>
        <w:rPr>
          <w:rFonts w:ascii="宋体" w:hAnsi="宋体"/>
          <w:sz w:val="24"/>
          <w:szCs w:val="24"/>
          <w:u w:val="single"/>
        </w:rPr>
        <w:t xml:space="preserve">                                                     </w:t>
      </w:r>
    </w:p>
    <w:p w14:paraId="4504BCE7">
      <w:pPr>
        <w:adjustRightInd w:val="0"/>
        <w:snapToGrid w:val="0"/>
        <w:spacing w:line="500" w:lineRule="exact"/>
        <w:rPr>
          <w:rFonts w:ascii="宋体" w:hAnsi="宋体"/>
          <w:sz w:val="24"/>
          <w:szCs w:val="24"/>
        </w:rPr>
      </w:pPr>
      <w:r>
        <w:rPr>
          <w:rFonts w:ascii="宋体" w:hAnsi="宋体"/>
          <w:sz w:val="24"/>
          <w:szCs w:val="24"/>
        </w:rPr>
        <w:t xml:space="preserve">    1.1.3  </w:t>
      </w:r>
      <w:r>
        <w:rPr>
          <w:rFonts w:hint="eastAsia" w:ascii="宋体" w:hAnsi="宋体"/>
          <w:sz w:val="24"/>
          <w:szCs w:val="24"/>
        </w:rPr>
        <w:t>工程和设备</w:t>
      </w:r>
    </w:p>
    <w:p w14:paraId="4BEE2A11">
      <w:pPr>
        <w:adjustRightInd w:val="0"/>
        <w:snapToGrid w:val="0"/>
        <w:spacing w:line="500" w:lineRule="exact"/>
        <w:rPr>
          <w:rFonts w:ascii="宋体" w:hAnsi="宋体"/>
          <w:sz w:val="24"/>
          <w:szCs w:val="24"/>
        </w:rPr>
      </w:pPr>
      <w:r>
        <w:rPr>
          <w:rFonts w:ascii="宋体" w:hAnsi="宋体"/>
          <w:sz w:val="24"/>
          <w:szCs w:val="24"/>
        </w:rPr>
        <w:t xml:space="preserve">    1.1.3.2  </w:t>
      </w:r>
      <w:r>
        <w:rPr>
          <w:rFonts w:hint="eastAsia" w:ascii="宋体" w:hAnsi="宋体"/>
          <w:sz w:val="24"/>
          <w:szCs w:val="24"/>
        </w:rPr>
        <w:t>永久工程：</w:t>
      </w:r>
      <w:r>
        <w:rPr>
          <w:rFonts w:ascii="宋体" w:hAnsi="宋体"/>
          <w:sz w:val="24"/>
          <w:szCs w:val="24"/>
          <w:u w:val="single"/>
        </w:rPr>
        <w:t xml:space="preserve">                                                   </w:t>
      </w:r>
    </w:p>
    <w:p w14:paraId="1B9A7B81">
      <w:pPr>
        <w:adjustRightInd w:val="0"/>
        <w:snapToGrid w:val="0"/>
        <w:spacing w:line="500" w:lineRule="exact"/>
        <w:ind w:firstLine="435"/>
        <w:rPr>
          <w:rFonts w:ascii="宋体" w:hAnsi="宋体"/>
          <w:sz w:val="24"/>
          <w:szCs w:val="24"/>
          <w:u w:val="single"/>
        </w:rPr>
      </w:pPr>
      <w:r>
        <w:rPr>
          <w:rFonts w:ascii="宋体" w:hAnsi="宋体"/>
          <w:sz w:val="24"/>
          <w:szCs w:val="24"/>
        </w:rPr>
        <w:t xml:space="preserve">1.1.3.3  </w:t>
      </w:r>
      <w:r>
        <w:rPr>
          <w:rFonts w:hint="eastAsia" w:ascii="宋体" w:hAnsi="宋体"/>
          <w:sz w:val="24"/>
          <w:szCs w:val="24"/>
        </w:rPr>
        <w:t>临时工程：</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p>
    <w:p w14:paraId="22D9E4E2">
      <w:pPr>
        <w:adjustRightInd w:val="0"/>
        <w:snapToGrid w:val="0"/>
        <w:spacing w:line="500" w:lineRule="exact"/>
        <w:ind w:firstLine="435"/>
        <w:rPr>
          <w:rFonts w:ascii="宋体" w:hAnsi="宋体"/>
          <w:sz w:val="24"/>
          <w:szCs w:val="24"/>
        </w:rPr>
      </w:pPr>
      <w:r>
        <w:rPr>
          <w:rFonts w:ascii="宋体" w:hAnsi="宋体"/>
          <w:sz w:val="24"/>
          <w:szCs w:val="24"/>
        </w:rPr>
        <w:t xml:space="preserve">1.1.3.4  </w:t>
      </w:r>
      <w:r>
        <w:rPr>
          <w:rFonts w:hint="eastAsia" w:ascii="宋体" w:hAnsi="宋体"/>
          <w:sz w:val="24"/>
          <w:szCs w:val="24"/>
        </w:rPr>
        <w:t>单位工程：</w:t>
      </w:r>
      <w:r>
        <w:rPr>
          <w:rFonts w:ascii="宋体" w:hAnsi="宋体"/>
          <w:sz w:val="24"/>
          <w:szCs w:val="24"/>
          <w:u w:val="single"/>
        </w:rPr>
        <w:t xml:space="preserve">    根据工程实际确定      </w:t>
      </w:r>
    </w:p>
    <w:p w14:paraId="4D923FB1">
      <w:pPr>
        <w:adjustRightInd w:val="0"/>
        <w:snapToGrid w:val="0"/>
        <w:spacing w:line="500" w:lineRule="exact"/>
        <w:rPr>
          <w:rFonts w:ascii="宋体" w:hAnsi="宋体"/>
          <w:sz w:val="24"/>
          <w:szCs w:val="24"/>
        </w:rPr>
      </w:pPr>
      <w:r>
        <w:rPr>
          <w:rFonts w:ascii="宋体" w:hAnsi="宋体"/>
          <w:sz w:val="24"/>
          <w:szCs w:val="24"/>
        </w:rPr>
        <w:t xml:space="preserve">    1.1.3.10  </w:t>
      </w:r>
      <w:r>
        <w:rPr>
          <w:rFonts w:hint="eastAsia" w:ascii="宋体" w:hAnsi="宋体"/>
          <w:sz w:val="24"/>
          <w:szCs w:val="24"/>
        </w:rPr>
        <w:t>永久占地：</w:t>
      </w:r>
      <w:r>
        <w:rPr>
          <w:rFonts w:ascii="宋体" w:hAnsi="宋体"/>
          <w:sz w:val="24"/>
          <w:szCs w:val="24"/>
          <w:u w:val="single"/>
        </w:rPr>
        <w:t xml:space="preserve">                                                  </w:t>
      </w:r>
    </w:p>
    <w:p w14:paraId="5C601C6D">
      <w:pPr>
        <w:adjustRightInd w:val="0"/>
        <w:snapToGrid w:val="0"/>
        <w:spacing w:line="500" w:lineRule="exact"/>
        <w:rPr>
          <w:rFonts w:ascii="宋体" w:hAnsi="宋体"/>
          <w:sz w:val="24"/>
          <w:szCs w:val="24"/>
        </w:rPr>
      </w:pPr>
      <w:r>
        <w:rPr>
          <w:rFonts w:ascii="宋体" w:hAnsi="宋体"/>
          <w:sz w:val="24"/>
          <w:szCs w:val="24"/>
        </w:rPr>
        <w:t xml:space="preserve">    1.1.3.11  </w:t>
      </w:r>
      <w:r>
        <w:rPr>
          <w:rFonts w:hint="eastAsia" w:ascii="宋体" w:hAnsi="宋体"/>
          <w:sz w:val="24"/>
          <w:szCs w:val="24"/>
        </w:rPr>
        <w:t>临时占地：</w:t>
      </w:r>
      <w:r>
        <w:rPr>
          <w:rFonts w:ascii="宋体" w:hAnsi="宋体"/>
          <w:sz w:val="24"/>
          <w:szCs w:val="24"/>
          <w:u w:val="single"/>
        </w:rPr>
        <w:t xml:space="preserve">                                                  </w:t>
      </w:r>
    </w:p>
    <w:p w14:paraId="7E16B81F">
      <w:pPr>
        <w:adjustRightInd w:val="0"/>
        <w:snapToGrid w:val="0"/>
        <w:spacing w:line="500" w:lineRule="exact"/>
        <w:rPr>
          <w:rFonts w:ascii="宋体" w:hAnsi="宋体"/>
          <w:sz w:val="24"/>
          <w:szCs w:val="24"/>
        </w:rPr>
      </w:pPr>
      <w:r>
        <w:rPr>
          <w:rFonts w:ascii="宋体" w:hAnsi="宋体"/>
          <w:sz w:val="24"/>
          <w:szCs w:val="24"/>
        </w:rPr>
        <w:t xml:space="preserve">    1.1.4  </w:t>
      </w:r>
      <w:r>
        <w:rPr>
          <w:rFonts w:hint="eastAsia" w:ascii="宋体" w:hAnsi="宋体"/>
          <w:sz w:val="24"/>
          <w:szCs w:val="24"/>
        </w:rPr>
        <w:t>日期</w:t>
      </w:r>
    </w:p>
    <w:p w14:paraId="6B765DB6">
      <w:pPr>
        <w:adjustRightInd w:val="0"/>
        <w:snapToGrid w:val="0"/>
        <w:spacing w:line="500" w:lineRule="exact"/>
        <w:ind w:firstLine="420"/>
        <w:rPr>
          <w:rFonts w:ascii="宋体" w:hAnsi="宋体"/>
          <w:sz w:val="24"/>
          <w:szCs w:val="24"/>
          <w:u w:val="single"/>
        </w:rPr>
      </w:pPr>
      <w:r>
        <w:rPr>
          <w:rFonts w:ascii="宋体" w:hAnsi="宋体"/>
          <w:sz w:val="24"/>
          <w:szCs w:val="24"/>
        </w:rPr>
        <w:t xml:space="preserve">1.1.4.5 </w:t>
      </w:r>
      <w:r>
        <w:rPr>
          <w:rFonts w:hint="eastAsia" w:ascii="宋体" w:hAnsi="宋体"/>
          <w:sz w:val="24"/>
          <w:szCs w:val="24"/>
        </w:rPr>
        <w:t>缺陷责任期：</w:t>
      </w:r>
      <w:r>
        <w:rPr>
          <w:rFonts w:hint="eastAsia" w:ascii="宋体" w:hAnsi="宋体"/>
          <w:sz w:val="24"/>
          <w:szCs w:val="24"/>
          <w:u w:val="single"/>
        </w:rPr>
        <w:t>24个月</w:t>
      </w:r>
    </w:p>
    <w:p w14:paraId="7547B1D3">
      <w:pPr>
        <w:spacing w:line="500" w:lineRule="exact"/>
        <w:rPr>
          <w:rFonts w:ascii="宋体" w:hAnsi="宋体"/>
          <w:sz w:val="24"/>
          <w:szCs w:val="24"/>
        </w:rPr>
      </w:pPr>
      <w:bookmarkStart w:id="246" w:name="_Toc351203634"/>
      <w:r>
        <w:rPr>
          <w:rFonts w:hint="eastAsia" w:ascii="宋体" w:hAnsi="宋体"/>
          <w:b/>
          <w:bCs/>
          <w:sz w:val="24"/>
          <w:szCs w:val="24"/>
        </w:rPr>
        <w:t xml:space="preserve">    </w:t>
      </w:r>
      <w:r>
        <w:rPr>
          <w:rFonts w:ascii="宋体" w:hAnsi="宋体"/>
          <w:b/>
          <w:bCs/>
          <w:sz w:val="24"/>
          <w:szCs w:val="24"/>
        </w:rPr>
        <w:t>1.</w:t>
      </w:r>
      <w:r>
        <w:rPr>
          <w:rFonts w:hint="eastAsia" w:ascii="宋体" w:hAnsi="宋体"/>
          <w:b/>
          <w:bCs/>
          <w:sz w:val="24"/>
          <w:szCs w:val="24"/>
        </w:rPr>
        <w:t>4</w:t>
      </w:r>
      <w:r>
        <w:rPr>
          <w:rFonts w:ascii="宋体" w:hAnsi="宋体"/>
          <w:b/>
          <w:bCs/>
          <w:sz w:val="24"/>
          <w:szCs w:val="24"/>
        </w:rPr>
        <w:t xml:space="preserve">  合同文件的优先顺序 </w:t>
      </w:r>
      <w:r>
        <w:rPr>
          <w:rFonts w:ascii="宋体" w:hAnsi="宋体"/>
          <w:sz w:val="24"/>
          <w:szCs w:val="24"/>
        </w:rPr>
        <w:t xml:space="preserve">                                                  </w:t>
      </w:r>
    </w:p>
    <w:p w14:paraId="1E97A170">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合同文件的优先顺序：施工工程中的书面补充协议；本合同协议书；中标通知书；本合同专用条款；招标文件及附件；本合同通用条款；投标书及其附件；标准、规范及有关技术文件；图纸；已标价工程量清单及其单价分析表；经招标人和监理批准的施工组织设计和方案。</w:t>
      </w:r>
    </w:p>
    <w:p w14:paraId="677BD3D4">
      <w:pPr>
        <w:spacing w:line="500" w:lineRule="exact"/>
        <w:rPr>
          <w:rFonts w:ascii="宋体" w:hAnsi="宋体"/>
          <w:b/>
          <w:bCs/>
          <w:sz w:val="24"/>
          <w:szCs w:val="24"/>
        </w:rPr>
      </w:pPr>
      <w:r>
        <w:rPr>
          <w:rFonts w:hint="eastAsia" w:ascii="宋体" w:hAnsi="宋体"/>
          <w:b/>
          <w:bCs/>
          <w:sz w:val="24"/>
          <w:szCs w:val="24"/>
        </w:rPr>
        <w:t xml:space="preserve">    </w:t>
      </w:r>
      <w:r>
        <w:rPr>
          <w:rFonts w:ascii="宋体" w:hAnsi="宋体"/>
          <w:b/>
          <w:bCs/>
          <w:sz w:val="24"/>
          <w:szCs w:val="24"/>
        </w:rPr>
        <w:t>1.</w:t>
      </w:r>
      <w:r>
        <w:rPr>
          <w:rFonts w:hint="eastAsia" w:ascii="宋体" w:hAnsi="宋体"/>
          <w:b/>
          <w:bCs/>
          <w:sz w:val="24"/>
          <w:szCs w:val="24"/>
        </w:rPr>
        <w:t xml:space="preserve">5 </w:t>
      </w:r>
      <w:r>
        <w:rPr>
          <w:rFonts w:ascii="宋体" w:hAnsi="宋体"/>
          <w:b/>
          <w:bCs/>
          <w:sz w:val="24"/>
          <w:szCs w:val="24"/>
        </w:rPr>
        <w:t xml:space="preserve"> 合同生效的条件</w:t>
      </w:r>
    </w:p>
    <w:p w14:paraId="0523E37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合同生效的条件：中标人提交履约保证金后，双方签订合同后生效。    </w:t>
      </w:r>
    </w:p>
    <w:p w14:paraId="21A0B8D8">
      <w:pPr>
        <w:spacing w:line="500" w:lineRule="exact"/>
        <w:rPr>
          <w:rFonts w:ascii="宋体" w:hAnsi="宋体"/>
          <w:b/>
          <w:bCs/>
          <w:sz w:val="24"/>
          <w:szCs w:val="24"/>
        </w:rPr>
      </w:pPr>
      <w:r>
        <w:rPr>
          <w:rFonts w:ascii="宋体" w:hAnsi="宋体"/>
          <w:b/>
          <w:bCs/>
          <w:sz w:val="24"/>
          <w:szCs w:val="24"/>
        </w:rPr>
        <w:t>1.6  图纸和中标人文件</w:t>
      </w:r>
    </w:p>
    <w:p w14:paraId="1EE51B0D">
      <w:pPr>
        <w:spacing w:line="500" w:lineRule="exact"/>
        <w:rPr>
          <w:rFonts w:ascii="宋体" w:hAnsi="宋体"/>
          <w:sz w:val="24"/>
          <w:szCs w:val="24"/>
        </w:rPr>
      </w:pPr>
      <w:r>
        <w:rPr>
          <w:rFonts w:ascii="宋体" w:hAnsi="宋体"/>
          <w:sz w:val="24"/>
          <w:szCs w:val="24"/>
        </w:rPr>
        <w:t xml:space="preserve">    1.6.1  招标人提供图纸的期限、数量：合同签订后2日内向中标人提供图纸肆套。      </w:t>
      </w:r>
    </w:p>
    <w:p w14:paraId="712EC68D">
      <w:pPr>
        <w:spacing w:line="500" w:lineRule="exact"/>
        <w:rPr>
          <w:rFonts w:ascii="宋体" w:hAnsi="宋体"/>
          <w:sz w:val="24"/>
          <w:szCs w:val="24"/>
        </w:rPr>
      </w:pPr>
      <w:r>
        <w:rPr>
          <w:rFonts w:ascii="宋体" w:hAnsi="宋体"/>
          <w:sz w:val="24"/>
          <w:szCs w:val="24"/>
        </w:rPr>
        <w:t xml:space="preserve">    1.6.2  中标人提供的文件范围：按通用条款执行          </w:t>
      </w:r>
    </w:p>
    <w:p w14:paraId="373D0886">
      <w:pPr>
        <w:spacing w:line="500" w:lineRule="exact"/>
        <w:rPr>
          <w:rFonts w:ascii="宋体" w:hAnsi="宋体"/>
          <w:sz w:val="24"/>
          <w:szCs w:val="24"/>
        </w:rPr>
      </w:pPr>
      <w:r>
        <w:rPr>
          <w:rFonts w:ascii="宋体" w:hAnsi="宋体"/>
          <w:sz w:val="24"/>
          <w:szCs w:val="24"/>
        </w:rPr>
        <w:t xml:space="preserve">    中标人提供文件的期限、数量：根据实际需要确定                 </w:t>
      </w:r>
    </w:p>
    <w:p w14:paraId="4869991F">
      <w:pPr>
        <w:spacing w:line="500" w:lineRule="exact"/>
        <w:rPr>
          <w:rFonts w:ascii="宋体" w:hAnsi="宋体"/>
          <w:sz w:val="24"/>
          <w:szCs w:val="24"/>
        </w:rPr>
      </w:pPr>
      <w:r>
        <w:rPr>
          <w:rFonts w:ascii="宋体" w:hAnsi="宋体"/>
          <w:sz w:val="24"/>
          <w:szCs w:val="24"/>
        </w:rPr>
        <w:t xml:space="preserve">    监理人批复中标人提供文件的期限：收到中标人提供的文件后</w:t>
      </w:r>
      <w:r>
        <w:rPr>
          <w:rFonts w:hint="eastAsia" w:ascii="宋体" w:hAnsi="宋体"/>
          <w:sz w:val="24"/>
          <w:szCs w:val="24"/>
        </w:rPr>
        <w:t>7</w:t>
      </w:r>
      <w:r>
        <w:rPr>
          <w:rFonts w:ascii="宋体" w:hAnsi="宋体"/>
          <w:sz w:val="24"/>
          <w:szCs w:val="24"/>
        </w:rPr>
        <w:t>天内。</w:t>
      </w:r>
    </w:p>
    <w:p w14:paraId="5D9EC49B">
      <w:pPr>
        <w:spacing w:line="500" w:lineRule="exact"/>
        <w:rPr>
          <w:rFonts w:ascii="宋体" w:hAnsi="宋体"/>
          <w:sz w:val="24"/>
          <w:szCs w:val="24"/>
        </w:rPr>
      </w:pPr>
      <w:r>
        <w:rPr>
          <w:rFonts w:ascii="宋体" w:hAnsi="宋体"/>
          <w:sz w:val="24"/>
          <w:szCs w:val="24"/>
        </w:rPr>
        <w:t xml:space="preserve">    1.6.3  监理人签发图纸修改的期限：该项工作施工前7天。   </w:t>
      </w:r>
    </w:p>
    <w:bookmarkEnd w:id="246"/>
    <w:p w14:paraId="2540067F">
      <w:pPr>
        <w:spacing w:line="500" w:lineRule="exact"/>
        <w:rPr>
          <w:rFonts w:ascii="宋体" w:hAnsi="宋体"/>
          <w:b/>
          <w:bCs/>
          <w:sz w:val="24"/>
          <w:szCs w:val="24"/>
        </w:rPr>
      </w:pPr>
      <w:bookmarkStart w:id="247" w:name="_Toc410381402"/>
      <w:bookmarkStart w:id="248" w:name="_Toc442514365"/>
      <w:bookmarkStart w:id="249" w:name="_Toc446108025"/>
      <w:bookmarkStart w:id="250" w:name="_Toc361653985"/>
      <w:bookmarkStart w:id="251" w:name="_Toc351203635"/>
      <w:r>
        <w:rPr>
          <w:rFonts w:ascii="宋体" w:hAnsi="宋体"/>
          <w:b/>
          <w:bCs/>
          <w:sz w:val="24"/>
          <w:szCs w:val="24"/>
        </w:rPr>
        <w:t>2.  招标人义务</w:t>
      </w:r>
      <w:bookmarkEnd w:id="247"/>
      <w:bookmarkEnd w:id="248"/>
      <w:bookmarkEnd w:id="249"/>
      <w:bookmarkEnd w:id="250"/>
    </w:p>
    <w:p w14:paraId="103F26C0">
      <w:pPr>
        <w:spacing w:line="500" w:lineRule="exact"/>
        <w:rPr>
          <w:rFonts w:ascii="宋体" w:hAnsi="宋体"/>
          <w:b/>
          <w:bCs/>
          <w:sz w:val="24"/>
          <w:szCs w:val="24"/>
        </w:rPr>
      </w:pPr>
      <w:r>
        <w:rPr>
          <w:rFonts w:ascii="宋体" w:hAnsi="宋体"/>
          <w:b/>
          <w:bCs/>
          <w:sz w:val="24"/>
          <w:szCs w:val="24"/>
        </w:rPr>
        <w:t>2.3  提供施工场地</w:t>
      </w:r>
    </w:p>
    <w:p w14:paraId="43B41ABE">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招标人提供施工场地和有关资料的时间：发出开工通知前提供。          </w:t>
      </w:r>
    </w:p>
    <w:p w14:paraId="452EBE7C">
      <w:pPr>
        <w:spacing w:line="500" w:lineRule="exact"/>
        <w:rPr>
          <w:rFonts w:ascii="宋体" w:hAnsi="宋体"/>
          <w:b/>
          <w:bCs/>
          <w:sz w:val="24"/>
          <w:szCs w:val="24"/>
        </w:rPr>
      </w:pPr>
      <w:bookmarkStart w:id="252" w:name="_Toc346896521"/>
      <w:bookmarkStart w:id="253" w:name="_Toc253651577"/>
      <w:bookmarkStart w:id="254" w:name="_Toc236130790"/>
      <w:r>
        <w:rPr>
          <w:rFonts w:ascii="宋体" w:hAnsi="宋体"/>
          <w:b/>
          <w:bCs/>
          <w:sz w:val="24"/>
          <w:szCs w:val="24"/>
        </w:rPr>
        <w:t>2.5组织设计交底</w:t>
      </w:r>
      <w:bookmarkEnd w:id="252"/>
      <w:bookmarkEnd w:id="253"/>
      <w:bookmarkEnd w:id="254"/>
    </w:p>
    <w:p w14:paraId="5492E069">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施工图纸到现场后48小时内，由监理单位组织相关人员进行图纸会审和技术交底。</w:t>
      </w:r>
    </w:p>
    <w:p w14:paraId="00BFC646">
      <w:pPr>
        <w:tabs>
          <w:tab w:val="left" w:pos="2835"/>
        </w:tabs>
        <w:spacing w:line="500" w:lineRule="exact"/>
        <w:rPr>
          <w:rFonts w:ascii="宋体" w:hAnsi="宋体"/>
          <w:sz w:val="24"/>
          <w:szCs w:val="24"/>
        </w:rPr>
      </w:pPr>
      <w:bookmarkStart w:id="255" w:name="_Toc253651578"/>
      <w:bookmarkStart w:id="256" w:name="_Toc346896522"/>
      <w:r>
        <w:rPr>
          <w:rFonts w:ascii="宋体" w:hAnsi="宋体"/>
          <w:b/>
          <w:bCs/>
          <w:sz w:val="24"/>
          <w:szCs w:val="24"/>
        </w:rPr>
        <w:t>2.8 其他义务</w:t>
      </w:r>
      <w:bookmarkEnd w:id="255"/>
      <w:bookmarkEnd w:id="256"/>
      <w:r>
        <w:rPr>
          <w:rFonts w:ascii="宋体" w:hAnsi="宋体"/>
          <w:b/>
          <w:bCs/>
          <w:sz w:val="24"/>
          <w:szCs w:val="24"/>
        </w:rPr>
        <w:t xml:space="preserve"> </w:t>
      </w:r>
      <w:r>
        <w:rPr>
          <w:rFonts w:ascii="宋体" w:hAnsi="宋体"/>
          <w:sz w:val="24"/>
          <w:szCs w:val="24"/>
        </w:rPr>
        <w:tab/>
      </w:r>
    </w:p>
    <w:p w14:paraId="23F9811D">
      <w:pPr>
        <w:spacing w:line="500" w:lineRule="exact"/>
        <w:rPr>
          <w:rFonts w:ascii="宋体" w:hAnsi="宋体"/>
          <w:sz w:val="24"/>
          <w:szCs w:val="24"/>
        </w:rPr>
      </w:pPr>
      <w:r>
        <w:rPr>
          <w:rFonts w:ascii="宋体" w:hAnsi="宋体"/>
          <w:sz w:val="24"/>
          <w:szCs w:val="24"/>
        </w:rPr>
        <w:t>2.8.1双方约定招标人应做的其他工作：双方协商。</w:t>
      </w:r>
    </w:p>
    <w:p w14:paraId="135176DB">
      <w:pPr>
        <w:tabs>
          <w:tab w:val="left" w:pos="2835"/>
        </w:tabs>
        <w:spacing w:line="500" w:lineRule="exact"/>
        <w:rPr>
          <w:rFonts w:ascii="宋体" w:hAnsi="宋体"/>
          <w:b/>
          <w:bCs/>
          <w:sz w:val="24"/>
          <w:szCs w:val="24"/>
        </w:rPr>
      </w:pPr>
      <w:bookmarkStart w:id="257" w:name="_Toc346896523"/>
      <w:r>
        <w:rPr>
          <w:rFonts w:ascii="宋体" w:hAnsi="宋体"/>
          <w:b/>
          <w:bCs/>
          <w:sz w:val="24"/>
          <w:szCs w:val="24"/>
        </w:rPr>
        <w:t>2.9 招标人委派的驻工地代表</w:t>
      </w:r>
      <w:bookmarkEnd w:id="257"/>
    </w:p>
    <w:p w14:paraId="35DB70F7">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姓名：</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r>
        <w:rPr>
          <w:rFonts w:ascii="宋体" w:hAnsi="宋体"/>
          <w:sz w:val="24"/>
          <w:szCs w:val="24"/>
        </w:rPr>
        <w:t>职务:</w:t>
      </w:r>
      <w:r>
        <w:rPr>
          <w:rFonts w:ascii="宋体" w:hAnsi="宋体"/>
          <w:sz w:val="24"/>
          <w:szCs w:val="24"/>
        </w:rPr>
        <w:softHyphen/>
      </w:r>
      <w:r>
        <w:rPr>
          <w:rFonts w:ascii="宋体" w:hAnsi="宋体"/>
          <w:sz w:val="24"/>
          <w:szCs w:val="24"/>
        </w:rPr>
        <w:softHyphen/>
      </w:r>
      <w:r>
        <w:rPr>
          <w:rFonts w:ascii="宋体" w:hAnsi="宋体"/>
          <w:sz w:val="24"/>
          <w:szCs w:val="24"/>
        </w:rPr>
        <w:t xml:space="preserve"> </w:t>
      </w:r>
      <w:r>
        <w:rPr>
          <w:rFonts w:ascii="宋体" w:hAnsi="宋体"/>
          <w:sz w:val="24"/>
          <w:szCs w:val="24"/>
          <w:u w:val="single"/>
        </w:rPr>
        <w:t xml:space="preserve">     </w:t>
      </w:r>
      <w:r>
        <w:rPr>
          <w:rFonts w:hint="eastAsia" w:ascii="宋体" w:hAnsi="宋体"/>
          <w:sz w:val="24"/>
          <w:szCs w:val="24"/>
          <w:u w:val="single"/>
        </w:rPr>
        <w:t xml:space="preserve">    </w:t>
      </w:r>
      <w:r>
        <w:rPr>
          <w:rFonts w:ascii="宋体" w:hAnsi="宋体"/>
          <w:sz w:val="24"/>
          <w:szCs w:val="24"/>
          <w:u w:val="single"/>
        </w:rPr>
        <w:t xml:space="preserve">  </w:t>
      </w:r>
    </w:p>
    <w:p w14:paraId="3B9B3DC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职权：</w:t>
      </w:r>
      <w:r>
        <w:rPr>
          <w:rFonts w:ascii="宋体" w:hAnsi="宋体"/>
          <w:sz w:val="24"/>
          <w:szCs w:val="24"/>
          <w:u w:val="single"/>
        </w:rPr>
        <w:t>代表招标人对本工程施工过程的质量、进度、造价、安全文明施工等进行监督和检查，协调解决由招标人处理的有关问题，并对工程质量和现场签证进行确认。</w:t>
      </w:r>
    </w:p>
    <w:p w14:paraId="4534B20B">
      <w:pPr>
        <w:spacing w:line="500" w:lineRule="exact"/>
        <w:rPr>
          <w:rFonts w:ascii="宋体" w:hAnsi="宋体"/>
          <w:b/>
          <w:bCs/>
          <w:sz w:val="24"/>
          <w:szCs w:val="24"/>
        </w:rPr>
      </w:pPr>
      <w:bookmarkStart w:id="258" w:name="_Toc442514366"/>
      <w:bookmarkStart w:id="259" w:name="_Toc361653986"/>
      <w:bookmarkStart w:id="260" w:name="_Toc446108026"/>
      <w:bookmarkStart w:id="261" w:name="_Toc410381403"/>
      <w:r>
        <w:rPr>
          <w:rFonts w:ascii="宋体" w:hAnsi="宋体"/>
          <w:b/>
          <w:bCs/>
          <w:sz w:val="24"/>
          <w:szCs w:val="24"/>
        </w:rPr>
        <w:t>3.  监理人</w:t>
      </w:r>
      <w:bookmarkEnd w:id="258"/>
      <w:bookmarkEnd w:id="259"/>
      <w:bookmarkEnd w:id="260"/>
      <w:bookmarkEnd w:id="261"/>
    </w:p>
    <w:p w14:paraId="57FDF617">
      <w:pPr>
        <w:spacing w:line="500" w:lineRule="exact"/>
        <w:rPr>
          <w:rFonts w:ascii="宋体" w:hAnsi="宋体"/>
          <w:b/>
          <w:bCs/>
          <w:sz w:val="24"/>
          <w:szCs w:val="24"/>
        </w:rPr>
      </w:pPr>
      <w:r>
        <w:rPr>
          <w:rFonts w:ascii="宋体" w:hAnsi="宋体"/>
          <w:b/>
          <w:bCs/>
          <w:sz w:val="24"/>
          <w:szCs w:val="24"/>
        </w:rPr>
        <w:t>3.1  监理人的职责和权力</w:t>
      </w:r>
    </w:p>
    <w:p w14:paraId="6E9DCF20">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姓名：</w:t>
      </w:r>
      <w:r>
        <w:rPr>
          <w:rFonts w:ascii="宋体" w:hAnsi="宋体"/>
          <w:sz w:val="24"/>
          <w:szCs w:val="24"/>
          <w:u w:val="single"/>
        </w:rPr>
        <w:t xml:space="preserve">         </w:t>
      </w:r>
      <w:r>
        <w:rPr>
          <w:rFonts w:ascii="宋体" w:hAnsi="宋体"/>
          <w:sz w:val="24"/>
          <w:szCs w:val="24"/>
        </w:rPr>
        <w:t>职务：</w:t>
      </w:r>
      <w:r>
        <w:rPr>
          <w:rFonts w:ascii="宋体" w:hAnsi="宋体"/>
          <w:sz w:val="24"/>
          <w:szCs w:val="24"/>
          <w:u w:val="single"/>
        </w:rPr>
        <w:t xml:space="preserve">           </w:t>
      </w:r>
    </w:p>
    <w:p w14:paraId="3B2A68F2">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招标人委托的职权：</w:t>
      </w:r>
      <w:r>
        <w:rPr>
          <w:rFonts w:ascii="宋体" w:hAnsi="宋体"/>
          <w:sz w:val="24"/>
          <w:szCs w:val="24"/>
          <w:u w:val="single"/>
        </w:rPr>
        <w:t xml:space="preserve">对本工程的施工质量、进度、安全文明施工、合同管理等实施控制和监理。对隐蔽工程对施工质量进行验收，对施工环境进行协调、管理和处理。   </w:t>
      </w:r>
      <w:r>
        <w:rPr>
          <w:rFonts w:ascii="宋体" w:hAnsi="宋体"/>
          <w:sz w:val="24"/>
          <w:szCs w:val="24"/>
        </w:rPr>
        <w:t xml:space="preserve">   </w:t>
      </w:r>
    </w:p>
    <w:bookmarkEnd w:id="251"/>
    <w:p w14:paraId="4421CF6C">
      <w:pPr>
        <w:spacing w:line="500" w:lineRule="exact"/>
        <w:rPr>
          <w:rFonts w:ascii="宋体" w:hAnsi="宋体"/>
          <w:b/>
          <w:bCs/>
          <w:sz w:val="24"/>
          <w:szCs w:val="24"/>
        </w:rPr>
      </w:pPr>
      <w:bookmarkStart w:id="262" w:name="_Toc446108027"/>
      <w:r>
        <w:rPr>
          <w:rFonts w:ascii="宋体" w:hAnsi="宋体"/>
          <w:b/>
          <w:bCs/>
          <w:sz w:val="24"/>
          <w:szCs w:val="24"/>
        </w:rPr>
        <w:t>4.  中标人</w:t>
      </w:r>
      <w:bookmarkEnd w:id="262"/>
    </w:p>
    <w:p w14:paraId="5D74AE82">
      <w:pPr>
        <w:spacing w:line="500" w:lineRule="exact"/>
        <w:rPr>
          <w:rFonts w:ascii="宋体" w:hAnsi="宋体"/>
          <w:b/>
          <w:bCs/>
          <w:sz w:val="24"/>
          <w:szCs w:val="24"/>
        </w:rPr>
      </w:pPr>
      <w:r>
        <w:rPr>
          <w:rFonts w:ascii="宋体" w:hAnsi="宋体"/>
          <w:b/>
          <w:bCs/>
          <w:sz w:val="24"/>
          <w:szCs w:val="24"/>
        </w:rPr>
        <w:t>4.1  中标人的一般义务</w:t>
      </w:r>
    </w:p>
    <w:p w14:paraId="5A2841A9">
      <w:pPr>
        <w:spacing w:line="500" w:lineRule="exact"/>
        <w:rPr>
          <w:rFonts w:ascii="宋体" w:hAnsi="宋体"/>
          <w:sz w:val="24"/>
          <w:szCs w:val="24"/>
        </w:rPr>
      </w:pPr>
      <w:r>
        <w:rPr>
          <w:rFonts w:ascii="宋体" w:hAnsi="宋体"/>
          <w:sz w:val="24"/>
          <w:szCs w:val="24"/>
        </w:rPr>
        <w:t xml:space="preserve">    4.1.8  为他人提供方便</w:t>
      </w:r>
    </w:p>
    <w:p w14:paraId="28003617">
      <w:pPr>
        <w:snapToGrid w:val="0"/>
        <w:spacing w:line="360" w:lineRule="auto"/>
        <w:rPr>
          <w:rFonts w:ascii="宋体" w:hAnsi="宋体"/>
          <w:sz w:val="24"/>
          <w:szCs w:val="24"/>
          <w:u w:val="single"/>
        </w:rPr>
      </w:pPr>
      <w:r>
        <w:rPr>
          <w:rFonts w:hint="eastAsia" w:ascii="宋体" w:hAnsi="宋体"/>
          <w:sz w:val="24"/>
          <w:szCs w:val="24"/>
        </w:rPr>
        <w:t xml:space="preserve">  </w:t>
      </w:r>
      <w:r>
        <w:rPr>
          <w:rFonts w:ascii="宋体" w:hAnsi="宋体"/>
          <w:sz w:val="24"/>
          <w:szCs w:val="24"/>
        </w:rPr>
        <w:t xml:space="preserve"> 中标人为他人提供条件的内容：</w:t>
      </w:r>
      <w:r>
        <w:rPr>
          <w:rFonts w:hint="eastAsia" w:ascii="宋体" w:hAnsi="宋体"/>
          <w:sz w:val="24"/>
          <w:szCs w:val="24"/>
          <w:u w:val="single"/>
        </w:rPr>
        <w:t>自行协调施工现场现状，配合其他</w:t>
      </w:r>
      <w:r>
        <w:rPr>
          <w:rFonts w:ascii="宋体" w:hAnsi="宋体"/>
          <w:sz w:val="24"/>
          <w:szCs w:val="24"/>
          <w:u w:val="single"/>
        </w:rPr>
        <w:t>工程施工单位施工。</w:t>
      </w:r>
    </w:p>
    <w:p w14:paraId="1BF559B8">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中标人为他人提供条件可能发生费用的处理方法：</w:t>
      </w:r>
      <w:r>
        <w:rPr>
          <w:rFonts w:ascii="宋体" w:hAnsi="宋体"/>
          <w:sz w:val="24"/>
          <w:szCs w:val="24"/>
          <w:u w:val="single"/>
        </w:rPr>
        <w:t>由中标人自行承担</w:t>
      </w:r>
      <w:r>
        <w:rPr>
          <w:rFonts w:ascii="宋体" w:hAnsi="宋体"/>
          <w:sz w:val="24"/>
          <w:szCs w:val="24"/>
        </w:rPr>
        <w:t xml:space="preserve">。     </w:t>
      </w:r>
    </w:p>
    <w:p w14:paraId="4563DC0F">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4.1.9已竣工工程未交付招标人之前，中标人负责该工程以及相关设施的保护工作，保护期间发生损坏，中标人自费予以修复；已竣工的工程未交付招标人之前，中标人应负责成品保护工作，因保护不力造成的经济损失和责任由中标人承担。已完工程成品保护的特殊要求由中标人做出详细方案，并落实到位，确保成品完好，费用由中标人负担。</w:t>
      </w:r>
    </w:p>
    <w:p w14:paraId="4ABDA67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4.1.10.1遵守政府有关主管部门对施工场地交通、施工噪音以及环境保护和安全生产等的管理规定，按规定办理有关手续，并以书面形式通知招标人。</w:t>
      </w:r>
    </w:p>
    <w:p w14:paraId="49A8FB6F">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①需要办理交通特别通行证时，由</w:t>
      </w:r>
      <w:r>
        <w:rPr>
          <w:rFonts w:hint="eastAsia" w:ascii="宋体" w:hAnsi="宋体"/>
          <w:sz w:val="24"/>
          <w:szCs w:val="24"/>
          <w:u w:val="single"/>
        </w:rPr>
        <w:t>招标人协助，</w:t>
      </w:r>
      <w:r>
        <w:rPr>
          <w:rFonts w:ascii="宋体" w:hAnsi="宋体"/>
          <w:sz w:val="24"/>
          <w:szCs w:val="24"/>
          <w:u w:val="single"/>
        </w:rPr>
        <w:t>中标人负责办证；</w:t>
      </w:r>
    </w:p>
    <w:p w14:paraId="1AAB0077">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②施工现场需要排放有害污水时，由中标人办理有关手续；</w:t>
      </w:r>
    </w:p>
    <w:p w14:paraId="1157A486">
      <w:pPr>
        <w:spacing w:line="500" w:lineRule="exact"/>
        <w:rPr>
          <w:rFonts w:ascii="宋体" w:hAnsi="宋体"/>
          <w:sz w:val="24"/>
          <w:szCs w:val="24"/>
          <w:u w:val="single"/>
        </w:rPr>
      </w:pPr>
      <w:r>
        <w:rPr>
          <w:rFonts w:ascii="宋体" w:hAnsi="宋体"/>
          <w:sz w:val="24"/>
          <w:szCs w:val="24"/>
        </w:rPr>
        <w:t xml:space="preserve">   </w:t>
      </w:r>
      <w:r>
        <w:rPr>
          <w:rFonts w:ascii="宋体" w:hAnsi="宋体"/>
          <w:sz w:val="24"/>
          <w:szCs w:val="24"/>
          <w:u w:val="single"/>
        </w:rPr>
        <w:t xml:space="preserve"> ③施工噪音超过当地主管部门的规定时，由中标人提出措施；</w:t>
      </w:r>
    </w:p>
    <w:p w14:paraId="6678ABF3">
      <w:pPr>
        <w:spacing w:line="500" w:lineRule="exact"/>
        <w:rPr>
          <w:rFonts w:ascii="宋体" w:hAnsi="宋体"/>
          <w:sz w:val="24"/>
          <w:szCs w:val="24"/>
        </w:rPr>
      </w:pPr>
      <w:r>
        <w:rPr>
          <w:rFonts w:ascii="宋体" w:hAnsi="宋体"/>
          <w:sz w:val="24"/>
          <w:szCs w:val="24"/>
        </w:rPr>
        <w:t xml:space="preserve">    以上所发生的费用由中标人自行承担。</w:t>
      </w:r>
    </w:p>
    <w:p w14:paraId="466E78E2">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4.1.10.2中标人应提出用水用电申请；</w:t>
      </w:r>
      <w:r>
        <w:rPr>
          <w:rFonts w:ascii="宋体" w:hAnsi="宋体"/>
          <w:sz w:val="24"/>
          <w:szCs w:val="24"/>
          <w:u w:val="single"/>
        </w:rPr>
        <w:t>编制施工组织设计或施工方案，报监理、招标人审批同意后实施，中标人承担所发生的一切费用。</w:t>
      </w:r>
    </w:p>
    <w:p w14:paraId="1F99B84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4.1.10.3做好施工场地的地下管线、建筑物、构筑物的保护工作。各施工地点要设立明显的标志。如中标人未履行上述义务造成人员、车辆伤害，建筑物、地下管线的损坏，由中标人承担所发生的一切费用。</w:t>
      </w:r>
    </w:p>
    <w:p w14:paraId="68D29D1F">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4.1.10.4中标人要遵守文明施工，遵守安全、环保、消防、保卫部门的有关规定，否则违章作业造成经济损失或责任，由中标人负责。</w:t>
      </w:r>
    </w:p>
    <w:p w14:paraId="19EE8737">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4.1.10.5工程施工结束，中标人应将剩余物资、材料和废品及时清除。工程竣工后，中标人应按招标人要求，限期将施工机具、器具、生活设施等物品及时移走。否则，招标人代为清除，其费用由中标人支付。</w:t>
      </w:r>
    </w:p>
    <w:p w14:paraId="42D7D263">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4.1.10.6中标人应建立完善的安全措施保证体系，招标人在施工过程中检查落实情况。</w:t>
      </w:r>
    </w:p>
    <w:p w14:paraId="7B1D75F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4.1.10.10应提供计划、报表的名称及完成时间：工程总进度计划按本专用条款第10条约定执行。</w:t>
      </w:r>
    </w:p>
    <w:p w14:paraId="6F14C71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4.1.11中标人未能履行4.1.1-4.1.10款各项义务，造成招标人损失的，中标人赔偿招标人有关损失。</w:t>
      </w:r>
    </w:p>
    <w:p w14:paraId="6CF71860">
      <w:pPr>
        <w:spacing w:line="500" w:lineRule="exact"/>
        <w:rPr>
          <w:rFonts w:ascii="宋体" w:hAnsi="宋体"/>
          <w:b/>
          <w:bCs/>
          <w:sz w:val="24"/>
          <w:szCs w:val="24"/>
        </w:rPr>
      </w:pPr>
      <w:r>
        <w:rPr>
          <w:rFonts w:ascii="宋体" w:hAnsi="宋体"/>
          <w:b/>
          <w:bCs/>
          <w:sz w:val="24"/>
          <w:szCs w:val="24"/>
        </w:rPr>
        <w:t>4.2 履约担保</w:t>
      </w:r>
    </w:p>
    <w:p w14:paraId="7A503E9B">
      <w:pPr>
        <w:snapToGrid w:val="0"/>
        <w:spacing w:line="360" w:lineRule="auto"/>
        <w:ind w:firstLine="480" w:firstLineChars="200"/>
        <w:rPr>
          <w:rFonts w:ascii="宋体" w:hAnsi="宋体"/>
          <w:sz w:val="24"/>
          <w:szCs w:val="24"/>
        </w:rPr>
      </w:pPr>
      <w:r>
        <w:rPr>
          <w:rFonts w:hint="eastAsia" w:ascii="宋体" w:hAnsi="宋体"/>
          <w:sz w:val="24"/>
          <w:szCs w:val="24"/>
        </w:rPr>
        <w:t>1、履约保证金的形式：银行转账或不可撤销的见索即付银行保函。</w:t>
      </w:r>
    </w:p>
    <w:p w14:paraId="5AC5B494">
      <w:pPr>
        <w:snapToGrid w:val="0"/>
        <w:spacing w:line="360" w:lineRule="auto"/>
        <w:ind w:firstLine="480" w:firstLineChars="200"/>
        <w:rPr>
          <w:rFonts w:ascii="宋体" w:hAnsi="宋体"/>
          <w:sz w:val="24"/>
          <w:szCs w:val="24"/>
        </w:rPr>
      </w:pPr>
      <w:r>
        <w:rPr>
          <w:rFonts w:hint="eastAsia" w:ascii="宋体" w:hAnsi="宋体"/>
          <w:sz w:val="24"/>
          <w:szCs w:val="24"/>
        </w:rPr>
        <w:t>2、履约保证金的金额：成交金额的10﹪。</w:t>
      </w:r>
    </w:p>
    <w:p w14:paraId="4CE86E9D">
      <w:pPr>
        <w:snapToGrid w:val="0"/>
        <w:spacing w:line="360" w:lineRule="auto"/>
        <w:ind w:firstLine="480" w:firstLineChars="200"/>
        <w:rPr>
          <w:rFonts w:ascii="宋体" w:hAnsi="宋体"/>
          <w:sz w:val="24"/>
          <w:szCs w:val="24"/>
        </w:rPr>
      </w:pPr>
      <w:r>
        <w:rPr>
          <w:rFonts w:hint="eastAsia" w:ascii="宋体" w:hAnsi="宋体"/>
          <w:sz w:val="24"/>
          <w:szCs w:val="24"/>
        </w:rPr>
        <w:t>3、履约保证金提交的时间：</w:t>
      </w:r>
    </w:p>
    <w:p w14:paraId="73260B3B">
      <w:pPr>
        <w:snapToGrid w:val="0"/>
        <w:spacing w:line="360" w:lineRule="auto"/>
        <w:ind w:firstLine="480" w:firstLineChars="200"/>
        <w:rPr>
          <w:rFonts w:ascii="宋体" w:hAnsi="宋体"/>
          <w:sz w:val="24"/>
          <w:szCs w:val="24"/>
        </w:rPr>
      </w:pPr>
      <w:r>
        <w:rPr>
          <w:rFonts w:hint="eastAsia" w:ascii="宋体" w:hAnsi="宋体"/>
          <w:sz w:val="24"/>
          <w:szCs w:val="24"/>
        </w:rPr>
        <w:t>成交供应商在收到成交通知书后务必在7个工作日内缴清履约保证金并完成合同签订，否则采购人将取消其成交资格。</w:t>
      </w:r>
    </w:p>
    <w:p w14:paraId="6C778960">
      <w:pPr>
        <w:snapToGrid w:val="0"/>
        <w:spacing w:line="360" w:lineRule="auto"/>
        <w:ind w:firstLine="480" w:firstLineChars="200"/>
        <w:rPr>
          <w:rFonts w:ascii="宋体" w:hAnsi="宋体"/>
          <w:sz w:val="24"/>
          <w:szCs w:val="24"/>
        </w:rPr>
      </w:pPr>
      <w:r>
        <w:rPr>
          <w:rFonts w:hint="eastAsia" w:ascii="宋体" w:hAnsi="宋体"/>
          <w:sz w:val="24"/>
          <w:szCs w:val="24"/>
        </w:rPr>
        <w:t>4、履约担保的期限：自提交履约担保之日起至竣工验收合格之日止。</w:t>
      </w:r>
    </w:p>
    <w:p w14:paraId="3CB0BE25">
      <w:pPr>
        <w:snapToGrid w:val="0"/>
        <w:spacing w:line="360" w:lineRule="auto"/>
        <w:ind w:firstLine="480" w:firstLineChars="200"/>
        <w:rPr>
          <w:rFonts w:ascii="宋体" w:hAnsi="宋体"/>
          <w:sz w:val="24"/>
          <w:szCs w:val="24"/>
        </w:rPr>
      </w:pPr>
      <w:r>
        <w:rPr>
          <w:rFonts w:hint="eastAsia" w:ascii="宋体" w:hAnsi="宋体"/>
          <w:sz w:val="24"/>
          <w:szCs w:val="24"/>
        </w:rPr>
        <w:t>5、履约保证金的退还：工程竣工验收合格后14天内无息退还。</w:t>
      </w:r>
    </w:p>
    <w:p w14:paraId="1EB18BDF">
      <w:pPr>
        <w:spacing w:line="500" w:lineRule="exact"/>
        <w:rPr>
          <w:rFonts w:ascii="宋体" w:hAnsi="宋体"/>
          <w:b/>
          <w:bCs/>
          <w:sz w:val="24"/>
          <w:szCs w:val="24"/>
        </w:rPr>
      </w:pPr>
      <w:r>
        <w:rPr>
          <w:rFonts w:ascii="宋体" w:hAnsi="宋体"/>
          <w:b/>
          <w:bCs/>
          <w:sz w:val="24"/>
          <w:szCs w:val="24"/>
        </w:rPr>
        <w:t>4.3 分包</w:t>
      </w:r>
    </w:p>
    <w:p w14:paraId="4F30BB64">
      <w:pPr>
        <w:spacing w:line="500" w:lineRule="exact"/>
        <w:rPr>
          <w:rFonts w:ascii="宋体" w:hAnsi="宋体"/>
          <w:sz w:val="24"/>
          <w:szCs w:val="24"/>
        </w:rPr>
      </w:pPr>
      <w:r>
        <w:rPr>
          <w:rFonts w:ascii="宋体" w:hAnsi="宋体"/>
          <w:sz w:val="24"/>
          <w:szCs w:val="24"/>
        </w:rPr>
        <w:t>4.3.2  分包的内容</w:t>
      </w:r>
    </w:p>
    <w:p w14:paraId="7BDCB4E4">
      <w:pPr>
        <w:spacing w:line="500" w:lineRule="exact"/>
        <w:rPr>
          <w:rFonts w:ascii="宋体" w:hAnsi="宋体"/>
          <w:sz w:val="24"/>
          <w:szCs w:val="24"/>
        </w:rPr>
      </w:pPr>
      <w:r>
        <w:rPr>
          <w:rFonts w:ascii="宋体" w:hAnsi="宋体"/>
          <w:sz w:val="24"/>
          <w:szCs w:val="24"/>
        </w:rPr>
        <w:t xml:space="preserve">    当事人约定某些非主体、非关键性工作分包给第三人：在满足相关法律、规范要求的前提下，除非得到招标人许可外不允许分包。</w:t>
      </w:r>
    </w:p>
    <w:p w14:paraId="677EBE9D">
      <w:pPr>
        <w:spacing w:line="500" w:lineRule="exact"/>
        <w:rPr>
          <w:rFonts w:ascii="宋体" w:hAnsi="宋体"/>
          <w:b/>
          <w:bCs/>
          <w:sz w:val="24"/>
          <w:szCs w:val="24"/>
        </w:rPr>
      </w:pPr>
      <w:r>
        <w:rPr>
          <w:rFonts w:ascii="宋体" w:hAnsi="宋体"/>
          <w:b/>
          <w:bCs/>
          <w:sz w:val="24"/>
          <w:szCs w:val="24"/>
        </w:rPr>
        <w:t>5.1  中标人提供的材料和工程设备</w:t>
      </w:r>
    </w:p>
    <w:p w14:paraId="79489DD6">
      <w:pPr>
        <w:spacing w:line="500" w:lineRule="exact"/>
        <w:rPr>
          <w:rFonts w:ascii="宋体" w:hAnsi="宋体"/>
          <w:sz w:val="24"/>
          <w:szCs w:val="24"/>
        </w:rPr>
      </w:pPr>
      <w:r>
        <w:rPr>
          <w:rFonts w:ascii="宋体" w:hAnsi="宋体"/>
          <w:sz w:val="24"/>
          <w:szCs w:val="24"/>
        </w:rPr>
        <w:t xml:space="preserve">    5.1.1  中标人负责采购、运输和保管的材料、工程设备：所有进场材料、设备质量应符合国家现行质量验收标准，符合设计要求，所有材料设备必须经监理单位、招标人确认后才能进场。对未按上述要求采购、进场的材料、设备，招标人将拒绝用于本工程，并要求中标人自行无偿清退出场。由此造成的损失，概由中标人承担。</w:t>
      </w:r>
    </w:p>
    <w:p w14:paraId="1BC358FF">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5.1.2  中标人报送监理人审批的时间：材料采购</w:t>
      </w:r>
      <w:r>
        <w:rPr>
          <w:rFonts w:hint="eastAsia" w:ascii="宋体" w:hAnsi="宋体"/>
          <w:sz w:val="24"/>
          <w:szCs w:val="24"/>
        </w:rPr>
        <w:t>7</w:t>
      </w:r>
      <w:r>
        <w:rPr>
          <w:rFonts w:ascii="宋体" w:hAnsi="宋体"/>
          <w:sz w:val="24"/>
          <w:szCs w:val="24"/>
        </w:rPr>
        <w:t xml:space="preserve">日前报送采购计划予招标人、监理单位。 </w:t>
      </w:r>
    </w:p>
    <w:p w14:paraId="6DCA9ACD">
      <w:pPr>
        <w:tabs>
          <w:tab w:val="left" w:pos="426"/>
        </w:tabs>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5.1.4本过程中中标人选用材料的品牌（厂家）的产品，应在采购前</w:t>
      </w:r>
      <w:r>
        <w:rPr>
          <w:rFonts w:hint="eastAsia" w:ascii="宋体" w:hAnsi="宋体"/>
          <w:sz w:val="24"/>
          <w:szCs w:val="24"/>
        </w:rPr>
        <w:t>7</w:t>
      </w:r>
      <w:r>
        <w:rPr>
          <w:rFonts w:ascii="宋体" w:hAnsi="宋体"/>
          <w:sz w:val="24"/>
          <w:szCs w:val="24"/>
        </w:rPr>
        <w:t>日内将所采购材料（设备）的厂家、技术参数、品牌、质量等级等指标通知招标人，招标人收到中标人的</w:t>
      </w:r>
      <w:r>
        <w:rPr>
          <w:rFonts w:hint="eastAsia" w:ascii="宋体" w:hAnsi="宋体"/>
          <w:sz w:val="24"/>
          <w:szCs w:val="24"/>
        </w:rPr>
        <w:t>通知</w:t>
      </w:r>
      <w:r>
        <w:rPr>
          <w:rFonts w:ascii="宋体" w:hAnsi="宋体"/>
          <w:sz w:val="24"/>
          <w:szCs w:val="24"/>
        </w:rPr>
        <w:t>后</w:t>
      </w:r>
      <w:r>
        <w:rPr>
          <w:rFonts w:hint="eastAsia" w:ascii="宋体" w:hAnsi="宋体"/>
          <w:sz w:val="24"/>
          <w:szCs w:val="24"/>
        </w:rPr>
        <w:t>3</w:t>
      </w:r>
      <w:r>
        <w:rPr>
          <w:rFonts w:ascii="宋体" w:hAnsi="宋体"/>
          <w:sz w:val="24"/>
          <w:szCs w:val="24"/>
        </w:rPr>
        <w:t>日内予以确认。</w:t>
      </w:r>
    </w:p>
    <w:p w14:paraId="40D4C2D7">
      <w:pPr>
        <w:tabs>
          <w:tab w:val="left" w:pos="426"/>
        </w:tabs>
        <w:spacing w:line="500" w:lineRule="exact"/>
        <w:rPr>
          <w:rFonts w:ascii="宋体" w:hAnsi="宋体"/>
          <w:sz w:val="24"/>
          <w:szCs w:val="24"/>
        </w:rPr>
      </w:pPr>
      <w:r>
        <w:rPr>
          <w:rFonts w:hint="eastAsia" w:ascii="宋体" w:hAnsi="宋体"/>
          <w:sz w:val="24"/>
          <w:szCs w:val="24"/>
        </w:rPr>
        <w:t xml:space="preserve">    承包人在本工程装修施工图范围内使用的所有设备、材料等须为符合设计要求、技术标准、本合同中相关规定、国家相关规定及规范要求，须具备质量合格书、安全产品认证书（如需）等合格证明。现场参建各方共同对材料进行认质，发包人有权拒绝承包人提供的不满足现场使用要求的材料。</w:t>
      </w:r>
    </w:p>
    <w:p w14:paraId="6B5CFB01">
      <w:pPr>
        <w:tabs>
          <w:tab w:val="left" w:pos="426"/>
        </w:tabs>
        <w:spacing w:line="500" w:lineRule="exact"/>
        <w:rPr>
          <w:rFonts w:ascii="宋体" w:hAnsi="宋体"/>
          <w:sz w:val="24"/>
          <w:szCs w:val="24"/>
        </w:rPr>
      </w:pPr>
      <w:r>
        <w:rPr>
          <w:rFonts w:hint="eastAsia" w:ascii="宋体" w:hAnsi="宋体"/>
          <w:sz w:val="24"/>
          <w:szCs w:val="24"/>
        </w:rPr>
        <w:t xml:space="preserve">   承包人须严格按照施工图设计和国家、行业有关规定进行设备、材料采购，并提供相应的资料文件，包括但不限于：</w:t>
      </w:r>
    </w:p>
    <w:p w14:paraId="109BA2E5">
      <w:pPr>
        <w:tabs>
          <w:tab w:val="left" w:pos="426"/>
        </w:tabs>
        <w:spacing w:line="500" w:lineRule="exact"/>
        <w:rPr>
          <w:rFonts w:ascii="宋体" w:hAnsi="宋体"/>
          <w:sz w:val="24"/>
          <w:szCs w:val="24"/>
        </w:rPr>
      </w:pPr>
      <w:r>
        <w:rPr>
          <w:rFonts w:hint="eastAsia" w:ascii="宋体" w:hAnsi="宋体"/>
          <w:sz w:val="24"/>
          <w:szCs w:val="24"/>
        </w:rPr>
        <w:t xml:space="preserve">    （1）产品合格证明、型号证书、市场准入证明、生产许可证，产品质量承诺书、产品质保期售后服务承诺等。</w:t>
      </w:r>
    </w:p>
    <w:p w14:paraId="2B77A71A">
      <w:pPr>
        <w:tabs>
          <w:tab w:val="left" w:pos="426"/>
        </w:tabs>
        <w:spacing w:line="500" w:lineRule="exact"/>
        <w:rPr>
          <w:rFonts w:ascii="宋体" w:hAnsi="宋体"/>
          <w:sz w:val="24"/>
          <w:szCs w:val="24"/>
        </w:rPr>
      </w:pPr>
      <w:r>
        <w:rPr>
          <w:rFonts w:hint="eastAsia" w:ascii="宋体" w:hAnsi="宋体"/>
          <w:sz w:val="24"/>
          <w:szCs w:val="24"/>
        </w:rPr>
        <w:t xml:space="preserve">    （2）产品（商标）标识、产品质量保证文件、产品使用说明书、防伪说明。</w:t>
      </w:r>
    </w:p>
    <w:p w14:paraId="334D5C1B">
      <w:pPr>
        <w:tabs>
          <w:tab w:val="left" w:pos="426"/>
        </w:tabs>
        <w:spacing w:line="500" w:lineRule="exact"/>
        <w:rPr>
          <w:rFonts w:ascii="宋体" w:hAnsi="宋体"/>
          <w:sz w:val="24"/>
          <w:szCs w:val="24"/>
        </w:rPr>
      </w:pPr>
      <w:r>
        <w:rPr>
          <w:rFonts w:hint="eastAsia" w:ascii="宋体" w:hAnsi="宋体"/>
          <w:sz w:val="24"/>
          <w:szCs w:val="24"/>
        </w:rPr>
        <w:t xml:space="preserve">    （3）具有相应资质的检测机构出具的有效期内的产品形式检验合格证明。</w:t>
      </w:r>
    </w:p>
    <w:p w14:paraId="5F31B06D">
      <w:pPr>
        <w:tabs>
          <w:tab w:val="left" w:pos="426"/>
        </w:tabs>
        <w:spacing w:line="500" w:lineRule="exact"/>
        <w:rPr>
          <w:rFonts w:ascii="宋体" w:hAnsi="宋体"/>
          <w:sz w:val="24"/>
          <w:szCs w:val="24"/>
        </w:rPr>
      </w:pPr>
      <w:r>
        <w:rPr>
          <w:rFonts w:hint="eastAsia" w:ascii="宋体" w:hAnsi="宋体"/>
          <w:sz w:val="24"/>
          <w:szCs w:val="24"/>
        </w:rPr>
        <w:t xml:space="preserve">    （4）相应的产品标准或产品企业标准；有国家强制标准的，应符合国家强制标准。</w:t>
      </w:r>
    </w:p>
    <w:p w14:paraId="39E501AB">
      <w:pPr>
        <w:tabs>
          <w:tab w:val="left" w:pos="426"/>
        </w:tabs>
        <w:spacing w:line="500" w:lineRule="exact"/>
        <w:rPr>
          <w:rFonts w:ascii="宋体" w:hAnsi="宋体"/>
          <w:sz w:val="24"/>
          <w:szCs w:val="24"/>
        </w:rPr>
      </w:pPr>
      <w:r>
        <w:rPr>
          <w:rFonts w:hint="eastAsia" w:ascii="宋体" w:hAnsi="宋体"/>
          <w:sz w:val="24"/>
          <w:szCs w:val="24"/>
        </w:rPr>
        <w:t xml:space="preserve">     （5）属国家生产许可证或强制认证管理的产品，需提交有效期内生产许可证或强制认证证书。</w:t>
      </w:r>
    </w:p>
    <w:p w14:paraId="79354DE3">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招标范围内的材料，除特别约定外，投标人所报的材料均为结算价格（包括采购、运输、保管等费用）。</w:t>
      </w:r>
    </w:p>
    <w:p w14:paraId="47786158">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未计价材料价格由投标人根据市场行情自行报价，中标后不作调整。</w:t>
      </w:r>
    </w:p>
    <w:p w14:paraId="47AB6955">
      <w:pPr>
        <w:spacing w:line="500" w:lineRule="exact"/>
        <w:rPr>
          <w:rFonts w:ascii="宋体" w:hAnsi="宋体"/>
          <w:b/>
          <w:bCs/>
          <w:sz w:val="24"/>
          <w:szCs w:val="24"/>
        </w:rPr>
      </w:pPr>
      <w:r>
        <w:rPr>
          <w:rFonts w:ascii="宋体" w:hAnsi="宋体"/>
          <w:b/>
          <w:bCs/>
          <w:sz w:val="24"/>
          <w:szCs w:val="24"/>
        </w:rPr>
        <w:t>5.2  招标人提供的材料和工程设备</w:t>
      </w:r>
    </w:p>
    <w:p w14:paraId="2A75DAD0">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5.2.1 材料的名称、规格、数量和价格：</w:t>
      </w:r>
      <w:r>
        <w:rPr>
          <w:rFonts w:hint="eastAsia" w:ascii="宋体" w:hAnsi="宋体"/>
          <w:sz w:val="24"/>
          <w:szCs w:val="24"/>
          <w:u w:val="single"/>
        </w:rPr>
        <w:t xml:space="preserve">   </w:t>
      </w:r>
      <w:r>
        <w:rPr>
          <w:rFonts w:ascii="宋体" w:hAnsi="宋体"/>
          <w:sz w:val="24"/>
          <w:szCs w:val="24"/>
          <w:u w:val="single"/>
        </w:rPr>
        <w:t xml:space="preserve">  </w:t>
      </w:r>
      <w:r>
        <w:rPr>
          <w:rFonts w:ascii="宋体" w:hAnsi="宋体"/>
          <w:sz w:val="24"/>
          <w:szCs w:val="24"/>
        </w:rPr>
        <w:t xml:space="preserve">           </w:t>
      </w:r>
    </w:p>
    <w:p w14:paraId="4E682203">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材料的交货方式、地点和日期：</w:t>
      </w:r>
      <w:r>
        <w:rPr>
          <w:rFonts w:hint="eastAsia" w:ascii="宋体" w:hAnsi="宋体"/>
          <w:sz w:val="24"/>
          <w:szCs w:val="24"/>
          <w:u w:val="single"/>
        </w:rPr>
        <w:t xml:space="preserve">   </w:t>
      </w:r>
      <w:r>
        <w:rPr>
          <w:rFonts w:ascii="宋体" w:hAnsi="宋体"/>
          <w:sz w:val="24"/>
          <w:szCs w:val="24"/>
        </w:rPr>
        <w:t xml:space="preserve">                    </w:t>
      </w:r>
    </w:p>
    <w:p w14:paraId="5B29C227">
      <w:pPr>
        <w:spacing w:line="500" w:lineRule="exact"/>
        <w:rPr>
          <w:rFonts w:ascii="宋体" w:hAnsi="宋体"/>
          <w:sz w:val="24"/>
          <w:szCs w:val="24"/>
        </w:rPr>
      </w:pPr>
      <w:r>
        <w:rPr>
          <w:rFonts w:ascii="宋体" w:hAnsi="宋体"/>
          <w:sz w:val="24"/>
          <w:szCs w:val="24"/>
        </w:rPr>
        <w:t xml:space="preserve">    工程设备的名称、规格、数量和价格：</w:t>
      </w:r>
      <w:r>
        <w:rPr>
          <w:rFonts w:hint="eastAsia" w:ascii="宋体" w:hAnsi="宋体"/>
          <w:sz w:val="24"/>
          <w:szCs w:val="24"/>
          <w:u w:val="single"/>
        </w:rPr>
        <w:t xml:space="preserve">   </w:t>
      </w:r>
      <w:r>
        <w:rPr>
          <w:rFonts w:ascii="宋体" w:hAnsi="宋体"/>
          <w:sz w:val="24"/>
          <w:szCs w:val="24"/>
        </w:rPr>
        <w:t xml:space="preserve">                     </w:t>
      </w:r>
    </w:p>
    <w:p w14:paraId="5FC53FC0">
      <w:pPr>
        <w:spacing w:line="500" w:lineRule="exact"/>
        <w:rPr>
          <w:rFonts w:ascii="宋体" w:hAnsi="宋体"/>
          <w:sz w:val="24"/>
          <w:szCs w:val="24"/>
        </w:rPr>
      </w:pPr>
      <w:r>
        <w:rPr>
          <w:rFonts w:ascii="宋体" w:hAnsi="宋体"/>
          <w:sz w:val="24"/>
          <w:szCs w:val="24"/>
        </w:rPr>
        <w:t xml:space="preserve">    工程设备的交货方式、地点和日期：</w:t>
      </w:r>
      <w:r>
        <w:rPr>
          <w:rFonts w:hint="eastAsia" w:ascii="宋体" w:hAnsi="宋体"/>
          <w:sz w:val="24"/>
          <w:szCs w:val="24"/>
          <w:u w:val="single"/>
        </w:rPr>
        <w:t xml:space="preserve">   </w:t>
      </w:r>
      <w:r>
        <w:rPr>
          <w:rFonts w:ascii="宋体" w:hAnsi="宋体"/>
          <w:sz w:val="24"/>
          <w:szCs w:val="24"/>
        </w:rPr>
        <w:t xml:space="preserve">                    </w:t>
      </w:r>
    </w:p>
    <w:p w14:paraId="71AC5EA5">
      <w:pPr>
        <w:spacing w:line="500" w:lineRule="exact"/>
        <w:rPr>
          <w:rFonts w:ascii="宋体" w:hAnsi="宋体"/>
          <w:sz w:val="24"/>
          <w:szCs w:val="24"/>
        </w:rPr>
      </w:pPr>
      <w:r>
        <w:rPr>
          <w:rFonts w:ascii="宋体" w:hAnsi="宋体"/>
          <w:sz w:val="24"/>
          <w:szCs w:val="24"/>
        </w:rPr>
        <w:t xml:space="preserve">    5.2.3  材料和工程设备的接收、运输与保管：</w:t>
      </w:r>
      <w:r>
        <w:rPr>
          <w:rFonts w:hint="eastAsia" w:ascii="宋体" w:hAnsi="宋体"/>
          <w:sz w:val="24"/>
          <w:szCs w:val="24"/>
          <w:u w:val="single"/>
        </w:rPr>
        <w:t xml:space="preserve">   </w:t>
      </w:r>
      <w:r>
        <w:rPr>
          <w:rFonts w:ascii="宋体" w:hAnsi="宋体"/>
          <w:sz w:val="24"/>
          <w:szCs w:val="24"/>
        </w:rPr>
        <w:t xml:space="preserve">                 </w:t>
      </w:r>
    </w:p>
    <w:p w14:paraId="76BF9151">
      <w:pPr>
        <w:spacing w:line="500" w:lineRule="exact"/>
        <w:rPr>
          <w:rFonts w:ascii="宋体" w:hAnsi="宋体"/>
          <w:sz w:val="24"/>
          <w:szCs w:val="24"/>
        </w:rPr>
      </w:pPr>
      <w:bookmarkStart w:id="263" w:name="_Toc361653989"/>
      <w:bookmarkStart w:id="264" w:name="_Toc442514369"/>
      <w:bookmarkStart w:id="265" w:name="_Toc446108029"/>
      <w:bookmarkStart w:id="266" w:name="_Toc410381406"/>
      <w:r>
        <w:rPr>
          <w:rFonts w:ascii="宋体" w:hAnsi="宋体"/>
          <w:b/>
          <w:bCs/>
          <w:sz w:val="24"/>
          <w:szCs w:val="24"/>
        </w:rPr>
        <w:t>6.  施工设备和临时设施</w:t>
      </w:r>
      <w:bookmarkEnd w:id="263"/>
      <w:bookmarkEnd w:id="264"/>
      <w:bookmarkEnd w:id="265"/>
      <w:bookmarkEnd w:id="266"/>
    </w:p>
    <w:p w14:paraId="012DA085">
      <w:pPr>
        <w:spacing w:line="500" w:lineRule="exact"/>
        <w:rPr>
          <w:rFonts w:ascii="宋体" w:hAnsi="宋体"/>
          <w:b/>
          <w:bCs/>
          <w:sz w:val="24"/>
          <w:szCs w:val="24"/>
        </w:rPr>
      </w:pPr>
      <w:r>
        <w:rPr>
          <w:rFonts w:ascii="宋体" w:hAnsi="宋体"/>
          <w:b/>
          <w:bCs/>
          <w:sz w:val="24"/>
          <w:szCs w:val="24"/>
        </w:rPr>
        <w:t>6.1  中标人提供的施工设备和临时设施</w:t>
      </w:r>
    </w:p>
    <w:p w14:paraId="16EDF5C0">
      <w:pPr>
        <w:spacing w:line="500" w:lineRule="exact"/>
        <w:rPr>
          <w:rFonts w:ascii="宋体" w:hAnsi="宋体"/>
          <w:sz w:val="24"/>
          <w:szCs w:val="24"/>
        </w:rPr>
      </w:pPr>
      <w:r>
        <w:rPr>
          <w:rFonts w:ascii="宋体" w:hAnsi="宋体"/>
          <w:sz w:val="24"/>
          <w:szCs w:val="24"/>
        </w:rPr>
        <w:t xml:space="preserve">    6.1.2  中标人承担修建临时设施费用的范围：</w:t>
      </w:r>
      <w:r>
        <w:rPr>
          <w:rFonts w:ascii="宋体" w:hAnsi="宋体"/>
          <w:sz w:val="24"/>
          <w:szCs w:val="24"/>
          <w:u w:val="single"/>
        </w:rPr>
        <w:t>办理各项申请由中标人自行负责，招标人协助。中标人承担修建临时设施的费用，该笔费用已含在合同价款中不作调整。</w:t>
      </w:r>
    </w:p>
    <w:p w14:paraId="7567D1EC">
      <w:pPr>
        <w:spacing w:line="500" w:lineRule="exact"/>
        <w:rPr>
          <w:rFonts w:ascii="宋体" w:hAnsi="宋体"/>
          <w:sz w:val="24"/>
          <w:szCs w:val="24"/>
        </w:rPr>
      </w:pPr>
      <w:r>
        <w:rPr>
          <w:rFonts w:ascii="宋体" w:hAnsi="宋体"/>
          <w:sz w:val="24"/>
          <w:szCs w:val="24"/>
        </w:rPr>
        <w:t xml:space="preserve">    临时占地的申请：</w:t>
      </w:r>
      <w:r>
        <w:rPr>
          <w:rFonts w:ascii="宋体" w:hAnsi="宋体"/>
          <w:sz w:val="24"/>
          <w:szCs w:val="24"/>
          <w:u w:val="single"/>
        </w:rPr>
        <w:t xml:space="preserve">中标人自行负责   </w:t>
      </w:r>
      <w:r>
        <w:rPr>
          <w:rFonts w:ascii="宋体" w:hAnsi="宋体"/>
          <w:sz w:val="24"/>
          <w:szCs w:val="24"/>
        </w:rPr>
        <w:t xml:space="preserve">                </w:t>
      </w:r>
    </w:p>
    <w:p w14:paraId="3E00FD8E">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临时占地相关费用：</w:t>
      </w:r>
      <w:r>
        <w:rPr>
          <w:rFonts w:ascii="宋体" w:hAnsi="宋体"/>
          <w:sz w:val="24"/>
          <w:szCs w:val="24"/>
          <w:u w:val="single"/>
        </w:rPr>
        <w:t>临时占地的费用已包含到中标人报价中，中标人自行负责。</w:t>
      </w:r>
    </w:p>
    <w:p w14:paraId="626E598E">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工程现场施工及生活用水、用电由招标人现场指定接入点，施工单位自行敷设并承担相关费用（投标人在报价时此费用纳入投标总报价）。中标后不作调整。</w:t>
      </w:r>
    </w:p>
    <w:p w14:paraId="1331EC3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施工过程中涉及的临设、环境保护、施工占道、交通组织（含临时交通标志）、地下管网探测及保护（保护按招标人要求实施，地下管网保护的地点、范围由投标人踏勘）等各种手续由中标人办理并承担相应费用。投标人在投标报价时应将该部分纳入总报价，中标后包干使用，不作调整。</w:t>
      </w:r>
    </w:p>
    <w:p w14:paraId="7BE59BD9">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成品保护由中标人负责，其费用由投标人自行现场踏勘后分析考虑，包含在投标报价中,中标后不作调整。</w:t>
      </w:r>
    </w:p>
    <w:p w14:paraId="6A6BE54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投标人应根据现场条件、工期要求在报价时考虑是否自备柴油发电机、二次加压设备、消防水池等措施和施工用电用水的接入费用。</w:t>
      </w:r>
    </w:p>
    <w:p w14:paraId="5965CCF8">
      <w:pPr>
        <w:spacing w:line="500" w:lineRule="exact"/>
        <w:rPr>
          <w:rFonts w:ascii="宋体" w:hAnsi="宋体"/>
          <w:b/>
          <w:bCs/>
          <w:sz w:val="24"/>
          <w:szCs w:val="24"/>
        </w:rPr>
      </w:pPr>
      <w:r>
        <w:rPr>
          <w:rFonts w:ascii="宋体" w:hAnsi="宋体"/>
          <w:b/>
          <w:bCs/>
          <w:sz w:val="24"/>
          <w:szCs w:val="24"/>
        </w:rPr>
        <w:t>6.2  招标人提供的施工设备和临时设施</w:t>
      </w:r>
    </w:p>
    <w:p w14:paraId="01C93DF5">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无</w:t>
      </w:r>
    </w:p>
    <w:p w14:paraId="4AF8259E">
      <w:pPr>
        <w:spacing w:line="500" w:lineRule="exact"/>
        <w:rPr>
          <w:rFonts w:ascii="宋体" w:hAnsi="宋体"/>
          <w:b/>
          <w:bCs/>
          <w:sz w:val="24"/>
          <w:szCs w:val="24"/>
        </w:rPr>
      </w:pPr>
      <w:bookmarkStart w:id="267" w:name="_Toc442514370"/>
      <w:bookmarkStart w:id="268" w:name="_Toc410381407"/>
      <w:bookmarkStart w:id="269" w:name="_Toc361653990"/>
      <w:bookmarkStart w:id="270" w:name="_Toc446108030"/>
      <w:r>
        <w:rPr>
          <w:rFonts w:ascii="宋体" w:hAnsi="宋体"/>
          <w:b/>
          <w:bCs/>
          <w:sz w:val="24"/>
          <w:szCs w:val="24"/>
        </w:rPr>
        <w:t>7.  交通运输</w:t>
      </w:r>
      <w:bookmarkEnd w:id="267"/>
      <w:bookmarkEnd w:id="268"/>
      <w:bookmarkEnd w:id="269"/>
      <w:bookmarkEnd w:id="270"/>
    </w:p>
    <w:p w14:paraId="6C5FF9CB">
      <w:pPr>
        <w:spacing w:line="500" w:lineRule="exact"/>
        <w:rPr>
          <w:rFonts w:ascii="宋体" w:hAnsi="宋体"/>
          <w:b/>
          <w:bCs/>
          <w:sz w:val="24"/>
          <w:szCs w:val="24"/>
        </w:rPr>
      </w:pPr>
      <w:r>
        <w:rPr>
          <w:rFonts w:hint="eastAsia" w:ascii="宋体" w:hAnsi="宋体"/>
          <w:b/>
          <w:bCs/>
          <w:sz w:val="24"/>
          <w:szCs w:val="24"/>
        </w:rPr>
        <w:t>7.1 出入现场的权利</w:t>
      </w:r>
    </w:p>
    <w:p w14:paraId="52548137">
      <w:pPr>
        <w:spacing w:line="500" w:lineRule="exact"/>
        <w:ind w:firstLine="480" w:firstLineChars="200"/>
        <w:rPr>
          <w:rFonts w:ascii="宋体" w:hAnsi="宋体" w:cs="宋体"/>
          <w:sz w:val="24"/>
          <w:szCs w:val="24"/>
        </w:rPr>
      </w:pPr>
      <w:r>
        <w:rPr>
          <w:rFonts w:hint="eastAsia" w:ascii="宋体" w:hAnsi="宋体" w:cs="宋体"/>
          <w:sz w:val="24"/>
          <w:szCs w:val="24"/>
        </w:rPr>
        <w:t>关于出入现场的权利的约定：由承包人自行调查、自行办理出入施工现场所需的场内外相关批准手续并取得全部权利，发包人配合。因承包人未合理预见所增加的费用和延误的工期由承包人承担。</w:t>
      </w:r>
    </w:p>
    <w:p w14:paraId="4D6AA4DF">
      <w:pPr>
        <w:spacing w:line="500" w:lineRule="exact"/>
        <w:rPr>
          <w:rFonts w:ascii="宋体" w:hAnsi="宋体"/>
          <w:b/>
          <w:bCs/>
          <w:sz w:val="24"/>
          <w:szCs w:val="24"/>
        </w:rPr>
      </w:pPr>
      <w:r>
        <w:rPr>
          <w:rFonts w:hint="eastAsia" w:ascii="宋体" w:hAnsi="宋体"/>
          <w:b/>
          <w:bCs/>
          <w:sz w:val="24"/>
          <w:szCs w:val="24"/>
        </w:rPr>
        <w:t>7.2场内交通</w:t>
      </w:r>
    </w:p>
    <w:p w14:paraId="30FC3D61">
      <w:pPr>
        <w:spacing w:line="500" w:lineRule="exact"/>
        <w:ind w:firstLine="480" w:firstLineChars="200"/>
        <w:rPr>
          <w:rFonts w:ascii="宋体" w:hAnsi="宋体" w:cs="宋体"/>
          <w:sz w:val="24"/>
          <w:szCs w:val="24"/>
        </w:rPr>
      </w:pPr>
      <w:r>
        <w:rPr>
          <w:rFonts w:hint="eastAsia" w:ascii="宋体" w:hAnsi="宋体" w:cs="宋体"/>
          <w:sz w:val="24"/>
          <w:szCs w:val="24"/>
        </w:rPr>
        <w:t>关于场外交通和场内交通的边界的约定：施工场地内、外的交通情况由承包人自行调查，并根据本合同工程的规模及技术参数合理预见工程施工所需的进出施工现场的方式、手段、路径等。承包人承担相关手续费用的建设费用，相关费用（含加固、维修、改造、修复、赔偿、交通干扰、弃渣等）已包含在合同总价中。</w:t>
      </w:r>
    </w:p>
    <w:p w14:paraId="60E2A827">
      <w:pPr>
        <w:spacing w:line="500" w:lineRule="exact"/>
        <w:rPr>
          <w:rFonts w:ascii="宋体" w:hAnsi="宋体"/>
          <w:b/>
          <w:bCs/>
          <w:sz w:val="24"/>
          <w:szCs w:val="24"/>
        </w:rPr>
      </w:pPr>
      <w:r>
        <w:rPr>
          <w:rFonts w:ascii="宋体" w:hAnsi="宋体"/>
          <w:b/>
          <w:bCs/>
          <w:sz w:val="24"/>
          <w:szCs w:val="24"/>
        </w:rPr>
        <w:t>7.4  超大件和超重件的运输</w:t>
      </w:r>
    </w:p>
    <w:p w14:paraId="22542F23">
      <w:pPr>
        <w:spacing w:line="500" w:lineRule="exact"/>
        <w:rPr>
          <w:rFonts w:ascii="宋体" w:hAnsi="宋体"/>
          <w:sz w:val="24"/>
          <w:szCs w:val="24"/>
        </w:rPr>
      </w:pPr>
      <w:r>
        <w:rPr>
          <w:rFonts w:ascii="宋体" w:hAnsi="宋体"/>
          <w:sz w:val="24"/>
          <w:szCs w:val="24"/>
        </w:rPr>
        <w:t xml:space="preserve">    道路和桥梁临时新建改造费用和其他有关费用的承担：</w:t>
      </w:r>
      <w:r>
        <w:rPr>
          <w:rFonts w:ascii="宋体" w:hAnsi="宋体"/>
          <w:sz w:val="24"/>
          <w:szCs w:val="24"/>
          <w:u w:val="single"/>
        </w:rPr>
        <w:t>无</w:t>
      </w:r>
      <w:r>
        <w:rPr>
          <w:rFonts w:ascii="宋体" w:hAnsi="宋体"/>
          <w:sz w:val="24"/>
          <w:szCs w:val="24"/>
        </w:rPr>
        <w:t xml:space="preserve">        </w:t>
      </w:r>
    </w:p>
    <w:p w14:paraId="366EA1FE">
      <w:pPr>
        <w:spacing w:line="500" w:lineRule="exact"/>
        <w:rPr>
          <w:rFonts w:ascii="宋体" w:hAnsi="宋体"/>
          <w:b/>
          <w:bCs/>
          <w:sz w:val="24"/>
          <w:szCs w:val="24"/>
        </w:rPr>
      </w:pPr>
      <w:bookmarkStart w:id="271" w:name="_Toc446108031"/>
      <w:bookmarkStart w:id="272" w:name="_Toc361653991"/>
      <w:bookmarkStart w:id="273" w:name="_Toc410381408"/>
      <w:bookmarkStart w:id="274" w:name="_Toc442514371"/>
      <w:r>
        <w:rPr>
          <w:rFonts w:ascii="宋体" w:hAnsi="宋体"/>
          <w:b/>
          <w:bCs/>
          <w:sz w:val="24"/>
          <w:szCs w:val="24"/>
        </w:rPr>
        <w:t>8.  测量放线</w:t>
      </w:r>
      <w:bookmarkEnd w:id="271"/>
      <w:bookmarkEnd w:id="272"/>
      <w:bookmarkEnd w:id="273"/>
      <w:bookmarkEnd w:id="274"/>
    </w:p>
    <w:p w14:paraId="51FAAB94">
      <w:pPr>
        <w:spacing w:line="500" w:lineRule="exact"/>
        <w:rPr>
          <w:rFonts w:ascii="宋体" w:hAnsi="宋体"/>
          <w:b/>
          <w:bCs/>
          <w:sz w:val="24"/>
          <w:szCs w:val="24"/>
        </w:rPr>
      </w:pPr>
      <w:r>
        <w:rPr>
          <w:rFonts w:ascii="宋体" w:hAnsi="宋体"/>
          <w:b/>
          <w:bCs/>
          <w:sz w:val="24"/>
          <w:szCs w:val="24"/>
        </w:rPr>
        <w:t>8.1  施工控制网</w:t>
      </w:r>
    </w:p>
    <w:p w14:paraId="038A5CDA">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8.1.1  招标人提供测量基准点、基准线和水准点的期限：</w:t>
      </w:r>
      <w:r>
        <w:rPr>
          <w:rFonts w:ascii="宋体" w:hAnsi="宋体"/>
          <w:sz w:val="24"/>
          <w:szCs w:val="24"/>
          <w:u w:val="single"/>
        </w:rPr>
        <w:t>开工7天内。</w:t>
      </w:r>
    </w:p>
    <w:p w14:paraId="6FA3EAE1">
      <w:pPr>
        <w:spacing w:line="500" w:lineRule="exact"/>
        <w:rPr>
          <w:rFonts w:ascii="宋体" w:hAnsi="宋体"/>
          <w:sz w:val="24"/>
          <w:szCs w:val="24"/>
        </w:rPr>
      </w:pPr>
      <w:r>
        <w:rPr>
          <w:rFonts w:ascii="宋体" w:hAnsi="宋体"/>
          <w:sz w:val="24"/>
          <w:szCs w:val="24"/>
        </w:rPr>
        <w:t xml:space="preserve">    施工控制网的测设：</w:t>
      </w:r>
      <w:r>
        <w:rPr>
          <w:rFonts w:ascii="宋体" w:hAnsi="宋体"/>
          <w:sz w:val="24"/>
          <w:szCs w:val="24"/>
          <w:u w:val="single"/>
        </w:rPr>
        <w:t>中标人自行承担。</w:t>
      </w:r>
      <w:r>
        <w:rPr>
          <w:rFonts w:ascii="宋体" w:hAnsi="宋体"/>
          <w:sz w:val="24"/>
          <w:szCs w:val="24"/>
        </w:rPr>
        <w:t xml:space="preserve">                      </w:t>
      </w:r>
    </w:p>
    <w:p w14:paraId="789E1627">
      <w:pPr>
        <w:spacing w:line="500" w:lineRule="exact"/>
        <w:rPr>
          <w:rFonts w:ascii="宋体" w:hAnsi="宋体"/>
          <w:sz w:val="24"/>
          <w:szCs w:val="24"/>
        </w:rPr>
      </w:pPr>
      <w:r>
        <w:rPr>
          <w:rFonts w:ascii="宋体" w:hAnsi="宋体"/>
          <w:sz w:val="24"/>
          <w:szCs w:val="24"/>
        </w:rPr>
        <w:t xml:space="preserve">    报监理人审批施工控制网资料的期限：</w:t>
      </w:r>
      <w:r>
        <w:rPr>
          <w:rFonts w:ascii="宋体" w:hAnsi="宋体"/>
          <w:sz w:val="24"/>
          <w:szCs w:val="24"/>
          <w:u w:val="single"/>
        </w:rPr>
        <w:t>开工通知后3天。</w:t>
      </w:r>
      <w:r>
        <w:rPr>
          <w:rFonts w:ascii="宋体" w:hAnsi="宋体"/>
          <w:sz w:val="24"/>
          <w:szCs w:val="24"/>
        </w:rPr>
        <w:t xml:space="preserve">    </w:t>
      </w:r>
    </w:p>
    <w:p w14:paraId="3B134BFF">
      <w:pPr>
        <w:spacing w:line="500" w:lineRule="exact"/>
        <w:rPr>
          <w:rFonts w:ascii="宋体" w:hAnsi="宋体"/>
          <w:b/>
          <w:bCs/>
          <w:sz w:val="24"/>
          <w:szCs w:val="24"/>
        </w:rPr>
      </w:pPr>
      <w:bookmarkStart w:id="275" w:name="_Toc446108032"/>
      <w:bookmarkStart w:id="276" w:name="_Toc361653992"/>
      <w:bookmarkStart w:id="277" w:name="_Toc442514372"/>
      <w:bookmarkStart w:id="278" w:name="_Toc410381409"/>
      <w:r>
        <w:rPr>
          <w:rFonts w:ascii="宋体" w:hAnsi="宋体"/>
          <w:b/>
          <w:bCs/>
          <w:sz w:val="24"/>
          <w:szCs w:val="24"/>
        </w:rPr>
        <w:t>9.  施工安全、治安保卫和环境保护</w:t>
      </w:r>
      <w:bookmarkEnd w:id="275"/>
      <w:bookmarkEnd w:id="276"/>
      <w:bookmarkEnd w:id="277"/>
      <w:bookmarkEnd w:id="278"/>
    </w:p>
    <w:p w14:paraId="26DC5EF4">
      <w:pPr>
        <w:spacing w:line="500" w:lineRule="exact"/>
        <w:rPr>
          <w:rFonts w:ascii="宋体" w:hAnsi="宋体"/>
          <w:b/>
          <w:bCs/>
          <w:sz w:val="24"/>
          <w:szCs w:val="24"/>
        </w:rPr>
      </w:pPr>
      <w:r>
        <w:rPr>
          <w:rFonts w:ascii="宋体" w:hAnsi="宋体"/>
          <w:b/>
          <w:bCs/>
          <w:sz w:val="24"/>
          <w:szCs w:val="24"/>
        </w:rPr>
        <w:t>9.1  招标人的施工安全责任</w:t>
      </w:r>
    </w:p>
    <w:p w14:paraId="70C20A0A">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9.1.4  招标人应按照《重庆市建设工程安全生产监督管理办法》（渝建发〔2008〕177号）、《重庆市房屋建筑和市政基础设施工程现场文明施工标准》（渝建发〔2008〕169号）等相关规定履行好招标人的施工安全责任。</w:t>
      </w:r>
    </w:p>
    <w:p w14:paraId="5DD6DF50">
      <w:pPr>
        <w:spacing w:line="500" w:lineRule="exact"/>
        <w:rPr>
          <w:rFonts w:ascii="宋体" w:hAnsi="宋体"/>
          <w:b/>
          <w:bCs/>
          <w:sz w:val="24"/>
          <w:szCs w:val="24"/>
        </w:rPr>
      </w:pPr>
      <w:r>
        <w:rPr>
          <w:rFonts w:ascii="宋体" w:hAnsi="宋体"/>
          <w:b/>
          <w:bCs/>
          <w:sz w:val="24"/>
          <w:szCs w:val="24"/>
        </w:rPr>
        <w:t>9.2  中标人的施工安全责任</w:t>
      </w:r>
    </w:p>
    <w:p w14:paraId="4F0FD15B">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9.2.8  中标人应按照《重庆市建设工程安全生产监督管理办法》（渝建发〔2008〕177号）等相关规定履行好中标人的施工安全责任。为确保施工期间安全，合同签订三日内中标人到现场与招标人共同商定施工时序，中标人按此时序调整施工组织方案和施工计划。</w:t>
      </w:r>
    </w:p>
    <w:p w14:paraId="1AC4E870">
      <w:pPr>
        <w:spacing w:line="500" w:lineRule="exact"/>
        <w:rPr>
          <w:rFonts w:ascii="宋体" w:hAnsi="宋体"/>
          <w:b/>
          <w:bCs/>
          <w:sz w:val="24"/>
          <w:szCs w:val="24"/>
        </w:rPr>
      </w:pPr>
      <w:r>
        <w:rPr>
          <w:rFonts w:ascii="宋体" w:hAnsi="宋体"/>
          <w:b/>
          <w:bCs/>
          <w:sz w:val="24"/>
          <w:szCs w:val="24"/>
        </w:rPr>
        <w:t>9.3  治安保卫</w:t>
      </w:r>
    </w:p>
    <w:p w14:paraId="3B6D4618">
      <w:pPr>
        <w:spacing w:line="500" w:lineRule="exact"/>
        <w:rPr>
          <w:rFonts w:ascii="宋体" w:hAnsi="宋体"/>
          <w:sz w:val="24"/>
          <w:szCs w:val="24"/>
        </w:rPr>
      </w:pPr>
      <w:r>
        <w:rPr>
          <w:rFonts w:ascii="宋体" w:hAnsi="宋体"/>
          <w:sz w:val="24"/>
          <w:szCs w:val="24"/>
        </w:rPr>
        <w:t xml:space="preserve">    9.3.1  现场治安管理机构或联防组织的组建：由中标人自行准备。  </w:t>
      </w:r>
    </w:p>
    <w:p w14:paraId="2C00F0B5">
      <w:pPr>
        <w:spacing w:line="500" w:lineRule="exact"/>
        <w:rPr>
          <w:rFonts w:ascii="宋体" w:hAnsi="宋体"/>
          <w:sz w:val="24"/>
          <w:szCs w:val="24"/>
        </w:rPr>
      </w:pPr>
      <w:r>
        <w:rPr>
          <w:rFonts w:ascii="宋体" w:hAnsi="宋体"/>
          <w:sz w:val="24"/>
          <w:szCs w:val="24"/>
        </w:rPr>
        <w:t xml:space="preserve">    9.3.3  施工场地治安管理计划和突发治安事件紧急预案的编制：由中标人自行解决。</w:t>
      </w:r>
    </w:p>
    <w:p w14:paraId="73241868">
      <w:pPr>
        <w:spacing w:line="500" w:lineRule="exact"/>
        <w:rPr>
          <w:rFonts w:ascii="宋体" w:hAnsi="宋体"/>
          <w:b/>
          <w:bCs/>
          <w:sz w:val="24"/>
          <w:szCs w:val="24"/>
        </w:rPr>
      </w:pPr>
      <w:r>
        <w:rPr>
          <w:rFonts w:ascii="宋体" w:hAnsi="宋体"/>
          <w:b/>
          <w:bCs/>
          <w:sz w:val="24"/>
          <w:szCs w:val="24"/>
        </w:rPr>
        <w:t>9.4  环境保护</w:t>
      </w:r>
    </w:p>
    <w:p w14:paraId="4A54AF47">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9.4.7 中标人应按照《房屋建筑和市政基础设施工程施工扬尘控制工作方案》（渝建发〔2009〕13号）、《重庆市房屋建筑和市政基础设施工程现场文明施工标准》（渝建发〔2008〕169号）等相关规定履行好施工扬尘控制、文明施工等责任。</w:t>
      </w:r>
    </w:p>
    <w:p w14:paraId="2F7CD7EE">
      <w:pPr>
        <w:spacing w:line="500" w:lineRule="exact"/>
        <w:rPr>
          <w:rFonts w:ascii="宋体" w:hAnsi="宋体"/>
          <w:b/>
          <w:bCs/>
          <w:sz w:val="24"/>
          <w:szCs w:val="24"/>
        </w:rPr>
      </w:pPr>
      <w:bookmarkStart w:id="279" w:name="_Toc446108033"/>
      <w:bookmarkStart w:id="280" w:name="_Toc442514373"/>
      <w:bookmarkStart w:id="281" w:name="_Toc410381410"/>
      <w:bookmarkStart w:id="282" w:name="_Toc361653993"/>
      <w:r>
        <w:rPr>
          <w:rFonts w:ascii="宋体" w:hAnsi="宋体"/>
          <w:b/>
          <w:bCs/>
          <w:sz w:val="24"/>
          <w:szCs w:val="24"/>
        </w:rPr>
        <w:t>10.  进度计划</w:t>
      </w:r>
      <w:bookmarkEnd w:id="279"/>
      <w:bookmarkEnd w:id="280"/>
      <w:bookmarkEnd w:id="281"/>
      <w:bookmarkEnd w:id="282"/>
      <w:r>
        <w:rPr>
          <w:rFonts w:ascii="宋体" w:hAnsi="宋体"/>
          <w:b/>
          <w:bCs/>
          <w:sz w:val="24"/>
          <w:szCs w:val="24"/>
        </w:rPr>
        <w:t xml:space="preserve"> </w:t>
      </w:r>
    </w:p>
    <w:p w14:paraId="2FD8C7F7">
      <w:pPr>
        <w:spacing w:line="500" w:lineRule="exact"/>
        <w:rPr>
          <w:rFonts w:ascii="宋体" w:hAnsi="宋体"/>
          <w:b/>
          <w:bCs/>
          <w:sz w:val="24"/>
          <w:szCs w:val="24"/>
        </w:rPr>
      </w:pPr>
      <w:r>
        <w:rPr>
          <w:rFonts w:ascii="宋体" w:hAnsi="宋体"/>
          <w:b/>
          <w:bCs/>
          <w:sz w:val="24"/>
          <w:szCs w:val="24"/>
        </w:rPr>
        <w:t>10.1  合同进度计划</w:t>
      </w:r>
    </w:p>
    <w:p w14:paraId="7C4A8EA6">
      <w:pPr>
        <w:spacing w:line="500" w:lineRule="exact"/>
        <w:ind w:firstLine="480" w:firstLineChars="200"/>
        <w:rPr>
          <w:rFonts w:ascii="宋体" w:hAnsi="宋体"/>
          <w:sz w:val="24"/>
          <w:szCs w:val="24"/>
        </w:rPr>
      </w:pPr>
      <w:r>
        <w:rPr>
          <w:rFonts w:ascii="宋体" w:hAnsi="宋体"/>
          <w:sz w:val="24"/>
          <w:szCs w:val="24"/>
        </w:rPr>
        <w:t xml:space="preserve">中标人编制施工方案的内容：同招标范围       </w:t>
      </w:r>
    </w:p>
    <w:p w14:paraId="661970B4">
      <w:pPr>
        <w:spacing w:line="500" w:lineRule="exact"/>
        <w:ind w:firstLine="480" w:firstLineChars="200"/>
        <w:rPr>
          <w:rFonts w:ascii="宋体" w:hAnsi="宋体"/>
          <w:sz w:val="24"/>
          <w:szCs w:val="24"/>
        </w:rPr>
      </w:pPr>
      <w:r>
        <w:rPr>
          <w:rFonts w:ascii="宋体" w:hAnsi="宋体"/>
          <w:sz w:val="24"/>
          <w:szCs w:val="24"/>
        </w:rPr>
        <w:t>中标人报送施工进度计划和施工方案的期限：</w:t>
      </w:r>
      <w:r>
        <w:rPr>
          <w:rFonts w:ascii="宋体" w:hAnsi="宋体"/>
          <w:sz w:val="24"/>
          <w:szCs w:val="24"/>
          <w:u w:val="single"/>
        </w:rPr>
        <w:t xml:space="preserve">同招投标文件，合同签订后10天内。  </w:t>
      </w:r>
    </w:p>
    <w:p w14:paraId="0EC1F2B6">
      <w:pPr>
        <w:spacing w:line="500" w:lineRule="exact"/>
        <w:ind w:firstLine="480" w:firstLineChars="200"/>
        <w:rPr>
          <w:rFonts w:ascii="宋体" w:hAnsi="宋体"/>
          <w:sz w:val="24"/>
          <w:szCs w:val="24"/>
          <w:u w:val="single"/>
        </w:rPr>
      </w:pPr>
      <w:r>
        <w:rPr>
          <w:rFonts w:ascii="宋体" w:hAnsi="宋体"/>
          <w:sz w:val="24"/>
          <w:szCs w:val="24"/>
        </w:rPr>
        <w:t>监理人批复施工进度计划和施工方案的期限：</w:t>
      </w:r>
      <w:r>
        <w:rPr>
          <w:rFonts w:ascii="宋体" w:hAnsi="宋体"/>
          <w:sz w:val="24"/>
          <w:szCs w:val="24"/>
          <w:u w:val="single"/>
        </w:rPr>
        <w:t xml:space="preserve"> 监理人应在收到有关文件7天内批复或提出修改意见。</w:t>
      </w:r>
    </w:p>
    <w:p w14:paraId="7BEF26CE">
      <w:pPr>
        <w:spacing w:line="500" w:lineRule="exact"/>
        <w:rPr>
          <w:rFonts w:ascii="宋体" w:hAnsi="宋体"/>
          <w:b/>
          <w:bCs/>
          <w:sz w:val="24"/>
          <w:szCs w:val="24"/>
        </w:rPr>
      </w:pPr>
      <w:bookmarkStart w:id="283" w:name="_Toc446108034"/>
      <w:bookmarkStart w:id="284" w:name="_Toc361653994"/>
      <w:bookmarkStart w:id="285" w:name="_Toc410381411"/>
      <w:bookmarkStart w:id="286" w:name="_Toc442514374"/>
      <w:r>
        <w:rPr>
          <w:rFonts w:ascii="宋体" w:hAnsi="宋体"/>
          <w:b/>
          <w:bCs/>
          <w:sz w:val="24"/>
          <w:szCs w:val="24"/>
        </w:rPr>
        <w:t>11.  开工和竣工</w:t>
      </w:r>
      <w:bookmarkEnd w:id="283"/>
      <w:bookmarkEnd w:id="284"/>
      <w:bookmarkEnd w:id="285"/>
      <w:bookmarkEnd w:id="286"/>
    </w:p>
    <w:p w14:paraId="040495A5">
      <w:pPr>
        <w:spacing w:line="500" w:lineRule="exact"/>
        <w:rPr>
          <w:rFonts w:ascii="宋体" w:hAnsi="宋体"/>
          <w:b/>
          <w:bCs/>
          <w:sz w:val="24"/>
          <w:szCs w:val="24"/>
        </w:rPr>
      </w:pPr>
      <w:r>
        <w:rPr>
          <w:rFonts w:ascii="宋体" w:hAnsi="宋体"/>
          <w:b/>
          <w:bCs/>
          <w:sz w:val="24"/>
          <w:szCs w:val="24"/>
        </w:rPr>
        <w:t>11.4  异常恶劣的气候条件</w:t>
      </w:r>
    </w:p>
    <w:p w14:paraId="4826331C">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 xml:space="preserve">异常恶劣的气候条件的范围：  </w:t>
      </w:r>
      <w:r>
        <w:rPr>
          <w:rFonts w:ascii="宋体" w:hAnsi="宋体"/>
          <w:sz w:val="24"/>
          <w:szCs w:val="24"/>
          <w:u w:val="single"/>
        </w:rPr>
        <w:t>按重庆市气象部门公布的50年一遇的最大降水(雪)量等资料确认。</w:t>
      </w:r>
    </w:p>
    <w:p w14:paraId="7DCC57EC">
      <w:pPr>
        <w:spacing w:line="500" w:lineRule="exact"/>
        <w:rPr>
          <w:rFonts w:ascii="宋体" w:hAnsi="宋体"/>
          <w:b/>
          <w:bCs/>
          <w:sz w:val="24"/>
          <w:szCs w:val="24"/>
        </w:rPr>
      </w:pPr>
      <w:r>
        <w:rPr>
          <w:rFonts w:ascii="宋体" w:hAnsi="宋体"/>
          <w:b/>
          <w:bCs/>
          <w:sz w:val="24"/>
          <w:szCs w:val="24"/>
        </w:rPr>
        <w:t>11.5中标人的工期延误</w:t>
      </w:r>
    </w:p>
    <w:p w14:paraId="443C722D">
      <w:pPr>
        <w:adjustRightInd w:val="0"/>
        <w:snapToGrid w:val="0"/>
        <w:spacing w:line="360" w:lineRule="auto"/>
        <w:rPr>
          <w:rFonts w:ascii="宋体" w:hAnsi="宋体"/>
          <w:sz w:val="24"/>
          <w:szCs w:val="24"/>
        </w:rPr>
      </w:pPr>
      <w:r>
        <w:rPr>
          <w:rFonts w:hint="eastAsia" w:ascii="宋体" w:hAnsi="宋体"/>
          <w:sz w:val="24"/>
          <w:szCs w:val="24"/>
        </w:rPr>
        <w:t xml:space="preserve">     逾期竣工违约金的计算方法： </w:t>
      </w:r>
      <w:r>
        <w:rPr>
          <w:rFonts w:hint="eastAsia" w:ascii="宋体" w:hAnsi="宋体"/>
          <w:sz w:val="24"/>
          <w:szCs w:val="24"/>
          <w:u w:val="single"/>
        </w:rPr>
        <w:t xml:space="preserve"> 逾期天数 ×5000元/天  </w:t>
      </w:r>
      <w:r>
        <w:rPr>
          <w:rFonts w:hint="eastAsia" w:ascii="宋体" w:hAnsi="宋体"/>
          <w:sz w:val="24"/>
          <w:szCs w:val="24"/>
        </w:rPr>
        <w:t xml:space="preserve">                         </w:t>
      </w:r>
    </w:p>
    <w:p w14:paraId="7727F30C">
      <w:pPr>
        <w:adjustRightInd w:val="0"/>
        <w:snapToGrid w:val="0"/>
        <w:spacing w:line="360" w:lineRule="auto"/>
        <w:rPr>
          <w:rFonts w:ascii="宋体" w:hAnsi="宋体"/>
          <w:sz w:val="24"/>
          <w:szCs w:val="24"/>
        </w:rPr>
      </w:pPr>
      <w:r>
        <w:rPr>
          <w:rFonts w:hint="eastAsia" w:ascii="宋体" w:hAnsi="宋体"/>
          <w:sz w:val="24"/>
          <w:szCs w:val="24"/>
        </w:rPr>
        <w:t xml:space="preserve">     逾期竣工违约金的限额：</w:t>
      </w:r>
      <w:r>
        <w:rPr>
          <w:rFonts w:hint="eastAsia" w:ascii="宋体" w:hAnsi="宋体"/>
          <w:sz w:val="24"/>
          <w:szCs w:val="24"/>
          <w:u w:val="single"/>
        </w:rPr>
        <w:t xml:space="preserve">   合同总价10%  </w:t>
      </w:r>
      <w:r>
        <w:rPr>
          <w:rFonts w:hint="eastAsia" w:ascii="宋体" w:hAnsi="宋体"/>
          <w:sz w:val="24"/>
          <w:szCs w:val="24"/>
        </w:rPr>
        <w:t xml:space="preserve">                        </w:t>
      </w:r>
    </w:p>
    <w:p w14:paraId="0748F1A7">
      <w:pPr>
        <w:spacing w:line="500" w:lineRule="exact"/>
        <w:rPr>
          <w:rFonts w:ascii="宋体" w:hAnsi="宋体"/>
          <w:b/>
          <w:bCs/>
          <w:sz w:val="24"/>
          <w:szCs w:val="24"/>
        </w:rPr>
      </w:pPr>
      <w:r>
        <w:rPr>
          <w:rFonts w:ascii="宋体" w:hAnsi="宋体"/>
          <w:b/>
          <w:bCs/>
          <w:sz w:val="24"/>
          <w:szCs w:val="24"/>
        </w:rPr>
        <w:t>11.6  中标人的工期提前</w:t>
      </w:r>
    </w:p>
    <w:p w14:paraId="5392F276">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提前竣工的奖励办法：</w:t>
      </w:r>
      <w:r>
        <w:rPr>
          <w:rFonts w:hint="eastAsia" w:ascii="宋体" w:hAnsi="宋体"/>
          <w:sz w:val="24"/>
          <w:szCs w:val="24"/>
          <w:u w:val="single"/>
        </w:rPr>
        <w:t xml:space="preserve"> </w:t>
      </w:r>
      <w:r>
        <w:rPr>
          <w:rFonts w:ascii="宋体" w:hAnsi="宋体"/>
          <w:sz w:val="24"/>
          <w:szCs w:val="24"/>
          <w:u w:val="single"/>
        </w:rPr>
        <w:t xml:space="preserve">/ </w:t>
      </w:r>
    </w:p>
    <w:p w14:paraId="6AB30F19">
      <w:pPr>
        <w:spacing w:line="500" w:lineRule="exact"/>
        <w:rPr>
          <w:rFonts w:ascii="宋体" w:hAnsi="宋体"/>
          <w:b/>
          <w:bCs/>
          <w:sz w:val="24"/>
          <w:szCs w:val="24"/>
        </w:rPr>
      </w:pPr>
      <w:bookmarkStart w:id="287" w:name="_Toc442514375"/>
      <w:bookmarkStart w:id="288" w:name="_Toc446108035"/>
      <w:bookmarkStart w:id="289" w:name="_Toc361653995"/>
      <w:bookmarkStart w:id="290" w:name="_Toc410381412"/>
      <w:r>
        <w:rPr>
          <w:rFonts w:ascii="宋体" w:hAnsi="宋体"/>
          <w:b/>
          <w:bCs/>
          <w:sz w:val="24"/>
          <w:szCs w:val="24"/>
        </w:rPr>
        <w:t>12.  暂停施工</w:t>
      </w:r>
      <w:bookmarkEnd w:id="287"/>
      <w:bookmarkEnd w:id="288"/>
      <w:bookmarkEnd w:id="289"/>
      <w:bookmarkEnd w:id="290"/>
      <w:r>
        <w:rPr>
          <w:rFonts w:ascii="宋体" w:hAnsi="宋体"/>
          <w:b/>
          <w:bCs/>
          <w:sz w:val="24"/>
          <w:szCs w:val="24"/>
        </w:rPr>
        <w:tab/>
      </w:r>
    </w:p>
    <w:p w14:paraId="38DC1709">
      <w:pPr>
        <w:spacing w:line="500" w:lineRule="exact"/>
        <w:rPr>
          <w:rFonts w:ascii="宋体" w:hAnsi="宋体"/>
          <w:sz w:val="24"/>
          <w:szCs w:val="24"/>
        </w:rPr>
      </w:pPr>
      <w:r>
        <w:rPr>
          <w:rFonts w:ascii="宋体" w:hAnsi="宋体"/>
          <w:b/>
          <w:bCs/>
          <w:sz w:val="24"/>
          <w:szCs w:val="24"/>
        </w:rPr>
        <w:t>12.1  中标人暂停施工的责任</w:t>
      </w:r>
    </w:p>
    <w:p w14:paraId="6610F6B8">
      <w:pPr>
        <w:spacing w:line="500" w:lineRule="exact"/>
        <w:rPr>
          <w:rFonts w:ascii="宋体" w:hAnsi="宋体"/>
          <w:sz w:val="24"/>
          <w:szCs w:val="24"/>
        </w:rPr>
      </w:pPr>
      <w:r>
        <w:rPr>
          <w:rFonts w:ascii="宋体" w:hAnsi="宋体"/>
          <w:sz w:val="24"/>
          <w:szCs w:val="24"/>
        </w:rPr>
        <w:t xml:space="preserve">    中标人承担暂停施工责任的其他情形：</w:t>
      </w:r>
      <w:r>
        <w:rPr>
          <w:rFonts w:hint="eastAsia" w:ascii="宋体" w:hAnsi="宋体"/>
          <w:sz w:val="24"/>
          <w:szCs w:val="24"/>
          <w:u w:val="single"/>
        </w:rPr>
        <w:t xml:space="preserve">              </w:t>
      </w:r>
      <w:r>
        <w:rPr>
          <w:rFonts w:ascii="宋体" w:hAnsi="宋体"/>
          <w:sz w:val="24"/>
          <w:szCs w:val="24"/>
          <w:u w:val="single"/>
        </w:rPr>
        <w:t>。</w:t>
      </w:r>
    </w:p>
    <w:p w14:paraId="3292F844">
      <w:pPr>
        <w:spacing w:line="500" w:lineRule="exact"/>
        <w:rPr>
          <w:rFonts w:ascii="宋体" w:hAnsi="宋体"/>
          <w:b/>
          <w:bCs/>
          <w:sz w:val="24"/>
          <w:szCs w:val="24"/>
        </w:rPr>
      </w:pPr>
      <w:bookmarkStart w:id="291" w:name="_Toc410381413"/>
      <w:bookmarkStart w:id="292" w:name="_Toc361653996"/>
      <w:bookmarkStart w:id="293" w:name="_Toc446108036"/>
      <w:bookmarkStart w:id="294" w:name="_Toc442514376"/>
      <w:r>
        <w:rPr>
          <w:rFonts w:ascii="宋体" w:hAnsi="宋体"/>
          <w:b/>
          <w:bCs/>
          <w:sz w:val="24"/>
          <w:szCs w:val="24"/>
        </w:rPr>
        <w:t>13.  工程质量</w:t>
      </w:r>
      <w:bookmarkEnd w:id="291"/>
      <w:bookmarkEnd w:id="292"/>
      <w:bookmarkEnd w:id="293"/>
      <w:bookmarkEnd w:id="294"/>
    </w:p>
    <w:p w14:paraId="3F0B1FF4">
      <w:pPr>
        <w:spacing w:line="500" w:lineRule="exact"/>
        <w:rPr>
          <w:rFonts w:ascii="宋体" w:hAnsi="宋体"/>
          <w:b/>
          <w:bCs/>
          <w:sz w:val="24"/>
          <w:szCs w:val="24"/>
        </w:rPr>
      </w:pPr>
      <w:r>
        <w:rPr>
          <w:rFonts w:ascii="宋体" w:hAnsi="宋体"/>
          <w:b/>
          <w:bCs/>
          <w:sz w:val="24"/>
          <w:szCs w:val="24"/>
        </w:rPr>
        <w:t>13.1  工程质量要求</w:t>
      </w:r>
    </w:p>
    <w:p w14:paraId="71F5FE82">
      <w:pPr>
        <w:spacing w:line="500" w:lineRule="exact"/>
        <w:ind w:firstLine="480" w:firstLineChars="200"/>
        <w:rPr>
          <w:rFonts w:ascii="宋体" w:hAnsi="宋体"/>
          <w:sz w:val="24"/>
          <w:szCs w:val="24"/>
        </w:rPr>
      </w:pPr>
      <w:r>
        <w:rPr>
          <w:rFonts w:ascii="宋体" w:hAnsi="宋体"/>
          <w:sz w:val="24"/>
          <w:szCs w:val="24"/>
        </w:rPr>
        <w:t>增加下列项： 13.1.4  招标人、监理和中标人在工程建设中，按照有关规范和上级有关要求进行验收，并执行以下规定：</w:t>
      </w:r>
    </w:p>
    <w:p w14:paraId="67C8AE38">
      <w:pPr>
        <w:spacing w:line="500" w:lineRule="exact"/>
        <w:ind w:firstLine="480" w:firstLineChars="200"/>
        <w:rPr>
          <w:rFonts w:ascii="宋体" w:hAnsi="宋体"/>
          <w:sz w:val="24"/>
          <w:szCs w:val="24"/>
        </w:rPr>
      </w:pPr>
      <w:r>
        <w:rPr>
          <w:rFonts w:ascii="宋体" w:hAnsi="宋体"/>
          <w:sz w:val="24"/>
          <w:szCs w:val="24"/>
        </w:rPr>
        <w:t>经过审查的设计图纸、设计变更、图纸会审纪要和相关设计图集；</w:t>
      </w:r>
    </w:p>
    <w:p w14:paraId="2ED5F2A7">
      <w:pPr>
        <w:spacing w:line="500" w:lineRule="exact"/>
        <w:ind w:firstLine="480" w:firstLineChars="200"/>
        <w:rPr>
          <w:rFonts w:ascii="宋体" w:hAnsi="宋体"/>
          <w:sz w:val="24"/>
          <w:szCs w:val="24"/>
        </w:rPr>
      </w:pPr>
      <w:r>
        <w:rPr>
          <w:rFonts w:ascii="宋体" w:hAnsi="宋体"/>
          <w:sz w:val="24"/>
          <w:szCs w:val="24"/>
        </w:rPr>
        <w:t>《建筑工程施工质量验收统一标准》GB50300-2013；</w:t>
      </w:r>
    </w:p>
    <w:p w14:paraId="282F8817">
      <w:pPr>
        <w:spacing w:line="500" w:lineRule="exact"/>
        <w:ind w:firstLine="480" w:firstLineChars="200"/>
        <w:rPr>
          <w:rFonts w:ascii="宋体" w:hAnsi="宋体"/>
          <w:sz w:val="24"/>
          <w:szCs w:val="24"/>
        </w:rPr>
      </w:pPr>
      <w:r>
        <w:rPr>
          <w:rFonts w:ascii="宋体" w:hAnsi="宋体"/>
          <w:sz w:val="24"/>
          <w:szCs w:val="24"/>
        </w:rPr>
        <w:t>《建筑地基基础工程施工质量验收规范》GB50202-2002；</w:t>
      </w:r>
    </w:p>
    <w:p w14:paraId="10A299C7">
      <w:pPr>
        <w:spacing w:line="500" w:lineRule="exact"/>
        <w:ind w:firstLine="480" w:firstLineChars="200"/>
        <w:rPr>
          <w:rFonts w:ascii="宋体" w:hAnsi="宋体"/>
          <w:sz w:val="24"/>
          <w:szCs w:val="24"/>
        </w:rPr>
      </w:pPr>
      <w:r>
        <w:rPr>
          <w:rFonts w:ascii="宋体" w:hAnsi="宋体"/>
          <w:sz w:val="24"/>
          <w:szCs w:val="24"/>
        </w:rPr>
        <w:t>《砌体工程施工质量验收规范》GB50203-2011；</w:t>
      </w:r>
    </w:p>
    <w:p w14:paraId="553B1C33">
      <w:pPr>
        <w:spacing w:line="500" w:lineRule="exact"/>
        <w:ind w:firstLine="480" w:firstLineChars="200"/>
        <w:rPr>
          <w:rFonts w:ascii="宋体" w:hAnsi="宋体"/>
          <w:sz w:val="24"/>
          <w:szCs w:val="24"/>
        </w:rPr>
      </w:pPr>
      <w:r>
        <w:rPr>
          <w:rFonts w:ascii="宋体" w:hAnsi="宋体"/>
          <w:sz w:val="24"/>
          <w:szCs w:val="24"/>
        </w:rPr>
        <w:t>《混凝土结构工程施工质量验收规范》GB50204-2015；</w:t>
      </w:r>
    </w:p>
    <w:p w14:paraId="6380E58E">
      <w:pPr>
        <w:spacing w:line="500" w:lineRule="exact"/>
        <w:ind w:firstLine="480" w:firstLineChars="200"/>
        <w:rPr>
          <w:rFonts w:ascii="宋体" w:hAnsi="宋体"/>
          <w:sz w:val="24"/>
          <w:szCs w:val="24"/>
        </w:rPr>
      </w:pPr>
      <w:r>
        <w:rPr>
          <w:rFonts w:hint="eastAsia" w:ascii="宋体" w:hAnsi="宋体"/>
          <w:sz w:val="24"/>
          <w:szCs w:val="24"/>
        </w:rPr>
        <w:t>《</w:t>
      </w:r>
      <w:r>
        <w:rPr>
          <w:rFonts w:ascii="宋体" w:hAnsi="宋体"/>
          <w:sz w:val="24"/>
          <w:szCs w:val="24"/>
        </w:rPr>
        <w:t>建筑地面工程施工质量验收规范》GB50209-2010；</w:t>
      </w:r>
    </w:p>
    <w:p w14:paraId="4CA11213">
      <w:pPr>
        <w:spacing w:line="500" w:lineRule="exact"/>
        <w:ind w:firstLine="480" w:firstLineChars="200"/>
        <w:rPr>
          <w:rFonts w:ascii="宋体" w:hAnsi="宋体"/>
          <w:sz w:val="24"/>
          <w:szCs w:val="24"/>
        </w:rPr>
      </w:pPr>
      <w:r>
        <w:rPr>
          <w:rFonts w:ascii="宋体" w:hAnsi="宋体"/>
          <w:sz w:val="24"/>
          <w:szCs w:val="24"/>
        </w:rPr>
        <w:t>《建筑给水排水及采暖工程施工质量验收规范》GB50242-2002；</w:t>
      </w:r>
    </w:p>
    <w:p w14:paraId="35CD3EF5">
      <w:pPr>
        <w:spacing w:line="500" w:lineRule="exact"/>
        <w:ind w:firstLine="480" w:firstLineChars="200"/>
        <w:rPr>
          <w:rFonts w:ascii="宋体" w:hAnsi="宋体"/>
          <w:sz w:val="24"/>
          <w:szCs w:val="24"/>
        </w:rPr>
      </w:pPr>
      <w:r>
        <w:rPr>
          <w:rFonts w:ascii="宋体" w:hAnsi="宋体"/>
          <w:sz w:val="24"/>
          <w:szCs w:val="24"/>
        </w:rPr>
        <w:t>《钢结构工程施工质量验收规范》（GB50205-2001）</w:t>
      </w:r>
    </w:p>
    <w:p w14:paraId="4255D106">
      <w:pPr>
        <w:spacing w:line="500" w:lineRule="exact"/>
        <w:ind w:firstLine="480" w:firstLineChars="200"/>
        <w:rPr>
          <w:rFonts w:ascii="宋体" w:hAnsi="宋体"/>
          <w:sz w:val="24"/>
          <w:szCs w:val="24"/>
        </w:rPr>
      </w:pPr>
      <w:r>
        <w:rPr>
          <w:rFonts w:ascii="宋体" w:hAnsi="宋体"/>
          <w:sz w:val="24"/>
          <w:szCs w:val="24"/>
        </w:rPr>
        <w:t>其它国家及地方的相关施工规范及标准；</w:t>
      </w:r>
    </w:p>
    <w:p w14:paraId="3BA5EA3C">
      <w:pPr>
        <w:spacing w:line="500" w:lineRule="exact"/>
        <w:ind w:firstLine="480" w:firstLineChars="200"/>
        <w:rPr>
          <w:rFonts w:ascii="宋体" w:hAnsi="宋体"/>
          <w:sz w:val="24"/>
          <w:szCs w:val="24"/>
        </w:rPr>
      </w:pPr>
      <w:r>
        <w:rPr>
          <w:rFonts w:ascii="宋体" w:hAnsi="宋体"/>
          <w:sz w:val="24"/>
          <w:szCs w:val="24"/>
        </w:rPr>
        <w:t>《建设工程施工合同》、《工程建设监理合同》中有关质量控制的规定。</w:t>
      </w:r>
    </w:p>
    <w:p w14:paraId="5A803CC0">
      <w:pPr>
        <w:spacing w:line="500" w:lineRule="exact"/>
        <w:ind w:firstLine="480" w:firstLineChars="200"/>
        <w:rPr>
          <w:rFonts w:ascii="宋体" w:hAnsi="宋体"/>
          <w:sz w:val="24"/>
          <w:szCs w:val="24"/>
        </w:rPr>
      </w:pPr>
      <w:r>
        <w:rPr>
          <w:rFonts w:ascii="宋体" w:hAnsi="宋体"/>
          <w:sz w:val="24"/>
          <w:szCs w:val="24"/>
        </w:rPr>
        <w:t>13.1.5  招标人、监理和中标人在工程建设中，应执行重庆市建筑工程相关地方标准。</w:t>
      </w:r>
    </w:p>
    <w:p w14:paraId="21F1B64B">
      <w:pPr>
        <w:spacing w:line="500" w:lineRule="exact"/>
        <w:rPr>
          <w:rFonts w:ascii="宋体" w:hAnsi="宋体"/>
          <w:b/>
          <w:bCs/>
          <w:sz w:val="24"/>
          <w:szCs w:val="24"/>
        </w:rPr>
      </w:pPr>
      <w:r>
        <w:rPr>
          <w:rFonts w:ascii="宋体" w:hAnsi="宋体"/>
          <w:b/>
          <w:bCs/>
          <w:sz w:val="24"/>
          <w:szCs w:val="24"/>
        </w:rPr>
        <w:t>13.2  中标人的质量检查</w:t>
      </w:r>
    </w:p>
    <w:p w14:paraId="4F065311">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中标人提交工程质量保证措施文件的期限：</w:t>
      </w:r>
      <w:r>
        <w:rPr>
          <w:rFonts w:ascii="宋体" w:hAnsi="宋体"/>
          <w:sz w:val="24"/>
          <w:szCs w:val="24"/>
          <w:u w:val="single"/>
        </w:rPr>
        <w:t>合同签订后10天内。</w:t>
      </w:r>
      <w:r>
        <w:rPr>
          <w:rFonts w:ascii="宋体" w:hAnsi="宋体"/>
          <w:sz w:val="24"/>
          <w:szCs w:val="24"/>
        </w:rPr>
        <w:t xml:space="preserve">  </w:t>
      </w:r>
    </w:p>
    <w:p w14:paraId="7F11E6E3">
      <w:pPr>
        <w:tabs>
          <w:tab w:val="left" w:pos="3000"/>
          <w:tab w:val="left" w:pos="3280"/>
          <w:tab w:val="left" w:pos="6120"/>
          <w:tab w:val="left" w:pos="7540"/>
          <w:tab w:val="left" w:pos="8320"/>
        </w:tabs>
        <w:spacing w:line="500" w:lineRule="exact"/>
        <w:rPr>
          <w:rFonts w:ascii="宋体" w:hAnsi="宋体"/>
          <w:b/>
          <w:bCs/>
          <w:sz w:val="24"/>
          <w:szCs w:val="24"/>
        </w:rPr>
      </w:pPr>
      <w:bookmarkStart w:id="295" w:name="_Toc351203642"/>
      <w:r>
        <w:rPr>
          <w:rFonts w:ascii="宋体" w:hAnsi="宋体"/>
          <w:b/>
          <w:bCs/>
          <w:sz w:val="24"/>
          <w:szCs w:val="24"/>
        </w:rPr>
        <w:t>15. 变更</w:t>
      </w:r>
      <w:bookmarkEnd w:id="295"/>
    </w:p>
    <w:p w14:paraId="407B493E">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15.1变更的范围与内容</w:t>
      </w:r>
    </w:p>
    <w:p w14:paraId="635C2453">
      <w:pPr>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 xml:space="preserve">变更的范围与内容变更的范围和内容以监理人发出的书面变更令为准。 </w:t>
      </w:r>
    </w:p>
    <w:p w14:paraId="166DE27D">
      <w:pPr>
        <w:spacing w:line="500" w:lineRule="exact"/>
        <w:rPr>
          <w:rFonts w:ascii="宋体" w:hAnsi="宋体"/>
          <w:b/>
          <w:bCs/>
          <w:sz w:val="24"/>
          <w:szCs w:val="24"/>
        </w:rPr>
      </w:pPr>
      <w:r>
        <w:rPr>
          <w:rFonts w:ascii="宋体" w:hAnsi="宋体"/>
          <w:b/>
          <w:bCs/>
          <w:sz w:val="24"/>
          <w:szCs w:val="24"/>
        </w:rPr>
        <w:t>15.3变更程序</w:t>
      </w:r>
    </w:p>
    <w:p w14:paraId="3FCBDD30">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b/>
          <w:bCs/>
          <w:sz w:val="24"/>
          <w:szCs w:val="24"/>
        </w:rPr>
        <w:t>15.3.2 变更估价</w:t>
      </w:r>
    </w:p>
    <w:p w14:paraId="0B05A5BE">
      <w:pPr>
        <w:spacing w:line="500" w:lineRule="exact"/>
        <w:rPr>
          <w:rFonts w:ascii="宋体" w:hAnsi="宋体"/>
          <w:sz w:val="24"/>
          <w:szCs w:val="24"/>
        </w:rPr>
      </w:pPr>
      <w:r>
        <w:rPr>
          <w:rFonts w:ascii="宋体" w:hAnsi="宋体"/>
          <w:sz w:val="24"/>
          <w:szCs w:val="24"/>
        </w:rPr>
        <w:t xml:space="preserve">    中标人提交变更报价书的期限：中标人应在收到变更指示或变更意向书后的7天内，向监理人提交变更报价书。 </w:t>
      </w:r>
    </w:p>
    <w:p w14:paraId="734D27EF">
      <w:pPr>
        <w:spacing w:line="500" w:lineRule="exact"/>
        <w:rPr>
          <w:rFonts w:ascii="宋体" w:hAnsi="宋体"/>
          <w:sz w:val="24"/>
          <w:szCs w:val="24"/>
        </w:rPr>
      </w:pPr>
      <w:r>
        <w:rPr>
          <w:rFonts w:ascii="宋体" w:hAnsi="宋体"/>
          <w:sz w:val="24"/>
          <w:szCs w:val="24"/>
        </w:rPr>
        <w:t xml:space="preserve">     监理人商定或确定变更价格的期限：  监理人应在收到中标人变更报价书后的</w:t>
      </w:r>
      <w:r>
        <w:rPr>
          <w:rFonts w:hint="eastAsia" w:ascii="宋体" w:hAnsi="宋体"/>
          <w:sz w:val="24"/>
          <w:szCs w:val="24"/>
        </w:rPr>
        <w:t>7</w:t>
      </w:r>
      <w:r>
        <w:rPr>
          <w:rFonts w:ascii="宋体" w:hAnsi="宋体"/>
          <w:sz w:val="24"/>
          <w:szCs w:val="24"/>
        </w:rPr>
        <w:t xml:space="preserve">天内完成价格核定报招标人审核同意后与中标人商定或确定变更价格。 </w:t>
      </w:r>
    </w:p>
    <w:p w14:paraId="544E8AA0">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15.4 变更估价原则</w:t>
      </w:r>
    </w:p>
    <w:p w14:paraId="6E00986E">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sz w:val="24"/>
          <w:szCs w:val="24"/>
        </w:rPr>
        <w:t>按本项目</w:t>
      </w:r>
      <w:r>
        <w:rPr>
          <w:rFonts w:hint="eastAsia" w:ascii="宋体" w:hAnsi="宋体"/>
          <w:sz w:val="24"/>
          <w:szCs w:val="24"/>
        </w:rPr>
        <w:t>磋商</w:t>
      </w:r>
      <w:r>
        <w:rPr>
          <w:rFonts w:ascii="宋体" w:hAnsi="宋体"/>
          <w:sz w:val="24"/>
          <w:szCs w:val="24"/>
        </w:rPr>
        <w:t>文件第</w:t>
      </w:r>
      <w:r>
        <w:rPr>
          <w:rFonts w:hint="eastAsia" w:ascii="宋体" w:hAnsi="宋体"/>
          <w:sz w:val="24"/>
          <w:szCs w:val="24"/>
        </w:rPr>
        <w:t>三篇报价要求</w:t>
      </w:r>
      <w:r>
        <w:rPr>
          <w:rFonts w:ascii="宋体" w:hAnsi="宋体"/>
          <w:sz w:val="24"/>
          <w:szCs w:val="24"/>
        </w:rPr>
        <w:t>执行。</w:t>
      </w:r>
      <w:bookmarkStart w:id="296" w:name="_Toc296503197"/>
      <w:bookmarkStart w:id="297" w:name="_Toc297216203"/>
      <w:bookmarkStart w:id="298" w:name="_Toc296944536"/>
      <w:bookmarkStart w:id="299" w:name="_Toc296347196"/>
      <w:bookmarkStart w:id="300" w:name="_Toc296346698"/>
      <w:bookmarkStart w:id="301" w:name="_Toc297048383"/>
      <w:bookmarkStart w:id="302" w:name="_Toc292559402"/>
      <w:bookmarkStart w:id="303" w:name="_Toc296891237"/>
      <w:bookmarkStart w:id="304" w:name="_Toc296891025"/>
      <w:bookmarkStart w:id="305" w:name="_Toc300934993"/>
      <w:bookmarkStart w:id="306" w:name="_Toc297123544"/>
      <w:bookmarkStart w:id="307" w:name="_Toc292559907"/>
      <w:bookmarkStart w:id="308" w:name="_Toc297120497"/>
      <w:bookmarkStart w:id="309" w:name="_Toc303539150"/>
      <w:bookmarkStart w:id="310" w:name="_Toc312678029"/>
      <w:bookmarkStart w:id="311" w:name="_Toc304295570"/>
      <w:bookmarkStart w:id="312" w:name="_Toc312677503"/>
    </w:p>
    <w:p w14:paraId="1AF94D4A">
      <w:pPr>
        <w:tabs>
          <w:tab w:val="left" w:pos="3000"/>
          <w:tab w:val="left" w:pos="3280"/>
          <w:tab w:val="left" w:pos="6120"/>
          <w:tab w:val="left" w:pos="7540"/>
          <w:tab w:val="left" w:pos="8320"/>
        </w:tabs>
        <w:spacing w:line="500" w:lineRule="exact"/>
        <w:rPr>
          <w:rFonts w:ascii="宋体" w:hAnsi="宋体"/>
          <w:b/>
          <w:bCs/>
          <w:sz w:val="24"/>
          <w:szCs w:val="24"/>
        </w:rPr>
      </w:pPr>
      <w:r>
        <w:rPr>
          <w:rFonts w:ascii="宋体" w:hAnsi="宋体"/>
          <w:b/>
          <w:bCs/>
          <w:sz w:val="24"/>
          <w:szCs w:val="24"/>
        </w:rPr>
        <w:t>15.5承</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Start w:id="313" w:name="_Toc303539151"/>
      <w:bookmarkStart w:id="314" w:name="_Toc297123545"/>
      <w:bookmarkStart w:id="315" w:name="_Toc296891243"/>
      <w:bookmarkStart w:id="316" w:name="_Toc296347202"/>
      <w:bookmarkStart w:id="317" w:name="_Toc296944542"/>
      <w:bookmarkStart w:id="318" w:name="_Toc292559913"/>
      <w:bookmarkStart w:id="319" w:name="_Toc297120503"/>
      <w:bookmarkStart w:id="320" w:name="_Toc292559408"/>
      <w:bookmarkStart w:id="321" w:name="_Toc297048389"/>
      <w:bookmarkStart w:id="322" w:name="_Toc297216204"/>
      <w:bookmarkStart w:id="323" w:name="_Toc300934994"/>
      <w:bookmarkStart w:id="324" w:name="_Toc296503203"/>
      <w:bookmarkStart w:id="325" w:name="_Toc296346704"/>
      <w:bookmarkStart w:id="326" w:name="_Toc296891031"/>
      <w:r>
        <w:rPr>
          <w:rFonts w:ascii="宋体" w:hAnsi="宋体"/>
          <w:b/>
          <w:bCs/>
          <w:sz w:val="24"/>
          <w:szCs w:val="24"/>
        </w:rPr>
        <w:t>包人的合理化建议</w:t>
      </w:r>
    </w:p>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p w14:paraId="2795AC9C">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sz w:val="24"/>
          <w:szCs w:val="24"/>
        </w:rPr>
        <w:t xml:space="preserve"> </w:t>
      </w:r>
      <w:r>
        <w:rPr>
          <w:rFonts w:hint="eastAsia" w:ascii="宋体" w:hAnsi="宋体"/>
          <w:sz w:val="24"/>
          <w:szCs w:val="24"/>
        </w:rPr>
        <w:t xml:space="preserve">   </w:t>
      </w:r>
      <w:r>
        <w:rPr>
          <w:rFonts w:ascii="宋体" w:hAnsi="宋体"/>
          <w:sz w:val="24"/>
          <w:szCs w:val="24"/>
        </w:rPr>
        <w:t>15.5.2  对中标人提出合理化建议的奖励方法：</w:t>
      </w:r>
      <w:r>
        <w:rPr>
          <w:rFonts w:ascii="宋体" w:hAnsi="宋体"/>
          <w:sz w:val="24"/>
          <w:szCs w:val="24"/>
          <w:u w:val="single"/>
        </w:rPr>
        <w:t xml:space="preserve">不采用 </w:t>
      </w:r>
      <w:r>
        <w:rPr>
          <w:rFonts w:ascii="宋体" w:hAnsi="宋体"/>
          <w:sz w:val="24"/>
          <w:szCs w:val="24"/>
        </w:rPr>
        <w:t>。</w:t>
      </w:r>
    </w:p>
    <w:p w14:paraId="7D305238">
      <w:pPr>
        <w:tabs>
          <w:tab w:val="left" w:pos="3000"/>
          <w:tab w:val="left" w:pos="3280"/>
          <w:tab w:val="left" w:pos="6120"/>
          <w:tab w:val="left" w:pos="7540"/>
          <w:tab w:val="left" w:pos="8320"/>
        </w:tabs>
        <w:spacing w:line="500" w:lineRule="exact"/>
        <w:rPr>
          <w:rFonts w:ascii="宋体" w:hAnsi="宋体"/>
          <w:sz w:val="24"/>
          <w:szCs w:val="24"/>
        </w:rPr>
      </w:pPr>
      <w:r>
        <w:rPr>
          <w:rFonts w:ascii="宋体" w:hAnsi="宋体"/>
          <w:b/>
          <w:bCs/>
          <w:sz w:val="24"/>
          <w:szCs w:val="24"/>
        </w:rPr>
        <w:t>1</w:t>
      </w:r>
      <w:bookmarkStart w:id="327" w:name="_Toc296347198"/>
      <w:bookmarkStart w:id="328" w:name="_Toc297123548"/>
      <w:bookmarkStart w:id="329" w:name="_Toc292559404"/>
      <w:bookmarkStart w:id="330" w:name="_Toc296346700"/>
      <w:bookmarkStart w:id="331" w:name="_Toc296891027"/>
      <w:bookmarkStart w:id="332" w:name="_Toc300934997"/>
      <w:bookmarkStart w:id="333" w:name="_Toc297216207"/>
      <w:bookmarkStart w:id="334" w:name="_Toc297120499"/>
      <w:bookmarkStart w:id="335" w:name="_Toc292559909"/>
      <w:bookmarkStart w:id="336" w:name="_Toc312677507"/>
      <w:bookmarkStart w:id="337" w:name="_Toc296503199"/>
      <w:bookmarkStart w:id="338" w:name="_Toc312678033"/>
      <w:bookmarkStart w:id="339" w:name="_Toc304295574"/>
      <w:bookmarkStart w:id="340" w:name="_Toc296891239"/>
      <w:bookmarkStart w:id="341" w:name="_Toc297048385"/>
      <w:bookmarkStart w:id="342" w:name="_Toc296944538"/>
      <w:bookmarkStart w:id="343" w:name="_Toc303539154"/>
      <w:r>
        <w:rPr>
          <w:rFonts w:ascii="宋体" w:hAnsi="宋体"/>
          <w:b/>
          <w:bCs/>
          <w:sz w:val="24"/>
          <w:szCs w:val="24"/>
        </w:rPr>
        <w:t>5.8 暂估价</w:t>
      </w:r>
    </w:p>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p w14:paraId="660A081D">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暂估价由招标人认质认价办理结算。</w:t>
      </w:r>
    </w:p>
    <w:p w14:paraId="1ACCA65D">
      <w:pPr>
        <w:tabs>
          <w:tab w:val="left" w:pos="3000"/>
          <w:tab w:val="left" w:pos="3280"/>
          <w:tab w:val="left" w:pos="6120"/>
          <w:tab w:val="left" w:pos="7540"/>
          <w:tab w:val="left" w:pos="8320"/>
        </w:tabs>
        <w:spacing w:line="500" w:lineRule="exact"/>
        <w:rPr>
          <w:rFonts w:ascii="宋体" w:hAnsi="宋体"/>
          <w:b/>
          <w:bCs/>
          <w:sz w:val="24"/>
          <w:szCs w:val="24"/>
        </w:rPr>
      </w:pPr>
      <w:bookmarkStart w:id="344" w:name="_Toc351203643"/>
      <w:r>
        <w:rPr>
          <w:rFonts w:ascii="宋体" w:hAnsi="宋体"/>
          <w:b/>
          <w:bCs/>
          <w:sz w:val="24"/>
          <w:szCs w:val="24"/>
        </w:rPr>
        <w:t>16. 价格调整</w:t>
      </w:r>
      <w:bookmarkEnd w:id="344"/>
    </w:p>
    <w:p w14:paraId="15F483AB">
      <w:pPr>
        <w:adjustRightInd w:val="0"/>
        <w:snapToGrid w:val="0"/>
        <w:spacing w:line="500" w:lineRule="exact"/>
        <w:ind w:left="420"/>
        <w:rPr>
          <w:rFonts w:ascii="宋体" w:hAnsi="宋体"/>
          <w:b/>
          <w:bCs/>
          <w:sz w:val="24"/>
          <w:szCs w:val="24"/>
        </w:rPr>
      </w:pPr>
      <w:r>
        <w:rPr>
          <w:rFonts w:ascii="宋体" w:hAnsi="宋体"/>
          <w:b/>
          <w:bCs/>
          <w:sz w:val="24"/>
          <w:szCs w:val="24"/>
        </w:rPr>
        <w:t>16.1  物价波动引起的价格调整</w:t>
      </w:r>
    </w:p>
    <w:p w14:paraId="0A4E7939">
      <w:pPr>
        <w:adjustRightInd w:val="0"/>
        <w:snapToGrid w:val="0"/>
        <w:spacing w:line="500" w:lineRule="exact"/>
        <w:ind w:left="420"/>
        <w:rPr>
          <w:rFonts w:ascii="宋体" w:hAnsi="宋体"/>
          <w:bCs/>
          <w:sz w:val="24"/>
          <w:szCs w:val="24"/>
          <w:u w:val="single"/>
        </w:rPr>
      </w:pPr>
      <w:r>
        <w:rPr>
          <w:rFonts w:hint="eastAsia" w:ascii="宋体" w:hAnsi="宋体"/>
          <w:bCs/>
          <w:sz w:val="24"/>
          <w:szCs w:val="24"/>
        </w:rPr>
        <w:t>物价波动引起的价格调整方法</w:t>
      </w:r>
      <w:r>
        <w:rPr>
          <w:rFonts w:ascii="宋体" w:hAnsi="宋体"/>
          <w:bCs/>
          <w:sz w:val="24"/>
          <w:szCs w:val="24"/>
        </w:rPr>
        <w:t>：</w:t>
      </w:r>
      <w:r>
        <w:rPr>
          <w:rFonts w:hint="eastAsia" w:ascii="宋体" w:hAnsi="宋体"/>
          <w:bCs/>
          <w:sz w:val="24"/>
          <w:szCs w:val="24"/>
          <w:u w:val="single"/>
        </w:rPr>
        <w:t>不执行。</w:t>
      </w:r>
    </w:p>
    <w:p w14:paraId="47922F81">
      <w:pPr>
        <w:spacing w:line="500" w:lineRule="exact"/>
        <w:rPr>
          <w:rFonts w:ascii="宋体" w:hAnsi="宋体"/>
          <w:b/>
          <w:bCs/>
          <w:sz w:val="24"/>
          <w:szCs w:val="24"/>
        </w:rPr>
      </w:pPr>
      <w:bookmarkStart w:id="345" w:name="_Toc410381416"/>
      <w:bookmarkStart w:id="346" w:name="_Toc442514379"/>
      <w:bookmarkStart w:id="347" w:name="_Toc446108039"/>
      <w:bookmarkStart w:id="348" w:name="_Toc361653999"/>
      <w:r>
        <w:rPr>
          <w:rFonts w:ascii="宋体" w:hAnsi="宋体"/>
          <w:b/>
          <w:bCs/>
          <w:sz w:val="24"/>
          <w:szCs w:val="24"/>
        </w:rPr>
        <w:t>17.  计量与支付</w:t>
      </w:r>
      <w:bookmarkEnd w:id="345"/>
      <w:bookmarkEnd w:id="346"/>
      <w:bookmarkEnd w:id="347"/>
      <w:bookmarkEnd w:id="348"/>
    </w:p>
    <w:p w14:paraId="07CE329C">
      <w:pPr>
        <w:spacing w:line="500" w:lineRule="exact"/>
        <w:rPr>
          <w:rFonts w:ascii="宋体" w:hAnsi="宋体"/>
          <w:b/>
          <w:bCs/>
          <w:sz w:val="24"/>
          <w:szCs w:val="24"/>
        </w:rPr>
      </w:pPr>
      <w:r>
        <w:rPr>
          <w:rFonts w:ascii="宋体" w:hAnsi="宋体"/>
          <w:b/>
          <w:bCs/>
          <w:sz w:val="24"/>
          <w:szCs w:val="24"/>
        </w:rPr>
        <w:t>17.1  计量</w:t>
      </w:r>
      <w:r>
        <w:rPr>
          <w:rFonts w:ascii="宋体" w:hAnsi="宋体"/>
          <w:b/>
          <w:bCs/>
          <w:sz w:val="24"/>
          <w:szCs w:val="24"/>
        </w:rPr>
        <w:tab/>
      </w:r>
    </w:p>
    <w:p w14:paraId="6BA06161">
      <w:pPr>
        <w:spacing w:line="500" w:lineRule="exact"/>
        <w:rPr>
          <w:rFonts w:ascii="宋体" w:hAnsi="宋体"/>
          <w:sz w:val="24"/>
          <w:szCs w:val="24"/>
        </w:rPr>
      </w:pPr>
      <w:r>
        <w:rPr>
          <w:rFonts w:ascii="宋体" w:hAnsi="宋体"/>
          <w:sz w:val="24"/>
          <w:szCs w:val="24"/>
        </w:rPr>
        <w:t xml:space="preserve">    17.1.3  计量周期</w:t>
      </w:r>
    </w:p>
    <w:p w14:paraId="1F04C679">
      <w:pPr>
        <w:spacing w:line="500" w:lineRule="exact"/>
        <w:rPr>
          <w:rFonts w:ascii="宋体" w:hAnsi="宋体"/>
          <w:sz w:val="24"/>
          <w:szCs w:val="24"/>
        </w:rPr>
      </w:pPr>
      <w:r>
        <w:rPr>
          <w:rFonts w:ascii="宋体" w:hAnsi="宋体"/>
          <w:sz w:val="24"/>
          <w:szCs w:val="24"/>
        </w:rPr>
        <w:t xml:space="preserve">    本合同的计量周期：</w:t>
      </w:r>
      <w:r>
        <w:rPr>
          <w:rFonts w:hint="eastAsia" w:ascii="宋体" w:hAnsi="宋体"/>
          <w:sz w:val="24"/>
          <w:u w:val="single"/>
        </w:rPr>
        <w:t xml:space="preserve">  </w:t>
      </w:r>
      <w:r>
        <w:rPr>
          <w:rFonts w:hint="eastAsia" w:ascii="宋体" w:hAnsi="宋体"/>
          <w:b/>
          <w:bCs/>
          <w:sz w:val="24"/>
          <w:szCs w:val="24"/>
          <w:u w:val="single"/>
        </w:rPr>
        <w:t xml:space="preserve">   </w:t>
      </w:r>
      <w:r>
        <w:rPr>
          <w:rFonts w:hint="eastAsia" w:ascii="宋体" w:hAnsi="宋体"/>
          <w:bCs/>
          <w:sz w:val="24"/>
          <w:szCs w:val="24"/>
          <w:u w:val="single"/>
        </w:rPr>
        <w:t xml:space="preserve"> 不执行   </w:t>
      </w:r>
      <w:r>
        <w:rPr>
          <w:rFonts w:hint="eastAsia" w:ascii="宋体" w:hAnsi="宋体"/>
          <w:b/>
          <w:bCs/>
          <w:sz w:val="24"/>
          <w:szCs w:val="24"/>
          <w:u w:val="single"/>
        </w:rPr>
        <w:t xml:space="preserve"> </w:t>
      </w:r>
      <w:r>
        <w:rPr>
          <w:rFonts w:hint="eastAsia" w:ascii="宋体" w:hAnsi="宋体"/>
          <w:sz w:val="24"/>
          <w:u w:val="single"/>
        </w:rPr>
        <w:t>。</w:t>
      </w:r>
      <w:r>
        <w:rPr>
          <w:rFonts w:ascii="宋体" w:hAnsi="宋体"/>
          <w:sz w:val="24"/>
          <w:szCs w:val="24"/>
        </w:rPr>
        <w:t xml:space="preserve">  </w:t>
      </w:r>
    </w:p>
    <w:p w14:paraId="7A5F4AA2">
      <w:pPr>
        <w:spacing w:line="500" w:lineRule="exact"/>
        <w:rPr>
          <w:rFonts w:ascii="宋体" w:hAnsi="宋体"/>
          <w:sz w:val="24"/>
          <w:szCs w:val="24"/>
        </w:rPr>
      </w:pPr>
      <w:r>
        <w:rPr>
          <w:rFonts w:ascii="宋体" w:hAnsi="宋体"/>
          <w:sz w:val="24"/>
          <w:szCs w:val="24"/>
        </w:rPr>
        <w:t xml:space="preserve">    17.1.5  总价子目的计量</w:t>
      </w:r>
    </w:p>
    <w:p w14:paraId="6C83C055">
      <w:pPr>
        <w:spacing w:line="500" w:lineRule="exact"/>
        <w:rPr>
          <w:rFonts w:ascii="宋体" w:hAnsi="宋体"/>
          <w:b/>
          <w:bCs/>
          <w:sz w:val="24"/>
          <w:szCs w:val="24"/>
          <w:u w:val="single"/>
        </w:rPr>
      </w:pPr>
      <w:r>
        <w:rPr>
          <w:rFonts w:ascii="宋体" w:hAnsi="宋体"/>
          <w:sz w:val="24"/>
          <w:szCs w:val="24"/>
        </w:rPr>
        <w:t xml:space="preserve">    总价子目的计量方法：</w:t>
      </w:r>
      <w:r>
        <w:rPr>
          <w:rFonts w:hint="eastAsia" w:ascii="宋体" w:hAnsi="宋体"/>
          <w:bCs/>
          <w:sz w:val="24"/>
          <w:szCs w:val="24"/>
          <w:u w:val="single"/>
        </w:rPr>
        <w:t xml:space="preserve">按照实际竣工验收工程量  </w:t>
      </w:r>
      <w:r>
        <w:rPr>
          <w:rFonts w:hint="eastAsia" w:ascii="宋体" w:hAnsi="宋体"/>
          <w:b/>
          <w:bCs/>
          <w:sz w:val="24"/>
          <w:szCs w:val="24"/>
          <w:u w:val="single"/>
        </w:rPr>
        <w:t>。</w:t>
      </w:r>
    </w:p>
    <w:p w14:paraId="46601196">
      <w:pPr>
        <w:spacing w:line="500" w:lineRule="exact"/>
        <w:rPr>
          <w:rFonts w:ascii="宋体" w:hAnsi="宋体"/>
          <w:b/>
          <w:bCs/>
          <w:sz w:val="24"/>
          <w:szCs w:val="24"/>
        </w:rPr>
      </w:pPr>
      <w:bookmarkStart w:id="349" w:name="_Toc446108040"/>
      <w:r>
        <w:rPr>
          <w:rFonts w:ascii="宋体" w:hAnsi="宋体"/>
          <w:b/>
          <w:bCs/>
          <w:sz w:val="24"/>
          <w:szCs w:val="24"/>
        </w:rPr>
        <w:t>17.2  预付款</w:t>
      </w:r>
      <w:bookmarkEnd w:id="349"/>
    </w:p>
    <w:p w14:paraId="46E837FB">
      <w:pPr>
        <w:spacing w:line="500" w:lineRule="exact"/>
        <w:rPr>
          <w:rFonts w:ascii="宋体" w:hAnsi="宋体"/>
          <w:sz w:val="24"/>
          <w:szCs w:val="24"/>
        </w:rPr>
      </w:pPr>
      <w:r>
        <w:rPr>
          <w:rFonts w:ascii="宋体" w:hAnsi="宋体"/>
          <w:sz w:val="24"/>
          <w:szCs w:val="24"/>
        </w:rPr>
        <w:t xml:space="preserve">    17.2.1  预付款</w:t>
      </w:r>
    </w:p>
    <w:p w14:paraId="13E04C0B">
      <w:pPr>
        <w:pStyle w:val="158"/>
        <w:spacing w:line="420" w:lineRule="exact"/>
        <w:ind w:firstLine="480"/>
        <w:rPr>
          <w:rFonts w:ascii="宋体" w:hAnsi="宋体"/>
          <w:szCs w:val="24"/>
        </w:rPr>
      </w:pPr>
      <w:r>
        <w:rPr>
          <w:rFonts w:ascii="宋体" w:hAnsi="宋体"/>
          <w:szCs w:val="24"/>
        </w:rPr>
        <w:t>预付款额度和预付方法：</w:t>
      </w:r>
      <w:r>
        <w:rPr>
          <w:rFonts w:hint="eastAsia" w:ascii="宋体" w:hAnsi="宋体"/>
          <w:bCs/>
          <w:szCs w:val="24"/>
          <w:u w:val="single"/>
        </w:rPr>
        <w:t>支付预付款。</w:t>
      </w:r>
    </w:p>
    <w:p w14:paraId="25627DC9">
      <w:pPr>
        <w:spacing w:line="500" w:lineRule="exact"/>
        <w:rPr>
          <w:rFonts w:ascii="宋体" w:hAnsi="宋体"/>
          <w:sz w:val="24"/>
          <w:szCs w:val="24"/>
        </w:rPr>
      </w:pPr>
      <w:r>
        <w:rPr>
          <w:rFonts w:ascii="宋体" w:hAnsi="宋体"/>
          <w:sz w:val="24"/>
          <w:szCs w:val="24"/>
        </w:rPr>
        <w:t xml:space="preserve">    17.2.2  预付款保函</w:t>
      </w:r>
    </w:p>
    <w:p w14:paraId="5D87337D">
      <w:pPr>
        <w:spacing w:line="500" w:lineRule="exact"/>
        <w:rPr>
          <w:rFonts w:ascii="宋体" w:hAnsi="宋体"/>
          <w:sz w:val="24"/>
          <w:szCs w:val="24"/>
        </w:rPr>
      </w:pPr>
      <w:r>
        <w:rPr>
          <w:rFonts w:ascii="宋体" w:hAnsi="宋体"/>
          <w:sz w:val="24"/>
          <w:szCs w:val="24"/>
        </w:rPr>
        <w:t xml:space="preserve">    预付款保函的提交时间：</w:t>
      </w:r>
      <w:r>
        <w:rPr>
          <w:rFonts w:ascii="宋体" w:hAnsi="宋体"/>
          <w:sz w:val="24"/>
          <w:szCs w:val="24"/>
          <w:u w:val="single"/>
        </w:rPr>
        <w:t xml:space="preserve">   </w:t>
      </w:r>
      <w:r>
        <w:rPr>
          <w:rFonts w:hint="eastAsia" w:ascii="宋体" w:hAnsi="宋体"/>
          <w:sz w:val="24"/>
          <w:szCs w:val="24"/>
          <w:u w:val="single"/>
          <w:lang w:val="en-US" w:eastAsia="zh-CN"/>
        </w:rPr>
        <w:t xml:space="preserve">  </w:t>
      </w:r>
      <w:r>
        <w:rPr>
          <w:rFonts w:ascii="宋体" w:hAnsi="宋体"/>
          <w:sz w:val="24"/>
          <w:szCs w:val="24"/>
          <w:u w:val="single"/>
        </w:rPr>
        <w:t xml:space="preserve"> </w:t>
      </w:r>
      <w:r>
        <w:rPr>
          <w:rFonts w:ascii="宋体" w:hAnsi="宋体"/>
          <w:sz w:val="24"/>
          <w:szCs w:val="24"/>
        </w:rPr>
        <w:t xml:space="preserve">  </w:t>
      </w:r>
    </w:p>
    <w:p w14:paraId="2F2694D0">
      <w:pPr>
        <w:spacing w:line="500" w:lineRule="exact"/>
        <w:rPr>
          <w:rFonts w:ascii="宋体" w:hAnsi="宋体"/>
          <w:sz w:val="24"/>
          <w:szCs w:val="24"/>
        </w:rPr>
      </w:pPr>
      <w:r>
        <w:rPr>
          <w:rFonts w:ascii="宋体" w:hAnsi="宋体"/>
          <w:sz w:val="24"/>
          <w:szCs w:val="24"/>
        </w:rPr>
        <w:t xml:space="preserve">    17.2.3  预付款的扣回与还清</w:t>
      </w:r>
    </w:p>
    <w:p w14:paraId="3C854895">
      <w:pPr>
        <w:spacing w:line="500" w:lineRule="exact"/>
        <w:rPr>
          <w:rFonts w:ascii="宋体" w:hAnsi="宋体"/>
          <w:sz w:val="24"/>
          <w:szCs w:val="24"/>
        </w:rPr>
      </w:pPr>
      <w:r>
        <w:rPr>
          <w:rFonts w:ascii="宋体" w:hAnsi="宋体"/>
          <w:sz w:val="24"/>
          <w:szCs w:val="24"/>
        </w:rPr>
        <w:t xml:space="preserve">    预付款的扣回办法：</w:t>
      </w:r>
      <w:r>
        <w:rPr>
          <w:rFonts w:hint="eastAsia" w:ascii="宋体" w:hAnsi="宋体"/>
          <w:sz w:val="24"/>
          <w:szCs w:val="24"/>
          <w:lang w:val="en-US" w:eastAsia="zh-CN"/>
        </w:rPr>
        <w:t xml:space="preserve"> </w:t>
      </w:r>
      <w:r>
        <w:rPr>
          <w:rFonts w:ascii="宋体" w:hAnsi="宋体"/>
          <w:sz w:val="24"/>
          <w:szCs w:val="24"/>
          <w:u w:val="single"/>
        </w:rPr>
        <w:t xml:space="preserve">   </w:t>
      </w:r>
      <w:r>
        <w:rPr>
          <w:rFonts w:hint="eastAsia" w:ascii="宋体" w:hAnsi="宋体"/>
          <w:sz w:val="24"/>
          <w:szCs w:val="24"/>
        </w:rPr>
        <w:t>。</w:t>
      </w:r>
      <w:r>
        <w:rPr>
          <w:rFonts w:ascii="宋体" w:hAnsi="宋体"/>
          <w:sz w:val="24"/>
          <w:szCs w:val="24"/>
        </w:rPr>
        <w:t xml:space="preserve">   </w:t>
      </w:r>
    </w:p>
    <w:p w14:paraId="572DB05B">
      <w:pPr>
        <w:spacing w:line="500" w:lineRule="exact"/>
        <w:rPr>
          <w:rFonts w:ascii="宋体" w:hAnsi="宋体"/>
          <w:b/>
          <w:bCs/>
          <w:sz w:val="24"/>
          <w:szCs w:val="24"/>
        </w:rPr>
      </w:pPr>
      <w:r>
        <w:rPr>
          <w:rFonts w:ascii="宋体" w:hAnsi="宋体"/>
          <w:b/>
          <w:bCs/>
          <w:sz w:val="24"/>
          <w:szCs w:val="24"/>
        </w:rPr>
        <w:t>17.3  进度款</w:t>
      </w:r>
    </w:p>
    <w:p w14:paraId="69CBC103">
      <w:pPr>
        <w:spacing w:line="500" w:lineRule="exact"/>
        <w:rPr>
          <w:rFonts w:ascii="宋体" w:hAnsi="宋体"/>
          <w:sz w:val="24"/>
          <w:szCs w:val="24"/>
        </w:rPr>
      </w:pPr>
      <w:r>
        <w:rPr>
          <w:rFonts w:ascii="宋体" w:hAnsi="宋体"/>
          <w:sz w:val="24"/>
          <w:szCs w:val="24"/>
        </w:rPr>
        <w:t>17.3.2  进度付款申请单</w:t>
      </w:r>
    </w:p>
    <w:p w14:paraId="4109862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进度付款申请单的份数：</w:t>
      </w:r>
      <w:r>
        <w:rPr>
          <w:rFonts w:hint="eastAsia" w:ascii="宋体" w:hAnsi="宋体"/>
          <w:sz w:val="24"/>
          <w:szCs w:val="24"/>
        </w:rPr>
        <w:t>3</w:t>
      </w:r>
      <w:r>
        <w:rPr>
          <w:rFonts w:ascii="宋体" w:hAnsi="宋体"/>
          <w:sz w:val="24"/>
          <w:szCs w:val="24"/>
        </w:rPr>
        <w:t xml:space="preserve">份    </w:t>
      </w:r>
    </w:p>
    <w:p w14:paraId="72920DD0">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进度付款申请单的内容：</w:t>
      </w:r>
    </w:p>
    <w:p w14:paraId="286A6671">
      <w:pPr>
        <w:snapToGrid w:val="0"/>
        <w:spacing w:line="360" w:lineRule="auto"/>
        <w:rPr>
          <w:rFonts w:ascii="宋体" w:hAnsi="宋体"/>
          <w:sz w:val="24"/>
          <w:szCs w:val="24"/>
        </w:rPr>
      </w:pPr>
      <w:r>
        <w:rPr>
          <w:rFonts w:ascii="宋体" w:hAnsi="宋体"/>
          <w:sz w:val="24"/>
          <w:szCs w:val="24"/>
        </w:rPr>
        <w:t>17.3.3工程款支付：</w:t>
      </w:r>
    </w:p>
    <w:p w14:paraId="6A86BDBF">
      <w:pPr>
        <w:snapToGrid w:val="0"/>
        <w:spacing w:line="360" w:lineRule="auto"/>
        <w:ind w:firstLine="480" w:firstLineChars="200"/>
        <w:rPr>
          <w:rFonts w:ascii="宋体" w:hAnsi="宋体"/>
          <w:sz w:val="24"/>
          <w:szCs w:val="24"/>
        </w:rPr>
      </w:pPr>
      <w:r>
        <w:rPr>
          <w:rFonts w:hint="eastAsia" w:ascii="宋体" w:hAnsi="宋体"/>
          <w:sz w:val="24"/>
          <w:szCs w:val="24"/>
        </w:rPr>
        <w:t>1.本工程支付预付款；</w:t>
      </w:r>
    </w:p>
    <w:p w14:paraId="1E107DB3">
      <w:pPr>
        <w:snapToGrid w:val="0"/>
        <w:spacing w:line="360" w:lineRule="auto"/>
        <w:ind w:firstLine="480" w:firstLineChars="200"/>
        <w:rPr>
          <w:rFonts w:ascii="宋体" w:hAnsi="宋体"/>
          <w:sz w:val="24"/>
          <w:szCs w:val="24"/>
        </w:rPr>
      </w:pPr>
      <w:r>
        <w:rPr>
          <w:rFonts w:hint="eastAsia" w:ascii="宋体" w:hAnsi="宋体"/>
          <w:sz w:val="24"/>
          <w:szCs w:val="24"/>
        </w:rPr>
        <w:t>2.支付方式：签订合同后支付50%的预付款，验收合格后支付尾款，具体支付时间以区财政局批准为准。</w:t>
      </w:r>
    </w:p>
    <w:p w14:paraId="5B0BB533">
      <w:pPr>
        <w:spacing w:line="500" w:lineRule="exact"/>
        <w:rPr>
          <w:rFonts w:ascii="宋体" w:hAnsi="宋体"/>
          <w:b/>
          <w:bCs/>
          <w:sz w:val="24"/>
          <w:szCs w:val="24"/>
        </w:rPr>
      </w:pPr>
      <w:bookmarkStart w:id="350" w:name="_Toc340567440"/>
      <w:r>
        <w:rPr>
          <w:rFonts w:ascii="宋体" w:hAnsi="宋体"/>
          <w:b/>
          <w:bCs/>
          <w:sz w:val="24"/>
          <w:szCs w:val="24"/>
        </w:rPr>
        <w:t>17.5  竣工结算</w:t>
      </w:r>
      <w:bookmarkEnd w:id="350"/>
    </w:p>
    <w:p w14:paraId="6AB9A5FE">
      <w:pPr>
        <w:snapToGrid w:val="0"/>
        <w:spacing w:line="500" w:lineRule="exact"/>
        <w:ind w:firstLine="480" w:firstLineChars="200"/>
        <w:rPr>
          <w:rFonts w:ascii="宋体" w:hAnsi="宋体"/>
          <w:sz w:val="24"/>
          <w:szCs w:val="24"/>
        </w:rPr>
      </w:pPr>
      <w:r>
        <w:rPr>
          <w:rFonts w:hint="eastAsia" w:ascii="宋体" w:hAnsi="宋体"/>
          <w:sz w:val="24"/>
          <w:szCs w:val="24"/>
        </w:rPr>
        <w:t>结算总价=成交价±工程量据实调整费用±安全文明施工费据实调整±合同约定的其他因素。</w:t>
      </w:r>
    </w:p>
    <w:p w14:paraId="2F12F24B">
      <w:pPr>
        <w:snapToGrid w:val="0"/>
        <w:spacing w:line="500" w:lineRule="exact"/>
        <w:ind w:firstLine="480" w:firstLineChars="200"/>
        <w:rPr>
          <w:rFonts w:ascii="宋体" w:hAnsi="宋体"/>
          <w:sz w:val="24"/>
          <w:szCs w:val="24"/>
        </w:rPr>
      </w:pPr>
      <w:r>
        <w:rPr>
          <w:rFonts w:hint="eastAsia" w:ascii="宋体" w:hAnsi="宋体"/>
          <w:sz w:val="24"/>
          <w:szCs w:val="24"/>
        </w:rPr>
        <w:t>结算成交综合单价确定：该项目的成交综合单价将由报价文件”（第一轮报价）中的清单综合单价按照最后报价下浮比例（最后报价与第一轮报价相比的下浮比例）同比例下浮进行计算</w:t>
      </w:r>
      <w:r>
        <w:rPr>
          <w:rFonts w:ascii="宋体" w:hAnsi="宋体"/>
          <w:sz w:val="24"/>
          <w:szCs w:val="24"/>
        </w:rPr>
        <w:t>。</w:t>
      </w:r>
    </w:p>
    <w:p w14:paraId="4E40D1E9">
      <w:pPr>
        <w:snapToGrid w:val="0"/>
        <w:spacing w:line="500" w:lineRule="exact"/>
        <w:ind w:firstLine="480" w:firstLineChars="200"/>
        <w:rPr>
          <w:rFonts w:ascii="宋体" w:hAnsi="宋体"/>
          <w:sz w:val="24"/>
          <w:szCs w:val="24"/>
        </w:rPr>
      </w:pPr>
      <w:r>
        <w:rPr>
          <w:rFonts w:hint="eastAsia" w:ascii="宋体" w:hAnsi="宋体"/>
          <w:sz w:val="24"/>
          <w:szCs w:val="24"/>
        </w:rPr>
        <w:t>具体结算办法如下：</w:t>
      </w:r>
    </w:p>
    <w:p w14:paraId="43E68C01">
      <w:pPr>
        <w:snapToGrid w:val="0"/>
        <w:spacing w:line="500" w:lineRule="exact"/>
        <w:ind w:firstLine="480" w:firstLineChars="200"/>
        <w:rPr>
          <w:rFonts w:ascii="宋体" w:hAnsi="宋体"/>
          <w:sz w:val="24"/>
          <w:szCs w:val="24"/>
        </w:rPr>
      </w:pPr>
      <w:r>
        <w:rPr>
          <w:rFonts w:hint="eastAsia" w:ascii="宋体" w:hAnsi="宋体"/>
          <w:sz w:val="24"/>
          <w:szCs w:val="24"/>
        </w:rPr>
        <w:t xml:space="preserve">1、当工程变更与工程量清单报价中有相同子项的，则按该子项的成交综合单价执行； </w:t>
      </w:r>
    </w:p>
    <w:p w14:paraId="30832A2D">
      <w:pPr>
        <w:snapToGrid w:val="0"/>
        <w:spacing w:line="500" w:lineRule="exact"/>
        <w:ind w:firstLine="480" w:firstLineChars="200"/>
        <w:rPr>
          <w:rFonts w:ascii="宋体" w:hAnsi="宋体"/>
          <w:sz w:val="24"/>
          <w:szCs w:val="24"/>
        </w:rPr>
      </w:pPr>
      <w:r>
        <w:rPr>
          <w:rFonts w:hint="eastAsia" w:ascii="宋体" w:hAnsi="宋体"/>
          <w:sz w:val="24"/>
          <w:szCs w:val="24"/>
        </w:rPr>
        <w:t>2、当工程变更与工程量清单报价中有类似子项的，则参照磋商报价中类似子项的成交综合单价执行（类似子项由采购人审定）；</w:t>
      </w:r>
    </w:p>
    <w:p w14:paraId="4510FB79">
      <w:pPr>
        <w:snapToGrid w:val="0"/>
        <w:spacing w:line="500" w:lineRule="exact"/>
        <w:ind w:firstLine="480" w:firstLineChars="200"/>
        <w:rPr>
          <w:rFonts w:ascii="宋体" w:hAnsi="宋体"/>
          <w:sz w:val="24"/>
          <w:szCs w:val="24"/>
        </w:rPr>
      </w:pPr>
      <w:r>
        <w:rPr>
          <w:rFonts w:hint="eastAsia" w:ascii="宋体" w:hAnsi="宋体"/>
          <w:sz w:val="24"/>
          <w:szCs w:val="24"/>
        </w:rPr>
        <w:t>3、当工程变更与工程量清单报价中无相同子项或类似子项的，按第三篇报价要求第3条所列定额及其配套、修改、调整文件执行，人工及材料价格调整按合同施工期间《重庆工程造价信息》公布的荣昌地区指导价均价执行，未有的材料价格必须经业主认质认价后办理结算，</w:t>
      </w:r>
      <w:r>
        <w:rPr>
          <w:rFonts w:ascii="宋体" w:hAnsi="宋体"/>
          <w:sz w:val="24"/>
          <w:szCs w:val="24"/>
        </w:rPr>
        <w:t>组价后，按最后报价与</w:t>
      </w:r>
      <w:r>
        <w:rPr>
          <w:rFonts w:hint="eastAsia" w:ascii="宋体" w:hAnsi="宋体"/>
          <w:sz w:val="24"/>
          <w:szCs w:val="24"/>
        </w:rPr>
        <w:t>磋商</w:t>
      </w:r>
      <w:r>
        <w:rPr>
          <w:rFonts w:ascii="宋体" w:hAnsi="宋体"/>
          <w:sz w:val="24"/>
          <w:szCs w:val="24"/>
        </w:rPr>
        <w:t>控制价的比例，同比例调整。</w:t>
      </w:r>
      <w:r>
        <w:rPr>
          <w:rFonts w:hint="eastAsia" w:ascii="宋体" w:hAnsi="宋体"/>
          <w:sz w:val="24"/>
          <w:szCs w:val="24"/>
        </w:rPr>
        <w:t>（认质认价的材料价格、安全文明施工费及税金除外）；</w:t>
      </w:r>
    </w:p>
    <w:p w14:paraId="4F9612CA">
      <w:pPr>
        <w:snapToGrid w:val="0"/>
        <w:spacing w:line="500" w:lineRule="exact"/>
        <w:ind w:firstLine="480" w:firstLineChars="200"/>
        <w:rPr>
          <w:rFonts w:ascii="宋体" w:hAnsi="宋体"/>
          <w:sz w:val="24"/>
          <w:szCs w:val="24"/>
        </w:rPr>
      </w:pPr>
      <w:r>
        <w:rPr>
          <w:rFonts w:hint="eastAsia" w:ascii="宋体" w:hAnsi="宋体"/>
          <w:sz w:val="24"/>
          <w:szCs w:val="24"/>
        </w:rPr>
        <w:t>4、因承包人原因引起的工程量增加,不予计量、计价。</w:t>
      </w:r>
    </w:p>
    <w:p w14:paraId="14360D0B">
      <w:pPr>
        <w:snapToGrid w:val="0"/>
        <w:spacing w:line="500" w:lineRule="exact"/>
        <w:ind w:firstLine="480" w:firstLineChars="200"/>
        <w:rPr>
          <w:rFonts w:ascii="宋体" w:hAnsi="宋体"/>
          <w:sz w:val="24"/>
          <w:szCs w:val="24"/>
        </w:rPr>
      </w:pPr>
      <w:r>
        <w:rPr>
          <w:rFonts w:hint="eastAsia" w:ascii="宋体" w:hAnsi="宋体"/>
          <w:sz w:val="24"/>
          <w:szCs w:val="24"/>
        </w:rPr>
        <w:t>5、技术措施费结算时不予调整，包干使用。</w:t>
      </w:r>
    </w:p>
    <w:p w14:paraId="6D1B8A6D">
      <w:pPr>
        <w:snapToGrid w:val="0"/>
        <w:spacing w:line="500" w:lineRule="exact"/>
        <w:ind w:firstLine="480" w:firstLineChars="200"/>
        <w:rPr>
          <w:rFonts w:ascii="宋体" w:hAnsi="宋体"/>
          <w:sz w:val="24"/>
          <w:szCs w:val="24"/>
        </w:rPr>
      </w:pPr>
      <w:r>
        <w:rPr>
          <w:rFonts w:hint="eastAsia" w:ascii="宋体" w:hAnsi="宋体"/>
          <w:sz w:val="24"/>
          <w:szCs w:val="24"/>
        </w:rPr>
        <w:t>6、专业工程暂估价和材料的暂定价格由业主认质认价办理结算。</w:t>
      </w:r>
    </w:p>
    <w:p w14:paraId="52E98D32">
      <w:pPr>
        <w:snapToGrid w:val="0"/>
        <w:spacing w:line="500" w:lineRule="exact"/>
        <w:ind w:firstLine="480" w:firstLineChars="200"/>
        <w:rPr>
          <w:rFonts w:ascii="宋体" w:hAnsi="宋体"/>
          <w:sz w:val="24"/>
          <w:szCs w:val="24"/>
        </w:rPr>
      </w:pPr>
      <w:r>
        <w:rPr>
          <w:rFonts w:hint="eastAsia" w:ascii="宋体" w:hAnsi="宋体"/>
          <w:sz w:val="24"/>
          <w:szCs w:val="24"/>
        </w:rPr>
        <w:t>7、本工程结算最终以审计部门审定的金额为准。</w:t>
      </w:r>
    </w:p>
    <w:p w14:paraId="1CD38B98">
      <w:pPr>
        <w:spacing w:line="500" w:lineRule="exact"/>
        <w:rPr>
          <w:rFonts w:ascii="宋体" w:hAnsi="宋体"/>
          <w:b/>
          <w:bCs/>
          <w:sz w:val="24"/>
          <w:szCs w:val="24"/>
        </w:rPr>
      </w:pPr>
      <w:r>
        <w:rPr>
          <w:rFonts w:ascii="宋体" w:hAnsi="宋体"/>
          <w:b/>
          <w:bCs/>
          <w:sz w:val="24"/>
          <w:szCs w:val="24"/>
        </w:rPr>
        <w:t>17.6  最终结清</w:t>
      </w:r>
    </w:p>
    <w:p w14:paraId="5223E4AD">
      <w:pPr>
        <w:spacing w:line="500" w:lineRule="exact"/>
        <w:rPr>
          <w:rFonts w:ascii="宋体" w:hAnsi="宋体"/>
          <w:sz w:val="24"/>
          <w:szCs w:val="24"/>
        </w:rPr>
      </w:pPr>
      <w:r>
        <w:rPr>
          <w:rFonts w:ascii="宋体" w:hAnsi="宋体"/>
          <w:b/>
          <w:bCs/>
          <w:sz w:val="24"/>
          <w:szCs w:val="24"/>
        </w:rPr>
        <w:t>17.6.1  最终结清申请单</w:t>
      </w:r>
    </w:p>
    <w:p w14:paraId="26DE7432">
      <w:pPr>
        <w:spacing w:line="500" w:lineRule="exact"/>
        <w:rPr>
          <w:rFonts w:ascii="宋体" w:hAnsi="宋体"/>
          <w:sz w:val="24"/>
          <w:szCs w:val="24"/>
          <w:u w:val="single"/>
        </w:rPr>
      </w:pPr>
      <w:r>
        <w:rPr>
          <w:rFonts w:hint="eastAsia" w:ascii="宋体" w:hAnsi="宋体"/>
          <w:sz w:val="24"/>
          <w:szCs w:val="24"/>
        </w:rPr>
        <w:t xml:space="preserve">    </w:t>
      </w:r>
      <w:r>
        <w:rPr>
          <w:rFonts w:ascii="宋体" w:hAnsi="宋体"/>
          <w:sz w:val="24"/>
          <w:szCs w:val="24"/>
        </w:rPr>
        <w:t>最终结清申请单的份数和提交期限：</w:t>
      </w:r>
      <w:r>
        <w:rPr>
          <w:rFonts w:ascii="宋体" w:hAnsi="宋体"/>
          <w:sz w:val="24"/>
          <w:szCs w:val="24"/>
          <w:u w:val="single"/>
        </w:rPr>
        <w:t xml:space="preserve"> </w:t>
      </w:r>
      <w:bookmarkStart w:id="351" w:name="_Toc442514380"/>
      <w:bookmarkStart w:id="352" w:name="_Toc446108041"/>
      <w:bookmarkStart w:id="353" w:name="_Toc410381417"/>
      <w:bookmarkStart w:id="354" w:name="_Toc361654000"/>
      <w:r>
        <w:rPr>
          <w:rFonts w:hint="eastAsia" w:ascii="宋体" w:hAnsi="宋体"/>
          <w:sz w:val="24"/>
          <w:szCs w:val="24"/>
          <w:u w:val="single"/>
        </w:rPr>
        <w:t xml:space="preserve">                          </w:t>
      </w:r>
    </w:p>
    <w:p w14:paraId="4963DB38">
      <w:pPr>
        <w:spacing w:line="500" w:lineRule="exact"/>
        <w:rPr>
          <w:rFonts w:ascii="宋体" w:hAnsi="宋体"/>
          <w:b/>
          <w:bCs/>
          <w:sz w:val="24"/>
          <w:szCs w:val="24"/>
        </w:rPr>
      </w:pPr>
      <w:r>
        <w:rPr>
          <w:rFonts w:hint="eastAsia" w:ascii="宋体" w:hAnsi="宋体"/>
          <w:b/>
          <w:bCs/>
          <w:sz w:val="24"/>
          <w:szCs w:val="24"/>
        </w:rPr>
        <w:t xml:space="preserve">18.  </w:t>
      </w:r>
      <w:r>
        <w:rPr>
          <w:rFonts w:ascii="宋体" w:hAnsi="宋体"/>
          <w:b/>
          <w:bCs/>
          <w:sz w:val="24"/>
          <w:szCs w:val="24"/>
        </w:rPr>
        <w:t>竣工验收</w:t>
      </w:r>
      <w:bookmarkEnd w:id="351"/>
      <w:bookmarkEnd w:id="352"/>
      <w:bookmarkEnd w:id="353"/>
      <w:bookmarkEnd w:id="354"/>
    </w:p>
    <w:p w14:paraId="1D8E734A">
      <w:pPr>
        <w:spacing w:line="500" w:lineRule="exact"/>
        <w:rPr>
          <w:rFonts w:ascii="宋体" w:hAnsi="宋体"/>
          <w:b/>
          <w:bCs/>
          <w:sz w:val="24"/>
          <w:szCs w:val="24"/>
        </w:rPr>
      </w:pPr>
      <w:r>
        <w:rPr>
          <w:rFonts w:ascii="宋体" w:hAnsi="宋体"/>
          <w:b/>
          <w:bCs/>
          <w:sz w:val="24"/>
          <w:szCs w:val="24"/>
        </w:rPr>
        <w:t>18.2  竣工验收申请报告</w:t>
      </w:r>
    </w:p>
    <w:p w14:paraId="4682B8C0">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竣工资料内容：</w:t>
      </w:r>
      <w:r>
        <w:rPr>
          <w:rFonts w:ascii="宋体" w:hAnsi="宋体"/>
          <w:sz w:val="24"/>
          <w:szCs w:val="24"/>
          <w:u w:val="single"/>
        </w:rPr>
        <w:t xml:space="preserve">符合重庆市档案管理的规定。 </w:t>
      </w:r>
      <w:r>
        <w:rPr>
          <w:rFonts w:ascii="宋体" w:hAnsi="宋体"/>
          <w:sz w:val="24"/>
          <w:szCs w:val="24"/>
        </w:rPr>
        <w:t xml:space="preserve">  </w:t>
      </w:r>
    </w:p>
    <w:p w14:paraId="2C724705">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竣工资料份数：</w:t>
      </w:r>
      <w:r>
        <w:rPr>
          <w:rFonts w:ascii="宋体" w:hAnsi="宋体"/>
          <w:sz w:val="24"/>
          <w:szCs w:val="24"/>
          <w:u w:val="single"/>
        </w:rPr>
        <w:t>一式</w:t>
      </w:r>
      <w:r>
        <w:rPr>
          <w:rFonts w:hint="eastAsia" w:ascii="宋体" w:hAnsi="宋体"/>
          <w:sz w:val="24"/>
          <w:szCs w:val="24"/>
          <w:u w:val="single"/>
        </w:rPr>
        <w:t>二</w:t>
      </w:r>
      <w:r>
        <w:rPr>
          <w:rFonts w:ascii="宋体" w:hAnsi="宋体"/>
          <w:sz w:val="24"/>
          <w:szCs w:val="24"/>
          <w:u w:val="single"/>
        </w:rPr>
        <w:t>套。</w:t>
      </w:r>
      <w:r>
        <w:rPr>
          <w:rFonts w:ascii="宋体" w:hAnsi="宋体"/>
          <w:sz w:val="24"/>
          <w:szCs w:val="24"/>
        </w:rPr>
        <w:t xml:space="preserve">   </w:t>
      </w:r>
    </w:p>
    <w:p w14:paraId="25E05ED9">
      <w:pPr>
        <w:spacing w:line="500" w:lineRule="exact"/>
        <w:rPr>
          <w:rFonts w:ascii="宋体" w:hAnsi="宋体"/>
          <w:b/>
          <w:bCs/>
          <w:sz w:val="24"/>
          <w:szCs w:val="24"/>
        </w:rPr>
      </w:pPr>
      <w:r>
        <w:rPr>
          <w:rFonts w:ascii="宋体" w:hAnsi="宋体"/>
          <w:b/>
          <w:bCs/>
          <w:sz w:val="24"/>
          <w:szCs w:val="24"/>
        </w:rPr>
        <w:t>18.3  验收</w:t>
      </w:r>
    </w:p>
    <w:p w14:paraId="51E13AD7">
      <w:pPr>
        <w:spacing w:line="500" w:lineRule="exact"/>
        <w:rPr>
          <w:rFonts w:ascii="宋体" w:hAnsi="宋体"/>
          <w:sz w:val="24"/>
          <w:szCs w:val="24"/>
        </w:rPr>
      </w:pPr>
      <w:r>
        <w:rPr>
          <w:rFonts w:ascii="宋体" w:hAnsi="宋体"/>
          <w:sz w:val="24"/>
          <w:szCs w:val="24"/>
        </w:rPr>
        <w:t xml:space="preserve">    18.3.5  实际竣工日期：经验收合格工程的实际竣工日期以验收合格日为准，则在工程接收证书中写明验收合格日为实际竣工日期。 </w:t>
      </w:r>
    </w:p>
    <w:p w14:paraId="3C2C6357">
      <w:pPr>
        <w:spacing w:line="500" w:lineRule="exact"/>
        <w:rPr>
          <w:rFonts w:ascii="宋体" w:hAnsi="宋体"/>
          <w:b/>
          <w:bCs/>
          <w:sz w:val="24"/>
          <w:szCs w:val="24"/>
        </w:rPr>
      </w:pPr>
      <w:r>
        <w:rPr>
          <w:rFonts w:ascii="宋体" w:hAnsi="宋体"/>
          <w:b/>
          <w:bCs/>
          <w:sz w:val="24"/>
          <w:szCs w:val="24"/>
        </w:rPr>
        <w:t>18.5  施工期运行</w:t>
      </w:r>
    </w:p>
    <w:p w14:paraId="4BD0CD65">
      <w:pPr>
        <w:spacing w:line="500" w:lineRule="exact"/>
        <w:rPr>
          <w:rFonts w:ascii="宋体" w:hAnsi="宋体"/>
          <w:sz w:val="24"/>
          <w:szCs w:val="24"/>
        </w:rPr>
      </w:pPr>
      <w:r>
        <w:rPr>
          <w:rFonts w:ascii="宋体" w:hAnsi="宋体"/>
          <w:sz w:val="24"/>
          <w:szCs w:val="24"/>
        </w:rPr>
        <w:t xml:space="preserve">    18.5.1  需要施工期运行单位工程或工程设备：</w:t>
      </w:r>
      <w:r>
        <w:rPr>
          <w:rFonts w:ascii="宋体" w:hAnsi="宋体"/>
          <w:sz w:val="24"/>
          <w:szCs w:val="24"/>
          <w:u w:val="single"/>
        </w:rPr>
        <w:t xml:space="preserve">无  </w:t>
      </w:r>
      <w:r>
        <w:rPr>
          <w:rFonts w:ascii="宋体" w:hAnsi="宋体"/>
          <w:sz w:val="24"/>
          <w:szCs w:val="24"/>
        </w:rPr>
        <w:t xml:space="preserve">   </w:t>
      </w:r>
    </w:p>
    <w:p w14:paraId="786E1B0C">
      <w:pPr>
        <w:spacing w:line="500" w:lineRule="exact"/>
        <w:rPr>
          <w:rFonts w:ascii="宋体" w:hAnsi="宋体"/>
          <w:b/>
          <w:bCs/>
          <w:sz w:val="24"/>
          <w:szCs w:val="24"/>
        </w:rPr>
      </w:pPr>
      <w:r>
        <w:rPr>
          <w:rFonts w:ascii="宋体" w:hAnsi="宋体"/>
          <w:b/>
          <w:bCs/>
          <w:sz w:val="24"/>
          <w:szCs w:val="24"/>
        </w:rPr>
        <w:t>18.6  试运行</w:t>
      </w:r>
    </w:p>
    <w:p w14:paraId="3ECB3EF7">
      <w:pPr>
        <w:spacing w:line="500" w:lineRule="exact"/>
        <w:rPr>
          <w:rFonts w:ascii="宋体" w:hAnsi="宋体"/>
          <w:sz w:val="24"/>
          <w:szCs w:val="24"/>
        </w:rPr>
      </w:pPr>
      <w:r>
        <w:rPr>
          <w:rFonts w:ascii="宋体" w:hAnsi="宋体"/>
          <w:sz w:val="24"/>
          <w:szCs w:val="24"/>
        </w:rPr>
        <w:t xml:space="preserve">    18.6.1  试运行的组织及费用承担：</w:t>
      </w:r>
      <w:r>
        <w:rPr>
          <w:rFonts w:hint="eastAsia" w:ascii="宋体" w:hAnsi="宋体"/>
          <w:sz w:val="24"/>
          <w:szCs w:val="24"/>
          <w:u w:val="single"/>
        </w:rPr>
        <w:t xml:space="preserve">不发生  </w:t>
      </w:r>
      <w:r>
        <w:rPr>
          <w:rFonts w:ascii="宋体" w:hAnsi="宋体"/>
          <w:sz w:val="24"/>
          <w:szCs w:val="24"/>
        </w:rPr>
        <w:t xml:space="preserve">       </w:t>
      </w:r>
    </w:p>
    <w:p w14:paraId="3A13A7CB">
      <w:pPr>
        <w:spacing w:line="500" w:lineRule="exact"/>
        <w:rPr>
          <w:rFonts w:ascii="宋体" w:hAnsi="宋体"/>
          <w:b/>
          <w:bCs/>
          <w:sz w:val="24"/>
          <w:szCs w:val="24"/>
        </w:rPr>
      </w:pPr>
      <w:r>
        <w:rPr>
          <w:rFonts w:ascii="宋体" w:hAnsi="宋体"/>
          <w:b/>
          <w:bCs/>
          <w:sz w:val="24"/>
          <w:szCs w:val="24"/>
        </w:rPr>
        <w:t>18.7  竣工清场</w:t>
      </w:r>
    </w:p>
    <w:p w14:paraId="5E6A28D5">
      <w:pPr>
        <w:spacing w:line="500" w:lineRule="exact"/>
        <w:rPr>
          <w:rFonts w:ascii="宋体" w:hAnsi="宋体"/>
          <w:sz w:val="24"/>
          <w:szCs w:val="24"/>
        </w:rPr>
      </w:pPr>
      <w:r>
        <w:rPr>
          <w:rFonts w:ascii="宋体" w:hAnsi="宋体"/>
          <w:sz w:val="24"/>
          <w:szCs w:val="24"/>
        </w:rPr>
        <w:t xml:space="preserve">    18.7.1  竣工清场： 中标人负责按照通用条款的要求在竣工验收前完成竣工清场相关工作及费用。 </w:t>
      </w:r>
    </w:p>
    <w:p w14:paraId="073C94B0">
      <w:pPr>
        <w:spacing w:line="500" w:lineRule="exact"/>
        <w:rPr>
          <w:rFonts w:ascii="宋体" w:hAnsi="宋体"/>
          <w:b/>
          <w:bCs/>
          <w:sz w:val="24"/>
          <w:szCs w:val="24"/>
        </w:rPr>
      </w:pPr>
      <w:r>
        <w:rPr>
          <w:rFonts w:ascii="宋体" w:hAnsi="宋体"/>
          <w:b/>
          <w:bCs/>
          <w:sz w:val="24"/>
          <w:szCs w:val="24"/>
        </w:rPr>
        <w:t>18.8  施工队伍的撤离</w:t>
      </w:r>
    </w:p>
    <w:p w14:paraId="7014121D">
      <w:pPr>
        <w:spacing w:line="500" w:lineRule="exact"/>
        <w:rPr>
          <w:rFonts w:ascii="宋体" w:hAnsi="宋体"/>
          <w:sz w:val="24"/>
          <w:szCs w:val="24"/>
        </w:rPr>
      </w:pPr>
      <w:r>
        <w:rPr>
          <w:rFonts w:ascii="宋体" w:hAnsi="宋体"/>
          <w:sz w:val="24"/>
          <w:szCs w:val="24"/>
        </w:rPr>
        <w:t xml:space="preserve">    施工人员、施工设备及其临时工程撤离的要求：</w:t>
      </w:r>
      <w:r>
        <w:rPr>
          <w:rFonts w:ascii="宋体" w:hAnsi="宋体"/>
          <w:sz w:val="24"/>
          <w:szCs w:val="24"/>
          <w:u w:val="single"/>
        </w:rPr>
        <w:t xml:space="preserve">执行通用条款。 </w:t>
      </w:r>
      <w:r>
        <w:rPr>
          <w:rFonts w:ascii="宋体" w:hAnsi="宋体"/>
          <w:sz w:val="24"/>
          <w:szCs w:val="24"/>
        </w:rPr>
        <w:t xml:space="preserve">     </w:t>
      </w:r>
    </w:p>
    <w:p w14:paraId="1B133294">
      <w:pPr>
        <w:spacing w:line="500" w:lineRule="exact"/>
        <w:rPr>
          <w:rFonts w:ascii="宋体" w:hAnsi="宋体"/>
          <w:b/>
          <w:bCs/>
          <w:sz w:val="24"/>
          <w:szCs w:val="24"/>
        </w:rPr>
      </w:pPr>
      <w:bookmarkStart w:id="355" w:name="_Toc442514381"/>
      <w:bookmarkStart w:id="356" w:name="_Toc446108042"/>
      <w:bookmarkStart w:id="357" w:name="_Toc361654001"/>
      <w:bookmarkStart w:id="358" w:name="_Toc410381418"/>
      <w:r>
        <w:rPr>
          <w:rFonts w:ascii="宋体" w:hAnsi="宋体"/>
          <w:b/>
          <w:bCs/>
          <w:sz w:val="24"/>
          <w:szCs w:val="24"/>
        </w:rPr>
        <w:t>19.  缺陷责任与保修责任</w:t>
      </w:r>
      <w:bookmarkEnd w:id="355"/>
      <w:bookmarkEnd w:id="356"/>
      <w:bookmarkEnd w:id="357"/>
      <w:bookmarkEnd w:id="358"/>
    </w:p>
    <w:p w14:paraId="0EC51BFE">
      <w:pPr>
        <w:spacing w:line="500" w:lineRule="exact"/>
        <w:rPr>
          <w:rFonts w:ascii="宋体" w:hAnsi="宋体"/>
          <w:b/>
          <w:bCs/>
          <w:sz w:val="24"/>
          <w:szCs w:val="24"/>
        </w:rPr>
      </w:pPr>
      <w:r>
        <w:rPr>
          <w:rFonts w:ascii="宋体" w:hAnsi="宋体"/>
          <w:b/>
          <w:bCs/>
          <w:sz w:val="24"/>
          <w:szCs w:val="24"/>
        </w:rPr>
        <w:t>19.7  保修责任</w:t>
      </w:r>
    </w:p>
    <w:p w14:paraId="5D04CD76">
      <w:pPr>
        <w:spacing w:line="500" w:lineRule="exact"/>
        <w:rPr>
          <w:rFonts w:ascii="宋体" w:hAnsi="宋体"/>
          <w:sz w:val="24"/>
          <w:szCs w:val="24"/>
        </w:rPr>
      </w:pPr>
      <w:r>
        <w:rPr>
          <w:rFonts w:ascii="宋体" w:hAnsi="宋体"/>
          <w:sz w:val="24"/>
          <w:szCs w:val="24"/>
        </w:rPr>
        <w:t xml:space="preserve">    工程质量保修范围、期限和责任：</w:t>
      </w:r>
      <w:r>
        <w:rPr>
          <w:rFonts w:ascii="宋体" w:hAnsi="宋体"/>
          <w:sz w:val="24"/>
          <w:szCs w:val="24"/>
          <w:u w:val="single"/>
        </w:rPr>
        <w:t>按国家有关规定</w:t>
      </w:r>
      <w:r>
        <w:rPr>
          <w:rFonts w:ascii="宋体" w:hAnsi="宋体"/>
          <w:sz w:val="24"/>
          <w:szCs w:val="24"/>
        </w:rPr>
        <w:t xml:space="preserve">。  </w:t>
      </w:r>
    </w:p>
    <w:p w14:paraId="52D9F1CA">
      <w:pPr>
        <w:spacing w:line="500" w:lineRule="exact"/>
        <w:rPr>
          <w:rFonts w:ascii="宋体" w:hAnsi="宋体"/>
          <w:b/>
          <w:bCs/>
          <w:sz w:val="24"/>
          <w:szCs w:val="24"/>
        </w:rPr>
      </w:pPr>
      <w:bookmarkStart w:id="359" w:name="_Toc446108043"/>
      <w:bookmarkStart w:id="360" w:name="_Toc442514382"/>
      <w:bookmarkStart w:id="361" w:name="_Toc410381419"/>
      <w:bookmarkStart w:id="362" w:name="_Toc361654002"/>
      <w:r>
        <w:rPr>
          <w:rFonts w:ascii="宋体" w:hAnsi="宋体"/>
          <w:b/>
          <w:bCs/>
          <w:sz w:val="24"/>
          <w:szCs w:val="24"/>
        </w:rPr>
        <w:t>20.  保险</w:t>
      </w:r>
      <w:bookmarkEnd w:id="359"/>
      <w:bookmarkEnd w:id="360"/>
      <w:bookmarkEnd w:id="361"/>
      <w:bookmarkEnd w:id="362"/>
    </w:p>
    <w:p w14:paraId="26FB8392">
      <w:pPr>
        <w:spacing w:line="500" w:lineRule="exact"/>
        <w:rPr>
          <w:rFonts w:ascii="宋体" w:hAnsi="宋体"/>
          <w:b/>
          <w:bCs/>
          <w:sz w:val="24"/>
          <w:szCs w:val="24"/>
        </w:rPr>
      </w:pPr>
      <w:r>
        <w:rPr>
          <w:rFonts w:ascii="宋体" w:hAnsi="宋体"/>
          <w:b/>
          <w:bCs/>
          <w:sz w:val="24"/>
          <w:szCs w:val="24"/>
        </w:rPr>
        <w:t>20.1  工程保险</w:t>
      </w:r>
    </w:p>
    <w:p w14:paraId="3AC9303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投保人： 中标人应以招标人和中标人的共同名义向双方同意的保险人投保建筑工程一切险、安装工程一切险、以及以下所要求的各种保险，投保所需的费用已含在投标报价中，由中标人自行承担。 </w:t>
      </w:r>
    </w:p>
    <w:p w14:paraId="6A61C068">
      <w:pPr>
        <w:spacing w:line="500" w:lineRule="exact"/>
        <w:rPr>
          <w:rFonts w:ascii="宋体" w:hAnsi="宋体"/>
          <w:sz w:val="24"/>
          <w:szCs w:val="24"/>
        </w:rPr>
      </w:pPr>
      <w:r>
        <w:rPr>
          <w:rFonts w:ascii="宋体" w:hAnsi="宋体"/>
          <w:sz w:val="24"/>
          <w:szCs w:val="24"/>
        </w:rPr>
        <w:t xml:space="preserve">投保内容：按通用条款20.1、20.2、20.3、20.4、20.5条执行。     </w:t>
      </w:r>
    </w:p>
    <w:p w14:paraId="624DCC78">
      <w:pPr>
        <w:spacing w:line="500" w:lineRule="exact"/>
        <w:rPr>
          <w:rFonts w:ascii="宋体" w:hAnsi="宋体"/>
          <w:sz w:val="24"/>
          <w:szCs w:val="24"/>
        </w:rPr>
      </w:pPr>
      <w:r>
        <w:rPr>
          <w:rFonts w:ascii="宋体" w:hAnsi="宋体"/>
          <w:sz w:val="24"/>
          <w:szCs w:val="24"/>
        </w:rPr>
        <w:t xml:space="preserve">保险金额、保险费率和保险期限：按照有关法律规定。     </w:t>
      </w:r>
    </w:p>
    <w:p w14:paraId="0E9C91A4">
      <w:pPr>
        <w:spacing w:line="500" w:lineRule="exact"/>
        <w:rPr>
          <w:rFonts w:ascii="宋体" w:hAnsi="宋体"/>
          <w:sz w:val="24"/>
          <w:szCs w:val="24"/>
        </w:rPr>
      </w:pPr>
      <w:r>
        <w:rPr>
          <w:rFonts w:ascii="宋体" w:hAnsi="宋体"/>
          <w:b/>
          <w:bCs/>
          <w:sz w:val="24"/>
          <w:szCs w:val="24"/>
        </w:rPr>
        <w:t>20.4  第三者责任险</w:t>
      </w:r>
    </w:p>
    <w:p w14:paraId="2CC98A59">
      <w:pPr>
        <w:spacing w:line="500" w:lineRule="exact"/>
        <w:rPr>
          <w:rFonts w:ascii="宋体" w:hAnsi="宋体"/>
          <w:sz w:val="24"/>
          <w:szCs w:val="24"/>
        </w:rPr>
      </w:pPr>
      <w:r>
        <w:rPr>
          <w:rFonts w:ascii="宋体" w:hAnsi="宋体"/>
          <w:sz w:val="24"/>
          <w:szCs w:val="24"/>
        </w:rPr>
        <w:t>第三者责任险的保险费率：</w:t>
      </w:r>
      <w:r>
        <w:rPr>
          <w:rFonts w:ascii="宋体" w:hAnsi="宋体"/>
          <w:sz w:val="24"/>
          <w:szCs w:val="24"/>
          <w:u w:val="single"/>
        </w:rPr>
        <w:t>由中标人与保险人商议确定 。</w:t>
      </w:r>
      <w:r>
        <w:rPr>
          <w:rFonts w:ascii="宋体" w:hAnsi="宋体"/>
          <w:sz w:val="24"/>
          <w:szCs w:val="24"/>
        </w:rPr>
        <w:t xml:space="preserve">   </w:t>
      </w:r>
    </w:p>
    <w:p w14:paraId="37C12757">
      <w:pPr>
        <w:spacing w:line="500" w:lineRule="exact"/>
        <w:rPr>
          <w:rFonts w:ascii="宋体" w:hAnsi="宋体"/>
          <w:sz w:val="24"/>
          <w:szCs w:val="24"/>
        </w:rPr>
      </w:pPr>
      <w:r>
        <w:rPr>
          <w:rFonts w:ascii="宋体" w:hAnsi="宋体"/>
          <w:sz w:val="24"/>
          <w:szCs w:val="24"/>
        </w:rPr>
        <w:t>第三者责任险的保险金额：</w:t>
      </w:r>
      <w:r>
        <w:rPr>
          <w:rFonts w:ascii="宋体" w:hAnsi="宋体"/>
          <w:sz w:val="24"/>
          <w:szCs w:val="24"/>
          <w:u w:val="single"/>
        </w:rPr>
        <w:t xml:space="preserve">由中标人与保险人商议确定 </w:t>
      </w:r>
      <w:r>
        <w:rPr>
          <w:rFonts w:ascii="宋体" w:hAnsi="宋体"/>
          <w:sz w:val="24"/>
          <w:szCs w:val="24"/>
        </w:rPr>
        <w:t xml:space="preserve">。   </w:t>
      </w:r>
    </w:p>
    <w:p w14:paraId="142012FA">
      <w:pPr>
        <w:spacing w:line="500" w:lineRule="exact"/>
        <w:rPr>
          <w:rFonts w:ascii="宋体" w:hAnsi="宋体"/>
          <w:b/>
          <w:bCs/>
          <w:sz w:val="24"/>
          <w:szCs w:val="24"/>
        </w:rPr>
      </w:pPr>
      <w:r>
        <w:rPr>
          <w:rFonts w:ascii="宋体" w:hAnsi="宋体"/>
          <w:b/>
          <w:bCs/>
          <w:sz w:val="24"/>
          <w:szCs w:val="24"/>
        </w:rPr>
        <w:t>20.5  其他保险</w:t>
      </w:r>
    </w:p>
    <w:p w14:paraId="2FB1081C">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需要投保其他内容、保险金额、费率及期限等： 由中标人自行考虑确定，费用由中标人自行承担。 </w:t>
      </w:r>
    </w:p>
    <w:p w14:paraId="2DE461BB">
      <w:pPr>
        <w:spacing w:line="500" w:lineRule="exact"/>
        <w:rPr>
          <w:rFonts w:ascii="宋体" w:hAnsi="宋体"/>
          <w:b/>
          <w:bCs/>
          <w:sz w:val="24"/>
          <w:szCs w:val="24"/>
        </w:rPr>
      </w:pPr>
      <w:r>
        <w:rPr>
          <w:rFonts w:ascii="宋体" w:hAnsi="宋体"/>
          <w:b/>
          <w:bCs/>
          <w:sz w:val="24"/>
          <w:szCs w:val="24"/>
        </w:rPr>
        <w:t>20.6  对各项保险的一般要求</w:t>
      </w:r>
    </w:p>
    <w:p w14:paraId="50ECA62A">
      <w:pPr>
        <w:spacing w:line="500" w:lineRule="exact"/>
        <w:rPr>
          <w:rFonts w:ascii="宋体" w:hAnsi="宋体"/>
          <w:b/>
          <w:bCs/>
          <w:sz w:val="24"/>
          <w:szCs w:val="24"/>
        </w:rPr>
      </w:pPr>
      <w:r>
        <w:rPr>
          <w:rFonts w:ascii="宋体" w:hAnsi="宋体"/>
          <w:b/>
          <w:bCs/>
          <w:sz w:val="24"/>
          <w:szCs w:val="24"/>
        </w:rPr>
        <w:t>20.6.1  保险凭证</w:t>
      </w:r>
    </w:p>
    <w:p w14:paraId="7A5724F2">
      <w:pPr>
        <w:spacing w:line="500" w:lineRule="exact"/>
        <w:rPr>
          <w:rFonts w:ascii="宋体" w:hAnsi="宋体"/>
          <w:sz w:val="24"/>
          <w:szCs w:val="24"/>
          <w:u w:val="single"/>
        </w:rPr>
      </w:pPr>
      <w:r>
        <w:rPr>
          <w:rFonts w:ascii="宋体" w:hAnsi="宋体"/>
          <w:sz w:val="24"/>
          <w:szCs w:val="24"/>
        </w:rPr>
        <w:t xml:space="preserve">    保险条件：</w:t>
      </w:r>
      <w:r>
        <w:rPr>
          <w:rFonts w:ascii="宋体" w:hAnsi="宋体"/>
          <w:sz w:val="24"/>
          <w:szCs w:val="24"/>
          <w:u w:val="single"/>
        </w:rPr>
        <w:t xml:space="preserve">中标人应以招标人和中标人的共同名义对由中标人风险造成的事故提供保险。 </w:t>
      </w:r>
    </w:p>
    <w:p w14:paraId="7361A282">
      <w:pPr>
        <w:spacing w:line="500" w:lineRule="exact"/>
        <w:rPr>
          <w:rFonts w:ascii="宋体" w:hAnsi="宋体"/>
          <w:sz w:val="24"/>
          <w:szCs w:val="24"/>
        </w:rPr>
      </w:pPr>
      <w:r>
        <w:rPr>
          <w:rFonts w:ascii="宋体" w:hAnsi="宋体"/>
          <w:sz w:val="24"/>
          <w:szCs w:val="24"/>
        </w:rPr>
        <w:t xml:space="preserve">    中标人提交保险凭证的期限：</w:t>
      </w:r>
      <w:r>
        <w:rPr>
          <w:rFonts w:ascii="宋体" w:hAnsi="宋体"/>
          <w:sz w:val="24"/>
          <w:szCs w:val="24"/>
          <w:u w:val="single"/>
        </w:rPr>
        <w:t>合同签订日起14天以内。</w:t>
      </w:r>
      <w:r>
        <w:rPr>
          <w:rFonts w:ascii="宋体" w:hAnsi="宋体"/>
          <w:sz w:val="24"/>
          <w:szCs w:val="24"/>
        </w:rPr>
        <w:t xml:space="preserve">    </w:t>
      </w:r>
    </w:p>
    <w:p w14:paraId="6CCBDC36">
      <w:pPr>
        <w:spacing w:line="500" w:lineRule="exact"/>
        <w:rPr>
          <w:rFonts w:ascii="宋体" w:hAnsi="宋体"/>
          <w:b/>
          <w:bCs/>
          <w:sz w:val="24"/>
          <w:szCs w:val="24"/>
        </w:rPr>
      </w:pPr>
      <w:r>
        <w:rPr>
          <w:rFonts w:ascii="宋体" w:hAnsi="宋体"/>
          <w:b/>
          <w:bCs/>
          <w:sz w:val="24"/>
          <w:szCs w:val="24"/>
        </w:rPr>
        <w:t>20.6.4  对各项保险的一般要求</w:t>
      </w:r>
    </w:p>
    <w:p w14:paraId="2BA4A5BF">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 xml:space="preserve">保险金不足以补偿损失时，应由中标人和(或)招标人负责补偿的范围与金额：永久工程损失保险赔偿与实际损失的差额由中标人补偿，临时工程、施工设备和施工人员损失保险赔偿与实际损失的差额由中标人补偿。 </w:t>
      </w:r>
    </w:p>
    <w:p w14:paraId="6BD75065">
      <w:pPr>
        <w:spacing w:line="500" w:lineRule="exact"/>
        <w:rPr>
          <w:rFonts w:ascii="宋体" w:hAnsi="宋体"/>
          <w:b/>
          <w:bCs/>
          <w:sz w:val="24"/>
          <w:szCs w:val="24"/>
        </w:rPr>
      </w:pPr>
      <w:bookmarkStart w:id="363" w:name="_Toc410381420"/>
      <w:bookmarkStart w:id="364" w:name="_Toc442514383"/>
      <w:bookmarkStart w:id="365" w:name="_Toc361654003"/>
      <w:bookmarkStart w:id="366" w:name="_Toc446108044"/>
      <w:r>
        <w:rPr>
          <w:rFonts w:ascii="宋体" w:hAnsi="宋体"/>
          <w:b/>
          <w:bCs/>
          <w:sz w:val="24"/>
          <w:szCs w:val="24"/>
        </w:rPr>
        <w:t>21.  不可抗力</w:t>
      </w:r>
      <w:bookmarkEnd w:id="363"/>
      <w:bookmarkEnd w:id="364"/>
      <w:bookmarkEnd w:id="365"/>
      <w:bookmarkEnd w:id="366"/>
    </w:p>
    <w:p w14:paraId="563B89DC">
      <w:pPr>
        <w:spacing w:line="500" w:lineRule="exact"/>
        <w:rPr>
          <w:rFonts w:ascii="宋体" w:hAnsi="宋体"/>
          <w:b/>
          <w:bCs/>
          <w:sz w:val="24"/>
          <w:szCs w:val="24"/>
        </w:rPr>
      </w:pPr>
      <w:r>
        <w:rPr>
          <w:rFonts w:ascii="宋体" w:hAnsi="宋体"/>
          <w:b/>
          <w:bCs/>
          <w:sz w:val="24"/>
          <w:szCs w:val="24"/>
        </w:rPr>
        <w:t>21.1  不可抗力的确认</w:t>
      </w:r>
    </w:p>
    <w:p w14:paraId="7B051766">
      <w:pPr>
        <w:spacing w:line="500" w:lineRule="exact"/>
        <w:rPr>
          <w:rFonts w:ascii="宋体" w:hAnsi="宋体"/>
          <w:sz w:val="24"/>
          <w:szCs w:val="24"/>
        </w:rPr>
      </w:pPr>
      <w:r>
        <w:rPr>
          <w:rFonts w:hint="eastAsia" w:ascii="宋体" w:hAnsi="宋体"/>
          <w:sz w:val="24"/>
          <w:szCs w:val="24"/>
        </w:rPr>
        <w:t xml:space="preserve">    </w:t>
      </w:r>
      <w:r>
        <w:rPr>
          <w:rFonts w:ascii="宋体" w:hAnsi="宋体"/>
          <w:sz w:val="24"/>
          <w:szCs w:val="24"/>
        </w:rPr>
        <w:t>不可抗力的范围：</w:t>
      </w:r>
      <w:r>
        <w:rPr>
          <w:rFonts w:ascii="宋体" w:hAnsi="宋体"/>
          <w:sz w:val="24"/>
          <w:szCs w:val="24"/>
          <w:u w:val="single"/>
        </w:rPr>
        <w:t>按通用条款执行。</w:t>
      </w:r>
    </w:p>
    <w:p w14:paraId="6BEECC76">
      <w:pPr>
        <w:spacing w:line="500" w:lineRule="exact"/>
        <w:rPr>
          <w:rFonts w:ascii="宋体" w:hAnsi="宋体"/>
          <w:b/>
          <w:bCs/>
          <w:sz w:val="24"/>
          <w:szCs w:val="24"/>
        </w:rPr>
      </w:pPr>
      <w:r>
        <w:rPr>
          <w:rFonts w:ascii="宋体" w:hAnsi="宋体"/>
          <w:b/>
          <w:bCs/>
          <w:sz w:val="24"/>
          <w:szCs w:val="24"/>
        </w:rPr>
        <w:t>21.3  不可抗力后果及其处理</w:t>
      </w:r>
    </w:p>
    <w:p w14:paraId="55AD875A">
      <w:pPr>
        <w:spacing w:line="500" w:lineRule="exact"/>
        <w:rPr>
          <w:rFonts w:ascii="宋体" w:hAnsi="宋体"/>
          <w:sz w:val="24"/>
          <w:szCs w:val="24"/>
        </w:rPr>
      </w:pPr>
      <w:r>
        <w:rPr>
          <w:rFonts w:ascii="宋体" w:hAnsi="宋体"/>
          <w:sz w:val="24"/>
          <w:szCs w:val="24"/>
        </w:rPr>
        <w:t>21.3.1  不可抗力造成损害的责任</w:t>
      </w:r>
    </w:p>
    <w:p w14:paraId="5E024530">
      <w:pPr>
        <w:spacing w:line="500" w:lineRule="exact"/>
        <w:rPr>
          <w:rStyle w:val="261"/>
          <w:sz w:val="24"/>
          <w:szCs w:val="24"/>
        </w:rPr>
      </w:pPr>
      <w:r>
        <w:rPr>
          <w:rFonts w:ascii="宋体" w:hAnsi="宋体"/>
          <w:sz w:val="24"/>
          <w:szCs w:val="24"/>
        </w:rPr>
        <w:t>不可抗力导致的人员伤亡、财产损失、费用增加和(或)工期延误由合同双方按以下方法承担：</w:t>
      </w:r>
      <w:r>
        <w:rPr>
          <w:rFonts w:ascii="宋体" w:hAnsi="宋体"/>
          <w:sz w:val="24"/>
          <w:szCs w:val="24"/>
          <w:u w:val="single"/>
        </w:rPr>
        <w:t xml:space="preserve"> 按通用条款执行。</w:t>
      </w:r>
    </w:p>
    <w:p w14:paraId="3478868D">
      <w:pPr>
        <w:spacing w:line="500" w:lineRule="exact"/>
        <w:rPr>
          <w:rFonts w:ascii="宋体" w:hAnsi="宋体"/>
          <w:b/>
          <w:bCs/>
          <w:sz w:val="24"/>
          <w:szCs w:val="24"/>
        </w:rPr>
      </w:pPr>
      <w:r>
        <w:rPr>
          <w:rFonts w:hint="eastAsia" w:ascii="宋体" w:hAnsi="宋体"/>
          <w:b/>
          <w:bCs/>
          <w:sz w:val="24"/>
          <w:szCs w:val="24"/>
        </w:rPr>
        <w:t>22.3 竣工时间延误罚款</w:t>
      </w:r>
    </w:p>
    <w:p w14:paraId="0A50DB0D">
      <w:pPr>
        <w:spacing w:line="500" w:lineRule="exact"/>
        <w:rPr>
          <w:rFonts w:ascii="宋体" w:hAnsi="宋体"/>
          <w:sz w:val="24"/>
          <w:szCs w:val="24"/>
        </w:rPr>
      </w:pPr>
      <w:r>
        <w:rPr>
          <w:rFonts w:hint="eastAsia" w:ascii="宋体" w:hAnsi="宋体"/>
          <w:sz w:val="24"/>
          <w:szCs w:val="24"/>
        </w:rPr>
        <w:t>22.3.1、凡因发包人重大设计变更或不可抗力造成的工期延误，均应在工期延误部分的施工内容后的第一个验收程序验收前延期签单，在结算审计时提交审计部门。</w:t>
      </w:r>
    </w:p>
    <w:p w14:paraId="68D06CB1">
      <w:pPr>
        <w:spacing w:line="500" w:lineRule="exact"/>
        <w:rPr>
          <w:rFonts w:ascii="宋体" w:hAnsi="宋体"/>
          <w:sz w:val="24"/>
          <w:szCs w:val="24"/>
        </w:rPr>
      </w:pPr>
      <w:r>
        <w:rPr>
          <w:rFonts w:hint="eastAsia" w:ascii="宋体" w:hAnsi="宋体"/>
          <w:sz w:val="24"/>
          <w:szCs w:val="24"/>
        </w:rPr>
        <w:t>22.3.2、所有延期违约金由审计单位审定并体现在审计报告中。</w:t>
      </w:r>
    </w:p>
    <w:p w14:paraId="5B7ABE74">
      <w:pPr>
        <w:spacing w:line="500" w:lineRule="exact"/>
        <w:rPr>
          <w:rFonts w:ascii="宋体" w:hAnsi="宋体"/>
          <w:b/>
          <w:bCs/>
          <w:sz w:val="24"/>
          <w:szCs w:val="24"/>
        </w:rPr>
      </w:pPr>
      <w:r>
        <w:rPr>
          <w:rFonts w:hint="eastAsia" w:ascii="宋体" w:hAnsi="宋体"/>
          <w:b/>
          <w:bCs/>
          <w:sz w:val="24"/>
          <w:szCs w:val="24"/>
        </w:rPr>
        <w:t>22.4结算审计</w:t>
      </w:r>
    </w:p>
    <w:p w14:paraId="5E5CD96D">
      <w:pPr>
        <w:spacing w:line="500" w:lineRule="exact"/>
        <w:rPr>
          <w:rFonts w:ascii="宋体" w:hAnsi="宋体"/>
          <w:sz w:val="24"/>
          <w:szCs w:val="24"/>
        </w:rPr>
      </w:pPr>
      <w:r>
        <w:rPr>
          <w:rFonts w:hint="eastAsia" w:ascii="宋体" w:hAnsi="宋体"/>
          <w:sz w:val="24"/>
          <w:szCs w:val="24"/>
        </w:rPr>
        <w:t>22.4.1、本工程结算最终以相关单位审定的金额为准。</w:t>
      </w:r>
    </w:p>
    <w:p w14:paraId="02EF0DB6">
      <w:pPr>
        <w:spacing w:line="500" w:lineRule="exact"/>
        <w:rPr>
          <w:rFonts w:ascii="宋体" w:hAnsi="宋体"/>
          <w:sz w:val="24"/>
          <w:szCs w:val="24"/>
        </w:rPr>
      </w:pPr>
      <w:r>
        <w:rPr>
          <w:rFonts w:hint="eastAsia" w:ascii="宋体" w:hAnsi="宋体"/>
          <w:b/>
          <w:bCs/>
          <w:sz w:val="24"/>
          <w:szCs w:val="24"/>
        </w:rPr>
        <w:t>22.5</w:t>
      </w:r>
      <w:r>
        <w:rPr>
          <w:rFonts w:hint="eastAsia" w:ascii="宋体" w:hAnsi="宋体"/>
          <w:sz w:val="24"/>
          <w:szCs w:val="24"/>
        </w:rPr>
        <w:t>中标人在施工过程中，未经招标人同意，不得擅自更改投标文件中填报的项目经理、项目技术负责人，否则招标人有权终止施工合同，没收履约保证金，中标人给招标人造成的损失超过履约保证金的，还应对超过部分进行赔偿。</w:t>
      </w:r>
    </w:p>
    <w:p w14:paraId="50F934E7">
      <w:pPr>
        <w:spacing w:line="500" w:lineRule="exact"/>
        <w:rPr>
          <w:rFonts w:ascii="宋体" w:hAnsi="宋体"/>
          <w:sz w:val="24"/>
          <w:szCs w:val="24"/>
        </w:rPr>
      </w:pPr>
      <w:r>
        <w:rPr>
          <w:rFonts w:hint="eastAsia" w:ascii="宋体" w:hAnsi="宋体"/>
          <w:b/>
          <w:bCs/>
          <w:sz w:val="24"/>
          <w:szCs w:val="24"/>
        </w:rPr>
        <w:t>22.6技术措施费包干使用</w:t>
      </w:r>
      <w:r>
        <w:rPr>
          <w:rFonts w:hint="eastAsia" w:ascii="宋体" w:hAnsi="宋体"/>
          <w:sz w:val="24"/>
          <w:szCs w:val="24"/>
        </w:rPr>
        <w:t>。</w:t>
      </w:r>
    </w:p>
    <w:p w14:paraId="7D5E1CE4">
      <w:pPr>
        <w:spacing w:line="500" w:lineRule="exact"/>
        <w:rPr>
          <w:rFonts w:ascii="宋体" w:hAnsi="宋体"/>
          <w:sz w:val="24"/>
          <w:szCs w:val="24"/>
        </w:rPr>
      </w:pPr>
      <w:r>
        <w:rPr>
          <w:rFonts w:hint="eastAsia" w:ascii="宋体" w:hAnsi="宋体"/>
          <w:b/>
          <w:bCs/>
          <w:sz w:val="24"/>
          <w:szCs w:val="24"/>
        </w:rPr>
        <w:t>22.7</w:t>
      </w:r>
      <w:r>
        <w:rPr>
          <w:rFonts w:hint="eastAsia" w:ascii="宋体" w:hAnsi="宋体"/>
          <w:sz w:val="24"/>
          <w:szCs w:val="24"/>
        </w:rPr>
        <w:t>承包人不得拖欠民工工资，如因承包人原因拖欠民工工资或劳务费结算等发生纠纷 ,应按重庆市有关政策规定承担责任外，发包人有权从承包人应得的任何工程款项中扣出，并直接支付给农民工。</w:t>
      </w:r>
    </w:p>
    <w:p w14:paraId="2E3E2241">
      <w:pPr>
        <w:spacing w:line="500" w:lineRule="exact"/>
        <w:rPr>
          <w:rFonts w:ascii="宋体" w:hAnsi="宋体"/>
          <w:sz w:val="24"/>
          <w:szCs w:val="24"/>
        </w:rPr>
      </w:pPr>
      <w:r>
        <w:rPr>
          <w:rFonts w:hint="eastAsia" w:ascii="宋体" w:hAnsi="宋体"/>
          <w:b/>
          <w:bCs/>
          <w:sz w:val="24"/>
          <w:szCs w:val="24"/>
        </w:rPr>
        <w:t>22.8</w:t>
      </w:r>
      <w:r>
        <w:rPr>
          <w:rFonts w:hint="eastAsia" w:ascii="宋体" w:hAnsi="宋体"/>
          <w:sz w:val="24"/>
          <w:szCs w:val="24"/>
        </w:rPr>
        <w:t>本工程严禁挂靠、转包及违法分包，承包人必须以本企业建制的项目管理班子和施工力量为承建主体，否则，在履行施工合同阶段，发包人有权终止承包合同，追究承包人相应的法律责任。</w:t>
      </w:r>
    </w:p>
    <w:p w14:paraId="72D68169">
      <w:pPr>
        <w:spacing w:line="500" w:lineRule="exact"/>
        <w:rPr>
          <w:rFonts w:ascii="宋体" w:hAnsi="宋体"/>
          <w:b/>
          <w:bCs/>
          <w:sz w:val="24"/>
          <w:szCs w:val="24"/>
        </w:rPr>
      </w:pPr>
      <w:r>
        <w:rPr>
          <w:rFonts w:ascii="宋体" w:hAnsi="宋体"/>
          <w:b/>
          <w:bCs/>
          <w:sz w:val="24"/>
          <w:szCs w:val="24"/>
        </w:rPr>
        <w:t>2</w:t>
      </w:r>
      <w:r>
        <w:rPr>
          <w:rFonts w:hint="eastAsia" w:ascii="宋体" w:hAnsi="宋体"/>
          <w:b/>
          <w:bCs/>
          <w:sz w:val="24"/>
          <w:szCs w:val="24"/>
        </w:rPr>
        <w:t>3</w:t>
      </w:r>
      <w:r>
        <w:rPr>
          <w:rFonts w:ascii="宋体" w:hAnsi="宋体"/>
          <w:b/>
          <w:bCs/>
          <w:sz w:val="24"/>
          <w:szCs w:val="24"/>
        </w:rPr>
        <w:t>.仲裁或诉讼</w:t>
      </w:r>
      <w:r>
        <w:rPr>
          <w:rStyle w:val="261"/>
          <w:b/>
          <w:bCs/>
          <w:sz w:val="24"/>
          <w:szCs w:val="24"/>
        </w:rPr>
        <w:tab/>
      </w:r>
    </w:p>
    <w:p w14:paraId="2FFA4F64">
      <w:pPr>
        <w:spacing w:line="500" w:lineRule="exact"/>
        <w:rPr>
          <w:rFonts w:ascii="宋体" w:hAnsi="宋体"/>
          <w:sz w:val="24"/>
          <w:szCs w:val="24"/>
        </w:rPr>
      </w:pPr>
      <w:r>
        <w:rPr>
          <w:rFonts w:ascii="宋体" w:hAnsi="宋体"/>
          <w:sz w:val="24"/>
          <w:szCs w:val="24"/>
        </w:rPr>
        <w:t>因合同及合同有关事项发生的争议，按下列</w:t>
      </w:r>
      <w:r>
        <w:rPr>
          <w:rFonts w:hint="eastAsia" w:ascii="宋体" w:hAnsi="宋体"/>
          <w:sz w:val="24"/>
          <w:szCs w:val="24"/>
        </w:rPr>
        <w:t>（2）</w:t>
      </w:r>
      <w:r>
        <w:rPr>
          <w:rFonts w:ascii="宋体" w:hAnsi="宋体"/>
          <w:sz w:val="24"/>
          <w:szCs w:val="24"/>
        </w:rPr>
        <w:t>方式</w:t>
      </w:r>
      <w:r>
        <w:rPr>
          <w:rFonts w:hint="eastAsia" w:ascii="宋体" w:hAnsi="宋体"/>
          <w:sz w:val="24"/>
          <w:szCs w:val="24"/>
        </w:rPr>
        <w:t>解</w:t>
      </w:r>
      <w:r>
        <w:rPr>
          <w:rFonts w:ascii="宋体" w:hAnsi="宋体"/>
          <w:sz w:val="24"/>
          <w:szCs w:val="24"/>
        </w:rPr>
        <w:t>决</w:t>
      </w:r>
      <w:r>
        <w:rPr>
          <w:rFonts w:hint="eastAsia" w:ascii="宋体" w:hAnsi="宋体"/>
          <w:sz w:val="24"/>
          <w:szCs w:val="24"/>
        </w:rPr>
        <w:t>。</w:t>
      </w:r>
      <w:r>
        <w:rPr>
          <w:rFonts w:ascii="宋体" w:hAnsi="宋体"/>
          <w:sz w:val="24"/>
          <w:szCs w:val="24"/>
        </w:rPr>
        <w:t xml:space="preserve"> </w:t>
      </w:r>
    </w:p>
    <w:p w14:paraId="6D6B48BF">
      <w:pPr>
        <w:spacing w:line="500" w:lineRule="exact"/>
        <w:rPr>
          <w:rFonts w:ascii="宋体" w:hAnsi="宋体"/>
          <w:sz w:val="24"/>
          <w:szCs w:val="24"/>
        </w:rPr>
      </w:pPr>
      <w:r>
        <w:rPr>
          <w:rFonts w:ascii="宋体" w:hAnsi="宋体"/>
          <w:sz w:val="24"/>
          <w:szCs w:val="24"/>
        </w:rPr>
        <w:t>（1）</w:t>
      </w:r>
      <w:r>
        <w:rPr>
          <w:rFonts w:hint="eastAsia" w:ascii="宋体" w:hAnsi="宋体"/>
          <w:sz w:val="24"/>
          <w:szCs w:val="24"/>
        </w:rPr>
        <w:t>向重庆仲裁委员会建设工程仲裁院申请仲裁；</w:t>
      </w:r>
    </w:p>
    <w:p w14:paraId="38643D0A">
      <w:pPr>
        <w:spacing w:line="500" w:lineRule="exact"/>
        <w:rPr>
          <w:rFonts w:ascii="宋体" w:hAnsi="宋体"/>
          <w:sz w:val="24"/>
          <w:szCs w:val="24"/>
        </w:rPr>
      </w:pPr>
      <w:r>
        <w:rPr>
          <w:rFonts w:ascii="宋体" w:hAnsi="宋体"/>
          <w:sz w:val="24"/>
          <w:szCs w:val="24"/>
        </w:rPr>
        <w:t>（</w:t>
      </w:r>
      <w:r>
        <w:rPr>
          <w:rFonts w:hint="eastAsia" w:ascii="宋体" w:hAnsi="宋体"/>
          <w:sz w:val="24"/>
          <w:szCs w:val="24"/>
        </w:rPr>
        <w:t>2</w:t>
      </w:r>
      <w:r>
        <w:rPr>
          <w:rFonts w:ascii="宋体" w:hAnsi="宋体"/>
          <w:sz w:val="24"/>
          <w:szCs w:val="24"/>
        </w:rPr>
        <w:t>）</w:t>
      </w:r>
      <w:r>
        <w:rPr>
          <w:rFonts w:hint="eastAsia" w:ascii="宋体" w:hAnsi="宋体"/>
          <w:sz w:val="24"/>
          <w:szCs w:val="24"/>
        </w:rPr>
        <w:t>向荣昌区人民法院起诉。</w:t>
      </w:r>
    </w:p>
    <w:p w14:paraId="47C97B36">
      <w:pPr>
        <w:spacing w:line="500" w:lineRule="exact"/>
        <w:rPr>
          <w:rFonts w:ascii="宋体" w:hAnsi="宋体"/>
          <w:b/>
          <w:sz w:val="24"/>
          <w:szCs w:val="24"/>
        </w:rPr>
      </w:pPr>
      <w:r>
        <w:rPr>
          <w:rFonts w:hint="eastAsia" w:ascii="宋体" w:hAnsi="宋体"/>
          <w:b/>
          <w:sz w:val="24"/>
          <w:szCs w:val="24"/>
        </w:rPr>
        <w:t>24.其他补充条款</w:t>
      </w:r>
    </w:p>
    <w:p w14:paraId="78FAEEE6">
      <w:pPr>
        <w:spacing w:line="500" w:lineRule="exact"/>
        <w:rPr>
          <w:rFonts w:ascii="宋体" w:hAnsi="宋体"/>
          <w:sz w:val="24"/>
          <w:szCs w:val="24"/>
        </w:rPr>
      </w:pPr>
      <w:r>
        <w:rPr>
          <w:rFonts w:hint="eastAsia" w:ascii="宋体" w:hAnsi="宋体"/>
          <w:b/>
          <w:bCs/>
          <w:sz w:val="24"/>
          <w:szCs w:val="24"/>
        </w:rPr>
        <w:t>24.1</w:t>
      </w:r>
      <w:r>
        <w:rPr>
          <w:rFonts w:ascii="宋体" w:hAnsi="宋体"/>
          <w:sz w:val="24"/>
          <w:szCs w:val="24"/>
        </w:rPr>
        <w:t xml:space="preserve"> </w:t>
      </w:r>
      <w:r>
        <w:rPr>
          <w:rFonts w:hint="eastAsia" w:ascii="宋体" w:hAnsi="宋体"/>
          <w:sz w:val="24"/>
          <w:szCs w:val="24"/>
        </w:rPr>
        <w:t>施工中的水电费按国家相应规定缴纳。</w:t>
      </w:r>
    </w:p>
    <w:p w14:paraId="7DD1C482">
      <w:pPr>
        <w:snapToGrid w:val="0"/>
        <w:spacing w:line="400" w:lineRule="exact"/>
        <w:ind w:firstLine="480" w:firstLineChars="200"/>
        <w:rPr>
          <w:rFonts w:ascii="宋体" w:hAnsi="宋体" w:eastAsia="宋体" w:cs="宋体"/>
          <w:sz w:val="24"/>
        </w:rPr>
      </w:pPr>
    </w:p>
    <w:p w14:paraId="6FC7D428">
      <w:pPr>
        <w:snapToGrid w:val="0"/>
        <w:spacing w:line="400" w:lineRule="exact"/>
        <w:jc w:val="center"/>
        <w:outlineLvl w:val="1"/>
        <w:rPr>
          <w:rFonts w:ascii="宋体" w:hAnsi="宋体" w:eastAsia="宋体" w:cs="宋体"/>
          <w:b/>
          <w:color w:val="000000"/>
          <w:sz w:val="36"/>
          <w:szCs w:val="30"/>
        </w:rPr>
      </w:pPr>
      <w:r>
        <w:rPr>
          <w:rFonts w:hint="eastAsia" w:ascii="宋体" w:hAnsi="宋体" w:eastAsia="宋体" w:cs="宋体"/>
          <w:sz w:val="24"/>
        </w:rPr>
        <w:br w:type="page"/>
      </w:r>
      <w:bookmarkStart w:id="367" w:name="_Toc12076"/>
      <w:bookmarkStart w:id="368" w:name="_Toc24974"/>
      <w:bookmarkStart w:id="369" w:name="_Toc25609"/>
      <w:bookmarkStart w:id="370" w:name="_Toc27819"/>
      <w:bookmarkStart w:id="371" w:name="_Toc14020"/>
      <w:r>
        <w:rPr>
          <w:rFonts w:hint="eastAsia" w:ascii="宋体" w:hAnsi="宋体" w:eastAsia="宋体" w:cs="宋体"/>
          <w:b/>
          <w:bCs/>
          <w:color w:val="000000"/>
          <w:sz w:val="36"/>
          <w:szCs w:val="30"/>
        </w:rPr>
        <w:t>第</w:t>
      </w:r>
      <w:r>
        <w:rPr>
          <w:rFonts w:hint="eastAsia" w:ascii="宋体" w:hAnsi="宋体" w:eastAsia="宋体" w:cs="宋体"/>
          <w:b/>
          <w:bCs/>
          <w:color w:val="000000"/>
          <w:sz w:val="36"/>
          <w:szCs w:val="30"/>
          <w:lang w:eastAsia="zh-CN"/>
        </w:rPr>
        <w:t>七</w:t>
      </w:r>
      <w:r>
        <w:rPr>
          <w:rFonts w:hint="eastAsia" w:ascii="宋体" w:hAnsi="宋体" w:eastAsia="宋体" w:cs="宋体"/>
          <w:b/>
          <w:bCs/>
          <w:color w:val="000000"/>
          <w:sz w:val="36"/>
          <w:szCs w:val="30"/>
        </w:rPr>
        <w:t>篇  响应文件格式要求</w:t>
      </w:r>
      <w:bookmarkEnd w:id="367"/>
      <w:bookmarkEnd w:id="368"/>
      <w:bookmarkEnd w:id="369"/>
      <w:bookmarkEnd w:id="370"/>
      <w:bookmarkEnd w:id="371"/>
    </w:p>
    <w:p w14:paraId="100AA0BD">
      <w:pPr>
        <w:spacing w:line="360" w:lineRule="auto"/>
        <w:ind w:firstLine="480" w:firstLineChars="200"/>
        <w:rPr>
          <w:rFonts w:hint="eastAsia" w:ascii="宋体" w:hAnsi="宋体" w:eastAsia="宋体" w:cs="宋体"/>
          <w:sz w:val="24"/>
          <w:szCs w:val="24"/>
        </w:rPr>
      </w:pPr>
      <w:bookmarkStart w:id="372" w:name="_Toc31533"/>
      <w:bookmarkStart w:id="373" w:name="_Toc11456"/>
    </w:p>
    <w:p w14:paraId="4D50729A">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一、经济部分</w:t>
      </w:r>
    </w:p>
    <w:p w14:paraId="5B5A901E">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（一）竞争性谈判报价函</w:t>
      </w:r>
    </w:p>
    <w:p w14:paraId="0AD1DAA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（二）报价明细表</w:t>
      </w:r>
    </w:p>
    <w:p w14:paraId="66D103FD">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二、技术服务部分</w:t>
      </w:r>
    </w:p>
    <w:p w14:paraId="7D1D3BD8">
      <w:pPr>
        <w:spacing w:line="360" w:lineRule="auto"/>
        <w:ind w:firstLine="480" w:firstLineChars="200"/>
        <w:rPr>
          <w:rFonts w:hint="default" w:ascii="宋体" w:hAnsi="宋体" w:eastAsia="宋体" w:cs="宋体"/>
          <w:sz w:val="24"/>
          <w:szCs w:val="24"/>
          <w:lang w:val="en-US" w:eastAsia="zh-CN"/>
        </w:rPr>
      </w:pPr>
      <w:r>
        <w:rPr>
          <w:rFonts w:hint="eastAsia" w:ascii="宋体" w:hAnsi="宋体" w:eastAsia="宋体" w:cs="宋体"/>
          <w:sz w:val="24"/>
          <w:szCs w:val="24"/>
        </w:rPr>
        <w:t>（一）</w:t>
      </w:r>
      <w:r>
        <w:rPr>
          <w:rFonts w:hint="eastAsia" w:ascii="宋体" w:hAnsi="宋体" w:eastAsia="宋体" w:cs="宋体"/>
          <w:sz w:val="24"/>
          <w:szCs w:val="24"/>
          <w:lang w:val="en-US" w:eastAsia="zh-CN"/>
        </w:rPr>
        <w:t>技术响应情况</w:t>
      </w:r>
    </w:p>
    <w:p w14:paraId="3EA3CA22">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（二）技术响应偏离表</w:t>
      </w:r>
    </w:p>
    <w:p w14:paraId="253C2A07">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三、商务部分</w:t>
      </w:r>
    </w:p>
    <w:p w14:paraId="543E6BE8">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（一）商务要求响应情况：</w:t>
      </w:r>
      <w:r>
        <w:rPr>
          <w:rFonts w:hint="eastAsia" w:ascii="宋体" w:hAnsi="宋体" w:eastAsia="宋体" w:cs="宋体"/>
          <w:sz w:val="24"/>
          <w:szCs w:val="24"/>
          <w:lang w:val="en-US" w:eastAsia="zh-CN"/>
        </w:rPr>
        <w:t>施工时间、质量保证</w:t>
      </w:r>
      <w:r>
        <w:rPr>
          <w:rFonts w:hint="eastAsia" w:ascii="宋体" w:hAnsi="宋体" w:eastAsia="宋体" w:cs="宋体"/>
          <w:sz w:val="24"/>
          <w:szCs w:val="24"/>
        </w:rPr>
        <w:t>等（包括但不限于）</w:t>
      </w:r>
    </w:p>
    <w:p w14:paraId="1D86B734">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（二）商务响应偏离表</w:t>
      </w:r>
    </w:p>
    <w:p w14:paraId="4858EF62">
      <w:pPr>
        <w:spacing w:line="360" w:lineRule="auto"/>
        <w:ind w:firstLine="480" w:firstLineChars="200"/>
        <w:rPr>
          <w:rFonts w:ascii="宋体" w:hAnsi="宋体" w:eastAsia="宋体" w:cs="宋体"/>
          <w:b/>
          <w:sz w:val="24"/>
          <w:szCs w:val="24"/>
        </w:rPr>
      </w:pPr>
      <w:r>
        <w:rPr>
          <w:rFonts w:hint="eastAsia" w:ascii="宋体" w:hAnsi="宋体" w:eastAsia="宋体" w:cs="宋体"/>
          <w:sz w:val="24"/>
          <w:szCs w:val="24"/>
        </w:rPr>
        <w:t>（三）其它优惠承诺（格式自定）</w:t>
      </w:r>
    </w:p>
    <w:p w14:paraId="7606AFFC">
      <w:pPr>
        <w:spacing w:line="360" w:lineRule="auto"/>
        <w:ind w:firstLine="482" w:firstLineChars="200"/>
        <w:rPr>
          <w:rFonts w:ascii="宋体" w:hAnsi="宋体" w:eastAsia="宋体" w:cs="宋体"/>
          <w:b/>
          <w:bCs/>
          <w:sz w:val="24"/>
          <w:szCs w:val="24"/>
        </w:rPr>
      </w:pPr>
      <w:r>
        <w:rPr>
          <w:rFonts w:hint="eastAsia" w:ascii="宋体" w:hAnsi="宋体" w:eastAsia="宋体" w:cs="宋体"/>
          <w:b/>
          <w:bCs/>
          <w:sz w:val="24"/>
          <w:szCs w:val="24"/>
        </w:rPr>
        <w:t>四、资格条件及其他</w:t>
      </w:r>
    </w:p>
    <w:p w14:paraId="0B7F4A63">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（一）营业执照（副本）或事业单位法人证书（副本）或个体工商户营业执照复印件</w:t>
      </w:r>
    </w:p>
    <w:p w14:paraId="20787A6E">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说明：供应商按“多证合一”登记制度办理营业执照的，组织机构代码证、税务登记证以供应商所提供的法人营业执照（副本）复印件为准。</w:t>
      </w:r>
    </w:p>
    <w:p w14:paraId="07241FE0">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（二）法定代表人身份证明书（格式）</w:t>
      </w:r>
    </w:p>
    <w:p w14:paraId="4804467F">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（三）法定代表人授权委托书（格式）</w:t>
      </w:r>
    </w:p>
    <w:p w14:paraId="696A6FF9">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（四）基本资格条件承诺函</w:t>
      </w:r>
    </w:p>
    <w:p w14:paraId="5F3F7C20">
      <w:pPr>
        <w:spacing w:line="360" w:lineRule="auto"/>
        <w:ind w:firstLine="480" w:firstLineChars="200"/>
        <w:rPr>
          <w:rFonts w:ascii="宋体" w:hAnsi="宋体" w:eastAsia="宋体" w:cs="宋体"/>
          <w:b w:val="0"/>
          <w:bCs w:val="0"/>
          <w:sz w:val="24"/>
          <w:szCs w:val="24"/>
        </w:rPr>
      </w:pPr>
      <w:r>
        <w:rPr>
          <w:rFonts w:hint="eastAsia" w:ascii="宋体" w:hAnsi="宋体" w:eastAsia="宋体" w:cs="宋体"/>
          <w:b w:val="0"/>
          <w:bCs w:val="0"/>
          <w:sz w:val="24"/>
          <w:szCs w:val="24"/>
        </w:rPr>
        <w:t>（五）特定资格条件证明文件</w:t>
      </w:r>
    </w:p>
    <w:p w14:paraId="34BE2B1D">
      <w:pPr>
        <w:spacing w:line="400" w:lineRule="exact"/>
        <w:ind w:firstLine="482" w:firstLineChars="200"/>
        <w:rPr>
          <w:rFonts w:ascii="宋体" w:hAnsi="宋体" w:eastAsia="宋体" w:cs="宋体"/>
          <w:b/>
          <w:sz w:val="24"/>
          <w:szCs w:val="24"/>
        </w:rPr>
      </w:pPr>
      <w:r>
        <w:rPr>
          <w:rFonts w:hint="eastAsia" w:ascii="宋体" w:hAnsi="宋体" w:eastAsia="宋体" w:cs="宋体"/>
          <w:b/>
          <w:sz w:val="24"/>
          <w:szCs w:val="24"/>
        </w:rPr>
        <w:t>五、其他资料</w:t>
      </w:r>
    </w:p>
    <w:p w14:paraId="61F203FA">
      <w:pPr>
        <w:spacing w:line="400" w:lineRule="exact"/>
        <w:ind w:firstLine="480" w:firstLineChars="200"/>
        <w:rPr>
          <w:rFonts w:ascii="宋体" w:hAnsi="宋体" w:eastAsia="宋体" w:cs="宋体"/>
          <w:b/>
          <w:sz w:val="24"/>
          <w:szCs w:val="24"/>
        </w:rPr>
      </w:pPr>
      <w:r>
        <w:rPr>
          <w:rFonts w:hint="eastAsia" w:ascii="宋体" w:hAnsi="宋体" w:eastAsia="宋体" w:cs="宋体"/>
          <w:sz w:val="24"/>
          <w:szCs w:val="24"/>
        </w:rPr>
        <w:t>（一）中小企业声明函、监狱企业证明文件、残疾人福利性单位声明函</w:t>
      </w:r>
    </w:p>
    <w:p w14:paraId="762D7B2C">
      <w:pPr>
        <w:spacing w:line="400" w:lineRule="exact"/>
        <w:ind w:firstLine="480" w:firstLineChars="200"/>
        <w:rPr>
          <w:rFonts w:ascii="宋体" w:hAnsi="宋体" w:eastAsia="宋体" w:cs="宋体"/>
          <w:sz w:val="24"/>
          <w:szCs w:val="24"/>
        </w:rPr>
      </w:pPr>
      <w:r>
        <w:rPr>
          <w:rFonts w:hint="eastAsia" w:ascii="宋体" w:hAnsi="宋体" w:eastAsia="宋体" w:cs="宋体"/>
          <w:sz w:val="24"/>
          <w:szCs w:val="24"/>
        </w:rPr>
        <w:t>（二）其他与项目有关的资料（自附）</w:t>
      </w:r>
    </w:p>
    <w:p w14:paraId="058EE916"/>
    <w:p w14:paraId="766B5D5E"/>
    <w:p w14:paraId="2148E723"/>
    <w:p w14:paraId="73499EDE"/>
    <w:p w14:paraId="5270831D"/>
    <w:p w14:paraId="4CD65C11">
      <w:pPr>
        <w:pStyle w:val="5"/>
        <w:spacing w:before="0" w:after="0" w:line="360" w:lineRule="auto"/>
        <w:rPr>
          <w:rFonts w:ascii="宋体" w:hAnsi="宋体" w:cs="宋体"/>
          <w:sz w:val="24"/>
          <w:szCs w:val="24"/>
        </w:rPr>
      </w:pPr>
      <w:r>
        <w:rPr>
          <w:rFonts w:ascii="宋体" w:hAnsi="宋体" w:cs="宋体"/>
          <w:sz w:val="24"/>
          <w:szCs w:val="24"/>
        </w:rPr>
        <w:br w:type="page"/>
      </w:r>
      <w:bookmarkStart w:id="374" w:name="_Toc13586"/>
      <w:bookmarkStart w:id="375" w:name="_Toc16871"/>
      <w:r>
        <w:rPr>
          <w:rFonts w:hint="eastAsia" w:ascii="宋体" w:hAnsi="宋体" w:cs="宋体"/>
          <w:sz w:val="24"/>
          <w:szCs w:val="24"/>
          <w:lang w:val="en-US" w:eastAsia="zh-CN"/>
        </w:rPr>
        <w:t xml:space="preserve">  </w:t>
      </w:r>
      <w:bookmarkStart w:id="376" w:name="_Toc19653"/>
      <w:r>
        <w:rPr>
          <w:rFonts w:hint="eastAsia" w:ascii="宋体" w:hAnsi="宋体" w:cs="宋体"/>
          <w:sz w:val="24"/>
          <w:szCs w:val="24"/>
        </w:rPr>
        <w:t>一、经济部分</w:t>
      </w:r>
      <w:bookmarkEnd w:id="372"/>
      <w:bookmarkEnd w:id="373"/>
      <w:bookmarkEnd w:id="374"/>
      <w:bookmarkEnd w:id="375"/>
      <w:bookmarkEnd w:id="376"/>
    </w:p>
    <w:p w14:paraId="775E7D0F">
      <w:pPr>
        <w:tabs>
          <w:tab w:val="left" w:pos="6300"/>
        </w:tabs>
        <w:snapToGrid w:val="0"/>
        <w:spacing w:line="360" w:lineRule="auto"/>
        <w:ind w:firstLine="480" w:firstLineChars="200"/>
        <w:outlineLvl w:val="3"/>
        <w:rPr>
          <w:rFonts w:ascii="宋体" w:hAnsi="宋体" w:eastAsia="宋体" w:cs="宋体"/>
          <w:sz w:val="24"/>
          <w:szCs w:val="24"/>
        </w:rPr>
      </w:pPr>
      <w:bookmarkStart w:id="377" w:name="_Toc24360"/>
      <w:bookmarkStart w:id="378" w:name="_Toc29576"/>
      <w:r>
        <w:rPr>
          <w:rFonts w:hint="eastAsia" w:ascii="宋体" w:hAnsi="宋体" w:eastAsia="宋体" w:cs="宋体"/>
          <w:sz w:val="24"/>
          <w:szCs w:val="24"/>
        </w:rPr>
        <w:t>（一）竞争性谈判报价函</w:t>
      </w:r>
      <w:bookmarkEnd w:id="377"/>
      <w:bookmarkEnd w:id="378"/>
    </w:p>
    <w:p w14:paraId="55A89649">
      <w:pPr>
        <w:tabs>
          <w:tab w:val="left" w:pos="6300"/>
        </w:tabs>
        <w:snapToGrid w:val="0"/>
        <w:spacing w:line="360" w:lineRule="auto"/>
        <w:jc w:val="center"/>
        <w:rPr>
          <w:rFonts w:ascii="宋体" w:hAnsi="宋体" w:eastAsia="宋体" w:cs="宋体"/>
          <w:b w:val="0"/>
          <w:bCs/>
          <w:szCs w:val="28"/>
        </w:rPr>
      </w:pPr>
      <w:r>
        <w:rPr>
          <w:rFonts w:hint="eastAsia" w:ascii="宋体" w:hAnsi="宋体" w:eastAsia="宋体" w:cs="宋体"/>
          <w:b w:val="0"/>
          <w:bCs/>
          <w:szCs w:val="28"/>
        </w:rPr>
        <w:t>竞争性谈判报价函</w:t>
      </w:r>
    </w:p>
    <w:p w14:paraId="15D7025E">
      <w:pPr>
        <w:tabs>
          <w:tab w:val="left" w:pos="6300"/>
        </w:tabs>
        <w:snapToGrid w:val="0"/>
        <w:spacing w:line="360" w:lineRule="auto"/>
        <w:rPr>
          <w:rFonts w:hint="eastAsia" w:ascii="宋体" w:hAnsi="宋体" w:eastAsia="宋体" w:cs="宋体"/>
          <w:sz w:val="24"/>
          <w:szCs w:val="24"/>
        </w:rPr>
      </w:pPr>
    </w:p>
    <w:p w14:paraId="56354716">
      <w:pPr>
        <w:tabs>
          <w:tab w:val="left" w:pos="6300"/>
        </w:tabs>
        <w:snapToGrid w:val="0"/>
        <w:spacing w:line="360" w:lineRule="auto"/>
        <w:rPr>
          <w:rFonts w:ascii="宋体" w:hAnsi="宋体" w:eastAsia="宋体" w:cs="宋体"/>
          <w:sz w:val="24"/>
          <w:szCs w:val="24"/>
        </w:rPr>
      </w:pPr>
      <w:r>
        <w:rPr>
          <w:rFonts w:hint="eastAsia" w:ascii="宋体" w:hAnsi="宋体" w:eastAsia="宋体" w:cs="宋体"/>
          <w:sz w:val="24"/>
          <w:szCs w:val="24"/>
        </w:rPr>
        <w:t>_____________（采购人名称）：</w:t>
      </w:r>
    </w:p>
    <w:p w14:paraId="7F12730D">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我方收到_____________（项目名称）的竞争性谈判文件，经详细研究，决定参加该谈判项目的竞争谈判。</w:t>
      </w:r>
    </w:p>
    <w:p w14:paraId="2A9AFA87">
      <w:pPr>
        <w:numPr>
          <w:ilvl w:val="0"/>
          <w:numId w:val="15"/>
        </w:num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愿意按照竞争性谈判文件中的一切要求，提供本项目的技术服务，初始报价为人民币大写：</w:t>
      </w:r>
      <w:r>
        <w:rPr>
          <w:rFonts w:hint="eastAsia" w:ascii="宋体" w:hAnsi="宋体" w:eastAsia="宋体" w:cs="宋体"/>
          <w:sz w:val="24"/>
          <w:szCs w:val="24"/>
          <w:u w:val="single"/>
        </w:rPr>
        <w:t xml:space="preserve">      </w:t>
      </w:r>
      <w:r>
        <w:rPr>
          <w:rFonts w:hint="eastAsia" w:ascii="宋体" w:hAnsi="宋体" w:eastAsia="宋体" w:cs="宋体"/>
          <w:sz w:val="24"/>
          <w:szCs w:val="24"/>
        </w:rPr>
        <w:t>元整；人民币小写：</w:t>
      </w:r>
      <w:r>
        <w:rPr>
          <w:rFonts w:hint="eastAsia" w:ascii="宋体" w:hAnsi="宋体" w:eastAsia="宋体" w:cs="宋体"/>
          <w:sz w:val="24"/>
          <w:szCs w:val="24"/>
          <w:u w:val="single"/>
        </w:rPr>
        <w:t xml:space="preserve">      </w:t>
      </w:r>
      <w:r>
        <w:rPr>
          <w:rFonts w:hint="eastAsia" w:ascii="宋体" w:hAnsi="宋体" w:eastAsia="宋体" w:cs="宋体"/>
          <w:sz w:val="24"/>
          <w:szCs w:val="24"/>
        </w:rPr>
        <w:t>元。以我单位最终报价为准。</w:t>
      </w:r>
    </w:p>
    <w:p w14:paraId="2F7B74F5">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2、我方现提交的响应文件为：响应文件正本</w:t>
      </w:r>
      <w:r>
        <w:rPr>
          <w:rFonts w:hint="eastAsia" w:ascii="宋体" w:hAnsi="宋体" w:cs="宋体"/>
          <w:sz w:val="24"/>
          <w:szCs w:val="24"/>
          <w:u w:val="single"/>
        </w:rPr>
        <w:t xml:space="preserve">   </w:t>
      </w:r>
      <w:r>
        <w:rPr>
          <w:rFonts w:hint="eastAsia" w:ascii="宋体" w:hAnsi="宋体" w:eastAsia="宋体" w:cs="宋体"/>
          <w:sz w:val="24"/>
          <w:szCs w:val="24"/>
        </w:rPr>
        <w:t>份，副本</w:t>
      </w:r>
      <w:r>
        <w:rPr>
          <w:rFonts w:hint="eastAsia" w:ascii="宋体" w:hAnsi="宋体" w:cs="宋体"/>
          <w:sz w:val="24"/>
          <w:szCs w:val="24"/>
          <w:u w:val="single"/>
        </w:rPr>
        <w:t xml:space="preserve">   </w:t>
      </w:r>
      <w:r>
        <w:rPr>
          <w:rFonts w:hint="eastAsia" w:ascii="宋体" w:hAnsi="宋体" w:eastAsia="宋体" w:cs="宋体"/>
          <w:sz w:val="24"/>
          <w:szCs w:val="24"/>
        </w:rPr>
        <w:t>份</w:t>
      </w:r>
      <w:r>
        <w:rPr>
          <w:rFonts w:hint="eastAsia" w:ascii="宋体" w:hAnsi="宋体" w:eastAsia="宋体" w:cs="宋体"/>
          <w:sz w:val="24"/>
          <w:szCs w:val="24"/>
          <w:lang w:eastAsia="zh-CN"/>
        </w:rPr>
        <w:t>，电子</w:t>
      </w:r>
      <w:r>
        <w:rPr>
          <w:rFonts w:hint="eastAsia" w:ascii="宋体" w:hAnsi="宋体" w:eastAsia="宋体" w:cs="宋体"/>
          <w:sz w:val="24"/>
          <w:szCs w:val="24"/>
          <w:lang w:val="en-US" w:eastAsia="zh-CN"/>
        </w:rPr>
        <w:t>U盘</w:t>
      </w:r>
      <w:r>
        <w:rPr>
          <w:rFonts w:hint="eastAsia" w:ascii="宋体" w:hAnsi="宋体" w:eastAsia="宋体" w:cs="宋体"/>
          <w:sz w:val="24"/>
          <w:szCs w:val="24"/>
          <w:u w:val="single"/>
          <w:lang w:val="en-US" w:eastAsia="zh-CN"/>
        </w:rPr>
        <w:t>一份</w:t>
      </w:r>
      <w:r>
        <w:rPr>
          <w:rFonts w:hint="eastAsia" w:ascii="宋体" w:hAnsi="宋体" w:eastAsia="宋体" w:cs="宋体"/>
          <w:sz w:val="24"/>
          <w:szCs w:val="24"/>
        </w:rPr>
        <w:t>。</w:t>
      </w:r>
    </w:p>
    <w:p w14:paraId="701F4066">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3、我方承诺：本次谈判的有效期为90天。</w:t>
      </w:r>
    </w:p>
    <w:p w14:paraId="48C6DFD7">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4、我方完全理解和接受贵方竞争性谈判文件的一切规定和要求及谈判评审办法。</w:t>
      </w:r>
    </w:p>
    <w:p w14:paraId="79AF64B9">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5、在整个竞争性谈判过程中，我方若有违规行为，接受按照《中华人民共和国政府采购法》和《竞争性谈判文件》之规定给予惩罚。</w:t>
      </w:r>
    </w:p>
    <w:p w14:paraId="159167FA">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6、我方若成为成交供应商，将按照最终谈判结果签订合同，并且严格履行合同义务。本承诺函将成为合同不可分割的一部分，与合同具有同等的法律效力。</w:t>
      </w:r>
    </w:p>
    <w:p w14:paraId="5D3B1125">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7、我方同意按竞争性谈判文件规定，交纳竞争性谈判文件要求的保证金。</w:t>
      </w:r>
    </w:p>
    <w:p w14:paraId="6759943F">
      <w:pPr>
        <w:tabs>
          <w:tab w:val="left" w:pos="6300"/>
        </w:tabs>
        <w:snapToGrid w:val="0"/>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8、我方为采购项目提供整体设计、规范编制或者项目管理、监理、监测等服务。</w:t>
      </w:r>
    </w:p>
    <w:p w14:paraId="3599507A">
      <w:pPr>
        <w:tabs>
          <w:tab w:val="left" w:pos="6300"/>
        </w:tabs>
        <w:snapToGrid w:val="0"/>
        <w:spacing w:line="360" w:lineRule="auto"/>
        <w:ind w:firstLine="570"/>
        <w:rPr>
          <w:rFonts w:ascii="宋体" w:hAnsi="宋体" w:eastAsia="宋体" w:cs="宋体"/>
          <w:sz w:val="24"/>
          <w:szCs w:val="24"/>
        </w:rPr>
      </w:pPr>
    </w:p>
    <w:p w14:paraId="1D5B048C">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供应商（公章）：</w:t>
      </w:r>
    </w:p>
    <w:p w14:paraId="4A44B0C6">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 xml:space="preserve">地址：                           </w:t>
      </w:r>
    </w:p>
    <w:p w14:paraId="42F8AF22">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 xml:space="preserve">电话：                           </w:t>
      </w:r>
    </w:p>
    <w:p w14:paraId="7C2A250B">
      <w:pPr>
        <w:tabs>
          <w:tab w:val="left" w:pos="6300"/>
        </w:tabs>
        <w:snapToGrid w:val="0"/>
        <w:spacing w:line="360" w:lineRule="auto"/>
        <w:ind w:firstLine="570"/>
        <w:rPr>
          <w:rFonts w:ascii="宋体" w:hAnsi="宋体" w:eastAsia="宋体" w:cs="宋体"/>
          <w:sz w:val="24"/>
          <w:szCs w:val="24"/>
        </w:rPr>
      </w:pPr>
      <w:r>
        <w:rPr>
          <w:rFonts w:hint="eastAsia" w:ascii="宋体" w:hAnsi="宋体" w:eastAsia="宋体" w:cs="宋体"/>
          <w:sz w:val="24"/>
          <w:szCs w:val="24"/>
        </w:rPr>
        <w:t>联系人：</w:t>
      </w:r>
    </w:p>
    <w:p w14:paraId="0AAE5F9E">
      <w:pPr>
        <w:spacing w:line="360" w:lineRule="auto"/>
        <w:ind w:firstLine="480" w:firstLineChars="200"/>
        <w:rPr>
          <w:rFonts w:ascii="宋体" w:hAnsi="宋体" w:eastAsia="宋体" w:cs="宋体"/>
          <w:sz w:val="24"/>
          <w:szCs w:val="24"/>
        </w:rPr>
      </w:pPr>
      <w:r>
        <w:rPr>
          <w:rFonts w:hint="eastAsia" w:ascii="宋体" w:hAnsi="宋体" w:eastAsia="宋体" w:cs="宋体"/>
          <w:sz w:val="24"/>
          <w:szCs w:val="24"/>
        </w:rPr>
        <w:t xml:space="preserve">                                        年   月   日</w:t>
      </w:r>
    </w:p>
    <w:p w14:paraId="1441ABA7">
      <w:pPr>
        <w:spacing w:line="400" w:lineRule="exact"/>
        <w:rPr>
          <w:rFonts w:ascii="宋体" w:hAnsi="宋体" w:eastAsia="宋体" w:cs="宋体"/>
          <w:sz w:val="24"/>
          <w:szCs w:val="24"/>
        </w:rPr>
      </w:pPr>
    </w:p>
    <w:p w14:paraId="5134E71A">
      <w:pPr>
        <w:spacing w:line="400" w:lineRule="exact"/>
        <w:rPr>
          <w:rFonts w:ascii="宋体" w:hAnsi="宋体" w:eastAsia="宋体" w:cs="宋体"/>
          <w:sz w:val="24"/>
          <w:szCs w:val="24"/>
        </w:rPr>
      </w:pPr>
    </w:p>
    <w:p w14:paraId="3B987FAA">
      <w:pPr>
        <w:spacing w:line="400" w:lineRule="exact"/>
        <w:rPr>
          <w:rFonts w:ascii="宋体" w:hAnsi="宋体" w:eastAsia="宋体" w:cs="宋体"/>
          <w:sz w:val="24"/>
          <w:szCs w:val="24"/>
        </w:rPr>
      </w:pPr>
    </w:p>
    <w:p w14:paraId="247B7894">
      <w:pPr>
        <w:spacing w:line="400" w:lineRule="exact"/>
        <w:rPr>
          <w:rFonts w:ascii="宋体" w:hAnsi="宋体" w:eastAsia="宋体" w:cs="宋体"/>
          <w:sz w:val="24"/>
          <w:szCs w:val="24"/>
        </w:rPr>
      </w:pPr>
    </w:p>
    <w:p w14:paraId="76DEEB2E">
      <w:pPr>
        <w:spacing w:line="400" w:lineRule="exact"/>
        <w:rPr>
          <w:rFonts w:ascii="宋体" w:hAnsi="宋体" w:eastAsia="宋体" w:cs="宋体"/>
          <w:sz w:val="24"/>
          <w:szCs w:val="24"/>
        </w:rPr>
      </w:pPr>
    </w:p>
    <w:p w14:paraId="55B5A861">
      <w:pPr>
        <w:spacing w:line="440" w:lineRule="exact"/>
        <w:outlineLvl w:val="3"/>
        <w:rPr>
          <w:rFonts w:hint="eastAsia" w:ascii="宋体" w:hAnsi="宋体" w:eastAsia="宋体" w:cs="宋体"/>
          <w:sz w:val="24"/>
          <w:szCs w:val="24"/>
          <w:lang w:eastAsia="zh-CN"/>
        </w:rPr>
      </w:pPr>
      <w:r>
        <w:rPr>
          <w:rFonts w:hint="eastAsia" w:ascii="宋体" w:hAnsi="宋体" w:eastAsia="宋体" w:cs="宋体"/>
          <w:sz w:val="24"/>
          <w:szCs w:val="24"/>
        </w:rPr>
        <w:br w:type="page"/>
      </w:r>
      <w:bookmarkStart w:id="379" w:name="_Toc18239"/>
      <w:bookmarkStart w:id="380" w:name="_Toc30489"/>
      <w:r>
        <w:rPr>
          <w:rFonts w:hint="eastAsia" w:ascii="宋体" w:hAnsi="宋体" w:eastAsia="宋体" w:cs="宋体"/>
          <w:sz w:val="24"/>
          <w:szCs w:val="24"/>
        </w:rPr>
        <w:t>（二）报价明细表</w:t>
      </w:r>
      <w:bookmarkEnd w:id="379"/>
      <w:r>
        <w:rPr>
          <w:rFonts w:hint="eastAsia" w:ascii="宋体" w:hAnsi="宋体" w:eastAsia="宋体" w:cs="宋体"/>
          <w:sz w:val="24"/>
          <w:szCs w:val="24"/>
          <w:lang w:eastAsia="zh-CN"/>
        </w:rPr>
        <w:t>（</w:t>
      </w:r>
      <w:r>
        <w:rPr>
          <w:rFonts w:hint="eastAsia" w:ascii="宋体" w:hAnsi="宋体" w:eastAsia="宋体" w:cs="宋体"/>
          <w:sz w:val="24"/>
          <w:szCs w:val="24"/>
          <w:lang w:val="en-US" w:eastAsia="zh-CN"/>
        </w:rPr>
        <w:t>详见工程量清单</w:t>
      </w:r>
      <w:r>
        <w:rPr>
          <w:rFonts w:hint="eastAsia" w:ascii="宋体" w:hAnsi="宋体" w:eastAsia="宋体" w:cs="宋体"/>
          <w:sz w:val="24"/>
          <w:szCs w:val="24"/>
          <w:lang w:eastAsia="zh-CN"/>
        </w:rPr>
        <w:t>）</w:t>
      </w:r>
      <w:bookmarkEnd w:id="380"/>
    </w:p>
    <w:p w14:paraId="2DBE1593">
      <w:pPr>
        <w:snapToGrid w:val="0"/>
        <w:spacing w:line="500" w:lineRule="exact"/>
        <w:rPr>
          <w:rFonts w:ascii="宋体" w:hAnsi="宋体" w:eastAsia="宋体" w:cs="宋体"/>
          <w:sz w:val="24"/>
          <w:szCs w:val="28"/>
        </w:rPr>
      </w:pPr>
    </w:p>
    <w:p w14:paraId="359576E7">
      <w:pPr>
        <w:snapToGrid w:val="0"/>
        <w:spacing w:line="500" w:lineRule="exact"/>
        <w:rPr>
          <w:rFonts w:ascii="宋体" w:hAnsi="宋体" w:eastAsia="宋体" w:cs="宋体"/>
          <w:sz w:val="24"/>
          <w:szCs w:val="28"/>
        </w:rPr>
      </w:pPr>
    </w:p>
    <w:p w14:paraId="6E4E78A3">
      <w:pPr>
        <w:snapToGrid w:val="0"/>
        <w:spacing w:line="500" w:lineRule="exact"/>
        <w:rPr>
          <w:rFonts w:ascii="宋体" w:hAnsi="宋体" w:eastAsia="宋体" w:cs="宋体"/>
          <w:sz w:val="24"/>
          <w:szCs w:val="28"/>
        </w:rPr>
      </w:pPr>
    </w:p>
    <w:p w14:paraId="5E7F949A">
      <w:pPr>
        <w:snapToGrid w:val="0"/>
        <w:spacing w:line="360" w:lineRule="auto"/>
        <w:ind w:firstLine="480" w:firstLineChars="200"/>
        <w:rPr>
          <w:rFonts w:ascii="宋体" w:hAnsi="宋体" w:eastAsia="宋体" w:cs="宋体"/>
          <w:sz w:val="24"/>
          <w:szCs w:val="24"/>
          <w:bdr w:val="single" w:color="auto" w:sz="4" w:space="0"/>
        </w:rPr>
        <w:sectPr>
          <w:headerReference r:id="rId7" w:type="default"/>
          <w:footerReference r:id="rId8" w:type="default"/>
          <w:pgSz w:w="11907" w:h="16840"/>
          <w:pgMar w:top="1134" w:right="1191" w:bottom="1134" w:left="1304" w:header="851" w:footer="850" w:gutter="0"/>
          <w:pgNumType w:fmt="decimal"/>
          <w:cols w:space="720" w:num="1"/>
          <w:docGrid w:linePitch="380" w:charSpace="-5735"/>
        </w:sectPr>
      </w:pPr>
    </w:p>
    <w:p w14:paraId="07D694B8">
      <w:pPr>
        <w:pStyle w:val="5"/>
        <w:spacing w:before="0" w:after="0" w:line="360" w:lineRule="auto"/>
        <w:ind w:firstLine="482" w:firstLineChars="200"/>
        <w:rPr>
          <w:rFonts w:ascii="宋体" w:hAnsi="宋体" w:cs="宋体"/>
          <w:sz w:val="24"/>
          <w:szCs w:val="24"/>
        </w:rPr>
      </w:pPr>
      <w:bookmarkStart w:id="381" w:name="_Toc12445"/>
      <w:bookmarkStart w:id="382" w:name="_Toc11844"/>
      <w:bookmarkStart w:id="383" w:name="_Toc6803"/>
      <w:bookmarkStart w:id="384" w:name="_Toc31826"/>
      <w:bookmarkStart w:id="385" w:name="_Toc7613"/>
      <w:r>
        <w:rPr>
          <w:rFonts w:hint="eastAsia" w:ascii="宋体" w:hAnsi="宋体" w:cs="宋体"/>
          <w:sz w:val="24"/>
          <w:szCs w:val="24"/>
        </w:rPr>
        <w:t>二、技术部分</w:t>
      </w:r>
      <w:bookmarkEnd w:id="381"/>
      <w:bookmarkEnd w:id="382"/>
      <w:bookmarkEnd w:id="383"/>
      <w:bookmarkEnd w:id="384"/>
      <w:bookmarkEnd w:id="385"/>
    </w:p>
    <w:p w14:paraId="669877C4">
      <w:pPr>
        <w:snapToGrid w:val="0"/>
        <w:spacing w:line="500" w:lineRule="exact"/>
        <w:ind w:firstLine="480" w:firstLineChars="200"/>
        <w:outlineLvl w:val="3"/>
        <w:rPr>
          <w:rFonts w:hint="default" w:ascii="宋体" w:hAnsi="宋体" w:eastAsia="宋体" w:cs="宋体"/>
          <w:sz w:val="24"/>
          <w:szCs w:val="28"/>
          <w:lang w:val="en-US" w:eastAsia="zh-CN"/>
        </w:rPr>
      </w:pPr>
      <w:bookmarkStart w:id="386" w:name="_Toc31242"/>
      <w:bookmarkStart w:id="387" w:name="_Toc1755"/>
      <w:r>
        <w:rPr>
          <w:rFonts w:hint="eastAsia" w:ascii="宋体" w:hAnsi="宋体" w:eastAsia="宋体" w:cs="宋体"/>
          <w:sz w:val="24"/>
          <w:szCs w:val="28"/>
        </w:rPr>
        <w:t>（一）</w:t>
      </w:r>
      <w:bookmarkEnd w:id="386"/>
      <w:bookmarkEnd w:id="387"/>
      <w:r>
        <w:rPr>
          <w:rFonts w:hint="eastAsia" w:ascii="宋体" w:hAnsi="宋体" w:eastAsia="宋体" w:cs="宋体"/>
          <w:sz w:val="24"/>
          <w:szCs w:val="28"/>
          <w:lang w:val="en-US" w:eastAsia="zh-CN"/>
        </w:rPr>
        <w:t>技术响应情况</w:t>
      </w:r>
    </w:p>
    <w:p w14:paraId="60998424">
      <w:pPr>
        <w:snapToGrid w:val="0"/>
        <w:spacing w:line="500" w:lineRule="exact"/>
        <w:ind w:firstLine="480" w:firstLineChars="200"/>
        <w:rPr>
          <w:rFonts w:ascii="宋体" w:hAnsi="宋体" w:eastAsia="宋体" w:cs="宋体"/>
          <w:sz w:val="24"/>
          <w:szCs w:val="28"/>
        </w:rPr>
      </w:pPr>
    </w:p>
    <w:p w14:paraId="165BFA47">
      <w:pPr>
        <w:snapToGrid w:val="0"/>
        <w:spacing w:line="500" w:lineRule="exact"/>
        <w:ind w:firstLine="560" w:firstLineChars="200"/>
        <w:rPr>
          <w:rFonts w:ascii="宋体" w:hAnsi="宋体" w:eastAsia="宋体" w:cs="宋体"/>
          <w:szCs w:val="28"/>
        </w:rPr>
      </w:pPr>
    </w:p>
    <w:p w14:paraId="0DC8EA4F">
      <w:pPr>
        <w:snapToGrid w:val="0"/>
        <w:spacing w:line="500" w:lineRule="exact"/>
        <w:ind w:firstLine="560" w:firstLineChars="200"/>
        <w:rPr>
          <w:rFonts w:ascii="宋体" w:hAnsi="宋体" w:eastAsia="宋体" w:cs="宋体"/>
          <w:szCs w:val="28"/>
        </w:rPr>
      </w:pPr>
    </w:p>
    <w:p w14:paraId="6E5F0F2A">
      <w:pPr>
        <w:snapToGrid w:val="0"/>
        <w:spacing w:line="500" w:lineRule="exact"/>
        <w:ind w:firstLine="560" w:firstLineChars="200"/>
        <w:rPr>
          <w:rFonts w:ascii="宋体" w:hAnsi="宋体" w:eastAsia="宋体" w:cs="宋体"/>
          <w:szCs w:val="28"/>
        </w:rPr>
      </w:pPr>
    </w:p>
    <w:p w14:paraId="48AEBECF">
      <w:pPr>
        <w:snapToGrid w:val="0"/>
        <w:spacing w:line="500" w:lineRule="exact"/>
        <w:ind w:firstLine="560" w:firstLineChars="200"/>
        <w:rPr>
          <w:rFonts w:ascii="宋体" w:hAnsi="宋体" w:eastAsia="宋体" w:cs="宋体"/>
          <w:szCs w:val="28"/>
        </w:rPr>
      </w:pPr>
    </w:p>
    <w:p w14:paraId="17507D3B">
      <w:pPr>
        <w:snapToGrid w:val="0"/>
        <w:spacing w:line="500" w:lineRule="exact"/>
        <w:ind w:firstLine="560" w:firstLineChars="200"/>
        <w:rPr>
          <w:rFonts w:ascii="宋体" w:hAnsi="宋体" w:eastAsia="宋体" w:cs="宋体"/>
          <w:szCs w:val="28"/>
        </w:rPr>
      </w:pPr>
    </w:p>
    <w:p w14:paraId="58796407">
      <w:pPr>
        <w:snapToGrid w:val="0"/>
        <w:spacing w:line="500" w:lineRule="exact"/>
        <w:ind w:firstLine="560" w:firstLineChars="200"/>
        <w:rPr>
          <w:rFonts w:ascii="宋体" w:hAnsi="宋体" w:eastAsia="宋体" w:cs="宋体"/>
          <w:szCs w:val="28"/>
        </w:rPr>
      </w:pPr>
    </w:p>
    <w:p w14:paraId="6F4FADD6">
      <w:pPr>
        <w:snapToGrid w:val="0"/>
        <w:spacing w:line="500" w:lineRule="exact"/>
        <w:ind w:firstLine="560" w:firstLineChars="200"/>
        <w:rPr>
          <w:rFonts w:ascii="宋体" w:hAnsi="宋体" w:eastAsia="宋体" w:cs="宋体"/>
          <w:szCs w:val="28"/>
        </w:rPr>
      </w:pPr>
    </w:p>
    <w:p w14:paraId="707CB584">
      <w:pPr>
        <w:snapToGrid w:val="0"/>
        <w:spacing w:line="500" w:lineRule="exact"/>
        <w:ind w:firstLine="560" w:firstLineChars="200"/>
        <w:rPr>
          <w:rFonts w:ascii="宋体" w:hAnsi="宋体" w:eastAsia="宋体" w:cs="宋体"/>
          <w:szCs w:val="28"/>
        </w:rPr>
      </w:pPr>
    </w:p>
    <w:p w14:paraId="421737A6">
      <w:pPr>
        <w:snapToGrid w:val="0"/>
        <w:spacing w:line="500" w:lineRule="exact"/>
        <w:ind w:firstLine="560" w:firstLineChars="200"/>
        <w:rPr>
          <w:rFonts w:ascii="宋体" w:hAnsi="宋体" w:eastAsia="宋体" w:cs="宋体"/>
          <w:szCs w:val="28"/>
        </w:rPr>
      </w:pPr>
    </w:p>
    <w:p w14:paraId="5B670DBD">
      <w:pPr>
        <w:snapToGrid w:val="0"/>
        <w:spacing w:line="500" w:lineRule="exact"/>
        <w:ind w:firstLine="560" w:firstLineChars="200"/>
        <w:rPr>
          <w:rFonts w:ascii="宋体" w:hAnsi="宋体" w:eastAsia="宋体" w:cs="宋体"/>
          <w:szCs w:val="28"/>
        </w:rPr>
      </w:pPr>
    </w:p>
    <w:p w14:paraId="078A0390">
      <w:pPr>
        <w:snapToGrid w:val="0"/>
        <w:spacing w:line="500" w:lineRule="exact"/>
        <w:ind w:firstLine="560" w:firstLineChars="200"/>
        <w:rPr>
          <w:rFonts w:ascii="宋体" w:hAnsi="宋体" w:eastAsia="宋体" w:cs="宋体"/>
          <w:szCs w:val="28"/>
        </w:rPr>
      </w:pPr>
    </w:p>
    <w:p w14:paraId="77970C9F">
      <w:pPr>
        <w:snapToGrid w:val="0"/>
        <w:spacing w:line="500" w:lineRule="exact"/>
        <w:ind w:firstLine="480" w:firstLineChars="200"/>
        <w:rPr>
          <w:rFonts w:ascii="宋体" w:hAnsi="宋体" w:eastAsia="宋体" w:cs="宋体"/>
          <w:sz w:val="24"/>
          <w:szCs w:val="28"/>
        </w:rPr>
      </w:pPr>
    </w:p>
    <w:p w14:paraId="59026F75">
      <w:pPr>
        <w:snapToGrid w:val="0"/>
        <w:spacing w:line="500" w:lineRule="exact"/>
        <w:ind w:firstLine="480" w:firstLineChars="200"/>
        <w:rPr>
          <w:rFonts w:ascii="宋体" w:hAnsi="宋体" w:eastAsia="宋体" w:cs="宋体"/>
          <w:sz w:val="24"/>
          <w:szCs w:val="28"/>
        </w:rPr>
      </w:pPr>
    </w:p>
    <w:p w14:paraId="4FA8A529">
      <w:pPr>
        <w:snapToGrid w:val="0"/>
        <w:spacing w:line="500" w:lineRule="exact"/>
        <w:ind w:firstLine="480" w:firstLineChars="200"/>
        <w:rPr>
          <w:rFonts w:ascii="宋体" w:hAnsi="宋体" w:eastAsia="宋体" w:cs="宋体"/>
          <w:sz w:val="24"/>
          <w:szCs w:val="28"/>
        </w:rPr>
      </w:pPr>
    </w:p>
    <w:p w14:paraId="21B26B88">
      <w:pPr>
        <w:snapToGrid w:val="0"/>
        <w:spacing w:line="500" w:lineRule="exact"/>
        <w:ind w:firstLine="480" w:firstLineChars="200"/>
        <w:rPr>
          <w:rFonts w:ascii="宋体" w:hAnsi="宋体" w:eastAsia="宋体" w:cs="宋体"/>
          <w:sz w:val="24"/>
          <w:szCs w:val="28"/>
        </w:rPr>
      </w:pPr>
    </w:p>
    <w:p w14:paraId="77929391">
      <w:pPr>
        <w:snapToGrid w:val="0"/>
        <w:spacing w:line="500" w:lineRule="exact"/>
        <w:ind w:firstLine="480" w:firstLineChars="200"/>
        <w:rPr>
          <w:rFonts w:ascii="宋体" w:hAnsi="宋体" w:eastAsia="宋体" w:cs="宋体"/>
          <w:sz w:val="24"/>
          <w:szCs w:val="28"/>
        </w:rPr>
      </w:pPr>
    </w:p>
    <w:p w14:paraId="717115A0">
      <w:pPr>
        <w:snapToGrid w:val="0"/>
        <w:spacing w:line="500" w:lineRule="exact"/>
        <w:ind w:firstLine="480" w:firstLineChars="200"/>
        <w:rPr>
          <w:rFonts w:ascii="宋体" w:hAnsi="宋体" w:eastAsia="宋体" w:cs="宋体"/>
          <w:sz w:val="24"/>
          <w:szCs w:val="28"/>
        </w:rPr>
      </w:pPr>
    </w:p>
    <w:p w14:paraId="447DE1F0">
      <w:pPr>
        <w:snapToGrid w:val="0"/>
        <w:spacing w:line="500" w:lineRule="exact"/>
        <w:ind w:firstLine="480" w:firstLineChars="200"/>
        <w:rPr>
          <w:rFonts w:ascii="宋体" w:hAnsi="宋体" w:eastAsia="宋体" w:cs="宋体"/>
          <w:sz w:val="24"/>
          <w:szCs w:val="28"/>
        </w:rPr>
      </w:pPr>
    </w:p>
    <w:p w14:paraId="6185430E">
      <w:pPr>
        <w:snapToGrid w:val="0"/>
        <w:spacing w:line="500" w:lineRule="exact"/>
        <w:ind w:firstLine="480" w:firstLineChars="200"/>
        <w:rPr>
          <w:rFonts w:ascii="宋体" w:hAnsi="宋体" w:eastAsia="宋体" w:cs="宋体"/>
          <w:sz w:val="24"/>
          <w:szCs w:val="28"/>
        </w:rPr>
      </w:pPr>
    </w:p>
    <w:p w14:paraId="1606CD94">
      <w:pPr>
        <w:snapToGrid w:val="0"/>
        <w:spacing w:line="500" w:lineRule="exact"/>
        <w:ind w:firstLine="480" w:firstLineChars="200"/>
        <w:rPr>
          <w:rFonts w:ascii="宋体" w:hAnsi="宋体" w:eastAsia="宋体" w:cs="宋体"/>
          <w:sz w:val="24"/>
          <w:szCs w:val="28"/>
        </w:rPr>
      </w:pPr>
    </w:p>
    <w:p w14:paraId="237E434F">
      <w:pPr>
        <w:snapToGrid w:val="0"/>
        <w:spacing w:line="500" w:lineRule="exact"/>
        <w:ind w:firstLine="480" w:firstLineChars="200"/>
        <w:rPr>
          <w:rFonts w:ascii="宋体" w:hAnsi="宋体" w:eastAsia="宋体" w:cs="宋体"/>
          <w:sz w:val="24"/>
          <w:szCs w:val="28"/>
        </w:rPr>
      </w:pPr>
    </w:p>
    <w:p w14:paraId="1F57E6AB">
      <w:pPr>
        <w:tabs>
          <w:tab w:val="left" w:pos="6300"/>
        </w:tabs>
        <w:snapToGrid w:val="0"/>
        <w:spacing w:line="500" w:lineRule="exact"/>
        <w:outlineLvl w:val="3"/>
        <w:rPr>
          <w:rFonts w:ascii="宋体" w:hAnsi="宋体" w:eastAsia="宋体" w:cs="宋体"/>
          <w:sz w:val="24"/>
          <w:szCs w:val="24"/>
        </w:rPr>
      </w:pPr>
      <w:r>
        <w:rPr>
          <w:rFonts w:hint="eastAsia" w:ascii="宋体" w:hAnsi="宋体" w:eastAsia="宋体" w:cs="宋体"/>
          <w:sz w:val="24"/>
          <w:szCs w:val="28"/>
        </w:rPr>
        <w:br w:type="page"/>
      </w:r>
      <w:bookmarkStart w:id="388" w:name="_Toc14917"/>
      <w:r>
        <w:rPr>
          <w:rFonts w:hint="eastAsia" w:ascii="宋体" w:hAnsi="宋体" w:eastAsia="宋体" w:cs="宋体"/>
          <w:sz w:val="24"/>
          <w:szCs w:val="28"/>
          <w:lang w:val="en-US" w:eastAsia="zh-CN"/>
        </w:rPr>
        <w:t xml:space="preserve"> </w:t>
      </w:r>
      <w:bookmarkStart w:id="389" w:name="_Toc30654"/>
      <w:r>
        <w:rPr>
          <w:rFonts w:hint="eastAsia" w:ascii="宋体" w:hAnsi="宋体" w:eastAsia="宋体" w:cs="宋体"/>
          <w:sz w:val="24"/>
          <w:szCs w:val="24"/>
        </w:rPr>
        <w:t>（二）技术响应偏离表</w:t>
      </w:r>
      <w:bookmarkEnd w:id="388"/>
      <w:bookmarkEnd w:id="389"/>
    </w:p>
    <w:tbl>
      <w:tblPr>
        <w:tblStyle w:val="59"/>
        <w:tblW w:w="91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04"/>
        <w:gridCol w:w="2811"/>
        <w:gridCol w:w="2918"/>
        <w:gridCol w:w="2186"/>
      </w:tblGrid>
      <w:tr w14:paraId="3ED9E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6" w:hRule="atLeast"/>
          <w:jc w:val="center"/>
        </w:trPr>
        <w:tc>
          <w:tcPr>
            <w:tcW w:w="1204" w:type="dxa"/>
            <w:vAlign w:val="center"/>
          </w:tcPr>
          <w:p w14:paraId="0D784BF5">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序号</w:t>
            </w:r>
          </w:p>
        </w:tc>
        <w:tc>
          <w:tcPr>
            <w:tcW w:w="2811" w:type="dxa"/>
            <w:vAlign w:val="center"/>
          </w:tcPr>
          <w:p w14:paraId="05F78FE7">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采购需求</w:t>
            </w:r>
          </w:p>
        </w:tc>
        <w:tc>
          <w:tcPr>
            <w:tcW w:w="2918" w:type="dxa"/>
            <w:vAlign w:val="center"/>
          </w:tcPr>
          <w:p w14:paraId="2DDFDD41">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响应情况</w:t>
            </w:r>
          </w:p>
        </w:tc>
        <w:tc>
          <w:tcPr>
            <w:tcW w:w="2186" w:type="dxa"/>
            <w:vAlign w:val="center"/>
          </w:tcPr>
          <w:p w14:paraId="373DF94D">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4"/>
                <w:szCs w:val="24"/>
              </w:rPr>
            </w:pPr>
            <w:r>
              <w:rPr>
                <w:rFonts w:hint="eastAsia" w:ascii="宋体" w:hAnsi="宋体" w:eastAsia="宋体" w:cs="宋体"/>
                <w:sz w:val="24"/>
                <w:szCs w:val="24"/>
              </w:rPr>
              <w:t>差异说明</w:t>
            </w:r>
          </w:p>
        </w:tc>
      </w:tr>
      <w:tr w14:paraId="2D719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6ECA536C">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1E1B5B8B">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08D902B5">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40729418">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03370E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7D92E60E">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476EDEEF">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567FECE2">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72EDA947">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768F42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73CA5E4B">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460718D5">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243565DB">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08B9DC58">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67E809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03C00B0D">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57E9321D">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1CECF546">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5CEE3281">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4DC0D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04D63B9C">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08432300">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65029737">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22A15F28">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3537D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35C2A2FA">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11010F19">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6AAFA47E">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781157E8">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r w14:paraId="40F9D1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jc w:val="center"/>
        </w:trPr>
        <w:tc>
          <w:tcPr>
            <w:tcW w:w="1204" w:type="dxa"/>
            <w:vAlign w:val="center"/>
          </w:tcPr>
          <w:p w14:paraId="2AB8B769">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811" w:type="dxa"/>
            <w:vAlign w:val="center"/>
          </w:tcPr>
          <w:p w14:paraId="10122ACF">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918" w:type="dxa"/>
            <w:vAlign w:val="center"/>
          </w:tcPr>
          <w:p w14:paraId="56EF9284">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c>
          <w:tcPr>
            <w:tcW w:w="2186" w:type="dxa"/>
            <w:vAlign w:val="center"/>
          </w:tcPr>
          <w:p w14:paraId="6D497771">
            <w:pPr>
              <w:keepNext w:val="0"/>
              <w:keepLines w:val="0"/>
              <w:suppressLineNumbers w:val="0"/>
              <w:tabs>
                <w:tab w:val="left" w:pos="6300"/>
              </w:tabs>
              <w:snapToGrid w:val="0"/>
              <w:spacing w:before="0" w:beforeAutospacing="0" w:after="0" w:afterAutospacing="0" w:line="500" w:lineRule="exact"/>
              <w:ind w:left="0" w:right="0"/>
              <w:jc w:val="center"/>
              <w:rPr>
                <w:rFonts w:hint="default" w:ascii="宋体" w:hAnsi="宋体" w:eastAsia="宋体" w:cs="宋体"/>
                <w:sz w:val="21"/>
                <w:szCs w:val="21"/>
              </w:rPr>
            </w:pPr>
          </w:p>
        </w:tc>
      </w:tr>
    </w:tbl>
    <w:p w14:paraId="544C0BC6">
      <w:pPr>
        <w:rPr>
          <w:rFonts w:ascii="宋体" w:hAnsi="宋体" w:eastAsia="宋体" w:cs="宋体"/>
        </w:rPr>
      </w:pPr>
    </w:p>
    <w:p w14:paraId="08DC774C">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供应商：                                      法定代表人或负责人授权代表：</w:t>
      </w:r>
    </w:p>
    <w:p w14:paraId="3B9DA769">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7AEA4602">
      <w:pPr>
        <w:spacing w:line="500" w:lineRule="exact"/>
        <w:ind w:firstLine="720" w:firstLineChars="300"/>
        <w:rPr>
          <w:rFonts w:ascii="宋体" w:hAnsi="宋体" w:eastAsia="宋体" w:cs="宋体"/>
          <w:sz w:val="24"/>
          <w:szCs w:val="28"/>
        </w:rPr>
      </w:pPr>
      <w:r>
        <w:rPr>
          <w:rFonts w:hint="eastAsia" w:ascii="宋体" w:hAnsi="宋体" w:eastAsia="宋体" w:cs="宋体"/>
          <w:sz w:val="24"/>
          <w:szCs w:val="28"/>
        </w:rPr>
        <w:t>（供应商公章）                               （签字或盖章）</w:t>
      </w:r>
    </w:p>
    <w:p w14:paraId="406915C3">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3C33AB89">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注：</w:t>
      </w:r>
    </w:p>
    <w:p w14:paraId="0D856B42">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.本表即为对本项目“第三篇  谈判项目信息及技术需求”中所列技术要求进行比较和响应；</w:t>
      </w:r>
    </w:p>
    <w:p w14:paraId="37432D39">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2.该表必须按照谈判要求逐条如实填写，根据响应情况在“差异说明”项填写正偏离或负偏离及原因，完全符合的填写“无差异”；</w:t>
      </w:r>
    </w:p>
    <w:p w14:paraId="36AC2D40">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3.该表可扩展</w:t>
      </w:r>
      <w:r>
        <w:rPr>
          <w:rFonts w:hint="eastAsia" w:ascii="宋体" w:hAnsi="宋体" w:eastAsia="宋体" w:cs="宋体"/>
          <w:sz w:val="24"/>
          <w:szCs w:val="28"/>
        </w:rPr>
        <w:t>，并逐页签字或盖章</w:t>
      </w:r>
      <w:r>
        <w:rPr>
          <w:rFonts w:hint="eastAsia" w:ascii="宋体" w:hAnsi="宋体" w:eastAsia="宋体" w:cs="宋体"/>
          <w:sz w:val="24"/>
        </w:rPr>
        <w:t>；</w:t>
      </w:r>
    </w:p>
    <w:p w14:paraId="37324E27">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4.可附相关技术支撑材料。（格式自定）</w:t>
      </w:r>
    </w:p>
    <w:p w14:paraId="6FEFBAFC">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rPr>
        <w:t>5.若“响应情况”栏中仅填写“无偏离”或“有偏离”等内容而未作实质性参数描述，该供应商将</w:t>
      </w:r>
      <w:r>
        <w:rPr>
          <w:rFonts w:hint="eastAsia" w:ascii="宋体" w:hAnsi="宋体" w:eastAsia="宋体" w:cs="宋体"/>
          <w:sz w:val="24"/>
          <w:szCs w:val="24"/>
        </w:rPr>
        <w:t>失去成为成交供应商的资格，仅保留其合格供应商的身份。</w:t>
      </w:r>
    </w:p>
    <w:p w14:paraId="0D121E3C">
      <w:pPr>
        <w:pStyle w:val="5"/>
        <w:spacing w:before="0" w:after="0" w:line="360" w:lineRule="auto"/>
        <w:rPr>
          <w:rFonts w:ascii="宋体" w:hAnsi="宋体" w:cs="宋体"/>
          <w:sz w:val="24"/>
          <w:szCs w:val="24"/>
        </w:rPr>
      </w:pPr>
      <w:r>
        <w:rPr>
          <w:rFonts w:hint="eastAsia" w:ascii="宋体" w:hAnsi="宋体" w:cs="宋体"/>
          <w:b w:val="0"/>
        </w:rPr>
        <w:br w:type="page"/>
      </w:r>
      <w:bookmarkStart w:id="390" w:name="_Toc6423"/>
      <w:bookmarkStart w:id="391" w:name="_Toc4106"/>
      <w:bookmarkStart w:id="392" w:name="_Toc19945"/>
      <w:bookmarkStart w:id="393" w:name="_Toc2599"/>
      <w:r>
        <w:rPr>
          <w:rFonts w:hint="eastAsia" w:ascii="宋体" w:hAnsi="宋体" w:cs="宋体"/>
          <w:b w:val="0"/>
          <w:lang w:val="en-US" w:eastAsia="zh-CN"/>
        </w:rPr>
        <w:t xml:space="preserve">  </w:t>
      </w:r>
      <w:bookmarkStart w:id="394" w:name="_Toc5713"/>
      <w:r>
        <w:rPr>
          <w:rFonts w:hint="eastAsia" w:ascii="宋体" w:hAnsi="宋体" w:cs="宋体"/>
          <w:sz w:val="24"/>
          <w:szCs w:val="24"/>
        </w:rPr>
        <w:t>三、商务部分</w:t>
      </w:r>
      <w:bookmarkEnd w:id="390"/>
      <w:bookmarkEnd w:id="391"/>
      <w:bookmarkEnd w:id="392"/>
      <w:bookmarkEnd w:id="393"/>
      <w:bookmarkEnd w:id="394"/>
    </w:p>
    <w:p w14:paraId="3670DD95">
      <w:pPr>
        <w:spacing w:line="440" w:lineRule="exact"/>
        <w:ind w:firstLine="480" w:firstLineChars="200"/>
        <w:outlineLvl w:val="3"/>
        <w:rPr>
          <w:rFonts w:ascii="宋体" w:hAnsi="宋体" w:eastAsia="宋体" w:cs="宋体"/>
          <w:sz w:val="24"/>
          <w:szCs w:val="24"/>
        </w:rPr>
      </w:pPr>
      <w:bookmarkStart w:id="395" w:name="_Toc850"/>
      <w:bookmarkStart w:id="396" w:name="_Toc7853"/>
      <w:r>
        <w:rPr>
          <w:rFonts w:hint="eastAsia" w:ascii="宋体" w:hAnsi="宋体" w:eastAsia="宋体" w:cs="宋体"/>
          <w:sz w:val="24"/>
          <w:szCs w:val="24"/>
        </w:rPr>
        <w:t>（一）商务要求响应情况：</w:t>
      </w:r>
      <w:r>
        <w:rPr>
          <w:rFonts w:hint="eastAsia" w:ascii="宋体" w:hAnsi="宋体" w:eastAsia="宋体" w:cs="宋体"/>
          <w:kern w:val="0"/>
          <w:sz w:val="24"/>
          <w:szCs w:val="24"/>
          <w:lang w:val="en-US" w:eastAsia="zh-CN"/>
        </w:rPr>
        <w:t>施工时间及质量保证</w:t>
      </w:r>
      <w:r>
        <w:rPr>
          <w:rFonts w:hint="eastAsia" w:ascii="宋体" w:hAnsi="宋体" w:eastAsia="宋体" w:cs="宋体"/>
          <w:sz w:val="24"/>
          <w:szCs w:val="24"/>
        </w:rPr>
        <w:t>（包括但不限于）</w:t>
      </w:r>
      <w:bookmarkEnd w:id="395"/>
      <w:bookmarkEnd w:id="396"/>
    </w:p>
    <w:p w14:paraId="45E8B616">
      <w:pPr>
        <w:spacing w:line="360" w:lineRule="auto"/>
        <w:ind w:firstLine="480" w:firstLineChars="200"/>
        <w:rPr>
          <w:rFonts w:ascii="宋体" w:hAnsi="宋体" w:eastAsia="宋体" w:cs="宋体"/>
          <w:sz w:val="24"/>
          <w:szCs w:val="24"/>
        </w:rPr>
      </w:pPr>
    </w:p>
    <w:p w14:paraId="6E40F8BF">
      <w:pPr>
        <w:spacing w:line="360" w:lineRule="auto"/>
        <w:ind w:firstLine="480" w:firstLineChars="200"/>
        <w:rPr>
          <w:rFonts w:ascii="宋体" w:hAnsi="宋体" w:eastAsia="宋体" w:cs="宋体"/>
          <w:sz w:val="24"/>
          <w:szCs w:val="24"/>
        </w:rPr>
      </w:pPr>
    </w:p>
    <w:p w14:paraId="53EDA1FE">
      <w:pPr>
        <w:spacing w:line="360" w:lineRule="auto"/>
        <w:ind w:firstLine="480" w:firstLineChars="200"/>
        <w:rPr>
          <w:rFonts w:ascii="宋体" w:hAnsi="宋体" w:eastAsia="宋体" w:cs="宋体"/>
          <w:sz w:val="24"/>
          <w:szCs w:val="24"/>
        </w:rPr>
      </w:pPr>
    </w:p>
    <w:p w14:paraId="498F9CD9">
      <w:pPr>
        <w:spacing w:line="360" w:lineRule="auto"/>
        <w:ind w:firstLine="480" w:firstLineChars="200"/>
        <w:rPr>
          <w:rFonts w:ascii="宋体" w:hAnsi="宋体" w:eastAsia="宋体" w:cs="宋体"/>
          <w:sz w:val="24"/>
          <w:szCs w:val="24"/>
        </w:rPr>
      </w:pPr>
    </w:p>
    <w:p w14:paraId="58C20673">
      <w:pPr>
        <w:spacing w:line="360" w:lineRule="auto"/>
        <w:ind w:firstLine="480" w:firstLineChars="200"/>
        <w:rPr>
          <w:rFonts w:ascii="宋体" w:hAnsi="宋体" w:eastAsia="宋体" w:cs="宋体"/>
          <w:sz w:val="24"/>
          <w:szCs w:val="24"/>
        </w:rPr>
      </w:pPr>
    </w:p>
    <w:p w14:paraId="139DA44D">
      <w:pPr>
        <w:spacing w:line="360" w:lineRule="auto"/>
        <w:ind w:firstLine="480" w:firstLineChars="200"/>
        <w:rPr>
          <w:rFonts w:ascii="宋体" w:hAnsi="宋体" w:eastAsia="宋体" w:cs="宋体"/>
          <w:sz w:val="24"/>
          <w:szCs w:val="24"/>
        </w:rPr>
      </w:pPr>
    </w:p>
    <w:p w14:paraId="03BCF48A">
      <w:pPr>
        <w:spacing w:line="360" w:lineRule="auto"/>
        <w:ind w:firstLine="480" w:firstLineChars="200"/>
        <w:rPr>
          <w:rFonts w:ascii="宋体" w:hAnsi="宋体" w:eastAsia="宋体" w:cs="宋体"/>
          <w:sz w:val="24"/>
          <w:szCs w:val="24"/>
        </w:rPr>
      </w:pPr>
    </w:p>
    <w:p w14:paraId="3A2CFF2B">
      <w:pPr>
        <w:spacing w:line="360" w:lineRule="auto"/>
        <w:ind w:firstLine="480" w:firstLineChars="200"/>
        <w:rPr>
          <w:rFonts w:ascii="宋体" w:hAnsi="宋体" w:eastAsia="宋体" w:cs="宋体"/>
          <w:sz w:val="24"/>
          <w:szCs w:val="24"/>
        </w:rPr>
      </w:pPr>
    </w:p>
    <w:p w14:paraId="5D7F8F95">
      <w:pPr>
        <w:spacing w:line="360" w:lineRule="auto"/>
        <w:ind w:firstLine="480" w:firstLineChars="200"/>
        <w:rPr>
          <w:rFonts w:ascii="宋体" w:hAnsi="宋体" w:eastAsia="宋体" w:cs="宋体"/>
          <w:sz w:val="24"/>
          <w:szCs w:val="24"/>
        </w:rPr>
      </w:pPr>
    </w:p>
    <w:p w14:paraId="26118F32">
      <w:pPr>
        <w:spacing w:line="360" w:lineRule="auto"/>
        <w:ind w:firstLine="480" w:firstLineChars="200"/>
        <w:rPr>
          <w:rFonts w:ascii="宋体" w:hAnsi="宋体" w:eastAsia="宋体" w:cs="宋体"/>
          <w:sz w:val="24"/>
          <w:szCs w:val="24"/>
        </w:rPr>
      </w:pPr>
    </w:p>
    <w:p w14:paraId="20A08884">
      <w:pPr>
        <w:spacing w:line="360" w:lineRule="auto"/>
        <w:ind w:firstLine="480" w:firstLineChars="200"/>
        <w:rPr>
          <w:rFonts w:ascii="宋体" w:hAnsi="宋体" w:eastAsia="宋体" w:cs="宋体"/>
          <w:sz w:val="24"/>
          <w:szCs w:val="24"/>
        </w:rPr>
      </w:pPr>
    </w:p>
    <w:p w14:paraId="7D0B5173">
      <w:pPr>
        <w:spacing w:line="360" w:lineRule="auto"/>
        <w:ind w:firstLine="480" w:firstLineChars="200"/>
        <w:rPr>
          <w:rFonts w:ascii="宋体" w:hAnsi="宋体" w:eastAsia="宋体" w:cs="宋体"/>
          <w:sz w:val="24"/>
          <w:szCs w:val="24"/>
        </w:rPr>
      </w:pPr>
    </w:p>
    <w:p w14:paraId="010B2119">
      <w:pPr>
        <w:spacing w:line="360" w:lineRule="auto"/>
        <w:ind w:firstLine="480" w:firstLineChars="200"/>
        <w:rPr>
          <w:rFonts w:ascii="宋体" w:hAnsi="宋体" w:eastAsia="宋体" w:cs="宋体"/>
          <w:sz w:val="24"/>
          <w:szCs w:val="24"/>
        </w:rPr>
      </w:pPr>
    </w:p>
    <w:p w14:paraId="0626A2DD">
      <w:pPr>
        <w:spacing w:line="360" w:lineRule="auto"/>
        <w:ind w:firstLine="480" w:firstLineChars="200"/>
        <w:rPr>
          <w:rFonts w:ascii="宋体" w:hAnsi="宋体" w:eastAsia="宋体" w:cs="宋体"/>
          <w:sz w:val="24"/>
          <w:szCs w:val="24"/>
        </w:rPr>
      </w:pPr>
    </w:p>
    <w:p w14:paraId="07AFBE8A">
      <w:pPr>
        <w:spacing w:line="360" w:lineRule="auto"/>
        <w:ind w:firstLine="480" w:firstLineChars="200"/>
        <w:rPr>
          <w:rFonts w:ascii="宋体" w:hAnsi="宋体" w:eastAsia="宋体" w:cs="宋体"/>
          <w:sz w:val="24"/>
          <w:szCs w:val="24"/>
        </w:rPr>
      </w:pPr>
    </w:p>
    <w:p w14:paraId="153A2A93">
      <w:pPr>
        <w:spacing w:line="360" w:lineRule="auto"/>
        <w:ind w:firstLine="480" w:firstLineChars="200"/>
        <w:rPr>
          <w:rFonts w:ascii="宋体" w:hAnsi="宋体" w:eastAsia="宋体" w:cs="宋体"/>
          <w:sz w:val="24"/>
          <w:szCs w:val="24"/>
        </w:rPr>
      </w:pPr>
    </w:p>
    <w:p w14:paraId="3BF8751C">
      <w:pPr>
        <w:spacing w:line="360" w:lineRule="auto"/>
        <w:ind w:firstLine="480" w:firstLineChars="200"/>
        <w:rPr>
          <w:rFonts w:ascii="宋体" w:hAnsi="宋体" w:eastAsia="宋体" w:cs="宋体"/>
          <w:sz w:val="24"/>
          <w:szCs w:val="24"/>
        </w:rPr>
      </w:pPr>
    </w:p>
    <w:p w14:paraId="16655EE4">
      <w:pPr>
        <w:spacing w:line="360" w:lineRule="auto"/>
        <w:ind w:firstLine="480" w:firstLineChars="200"/>
        <w:rPr>
          <w:rFonts w:ascii="宋体" w:hAnsi="宋体" w:eastAsia="宋体" w:cs="宋体"/>
          <w:sz w:val="24"/>
          <w:szCs w:val="24"/>
        </w:rPr>
      </w:pPr>
    </w:p>
    <w:p w14:paraId="270A7FED">
      <w:pPr>
        <w:spacing w:line="360" w:lineRule="auto"/>
        <w:ind w:firstLine="480" w:firstLineChars="200"/>
        <w:rPr>
          <w:rFonts w:ascii="宋体" w:hAnsi="宋体" w:eastAsia="宋体" w:cs="宋体"/>
          <w:sz w:val="24"/>
          <w:szCs w:val="24"/>
        </w:rPr>
      </w:pPr>
    </w:p>
    <w:p w14:paraId="2B0198FA">
      <w:pPr>
        <w:spacing w:line="360" w:lineRule="auto"/>
        <w:ind w:firstLine="480" w:firstLineChars="200"/>
        <w:rPr>
          <w:rFonts w:ascii="宋体" w:hAnsi="宋体" w:eastAsia="宋体" w:cs="宋体"/>
          <w:sz w:val="24"/>
          <w:szCs w:val="24"/>
        </w:rPr>
      </w:pPr>
    </w:p>
    <w:p w14:paraId="687E8816">
      <w:pPr>
        <w:pStyle w:val="22"/>
        <w:outlineLvl w:val="3"/>
        <w:rPr>
          <w:rFonts w:ascii="宋体" w:hAnsi="宋体" w:eastAsia="宋体" w:cs="宋体"/>
          <w:sz w:val="24"/>
          <w:szCs w:val="24"/>
        </w:rPr>
      </w:pPr>
      <w:r>
        <w:rPr>
          <w:rFonts w:hint="eastAsia" w:ascii="宋体" w:hAnsi="宋体" w:eastAsia="宋体" w:cs="宋体"/>
          <w:sz w:val="24"/>
          <w:szCs w:val="24"/>
        </w:rPr>
        <w:br w:type="page"/>
      </w:r>
      <w:bookmarkStart w:id="397" w:name="_Toc8969"/>
      <w:r>
        <w:rPr>
          <w:rFonts w:hint="eastAsia" w:ascii="宋体" w:hAnsi="宋体" w:eastAsia="宋体" w:cs="宋体"/>
          <w:sz w:val="24"/>
          <w:szCs w:val="24"/>
          <w:lang w:val="en-US" w:eastAsia="zh-CN"/>
        </w:rPr>
        <w:t xml:space="preserve">  </w:t>
      </w:r>
      <w:bookmarkStart w:id="398" w:name="_Toc19662"/>
      <w:r>
        <w:rPr>
          <w:rFonts w:hint="eastAsia" w:ascii="宋体" w:hAnsi="宋体" w:eastAsia="宋体" w:cs="宋体"/>
          <w:sz w:val="24"/>
          <w:szCs w:val="24"/>
          <w:lang w:val="en-US" w:eastAsia="zh-CN"/>
        </w:rPr>
        <w:t>（</w:t>
      </w:r>
      <w:r>
        <w:rPr>
          <w:rFonts w:hint="eastAsia" w:ascii="宋体" w:hAnsi="宋体" w:eastAsia="宋体" w:cs="宋体"/>
          <w:sz w:val="24"/>
          <w:szCs w:val="24"/>
        </w:rPr>
        <w:t>二）商务响应偏离表</w:t>
      </w:r>
      <w:bookmarkEnd w:id="397"/>
      <w:bookmarkEnd w:id="398"/>
    </w:p>
    <w:p w14:paraId="6BEDCBAB">
      <w:pPr>
        <w:pStyle w:val="22"/>
        <w:ind w:firstLine="480" w:firstLineChars="200"/>
        <w:rPr>
          <w:rFonts w:ascii="宋体" w:hAnsi="宋体" w:eastAsia="宋体" w:cs="宋体"/>
          <w:sz w:val="24"/>
          <w:szCs w:val="24"/>
        </w:rPr>
      </w:pPr>
    </w:p>
    <w:tbl>
      <w:tblPr>
        <w:tblStyle w:val="59"/>
        <w:tblW w:w="8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1"/>
        <w:gridCol w:w="2634"/>
        <w:gridCol w:w="2649"/>
        <w:gridCol w:w="2216"/>
      </w:tblGrid>
      <w:tr w14:paraId="555EC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2" w:hRule="atLeast"/>
          <w:jc w:val="center"/>
        </w:trPr>
        <w:tc>
          <w:tcPr>
            <w:tcW w:w="1421" w:type="dxa"/>
            <w:vAlign w:val="center"/>
          </w:tcPr>
          <w:p w14:paraId="7FC0D99E">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4"/>
                <w:szCs w:val="24"/>
              </w:rPr>
            </w:pPr>
            <w:r>
              <w:rPr>
                <w:rFonts w:hint="eastAsia" w:ascii="宋体" w:hAnsi="宋体" w:eastAsia="宋体" w:cs="宋体"/>
                <w:sz w:val="24"/>
                <w:szCs w:val="24"/>
              </w:rPr>
              <w:t>序号</w:t>
            </w:r>
          </w:p>
        </w:tc>
        <w:tc>
          <w:tcPr>
            <w:tcW w:w="2634" w:type="dxa"/>
            <w:vAlign w:val="center"/>
          </w:tcPr>
          <w:p w14:paraId="6D83D0ED">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4"/>
                <w:szCs w:val="24"/>
              </w:rPr>
            </w:pPr>
            <w:r>
              <w:rPr>
                <w:rFonts w:hint="eastAsia" w:ascii="宋体" w:hAnsi="宋体" w:eastAsia="宋体" w:cs="宋体"/>
                <w:sz w:val="24"/>
                <w:szCs w:val="24"/>
              </w:rPr>
              <w:t>采购需求</w:t>
            </w:r>
          </w:p>
        </w:tc>
        <w:tc>
          <w:tcPr>
            <w:tcW w:w="2649" w:type="dxa"/>
            <w:vAlign w:val="center"/>
          </w:tcPr>
          <w:p w14:paraId="7EACE4BA">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4"/>
                <w:szCs w:val="24"/>
              </w:rPr>
            </w:pPr>
            <w:r>
              <w:rPr>
                <w:rFonts w:hint="eastAsia" w:ascii="宋体" w:hAnsi="宋体" w:eastAsia="宋体" w:cs="宋体"/>
                <w:sz w:val="24"/>
                <w:szCs w:val="24"/>
              </w:rPr>
              <w:t>响应情况</w:t>
            </w:r>
          </w:p>
        </w:tc>
        <w:tc>
          <w:tcPr>
            <w:tcW w:w="2216" w:type="dxa"/>
            <w:vAlign w:val="center"/>
          </w:tcPr>
          <w:p w14:paraId="6E70652A">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4"/>
                <w:szCs w:val="24"/>
              </w:rPr>
            </w:pPr>
            <w:r>
              <w:rPr>
                <w:rFonts w:hint="eastAsia" w:ascii="宋体" w:hAnsi="宋体" w:eastAsia="宋体" w:cs="宋体"/>
                <w:sz w:val="24"/>
                <w:szCs w:val="24"/>
              </w:rPr>
              <w:t>差异说明</w:t>
            </w:r>
          </w:p>
        </w:tc>
      </w:tr>
      <w:tr w14:paraId="3CB669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2166CA66">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34" w:type="dxa"/>
            <w:vAlign w:val="center"/>
          </w:tcPr>
          <w:p w14:paraId="39A2C389">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49" w:type="dxa"/>
            <w:vAlign w:val="center"/>
          </w:tcPr>
          <w:p w14:paraId="6079C118">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216" w:type="dxa"/>
            <w:vAlign w:val="center"/>
          </w:tcPr>
          <w:p w14:paraId="503BCB8E">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r>
      <w:tr w14:paraId="6133B5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249A8B0F">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34" w:type="dxa"/>
            <w:vAlign w:val="center"/>
          </w:tcPr>
          <w:p w14:paraId="1993C5DA">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49" w:type="dxa"/>
            <w:vAlign w:val="center"/>
          </w:tcPr>
          <w:p w14:paraId="1B5249FC">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216" w:type="dxa"/>
            <w:vAlign w:val="center"/>
          </w:tcPr>
          <w:p w14:paraId="6AA55448">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r>
      <w:tr w14:paraId="486BCB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38FF1953">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34" w:type="dxa"/>
            <w:vAlign w:val="center"/>
          </w:tcPr>
          <w:p w14:paraId="0C33CFC4">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49" w:type="dxa"/>
            <w:vAlign w:val="center"/>
          </w:tcPr>
          <w:p w14:paraId="752A48C4">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216" w:type="dxa"/>
            <w:vAlign w:val="center"/>
          </w:tcPr>
          <w:p w14:paraId="70925ECF">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r>
      <w:tr w14:paraId="5524F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4" w:hRule="atLeast"/>
          <w:jc w:val="center"/>
        </w:trPr>
        <w:tc>
          <w:tcPr>
            <w:tcW w:w="1421" w:type="dxa"/>
            <w:vAlign w:val="center"/>
          </w:tcPr>
          <w:p w14:paraId="143DE6DF">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34" w:type="dxa"/>
            <w:vAlign w:val="center"/>
          </w:tcPr>
          <w:p w14:paraId="3902F067">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49" w:type="dxa"/>
            <w:vAlign w:val="center"/>
          </w:tcPr>
          <w:p w14:paraId="190E0C4E">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216" w:type="dxa"/>
            <w:vAlign w:val="center"/>
          </w:tcPr>
          <w:p w14:paraId="7E5D719A">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r>
      <w:tr w14:paraId="12EEF7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3" w:hRule="atLeast"/>
          <w:jc w:val="center"/>
        </w:trPr>
        <w:tc>
          <w:tcPr>
            <w:tcW w:w="1421" w:type="dxa"/>
            <w:vAlign w:val="center"/>
          </w:tcPr>
          <w:p w14:paraId="00237010">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34" w:type="dxa"/>
            <w:vAlign w:val="center"/>
          </w:tcPr>
          <w:p w14:paraId="07699AA3">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649" w:type="dxa"/>
            <w:vAlign w:val="center"/>
          </w:tcPr>
          <w:p w14:paraId="24396677">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c>
          <w:tcPr>
            <w:tcW w:w="2216" w:type="dxa"/>
            <w:vAlign w:val="center"/>
          </w:tcPr>
          <w:p w14:paraId="7BB109D8">
            <w:pPr>
              <w:keepNext w:val="0"/>
              <w:keepLines w:val="0"/>
              <w:suppressLineNumbers w:val="0"/>
              <w:tabs>
                <w:tab w:val="left" w:pos="6300"/>
              </w:tabs>
              <w:snapToGrid w:val="0"/>
              <w:spacing w:before="0" w:beforeAutospacing="0" w:after="0" w:afterAutospacing="0" w:line="360" w:lineRule="auto"/>
              <w:ind w:left="0" w:right="0"/>
              <w:jc w:val="center"/>
              <w:rPr>
                <w:rFonts w:hint="default" w:ascii="宋体" w:hAnsi="宋体" w:eastAsia="宋体" w:cs="宋体"/>
                <w:sz w:val="21"/>
                <w:szCs w:val="24"/>
              </w:rPr>
            </w:pPr>
          </w:p>
        </w:tc>
      </w:tr>
    </w:tbl>
    <w:p w14:paraId="3DD78846">
      <w:pPr>
        <w:snapToGrid w:val="0"/>
        <w:spacing w:line="360" w:lineRule="auto"/>
        <w:ind w:firstLine="465"/>
        <w:rPr>
          <w:rFonts w:ascii="宋体" w:hAnsi="宋体" w:eastAsia="宋体" w:cs="宋体"/>
          <w:sz w:val="24"/>
          <w:szCs w:val="24"/>
        </w:rPr>
      </w:pPr>
    </w:p>
    <w:p w14:paraId="20844FFF">
      <w:pPr>
        <w:spacing w:line="500" w:lineRule="exact"/>
        <w:ind w:firstLine="600" w:firstLineChars="250"/>
        <w:rPr>
          <w:rFonts w:ascii="宋体" w:hAnsi="宋体" w:eastAsia="宋体" w:cs="宋体"/>
          <w:sz w:val="24"/>
          <w:szCs w:val="28"/>
        </w:rPr>
      </w:pPr>
      <w:r>
        <w:rPr>
          <w:rFonts w:hint="eastAsia" w:ascii="宋体" w:hAnsi="宋体" w:eastAsia="宋体" w:cs="宋体"/>
          <w:sz w:val="24"/>
          <w:szCs w:val="28"/>
        </w:rPr>
        <w:t>供应商：                                      法定代表人或负责人授权代表：</w:t>
      </w:r>
    </w:p>
    <w:p w14:paraId="3802772E">
      <w:pPr>
        <w:spacing w:line="500" w:lineRule="exact"/>
        <w:rPr>
          <w:rFonts w:ascii="宋体" w:hAnsi="宋体" w:eastAsia="宋体" w:cs="宋体"/>
          <w:sz w:val="24"/>
          <w:szCs w:val="28"/>
        </w:rPr>
      </w:pPr>
      <w:r>
        <w:rPr>
          <w:rFonts w:hint="eastAsia" w:ascii="宋体" w:hAnsi="宋体" w:eastAsia="宋体" w:cs="宋体"/>
          <w:sz w:val="24"/>
          <w:szCs w:val="28"/>
        </w:rPr>
        <w:t xml:space="preserve">    </w:t>
      </w:r>
    </w:p>
    <w:p w14:paraId="7E43181D">
      <w:pPr>
        <w:spacing w:line="500" w:lineRule="exact"/>
        <w:ind w:firstLine="360" w:firstLineChars="150"/>
        <w:rPr>
          <w:rFonts w:ascii="宋体" w:hAnsi="宋体" w:eastAsia="宋体" w:cs="宋体"/>
          <w:sz w:val="24"/>
          <w:szCs w:val="28"/>
        </w:rPr>
      </w:pPr>
      <w:r>
        <w:rPr>
          <w:rFonts w:hint="eastAsia" w:ascii="宋体" w:hAnsi="宋体" w:eastAsia="宋体" w:cs="宋体"/>
          <w:sz w:val="24"/>
          <w:szCs w:val="28"/>
        </w:rPr>
        <w:t>（供应商公章）                                 （签字或盖章）</w:t>
      </w:r>
    </w:p>
    <w:p w14:paraId="78673864">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szCs w:val="28"/>
        </w:rPr>
        <w:t xml:space="preserve">                                            年     月     日</w:t>
      </w:r>
    </w:p>
    <w:p w14:paraId="581EB491">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注：</w:t>
      </w:r>
    </w:p>
    <w:p w14:paraId="7BE24BDC">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4"/>
        </w:rPr>
        <w:t>1</w:t>
      </w:r>
      <w:r>
        <w:rPr>
          <w:rFonts w:hint="eastAsia" w:ascii="宋体" w:hAnsi="宋体" w:eastAsia="宋体" w:cs="宋体"/>
          <w:sz w:val="24"/>
        </w:rPr>
        <w:t>.本表即为对本项目“第四篇 谈判项目商务需求”中所列商务要求进行比较和响应；</w:t>
      </w:r>
    </w:p>
    <w:p w14:paraId="00813B30">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rPr>
        <w:t>2</w:t>
      </w:r>
      <w:r>
        <w:rPr>
          <w:rFonts w:hint="eastAsia" w:ascii="宋体" w:hAnsi="宋体" w:eastAsia="宋体" w:cs="宋体"/>
          <w:sz w:val="24"/>
          <w:szCs w:val="24"/>
        </w:rPr>
        <w:t>.该表必须按照竞争性谈判要求逐条如实填写，根据响应情况在“差异说明”项填写正偏离或负偏离及原因，完全符合的填写“无差异”；</w:t>
      </w:r>
    </w:p>
    <w:p w14:paraId="39DC12B9">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3.该表可扩展，并逐页签字或盖章。</w:t>
      </w:r>
    </w:p>
    <w:p w14:paraId="4FC61A5F">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4.可附相关技术支撑材料（格式自定）；</w:t>
      </w:r>
    </w:p>
    <w:p w14:paraId="2506757B">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5.若“响应情况”栏中仅填写“无偏离”或“有偏离”等内容而未作实质性参数描述，该供应商将失去成为成交供应商的资格，仅保留其合格供应商的身份。</w:t>
      </w:r>
    </w:p>
    <w:p w14:paraId="1AE9A957">
      <w:pPr>
        <w:spacing w:line="360" w:lineRule="auto"/>
        <w:ind w:firstLine="560" w:firstLineChars="200"/>
        <w:outlineLvl w:val="3"/>
        <w:rPr>
          <w:rFonts w:ascii="宋体" w:hAnsi="宋体" w:eastAsia="宋体" w:cs="宋体"/>
          <w:sz w:val="24"/>
          <w:szCs w:val="24"/>
        </w:rPr>
      </w:pPr>
      <w:r>
        <w:rPr>
          <w:rFonts w:hint="eastAsia" w:ascii="宋体" w:hAnsi="宋体" w:eastAsia="宋体" w:cs="宋体"/>
        </w:rPr>
        <w:br w:type="page"/>
      </w:r>
      <w:bookmarkStart w:id="399" w:name="_Toc16078"/>
      <w:bookmarkStart w:id="400" w:name="_Toc9419"/>
      <w:r>
        <w:rPr>
          <w:rFonts w:hint="eastAsia" w:ascii="宋体" w:hAnsi="宋体" w:eastAsia="宋体" w:cs="宋体"/>
          <w:sz w:val="24"/>
          <w:szCs w:val="24"/>
        </w:rPr>
        <w:t>（三）其它优惠承诺（格式自定）</w:t>
      </w:r>
      <w:bookmarkEnd w:id="399"/>
      <w:bookmarkEnd w:id="400"/>
    </w:p>
    <w:p w14:paraId="17FE9D10">
      <w:pPr>
        <w:rPr>
          <w:rFonts w:ascii="宋体" w:hAnsi="宋体" w:eastAsia="宋体" w:cs="宋体"/>
          <w:sz w:val="24"/>
          <w:szCs w:val="24"/>
        </w:rPr>
      </w:pPr>
    </w:p>
    <w:p w14:paraId="37EDF8F0">
      <w:pPr>
        <w:rPr>
          <w:rFonts w:ascii="宋体" w:hAnsi="宋体" w:eastAsia="宋体" w:cs="宋体"/>
          <w:sz w:val="24"/>
          <w:szCs w:val="24"/>
        </w:rPr>
      </w:pPr>
    </w:p>
    <w:p w14:paraId="4C8B7E8F">
      <w:pPr>
        <w:rPr>
          <w:rFonts w:ascii="宋体" w:hAnsi="宋体" w:eastAsia="宋体" w:cs="宋体"/>
          <w:sz w:val="24"/>
          <w:szCs w:val="24"/>
        </w:rPr>
      </w:pPr>
    </w:p>
    <w:p w14:paraId="5CB69873">
      <w:pPr>
        <w:rPr>
          <w:rFonts w:ascii="宋体" w:hAnsi="宋体" w:eastAsia="宋体" w:cs="宋体"/>
          <w:sz w:val="24"/>
          <w:szCs w:val="24"/>
        </w:rPr>
      </w:pPr>
    </w:p>
    <w:p w14:paraId="2B590054">
      <w:pPr>
        <w:rPr>
          <w:rFonts w:ascii="宋体" w:hAnsi="宋体" w:eastAsia="宋体" w:cs="宋体"/>
          <w:sz w:val="24"/>
          <w:szCs w:val="24"/>
        </w:rPr>
      </w:pPr>
    </w:p>
    <w:p w14:paraId="5880D28C"/>
    <w:p w14:paraId="42286A8D">
      <w:pPr>
        <w:pStyle w:val="5"/>
        <w:spacing w:before="0" w:after="0" w:line="360" w:lineRule="auto"/>
        <w:rPr>
          <w:rFonts w:ascii="宋体" w:hAnsi="宋体" w:cs="宋体"/>
          <w:sz w:val="24"/>
          <w:szCs w:val="24"/>
        </w:rPr>
      </w:pPr>
      <w:r>
        <w:rPr>
          <w:rFonts w:hint="eastAsia" w:ascii="宋体" w:hAnsi="宋体" w:cs="宋体"/>
          <w:sz w:val="24"/>
          <w:szCs w:val="24"/>
        </w:rPr>
        <w:br w:type="page"/>
      </w:r>
      <w:bookmarkStart w:id="401" w:name="_Toc12209"/>
      <w:bookmarkStart w:id="402" w:name="_Toc2578"/>
      <w:bookmarkStart w:id="403" w:name="_Toc12170"/>
      <w:bookmarkStart w:id="404" w:name="_Toc13660"/>
      <w:r>
        <w:rPr>
          <w:rFonts w:hint="eastAsia" w:ascii="宋体" w:hAnsi="宋体" w:cs="宋体"/>
          <w:sz w:val="24"/>
          <w:szCs w:val="24"/>
          <w:lang w:val="en-US" w:eastAsia="zh-CN"/>
        </w:rPr>
        <w:t xml:space="preserve">  </w:t>
      </w:r>
      <w:bookmarkStart w:id="405" w:name="_Toc15783"/>
      <w:r>
        <w:rPr>
          <w:rFonts w:hint="eastAsia" w:ascii="宋体" w:hAnsi="宋体" w:cs="宋体"/>
          <w:sz w:val="24"/>
          <w:szCs w:val="24"/>
        </w:rPr>
        <w:t>四、资格条件及其他</w:t>
      </w:r>
      <w:bookmarkEnd w:id="401"/>
      <w:bookmarkEnd w:id="402"/>
      <w:bookmarkEnd w:id="403"/>
      <w:bookmarkEnd w:id="404"/>
      <w:bookmarkEnd w:id="405"/>
    </w:p>
    <w:p w14:paraId="29498DE8">
      <w:pPr>
        <w:tabs>
          <w:tab w:val="left" w:pos="6300"/>
        </w:tabs>
        <w:snapToGrid w:val="0"/>
        <w:spacing w:line="500" w:lineRule="exact"/>
        <w:ind w:firstLine="480" w:firstLineChars="200"/>
        <w:outlineLvl w:val="3"/>
        <w:rPr>
          <w:rFonts w:ascii="宋体" w:hAnsi="宋体" w:eastAsia="宋体" w:cs="宋体"/>
        </w:rPr>
      </w:pPr>
      <w:bookmarkStart w:id="406" w:name="_Toc16895"/>
      <w:bookmarkStart w:id="407" w:name="_Toc32350"/>
      <w:r>
        <w:rPr>
          <w:rFonts w:hint="eastAsia" w:ascii="宋体" w:hAnsi="宋体" w:eastAsia="宋体" w:cs="宋体"/>
          <w:sz w:val="24"/>
          <w:szCs w:val="24"/>
        </w:rPr>
        <w:t>（一）营业执照（副本）或事业单位法人证书（副本）复印件或个体工商户营业执照</w:t>
      </w:r>
      <w:bookmarkEnd w:id="406"/>
      <w:bookmarkEnd w:id="407"/>
    </w:p>
    <w:p w14:paraId="23EF7D4A">
      <w:pPr>
        <w:spacing w:line="440" w:lineRule="exact"/>
        <w:ind w:firstLine="480" w:firstLineChars="200"/>
        <w:rPr>
          <w:rFonts w:ascii="宋体" w:hAnsi="宋体" w:eastAsia="宋体" w:cs="宋体"/>
          <w:sz w:val="24"/>
          <w:szCs w:val="24"/>
        </w:rPr>
      </w:pPr>
      <w:r>
        <w:rPr>
          <w:rFonts w:hint="eastAsia" w:ascii="宋体" w:hAnsi="宋体" w:eastAsia="宋体" w:cs="宋体"/>
          <w:sz w:val="24"/>
          <w:szCs w:val="24"/>
        </w:rPr>
        <w:t>说明：供应商按“多证合一”登记制度办理营业执照的，组织机构代码证、税务登记证（副本）和社会保险登记证以供应商所提供的法人营业执照（副本）复印件为准。</w:t>
      </w:r>
    </w:p>
    <w:p w14:paraId="1542368A">
      <w:pPr>
        <w:tabs>
          <w:tab w:val="left" w:pos="6300"/>
        </w:tabs>
        <w:snapToGrid w:val="0"/>
        <w:spacing w:line="500" w:lineRule="exact"/>
        <w:ind w:firstLine="570"/>
        <w:rPr>
          <w:rFonts w:ascii="宋体" w:hAnsi="宋体" w:eastAsia="宋体" w:cs="宋体"/>
        </w:rPr>
      </w:pPr>
    </w:p>
    <w:p w14:paraId="02BF6708">
      <w:pPr>
        <w:widowControl/>
        <w:ind w:firstLine="560" w:firstLineChars="200"/>
        <w:jc w:val="center"/>
        <w:outlineLvl w:val="3"/>
        <w:rPr>
          <w:rFonts w:ascii="宋体" w:hAnsi="宋体" w:eastAsia="宋体" w:cs="宋体"/>
        </w:rPr>
      </w:pPr>
      <w:r>
        <w:rPr>
          <w:rFonts w:hint="eastAsia" w:ascii="宋体" w:hAnsi="宋体" w:eastAsia="宋体" w:cs="宋体"/>
        </w:rPr>
        <w:br w:type="page"/>
      </w:r>
      <w:bookmarkStart w:id="408" w:name="_Toc21989"/>
      <w:bookmarkStart w:id="409" w:name="_Toc29690"/>
      <w:r>
        <w:rPr>
          <w:rFonts w:hint="eastAsia" w:ascii="宋体" w:hAnsi="宋体" w:eastAsia="宋体" w:cs="宋体"/>
          <w:sz w:val="24"/>
          <w:szCs w:val="24"/>
        </w:rPr>
        <w:t>（二）法定代表人身份证明书（格式）</w:t>
      </w:r>
      <w:bookmarkEnd w:id="408"/>
      <w:bookmarkEnd w:id="409"/>
    </w:p>
    <w:p w14:paraId="06D09B51">
      <w:pPr>
        <w:tabs>
          <w:tab w:val="left" w:pos="6300"/>
        </w:tabs>
        <w:snapToGrid w:val="0"/>
        <w:spacing w:line="500" w:lineRule="exact"/>
        <w:ind w:firstLine="570"/>
        <w:rPr>
          <w:rFonts w:ascii="宋体" w:hAnsi="宋体" w:eastAsia="宋体" w:cs="宋体"/>
          <w:sz w:val="24"/>
        </w:rPr>
      </w:pPr>
    </w:p>
    <w:p w14:paraId="4D4D4FB5">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项目名称：</w:t>
      </w:r>
      <w:r>
        <w:rPr>
          <w:rFonts w:hint="eastAsia" w:ascii="宋体" w:hAnsi="宋体" w:eastAsia="宋体" w:cs="宋体"/>
          <w:sz w:val="24"/>
          <w:u w:val="single"/>
        </w:rPr>
        <w:t xml:space="preserve">                                                </w:t>
      </w:r>
    </w:p>
    <w:p w14:paraId="70624EA6">
      <w:pPr>
        <w:tabs>
          <w:tab w:val="left" w:pos="6300"/>
        </w:tabs>
        <w:snapToGrid w:val="0"/>
        <w:spacing w:line="500" w:lineRule="exact"/>
        <w:ind w:firstLine="570"/>
        <w:rPr>
          <w:rFonts w:ascii="宋体" w:hAnsi="宋体" w:eastAsia="宋体" w:cs="宋体"/>
          <w:sz w:val="24"/>
        </w:rPr>
      </w:pPr>
    </w:p>
    <w:p w14:paraId="34A660FE">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（采购人名称）：</w:t>
      </w:r>
    </w:p>
    <w:p w14:paraId="4A7B8C1A">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（法定代表人姓名）在</w:t>
      </w:r>
      <w:r>
        <w:rPr>
          <w:rFonts w:hint="eastAsia" w:ascii="宋体" w:hAnsi="宋体" w:eastAsia="宋体" w:cs="宋体"/>
          <w:sz w:val="24"/>
          <w:u w:val="single"/>
        </w:rPr>
        <w:t xml:space="preserve">                       </w:t>
      </w:r>
      <w:r>
        <w:rPr>
          <w:rFonts w:hint="eastAsia" w:ascii="宋体" w:hAnsi="宋体" w:eastAsia="宋体" w:cs="宋体"/>
          <w:sz w:val="24"/>
        </w:rPr>
        <w:t>（供应商名称）任</w:t>
      </w:r>
      <w:r>
        <w:rPr>
          <w:rFonts w:hint="eastAsia" w:ascii="宋体" w:hAnsi="宋体" w:eastAsia="宋体" w:cs="宋体"/>
          <w:sz w:val="24"/>
          <w:u w:val="single"/>
        </w:rPr>
        <w:t xml:space="preserve">    </w:t>
      </w:r>
      <w:r>
        <w:rPr>
          <w:rFonts w:hint="eastAsia" w:ascii="宋体" w:hAnsi="宋体" w:eastAsia="宋体" w:cs="宋体"/>
          <w:sz w:val="24"/>
        </w:rPr>
        <w:t>（职务名称）职务，是（供应商名称）</w:t>
      </w:r>
      <w:r>
        <w:rPr>
          <w:rFonts w:hint="eastAsia" w:ascii="宋体" w:hAnsi="宋体" w:eastAsia="宋体" w:cs="宋体"/>
          <w:sz w:val="24"/>
          <w:u w:val="single"/>
        </w:rPr>
        <w:t xml:space="preserve">              </w:t>
      </w:r>
      <w:r>
        <w:rPr>
          <w:rFonts w:hint="eastAsia" w:ascii="宋体" w:hAnsi="宋体" w:eastAsia="宋体" w:cs="宋体"/>
          <w:sz w:val="24"/>
        </w:rPr>
        <w:t>的法定代表人。</w:t>
      </w:r>
    </w:p>
    <w:p w14:paraId="264A063E">
      <w:pPr>
        <w:tabs>
          <w:tab w:val="left" w:pos="6300"/>
        </w:tabs>
        <w:snapToGrid w:val="0"/>
        <w:spacing w:line="500" w:lineRule="exact"/>
        <w:ind w:firstLine="570"/>
        <w:rPr>
          <w:rFonts w:ascii="宋体" w:hAnsi="宋体" w:eastAsia="宋体" w:cs="宋体"/>
          <w:sz w:val="24"/>
        </w:rPr>
      </w:pPr>
    </w:p>
    <w:p w14:paraId="05012F58">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特此证明。</w:t>
      </w:r>
    </w:p>
    <w:p w14:paraId="028AF332">
      <w:pPr>
        <w:tabs>
          <w:tab w:val="left" w:pos="6300"/>
        </w:tabs>
        <w:snapToGrid w:val="0"/>
        <w:spacing w:line="500" w:lineRule="exact"/>
        <w:ind w:firstLine="570"/>
        <w:rPr>
          <w:rFonts w:ascii="宋体" w:hAnsi="宋体" w:eastAsia="宋体" w:cs="宋体"/>
          <w:sz w:val="24"/>
        </w:rPr>
      </w:pPr>
    </w:p>
    <w:p w14:paraId="2569AB36">
      <w:pPr>
        <w:tabs>
          <w:tab w:val="left" w:pos="6300"/>
        </w:tabs>
        <w:snapToGrid w:val="0"/>
        <w:spacing w:line="500" w:lineRule="exact"/>
        <w:ind w:firstLine="570"/>
        <w:rPr>
          <w:rFonts w:ascii="宋体" w:hAnsi="宋体" w:eastAsia="宋体" w:cs="宋体"/>
          <w:sz w:val="24"/>
        </w:rPr>
      </w:pPr>
    </w:p>
    <w:p w14:paraId="65D97895">
      <w:pPr>
        <w:tabs>
          <w:tab w:val="left" w:pos="6300"/>
        </w:tabs>
        <w:snapToGrid w:val="0"/>
        <w:spacing w:line="500" w:lineRule="exact"/>
        <w:ind w:firstLine="570"/>
        <w:rPr>
          <w:rFonts w:ascii="宋体" w:hAnsi="宋体" w:eastAsia="宋体" w:cs="宋体"/>
          <w:sz w:val="24"/>
        </w:rPr>
      </w:pPr>
    </w:p>
    <w:p w14:paraId="36FC196E">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（供应商公章）</w:t>
      </w:r>
    </w:p>
    <w:p w14:paraId="02B3825E">
      <w:pPr>
        <w:tabs>
          <w:tab w:val="left" w:pos="6300"/>
        </w:tabs>
        <w:snapToGrid w:val="0"/>
        <w:spacing w:line="500" w:lineRule="exact"/>
        <w:ind w:firstLine="570"/>
        <w:rPr>
          <w:rFonts w:ascii="宋体" w:hAnsi="宋体" w:eastAsia="宋体" w:cs="宋体"/>
          <w:sz w:val="24"/>
        </w:rPr>
      </w:pPr>
    </w:p>
    <w:p w14:paraId="6C68DCF2">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年   月   日</w:t>
      </w:r>
    </w:p>
    <w:p w14:paraId="02855F23">
      <w:pPr>
        <w:tabs>
          <w:tab w:val="left" w:pos="6300"/>
        </w:tabs>
        <w:snapToGrid w:val="0"/>
        <w:spacing w:line="500" w:lineRule="exact"/>
        <w:ind w:firstLine="570"/>
        <w:rPr>
          <w:rFonts w:ascii="宋体" w:hAnsi="宋体" w:eastAsia="宋体" w:cs="宋体"/>
          <w:sz w:val="24"/>
        </w:rPr>
      </w:pPr>
    </w:p>
    <w:p w14:paraId="7E53FEA4">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（附：法定代表人身份证正反面复印件）</w:t>
      </w:r>
    </w:p>
    <w:p w14:paraId="23D34BED">
      <w:pPr>
        <w:tabs>
          <w:tab w:val="left" w:pos="6300"/>
        </w:tabs>
        <w:snapToGrid w:val="0"/>
        <w:spacing w:line="500" w:lineRule="exact"/>
        <w:ind w:firstLine="570"/>
        <w:rPr>
          <w:rFonts w:ascii="宋体" w:hAnsi="宋体" w:eastAsia="宋体" w:cs="宋体"/>
          <w:sz w:val="24"/>
        </w:rPr>
      </w:pPr>
    </w:p>
    <w:p w14:paraId="00C34AFA">
      <w:pPr>
        <w:tabs>
          <w:tab w:val="left" w:pos="6300"/>
        </w:tabs>
        <w:snapToGrid w:val="0"/>
        <w:spacing w:line="500" w:lineRule="exact"/>
        <w:ind w:firstLine="570"/>
        <w:rPr>
          <w:rFonts w:ascii="宋体" w:hAnsi="宋体" w:eastAsia="宋体" w:cs="宋体"/>
          <w:sz w:val="24"/>
        </w:rPr>
      </w:pPr>
    </w:p>
    <w:p w14:paraId="252CEF4F">
      <w:pPr>
        <w:tabs>
          <w:tab w:val="left" w:pos="6300"/>
        </w:tabs>
        <w:snapToGrid w:val="0"/>
        <w:spacing w:line="500" w:lineRule="exact"/>
        <w:ind w:firstLine="570"/>
        <w:rPr>
          <w:rFonts w:ascii="宋体" w:hAnsi="宋体" w:eastAsia="宋体" w:cs="宋体"/>
          <w:sz w:val="24"/>
        </w:rPr>
      </w:pPr>
    </w:p>
    <w:p w14:paraId="6B3DC98E">
      <w:pPr>
        <w:tabs>
          <w:tab w:val="left" w:pos="6300"/>
        </w:tabs>
        <w:snapToGrid w:val="0"/>
        <w:spacing w:line="500" w:lineRule="exact"/>
        <w:ind w:firstLine="570"/>
        <w:rPr>
          <w:rFonts w:ascii="宋体" w:hAnsi="宋体" w:eastAsia="宋体" w:cs="宋体"/>
          <w:sz w:val="24"/>
        </w:rPr>
      </w:pPr>
    </w:p>
    <w:p w14:paraId="7123E3DC">
      <w:pPr>
        <w:tabs>
          <w:tab w:val="left" w:pos="6300"/>
        </w:tabs>
        <w:snapToGrid w:val="0"/>
        <w:spacing w:line="500" w:lineRule="exact"/>
        <w:ind w:firstLine="570"/>
        <w:jc w:val="center"/>
        <w:outlineLvl w:val="3"/>
        <w:rPr>
          <w:rFonts w:ascii="宋体" w:hAnsi="宋体" w:eastAsia="宋体" w:cs="宋体"/>
        </w:rPr>
      </w:pPr>
      <w:r>
        <w:rPr>
          <w:rFonts w:hint="eastAsia" w:ascii="宋体" w:hAnsi="宋体" w:eastAsia="宋体" w:cs="宋体"/>
          <w:sz w:val="24"/>
        </w:rPr>
        <w:br w:type="page"/>
      </w:r>
      <w:bookmarkStart w:id="410" w:name="_Toc7154"/>
      <w:bookmarkStart w:id="411" w:name="_Toc4016"/>
      <w:r>
        <w:rPr>
          <w:rFonts w:hint="eastAsia" w:ascii="宋体" w:hAnsi="宋体" w:eastAsia="宋体" w:cs="宋体"/>
          <w:sz w:val="24"/>
          <w:szCs w:val="24"/>
        </w:rPr>
        <w:t>（三）法定代表人授权委托书（格式）</w:t>
      </w:r>
      <w:bookmarkEnd w:id="410"/>
      <w:bookmarkEnd w:id="411"/>
    </w:p>
    <w:p w14:paraId="433FD35C">
      <w:pPr>
        <w:tabs>
          <w:tab w:val="left" w:pos="6300"/>
        </w:tabs>
        <w:snapToGrid w:val="0"/>
        <w:spacing w:line="500" w:lineRule="exact"/>
        <w:ind w:firstLine="570"/>
        <w:rPr>
          <w:rFonts w:ascii="宋体" w:hAnsi="宋体" w:eastAsia="宋体" w:cs="宋体"/>
          <w:sz w:val="24"/>
        </w:rPr>
      </w:pPr>
    </w:p>
    <w:p w14:paraId="2E6FFA31">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szCs w:val="28"/>
        </w:rPr>
        <w:t>项目名称</w:t>
      </w:r>
      <w:r>
        <w:rPr>
          <w:rFonts w:hint="eastAsia" w:ascii="宋体" w:hAnsi="宋体" w:eastAsia="宋体" w:cs="宋体"/>
          <w:sz w:val="24"/>
        </w:rPr>
        <w:t>：</w:t>
      </w:r>
      <w:r>
        <w:rPr>
          <w:rFonts w:hint="eastAsia" w:ascii="宋体" w:hAnsi="宋体" w:eastAsia="宋体" w:cs="宋体"/>
          <w:sz w:val="24"/>
          <w:u w:val="single"/>
        </w:rPr>
        <w:t xml:space="preserve">                                                </w:t>
      </w:r>
    </w:p>
    <w:p w14:paraId="04FF0E8B">
      <w:pPr>
        <w:tabs>
          <w:tab w:val="left" w:pos="6300"/>
        </w:tabs>
        <w:snapToGrid w:val="0"/>
        <w:spacing w:line="500" w:lineRule="exact"/>
        <w:ind w:firstLine="570"/>
        <w:rPr>
          <w:rFonts w:ascii="宋体" w:hAnsi="宋体" w:eastAsia="宋体" w:cs="宋体"/>
          <w:sz w:val="24"/>
        </w:rPr>
      </w:pPr>
    </w:p>
    <w:p w14:paraId="40348144">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致：</w:t>
      </w:r>
      <w:r>
        <w:rPr>
          <w:rFonts w:hint="eastAsia" w:ascii="宋体" w:hAnsi="宋体" w:eastAsia="宋体" w:cs="宋体"/>
          <w:sz w:val="24"/>
          <w:u w:val="single"/>
        </w:rPr>
        <w:t xml:space="preserve">                     </w:t>
      </w:r>
      <w:r>
        <w:rPr>
          <w:rFonts w:hint="eastAsia" w:ascii="宋体" w:hAnsi="宋体" w:eastAsia="宋体" w:cs="宋体"/>
          <w:sz w:val="24"/>
        </w:rPr>
        <w:t>（采购人名称）：</w:t>
      </w:r>
    </w:p>
    <w:p w14:paraId="7E4024D5">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u w:val="single"/>
        </w:rPr>
        <w:t xml:space="preserve">            </w:t>
      </w:r>
      <w:r>
        <w:rPr>
          <w:rFonts w:hint="eastAsia" w:ascii="宋体" w:hAnsi="宋体" w:eastAsia="宋体" w:cs="宋体"/>
          <w:sz w:val="24"/>
        </w:rPr>
        <w:t>（供应商法定代表人名称）是</w:t>
      </w:r>
      <w:r>
        <w:rPr>
          <w:rFonts w:hint="eastAsia" w:ascii="宋体" w:hAnsi="宋体" w:eastAsia="宋体" w:cs="宋体"/>
          <w:sz w:val="24"/>
          <w:u w:val="single"/>
        </w:rPr>
        <w:t xml:space="preserve">                    </w:t>
      </w:r>
      <w:r>
        <w:rPr>
          <w:rFonts w:hint="eastAsia" w:ascii="宋体" w:hAnsi="宋体" w:eastAsia="宋体" w:cs="宋体"/>
          <w:sz w:val="24"/>
        </w:rPr>
        <w:t>（供应商名称）的法定代表人，特授权</w:t>
      </w:r>
      <w:r>
        <w:rPr>
          <w:rFonts w:hint="eastAsia" w:ascii="宋体" w:hAnsi="宋体" w:eastAsia="宋体" w:cs="宋体"/>
          <w:sz w:val="24"/>
          <w:u w:val="single"/>
        </w:rPr>
        <w:t xml:space="preserve">          </w:t>
      </w:r>
      <w:r>
        <w:rPr>
          <w:rFonts w:hint="eastAsia" w:ascii="宋体" w:hAnsi="宋体" w:eastAsia="宋体" w:cs="宋体"/>
          <w:sz w:val="24"/>
        </w:rPr>
        <w:t>（被授权人姓名及身份证代码）代表我单位全权办理上述项目的谈判、签约等具体工作，并签署全部有关文件、协议及合同。</w:t>
      </w:r>
    </w:p>
    <w:p w14:paraId="4E3BC847">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我单位对被授权人的签字负全部责任。</w:t>
      </w:r>
    </w:p>
    <w:p w14:paraId="7A8E18E5">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在撤消授权的书面通知以前，本授权书一直有效。被授权人在授权书有效期内签署的所有文件不因授权的撤消而失效。</w:t>
      </w:r>
    </w:p>
    <w:p w14:paraId="59AF7B9D">
      <w:pPr>
        <w:tabs>
          <w:tab w:val="left" w:pos="6300"/>
        </w:tabs>
        <w:snapToGrid w:val="0"/>
        <w:spacing w:line="500" w:lineRule="exact"/>
        <w:ind w:firstLine="570"/>
        <w:rPr>
          <w:rFonts w:ascii="宋体" w:hAnsi="宋体" w:eastAsia="宋体" w:cs="宋体"/>
          <w:sz w:val="24"/>
        </w:rPr>
      </w:pPr>
    </w:p>
    <w:p w14:paraId="4552CEFB">
      <w:pPr>
        <w:tabs>
          <w:tab w:val="left" w:pos="6300"/>
        </w:tabs>
        <w:snapToGrid w:val="0"/>
        <w:spacing w:line="500" w:lineRule="exact"/>
        <w:ind w:firstLine="570"/>
        <w:rPr>
          <w:rFonts w:ascii="宋体" w:hAnsi="宋体" w:eastAsia="宋体" w:cs="宋体"/>
          <w:sz w:val="24"/>
        </w:rPr>
      </w:pPr>
    </w:p>
    <w:p w14:paraId="00B548F5">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被授权人：                                 供应商法定代表人：</w:t>
      </w:r>
    </w:p>
    <w:p w14:paraId="13C2B8B1">
      <w:pPr>
        <w:tabs>
          <w:tab w:val="left" w:pos="6300"/>
        </w:tabs>
        <w:snapToGrid w:val="0"/>
        <w:spacing w:line="500" w:lineRule="exact"/>
        <w:ind w:firstLine="570"/>
        <w:rPr>
          <w:rFonts w:ascii="宋体" w:hAnsi="宋体" w:eastAsia="宋体" w:cs="宋体"/>
          <w:sz w:val="24"/>
          <w:szCs w:val="28"/>
        </w:rPr>
      </w:pPr>
      <w:r>
        <w:rPr>
          <w:rFonts w:hint="eastAsia" w:ascii="宋体" w:hAnsi="宋体" w:eastAsia="宋体" w:cs="宋体"/>
          <w:sz w:val="24"/>
          <w:szCs w:val="28"/>
        </w:rPr>
        <w:t>（签字或盖章）                                （签字或盖章）</w:t>
      </w:r>
    </w:p>
    <w:p w14:paraId="7C42992D">
      <w:pPr>
        <w:tabs>
          <w:tab w:val="left" w:pos="6300"/>
        </w:tabs>
        <w:snapToGrid w:val="0"/>
        <w:spacing w:line="500" w:lineRule="exact"/>
        <w:ind w:firstLine="570"/>
        <w:rPr>
          <w:rFonts w:ascii="宋体" w:hAnsi="宋体" w:eastAsia="宋体" w:cs="宋体"/>
          <w:sz w:val="24"/>
          <w:szCs w:val="28"/>
        </w:rPr>
      </w:pPr>
    </w:p>
    <w:p w14:paraId="317F22BE">
      <w:pPr>
        <w:tabs>
          <w:tab w:val="left" w:pos="6300"/>
        </w:tabs>
        <w:snapToGrid w:val="0"/>
        <w:spacing w:line="500" w:lineRule="exact"/>
        <w:ind w:firstLine="570"/>
        <w:rPr>
          <w:rFonts w:ascii="宋体" w:hAnsi="宋体" w:eastAsia="宋体" w:cs="宋体"/>
          <w:sz w:val="24"/>
        </w:rPr>
      </w:pPr>
    </w:p>
    <w:p w14:paraId="17647B98">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（附：被授权人身份证正反面复印件）</w:t>
      </w:r>
    </w:p>
    <w:p w14:paraId="029B64BD">
      <w:pPr>
        <w:tabs>
          <w:tab w:val="left" w:pos="6300"/>
        </w:tabs>
        <w:snapToGrid w:val="0"/>
        <w:spacing w:line="500" w:lineRule="exact"/>
        <w:ind w:firstLine="570"/>
        <w:rPr>
          <w:rFonts w:ascii="宋体" w:hAnsi="宋体" w:eastAsia="宋体" w:cs="宋体"/>
          <w:sz w:val="24"/>
        </w:rPr>
      </w:pPr>
      <w:r>
        <w:rPr>
          <w:rFonts w:hint="eastAsia" w:ascii="宋体" w:hAnsi="宋体" w:eastAsia="宋体" w:cs="宋体"/>
          <w:sz w:val="24"/>
        </w:rPr>
        <w:t xml:space="preserve">                                          </w:t>
      </w:r>
    </w:p>
    <w:p w14:paraId="247BE62F">
      <w:pPr>
        <w:tabs>
          <w:tab w:val="left" w:pos="6300"/>
        </w:tabs>
        <w:snapToGrid w:val="0"/>
        <w:spacing w:line="500" w:lineRule="exact"/>
        <w:ind w:firstLine="570"/>
        <w:rPr>
          <w:rFonts w:ascii="宋体" w:hAnsi="宋体" w:eastAsia="宋体" w:cs="宋体"/>
          <w:sz w:val="24"/>
        </w:rPr>
      </w:pPr>
    </w:p>
    <w:p w14:paraId="3747130D">
      <w:pPr>
        <w:tabs>
          <w:tab w:val="left" w:pos="6300"/>
        </w:tabs>
        <w:snapToGrid w:val="0"/>
        <w:spacing w:line="500" w:lineRule="exact"/>
        <w:ind w:firstLine="570"/>
        <w:rPr>
          <w:rFonts w:ascii="宋体" w:hAnsi="宋体" w:eastAsia="宋体" w:cs="宋体"/>
          <w:sz w:val="24"/>
        </w:rPr>
      </w:pPr>
    </w:p>
    <w:p w14:paraId="5A5DB282">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（供应商公章）</w:t>
      </w:r>
    </w:p>
    <w:p w14:paraId="2DD5DE64">
      <w:pPr>
        <w:tabs>
          <w:tab w:val="left" w:pos="6300"/>
        </w:tabs>
        <w:snapToGrid w:val="0"/>
        <w:spacing w:line="500" w:lineRule="exact"/>
        <w:ind w:right="480" w:firstLine="570"/>
        <w:jc w:val="right"/>
        <w:rPr>
          <w:rFonts w:ascii="宋体" w:hAnsi="宋体" w:eastAsia="宋体" w:cs="宋体"/>
          <w:sz w:val="24"/>
        </w:rPr>
      </w:pPr>
      <w:r>
        <w:rPr>
          <w:rFonts w:hint="eastAsia" w:ascii="宋体" w:hAnsi="宋体" w:eastAsia="宋体" w:cs="宋体"/>
          <w:sz w:val="24"/>
        </w:rPr>
        <w:t>年   月   日</w:t>
      </w:r>
    </w:p>
    <w:p w14:paraId="1754972A">
      <w:pPr>
        <w:pStyle w:val="44"/>
        <w:ind w:left="0" w:leftChars="0" w:firstLine="0" w:firstLineChars="0"/>
        <w:rPr>
          <w:rFonts w:ascii="宋体" w:hAnsi="宋体" w:eastAsia="宋体" w:cs="宋体"/>
        </w:rPr>
      </w:pPr>
    </w:p>
    <w:p w14:paraId="3ADA988B">
      <w:pPr>
        <w:rPr>
          <w:rFonts w:ascii="宋体" w:hAnsi="宋体" w:eastAsia="宋体" w:cs="宋体"/>
        </w:rPr>
      </w:pPr>
    </w:p>
    <w:p w14:paraId="6252DF86">
      <w:pPr>
        <w:pStyle w:val="44"/>
        <w:ind w:left="0" w:leftChars="0" w:firstLine="0" w:firstLineChars="0"/>
        <w:rPr>
          <w:rFonts w:ascii="宋体" w:hAnsi="宋体" w:eastAsia="宋体" w:cs="宋体"/>
        </w:rPr>
      </w:pPr>
    </w:p>
    <w:p w14:paraId="368B0413">
      <w:pPr>
        <w:pStyle w:val="22"/>
        <w:jc w:val="center"/>
        <w:outlineLvl w:val="3"/>
        <w:rPr>
          <w:rFonts w:ascii="宋体" w:hAnsi="宋体" w:eastAsia="宋体" w:cs="宋体"/>
          <w:sz w:val="24"/>
          <w:szCs w:val="24"/>
        </w:rPr>
      </w:pPr>
      <w:r>
        <w:rPr>
          <w:rFonts w:hint="eastAsia" w:ascii="宋体" w:hAnsi="宋体" w:eastAsia="宋体" w:cs="宋体"/>
        </w:rPr>
        <w:br w:type="page"/>
      </w:r>
      <w:bookmarkStart w:id="412" w:name="_Toc14717"/>
      <w:bookmarkStart w:id="413" w:name="_Toc13854"/>
      <w:r>
        <w:rPr>
          <w:rFonts w:hint="eastAsia" w:ascii="宋体" w:hAnsi="宋体" w:eastAsia="宋体" w:cs="宋体"/>
          <w:sz w:val="24"/>
          <w:szCs w:val="24"/>
        </w:rPr>
        <w:t>（四）</w:t>
      </w:r>
      <w:r>
        <w:rPr>
          <w:rFonts w:hint="eastAsia" w:ascii="宋体" w:hAnsi="宋体" w:eastAsia="宋体" w:cs="宋体"/>
          <w:sz w:val="24"/>
          <w:szCs w:val="28"/>
        </w:rPr>
        <w:t>基本资格条件承诺函</w:t>
      </w:r>
      <w:bookmarkEnd w:id="412"/>
      <w:bookmarkEnd w:id="413"/>
    </w:p>
    <w:p w14:paraId="43659088">
      <w:pPr>
        <w:tabs>
          <w:tab w:val="left" w:pos="6300"/>
        </w:tabs>
        <w:snapToGrid w:val="0"/>
        <w:spacing w:line="500" w:lineRule="exact"/>
        <w:rPr>
          <w:rFonts w:ascii="宋体" w:hAnsi="宋体" w:eastAsia="宋体" w:cs="宋体"/>
          <w:sz w:val="24"/>
          <w:szCs w:val="28"/>
        </w:rPr>
      </w:pPr>
    </w:p>
    <w:p w14:paraId="0730D759">
      <w:pPr>
        <w:tabs>
          <w:tab w:val="left" w:pos="6300"/>
        </w:tabs>
        <w:snapToGrid w:val="0"/>
        <w:spacing w:line="500" w:lineRule="exact"/>
        <w:rPr>
          <w:rFonts w:ascii="宋体" w:hAnsi="宋体" w:eastAsia="宋体" w:cs="宋体"/>
          <w:sz w:val="24"/>
          <w:szCs w:val="28"/>
        </w:rPr>
      </w:pPr>
      <w:r>
        <w:rPr>
          <w:rFonts w:hint="eastAsia" w:ascii="宋体" w:hAnsi="宋体" w:eastAsia="宋体" w:cs="宋体"/>
          <w:sz w:val="24"/>
          <w:szCs w:val="28"/>
        </w:rPr>
        <w:t>致</w:t>
      </w:r>
      <w:r>
        <w:rPr>
          <w:rFonts w:hint="eastAsia" w:ascii="宋体" w:hAnsi="宋体" w:eastAsia="宋体" w:cs="宋体"/>
          <w:sz w:val="24"/>
          <w:szCs w:val="28"/>
          <w:u w:val="single"/>
        </w:rPr>
        <w:t xml:space="preserve">                   </w:t>
      </w:r>
      <w:r>
        <w:rPr>
          <w:rFonts w:hint="eastAsia" w:ascii="宋体" w:hAnsi="宋体" w:eastAsia="宋体" w:cs="宋体"/>
          <w:sz w:val="24"/>
          <w:szCs w:val="28"/>
        </w:rPr>
        <w:t>（采购人）：</w:t>
      </w:r>
    </w:p>
    <w:p w14:paraId="7A4FBFF8">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u w:val="single"/>
        </w:rPr>
        <w:t xml:space="preserve">                      </w:t>
      </w:r>
      <w:r>
        <w:rPr>
          <w:rFonts w:hint="eastAsia" w:ascii="宋体" w:hAnsi="宋体" w:eastAsia="宋体" w:cs="宋体"/>
          <w:sz w:val="24"/>
          <w:szCs w:val="28"/>
        </w:rPr>
        <w:t>（投标人名称）郑重承诺：</w:t>
      </w:r>
    </w:p>
    <w:p w14:paraId="7182A14F">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1.我方具有良好的商业信誉和健全的财务会计制度，具有履行合同所必需的设备和专业技术能力，具有依法缴纳税收和社会保障金的良好记录，参加本项目采购活动前三年内无重大违法活动记录。</w:t>
      </w:r>
    </w:p>
    <w:p w14:paraId="13B748ED">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2.我方未列入在信用中国网站（www.creditchina.gov.cn）“失信被执行人”、“重大税收违法案件当事人名单”中，也未列入中国政府采购网（www.ccgp.gov.cn）“政府采购严重违法失信行为记录名单”中。</w:t>
      </w:r>
    </w:p>
    <w:p w14:paraId="5A19D05A">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3.我方在采购项目评审（评标）环节结束后，随时接受采购人、采购代理机构的检查验证，配合提供相关证明材料，证明符合《中华人民共和国政府采购法》规定的投标人基本资格条件。</w:t>
      </w:r>
    </w:p>
    <w:p w14:paraId="6D3D0DEF">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我方对以上承诺负全部法律责任。</w:t>
      </w:r>
    </w:p>
    <w:p w14:paraId="04B7E56A">
      <w:pPr>
        <w:tabs>
          <w:tab w:val="left" w:pos="6300"/>
        </w:tabs>
        <w:snapToGrid w:val="0"/>
        <w:spacing w:line="500" w:lineRule="exact"/>
        <w:ind w:firstLine="480" w:firstLineChars="200"/>
        <w:rPr>
          <w:rFonts w:ascii="宋体" w:hAnsi="宋体" w:eastAsia="宋体" w:cs="宋体"/>
          <w:sz w:val="24"/>
          <w:szCs w:val="28"/>
        </w:rPr>
      </w:pPr>
      <w:r>
        <w:rPr>
          <w:rFonts w:hint="eastAsia" w:ascii="宋体" w:hAnsi="宋体" w:eastAsia="宋体" w:cs="宋体"/>
          <w:sz w:val="24"/>
          <w:szCs w:val="28"/>
        </w:rPr>
        <w:t>特此承诺。</w:t>
      </w:r>
    </w:p>
    <w:p w14:paraId="39ACE292">
      <w:pPr>
        <w:tabs>
          <w:tab w:val="left" w:pos="6300"/>
        </w:tabs>
        <w:snapToGrid w:val="0"/>
        <w:spacing w:line="500" w:lineRule="exact"/>
        <w:rPr>
          <w:rFonts w:ascii="宋体" w:hAnsi="宋体" w:eastAsia="宋体" w:cs="宋体"/>
          <w:sz w:val="24"/>
          <w:szCs w:val="28"/>
        </w:rPr>
      </w:pPr>
    </w:p>
    <w:p w14:paraId="11C8C06F">
      <w:pPr>
        <w:tabs>
          <w:tab w:val="left" w:pos="6300"/>
        </w:tabs>
        <w:snapToGrid w:val="0"/>
        <w:spacing w:line="500" w:lineRule="exact"/>
        <w:rPr>
          <w:rFonts w:ascii="宋体" w:hAnsi="宋体" w:eastAsia="宋体" w:cs="宋体"/>
          <w:sz w:val="24"/>
          <w:szCs w:val="28"/>
        </w:rPr>
      </w:pPr>
    </w:p>
    <w:p w14:paraId="63F809A1">
      <w:pPr>
        <w:tabs>
          <w:tab w:val="left" w:pos="6300"/>
        </w:tabs>
        <w:snapToGrid w:val="0"/>
        <w:spacing w:line="500" w:lineRule="exact"/>
        <w:ind w:firstLine="6480" w:firstLineChars="2700"/>
        <w:rPr>
          <w:rFonts w:ascii="宋体" w:hAnsi="宋体" w:eastAsia="宋体" w:cs="宋体"/>
          <w:sz w:val="24"/>
          <w:szCs w:val="28"/>
        </w:rPr>
      </w:pPr>
      <w:r>
        <w:rPr>
          <w:rFonts w:hint="eastAsia" w:ascii="宋体" w:hAnsi="宋体" w:eastAsia="宋体" w:cs="宋体"/>
          <w:sz w:val="24"/>
          <w:szCs w:val="28"/>
        </w:rPr>
        <w:t>（供应商公章）</w:t>
      </w:r>
    </w:p>
    <w:p w14:paraId="173F3650">
      <w:pPr>
        <w:tabs>
          <w:tab w:val="left" w:pos="6300"/>
        </w:tabs>
        <w:snapToGrid w:val="0"/>
        <w:spacing w:line="360" w:lineRule="auto"/>
        <w:ind w:right="360" w:firstLine="480" w:firstLineChars="200"/>
        <w:jc w:val="right"/>
        <w:rPr>
          <w:rFonts w:ascii="宋体" w:hAnsi="宋体" w:eastAsia="宋体" w:cs="宋体"/>
          <w:sz w:val="24"/>
          <w:szCs w:val="28"/>
        </w:rPr>
      </w:pPr>
    </w:p>
    <w:p w14:paraId="627583B2">
      <w:pPr>
        <w:tabs>
          <w:tab w:val="left" w:pos="6300"/>
        </w:tabs>
        <w:snapToGrid w:val="0"/>
        <w:spacing w:line="360" w:lineRule="auto"/>
        <w:ind w:right="1320" w:firstLine="480" w:firstLineChars="200"/>
        <w:jc w:val="right"/>
        <w:rPr>
          <w:rFonts w:ascii="宋体" w:hAnsi="宋体" w:eastAsia="宋体" w:cs="宋体"/>
          <w:sz w:val="24"/>
          <w:szCs w:val="24"/>
        </w:rPr>
      </w:pPr>
      <w:r>
        <w:rPr>
          <w:rFonts w:hint="eastAsia" w:ascii="宋体" w:hAnsi="宋体" w:eastAsia="宋体" w:cs="宋体"/>
          <w:sz w:val="24"/>
          <w:szCs w:val="28"/>
        </w:rPr>
        <w:t>年   月   日</w:t>
      </w:r>
    </w:p>
    <w:p w14:paraId="3DCA4062">
      <w:pPr>
        <w:tabs>
          <w:tab w:val="left" w:pos="6300"/>
        </w:tabs>
        <w:snapToGrid w:val="0"/>
        <w:spacing w:line="500" w:lineRule="exact"/>
        <w:ind w:firstLine="480" w:firstLineChars="200"/>
        <w:rPr>
          <w:rFonts w:ascii="宋体" w:hAnsi="宋体" w:eastAsia="宋体" w:cs="宋体"/>
          <w:sz w:val="24"/>
          <w:szCs w:val="24"/>
        </w:rPr>
      </w:pPr>
      <w:r>
        <w:rPr>
          <w:rFonts w:hint="eastAsia" w:ascii="宋体" w:hAnsi="宋体" w:eastAsia="宋体" w:cs="宋体"/>
          <w:sz w:val="24"/>
          <w:szCs w:val="24"/>
        </w:rPr>
        <w:t>备注：供应商须提供</w:t>
      </w:r>
    </w:p>
    <w:p w14:paraId="5940DD11">
      <w:pPr>
        <w:pStyle w:val="44"/>
        <w:ind w:left="0" w:leftChars="0" w:firstLine="240" w:firstLineChars="100"/>
        <w:rPr>
          <w:rFonts w:ascii="宋体" w:hAnsi="宋体" w:eastAsia="宋体" w:cs="宋体"/>
          <w:sz w:val="24"/>
          <w:szCs w:val="24"/>
        </w:rPr>
      </w:pPr>
      <w:r>
        <w:rPr>
          <w:rFonts w:hint="eastAsia" w:ascii="宋体" w:hAnsi="宋体" w:eastAsia="宋体" w:cs="宋体"/>
          <w:sz w:val="24"/>
          <w:szCs w:val="24"/>
        </w:rPr>
        <w:t>1. 信用中国网站（</w:t>
      </w:r>
      <w:r>
        <w:fldChar w:fldCharType="begin"/>
      </w:r>
      <w:r>
        <w:instrText xml:space="preserve"> HYPERLINK "http://www.creditchina.gov.cn" </w:instrText>
      </w:r>
      <w:r>
        <w:fldChar w:fldCharType="separate"/>
      </w:r>
      <w:r>
        <w:rPr>
          <w:rStyle w:val="66"/>
          <w:rFonts w:hint="eastAsia" w:ascii="宋体" w:hAnsi="宋体" w:eastAsia="宋体" w:cs="宋体"/>
          <w:color w:val="auto"/>
          <w:sz w:val="24"/>
          <w:szCs w:val="24"/>
        </w:rPr>
        <w:t>www.creditchina.gov.cn</w:t>
      </w:r>
      <w:r>
        <w:rPr>
          <w:rStyle w:val="66"/>
          <w:rFonts w:hint="eastAsia" w:ascii="宋体" w:hAnsi="宋体" w:eastAsia="宋体" w:cs="宋体"/>
          <w:color w:val="auto"/>
          <w:sz w:val="24"/>
          <w:szCs w:val="24"/>
        </w:rPr>
        <w:fldChar w:fldCharType="end"/>
      </w:r>
      <w:r>
        <w:rPr>
          <w:rFonts w:hint="eastAsia" w:ascii="宋体" w:hAnsi="宋体" w:eastAsia="宋体" w:cs="宋体"/>
          <w:sz w:val="24"/>
          <w:szCs w:val="24"/>
        </w:rPr>
        <w:t>）“失信被执行人”查询结果；“重大税收违法案件当事人名单”查询结果加盖供应商公章。</w:t>
      </w:r>
    </w:p>
    <w:p w14:paraId="1FDF4899">
      <w:pPr>
        <w:pStyle w:val="44"/>
        <w:ind w:left="0" w:leftChars="0" w:firstLine="240" w:firstLineChars="100"/>
        <w:rPr>
          <w:rFonts w:ascii="宋体" w:hAnsi="宋体" w:eastAsia="宋体" w:cs="宋体"/>
          <w:sz w:val="24"/>
          <w:szCs w:val="24"/>
        </w:rPr>
      </w:pPr>
      <w:r>
        <w:rPr>
          <w:rFonts w:hint="eastAsia" w:ascii="宋体" w:hAnsi="宋体" w:eastAsia="宋体" w:cs="宋体"/>
          <w:sz w:val="24"/>
          <w:szCs w:val="24"/>
        </w:rPr>
        <w:t>2. 中国政府采购网（</w:t>
      </w:r>
      <w:r>
        <w:fldChar w:fldCharType="begin"/>
      </w:r>
      <w:r>
        <w:instrText xml:space="preserve"> HYPERLINK "http://www.ccgp.gov.cn" </w:instrText>
      </w:r>
      <w:r>
        <w:fldChar w:fldCharType="separate"/>
      </w:r>
      <w:r>
        <w:rPr>
          <w:rStyle w:val="66"/>
          <w:rFonts w:hint="eastAsia" w:ascii="宋体" w:hAnsi="宋体" w:eastAsia="宋体" w:cs="宋体"/>
          <w:color w:val="auto"/>
          <w:sz w:val="24"/>
          <w:szCs w:val="24"/>
        </w:rPr>
        <w:t>www.ccgp.gov.cn</w:t>
      </w:r>
      <w:r>
        <w:rPr>
          <w:rStyle w:val="66"/>
          <w:rFonts w:hint="eastAsia" w:ascii="宋体" w:hAnsi="宋体" w:eastAsia="宋体" w:cs="宋体"/>
          <w:color w:val="auto"/>
          <w:sz w:val="24"/>
          <w:szCs w:val="24"/>
        </w:rPr>
        <w:fldChar w:fldCharType="end"/>
      </w:r>
      <w:r>
        <w:rPr>
          <w:rFonts w:hint="eastAsia" w:ascii="宋体" w:hAnsi="宋体" w:eastAsia="宋体" w:cs="宋体"/>
          <w:sz w:val="24"/>
          <w:szCs w:val="24"/>
        </w:rPr>
        <w:t>）“政府采购严重违法失信行为记录名单”查询结果加盖供应商公章。</w:t>
      </w:r>
    </w:p>
    <w:p w14:paraId="59754057">
      <w:pPr>
        <w:pStyle w:val="44"/>
        <w:ind w:left="4480"/>
        <w:rPr>
          <w:rFonts w:ascii="宋体" w:hAnsi="宋体" w:eastAsia="宋体" w:cs="宋体"/>
          <w:sz w:val="24"/>
          <w:szCs w:val="24"/>
        </w:rPr>
      </w:pPr>
    </w:p>
    <w:p w14:paraId="795382FB"/>
    <w:p w14:paraId="507D9CBF">
      <w:r>
        <w:br w:type="page"/>
      </w:r>
    </w:p>
    <w:p w14:paraId="40921B90">
      <w:pPr>
        <w:spacing w:line="360" w:lineRule="auto"/>
        <w:ind w:firstLine="480" w:firstLineChars="200"/>
        <w:outlineLvl w:val="3"/>
      </w:pPr>
      <w:bookmarkStart w:id="414" w:name="_Toc18583"/>
      <w:bookmarkStart w:id="415" w:name="_Toc29430"/>
      <w:r>
        <w:rPr>
          <w:rFonts w:hint="eastAsia" w:ascii="宋体" w:hAnsi="宋体" w:eastAsia="宋体" w:cs="宋体"/>
          <w:sz w:val="24"/>
          <w:szCs w:val="24"/>
        </w:rPr>
        <w:t>（五）</w:t>
      </w:r>
      <w:r>
        <w:rPr>
          <w:rFonts w:hint="eastAsia" w:ascii="宋体" w:hAnsi="宋体" w:eastAsia="宋体" w:cs="宋体"/>
          <w:sz w:val="24"/>
          <w:szCs w:val="28"/>
        </w:rPr>
        <w:t>特定资格条件证明文件</w:t>
      </w:r>
      <w:bookmarkEnd w:id="414"/>
      <w:bookmarkEnd w:id="415"/>
    </w:p>
    <w:p w14:paraId="582C967F">
      <w:pPr>
        <w:ind w:firstLine="480" w:firstLineChars="200"/>
        <w:rPr>
          <w:rFonts w:ascii="宋体" w:hAnsi="宋体" w:eastAsia="宋体" w:cs="宋体"/>
          <w:sz w:val="24"/>
          <w:szCs w:val="28"/>
        </w:rPr>
      </w:pPr>
      <w:r>
        <w:rPr>
          <w:rFonts w:hint="eastAsia" w:ascii="宋体" w:hAnsi="宋体" w:eastAsia="宋体" w:cs="宋体"/>
          <w:sz w:val="24"/>
          <w:szCs w:val="28"/>
        </w:rPr>
        <w:t>说明：供应商按“多证合一”登记制度办理营业执照的，组织机构代码证、税务登记证以供应商所提供的法人营业执照（副本）复印件为准。</w:t>
      </w:r>
    </w:p>
    <w:p w14:paraId="06D38DEF"/>
    <w:p w14:paraId="310EB425">
      <w:pPr>
        <w:rPr>
          <w:rFonts w:ascii="宋体" w:hAnsi="宋体" w:eastAsia="宋体" w:cs="宋体"/>
        </w:rPr>
      </w:pPr>
    </w:p>
    <w:p w14:paraId="7B5AC909">
      <w:pPr>
        <w:snapToGrid w:val="0"/>
        <w:spacing w:line="400" w:lineRule="exact"/>
        <w:rPr>
          <w:rFonts w:ascii="宋体" w:hAnsi="宋体" w:eastAsia="宋体" w:cs="宋体"/>
          <w:sz w:val="24"/>
          <w:szCs w:val="24"/>
        </w:rPr>
      </w:pPr>
    </w:p>
    <w:p w14:paraId="1B72CFB4">
      <w:pPr>
        <w:pStyle w:val="44"/>
        <w:ind w:left="4480"/>
        <w:rPr>
          <w:rFonts w:ascii="宋体" w:hAnsi="宋体" w:eastAsia="宋体" w:cs="宋体"/>
          <w:sz w:val="24"/>
          <w:szCs w:val="24"/>
        </w:rPr>
      </w:pPr>
    </w:p>
    <w:p w14:paraId="02A0CC26">
      <w:pPr>
        <w:pStyle w:val="4"/>
        <w:adjustRightInd w:val="0"/>
        <w:snapToGrid w:val="0"/>
        <w:spacing w:before="0" w:after="0" w:line="400" w:lineRule="exact"/>
        <w:rPr>
          <w:rFonts w:ascii="宋体" w:hAnsi="宋体" w:eastAsia="宋体" w:cs="宋体"/>
          <w:sz w:val="24"/>
        </w:rPr>
      </w:pPr>
      <w:r>
        <w:rPr>
          <w:rFonts w:hint="eastAsia" w:ascii="宋体" w:hAnsi="宋体" w:eastAsia="宋体" w:cs="宋体"/>
        </w:rPr>
        <w:br w:type="page"/>
      </w:r>
      <w:bookmarkStart w:id="416" w:name="_Toc106034663"/>
      <w:bookmarkStart w:id="417" w:name="_Toc17010"/>
      <w:bookmarkStart w:id="418" w:name="_Toc16863"/>
      <w:bookmarkStart w:id="419" w:name="_Toc65660383"/>
      <w:bookmarkStart w:id="420" w:name="_Toc2080"/>
      <w:bookmarkStart w:id="421" w:name="_Toc132634093"/>
      <w:r>
        <w:rPr>
          <w:rFonts w:hint="eastAsia" w:ascii="宋体" w:hAnsi="宋体" w:eastAsia="宋体" w:cs="宋体"/>
          <w:sz w:val="24"/>
        </w:rPr>
        <w:t>五、其他资料</w:t>
      </w:r>
      <w:bookmarkEnd w:id="416"/>
      <w:bookmarkEnd w:id="417"/>
      <w:bookmarkEnd w:id="418"/>
      <w:bookmarkEnd w:id="419"/>
      <w:bookmarkEnd w:id="420"/>
      <w:bookmarkEnd w:id="421"/>
    </w:p>
    <w:p w14:paraId="5C339440">
      <w:pPr>
        <w:widowControl/>
        <w:spacing w:line="400" w:lineRule="exact"/>
        <w:ind w:firstLine="480" w:firstLineChars="200"/>
        <w:jc w:val="left"/>
        <w:outlineLvl w:val="2"/>
        <w:rPr>
          <w:rFonts w:ascii="宋体" w:hAnsi="宋体" w:eastAsia="宋体" w:cs="宋体"/>
          <w:sz w:val="24"/>
          <w:szCs w:val="24"/>
        </w:rPr>
      </w:pPr>
      <w:bookmarkStart w:id="422" w:name="_Toc24530"/>
      <w:bookmarkStart w:id="423" w:name="_Toc6463"/>
      <w:bookmarkStart w:id="424" w:name="_Toc132634094"/>
      <w:r>
        <w:rPr>
          <w:rFonts w:hint="eastAsia" w:ascii="宋体" w:hAnsi="宋体" w:eastAsia="宋体" w:cs="宋体"/>
          <w:sz w:val="24"/>
          <w:szCs w:val="24"/>
        </w:rPr>
        <w:t>（一）中小企业声明函、监狱企业证明文件、残疾人福利性单位声明函</w:t>
      </w:r>
      <w:bookmarkEnd w:id="422"/>
      <w:bookmarkEnd w:id="423"/>
      <w:bookmarkEnd w:id="424"/>
    </w:p>
    <w:p w14:paraId="00E71662">
      <w:pPr>
        <w:tabs>
          <w:tab w:val="left" w:pos="6300"/>
        </w:tabs>
        <w:snapToGrid w:val="0"/>
        <w:spacing w:line="500" w:lineRule="exact"/>
        <w:jc w:val="center"/>
        <w:rPr>
          <w:rFonts w:ascii="宋体" w:hAnsi="宋体" w:eastAsia="宋体" w:cs="宋体"/>
          <w:sz w:val="24"/>
          <w:szCs w:val="28"/>
        </w:rPr>
      </w:pPr>
      <w:r>
        <w:rPr>
          <w:rFonts w:hint="eastAsia" w:ascii="宋体" w:hAnsi="宋体" w:eastAsia="宋体" w:cs="宋体"/>
          <w:sz w:val="24"/>
          <w:szCs w:val="28"/>
        </w:rPr>
        <w:t>中小企业声明函</w:t>
      </w:r>
    </w:p>
    <w:p w14:paraId="076C4A26">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本公司郑重声明，根据《政府采购促进中小企业发展管理办法》（财库〔2020〕46号）的规定，本公司参加（</w:t>
      </w:r>
      <w:r>
        <w:rPr>
          <w:rFonts w:hint="eastAsia" w:ascii="宋体" w:hAnsi="宋体" w:eastAsia="宋体" w:cs="宋体"/>
          <w:kern w:val="2"/>
          <w:sz w:val="24"/>
          <w:szCs w:val="24"/>
          <w:u w:val="single"/>
          <w:lang w:val="en-US" w:eastAsia="zh-CN" w:bidi="ar"/>
        </w:rPr>
        <w:t>单位名称</w:t>
      </w:r>
      <w:r>
        <w:rPr>
          <w:rFonts w:hint="eastAsia" w:ascii="宋体" w:hAnsi="宋体" w:eastAsia="宋体" w:cs="宋体"/>
          <w:kern w:val="2"/>
          <w:sz w:val="24"/>
          <w:szCs w:val="24"/>
          <w:lang w:val="en-US" w:eastAsia="zh-CN" w:bidi="ar"/>
        </w:rPr>
        <w:t>）的（</w:t>
      </w:r>
      <w:r>
        <w:rPr>
          <w:rFonts w:hint="eastAsia" w:ascii="宋体" w:hAnsi="宋体" w:eastAsia="宋体" w:cs="宋体"/>
          <w:kern w:val="2"/>
          <w:sz w:val="24"/>
          <w:szCs w:val="24"/>
          <w:u w:val="single"/>
          <w:lang w:val="en-US" w:eastAsia="zh-CN" w:bidi="ar"/>
        </w:rPr>
        <w:t>项目名称</w:t>
      </w:r>
      <w:r>
        <w:rPr>
          <w:rFonts w:hint="eastAsia" w:ascii="宋体" w:hAnsi="宋体" w:eastAsia="宋体" w:cs="宋体"/>
          <w:kern w:val="2"/>
          <w:sz w:val="24"/>
          <w:szCs w:val="24"/>
          <w:lang w:val="en-US" w:eastAsia="zh-CN" w:bidi="ar"/>
        </w:rPr>
        <w:t>）采购活动，服务全部由符合政策要求的中小企业承接。相关企业的具体情况如下：</w:t>
      </w:r>
    </w:p>
    <w:p w14:paraId="315F7F3A">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1.（</w:t>
      </w:r>
      <w:r>
        <w:rPr>
          <w:rFonts w:hint="eastAsia" w:ascii="宋体" w:hAnsi="宋体" w:eastAsia="宋体" w:cs="宋体"/>
          <w:kern w:val="2"/>
          <w:sz w:val="24"/>
          <w:szCs w:val="24"/>
          <w:u w:val="single"/>
          <w:lang w:val="en-US" w:eastAsia="zh-CN" w:bidi="ar"/>
        </w:rPr>
        <w:t>标的名称</w:t>
      </w:r>
      <w:r>
        <w:rPr>
          <w:rFonts w:hint="eastAsia" w:ascii="宋体" w:hAnsi="宋体" w:eastAsia="宋体" w:cs="宋体"/>
          <w:kern w:val="2"/>
          <w:sz w:val="24"/>
          <w:szCs w:val="24"/>
          <w:lang w:val="en-US" w:eastAsia="zh-CN" w:bidi="ar"/>
        </w:rPr>
        <w:t>），属于（采购文件中明确的所属行业）；承接企业为（</w:t>
      </w:r>
      <w:r>
        <w:rPr>
          <w:rFonts w:hint="eastAsia" w:ascii="宋体" w:hAnsi="宋体" w:eastAsia="宋体" w:cs="宋体"/>
          <w:kern w:val="2"/>
          <w:sz w:val="24"/>
          <w:szCs w:val="24"/>
          <w:u w:val="single"/>
          <w:lang w:val="en-US" w:eastAsia="zh-CN" w:bidi="ar"/>
        </w:rPr>
        <w:t>企业名称</w:t>
      </w:r>
      <w:r>
        <w:rPr>
          <w:rFonts w:hint="eastAsia" w:ascii="宋体" w:hAnsi="宋体" w:eastAsia="宋体" w:cs="宋体"/>
          <w:kern w:val="2"/>
          <w:sz w:val="24"/>
          <w:szCs w:val="24"/>
          <w:lang w:val="en-US" w:eastAsia="zh-CN" w:bidi="ar"/>
        </w:rPr>
        <w:t>），从业人员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人，营业收入为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万元，资产总额为</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万元，属于（中型企业、小型企业、微型企业）；</w:t>
      </w:r>
    </w:p>
    <w:p w14:paraId="7A27FDF1">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为本标的提供的服务人员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人，其中与本企业签订劳动合同</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人，其他人员</w:t>
      </w:r>
      <w:r>
        <w:rPr>
          <w:rFonts w:hint="eastAsia" w:ascii="宋体" w:hAnsi="宋体" w:eastAsia="宋体" w:cs="宋体"/>
          <w:kern w:val="2"/>
          <w:sz w:val="24"/>
          <w:szCs w:val="24"/>
          <w:u w:val="single"/>
          <w:lang w:val="en-US" w:eastAsia="zh-CN" w:bidi="ar"/>
        </w:rPr>
        <w:t xml:space="preserve">   </w:t>
      </w:r>
      <w:r>
        <w:rPr>
          <w:rFonts w:hint="eastAsia" w:ascii="宋体" w:hAnsi="宋体" w:eastAsia="宋体" w:cs="宋体"/>
          <w:kern w:val="2"/>
          <w:sz w:val="24"/>
          <w:szCs w:val="24"/>
          <w:lang w:val="en-US" w:eastAsia="zh-CN" w:bidi="ar"/>
        </w:rPr>
        <w:t>人。有其他人员的不符合中小企业扶持政策；</w:t>
      </w:r>
    </w:p>
    <w:p w14:paraId="5281C15D">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w:t>
      </w:r>
    </w:p>
    <w:p w14:paraId="5E8A7FBB">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以上企业，不属于大企业的分支机构，不存在控股股东为大企业的情形，也不存在与大企业的负责人为同一人的情形。</w:t>
      </w:r>
    </w:p>
    <w:p w14:paraId="11E3886D">
      <w:pPr>
        <w:keepNext w:val="0"/>
        <w:keepLines w:val="0"/>
        <w:widowControl w:val="0"/>
        <w:suppressLineNumbers w:val="0"/>
        <w:snapToGrid w:val="0"/>
        <w:spacing w:before="0" w:beforeAutospacing="0" w:after="0" w:afterAutospacing="0" w:line="500" w:lineRule="exact"/>
        <w:ind w:left="0" w:right="0" w:firstLine="480" w:firstLineChars="20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本企业对上述声明内容的真实性负责。如有虚假，将依法承担相应责任。</w:t>
      </w:r>
    </w:p>
    <w:p w14:paraId="54CA5ED4">
      <w:pPr>
        <w:keepNext w:val="0"/>
        <w:keepLines w:val="0"/>
        <w:widowControl w:val="0"/>
        <w:suppressLineNumbers w:val="0"/>
        <w:snapToGrid w:val="0"/>
        <w:spacing w:before="0" w:beforeAutospacing="0" w:after="0" w:afterAutospacing="0" w:line="500" w:lineRule="exact"/>
        <w:ind w:left="0" w:right="0"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 xml:space="preserve">企业名称（盖章）： </w:t>
      </w:r>
    </w:p>
    <w:p w14:paraId="19E66463">
      <w:pPr>
        <w:keepNext w:val="0"/>
        <w:keepLines w:val="0"/>
        <w:widowControl w:val="0"/>
        <w:suppressLineNumbers w:val="0"/>
        <w:snapToGrid w:val="0"/>
        <w:spacing w:before="0" w:beforeAutospacing="0" w:after="0" w:afterAutospacing="0" w:line="500" w:lineRule="exact"/>
        <w:ind w:left="0" w:right="784" w:firstLine="6120" w:firstLineChars="2550"/>
        <w:jc w:val="both"/>
        <w:rPr>
          <w:rFonts w:hint="eastAsia" w:ascii="宋体" w:hAnsi="宋体" w:eastAsia="宋体" w:cs="宋体"/>
          <w:sz w:val="24"/>
          <w:szCs w:val="24"/>
          <w:lang w:val="en-US"/>
        </w:rPr>
      </w:pPr>
      <w:r>
        <w:rPr>
          <w:rFonts w:hint="eastAsia" w:ascii="宋体" w:hAnsi="宋体" w:eastAsia="宋体" w:cs="宋体"/>
          <w:kern w:val="2"/>
          <w:sz w:val="24"/>
          <w:szCs w:val="24"/>
          <w:lang w:val="en-US" w:eastAsia="zh-CN" w:bidi="ar"/>
        </w:rPr>
        <w:t>日期：</w:t>
      </w:r>
    </w:p>
    <w:p w14:paraId="49C5563A">
      <w:pPr>
        <w:keepNext w:val="0"/>
        <w:keepLines w:val="0"/>
        <w:widowControl w:val="0"/>
        <w:suppressLineNumbers w:val="0"/>
        <w:tabs>
          <w:tab w:val="left" w:pos="6300"/>
        </w:tabs>
        <w:snapToGrid w:val="0"/>
        <w:spacing w:before="0" w:beforeAutospacing="0" w:after="0" w:afterAutospacing="0" w:line="500" w:lineRule="exact"/>
        <w:ind w:left="0" w:right="784" w:firstLine="6120" w:firstLineChars="2550"/>
        <w:jc w:val="both"/>
        <w:rPr>
          <w:rFonts w:hint="eastAsia" w:ascii="宋体" w:hAnsi="宋体" w:eastAsia="宋体" w:cs="宋体"/>
          <w:sz w:val="24"/>
          <w:szCs w:val="20"/>
          <w:lang w:val="en-US"/>
        </w:rPr>
      </w:pPr>
    </w:p>
    <w:p w14:paraId="787026B1">
      <w:pPr>
        <w:tabs>
          <w:tab w:val="left" w:pos="6300"/>
        </w:tabs>
        <w:snapToGrid w:val="0"/>
        <w:spacing w:line="500" w:lineRule="exact"/>
        <w:ind w:right="784" w:firstLine="6120" w:firstLineChars="2550"/>
        <w:rPr>
          <w:rFonts w:ascii="宋体" w:hAnsi="宋体" w:eastAsia="宋体" w:cs="宋体"/>
          <w:sz w:val="24"/>
        </w:rPr>
      </w:pPr>
    </w:p>
    <w:p w14:paraId="571A62E0">
      <w:pPr>
        <w:tabs>
          <w:tab w:val="left" w:pos="6300"/>
        </w:tabs>
        <w:snapToGrid w:val="0"/>
        <w:rPr>
          <w:rFonts w:ascii="宋体" w:hAnsi="宋体" w:eastAsia="宋体" w:cs="宋体"/>
          <w:sz w:val="24"/>
          <w:szCs w:val="28"/>
        </w:rPr>
      </w:pPr>
      <w:r>
        <w:rPr>
          <w:rFonts w:hint="eastAsia" w:ascii="宋体" w:hAnsi="宋体" w:eastAsia="宋体" w:cs="宋体"/>
          <w:sz w:val="24"/>
          <w:szCs w:val="28"/>
        </w:rPr>
        <w:t>填写时应注意以下事项：</w:t>
      </w:r>
    </w:p>
    <w:p w14:paraId="2FD53898">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1.从业人员、营业收入、资产总额填报上一年度数据，无上一年度数据的新成立企业可不填报。</w:t>
      </w:r>
    </w:p>
    <w:p w14:paraId="1050E039">
      <w:pPr>
        <w:tabs>
          <w:tab w:val="left" w:pos="6300"/>
        </w:tabs>
        <w:snapToGrid w:val="0"/>
        <w:ind w:firstLine="442" w:firstLineChars="200"/>
        <w:rPr>
          <w:rFonts w:ascii="宋体" w:hAnsi="宋体" w:eastAsia="宋体" w:cs="宋体"/>
          <w:b/>
          <w:kern w:val="0"/>
          <w:sz w:val="22"/>
          <w:szCs w:val="22"/>
        </w:rPr>
      </w:pPr>
      <w:r>
        <w:rPr>
          <w:rFonts w:hint="eastAsia" w:ascii="宋体" w:hAnsi="宋体" w:eastAsia="宋体" w:cs="宋体"/>
          <w:b/>
          <w:kern w:val="0"/>
          <w:sz w:val="22"/>
          <w:szCs w:val="22"/>
        </w:rPr>
        <w:t>2.中小企业应当按照《中小企业划型标准规定》（工信部联企业〔2011〕300号），如实填写并提交《中小企业声明函》。</w:t>
      </w:r>
    </w:p>
    <w:p w14:paraId="3B22558D">
      <w:pPr>
        <w:tabs>
          <w:tab w:val="left" w:pos="6300"/>
        </w:tabs>
        <w:snapToGrid w:val="0"/>
        <w:ind w:firstLine="442" w:firstLineChars="200"/>
        <w:rPr>
          <w:rFonts w:ascii="宋体" w:hAnsi="宋体" w:eastAsia="宋体" w:cs="宋体"/>
          <w:b/>
          <w:kern w:val="0"/>
          <w:sz w:val="22"/>
          <w:szCs w:val="22"/>
        </w:rPr>
      </w:pPr>
      <w:r>
        <w:rPr>
          <w:rFonts w:hint="eastAsia" w:ascii="宋体" w:hAnsi="宋体" w:eastAsia="宋体" w:cs="宋体"/>
          <w:b/>
          <w:kern w:val="0"/>
          <w:sz w:val="22"/>
          <w:szCs w:val="22"/>
        </w:rPr>
        <w:t>3.供应商填写《中小企业声明函》中所属行业时，应与采购文件第一篇“采购标的对应的中小企业划分标准所属行业”中填写的所属行业一致。</w:t>
      </w:r>
    </w:p>
    <w:p w14:paraId="37782CC5">
      <w:pPr>
        <w:tabs>
          <w:tab w:val="left" w:pos="6300"/>
        </w:tabs>
        <w:snapToGrid w:val="0"/>
        <w:ind w:firstLine="442" w:firstLineChars="200"/>
        <w:rPr>
          <w:rFonts w:ascii="宋体" w:hAnsi="宋体" w:eastAsia="宋体" w:cs="宋体"/>
          <w:b/>
          <w:kern w:val="0"/>
          <w:sz w:val="22"/>
          <w:szCs w:val="22"/>
        </w:rPr>
      </w:pPr>
      <w:r>
        <w:rPr>
          <w:rFonts w:hint="eastAsia" w:ascii="宋体" w:hAnsi="宋体" w:eastAsia="宋体" w:cs="宋体"/>
          <w:b/>
          <w:kern w:val="0"/>
          <w:sz w:val="22"/>
          <w:szCs w:val="22"/>
        </w:rPr>
        <w:t>4.本声明函“企业名称（盖章）”处为供应商盖章。</w:t>
      </w:r>
    </w:p>
    <w:p w14:paraId="4C6B215D">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注：各行业划型标准：</w:t>
      </w:r>
    </w:p>
    <w:p w14:paraId="507CC97B">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（一）农、林、牧、渔业。营业收入20000万元以下的为中小微型企业。其中，营业收入500万元及以上的为中型企业，营业收入50万元及以上的为小型企业，营业收入50万元以下的为微型企业。</w:t>
      </w:r>
    </w:p>
    <w:p w14:paraId="6ABC9C73">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二）工业。从业人员1000人以下或营业收入40000万元以下的为中小微型企业。其中，从业人员300人及以上，且营业收入2000万元及以上的为中型企业；从业人员20人及以上，且营业收入300万元及以上的为小型企业；从业人员20人以下或营业收入300万元以下的为微型企业。</w:t>
      </w:r>
    </w:p>
    <w:p w14:paraId="5549F3AE">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三）建筑业。营业收入80000万元以下或资产总额80000万元以下的为中小微型企业。其中，营业收入6000万元及以上，且资产总额5000万元及以上的为中型企业；营业收入300万元及以上，且资产总额300万元及以上的为小型企业；营业收入300万元以下或资产总额300万元以下的为微型企业。</w:t>
      </w:r>
    </w:p>
    <w:p w14:paraId="10F03838">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四）批发业。从业人员200人以下或营业收入40000万元以下的为中小微型企业。其中，从业人员20人及以上，且营业收入5000万元及以上的为中型企业；从业人员5人及以上，且营业收入1000万元及以上的为小型企业；从业人员5人以下或营业收入1000万元以下的为微型企业。</w:t>
      </w:r>
    </w:p>
    <w:p w14:paraId="53BE3A6B">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五）零售业。从业人员300人以下或营业收入20000万元以下的为中小微型企业。其中，从业人员50人及以上，且营业收入500万元及以上的为中型企业；从业人员10人及以上，且营业收入100万元及以上的为小型企业；从业人员10人以下或营业收入100万元以下的为微型企业。</w:t>
      </w:r>
    </w:p>
    <w:p w14:paraId="5040BD91">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六）交通运输业。从业人员1000人以下或营业收入30000万元以下的为中小微型企业。其中，从业人员300人及以上，且营业收入3000万元及以上的为中型企业；从业人员20人及以上，且营业收入200万元及以上的为小型企业；从业人员20人以下或营业收入200万元以下的为微型企业。</w:t>
      </w:r>
    </w:p>
    <w:p w14:paraId="2632D9DF">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七）仓储业。从业人员200人以下或营业收入30000万元以下的为中小微型企业。其中，从业人员100人及以上，且营业收入1000万元及以上的为中型企业；从业人员20人及以上，且营业收入100万元及以上的为小型企业；从业人员20人以下或营业收入100万元以下的为微型企业。</w:t>
      </w:r>
    </w:p>
    <w:p w14:paraId="7DD2F871">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八）邮政业。从业人员1000人以下或营业收入30000万元以下的为中小微型企业。其中，从业人员300人及以上，且营业收入2000万元及以上的为中型企业；从业人员20人及以上，且营业收入100万元及以上的为小型企业；从业人员20人以下或营业收入100万元以下的为微型企业。</w:t>
      </w:r>
    </w:p>
    <w:p w14:paraId="0360A828">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九）住宿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7C30C08D">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餐饮业。从业人员300人以下或营业收入10000万元以下的为中小微型企业。其中，从业人员100人及以上，且营业收入2000万元及以上的为中型企业；从业人员10人及以上，且营业收入100万元及以上的为小型企业；从业人员10人以下或营业收入100万元以下的为微型企业。</w:t>
      </w:r>
    </w:p>
    <w:p w14:paraId="265A823E">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一）信息传输业。从业人员2000人以下或营业收入100000万元以下的为中小微型企业。其中，从业人员100人及以上，且营业收入1000万元及以上的为中型企业；从业人员10人及以上，且营业收入100万元及以上的为小型企业；从业人员10人以下或营业收入100万元以下的为微型企业。</w:t>
      </w:r>
    </w:p>
    <w:p w14:paraId="7942BDED">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二）软件和信息技术服务业。从业人员300人以下或营业收入10000万元以下的为中小微型企业。其中，从业人员100人及以上，且营业收入1000万元及以上的为中型企业；从业人员10人及以上，且营业收入50万元及以上的为小型企业；从业人员10人以下或营业收入50万元以下的为微型企业。</w:t>
      </w:r>
    </w:p>
    <w:p w14:paraId="54E74170">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三）房地产开发经营。营业收入200000万元以下或资产总额10000万元以下的为中小微型企业。其中，营业收入1000万元及以上，且资产总额5000万元及以上的为中型企业；营业收入100万元及以上，且资产总额2000万元及以上的为小型企业；营业收入100万元以下或资产总额2000万元以下的为微型企业。</w:t>
      </w:r>
    </w:p>
    <w:p w14:paraId="269EE8C2">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四）物业管理。从业人员1000人以下或营业收入5000万元以下的为中小微型企业。其中，从业人员300人及以上，且营业收入1000万元及以上的为中型企业；从业人员100人及以上，且营业收入500万元及以上的为小型企业；从业人员100人以下或营业收入500万元以下的为微型企业。</w:t>
      </w:r>
    </w:p>
    <w:p w14:paraId="309D685A">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五）租赁和商务服务业。从业人员300人以下或资产总额120000万元以下的为中小微型企业。其中，从业人员100人及以上，且资产总额8000万元及以上的为中型企业；从业人员10人及以上，且资产总额100万元及以上的为小型企业；从业人员10人以下或资产总额100万元以下的为微型企业。</w:t>
      </w:r>
    </w:p>
    <w:p w14:paraId="69AF175B">
      <w:pPr>
        <w:tabs>
          <w:tab w:val="left" w:pos="6300"/>
        </w:tabs>
        <w:snapToGrid w:val="0"/>
        <w:ind w:firstLine="440" w:firstLineChars="200"/>
        <w:rPr>
          <w:rFonts w:ascii="宋体" w:hAnsi="宋体" w:eastAsia="宋体" w:cs="宋体"/>
          <w:kern w:val="0"/>
          <w:sz w:val="22"/>
          <w:szCs w:val="22"/>
        </w:rPr>
      </w:pPr>
      <w:r>
        <w:rPr>
          <w:rFonts w:hint="eastAsia" w:ascii="宋体" w:hAnsi="宋体" w:eastAsia="宋体" w:cs="宋体"/>
          <w:kern w:val="0"/>
          <w:sz w:val="22"/>
          <w:szCs w:val="22"/>
        </w:rPr>
        <w:t>（十六）其他未列明行业。从业人员300人以下的为中小微型企业。其中，从业人员100人及以上的为中型企业；从业人员10人及以上的为小型企业；从业人员10人以下的为微型企业。</w:t>
      </w:r>
    </w:p>
    <w:p w14:paraId="285FF24E">
      <w:pPr>
        <w:tabs>
          <w:tab w:val="left" w:pos="6300"/>
        </w:tabs>
        <w:snapToGrid w:val="0"/>
        <w:spacing w:line="500" w:lineRule="exact"/>
        <w:ind w:firstLine="640" w:firstLineChars="200"/>
        <w:jc w:val="center"/>
        <w:rPr>
          <w:rFonts w:ascii="宋体" w:hAnsi="宋体" w:eastAsia="宋体" w:cs="宋体"/>
          <w:sz w:val="24"/>
          <w:szCs w:val="24"/>
        </w:rPr>
      </w:pPr>
      <w:r>
        <w:rPr>
          <w:rFonts w:hint="eastAsia" w:ascii="宋体" w:hAnsi="宋体" w:eastAsia="宋体" w:cs="宋体"/>
          <w:sz w:val="32"/>
          <w:szCs w:val="21"/>
        </w:rPr>
        <w:br w:type="page"/>
      </w:r>
      <w:r>
        <w:rPr>
          <w:rFonts w:hint="eastAsia" w:ascii="宋体" w:hAnsi="宋体" w:eastAsia="宋体" w:cs="宋体"/>
          <w:sz w:val="24"/>
          <w:szCs w:val="24"/>
        </w:rPr>
        <w:t>监狱企业证明文件</w:t>
      </w:r>
    </w:p>
    <w:p w14:paraId="711237E2">
      <w:pPr>
        <w:tabs>
          <w:tab w:val="left" w:pos="6300"/>
        </w:tabs>
        <w:snapToGrid w:val="0"/>
        <w:spacing w:line="400" w:lineRule="exact"/>
        <w:ind w:firstLine="480" w:firstLineChars="200"/>
        <w:jc w:val="left"/>
        <w:rPr>
          <w:rFonts w:ascii="宋体" w:hAnsi="宋体" w:eastAsia="宋体" w:cs="宋体"/>
          <w:sz w:val="24"/>
          <w:szCs w:val="24"/>
        </w:rPr>
      </w:pPr>
      <w:r>
        <w:rPr>
          <w:rFonts w:hint="eastAsia" w:ascii="宋体" w:hAnsi="宋体" w:eastAsia="宋体" w:cs="宋体"/>
          <w:sz w:val="24"/>
          <w:szCs w:val="24"/>
        </w:rPr>
        <w:t>以省级以上监狱管理局、戒毒管理局（含新疆生产建设兵团）出具的属于监狱企业的证明文件为准。</w:t>
      </w:r>
    </w:p>
    <w:p w14:paraId="12543164">
      <w:pPr>
        <w:tabs>
          <w:tab w:val="left" w:pos="6300"/>
        </w:tabs>
        <w:snapToGrid w:val="0"/>
        <w:spacing w:line="400" w:lineRule="exact"/>
        <w:ind w:firstLine="560" w:firstLineChars="200"/>
        <w:jc w:val="center"/>
        <w:rPr>
          <w:rFonts w:ascii="宋体" w:hAnsi="宋体" w:eastAsia="宋体" w:cs="宋体"/>
          <w:sz w:val="24"/>
        </w:rPr>
      </w:pPr>
      <w:r>
        <w:rPr>
          <w:rFonts w:hint="eastAsia" w:ascii="宋体" w:hAnsi="宋体" w:eastAsia="宋体" w:cs="宋体"/>
        </w:rPr>
        <w:br w:type="page"/>
      </w:r>
      <w:r>
        <w:rPr>
          <w:rFonts w:hint="eastAsia" w:ascii="宋体" w:hAnsi="宋体" w:eastAsia="宋体" w:cs="宋体"/>
          <w:sz w:val="24"/>
        </w:rPr>
        <w:t>残疾人福利性单位声明函</w:t>
      </w:r>
    </w:p>
    <w:p w14:paraId="691083A5">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本单位郑重声明，根据《财政部 民政部 中国残疾人联合会关于促进残疾人就业政府采购政策的通知》（财库〔2017〕 141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2BF2D046">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本单位对上述声明的真实性负责。如有虚假，将依法承担相应责任。</w:t>
      </w:r>
    </w:p>
    <w:p w14:paraId="3A0FF364">
      <w:pPr>
        <w:tabs>
          <w:tab w:val="left" w:pos="6300"/>
        </w:tabs>
        <w:snapToGrid w:val="0"/>
        <w:spacing w:line="500" w:lineRule="exact"/>
        <w:ind w:firstLine="480" w:firstLineChars="200"/>
        <w:rPr>
          <w:rFonts w:ascii="宋体" w:hAnsi="宋体" w:eastAsia="宋体" w:cs="宋体"/>
          <w:sz w:val="24"/>
        </w:rPr>
      </w:pPr>
    </w:p>
    <w:p w14:paraId="1D8EAD8B">
      <w:pPr>
        <w:tabs>
          <w:tab w:val="left" w:pos="6300"/>
        </w:tabs>
        <w:snapToGrid w:val="0"/>
        <w:spacing w:line="500" w:lineRule="exact"/>
        <w:ind w:firstLine="480" w:firstLineChars="200"/>
        <w:rPr>
          <w:rFonts w:ascii="宋体" w:hAnsi="宋体" w:eastAsia="宋体" w:cs="宋体"/>
          <w:sz w:val="24"/>
        </w:rPr>
      </w:pPr>
    </w:p>
    <w:p w14:paraId="32381626">
      <w:pPr>
        <w:tabs>
          <w:tab w:val="left" w:pos="6300"/>
        </w:tabs>
        <w:snapToGrid w:val="0"/>
        <w:spacing w:line="500" w:lineRule="exact"/>
        <w:ind w:firstLine="480" w:firstLineChars="200"/>
        <w:rPr>
          <w:rFonts w:ascii="宋体" w:hAnsi="宋体" w:eastAsia="宋体" w:cs="宋体"/>
          <w:sz w:val="24"/>
        </w:rPr>
      </w:pPr>
    </w:p>
    <w:p w14:paraId="7114376A">
      <w:pPr>
        <w:tabs>
          <w:tab w:val="left" w:pos="6300"/>
        </w:tabs>
        <w:snapToGrid w:val="0"/>
        <w:spacing w:line="500" w:lineRule="exact"/>
        <w:ind w:firstLine="480" w:firstLineChars="200"/>
        <w:rPr>
          <w:rFonts w:ascii="宋体" w:hAnsi="宋体" w:eastAsia="宋体" w:cs="宋体"/>
          <w:sz w:val="24"/>
        </w:rPr>
      </w:pPr>
    </w:p>
    <w:p w14:paraId="32F80A04">
      <w:pPr>
        <w:tabs>
          <w:tab w:val="left" w:pos="6300"/>
        </w:tabs>
        <w:snapToGrid w:val="0"/>
        <w:spacing w:line="500" w:lineRule="exact"/>
        <w:ind w:firstLine="480" w:firstLineChars="200"/>
        <w:rPr>
          <w:rFonts w:ascii="宋体" w:hAnsi="宋体" w:eastAsia="宋体" w:cs="宋体"/>
          <w:sz w:val="24"/>
        </w:rPr>
      </w:pPr>
      <w:r>
        <w:rPr>
          <w:rFonts w:hint="eastAsia" w:ascii="宋体" w:hAnsi="宋体" w:eastAsia="宋体" w:cs="宋体"/>
          <w:sz w:val="24"/>
        </w:rPr>
        <w:t xml:space="preserve">                                                 供应商名称（盖章）：</w:t>
      </w:r>
    </w:p>
    <w:p w14:paraId="0FF5B5C8">
      <w:pPr>
        <w:tabs>
          <w:tab w:val="left" w:pos="6300"/>
        </w:tabs>
        <w:snapToGrid w:val="0"/>
        <w:spacing w:line="500" w:lineRule="exact"/>
        <w:ind w:firstLine="570"/>
        <w:jc w:val="left"/>
        <w:rPr>
          <w:rFonts w:ascii="宋体" w:hAnsi="宋体" w:eastAsia="宋体" w:cs="宋体"/>
          <w:sz w:val="24"/>
        </w:rPr>
      </w:pPr>
      <w:r>
        <w:rPr>
          <w:rFonts w:hint="eastAsia" w:ascii="宋体" w:hAnsi="宋体" w:eastAsia="宋体" w:cs="宋体"/>
          <w:sz w:val="24"/>
        </w:rPr>
        <w:t xml:space="preserve">                                                  日  期：</w:t>
      </w:r>
    </w:p>
    <w:p w14:paraId="3978BE49">
      <w:pPr>
        <w:tabs>
          <w:tab w:val="left" w:pos="6300"/>
        </w:tabs>
        <w:snapToGrid w:val="0"/>
        <w:spacing w:line="500" w:lineRule="exact"/>
        <w:ind w:firstLine="570"/>
        <w:jc w:val="left"/>
        <w:rPr>
          <w:rFonts w:ascii="宋体" w:hAnsi="宋体" w:eastAsia="宋体" w:cs="宋体"/>
          <w:sz w:val="24"/>
        </w:rPr>
      </w:pPr>
    </w:p>
    <w:p w14:paraId="4C1CE85A">
      <w:pPr>
        <w:tabs>
          <w:tab w:val="left" w:pos="6300"/>
        </w:tabs>
        <w:snapToGrid w:val="0"/>
        <w:spacing w:line="500" w:lineRule="exact"/>
        <w:ind w:firstLine="570"/>
        <w:jc w:val="left"/>
        <w:rPr>
          <w:rFonts w:ascii="宋体" w:hAnsi="宋体" w:eastAsia="宋体" w:cs="宋体"/>
          <w:sz w:val="24"/>
        </w:rPr>
      </w:pPr>
    </w:p>
    <w:p w14:paraId="4A897747">
      <w:pPr>
        <w:tabs>
          <w:tab w:val="left" w:pos="6300"/>
        </w:tabs>
        <w:snapToGrid w:val="0"/>
        <w:spacing w:line="500" w:lineRule="exact"/>
        <w:ind w:firstLine="570"/>
        <w:jc w:val="left"/>
        <w:rPr>
          <w:rFonts w:ascii="宋体" w:hAnsi="宋体" w:eastAsia="宋体" w:cs="宋体"/>
          <w:sz w:val="24"/>
        </w:rPr>
      </w:pPr>
    </w:p>
    <w:p w14:paraId="35A5A4E2">
      <w:pPr>
        <w:tabs>
          <w:tab w:val="left" w:pos="6300"/>
        </w:tabs>
        <w:snapToGrid w:val="0"/>
        <w:spacing w:line="500" w:lineRule="exact"/>
        <w:ind w:firstLine="570"/>
        <w:jc w:val="left"/>
        <w:rPr>
          <w:rFonts w:ascii="宋体" w:hAnsi="宋体" w:eastAsia="宋体" w:cs="宋体"/>
          <w:sz w:val="24"/>
        </w:rPr>
      </w:pPr>
    </w:p>
    <w:p w14:paraId="6BCF0EA5">
      <w:pPr>
        <w:tabs>
          <w:tab w:val="left" w:pos="6300"/>
        </w:tabs>
        <w:snapToGrid w:val="0"/>
        <w:spacing w:line="500" w:lineRule="exact"/>
        <w:ind w:firstLine="570"/>
        <w:jc w:val="left"/>
        <w:rPr>
          <w:rFonts w:ascii="宋体" w:hAnsi="宋体" w:eastAsia="宋体" w:cs="宋体"/>
          <w:sz w:val="24"/>
        </w:rPr>
      </w:pPr>
    </w:p>
    <w:p w14:paraId="3A8986D9">
      <w:pPr>
        <w:tabs>
          <w:tab w:val="left" w:pos="6300"/>
        </w:tabs>
        <w:snapToGrid w:val="0"/>
        <w:spacing w:line="500" w:lineRule="exact"/>
        <w:ind w:firstLine="570"/>
        <w:jc w:val="left"/>
        <w:rPr>
          <w:rFonts w:ascii="宋体" w:hAnsi="宋体" w:eastAsia="宋体" w:cs="宋体"/>
          <w:sz w:val="24"/>
        </w:rPr>
      </w:pPr>
    </w:p>
    <w:p w14:paraId="00DEBE9F">
      <w:pPr>
        <w:tabs>
          <w:tab w:val="left" w:pos="6300"/>
        </w:tabs>
        <w:snapToGrid w:val="0"/>
        <w:spacing w:line="500" w:lineRule="exact"/>
        <w:ind w:firstLine="570"/>
        <w:jc w:val="left"/>
        <w:rPr>
          <w:rFonts w:ascii="宋体" w:hAnsi="宋体" w:eastAsia="宋体" w:cs="宋体"/>
          <w:sz w:val="24"/>
        </w:rPr>
      </w:pPr>
    </w:p>
    <w:p w14:paraId="79C28B94">
      <w:pPr>
        <w:tabs>
          <w:tab w:val="left" w:pos="6300"/>
        </w:tabs>
        <w:snapToGrid w:val="0"/>
        <w:spacing w:line="500" w:lineRule="exact"/>
        <w:ind w:firstLine="570"/>
        <w:jc w:val="left"/>
        <w:rPr>
          <w:rFonts w:ascii="宋体" w:hAnsi="宋体" w:eastAsia="宋体" w:cs="宋体"/>
          <w:sz w:val="24"/>
        </w:rPr>
      </w:pPr>
    </w:p>
    <w:p w14:paraId="46A97ED9">
      <w:pPr>
        <w:tabs>
          <w:tab w:val="left" w:pos="6300"/>
        </w:tabs>
        <w:snapToGrid w:val="0"/>
        <w:spacing w:line="500" w:lineRule="exact"/>
        <w:ind w:firstLine="570"/>
        <w:jc w:val="left"/>
        <w:rPr>
          <w:rFonts w:ascii="宋体" w:hAnsi="宋体" w:eastAsia="宋体" w:cs="宋体"/>
          <w:sz w:val="24"/>
        </w:rPr>
      </w:pPr>
    </w:p>
    <w:p w14:paraId="4EA85C50">
      <w:pPr>
        <w:tabs>
          <w:tab w:val="left" w:pos="6300"/>
        </w:tabs>
        <w:snapToGrid w:val="0"/>
        <w:spacing w:line="500" w:lineRule="exact"/>
        <w:ind w:firstLine="570"/>
        <w:jc w:val="left"/>
        <w:rPr>
          <w:rFonts w:ascii="宋体" w:hAnsi="宋体" w:eastAsia="宋体" w:cs="宋体"/>
          <w:sz w:val="24"/>
        </w:rPr>
      </w:pPr>
    </w:p>
    <w:p w14:paraId="3814D8F5">
      <w:pPr>
        <w:tabs>
          <w:tab w:val="left" w:pos="6300"/>
        </w:tabs>
        <w:snapToGrid w:val="0"/>
        <w:spacing w:line="500" w:lineRule="exact"/>
        <w:ind w:firstLine="570"/>
        <w:jc w:val="left"/>
        <w:rPr>
          <w:rFonts w:ascii="宋体" w:hAnsi="宋体" w:eastAsia="宋体" w:cs="宋体"/>
          <w:sz w:val="24"/>
        </w:rPr>
      </w:pPr>
    </w:p>
    <w:p w14:paraId="06AA5222">
      <w:pPr>
        <w:tabs>
          <w:tab w:val="left" w:pos="6300"/>
        </w:tabs>
        <w:snapToGrid w:val="0"/>
        <w:spacing w:line="500" w:lineRule="exact"/>
        <w:ind w:firstLine="570"/>
        <w:jc w:val="left"/>
        <w:rPr>
          <w:rFonts w:ascii="宋体" w:hAnsi="宋体" w:eastAsia="宋体" w:cs="宋体"/>
        </w:rPr>
      </w:pPr>
      <w:r>
        <w:rPr>
          <w:rFonts w:hint="eastAsia" w:ascii="宋体" w:hAnsi="宋体" w:eastAsia="宋体" w:cs="宋体"/>
          <w:kern w:val="0"/>
          <w:sz w:val="24"/>
        </w:rPr>
        <w:t>若成交供应商为残疾人福利性单位的，将在结果公告时公告其《残疾人福利性单位声明函》。</w:t>
      </w:r>
    </w:p>
    <w:p w14:paraId="5413678A">
      <w:pPr>
        <w:widowControl/>
        <w:spacing w:line="400" w:lineRule="exact"/>
        <w:ind w:firstLine="560" w:firstLineChars="200"/>
        <w:jc w:val="left"/>
        <w:outlineLvl w:val="2"/>
        <w:rPr>
          <w:rFonts w:ascii="宋体" w:hAnsi="宋体" w:eastAsia="宋体" w:cs="宋体"/>
          <w:sz w:val="24"/>
          <w:szCs w:val="24"/>
        </w:rPr>
      </w:pPr>
      <w:r>
        <w:rPr>
          <w:rFonts w:hint="eastAsia" w:ascii="宋体" w:hAnsi="宋体" w:eastAsia="宋体" w:cs="宋体"/>
        </w:rPr>
        <w:br w:type="page"/>
      </w:r>
      <w:bookmarkStart w:id="425" w:name="_Toc26891"/>
      <w:bookmarkStart w:id="426" w:name="_Toc14599"/>
      <w:bookmarkStart w:id="427" w:name="_Toc132634095"/>
      <w:r>
        <w:rPr>
          <w:rFonts w:hint="eastAsia" w:ascii="宋体" w:hAnsi="宋体" w:eastAsia="宋体" w:cs="宋体"/>
          <w:sz w:val="24"/>
          <w:szCs w:val="24"/>
        </w:rPr>
        <w:t>（二）其他与项目有关的资料（自附）</w:t>
      </w:r>
      <w:bookmarkEnd w:id="425"/>
      <w:bookmarkEnd w:id="426"/>
      <w:bookmarkEnd w:id="427"/>
    </w:p>
    <w:p w14:paraId="72BD959E">
      <w:pPr>
        <w:spacing w:line="360" w:lineRule="auto"/>
        <w:ind w:firstLine="480" w:firstLineChars="200"/>
        <w:rPr>
          <w:rFonts w:ascii="宋体" w:hAnsi="宋体" w:eastAsia="宋体" w:cs="宋体"/>
          <w:sz w:val="24"/>
          <w:szCs w:val="24"/>
        </w:rPr>
      </w:pPr>
    </w:p>
    <w:p w14:paraId="5DE1CF3E">
      <w:pPr>
        <w:spacing w:line="360" w:lineRule="auto"/>
        <w:ind w:firstLine="480" w:firstLineChars="200"/>
        <w:jc w:val="center"/>
        <w:rPr>
          <w:rFonts w:ascii="宋体" w:hAnsi="宋体" w:eastAsia="宋体" w:cs="宋体"/>
          <w:sz w:val="24"/>
          <w:szCs w:val="24"/>
        </w:rPr>
      </w:pPr>
    </w:p>
    <w:p w14:paraId="4AB2698B">
      <w:pPr>
        <w:spacing w:line="360" w:lineRule="auto"/>
        <w:rPr>
          <w:rFonts w:ascii="宋体" w:hAnsi="宋体" w:eastAsia="宋体" w:cs="宋体"/>
          <w:sz w:val="24"/>
          <w:szCs w:val="24"/>
        </w:rPr>
      </w:pPr>
    </w:p>
    <w:p w14:paraId="2F42EAC3">
      <w:pPr>
        <w:spacing w:line="360" w:lineRule="auto"/>
        <w:ind w:firstLine="480" w:firstLineChars="200"/>
        <w:jc w:val="center"/>
        <w:rPr>
          <w:rFonts w:ascii="宋体" w:hAnsi="宋体" w:eastAsia="宋体" w:cs="宋体"/>
          <w:sz w:val="24"/>
          <w:szCs w:val="24"/>
        </w:rPr>
      </w:pPr>
    </w:p>
    <w:p w14:paraId="74B427DC">
      <w:pPr>
        <w:spacing w:line="360" w:lineRule="auto"/>
        <w:ind w:firstLine="480" w:firstLineChars="200"/>
        <w:jc w:val="center"/>
        <w:rPr>
          <w:rFonts w:ascii="宋体" w:hAnsi="宋体" w:eastAsia="宋体" w:cs="宋体"/>
          <w:sz w:val="24"/>
          <w:szCs w:val="24"/>
        </w:rPr>
      </w:pPr>
      <w:r>
        <w:rPr>
          <w:rFonts w:hint="eastAsia" w:ascii="宋体" w:hAnsi="宋体" w:eastAsia="宋体" w:cs="宋体"/>
          <w:sz w:val="24"/>
          <w:szCs w:val="24"/>
        </w:rPr>
        <w:t>（结束）</w:t>
      </w:r>
    </w:p>
    <w:p w14:paraId="77207C47">
      <w:pPr>
        <w:pStyle w:val="22"/>
        <w:ind w:left="1600" w:hanging="480"/>
        <w:rPr>
          <w:rFonts w:ascii="宋体" w:hAnsi="宋体" w:eastAsia="宋体" w:cs="宋体"/>
        </w:rPr>
      </w:pPr>
    </w:p>
    <w:p w14:paraId="4A35FF92">
      <w:pPr>
        <w:spacing w:line="360" w:lineRule="auto"/>
        <w:ind w:firstLine="480" w:firstLineChars="200"/>
        <w:rPr>
          <w:rFonts w:ascii="宋体" w:hAnsi="宋体" w:eastAsia="宋体" w:cs="宋体"/>
          <w:sz w:val="24"/>
          <w:szCs w:val="24"/>
        </w:rPr>
      </w:pPr>
    </w:p>
    <w:p w14:paraId="2E7CDC3E"/>
    <w:p w14:paraId="09CF659F"/>
    <w:p w14:paraId="0084A585">
      <w:pPr>
        <w:rPr>
          <w:rFonts w:ascii="宋体" w:hAnsi="宋体" w:eastAsia="宋体" w:cs="宋体"/>
          <w:sz w:val="24"/>
          <w:szCs w:val="24"/>
        </w:rPr>
      </w:pPr>
    </w:p>
    <w:p w14:paraId="514E05B0"/>
    <w:p w14:paraId="2EC50A62"/>
    <w:p w14:paraId="2A1D6AEE"/>
    <w:p w14:paraId="7436AFEE">
      <w:pPr>
        <w:rPr>
          <w:rFonts w:ascii="宋体" w:hAnsi="宋体" w:eastAsia="宋体" w:cs="宋体"/>
        </w:rPr>
      </w:pPr>
    </w:p>
    <w:p w14:paraId="329AB4F5">
      <w:pPr>
        <w:rPr>
          <w:rFonts w:ascii="宋体" w:hAnsi="宋体" w:eastAsia="宋体" w:cs="宋体"/>
        </w:rPr>
      </w:pPr>
    </w:p>
    <w:p w14:paraId="616E9FE6">
      <w:pPr>
        <w:rPr>
          <w:rFonts w:ascii="宋体" w:hAnsi="宋体" w:eastAsia="宋体" w:cs="宋体"/>
        </w:rPr>
      </w:pPr>
    </w:p>
    <w:p w14:paraId="5C2C63D2">
      <w:pPr>
        <w:rPr>
          <w:rFonts w:ascii="宋体" w:hAnsi="宋体" w:eastAsia="宋体" w:cs="宋体"/>
        </w:rPr>
      </w:pPr>
    </w:p>
    <w:p w14:paraId="2292F99F">
      <w:pPr>
        <w:rPr>
          <w:rFonts w:ascii="宋体" w:hAnsi="宋体" w:eastAsia="宋体" w:cs="宋体"/>
        </w:rPr>
      </w:pPr>
    </w:p>
    <w:p w14:paraId="51528138">
      <w:pPr>
        <w:rPr>
          <w:rFonts w:ascii="宋体" w:hAnsi="宋体" w:eastAsia="宋体" w:cs="宋体"/>
        </w:rPr>
      </w:pPr>
    </w:p>
    <w:p w14:paraId="2B8410C9">
      <w:pPr>
        <w:rPr>
          <w:rFonts w:ascii="宋体" w:hAnsi="宋体" w:eastAsia="宋体" w:cs="宋体"/>
        </w:rPr>
      </w:pPr>
    </w:p>
    <w:p w14:paraId="11311CCD">
      <w:pPr>
        <w:rPr>
          <w:rFonts w:ascii="宋体" w:hAnsi="宋体" w:eastAsia="宋体" w:cs="宋体"/>
        </w:rPr>
      </w:pPr>
    </w:p>
    <w:p w14:paraId="188B559D">
      <w:pPr>
        <w:rPr>
          <w:rFonts w:ascii="宋体" w:hAnsi="宋体" w:eastAsia="宋体" w:cs="宋体"/>
        </w:rPr>
      </w:pPr>
    </w:p>
    <w:p w14:paraId="7668B524">
      <w:pPr>
        <w:pStyle w:val="44"/>
        <w:ind w:left="0" w:leftChars="0"/>
        <w:rPr>
          <w:rFonts w:ascii="宋体" w:hAnsi="宋体" w:eastAsia="宋体" w:cs="宋体"/>
        </w:rPr>
      </w:pPr>
    </w:p>
    <w:p w14:paraId="5946FD15">
      <w:pPr>
        <w:jc w:val="center"/>
        <w:outlineLvl w:val="0"/>
        <w:rPr>
          <w:rFonts w:ascii="宋体" w:hAnsi="宋体" w:eastAsia="宋体" w:cs="宋体"/>
          <w:bCs/>
          <w:szCs w:val="32"/>
        </w:rPr>
      </w:pPr>
      <w:r>
        <w:rPr>
          <w:rFonts w:hint="eastAsia" w:ascii="宋体" w:hAnsi="宋体" w:eastAsia="宋体" w:cs="宋体"/>
        </w:rPr>
        <w:br w:type="page"/>
      </w:r>
      <w:bookmarkStart w:id="428" w:name="_Toc16915"/>
      <w:bookmarkStart w:id="429" w:name="_Toc4393"/>
      <w:bookmarkStart w:id="430" w:name="_Toc30694"/>
      <w:bookmarkStart w:id="431" w:name="_Toc32264"/>
      <w:bookmarkStart w:id="432" w:name="_Toc21978"/>
      <w:r>
        <w:rPr>
          <w:rFonts w:hint="eastAsia" w:ascii="宋体" w:hAnsi="宋体" w:eastAsia="宋体" w:cs="宋体"/>
          <w:b/>
          <w:sz w:val="32"/>
          <w:szCs w:val="32"/>
        </w:rPr>
        <w:t>附件1 投标人信息卡</w:t>
      </w:r>
      <w:bookmarkEnd w:id="428"/>
      <w:bookmarkEnd w:id="429"/>
      <w:bookmarkEnd w:id="430"/>
      <w:bookmarkEnd w:id="431"/>
      <w:bookmarkEnd w:id="432"/>
    </w:p>
    <w:p w14:paraId="0ED828B5">
      <w:pPr>
        <w:pStyle w:val="151"/>
        <w:spacing w:line="860" w:lineRule="exact"/>
        <w:ind w:firstLine="480" w:firstLineChars="200"/>
        <w:rPr>
          <w:rFonts w:ascii="宋体" w:eastAsia="宋体" w:cs="宋体"/>
          <w:szCs w:val="24"/>
        </w:rPr>
      </w:pPr>
      <w:r>
        <w:rPr>
          <w:rFonts w:hint="eastAsia" w:ascii="宋体" w:eastAsia="宋体" w:cs="宋体"/>
          <w:szCs w:val="24"/>
        </w:rPr>
        <w:t>项目名称：</w:t>
      </w:r>
    </w:p>
    <w:p w14:paraId="7024A665">
      <w:pPr>
        <w:spacing w:line="860" w:lineRule="exact"/>
        <w:ind w:right="561" w:firstLine="480" w:firstLineChars="200"/>
        <w:rPr>
          <w:rFonts w:ascii="宋体" w:hAnsi="宋体" w:eastAsia="宋体" w:cs="宋体"/>
          <w:sz w:val="24"/>
          <w:szCs w:val="24"/>
        </w:rPr>
      </w:pPr>
      <w:r>
        <w:rPr>
          <w:rFonts w:hint="eastAsia" w:ascii="宋体" w:hAnsi="宋体" w:eastAsia="宋体" w:cs="宋体"/>
          <w:sz w:val="24"/>
          <w:szCs w:val="24"/>
        </w:rPr>
        <w:t>项目编号：</w:t>
      </w:r>
    </w:p>
    <w:p w14:paraId="4AFAD985">
      <w:pPr>
        <w:spacing w:line="860" w:lineRule="exact"/>
        <w:ind w:right="561" w:firstLine="480" w:firstLineChars="200"/>
        <w:rPr>
          <w:rFonts w:ascii="宋体" w:hAnsi="宋体" w:eastAsia="宋体" w:cs="宋体"/>
          <w:sz w:val="24"/>
          <w:szCs w:val="24"/>
        </w:rPr>
      </w:pPr>
      <w:r>
        <w:rPr>
          <w:rFonts w:hint="eastAsia" w:ascii="宋体" w:hAnsi="宋体" w:eastAsia="宋体" w:cs="宋体"/>
          <w:sz w:val="24"/>
          <w:szCs w:val="24"/>
        </w:rPr>
        <w:t>投标人名称：</w:t>
      </w:r>
    </w:p>
    <w:p w14:paraId="17B83FCA">
      <w:pPr>
        <w:spacing w:line="860" w:lineRule="exact"/>
        <w:ind w:right="561" w:firstLine="480" w:firstLineChars="200"/>
        <w:rPr>
          <w:rFonts w:ascii="宋体" w:hAnsi="宋体" w:eastAsia="宋体" w:cs="宋体"/>
          <w:sz w:val="24"/>
          <w:szCs w:val="24"/>
        </w:rPr>
      </w:pPr>
      <w:r>
        <w:rPr>
          <w:rFonts w:hint="eastAsia" w:ascii="宋体" w:hAnsi="宋体" w:eastAsia="宋体" w:cs="宋体"/>
          <w:sz w:val="24"/>
          <w:szCs w:val="24"/>
        </w:rPr>
        <w:t>法定代表人：</w:t>
      </w:r>
    </w:p>
    <w:p w14:paraId="45765B97">
      <w:pPr>
        <w:spacing w:line="860" w:lineRule="exact"/>
        <w:ind w:right="561" w:firstLine="480" w:firstLineChars="200"/>
        <w:rPr>
          <w:rFonts w:ascii="宋体" w:hAnsi="宋体" w:eastAsia="宋体" w:cs="宋体"/>
          <w:sz w:val="24"/>
          <w:szCs w:val="24"/>
        </w:rPr>
      </w:pPr>
      <w:r>
        <w:rPr>
          <w:rFonts w:hint="eastAsia" w:ascii="宋体" w:hAnsi="宋体" w:eastAsia="宋体" w:cs="宋体"/>
          <w:sz w:val="24"/>
          <w:szCs w:val="24"/>
        </w:rPr>
        <w:t>联系电话：</w:t>
      </w:r>
    </w:p>
    <w:p w14:paraId="0DD228EB">
      <w:pPr>
        <w:pStyle w:val="22"/>
        <w:ind w:firstLine="480" w:firstLineChars="200"/>
        <w:rPr>
          <w:rFonts w:ascii="宋体" w:hAnsi="宋体" w:eastAsia="宋体" w:cs="宋体"/>
          <w:sz w:val="24"/>
          <w:szCs w:val="24"/>
        </w:rPr>
      </w:pPr>
    </w:p>
    <w:p w14:paraId="3860EA3B">
      <w:pPr>
        <w:pStyle w:val="22"/>
        <w:ind w:firstLine="480" w:firstLineChars="200"/>
        <w:rPr>
          <w:rFonts w:ascii="宋体" w:hAnsi="宋体" w:eastAsia="宋体" w:cs="宋体"/>
        </w:rPr>
      </w:pPr>
      <w:r>
        <w:rPr>
          <w:rFonts w:hint="eastAsia" w:ascii="宋体" w:hAnsi="宋体" w:eastAsia="宋体" w:cs="宋体"/>
          <w:sz w:val="24"/>
          <w:szCs w:val="24"/>
        </w:rPr>
        <w:t>授权代表人：</w:t>
      </w:r>
    </w:p>
    <w:p w14:paraId="70E4DA89">
      <w:pPr>
        <w:spacing w:line="860" w:lineRule="exact"/>
        <w:ind w:right="561"/>
        <w:rPr>
          <w:rFonts w:ascii="宋体" w:hAnsi="宋体" w:eastAsia="宋体" w:cs="宋体"/>
          <w:sz w:val="24"/>
          <w:szCs w:val="24"/>
        </w:rPr>
      </w:pPr>
      <w:r>
        <w:rPr>
          <w:rFonts w:hint="eastAsia" w:ascii="宋体" w:hAnsi="宋体" w:eastAsia="宋体" w:cs="宋体"/>
          <w:sz w:val="24"/>
          <w:szCs w:val="24"/>
        </w:rPr>
        <w:t xml:space="preserve">    联系电话：</w:t>
      </w:r>
    </w:p>
    <w:p w14:paraId="1D08BA49">
      <w:pPr>
        <w:pStyle w:val="238"/>
        <w:ind w:left="480" w:hanging="480"/>
        <w:rPr>
          <w:rFonts w:ascii="宋体" w:hAnsi="宋体" w:eastAsia="宋体" w:cs="宋体"/>
        </w:rPr>
      </w:pPr>
      <w:r>
        <w:rPr>
          <w:rFonts w:hint="eastAsia" w:ascii="宋体" w:hAnsi="宋体" w:eastAsia="宋体" w:cs="宋体"/>
        </w:rPr>
        <w:t xml:space="preserve">                                             </w:t>
      </w:r>
    </w:p>
    <w:p w14:paraId="1B790289">
      <w:pPr>
        <w:pStyle w:val="238"/>
        <w:ind w:left="480" w:hanging="480"/>
        <w:rPr>
          <w:rFonts w:ascii="宋体" w:hAnsi="宋体" w:eastAsia="宋体" w:cs="宋体"/>
        </w:rPr>
      </w:pPr>
    </w:p>
    <w:p w14:paraId="03967188">
      <w:pPr>
        <w:pStyle w:val="238"/>
        <w:ind w:left="480" w:hanging="480"/>
        <w:rPr>
          <w:rFonts w:ascii="宋体" w:hAnsi="宋体" w:eastAsia="宋体" w:cs="宋体"/>
        </w:rPr>
      </w:pPr>
    </w:p>
    <w:p w14:paraId="4E47849C">
      <w:pPr>
        <w:pStyle w:val="238"/>
        <w:ind w:left="480" w:hanging="480"/>
        <w:rPr>
          <w:rFonts w:ascii="宋体" w:hAnsi="宋体" w:eastAsia="宋体" w:cs="宋体"/>
        </w:rPr>
      </w:pPr>
      <w:r>
        <w:rPr>
          <w:rFonts w:hint="eastAsia" w:ascii="宋体" w:hAnsi="宋体" w:eastAsia="宋体" w:cs="宋体"/>
        </w:rPr>
        <w:t xml:space="preserve">                                              投标单位(公章):</w:t>
      </w:r>
    </w:p>
    <w:p w14:paraId="30726645">
      <w:pPr>
        <w:pStyle w:val="238"/>
        <w:ind w:left="480" w:hanging="480"/>
        <w:rPr>
          <w:rFonts w:ascii="宋体" w:hAnsi="宋体" w:eastAsia="宋体" w:cs="宋体"/>
        </w:rPr>
      </w:pPr>
      <w:r>
        <w:rPr>
          <w:rFonts w:hint="eastAsia" w:ascii="宋体" w:hAnsi="宋体" w:eastAsia="宋体" w:cs="宋体"/>
        </w:rPr>
        <w:t xml:space="preserve">                                          日期：    年    月    日</w:t>
      </w:r>
    </w:p>
    <w:p w14:paraId="4809E339">
      <w:pPr>
        <w:pStyle w:val="238"/>
        <w:ind w:left="480" w:hanging="480"/>
        <w:rPr>
          <w:rFonts w:ascii="宋体" w:hAnsi="宋体" w:eastAsia="宋体" w:cs="宋体"/>
        </w:rPr>
      </w:pPr>
    </w:p>
    <w:p w14:paraId="25DFDBAD">
      <w:pPr>
        <w:pStyle w:val="238"/>
        <w:ind w:left="480" w:hanging="480"/>
        <w:rPr>
          <w:rFonts w:ascii="宋体" w:hAnsi="宋体" w:eastAsia="宋体" w:cs="宋体"/>
        </w:rPr>
      </w:pPr>
    </w:p>
    <w:p w14:paraId="1E62AA2A">
      <w:pPr>
        <w:pStyle w:val="238"/>
        <w:ind w:left="480" w:hanging="480"/>
        <w:rPr>
          <w:rFonts w:ascii="宋体" w:hAnsi="宋体" w:eastAsia="宋体" w:cs="宋体"/>
        </w:rPr>
      </w:pPr>
    </w:p>
    <w:p w14:paraId="76D04FBA">
      <w:pPr>
        <w:ind w:left="716" w:hanging="716" w:hangingChars="297"/>
        <w:rPr>
          <w:rFonts w:ascii="宋体" w:hAnsi="宋体" w:eastAsia="宋体" w:cs="宋体"/>
          <w:b/>
          <w:sz w:val="24"/>
          <w:szCs w:val="24"/>
        </w:rPr>
      </w:pPr>
    </w:p>
    <w:p w14:paraId="2629F0A1">
      <w:pPr>
        <w:rPr>
          <w:rFonts w:ascii="宋体" w:hAnsi="宋体" w:eastAsia="宋体" w:cs="宋体"/>
          <w:b/>
          <w:color w:val="FF0000"/>
          <w:sz w:val="24"/>
          <w:szCs w:val="24"/>
        </w:rPr>
      </w:pPr>
      <w:r>
        <w:rPr>
          <w:rFonts w:hint="eastAsia" w:ascii="宋体" w:hAnsi="宋体" w:eastAsia="宋体" w:cs="宋体"/>
          <w:b/>
          <w:color w:val="FF0000"/>
          <w:sz w:val="24"/>
          <w:szCs w:val="24"/>
        </w:rPr>
        <w:t>注：该“投标人信息卡”由投标人在投标时现场递交（内容填写完整或打印并加盖公章，不得装入密封投标文件内）。</w:t>
      </w:r>
    </w:p>
    <w:p w14:paraId="59C1C7D8">
      <w:pPr>
        <w:ind w:left="716" w:hanging="716" w:hangingChars="297"/>
        <w:rPr>
          <w:rFonts w:ascii="宋体" w:hAnsi="宋体" w:eastAsia="宋体" w:cs="宋体"/>
          <w:b/>
          <w:sz w:val="24"/>
          <w:szCs w:val="24"/>
        </w:rPr>
      </w:pPr>
    </w:p>
    <w:p w14:paraId="36AB2F38">
      <w:pPr>
        <w:ind w:firstLine="480"/>
        <w:rPr>
          <w:rFonts w:ascii="宋体" w:hAnsi="宋体" w:eastAsia="宋体" w:cs="宋体"/>
          <w:sz w:val="24"/>
          <w:szCs w:val="24"/>
        </w:rPr>
      </w:pPr>
    </w:p>
    <w:p w14:paraId="405BCA53">
      <w:pPr>
        <w:pStyle w:val="259"/>
        <w:jc w:val="center"/>
        <w:outlineLvl w:val="9"/>
        <w:rPr>
          <w:rFonts w:ascii="宋体" w:hAnsi="宋体" w:eastAsia="宋体" w:cs="宋体"/>
          <w:b w:val="0"/>
          <w:szCs w:val="24"/>
        </w:rPr>
      </w:pPr>
      <w:r>
        <w:rPr>
          <w:rFonts w:hint="eastAsia" w:ascii="宋体" w:hAnsi="宋体" w:eastAsia="宋体" w:cs="宋体"/>
          <w:b w:val="0"/>
          <w:szCs w:val="24"/>
        </w:rPr>
        <w:br w:type="page"/>
      </w:r>
    </w:p>
    <w:p w14:paraId="0CE3E49B">
      <w:pPr>
        <w:pStyle w:val="259"/>
        <w:ind w:left="585" w:leftChars="209" w:firstLine="141" w:firstLineChars="50"/>
        <w:jc w:val="both"/>
        <w:outlineLvl w:val="0"/>
        <w:rPr>
          <w:rFonts w:ascii="宋体" w:hAnsi="宋体" w:eastAsia="宋体" w:cs="宋体"/>
          <w:b w:val="0"/>
          <w:bCs/>
          <w:sz w:val="28"/>
          <w:szCs w:val="28"/>
        </w:rPr>
      </w:pPr>
      <w:bookmarkStart w:id="433" w:name="_Toc24142"/>
      <w:bookmarkStart w:id="434" w:name="_Toc24805"/>
      <w:bookmarkStart w:id="435" w:name="_Toc13631"/>
      <w:bookmarkStart w:id="436" w:name="_Toc24788"/>
      <w:bookmarkStart w:id="437" w:name="_Toc31286"/>
      <w:r>
        <w:rPr>
          <w:rFonts w:hint="eastAsia" w:ascii="宋体" w:hAnsi="宋体" w:eastAsia="宋体" w:cs="宋体"/>
          <w:bCs/>
          <w:sz w:val="28"/>
          <w:szCs w:val="22"/>
        </w:rPr>
        <w:t xml:space="preserve">附件2 </w:t>
      </w:r>
      <w:r>
        <w:rPr>
          <w:rFonts w:hint="eastAsia" w:ascii="宋体" w:hAnsi="宋体" w:eastAsia="宋体" w:cs="宋体"/>
          <w:bCs/>
          <w:sz w:val="28"/>
          <w:szCs w:val="28"/>
        </w:rPr>
        <w:t>重庆展辉招标代理有限公司采购文件发售登记表</w:t>
      </w:r>
      <w:bookmarkEnd w:id="433"/>
      <w:bookmarkEnd w:id="434"/>
      <w:bookmarkEnd w:id="435"/>
      <w:bookmarkEnd w:id="436"/>
      <w:bookmarkEnd w:id="437"/>
    </w:p>
    <w:p w14:paraId="595991FA">
      <w:pPr>
        <w:rPr>
          <w:rFonts w:ascii="宋体" w:hAnsi="宋体" w:eastAsia="宋体" w:cs="宋体"/>
        </w:rPr>
      </w:pPr>
    </w:p>
    <w:tbl>
      <w:tblPr>
        <w:tblStyle w:val="59"/>
        <w:tblW w:w="9239" w:type="dxa"/>
        <w:jc w:val="center"/>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32"/>
        <w:gridCol w:w="2391"/>
        <w:gridCol w:w="1051"/>
        <w:gridCol w:w="3965"/>
      </w:tblGrid>
      <w:tr w14:paraId="251FF5B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jc w:val="center"/>
        </w:trPr>
        <w:tc>
          <w:tcPr>
            <w:tcW w:w="1832" w:type="dxa"/>
            <w:vAlign w:val="center"/>
          </w:tcPr>
          <w:p w14:paraId="16CE950F">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项目名称</w:t>
            </w:r>
          </w:p>
        </w:tc>
        <w:tc>
          <w:tcPr>
            <w:tcW w:w="7407" w:type="dxa"/>
            <w:gridSpan w:val="3"/>
            <w:vAlign w:val="center"/>
          </w:tcPr>
          <w:p w14:paraId="70D0BFDF">
            <w:pPr>
              <w:keepNext w:val="0"/>
              <w:keepLines w:val="0"/>
              <w:suppressLineNumbers w:val="0"/>
              <w:spacing w:before="0" w:beforeAutospacing="0" w:after="0" w:afterAutospacing="0"/>
              <w:ind w:left="0" w:right="0"/>
              <w:jc w:val="center"/>
              <w:rPr>
                <w:rFonts w:hint="default" w:ascii="宋体" w:hAnsi="宋体" w:eastAsia="宋体" w:cs="宋体"/>
                <w:szCs w:val="21"/>
              </w:rPr>
            </w:pPr>
          </w:p>
        </w:tc>
      </w:tr>
      <w:tr w14:paraId="7595979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10" w:hRule="atLeast"/>
          <w:jc w:val="center"/>
        </w:trPr>
        <w:tc>
          <w:tcPr>
            <w:tcW w:w="1832" w:type="dxa"/>
            <w:vAlign w:val="center"/>
          </w:tcPr>
          <w:p w14:paraId="40695CD6">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项目编号</w:t>
            </w:r>
          </w:p>
        </w:tc>
        <w:tc>
          <w:tcPr>
            <w:tcW w:w="7407" w:type="dxa"/>
            <w:gridSpan w:val="3"/>
            <w:vAlign w:val="center"/>
          </w:tcPr>
          <w:p w14:paraId="55435A56">
            <w:pPr>
              <w:keepNext w:val="0"/>
              <w:keepLines w:val="0"/>
              <w:suppressLineNumbers w:val="0"/>
              <w:spacing w:before="0" w:beforeAutospacing="0" w:after="0" w:afterAutospacing="0" w:line="700" w:lineRule="exact"/>
              <w:ind w:left="0" w:right="0"/>
              <w:jc w:val="center"/>
              <w:rPr>
                <w:rFonts w:hint="default" w:ascii="宋体" w:hAnsi="宋体" w:eastAsia="宋体" w:cs="宋体"/>
                <w:szCs w:val="21"/>
              </w:rPr>
            </w:pPr>
          </w:p>
        </w:tc>
      </w:tr>
      <w:tr w14:paraId="2E40D6E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1832" w:type="dxa"/>
            <w:vAlign w:val="center"/>
          </w:tcPr>
          <w:p w14:paraId="6CB81D7F">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供应商名称</w:t>
            </w:r>
          </w:p>
        </w:tc>
        <w:tc>
          <w:tcPr>
            <w:tcW w:w="7407" w:type="dxa"/>
            <w:gridSpan w:val="3"/>
            <w:vAlign w:val="center"/>
          </w:tcPr>
          <w:p w14:paraId="0ADA894A">
            <w:pPr>
              <w:keepNext w:val="0"/>
              <w:keepLines w:val="0"/>
              <w:suppressLineNumbers w:val="0"/>
              <w:spacing w:before="0" w:beforeAutospacing="0" w:after="0" w:afterAutospacing="0"/>
              <w:ind w:left="0" w:right="0" w:firstLine="5040" w:firstLineChars="1800"/>
              <w:jc w:val="left"/>
              <w:rPr>
                <w:rFonts w:hint="default" w:ascii="宋体" w:hAnsi="宋体" w:eastAsia="宋体" w:cs="宋体"/>
                <w:szCs w:val="21"/>
              </w:rPr>
            </w:pPr>
            <w:r>
              <w:rPr>
                <w:rFonts w:hint="eastAsia" w:ascii="宋体" w:hAnsi="宋体" w:eastAsia="宋体" w:cs="宋体"/>
                <w:szCs w:val="21"/>
              </w:rPr>
              <w:t>（供应商公章）</w:t>
            </w:r>
          </w:p>
        </w:tc>
      </w:tr>
      <w:tr w14:paraId="6A664E99">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69" w:hRule="atLeast"/>
          <w:jc w:val="center"/>
        </w:trPr>
        <w:tc>
          <w:tcPr>
            <w:tcW w:w="1832" w:type="dxa"/>
            <w:vAlign w:val="center"/>
          </w:tcPr>
          <w:p w14:paraId="7C04BC5C">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联系人</w:t>
            </w:r>
          </w:p>
        </w:tc>
        <w:tc>
          <w:tcPr>
            <w:tcW w:w="2391" w:type="dxa"/>
            <w:vAlign w:val="center"/>
          </w:tcPr>
          <w:p w14:paraId="5745E3F2">
            <w:pPr>
              <w:keepNext w:val="0"/>
              <w:keepLines w:val="0"/>
              <w:suppressLineNumbers w:val="0"/>
              <w:spacing w:before="0" w:beforeAutospacing="0" w:after="0" w:afterAutospacing="0"/>
              <w:ind w:left="0" w:right="0"/>
              <w:jc w:val="left"/>
              <w:rPr>
                <w:rFonts w:hint="default" w:ascii="宋体" w:hAnsi="宋体" w:eastAsia="宋体" w:cs="宋体"/>
                <w:szCs w:val="21"/>
              </w:rPr>
            </w:pPr>
          </w:p>
        </w:tc>
        <w:tc>
          <w:tcPr>
            <w:tcW w:w="1051" w:type="dxa"/>
            <w:vAlign w:val="center"/>
          </w:tcPr>
          <w:p w14:paraId="2DBF7822">
            <w:pPr>
              <w:keepNext w:val="0"/>
              <w:keepLines w:val="0"/>
              <w:suppressLineNumbers w:val="0"/>
              <w:spacing w:before="0" w:beforeAutospacing="0" w:after="0" w:afterAutospacing="0"/>
              <w:ind w:left="0" w:right="0"/>
              <w:jc w:val="left"/>
              <w:rPr>
                <w:rFonts w:hint="default" w:ascii="宋体" w:hAnsi="宋体" w:eastAsia="宋体" w:cs="宋体"/>
                <w:szCs w:val="21"/>
              </w:rPr>
            </w:pPr>
            <w:r>
              <w:rPr>
                <w:rFonts w:hint="eastAsia" w:ascii="宋体" w:hAnsi="宋体" w:eastAsia="宋体" w:cs="宋体"/>
                <w:szCs w:val="21"/>
              </w:rPr>
              <w:t>手机</w:t>
            </w:r>
          </w:p>
        </w:tc>
        <w:tc>
          <w:tcPr>
            <w:tcW w:w="3965" w:type="dxa"/>
            <w:vAlign w:val="center"/>
          </w:tcPr>
          <w:p w14:paraId="0375F6CD">
            <w:pPr>
              <w:keepNext w:val="0"/>
              <w:keepLines w:val="0"/>
              <w:suppressLineNumbers w:val="0"/>
              <w:spacing w:before="0" w:beforeAutospacing="0" w:after="0" w:afterAutospacing="0"/>
              <w:ind w:left="0" w:right="0"/>
              <w:jc w:val="left"/>
              <w:rPr>
                <w:rFonts w:hint="default" w:ascii="宋体" w:hAnsi="宋体" w:eastAsia="宋体" w:cs="宋体"/>
                <w:szCs w:val="21"/>
              </w:rPr>
            </w:pPr>
          </w:p>
        </w:tc>
      </w:tr>
      <w:tr w14:paraId="35134824">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13" w:hRule="atLeast"/>
          <w:jc w:val="center"/>
        </w:trPr>
        <w:tc>
          <w:tcPr>
            <w:tcW w:w="1832" w:type="dxa"/>
            <w:vAlign w:val="center"/>
          </w:tcPr>
          <w:p w14:paraId="19B80B62">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办公电话</w:t>
            </w:r>
          </w:p>
        </w:tc>
        <w:tc>
          <w:tcPr>
            <w:tcW w:w="2391" w:type="dxa"/>
            <w:vAlign w:val="center"/>
          </w:tcPr>
          <w:p w14:paraId="49859C4A">
            <w:pPr>
              <w:keepNext w:val="0"/>
              <w:keepLines w:val="0"/>
              <w:suppressLineNumbers w:val="0"/>
              <w:spacing w:before="0" w:beforeAutospacing="0" w:after="0" w:afterAutospacing="0"/>
              <w:ind w:left="0" w:right="0"/>
              <w:jc w:val="left"/>
              <w:rPr>
                <w:rFonts w:hint="default" w:ascii="宋体" w:hAnsi="宋体" w:eastAsia="宋体" w:cs="宋体"/>
                <w:szCs w:val="21"/>
              </w:rPr>
            </w:pPr>
          </w:p>
        </w:tc>
        <w:tc>
          <w:tcPr>
            <w:tcW w:w="1051" w:type="dxa"/>
            <w:vAlign w:val="center"/>
          </w:tcPr>
          <w:p w14:paraId="763CE876">
            <w:pPr>
              <w:keepNext w:val="0"/>
              <w:keepLines w:val="0"/>
              <w:suppressLineNumbers w:val="0"/>
              <w:spacing w:before="0" w:beforeAutospacing="0" w:after="0" w:afterAutospacing="0"/>
              <w:ind w:left="0" w:right="0"/>
              <w:jc w:val="left"/>
              <w:rPr>
                <w:rFonts w:hint="default" w:ascii="宋体" w:hAnsi="宋体" w:eastAsia="宋体" w:cs="宋体"/>
                <w:szCs w:val="21"/>
              </w:rPr>
            </w:pPr>
            <w:r>
              <w:rPr>
                <w:rFonts w:hint="eastAsia" w:ascii="宋体" w:hAnsi="宋体" w:eastAsia="宋体" w:cs="宋体"/>
                <w:szCs w:val="21"/>
              </w:rPr>
              <w:t>传真</w:t>
            </w:r>
          </w:p>
        </w:tc>
        <w:tc>
          <w:tcPr>
            <w:tcW w:w="3965" w:type="dxa"/>
            <w:vAlign w:val="center"/>
          </w:tcPr>
          <w:p w14:paraId="360AF35D">
            <w:pPr>
              <w:keepNext w:val="0"/>
              <w:keepLines w:val="0"/>
              <w:suppressLineNumbers w:val="0"/>
              <w:spacing w:before="0" w:beforeAutospacing="0" w:after="0" w:afterAutospacing="0"/>
              <w:ind w:left="0" w:right="0"/>
              <w:jc w:val="left"/>
              <w:rPr>
                <w:rFonts w:hint="default" w:ascii="宋体" w:hAnsi="宋体" w:eastAsia="宋体" w:cs="宋体"/>
                <w:szCs w:val="21"/>
              </w:rPr>
            </w:pPr>
          </w:p>
        </w:tc>
      </w:tr>
      <w:tr w14:paraId="386A968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687" w:hRule="atLeast"/>
          <w:jc w:val="center"/>
        </w:trPr>
        <w:tc>
          <w:tcPr>
            <w:tcW w:w="1832" w:type="dxa"/>
            <w:vAlign w:val="center"/>
          </w:tcPr>
          <w:p w14:paraId="4E59AEA9">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E-mail</w:t>
            </w:r>
          </w:p>
        </w:tc>
        <w:tc>
          <w:tcPr>
            <w:tcW w:w="7407" w:type="dxa"/>
            <w:gridSpan w:val="3"/>
            <w:vAlign w:val="center"/>
          </w:tcPr>
          <w:p w14:paraId="7F220015">
            <w:pPr>
              <w:keepNext w:val="0"/>
              <w:keepLines w:val="0"/>
              <w:suppressLineNumbers w:val="0"/>
              <w:spacing w:before="0" w:beforeAutospacing="0" w:after="0" w:afterAutospacing="0"/>
              <w:ind w:left="0" w:right="0"/>
              <w:jc w:val="left"/>
              <w:rPr>
                <w:rFonts w:hint="default" w:ascii="宋体" w:hAnsi="宋体" w:eastAsia="宋体" w:cs="宋体"/>
                <w:szCs w:val="21"/>
              </w:rPr>
            </w:pPr>
          </w:p>
        </w:tc>
      </w:tr>
      <w:tr w14:paraId="5DC45BB2">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24" w:hRule="atLeast"/>
          <w:jc w:val="center"/>
        </w:trPr>
        <w:tc>
          <w:tcPr>
            <w:tcW w:w="1832" w:type="dxa"/>
            <w:vAlign w:val="center"/>
          </w:tcPr>
          <w:p w14:paraId="73B82A5A">
            <w:pPr>
              <w:keepNext w:val="0"/>
              <w:keepLines w:val="0"/>
              <w:suppressLineNumbers w:val="0"/>
              <w:spacing w:before="0" w:beforeAutospacing="0" w:after="0" w:afterAutospacing="0"/>
              <w:ind w:left="0" w:right="0"/>
              <w:jc w:val="center"/>
              <w:rPr>
                <w:rFonts w:hint="default" w:ascii="宋体" w:hAnsi="宋体" w:eastAsia="宋体" w:cs="宋体"/>
                <w:szCs w:val="21"/>
              </w:rPr>
            </w:pPr>
            <w:r>
              <w:rPr>
                <w:rFonts w:hint="eastAsia" w:ascii="宋体" w:hAnsi="宋体" w:eastAsia="宋体" w:cs="宋体"/>
                <w:szCs w:val="21"/>
              </w:rPr>
              <w:t>单位地址</w:t>
            </w:r>
          </w:p>
        </w:tc>
        <w:tc>
          <w:tcPr>
            <w:tcW w:w="7407" w:type="dxa"/>
            <w:gridSpan w:val="3"/>
            <w:vAlign w:val="center"/>
          </w:tcPr>
          <w:p w14:paraId="62E12A70">
            <w:pPr>
              <w:keepNext w:val="0"/>
              <w:keepLines w:val="0"/>
              <w:suppressLineNumbers w:val="0"/>
              <w:spacing w:before="0" w:beforeAutospacing="0" w:after="0" w:afterAutospacing="0"/>
              <w:ind w:left="0" w:right="0"/>
              <w:jc w:val="left"/>
              <w:rPr>
                <w:rFonts w:hint="default" w:ascii="宋体" w:hAnsi="宋体" w:eastAsia="宋体" w:cs="宋体"/>
                <w:szCs w:val="21"/>
              </w:rPr>
            </w:pPr>
          </w:p>
        </w:tc>
      </w:tr>
    </w:tbl>
    <w:p w14:paraId="3E3D9B97">
      <w:pPr>
        <w:ind w:firstLine="240" w:firstLineChars="100"/>
        <w:jc w:val="both"/>
        <w:rPr>
          <w:rFonts w:hint="eastAsia" w:ascii="宋体" w:hAnsi="宋体" w:eastAsia="宋体" w:cs="宋体"/>
          <w:szCs w:val="21"/>
        </w:rPr>
      </w:pPr>
      <w:r>
        <w:rPr>
          <w:rFonts w:hint="eastAsia" w:ascii="宋体" w:hAnsi="宋体" w:eastAsia="宋体" w:cs="宋体"/>
          <w:sz w:val="24"/>
          <w:szCs w:val="20"/>
        </w:rPr>
        <w:t>相关说明：在报名和采购文件发售期内供应商扫描二维码缴纳报名费，填写《重庆展辉招标代理有限公司采购文件发售登记表》，将发售登记表扫描件发送至邮箱404088077@qq.com，邮件主题为：项目名称+供应商单位名称报名资料。</w:t>
      </w:r>
    </w:p>
    <w:p w14:paraId="239D5D04">
      <w:pPr>
        <w:jc w:val="center"/>
        <w:rPr>
          <w:rFonts w:hint="eastAsia" w:ascii="宋体" w:hAnsi="宋体" w:cs="宋体"/>
          <w:sz w:val="24"/>
          <w:szCs w:val="22"/>
        </w:rPr>
      </w:pPr>
      <w:r>
        <w:rPr>
          <w:rFonts w:hint="eastAsia" w:ascii="宋体" w:hAnsi="宋体" w:cs="宋体"/>
          <w:sz w:val="24"/>
          <w:szCs w:val="22"/>
        </w:rPr>
        <w:drawing>
          <wp:anchor distT="0" distB="0" distL="114300" distR="114300" simplePos="0" relativeHeight="251659264" behindDoc="1" locked="0" layoutInCell="1" allowOverlap="1">
            <wp:simplePos x="0" y="0"/>
            <wp:positionH relativeFrom="column">
              <wp:posOffset>2004060</wp:posOffset>
            </wp:positionH>
            <wp:positionV relativeFrom="paragraph">
              <wp:posOffset>468630</wp:posOffset>
            </wp:positionV>
            <wp:extent cx="1515110" cy="1669415"/>
            <wp:effectExtent l="0" t="0" r="8890" b="6985"/>
            <wp:wrapNone/>
            <wp:docPr id="8" name="图片 1" descr="C:\Users\86159\Documents\WeChat Files\wxid_h6bezfz0rk5a12\FileStorage\Temp\16565551890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C:\Users\86159\Documents\WeChat Files\wxid_h6bezfz0rk5a12\FileStorage\Temp\1656555189016(1).png"/>
                    <pic:cNvPicPr>
                      <a:picLocks noChangeAspect="1"/>
                    </pic:cNvPicPr>
                  </pic:nvPicPr>
                  <pic:blipFill>
                    <a:blip r:embed="rId10"/>
                    <a:stretch>
                      <a:fillRect/>
                    </a:stretch>
                  </pic:blipFill>
                  <pic:spPr>
                    <a:xfrm>
                      <a:off x="0" y="0"/>
                      <a:ext cx="1515110" cy="1669415"/>
                    </a:xfrm>
                    <a:prstGeom prst="rect">
                      <a:avLst/>
                    </a:prstGeom>
                    <a:noFill/>
                    <a:ln>
                      <a:noFill/>
                    </a:ln>
                  </pic:spPr>
                </pic:pic>
              </a:graphicData>
            </a:graphic>
          </wp:anchor>
        </w:drawing>
      </w:r>
    </w:p>
    <w:p w14:paraId="5CE7EF8A">
      <w:pPr>
        <w:spacing w:line="360" w:lineRule="auto"/>
        <w:ind w:firstLine="480" w:firstLineChars="200"/>
        <w:rPr>
          <w:rFonts w:hint="eastAsia" w:ascii="宋体" w:hAnsi="宋体" w:cs="宋体"/>
          <w:sz w:val="24"/>
        </w:rPr>
      </w:pPr>
    </w:p>
    <w:p w14:paraId="5AED0751">
      <w:pPr>
        <w:spacing w:line="360" w:lineRule="auto"/>
        <w:ind w:firstLine="482" w:firstLineChars="200"/>
        <w:jc w:val="center"/>
        <w:rPr>
          <w:rFonts w:ascii="宋体" w:hAnsi="宋体" w:eastAsia="宋体" w:cs="宋体"/>
          <w:b/>
          <w:sz w:val="24"/>
          <w:szCs w:val="24"/>
        </w:rPr>
      </w:pPr>
    </w:p>
    <w:sectPr>
      <w:pgSz w:w="11907" w:h="16840"/>
      <w:pgMar w:top="1134" w:right="1134" w:bottom="1134" w:left="1134" w:header="850" w:footer="850" w:gutter="0"/>
      <w:pgNumType w:fmt="decimal"/>
      <w:cols w:space="720" w:num="1"/>
      <w:docGrid w:linePitch="380" w:charSpace="-5735"/>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AFF" w:usb1="C0007843"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185454B5-8548-4FDA-BE66-1660898BC118}"/>
  </w:font>
  <w:font w:name="Arial">
    <w:panose1 w:val="020B0604020202020204"/>
    <w:charset w:val="01"/>
    <w:family w:val="swiss"/>
    <w:pitch w:val="default"/>
    <w:sig w:usb0="E0002AFF" w:usb1="C0007843" w:usb2="00000009" w:usb3="00000000" w:csb0="400001FF" w:csb1="FFFF0000"/>
    <w:embedRegular r:id="rId2" w:fontKey="{60B1F30C-D16F-45F9-A379-C97856E94E3C}"/>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embedRegular r:id="rId3" w:fontKey="{622A5FFF-DA7A-4788-9435-159FC01527F7}"/>
  </w:font>
  <w:font w:name="Symbol">
    <w:panose1 w:val="05050102010706020507"/>
    <w:charset w:val="02"/>
    <w:family w:val="roman"/>
    <w:pitch w:val="default"/>
    <w:sig w:usb0="00000000" w:usb1="00000000" w:usb2="00000000" w:usb3="00000000" w:csb0="80000000" w:csb1="00000000"/>
    <w:embedRegular r:id="rId4" w:fontKey="{F9C66700-D7C2-44F8-909D-49B822F29C27}"/>
  </w:font>
  <w:font w:name="Calibri">
    <w:panose1 w:val="020F0502020204030204"/>
    <w:charset w:val="00"/>
    <w:family w:val="swiss"/>
    <w:pitch w:val="default"/>
    <w:sig w:usb0="E00002FF" w:usb1="4000ACFF" w:usb2="00000001" w:usb3="00000000" w:csb0="2000019F" w:csb1="00000000"/>
    <w:embedRegular r:id="rId5" w:fontKey="{05F91A0D-B6F1-4525-AB2B-FFED421758A6}"/>
  </w:font>
  <w:font w:name="微软雅黑">
    <w:panose1 w:val="020B0503020204020204"/>
    <w:charset w:val="86"/>
    <w:family w:val="swiss"/>
    <w:pitch w:val="default"/>
    <w:sig w:usb0="80000287" w:usb1="280F3C52" w:usb2="00000016" w:usb3="00000000" w:csb0="0004001F" w:csb1="00000000"/>
  </w:font>
  <w:font w:name="PMingLiU">
    <w:panose1 w:val="02020500000000000000"/>
    <w:charset w:val="88"/>
    <w:family w:val="auto"/>
    <w:pitch w:val="default"/>
    <w:sig w:usb0="A00002FF" w:usb1="28CFFCFA" w:usb2="00000016" w:usb3="00000000" w:csb0="00100001" w:csb1="00000000"/>
  </w:font>
  <w:font w:name="仿宋_GB2312">
    <w:panose1 w:val="02010609030101010101"/>
    <w:charset w:val="86"/>
    <w:family w:val="modern"/>
    <w:pitch w:val="default"/>
    <w:sig w:usb0="00000001" w:usb1="080E0000" w:usb2="00000000" w:usb3="00000000" w:csb0="00040000" w:csb1="00000000"/>
  </w:font>
  <w:font w:name="方正仿宋_GBK">
    <w:panose1 w:val="03000509000000000000"/>
    <w:charset w:val="86"/>
    <w:family w:val="script"/>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embedRegular r:id="rId6" w:fontKey="{BBABDBBA-79B3-4139-975A-C7817B6FDCD9}"/>
  </w:font>
  <w:font w:name="昆仑楷体">
    <w:altName w:val="宋体"/>
    <w:panose1 w:val="00000000000000000000"/>
    <w:charset w:val="86"/>
    <w:family w:val="modern"/>
    <w:pitch w:val="default"/>
    <w:sig w:usb0="00000000" w:usb1="00000000" w:usb2="00000010" w:usb3="00000000" w:csb0="00040000" w:csb1="00000000"/>
  </w:font>
  <w:font w:name="楷体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10006FF" w:usb1="4000205B" w:usb2="00000010" w:usb3="00000000" w:csb0="2000019F" w:csb1="00000000"/>
    <w:embedRegular r:id="rId7" w:fontKey="{374E9452-8E41-4E13-A199-07C4A6BB8397}"/>
  </w:font>
  <w:font w:name="Tahoma">
    <w:panose1 w:val="020B0604030504040204"/>
    <w:charset w:val="00"/>
    <w:family w:val="swiss"/>
    <w:pitch w:val="default"/>
    <w:sig w:usb0="E1002EFF" w:usb1="C000605B" w:usb2="00000029" w:usb3="00000000" w:csb0="200101FF" w:csb1="20280000"/>
    <w:embedRegular r:id="rId8" w:fontKey="{94E010C3-0923-4B9F-AA42-1BA3808756DD}"/>
  </w:font>
  <w:font w:name="文鼎粗黑">
    <w:altName w:val="新宋体"/>
    <w:panose1 w:val="00000000000000000000"/>
    <w:charset w:val="86"/>
    <w:family w:val="modern"/>
    <w:pitch w:val="default"/>
    <w:sig w:usb0="00000000" w:usb1="00000000" w:usb2="00000010" w:usb3="00000000" w:csb0="00040000" w:csb1="00000000"/>
  </w:font>
  <w:font w:name="新宋体">
    <w:panose1 w:val="02010609030101010101"/>
    <w:charset w:val="86"/>
    <w:family w:val="auto"/>
    <w:pitch w:val="default"/>
    <w:sig w:usb0="00000003" w:usb1="288F0000" w:usb2="00000006" w:usb3="00000000" w:csb0="00040001" w:csb1="00000000"/>
  </w:font>
  <w:font w:name="Helvetica Neue">
    <w:altName w:val="Times New Roman"/>
    <w:panose1 w:val="00000000000000000000"/>
    <w:charset w:val="00"/>
    <w:family w:val="auto"/>
    <w:pitch w:val="default"/>
    <w:sig w:usb0="00000000" w:usb1="00000000" w:usb2="00000010" w:usb3="00000000" w:csb0="00000000" w:csb1="00000000"/>
    <w:embedRegular r:id="rId9" w:fontKey="{418C647E-DBE8-409F-9509-FAAC17CBDE69}"/>
  </w:font>
  <w:font w:name="方正黑体_GBK">
    <w:altName w:val="微软雅黑"/>
    <w:panose1 w:val="03000509000000000000"/>
    <w:charset w:val="86"/>
    <w:family w:val="script"/>
    <w:pitch w:val="default"/>
    <w:sig w:usb0="00000000" w:usb1="00000000" w:usb2="00000000" w:usb3="00000000" w:csb0="00040000" w:csb1="00000000"/>
  </w:font>
  <w:font w:name="MingLiU_HKSCS">
    <w:panose1 w:val="02020500000000000000"/>
    <w:charset w:val="88"/>
    <w:family w:val="roman"/>
    <w:pitch w:val="default"/>
    <w:sig w:usb0="A00002FF" w:usb1="38CFFCFA" w:usb2="00000016" w:usb3="00000000" w:csb0="00100001" w:csb1="00000000"/>
    <w:embedRegular r:id="rId10" w:fontKey="{CBA5A503-8A4F-4762-B502-D4016B7D06B6}"/>
  </w:font>
  <w:font w:name="WPSEMBED1">
    <w:panose1 w:val="020B0606020202030204"/>
    <w:charset w:val="00"/>
    <w:family w:val="auto"/>
    <w:pitch w:val="default"/>
    <w:sig w:usb0="00000287" w:usb1="00000800" w:usb2="00000000" w:usb3="00000000" w:csb0="2000009F" w:csb1="DFD70000"/>
    <w:embedRegular r:id="rId11" w:fontKey="{C981EA20-4158-4D50-A666-054922705AF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945E70">
    <w:pPr>
      <w:pStyle w:val="35"/>
      <w:tabs>
        <w:tab w:val="clear" w:pos="4153"/>
      </w:tabs>
      <w:jc w:val="center"/>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7962339">
                          <w:pPr>
                            <w:pStyle w:val="35"/>
                          </w:pPr>
                          <w:r>
                            <w:fldChar w:fldCharType="begin"/>
                          </w:r>
                          <w:r>
                            <w:instrText xml:space="preserve"> PAGE  \* MERGEFORMAT </w:instrText>
                          </w:r>
                          <w:r>
                            <w:fldChar w:fldCharType="separate"/>
                          </w:r>
                          <w:r>
                            <w:t>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57962339">
                    <w:pPr>
                      <w:pStyle w:val="35"/>
                    </w:pPr>
                    <w:r>
                      <w:fldChar w:fldCharType="begin"/>
                    </w:r>
                    <w:r>
                      <w:instrText xml:space="preserve"> PAGE  \* MERGEFORMAT </w:instrText>
                    </w:r>
                    <w:r>
                      <w:fldChar w:fldCharType="separate"/>
                    </w:r>
                    <w:r>
                      <w:t>0</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02E18A">
    <w:pPr>
      <w:pStyle w:val="35"/>
      <w:tabs>
        <w:tab w:val="clear" w:pos="4153"/>
      </w:tabs>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1BE9639">
                          <w:pPr>
                            <w:pStyle w:val="35"/>
                          </w:pPr>
                          <w:r>
                            <w:fldChar w:fldCharType="begin"/>
                          </w:r>
                          <w:r>
                            <w:instrText xml:space="preserve"> PAGE  \* MERGEFORMAT </w:instrText>
                          </w:r>
                          <w:r>
                            <w:fldChar w:fldCharType="separate"/>
                          </w:r>
                          <w:r>
                            <w:t>2</w:t>
                          </w:r>
                          <w:r>
                            <w:fldChar w:fldCharType="end"/>
                          </w:r>
                        </w:p>
                      </w:txbxContent>
                    </wps:txbx>
                    <wps:bodyPr wrap="none" lIns="0" tIns="0" rIns="0" bIns="0">
                      <a:spAutoFit/>
                    </wps:bodyPr>
                  </wps:wsp>
                </a:graphicData>
              </a:graphic>
            </wp:anchor>
          </w:drawing>
        </mc:Choice>
        <mc:Fallback>
          <w:pict>
            <v:shape id="文本框 1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IM4/TnCAQAAjgMAAA4AAAAAAAAAAQAgAAAAHgEAAGRycy9lMm9Eb2MueG1sUEsF&#10;BgAAAAAGAAYAWQEAAFIFAAAAAA==&#10;">
              <v:fill on="f" focussize="0,0"/>
              <v:stroke on="f"/>
              <v:imagedata o:title=""/>
              <o:lock v:ext="edit" aspectratio="f"/>
              <v:textbox inset="0mm,0mm,0mm,0mm" style="mso-fit-shape-to-text:t;">
                <w:txbxContent>
                  <w:p w14:paraId="21BE9639">
                    <w:pPr>
                      <w:pStyle w:val="35"/>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F5D2A4D">
    <w:pPr>
      <w:pStyle w:val="35"/>
      <w:jc w:val="right"/>
      <w:rPr>
        <w:sz w:val="24"/>
        <w:szCs w:val="24"/>
      </w:rPr>
    </w:pPr>
    <w:r>
      <w:rPr>
        <w:sz w:val="24"/>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0B0B2FF">
                          <w:pPr>
                            <w:pStyle w:val="35"/>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44</w:t>
                          </w:r>
                          <w:r>
                            <w:fldChar w:fldCharType="end"/>
                          </w:r>
                          <w:r>
                            <w:t xml:space="preserve"> 页</w:t>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1F+UJskBAACZAwAADgAAAGRycy9lMm9Eb2MueG1srVPNjtMwEL4j8Q6W&#10;79TZaoW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uHEPW+K0uU60G4PSRsovSWK4ywU2GcWGE3bVdeicf3kvXwR23+A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M6pebnPAAAABQEAAA8AAAAAAAAAAQAgAAAAIgAAAGRycy9kb3ducmV2Lnht&#10;bFBLAQIUABQAAAAIAIdO4kDUX5QmyQEAAJkDAAAOAAAAAAAAAAEAIAAAAB4BAABkcnMvZTJvRG9j&#10;LnhtbFBLBQYAAAAABgAGAFkBAABZBQAAAAA=&#10;">
              <v:fill on="f" focussize="0,0"/>
              <v:stroke on="f"/>
              <v:imagedata o:title=""/>
              <o:lock v:ext="edit" aspectratio="f"/>
              <v:textbox inset="0mm,0mm,0mm,0mm" style="mso-fit-shape-to-text:t;">
                <w:txbxContent>
                  <w:p w14:paraId="20B0B2FF">
                    <w:pPr>
                      <w:pStyle w:val="35"/>
                    </w:pPr>
                    <w:r>
                      <w:t xml:space="preserve">第 </w:t>
                    </w:r>
                    <w:r>
                      <w:fldChar w:fldCharType="begin"/>
                    </w:r>
                    <w:r>
                      <w:instrText xml:space="preserve"> PAGE  \* MERGEFORMAT </w:instrText>
                    </w:r>
                    <w:r>
                      <w:fldChar w:fldCharType="separate"/>
                    </w:r>
                    <w:r>
                      <w:t>21</w:t>
                    </w:r>
                    <w:r>
                      <w:fldChar w:fldCharType="end"/>
                    </w:r>
                    <w:r>
                      <w:t xml:space="preserve"> 页 共 </w:t>
                    </w:r>
                    <w:r>
                      <w:fldChar w:fldCharType="begin"/>
                    </w:r>
                    <w:r>
                      <w:instrText xml:space="preserve"> NUMPAGES  \* MERGEFORMAT </w:instrText>
                    </w:r>
                    <w:r>
                      <w:fldChar w:fldCharType="separate"/>
                    </w:r>
                    <w:r>
                      <w:t>44</w:t>
                    </w:r>
                    <w:r>
                      <w:fldChar w:fldCharType="end"/>
                    </w:r>
                    <w: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A04EBA4">
    <w:pPr>
      <w:pStyle w:val="35"/>
      <w:jc w:val="right"/>
      <w:rPr>
        <w:sz w:val="24"/>
        <w:szCs w:val="24"/>
      </w:rPr>
    </w:pPr>
    <w:r>
      <w:rPr>
        <w:sz w:val="24"/>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2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5BBA6C8">
                          <w:pPr>
                            <w:pStyle w:val="35"/>
                          </w:pPr>
                          <w:r>
                            <w:fldChar w:fldCharType="begin"/>
                          </w:r>
                          <w:r>
                            <w:instrText xml:space="preserve"> PAGE  \* MERGEFORMAT </w:instrText>
                          </w:r>
                          <w:r>
                            <w:fldChar w:fldCharType="separate"/>
                          </w:r>
                          <w:r>
                            <w:t>8</w:t>
                          </w:r>
                          <w:r>
                            <w:fldChar w:fldCharType="end"/>
                          </w:r>
                        </w:p>
                      </w:txbxContent>
                    </wps:txbx>
                    <wps:bodyPr wrap="none" lIns="0" tIns="0" rIns="0" bIns="0">
                      <a:spAutoFit/>
                    </wps:bodyPr>
                  </wps:wsp>
                </a:graphicData>
              </a:graphic>
            </wp:anchor>
          </w:drawing>
        </mc:Choice>
        <mc:Fallback>
          <w:pict>
            <v:shape id="文本框 2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M+6MnbCAQAAjgMAAA4AAAAAAAAAAQAgAAAAHgEAAGRycy9lMm9Eb2MueG1sUEsF&#10;BgAAAAAGAAYAWQEAAFIFAAAAAA==&#10;">
              <v:fill on="f" focussize="0,0"/>
              <v:stroke on="f"/>
              <v:imagedata o:title=""/>
              <o:lock v:ext="edit" aspectratio="f"/>
              <v:textbox inset="0mm,0mm,0mm,0mm" style="mso-fit-shape-to-text:t;">
                <w:txbxContent>
                  <w:p w14:paraId="65BBA6C8">
                    <w:pPr>
                      <w:pStyle w:val="35"/>
                    </w:pPr>
                    <w:r>
                      <w:fldChar w:fldCharType="begin"/>
                    </w:r>
                    <w:r>
                      <w:instrText xml:space="preserve"> PAGE  \* MERGEFORMAT </w:instrText>
                    </w:r>
                    <w:r>
                      <w:fldChar w:fldCharType="separate"/>
                    </w:r>
                    <w:r>
                      <w:t>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33D4BA">
    <w:pPr>
      <w:pStyle w:val="36"/>
      <w:pBdr>
        <w:bottom w:val="single" w:color="auto" w:sz="4" w:space="0"/>
      </w:pBdr>
      <w:rPr>
        <w:rFonts w:ascii="宋体" w:hAnsi="宋体" w:eastAsia="宋体" w:cs="宋体"/>
      </w:rPr>
    </w:pPr>
    <w:r>
      <w:drawing>
        <wp:anchor distT="0" distB="0" distL="114300" distR="114300" simplePos="0" relativeHeight="251662336" behindDoc="0" locked="0" layoutInCell="1" allowOverlap="1">
          <wp:simplePos x="0" y="0"/>
          <wp:positionH relativeFrom="column">
            <wp:posOffset>210185</wp:posOffset>
          </wp:positionH>
          <wp:positionV relativeFrom="paragraph">
            <wp:posOffset>-116205</wp:posOffset>
          </wp:positionV>
          <wp:extent cx="342900" cy="280670"/>
          <wp:effectExtent l="0" t="0" r="0" b="5080"/>
          <wp:wrapSquare wrapText="bothSides"/>
          <wp:docPr id="6"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1"/>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b/>
        <w:sz w:val="21"/>
        <w:szCs w:val="21"/>
      </w:rPr>
      <w:t>重庆展辉招标代理有限公司                                     竞争性谈判文件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6A360">
    <w:pPr>
      <w:pStyle w:val="36"/>
    </w:pPr>
    <w:r>
      <w:rPr>
        <w:rFonts w:hint="eastAsia" w:ascii="宋体" w:hAnsi="宋体" w:eastAsia="宋体" w:cs="宋体"/>
      </w:rPr>
      <w:drawing>
        <wp:anchor distT="0" distB="0" distL="114300" distR="114300" simplePos="0" relativeHeight="251663360" behindDoc="0" locked="0" layoutInCell="1" allowOverlap="1">
          <wp:simplePos x="0" y="0"/>
          <wp:positionH relativeFrom="column">
            <wp:posOffset>6985</wp:posOffset>
          </wp:positionH>
          <wp:positionV relativeFrom="paragraph">
            <wp:posOffset>-78740</wp:posOffset>
          </wp:positionV>
          <wp:extent cx="342900" cy="280670"/>
          <wp:effectExtent l="0" t="0" r="0" b="5080"/>
          <wp:wrapSquare wrapText="bothSides"/>
          <wp:docPr id="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2"/>
                  <pic:cNvPicPr>
                    <a:picLocks noChangeAspect="1"/>
                  </pic:cNvPicPr>
                </pic:nvPicPr>
                <pic:blipFill>
                  <a:blip r:embed="rId1"/>
                  <a:stretch>
                    <a:fillRect/>
                  </a:stretch>
                </pic:blipFill>
                <pic:spPr>
                  <a:xfrm>
                    <a:off x="0" y="0"/>
                    <a:ext cx="342900" cy="280670"/>
                  </a:xfrm>
                  <a:prstGeom prst="rect">
                    <a:avLst/>
                  </a:prstGeom>
                  <a:noFill/>
                  <a:ln>
                    <a:noFill/>
                  </a:ln>
                </pic:spPr>
              </pic:pic>
            </a:graphicData>
          </a:graphic>
        </wp:anchor>
      </w:drawing>
    </w:r>
    <w:r>
      <w:rPr>
        <w:rFonts w:hint="eastAsia" w:ascii="宋体" w:hAnsi="宋体" w:eastAsia="宋体" w:cs="宋体"/>
        <w:sz w:val="24"/>
      </w:rPr>
      <w:t xml:space="preserve">重庆展辉招标代理有限公司                          </w:t>
    </w:r>
    <w:r>
      <w:rPr>
        <w:rFonts w:hint="eastAsia" w:ascii="宋体" w:hAnsi="宋体" w:eastAsia="宋体" w:cs="宋体"/>
        <w:sz w:val="24"/>
        <w:szCs w:val="24"/>
      </w:rPr>
      <w:t xml:space="preserve">    竞争性谈判文件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A"/>
    <w:multiLevelType w:val="singleLevel"/>
    <w:tmpl w:val="0000000A"/>
    <w:lvl w:ilvl="0" w:tentative="0">
      <w:start w:val="1"/>
      <w:numFmt w:val="decimal"/>
      <w:pStyle w:val="13"/>
      <w:lvlText w:val="%1."/>
      <w:lvlJc w:val="left"/>
      <w:pPr>
        <w:tabs>
          <w:tab w:val="left" w:pos="425"/>
        </w:tabs>
        <w:ind w:left="425" w:hanging="425"/>
      </w:pPr>
      <w:rPr>
        <w:rFonts w:hint="default"/>
      </w:rPr>
    </w:lvl>
  </w:abstractNum>
  <w:abstractNum w:abstractNumId="1">
    <w:nsid w:val="0000000C"/>
    <w:multiLevelType w:val="multilevel"/>
    <w:tmpl w:val="0000000C"/>
    <w:lvl w:ilvl="0" w:tentative="0">
      <w:start w:val="1"/>
      <w:numFmt w:val="bullet"/>
      <w:pStyle w:val="255"/>
      <w:lvlText w:val=""/>
      <w:lvlJc w:val="left"/>
      <w:pPr>
        <w:tabs>
          <w:tab w:val="left" w:pos="987"/>
        </w:tabs>
        <w:ind w:left="987" w:hanging="420"/>
      </w:pPr>
      <w:rPr>
        <w:rFonts w:hint="default" w:ascii="Wingdings" w:hAnsi="Wingdings"/>
      </w:rPr>
    </w:lvl>
    <w:lvl w:ilvl="1" w:tentative="0">
      <w:start w:val="1"/>
      <w:numFmt w:val="lowerLetter"/>
      <w:lvlText w:val="%2)"/>
      <w:lvlJc w:val="left"/>
      <w:pPr>
        <w:tabs>
          <w:tab w:val="left" w:pos="840"/>
        </w:tabs>
        <w:ind w:left="840" w:hanging="420"/>
      </w:pPr>
    </w:lvl>
    <w:lvl w:ilvl="2" w:tentative="0">
      <w:start w:val="1"/>
      <w:numFmt w:val="decimal"/>
      <w:lvlText w:val="%3、"/>
      <w:lvlJc w:val="left"/>
      <w:pPr>
        <w:tabs>
          <w:tab w:val="left" w:pos="1200"/>
        </w:tabs>
        <w:ind w:left="1200" w:hanging="360"/>
      </w:pPr>
      <w:rPr>
        <w:rFonts w:hint="eastAsia"/>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2">
    <w:nsid w:val="00000011"/>
    <w:multiLevelType w:val="singleLevel"/>
    <w:tmpl w:val="00000011"/>
    <w:lvl w:ilvl="0" w:tentative="0">
      <w:start w:val="1"/>
      <w:numFmt w:val="bullet"/>
      <w:lvlText w:val=""/>
      <w:lvlJc w:val="left"/>
      <w:pPr>
        <w:tabs>
          <w:tab w:val="left" w:pos="1620"/>
        </w:tabs>
        <w:ind w:left="1620" w:hanging="360"/>
      </w:pPr>
      <w:rPr>
        <w:rFonts w:hint="default" w:ascii="Wingdings" w:hAnsi="Wingdings"/>
      </w:rPr>
    </w:lvl>
  </w:abstractNum>
  <w:abstractNum w:abstractNumId="3">
    <w:nsid w:val="00000012"/>
    <w:multiLevelType w:val="singleLevel"/>
    <w:tmpl w:val="00000012"/>
    <w:lvl w:ilvl="0" w:tentative="0">
      <w:start w:val="1"/>
      <w:numFmt w:val="bullet"/>
      <w:pStyle w:val="27"/>
      <w:lvlText w:val=""/>
      <w:lvlJc w:val="left"/>
      <w:pPr>
        <w:tabs>
          <w:tab w:val="left" w:pos="780"/>
        </w:tabs>
        <w:ind w:left="780" w:hanging="360"/>
      </w:pPr>
      <w:rPr>
        <w:rFonts w:hint="default" w:ascii="Wingdings" w:hAnsi="Wingdings"/>
      </w:rPr>
    </w:lvl>
  </w:abstractNum>
  <w:abstractNum w:abstractNumId="4">
    <w:nsid w:val="00000014"/>
    <w:multiLevelType w:val="singleLevel"/>
    <w:tmpl w:val="00000014"/>
    <w:lvl w:ilvl="0" w:tentative="0">
      <w:start w:val="1"/>
      <w:numFmt w:val="bullet"/>
      <w:pStyle w:val="252"/>
      <w:lvlText w:val=""/>
      <w:lvlJc w:val="left"/>
      <w:pPr>
        <w:tabs>
          <w:tab w:val="left" w:pos="360"/>
        </w:tabs>
        <w:ind w:left="360" w:hanging="360"/>
      </w:pPr>
      <w:rPr>
        <w:rFonts w:hint="default" w:ascii="Wingdings" w:hAnsi="Wingdings"/>
      </w:rPr>
    </w:lvl>
  </w:abstractNum>
  <w:abstractNum w:abstractNumId="5">
    <w:nsid w:val="0000001A"/>
    <w:multiLevelType w:val="singleLevel"/>
    <w:tmpl w:val="0000001A"/>
    <w:lvl w:ilvl="0" w:tentative="0">
      <w:start w:val="1"/>
      <w:numFmt w:val="decimal"/>
      <w:pStyle w:val="121"/>
      <w:lvlText w:val="%1)"/>
      <w:lvlJc w:val="left"/>
      <w:pPr>
        <w:tabs>
          <w:tab w:val="left" w:pos="425"/>
        </w:tabs>
        <w:ind w:left="425" w:hanging="425"/>
      </w:pPr>
      <w:rPr>
        <w:rFonts w:hint="eastAsia"/>
      </w:rPr>
    </w:lvl>
  </w:abstractNum>
  <w:abstractNum w:abstractNumId="6">
    <w:nsid w:val="0000001C"/>
    <w:multiLevelType w:val="singleLevel"/>
    <w:tmpl w:val="0000001C"/>
    <w:lvl w:ilvl="0" w:tentative="0">
      <w:start w:val="1"/>
      <w:numFmt w:val="bullet"/>
      <w:pStyle w:val="21"/>
      <w:lvlText w:val=""/>
      <w:lvlJc w:val="left"/>
      <w:pPr>
        <w:tabs>
          <w:tab w:val="left" w:pos="1200"/>
        </w:tabs>
        <w:ind w:left="1200" w:hanging="360"/>
      </w:pPr>
      <w:rPr>
        <w:rFonts w:hint="default" w:ascii="Wingdings" w:hAnsi="Wingdings"/>
      </w:rPr>
    </w:lvl>
  </w:abstractNum>
  <w:abstractNum w:abstractNumId="7">
    <w:nsid w:val="0000001D"/>
    <w:multiLevelType w:val="multilevel"/>
    <w:tmpl w:val="0000001D"/>
    <w:lvl w:ilvl="0" w:tentative="0">
      <w:start w:val="1"/>
      <w:numFmt w:val="decimal"/>
      <w:pStyle w:val="227"/>
      <w:lvlText w:val="（%1）"/>
      <w:lvlJc w:val="left"/>
      <w:pPr>
        <w:tabs>
          <w:tab w:val="left" w:pos="1230"/>
        </w:tabs>
        <w:ind w:left="0" w:firstLine="510"/>
      </w:pPr>
      <w:rPr>
        <w:rFonts w:hint="default" w:ascii="Arial" w:hAnsi="Arial"/>
        <w:b w:val="0"/>
        <w:i w:val="0"/>
        <w:sz w:val="24"/>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1E"/>
    <w:multiLevelType w:val="singleLevel"/>
    <w:tmpl w:val="0000001E"/>
    <w:lvl w:ilvl="0" w:tentative="0">
      <w:start w:val="1"/>
      <w:numFmt w:val="decimal"/>
      <w:suff w:val="nothing"/>
      <w:lvlText w:val="%1、"/>
      <w:lvlJc w:val="left"/>
    </w:lvl>
  </w:abstractNum>
  <w:abstractNum w:abstractNumId="9">
    <w:nsid w:val="00000021"/>
    <w:multiLevelType w:val="multilevel"/>
    <w:tmpl w:val="00000021"/>
    <w:lvl w:ilvl="0" w:tentative="0">
      <w:start w:val="1"/>
      <w:numFmt w:val="bullet"/>
      <w:pStyle w:val="187"/>
      <w:lvlText w:val=""/>
      <w:lvlJc w:val="left"/>
      <w:pPr>
        <w:tabs>
          <w:tab w:val="left" w:pos="1644"/>
        </w:tabs>
        <w:ind w:left="1644" w:hanging="510"/>
      </w:pPr>
      <w:rPr>
        <w:rFonts w:hint="default" w:ascii="Wingdings" w:hAnsi="Wingdings"/>
        <w:color w:val="auto"/>
        <w:sz w:val="13"/>
        <w:u w:val="none"/>
      </w:rPr>
    </w:lvl>
    <w:lvl w:ilvl="1" w:tentative="0">
      <w:start w:val="1"/>
      <w:numFmt w:val="bullet"/>
      <w:lvlText w:val=""/>
      <w:lvlJc w:val="left"/>
      <w:pPr>
        <w:tabs>
          <w:tab w:val="left" w:pos="840"/>
        </w:tabs>
        <w:ind w:left="840" w:hanging="420"/>
      </w:pPr>
      <w:rPr>
        <w:rFonts w:hint="default" w:ascii="Wingdings" w:hAnsi="Wingdings"/>
        <w:color w:val="auto"/>
        <w:sz w:val="13"/>
        <w:u w:val="none"/>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00000022"/>
    <w:multiLevelType w:val="multilevel"/>
    <w:tmpl w:val="00000022"/>
    <w:lvl w:ilvl="0" w:tentative="0">
      <w:start w:val="1"/>
      <w:numFmt w:val="bullet"/>
      <w:pStyle w:val="163"/>
      <w:lvlText w:val=""/>
      <w:lvlJc w:val="left"/>
      <w:pPr>
        <w:tabs>
          <w:tab w:val="left" w:pos="540"/>
        </w:tabs>
        <w:ind w:left="540" w:firstLine="0"/>
      </w:pPr>
      <w:rPr>
        <w:rFonts w:hint="default" w:ascii="Wingdings" w:hAnsi="Wingdings"/>
        <w:sz w:val="16"/>
      </w:rPr>
    </w:lvl>
    <w:lvl w:ilvl="1" w:tentative="0">
      <w:start w:val="1"/>
      <w:numFmt w:val="bullet"/>
      <w:lvlText w:val=""/>
      <w:lvlJc w:val="left"/>
      <w:pPr>
        <w:tabs>
          <w:tab w:val="left" w:pos="1940"/>
        </w:tabs>
        <w:ind w:left="1940" w:hanging="420"/>
      </w:pPr>
      <w:rPr>
        <w:rFonts w:hint="default" w:ascii="Wingdings" w:hAnsi="Wingdings"/>
      </w:rPr>
    </w:lvl>
    <w:lvl w:ilvl="2" w:tentative="0">
      <w:start w:val="1"/>
      <w:numFmt w:val="bullet"/>
      <w:lvlText w:val=""/>
      <w:lvlJc w:val="left"/>
      <w:pPr>
        <w:tabs>
          <w:tab w:val="left" w:pos="2360"/>
        </w:tabs>
        <w:ind w:left="2360" w:hanging="420"/>
      </w:pPr>
      <w:rPr>
        <w:rFonts w:hint="default" w:ascii="Wingdings" w:hAnsi="Wingdings"/>
      </w:rPr>
    </w:lvl>
    <w:lvl w:ilvl="3" w:tentative="0">
      <w:start w:val="1"/>
      <w:numFmt w:val="bullet"/>
      <w:lvlText w:val=""/>
      <w:lvlJc w:val="left"/>
      <w:pPr>
        <w:tabs>
          <w:tab w:val="left" w:pos="2780"/>
        </w:tabs>
        <w:ind w:left="2780" w:hanging="420"/>
      </w:pPr>
      <w:rPr>
        <w:rFonts w:hint="default" w:ascii="Wingdings" w:hAnsi="Wingdings"/>
      </w:rPr>
    </w:lvl>
    <w:lvl w:ilvl="4" w:tentative="0">
      <w:start w:val="1"/>
      <w:numFmt w:val="bullet"/>
      <w:lvlText w:val=""/>
      <w:lvlJc w:val="left"/>
      <w:pPr>
        <w:tabs>
          <w:tab w:val="left" w:pos="3200"/>
        </w:tabs>
        <w:ind w:left="3200" w:hanging="420"/>
      </w:pPr>
      <w:rPr>
        <w:rFonts w:hint="default" w:ascii="Wingdings" w:hAnsi="Wingdings"/>
      </w:rPr>
    </w:lvl>
    <w:lvl w:ilvl="5" w:tentative="0">
      <w:start w:val="1"/>
      <w:numFmt w:val="bullet"/>
      <w:lvlText w:val=""/>
      <w:lvlJc w:val="left"/>
      <w:pPr>
        <w:tabs>
          <w:tab w:val="left" w:pos="3620"/>
        </w:tabs>
        <w:ind w:left="3620" w:hanging="420"/>
      </w:pPr>
      <w:rPr>
        <w:rFonts w:hint="default" w:ascii="Wingdings" w:hAnsi="Wingdings"/>
      </w:rPr>
    </w:lvl>
    <w:lvl w:ilvl="6" w:tentative="0">
      <w:start w:val="1"/>
      <w:numFmt w:val="bullet"/>
      <w:lvlText w:val=""/>
      <w:lvlJc w:val="left"/>
      <w:pPr>
        <w:tabs>
          <w:tab w:val="left" w:pos="4040"/>
        </w:tabs>
        <w:ind w:left="4040" w:hanging="420"/>
      </w:pPr>
      <w:rPr>
        <w:rFonts w:hint="default" w:ascii="Wingdings" w:hAnsi="Wingdings"/>
      </w:rPr>
    </w:lvl>
    <w:lvl w:ilvl="7" w:tentative="0">
      <w:start w:val="1"/>
      <w:numFmt w:val="bullet"/>
      <w:lvlText w:val=""/>
      <w:lvlJc w:val="left"/>
      <w:pPr>
        <w:tabs>
          <w:tab w:val="left" w:pos="4460"/>
        </w:tabs>
        <w:ind w:left="4460" w:hanging="420"/>
      </w:pPr>
      <w:rPr>
        <w:rFonts w:hint="default" w:ascii="Wingdings" w:hAnsi="Wingdings"/>
      </w:rPr>
    </w:lvl>
    <w:lvl w:ilvl="8" w:tentative="0">
      <w:start w:val="1"/>
      <w:numFmt w:val="bullet"/>
      <w:lvlText w:val=""/>
      <w:lvlJc w:val="left"/>
      <w:pPr>
        <w:tabs>
          <w:tab w:val="left" w:pos="4880"/>
        </w:tabs>
        <w:ind w:left="4880" w:hanging="420"/>
      </w:pPr>
      <w:rPr>
        <w:rFonts w:hint="default" w:ascii="Wingdings" w:hAnsi="Wingdings"/>
      </w:rPr>
    </w:lvl>
  </w:abstractNum>
  <w:abstractNum w:abstractNumId="11">
    <w:nsid w:val="00000023"/>
    <w:multiLevelType w:val="multilevel"/>
    <w:tmpl w:val="00000023"/>
    <w:lvl w:ilvl="0" w:tentative="0">
      <w:start w:val="1"/>
      <w:numFmt w:val="upperLetter"/>
      <w:pStyle w:val="228"/>
      <w:suff w:val="nothing"/>
      <w:lvlText w:val="附　录　%1"/>
      <w:lvlJc w:val="left"/>
      <w:pPr>
        <w:ind w:left="0" w:firstLine="0"/>
      </w:pPr>
      <w:rPr>
        <w:rFonts w:hint="eastAsia" w:ascii="黑体" w:hAnsi="Times New Roman" w:eastAsia="黑体"/>
        <w:b w:val="0"/>
        <w:i w:val="0"/>
        <w:sz w:val="21"/>
      </w:rPr>
    </w:lvl>
    <w:lvl w:ilvl="1" w:tentative="0">
      <w:start w:val="1"/>
      <w:numFmt w:val="decimal"/>
      <w:pStyle w:val="134"/>
      <w:suff w:val="nothing"/>
      <w:lvlText w:val="%1.%2　"/>
      <w:lvlJc w:val="left"/>
      <w:pPr>
        <w:ind w:left="210" w:firstLine="0"/>
      </w:pPr>
      <w:rPr>
        <w:rFonts w:hint="eastAsia" w:ascii="黑体" w:hAnsi="Times New Roman" w:eastAsia="黑体"/>
        <w:b w:val="0"/>
        <w:i w:val="0"/>
        <w:snapToGrid/>
        <w:spacing w:val="0"/>
        <w:w w:val="100"/>
        <w:kern w:val="21"/>
        <w:sz w:val="21"/>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abstractNum w:abstractNumId="12">
    <w:nsid w:val="00000024"/>
    <w:multiLevelType w:val="multilevel"/>
    <w:tmpl w:val="00000024"/>
    <w:lvl w:ilvl="0" w:tentative="0">
      <w:start w:val="1"/>
      <w:numFmt w:val="chineseCountingThousand"/>
      <w:pStyle w:val="185"/>
      <w:lvlText w:val="%1、"/>
      <w:lvlJc w:val="left"/>
      <w:pPr>
        <w:tabs>
          <w:tab w:val="left" w:pos="720"/>
        </w:tabs>
        <w:ind w:left="420" w:hanging="42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3">
    <w:nsid w:val="00000025"/>
    <w:multiLevelType w:val="multilevel"/>
    <w:tmpl w:val="00000025"/>
    <w:lvl w:ilvl="0" w:tentative="0">
      <w:start w:val="1"/>
      <w:numFmt w:val="chineseCountingThousand"/>
      <w:suff w:val="space"/>
      <w:lvlText w:val="第%1章"/>
      <w:lvlJc w:val="left"/>
      <w:pPr>
        <w:ind w:left="850" w:firstLine="0"/>
      </w:pPr>
      <w:rPr>
        <w:rFonts w:hint="default" w:ascii="Times New Roman" w:hAnsi="Times New Roman" w:eastAsia="宋体"/>
        <w:b/>
        <w:i w:val="0"/>
        <w:sz w:val="32"/>
      </w:rPr>
    </w:lvl>
    <w:lvl w:ilvl="1" w:tentative="0">
      <w:start w:val="1"/>
      <w:numFmt w:val="decimal"/>
      <w:pStyle w:val="203"/>
      <w:isLgl/>
      <w:suff w:val="space"/>
      <w:lvlText w:val="%1.%2"/>
      <w:lvlJc w:val="left"/>
      <w:pPr>
        <w:ind w:left="0" w:firstLine="0"/>
      </w:pPr>
      <w:rPr>
        <w:rFonts w:hint="default" w:ascii="Times New Roman" w:hAnsi="Times New Roman" w:eastAsia="宋体"/>
        <w:b/>
        <w:i w:val="0"/>
      </w:rPr>
    </w:lvl>
    <w:lvl w:ilvl="2" w:tentative="0">
      <w:start w:val="1"/>
      <w:numFmt w:val="decimal"/>
      <w:pStyle w:val="159"/>
      <w:isLgl/>
      <w:suff w:val="space"/>
      <w:lvlText w:val="%1.%2.%3"/>
      <w:lvlJc w:val="left"/>
      <w:pPr>
        <w:ind w:left="0" w:firstLine="0"/>
      </w:pPr>
      <w:rPr>
        <w:rFonts w:hint="default" w:ascii="Times New Roman" w:hAnsi="Times New Roman" w:eastAsia="宋体"/>
        <w:b/>
        <w:i w:val="0"/>
      </w:rPr>
    </w:lvl>
    <w:lvl w:ilvl="3" w:tentative="0">
      <w:start w:val="1"/>
      <w:numFmt w:val="decimal"/>
      <w:pStyle w:val="223"/>
      <w:isLgl/>
      <w:suff w:val="space"/>
      <w:lvlText w:val="%1.%2.%3.%4"/>
      <w:lvlJc w:val="left"/>
      <w:pPr>
        <w:ind w:left="0" w:firstLine="0"/>
      </w:pPr>
      <w:rPr>
        <w:rFonts w:hint="default" w:ascii="Times New Roman" w:hAnsi="Times New Roman" w:eastAsia="宋体"/>
        <w:b/>
        <w:i w:val="0"/>
      </w:rPr>
    </w:lvl>
    <w:lvl w:ilvl="4" w:tentative="0">
      <w:start w:val="1"/>
      <w:numFmt w:val="decimal"/>
      <w:isLgl/>
      <w:suff w:val="space"/>
      <w:lvlText w:val="%1.%2.%3.%4.%5"/>
      <w:lvlJc w:val="left"/>
      <w:pPr>
        <w:ind w:left="0" w:firstLine="0"/>
      </w:pPr>
      <w:rPr>
        <w:rFonts w:hint="default" w:ascii="Times New Roman" w:hAnsi="Times New Roman" w:eastAsia="宋体"/>
        <w:b/>
        <w:i w:val="0"/>
      </w:rPr>
    </w:lvl>
    <w:lvl w:ilvl="5" w:tentative="0">
      <w:start w:val="1"/>
      <w:numFmt w:val="decimal"/>
      <w:isLgl/>
      <w:suff w:val="space"/>
      <w:lvlText w:val="%1.%2.%3.%4.%5.%6"/>
      <w:lvlJc w:val="left"/>
      <w:pPr>
        <w:ind w:left="0" w:firstLine="0"/>
      </w:pPr>
      <w:rPr>
        <w:rFonts w:hint="default" w:ascii="Times New Roman" w:hAnsi="Times New Roman" w:eastAsia="宋体" w:cs="Times New Roman"/>
        <w:b/>
        <w:i w:val="0"/>
        <w:iCs w:val="0"/>
        <w:caps w:val="0"/>
        <w:smallCaps w:val="0"/>
        <w:strike w:val="0"/>
        <w:dstrike w:val="0"/>
        <w:vanish w:val="0"/>
        <w:color w:val="000000"/>
        <w:spacing w:val="0"/>
        <w:kern w:val="0"/>
        <w:position w:val="0"/>
        <w:u w:val="none"/>
        <w:vertAlign w:val="baseline"/>
      </w:rPr>
    </w:lvl>
    <w:lvl w:ilvl="6" w:tentative="0">
      <w:start w:val="1"/>
      <w:numFmt w:val="decimal"/>
      <w:lvlRestart w:val="1"/>
      <w:isLgl/>
      <w:suff w:val="space"/>
      <w:lvlText w:val="表%1-%7"/>
      <w:lvlJc w:val="left"/>
      <w:pPr>
        <w:ind w:left="0" w:firstLine="0"/>
      </w:pPr>
      <w:rPr>
        <w:rFonts w:hint="default" w:ascii="Times New Roman" w:hAnsi="Times New Roman" w:eastAsia="宋体"/>
        <w:b/>
        <w:i w:val="0"/>
      </w:rPr>
    </w:lvl>
    <w:lvl w:ilvl="7" w:tentative="0">
      <w:start w:val="1"/>
      <w:numFmt w:val="decimal"/>
      <w:lvlRestart w:val="1"/>
      <w:isLgl/>
      <w:suff w:val="space"/>
      <w:lvlText w:val="图%1-%8"/>
      <w:lvlJc w:val="left"/>
      <w:pPr>
        <w:ind w:left="0" w:firstLine="0"/>
      </w:pPr>
      <w:rPr>
        <w:rFonts w:hint="default" w:ascii="Times New Roman" w:hAnsi="Times New Roman" w:eastAsia="宋体"/>
        <w:b/>
        <w:i w:val="0"/>
      </w:rPr>
    </w:lvl>
    <w:lvl w:ilvl="8" w:tentative="0">
      <w:start w:val="1"/>
      <w:numFmt w:val="decimal"/>
      <w:lvlText w:val="%1.%2.%3.%4.%5.%6.%7.%8.%9."/>
      <w:lvlJc w:val="left"/>
      <w:pPr>
        <w:tabs>
          <w:tab w:val="left" w:pos="1959"/>
        </w:tabs>
        <w:ind w:left="1959" w:hanging="1559"/>
      </w:pPr>
      <w:rPr>
        <w:rFonts w:hint="eastAsia"/>
      </w:rPr>
    </w:lvl>
  </w:abstractNum>
  <w:abstractNum w:abstractNumId="14">
    <w:nsid w:val="77BD4587"/>
    <w:multiLevelType w:val="singleLevel"/>
    <w:tmpl w:val="77BD4587"/>
    <w:lvl w:ilvl="0" w:tentative="0">
      <w:start w:val="2"/>
      <w:numFmt w:val="chineseCounting"/>
      <w:suff w:val="nothing"/>
      <w:lvlText w:val="（%1）"/>
      <w:lvlJc w:val="left"/>
      <w:rPr>
        <w:rFonts w:hint="eastAsia"/>
      </w:rPr>
    </w:lvl>
  </w:abstractNum>
  <w:num w:numId="1">
    <w:abstractNumId w:val="0"/>
  </w:num>
  <w:num w:numId="2">
    <w:abstractNumId w:val="6"/>
  </w:num>
  <w:num w:numId="3">
    <w:abstractNumId w:val="3"/>
  </w:num>
  <w:num w:numId="4">
    <w:abstractNumId w:val="5"/>
  </w:num>
  <w:num w:numId="5">
    <w:abstractNumId w:val="11"/>
  </w:num>
  <w:num w:numId="6">
    <w:abstractNumId w:val="2"/>
  </w:num>
  <w:num w:numId="7">
    <w:abstractNumId w:val="13"/>
  </w:num>
  <w:num w:numId="8">
    <w:abstractNumId w:val="10"/>
  </w:num>
  <w:num w:numId="9">
    <w:abstractNumId w:val="12"/>
  </w:num>
  <w:num w:numId="10">
    <w:abstractNumId w:val="9"/>
  </w:num>
  <w:num w:numId="11">
    <w:abstractNumId w:val="7"/>
  </w:num>
  <w:num w:numId="12">
    <w:abstractNumId w:val="4"/>
  </w:num>
  <w:num w:numId="13">
    <w:abstractNumId w:val="1"/>
  </w:num>
  <w:num w:numId="14">
    <w:abstractNumId w:val="14"/>
  </w:num>
  <w:num w:numId="15">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view w:val="normal"/>
  <w:zoom w:percent="92"/>
  <w:embedTrueTypeFonts/>
  <w:bordersDoNotSurroundHeader w:val="1"/>
  <w:bordersDoNotSurroundFooter w:val="1"/>
  <w:gutterAtTop/>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HorizontalSpacing w:val="126"/>
  <w:drawingGridVerticalSpacing w:val="196"/>
  <w:displayHorizontalDrawingGridEvery w:val="0"/>
  <w:displayVerticalDrawingGridEvery w:val="2"/>
  <w:characterSpacingControl w:val="compressPunctuation"/>
  <w:doNotValidateAgainstSchema/>
  <w:doNotDemarcateInvalidXml/>
  <w:hdrShapeDefaults>
    <o:shapelayout v:ext="edit">
      <o:idmap v:ext="edit" data="3,4"/>
    </o:shapelayout>
  </w:hdrShapeDefaults>
  <w:compat>
    <w:spaceForUL/>
    <w:balanceSingleByteDoubleByteWidth/>
    <w:doNotLeaveBackslashAlone/>
    <w:ulTrailSpace/>
    <w:doNotExpandShiftReturn/>
    <w:adjustLineHeightInTable/>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jg1ZmNiYmI4YTFiY2I3MTk0MmU4MzZmZjY5ZGM3MjcifQ=="/>
  </w:docVars>
  <w:rsids>
    <w:rsidRoot w:val="00172A27"/>
    <w:rsid w:val="0000737E"/>
    <w:rsid w:val="000558BD"/>
    <w:rsid w:val="00112AF6"/>
    <w:rsid w:val="00117DDF"/>
    <w:rsid w:val="00122D9F"/>
    <w:rsid w:val="00172A27"/>
    <w:rsid w:val="001A7146"/>
    <w:rsid w:val="001D14A9"/>
    <w:rsid w:val="001D5056"/>
    <w:rsid w:val="0020700B"/>
    <w:rsid w:val="0022261A"/>
    <w:rsid w:val="00271893"/>
    <w:rsid w:val="00274FB6"/>
    <w:rsid w:val="002B37F9"/>
    <w:rsid w:val="002D18CA"/>
    <w:rsid w:val="003A5ECC"/>
    <w:rsid w:val="003E1A6E"/>
    <w:rsid w:val="003E491D"/>
    <w:rsid w:val="00404A41"/>
    <w:rsid w:val="00442D33"/>
    <w:rsid w:val="00472CD3"/>
    <w:rsid w:val="00477EC4"/>
    <w:rsid w:val="004A4878"/>
    <w:rsid w:val="005106DD"/>
    <w:rsid w:val="005553DA"/>
    <w:rsid w:val="00586B77"/>
    <w:rsid w:val="005A6212"/>
    <w:rsid w:val="005D15EF"/>
    <w:rsid w:val="005E3804"/>
    <w:rsid w:val="0060121A"/>
    <w:rsid w:val="006879A3"/>
    <w:rsid w:val="006B3E7C"/>
    <w:rsid w:val="006E7136"/>
    <w:rsid w:val="00763FAC"/>
    <w:rsid w:val="007C21E6"/>
    <w:rsid w:val="007C41C2"/>
    <w:rsid w:val="00862F8D"/>
    <w:rsid w:val="0086392F"/>
    <w:rsid w:val="0086747A"/>
    <w:rsid w:val="00870955"/>
    <w:rsid w:val="0096657E"/>
    <w:rsid w:val="00A8291E"/>
    <w:rsid w:val="00AC2AB1"/>
    <w:rsid w:val="00B3360A"/>
    <w:rsid w:val="00C042DE"/>
    <w:rsid w:val="00C45D7A"/>
    <w:rsid w:val="00C62F68"/>
    <w:rsid w:val="00C72B56"/>
    <w:rsid w:val="00C73E9F"/>
    <w:rsid w:val="00CC314E"/>
    <w:rsid w:val="00CC34D6"/>
    <w:rsid w:val="00CD34B3"/>
    <w:rsid w:val="00D22580"/>
    <w:rsid w:val="00D4168C"/>
    <w:rsid w:val="00D953A8"/>
    <w:rsid w:val="00DB6477"/>
    <w:rsid w:val="00DF3926"/>
    <w:rsid w:val="00E01B7F"/>
    <w:rsid w:val="00E0776E"/>
    <w:rsid w:val="00E41BA6"/>
    <w:rsid w:val="00EC543E"/>
    <w:rsid w:val="00FB1890"/>
    <w:rsid w:val="019B422F"/>
    <w:rsid w:val="03A21010"/>
    <w:rsid w:val="03A81DA8"/>
    <w:rsid w:val="03E43144"/>
    <w:rsid w:val="04205073"/>
    <w:rsid w:val="04340045"/>
    <w:rsid w:val="04D029C0"/>
    <w:rsid w:val="05281F35"/>
    <w:rsid w:val="061C0653"/>
    <w:rsid w:val="09B77FD6"/>
    <w:rsid w:val="0A8A565F"/>
    <w:rsid w:val="0B46365F"/>
    <w:rsid w:val="0BA1676A"/>
    <w:rsid w:val="0D020DD4"/>
    <w:rsid w:val="0D520668"/>
    <w:rsid w:val="0FC86D10"/>
    <w:rsid w:val="0FCC6F32"/>
    <w:rsid w:val="101715A8"/>
    <w:rsid w:val="10A73B74"/>
    <w:rsid w:val="11095698"/>
    <w:rsid w:val="115029FE"/>
    <w:rsid w:val="11BE2265"/>
    <w:rsid w:val="128551AE"/>
    <w:rsid w:val="12947FA2"/>
    <w:rsid w:val="13F034F3"/>
    <w:rsid w:val="150C2DE8"/>
    <w:rsid w:val="15615E07"/>
    <w:rsid w:val="160D64B1"/>
    <w:rsid w:val="166C1514"/>
    <w:rsid w:val="1741188A"/>
    <w:rsid w:val="175A173D"/>
    <w:rsid w:val="191956F2"/>
    <w:rsid w:val="19202001"/>
    <w:rsid w:val="19DF5160"/>
    <w:rsid w:val="1AFE06A2"/>
    <w:rsid w:val="1B2F3DE8"/>
    <w:rsid w:val="1B5B324C"/>
    <w:rsid w:val="1C165FD7"/>
    <w:rsid w:val="1D35171F"/>
    <w:rsid w:val="1F030D3D"/>
    <w:rsid w:val="1F5B48C3"/>
    <w:rsid w:val="202A4778"/>
    <w:rsid w:val="21F33093"/>
    <w:rsid w:val="21FD2EDB"/>
    <w:rsid w:val="223A2EF9"/>
    <w:rsid w:val="2265638C"/>
    <w:rsid w:val="22F21189"/>
    <w:rsid w:val="233951C8"/>
    <w:rsid w:val="24075D14"/>
    <w:rsid w:val="251013E6"/>
    <w:rsid w:val="26C600D6"/>
    <w:rsid w:val="26E61B95"/>
    <w:rsid w:val="27973C35"/>
    <w:rsid w:val="27F72D3D"/>
    <w:rsid w:val="2BC96CE5"/>
    <w:rsid w:val="2D1D72BA"/>
    <w:rsid w:val="2D8026A7"/>
    <w:rsid w:val="2E795606"/>
    <w:rsid w:val="2FC7547F"/>
    <w:rsid w:val="31E67B7A"/>
    <w:rsid w:val="3384280B"/>
    <w:rsid w:val="34104741"/>
    <w:rsid w:val="34153452"/>
    <w:rsid w:val="3428021F"/>
    <w:rsid w:val="3519651B"/>
    <w:rsid w:val="356F1CC4"/>
    <w:rsid w:val="366C3548"/>
    <w:rsid w:val="36AE5AD7"/>
    <w:rsid w:val="371C474A"/>
    <w:rsid w:val="39106737"/>
    <w:rsid w:val="391B3783"/>
    <w:rsid w:val="391E5271"/>
    <w:rsid w:val="39782A58"/>
    <w:rsid w:val="39D715F1"/>
    <w:rsid w:val="3AB43469"/>
    <w:rsid w:val="3B2D7683"/>
    <w:rsid w:val="3C822ED1"/>
    <w:rsid w:val="3CA83044"/>
    <w:rsid w:val="3CEA0006"/>
    <w:rsid w:val="3D8E711F"/>
    <w:rsid w:val="3DB45BD7"/>
    <w:rsid w:val="3F206AAF"/>
    <w:rsid w:val="3F352A08"/>
    <w:rsid w:val="409210BF"/>
    <w:rsid w:val="411F44B6"/>
    <w:rsid w:val="426830D1"/>
    <w:rsid w:val="43676CE6"/>
    <w:rsid w:val="44114731"/>
    <w:rsid w:val="44752417"/>
    <w:rsid w:val="448E2F19"/>
    <w:rsid w:val="448E44AB"/>
    <w:rsid w:val="44E26D5D"/>
    <w:rsid w:val="465141D7"/>
    <w:rsid w:val="4657307C"/>
    <w:rsid w:val="47052850"/>
    <w:rsid w:val="475A7342"/>
    <w:rsid w:val="48F67923"/>
    <w:rsid w:val="49143DDC"/>
    <w:rsid w:val="492966C5"/>
    <w:rsid w:val="4DBD461A"/>
    <w:rsid w:val="4EA672A4"/>
    <w:rsid w:val="4EB54FC2"/>
    <w:rsid w:val="4EEF2BE4"/>
    <w:rsid w:val="4FE76EBC"/>
    <w:rsid w:val="51DF3B47"/>
    <w:rsid w:val="525B4282"/>
    <w:rsid w:val="52C20643"/>
    <w:rsid w:val="5443029D"/>
    <w:rsid w:val="546A4AF9"/>
    <w:rsid w:val="5479682C"/>
    <w:rsid w:val="55BC78AC"/>
    <w:rsid w:val="55F23E87"/>
    <w:rsid w:val="56D41ACB"/>
    <w:rsid w:val="57E051E9"/>
    <w:rsid w:val="585956B1"/>
    <w:rsid w:val="5A67558D"/>
    <w:rsid w:val="5B6A0B50"/>
    <w:rsid w:val="5BD732C7"/>
    <w:rsid w:val="5CC53214"/>
    <w:rsid w:val="5CCE30DB"/>
    <w:rsid w:val="5DB20AA8"/>
    <w:rsid w:val="5DB62CC2"/>
    <w:rsid w:val="5E8F01ED"/>
    <w:rsid w:val="5E956445"/>
    <w:rsid w:val="5F373FB3"/>
    <w:rsid w:val="5F3B2BDA"/>
    <w:rsid w:val="5FAF5E0A"/>
    <w:rsid w:val="60776A58"/>
    <w:rsid w:val="622A0980"/>
    <w:rsid w:val="62315E2C"/>
    <w:rsid w:val="62C6222A"/>
    <w:rsid w:val="63202519"/>
    <w:rsid w:val="639B51B4"/>
    <w:rsid w:val="661048BD"/>
    <w:rsid w:val="6710214E"/>
    <w:rsid w:val="671D3D69"/>
    <w:rsid w:val="68991EEC"/>
    <w:rsid w:val="696A1BFC"/>
    <w:rsid w:val="6B261F1F"/>
    <w:rsid w:val="6BFA077B"/>
    <w:rsid w:val="6CCE320C"/>
    <w:rsid w:val="6D5C5811"/>
    <w:rsid w:val="6DC14CB8"/>
    <w:rsid w:val="6E1124E5"/>
    <w:rsid w:val="6F073457"/>
    <w:rsid w:val="6F57671E"/>
    <w:rsid w:val="6FF466C3"/>
    <w:rsid w:val="721B66BA"/>
    <w:rsid w:val="73195CC8"/>
    <w:rsid w:val="7357743A"/>
    <w:rsid w:val="74860C93"/>
    <w:rsid w:val="757979A6"/>
    <w:rsid w:val="75E06325"/>
    <w:rsid w:val="798A00E7"/>
    <w:rsid w:val="7A997E40"/>
    <w:rsid w:val="7BD127D4"/>
    <w:rsid w:val="7CAC2C4C"/>
    <w:rsid w:val="7D662008"/>
    <w:rsid w:val="7FE76A8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qFormat="1"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5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微软雅黑" w:cs="Times New Roman"/>
      <w:kern w:val="2"/>
      <w:sz w:val="28"/>
      <w:lang w:val="en-US" w:eastAsia="zh-CN" w:bidi="ar-SA"/>
    </w:rPr>
  </w:style>
  <w:style w:type="paragraph" w:styleId="3">
    <w:name w:val="heading 1"/>
    <w:basedOn w:val="1"/>
    <w:next w:val="1"/>
    <w:qFormat/>
    <w:uiPriority w:val="0"/>
    <w:pPr>
      <w:keepNext/>
      <w:snapToGrid w:val="0"/>
      <w:spacing w:line="360" w:lineRule="atLeast"/>
      <w:outlineLvl w:val="0"/>
    </w:pPr>
    <w:rPr>
      <w:rFonts w:ascii="宋体"/>
    </w:rPr>
  </w:style>
  <w:style w:type="paragraph" w:styleId="4">
    <w:name w:val="heading 2"/>
    <w:basedOn w:val="1"/>
    <w:next w:val="1"/>
    <w:link w:val="71"/>
    <w:qFormat/>
    <w:uiPriority w:val="0"/>
    <w:pPr>
      <w:keepNext/>
      <w:keepLines/>
      <w:spacing w:before="260" w:after="260" w:line="413" w:lineRule="auto"/>
      <w:outlineLvl w:val="1"/>
    </w:pPr>
    <w:rPr>
      <w:rFonts w:ascii="Arial" w:hAnsi="Arial" w:eastAsia="黑体"/>
      <w:b/>
      <w:sz w:val="32"/>
    </w:rPr>
  </w:style>
  <w:style w:type="paragraph" w:styleId="5">
    <w:name w:val="heading 3"/>
    <w:basedOn w:val="1"/>
    <w:next w:val="1"/>
    <w:link w:val="72"/>
    <w:qFormat/>
    <w:uiPriority w:val="0"/>
    <w:pPr>
      <w:keepNext/>
      <w:keepLines/>
      <w:spacing w:before="260" w:after="260" w:line="413" w:lineRule="auto"/>
      <w:outlineLvl w:val="2"/>
    </w:pPr>
    <w:rPr>
      <w:rFonts w:eastAsia="宋体"/>
      <w:b/>
      <w:sz w:val="32"/>
    </w:rPr>
  </w:style>
  <w:style w:type="paragraph" w:styleId="2">
    <w:name w:val="heading 4"/>
    <w:basedOn w:val="1"/>
    <w:next w:val="1"/>
    <w:qFormat/>
    <w:uiPriority w:val="0"/>
    <w:pPr>
      <w:keepNext/>
      <w:keepLines/>
      <w:spacing w:before="280" w:after="290" w:line="372" w:lineRule="auto"/>
      <w:outlineLvl w:val="3"/>
    </w:pPr>
    <w:rPr>
      <w:rFonts w:ascii="Arial" w:hAnsi="Arial" w:eastAsia="黑体"/>
      <w:b/>
    </w:rPr>
  </w:style>
  <w:style w:type="paragraph" w:styleId="6">
    <w:name w:val="heading 5"/>
    <w:basedOn w:val="1"/>
    <w:next w:val="1"/>
    <w:qFormat/>
    <w:uiPriority w:val="0"/>
    <w:pPr>
      <w:keepNext/>
      <w:keepLines/>
      <w:tabs>
        <w:tab w:val="left" w:pos="2551"/>
      </w:tabs>
      <w:spacing w:before="280" w:after="290" w:line="372" w:lineRule="auto"/>
      <w:ind w:left="2551" w:hanging="850"/>
      <w:outlineLvl w:val="4"/>
    </w:pPr>
    <w:rPr>
      <w:b/>
    </w:rPr>
  </w:style>
  <w:style w:type="paragraph" w:styleId="7">
    <w:name w:val="heading 6"/>
    <w:basedOn w:val="1"/>
    <w:next w:val="1"/>
    <w:qFormat/>
    <w:uiPriority w:val="0"/>
    <w:pPr>
      <w:keepNext/>
      <w:keepLines/>
      <w:tabs>
        <w:tab w:val="left" w:pos="1152"/>
      </w:tabs>
      <w:adjustRightInd w:val="0"/>
      <w:snapToGrid w:val="0"/>
      <w:spacing w:before="240" w:after="64" w:line="317" w:lineRule="auto"/>
      <w:ind w:left="1152" w:hanging="1152"/>
      <w:outlineLvl w:val="5"/>
    </w:pPr>
    <w:rPr>
      <w:rFonts w:ascii="Arial" w:hAnsi="Arial" w:eastAsia="黑体"/>
      <w:b/>
      <w:sz w:val="24"/>
    </w:rPr>
  </w:style>
  <w:style w:type="paragraph" w:styleId="8">
    <w:name w:val="heading 7"/>
    <w:basedOn w:val="1"/>
    <w:next w:val="1"/>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sz w:val="24"/>
    </w:rPr>
  </w:style>
  <w:style w:type="paragraph" w:styleId="9">
    <w:name w:val="heading 8"/>
    <w:basedOn w:val="1"/>
    <w:next w:val="1"/>
    <w:qFormat/>
    <w:uiPriority w:val="0"/>
    <w:pPr>
      <w:keepNext/>
      <w:keepLines/>
      <w:tabs>
        <w:tab w:val="left" w:pos="1440"/>
      </w:tabs>
      <w:adjustRightInd w:val="0"/>
      <w:snapToGrid w:val="0"/>
      <w:spacing w:before="240" w:after="64" w:line="317" w:lineRule="auto"/>
      <w:ind w:left="1440" w:hanging="1440"/>
      <w:outlineLvl w:val="7"/>
    </w:pPr>
    <w:rPr>
      <w:rFonts w:ascii="Arial" w:hAnsi="Arial" w:eastAsia="黑体"/>
      <w:b/>
      <w:sz w:val="24"/>
    </w:rPr>
  </w:style>
  <w:style w:type="paragraph" w:styleId="10">
    <w:name w:val="heading 9"/>
    <w:basedOn w:val="1"/>
    <w:next w:val="1"/>
    <w:qFormat/>
    <w:uiPriority w:val="0"/>
    <w:pPr>
      <w:keepNext/>
      <w:keepLines/>
      <w:tabs>
        <w:tab w:val="left" w:pos="1584"/>
      </w:tabs>
      <w:adjustRightInd w:val="0"/>
      <w:snapToGrid w:val="0"/>
      <w:spacing w:before="240" w:after="64" w:line="317" w:lineRule="auto"/>
      <w:ind w:left="1584" w:hanging="1584"/>
      <w:outlineLvl w:val="8"/>
    </w:pPr>
    <w:rPr>
      <w:rFonts w:ascii="Arial" w:hAnsi="Arial" w:eastAsia="黑体"/>
      <w:b/>
      <w:sz w:val="24"/>
    </w:rPr>
  </w:style>
  <w:style w:type="character" w:default="1" w:styleId="61">
    <w:name w:val="Default Paragraph Font"/>
    <w:semiHidden/>
    <w:unhideWhenUsed/>
    <w:qFormat/>
    <w:uiPriority w:val="1"/>
  </w:style>
  <w:style w:type="table" w:default="1" w:styleId="59">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11">
    <w:name w:val="List 3"/>
    <w:basedOn w:val="1"/>
    <w:qFormat/>
    <w:uiPriority w:val="0"/>
    <w:pPr>
      <w:adjustRightInd w:val="0"/>
      <w:snapToGrid w:val="0"/>
      <w:spacing w:line="360" w:lineRule="auto"/>
      <w:ind w:left="100" w:leftChars="400" w:hanging="200" w:hangingChars="200"/>
    </w:pPr>
    <w:rPr>
      <w:sz w:val="24"/>
    </w:rPr>
  </w:style>
  <w:style w:type="paragraph" w:styleId="12">
    <w:name w:val="toc 7"/>
    <w:basedOn w:val="1"/>
    <w:next w:val="1"/>
    <w:qFormat/>
    <w:uiPriority w:val="0"/>
    <w:pPr>
      <w:ind w:left="2520" w:leftChars="1200"/>
    </w:pPr>
  </w:style>
  <w:style w:type="paragraph" w:styleId="13">
    <w:name w:val="List Number 2"/>
    <w:basedOn w:val="1"/>
    <w:qFormat/>
    <w:uiPriority w:val="0"/>
    <w:pPr>
      <w:numPr>
        <w:ilvl w:val="0"/>
        <w:numId w:val="1"/>
      </w:numPr>
      <w:tabs>
        <w:tab w:val="left" w:pos="780"/>
        <w:tab w:val="clear" w:pos="425"/>
      </w:tabs>
      <w:spacing w:line="360" w:lineRule="auto"/>
    </w:pPr>
    <w:rPr>
      <w:sz w:val="24"/>
    </w:rPr>
  </w:style>
  <w:style w:type="paragraph" w:styleId="14">
    <w:name w:val="List Bullet 4"/>
    <w:basedOn w:val="1"/>
    <w:qFormat/>
    <w:uiPriority w:val="0"/>
    <w:pPr>
      <w:widowControl/>
      <w:tabs>
        <w:tab w:val="left" w:pos="1134"/>
      </w:tabs>
      <w:adjustRightInd w:val="0"/>
      <w:snapToGrid w:val="0"/>
      <w:spacing w:before="120" w:line="280" w:lineRule="atLeast"/>
      <w:ind w:left="1418" w:hanging="284"/>
      <w:jc w:val="left"/>
    </w:pPr>
    <w:rPr>
      <w:rFonts w:ascii="宋体"/>
      <w:kern w:val="0"/>
      <w:sz w:val="22"/>
    </w:rPr>
  </w:style>
  <w:style w:type="paragraph" w:styleId="15">
    <w:name w:val="Normal Indent"/>
    <w:basedOn w:val="1"/>
    <w:qFormat/>
    <w:uiPriority w:val="0"/>
    <w:pPr>
      <w:adjustRightInd w:val="0"/>
      <w:snapToGrid w:val="0"/>
      <w:spacing w:line="360" w:lineRule="auto"/>
      <w:ind w:firstLine="420"/>
    </w:pPr>
    <w:rPr>
      <w:sz w:val="24"/>
    </w:rPr>
  </w:style>
  <w:style w:type="paragraph" w:styleId="16">
    <w:name w:val="caption"/>
    <w:basedOn w:val="1"/>
    <w:next w:val="1"/>
    <w:qFormat/>
    <w:uiPriority w:val="0"/>
    <w:pPr>
      <w:widowControl/>
      <w:tabs>
        <w:tab w:val="left" w:pos="1134"/>
      </w:tabs>
      <w:adjustRightInd w:val="0"/>
      <w:snapToGrid w:val="0"/>
      <w:spacing w:line="280" w:lineRule="atLeast"/>
      <w:jc w:val="left"/>
    </w:pPr>
    <w:rPr>
      <w:rFonts w:eastAsia="PMingLiU"/>
      <w:b/>
      <w:kern w:val="0"/>
      <w:sz w:val="24"/>
      <w:lang w:eastAsia="zh-TW"/>
    </w:rPr>
  </w:style>
  <w:style w:type="paragraph" w:styleId="17">
    <w:name w:val="Document Map"/>
    <w:basedOn w:val="1"/>
    <w:qFormat/>
    <w:uiPriority w:val="0"/>
    <w:pPr>
      <w:shd w:val="clear" w:color="auto" w:fill="000080"/>
    </w:pPr>
  </w:style>
  <w:style w:type="paragraph" w:styleId="18">
    <w:name w:val="toa heading"/>
    <w:basedOn w:val="1"/>
    <w:next w:val="1"/>
    <w:qFormat/>
    <w:uiPriority w:val="0"/>
    <w:pPr>
      <w:spacing w:before="120"/>
    </w:pPr>
    <w:rPr>
      <w:rFonts w:ascii="Arial" w:hAnsi="Arial"/>
      <w:sz w:val="24"/>
    </w:rPr>
  </w:style>
  <w:style w:type="paragraph" w:styleId="19">
    <w:name w:val="annotation text"/>
    <w:basedOn w:val="1"/>
    <w:link w:val="73"/>
    <w:qFormat/>
    <w:uiPriority w:val="0"/>
    <w:pPr>
      <w:adjustRightInd w:val="0"/>
      <w:spacing w:line="360" w:lineRule="atLeast"/>
      <w:jc w:val="left"/>
      <w:textAlignment w:val="baseline"/>
    </w:pPr>
    <w:rPr>
      <w:sz w:val="24"/>
    </w:rPr>
  </w:style>
  <w:style w:type="paragraph" w:styleId="20">
    <w:name w:val="Body Text 3"/>
    <w:basedOn w:val="1"/>
    <w:qFormat/>
    <w:uiPriority w:val="0"/>
    <w:pPr>
      <w:adjustRightInd w:val="0"/>
      <w:snapToGrid w:val="0"/>
      <w:spacing w:after="120" w:line="360" w:lineRule="auto"/>
    </w:pPr>
    <w:rPr>
      <w:sz w:val="16"/>
    </w:rPr>
  </w:style>
  <w:style w:type="paragraph" w:styleId="21">
    <w:name w:val="List Bullet 3"/>
    <w:basedOn w:val="1"/>
    <w:qFormat/>
    <w:uiPriority w:val="0"/>
    <w:pPr>
      <w:numPr>
        <w:ilvl w:val="0"/>
        <w:numId w:val="2"/>
      </w:numPr>
      <w:adjustRightInd w:val="0"/>
      <w:snapToGrid w:val="0"/>
      <w:spacing w:line="360" w:lineRule="auto"/>
    </w:pPr>
    <w:rPr>
      <w:sz w:val="24"/>
    </w:rPr>
  </w:style>
  <w:style w:type="paragraph" w:styleId="22">
    <w:name w:val="Body Text"/>
    <w:basedOn w:val="1"/>
    <w:next w:val="1"/>
    <w:qFormat/>
    <w:uiPriority w:val="0"/>
    <w:rPr>
      <w:rFonts w:ascii="仿宋_GB2312" w:eastAsia="仿宋_GB2312"/>
      <w:sz w:val="32"/>
    </w:rPr>
  </w:style>
  <w:style w:type="paragraph" w:styleId="23">
    <w:name w:val="Body Text Indent"/>
    <w:basedOn w:val="1"/>
    <w:link w:val="74"/>
    <w:qFormat/>
    <w:uiPriority w:val="0"/>
    <w:pPr>
      <w:spacing w:line="700" w:lineRule="exact"/>
      <w:ind w:left="960"/>
    </w:pPr>
    <w:rPr>
      <w:sz w:val="44"/>
    </w:rPr>
  </w:style>
  <w:style w:type="paragraph" w:styleId="24">
    <w:name w:val="List Number 3"/>
    <w:basedOn w:val="1"/>
    <w:qFormat/>
    <w:uiPriority w:val="0"/>
    <w:pPr>
      <w:tabs>
        <w:tab w:val="left" w:pos="2120"/>
      </w:tabs>
      <w:adjustRightInd w:val="0"/>
      <w:snapToGrid w:val="0"/>
      <w:spacing w:line="360" w:lineRule="auto"/>
      <w:ind w:left="2120" w:hanging="720"/>
    </w:pPr>
    <w:rPr>
      <w:sz w:val="24"/>
    </w:rPr>
  </w:style>
  <w:style w:type="paragraph" w:styleId="25">
    <w:name w:val="List 2"/>
    <w:basedOn w:val="1"/>
    <w:qFormat/>
    <w:uiPriority w:val="0"/>
    <w:pPr>
      <w:adjustRightInd w:val="0"/>
      <w:snapToGrid w:val="0"/>
      <w:spacing w:line="360" w:lineRule="auto"/>
      <w:ind w:left="100" w:leftChars="200" w:hanging="200" w:hangingChars="200"/>
    </w:pPr>
    <w:rPr>
      <w:sz w:val="24"/>
    </w:rPr>
  </w:style>
  <w:style w:type="paragraph" w:styleId="26">
    <w:name w:val="List Continue"/>
    <w:basedOn w:val="1"/>
    <w:qFormat/>
    <w:uiPriority w:val="0"/>
    <w:pPr>
      <w:adjustRightInd w:val="0"/>
      <w:snapToGrid w:val="0"/>
      <w:spacing w:after="120" w:line="360" w:lineRule="auto"/>
      <w:ind w:left="420" w:leftChars="200"/>
    </w:pPr>
    <w:rPr>
      <w:sz w:val="24"/>
    </w:rPr>
  </w:style>
  <w:style w:type="paragraph" w:styleId="27">
    <w:name w:val="List Bullet 2"/>
    <w:basedOn w:val="1"/>
    <w:qFormat/>
    <w:uiPriority w:val="0"/>
    <w:pPr>
      <w:numPr>
        <w:ilvl w:val="0"/>
        <w:numId w:val="3"/>
      </w:numPr>
      <w:adjustRightInd w:val="0"/>
      <w:snapToGrid w:val="0"/>
      <w:spacing w:line="360" w:lineRule="auto"/>
    </w:pPr>
    <w:rPr>
      <w:sz w:val="24"/>
    </w:rPr>
  </w:style>
  <w:style w:type="paragraph" w:styleId="28">
    <w:name w:val="toc 5"/>
    <w:basedOn w:val="1"/>
    <w:next w:val="1"/>
    <w:qFormat/>
    <w:uiPriority w:val="0"/>
    <w:pPr>
      <w:ind w:left="1680" w:leftChars="800"/>
    </w:pPr>
  </w:style>
  <w:style w:type="paragraph" w:styleId="29">
    <w:name w:val="toc 3"/>
    <w:basedOn w:val="1"/>
    <w:next w:val="1"/>
    <w:qFormat/>
    <w:uiPriority w:val="39"/>
    <w:pPr>
      <w:ind w:left="840" w:leftChars="400"/>
    </w:pPr>
  </w:style>
  <w:style w:type="paragraph" w:styleId="30">
    <w:name w:val="Plain Text"/>
    <w:basedOn w:val="1"/>
    <w:link w:val="75"/>
    <w:qFormat/>
    <w:uiPriority w:val="0"/>
    <w:rPr>
      <w:rFonts w:ascii="宋体" w:hAnsi="Courier New"/>
      <w:sz w:val="21"/>
    </w:rPr>
  </w:style>
  <w:style w:type="paragraph" w:styleId="31">
    <w:name w:val="toc 8"/>
    <w:basedOn w:val="1"/>
    <w:next w:val="1"/>
    <w:qFormat/>
    <w:uiPriority w:val="0"/>
    <w:pPr>
      <w:ind w:left="2940" w:leftChars="1400"/>
    </w:pPr>
  </w:style>
  <w:style w:type="paragraph" w:styleId="32">
    <w:name w:val="Date"/>
    <w:basedOn w:val="1"/>
    <w:next w:val="1"/>
    <w:link w:val="76"/>
    <w:qFormat/>
    <w:uiPriority w:val="0"/>
  </w:style>
  <w:style w:type="paragraph" w:styleId="33">
    <w:name w:val="Body Text Indent 2"/>
    <w:basedOn w:val="1"/>
    <w:link w:val="77"/>
    <w:qFormat/>
    <w:uiPriority w:val="0"/>
    <w:pPr>
      <w:spacing w:after="120" w:line="480" w:lineRule="auto"/>
      <w:ind w:left="420" w:leftChars="200"/>
    </w:pPr>
  </w:style>
  <w:style w:type="paragraph" w:styleId="34">
    <w:name w:val="Balloon Text"/>
    <w:basedOn w:val="1"/>
    <w:qFormat/>
    <w:uiPriority w:val="0"/>
    <w:rPr>
      <w:sz w:val="18"/>
    </w:rPr>
  </w:style>
  <w:style w:type="paragraph" w:styleId="35">
    <w:name w:val="footer"/>
    <w:basedOn w:val="1"/>
    <w:link w:val="78"/>
    <w:qFormat/>
    <w:uiPriority w:val="0"/>
    <w:pPr>
      <w:tabs>
        <w:tab w:val="center" w:pos="4153"/>
        <w:tab w:val="right" w:pos="8306"/>
      </w:tabs>
      <w:snapToGrid w:val="0"/>
      <w:jc w:val="left"/>
    </w:pPr>
    <w:rPr>
      <w:sz w:val="18"/>
    </w:rPr>
  </w:style>
  <w:style w:type="paragraph" w:styleId="36">
    <w:name w:val="header"/>
    <w:basedOn w:val="1"/>
    <w:qFormat/>
    <w:uiPriority w:val="0"/>
    <w:pPr>
      <w:pBdr>
        <w:bottom w:val="single" w:color="auto" w:sz="6" w:space="1"/>
      </w:pBdr>
      <w:tabs>
        <w:tab w:val="center" w:pos="4153"/>
        <w:tab w:val="right" w:pos="8306"/>
      </w:tabs>
      <w:snapToGrid w:val="0"/>
      <w:jc w:val="center"/>
    </w:pPr>
    <w:rPr>
      <w:sz w:val="18"/>
    </w:rPr>
  </w:style>
  <w:style w:type="paragraph" w:styleId="37">
    <w:name w:val="toc 1"/>
    <w:basedOn w:val="1"/>
    <w:next w:val="1"/>
    <w:qFormat/>
    <w:uiPriority w:val="39"/>
    <w:pPr>
      <w:spacing w:line="180" w:lineRule="auto"/>
      <w:jc w:val="center"/>
    </w:pPr>
    <w:rPr>
      <w:sz w:val="30"/>
    </w:rPr>
  </w:style>
  <w:style w:type="paragraph" w:styleId="38">
    <w:name w:val="List Continue 4"/>
    <w:basedOn w:val="1"/>
    <w:qFormat/>
    <w:uiPriority w:val="0"/>
    <w:pPr>
      <w:adjustRightInd w:val="0"/>
      <w:snapToGrid w:val="0"/>
      <w:spacing w:after="120" w:line="360" w:lineRule="auto"/>
      <w:ind w:left="1680" w:leftChars="800"/>
    </w:pPr>
    <w:rPr>
      <w:sz w:val="24"/>
    </w:rPr>
  </w:style>
  <w:style w:type="paragraph" w:styleId="39">
    <w:name w:val="toc 4"/>
    <w:basedOn w:val="1"/>
    <w:next w:val="1"/>
    <w:qFormat/>
    <w:uiPriority w:val="0"/>
    <w:pPr>
      <w:ind w:left="1260" w:leftChars="600"/>
    </w:pPr>
  </w:style>
  <w:style w:type="paragraph" w:styleId="40">
    <w:name w:val="footnote text"/>
    <w:basedOn w:val="1"/>
    <w:link w:val="79"/>
    <w:qFormat/>
    <w:uiPriority w:val="0"/>
    <w:pPr>
      <w:spacing w:line="360" w:lineRule="auto"/>
    </w:pPr>
    <w:rPr>
      <w:sz w:val="18"/>
    </w:rPr>
  </w:style>
  <w:style w:type="paragraph" w:styleId="41">
    <w:name w:val="toc 6"/>
    <w:basedOn w:val="1"/>
    <w:next w:val="1"/>
    <w:qFormat/>
    <w:uiPriority w:val="0"/>
    <w:pPr>
      <w:ind w:left="2100" w:leftChars="1000"/>
    </w:pPr>
  </w:style>
  <w:style w:type="paragraph" w:styleId="42">
    <w:name w:val="List 5"/>
    <w:basedOn w:val="1"/>
    <w:qFormat/>
    <w:uiPriority w:val="0"/>
    <w:pPr>
      <w:adjustRightInd w:val="0"/>
      <w:snapToGrid w:val="0"/>
      <w:spacing w:line="360" w:lineRule="auto"/>
      <w:ind w:left="100" w:leftChars="800" w:hanging="200" w:hangingChars="200"/>
    </w:pPr>
    <w:rPr>
      <w:sz w:val="24"/>
    </w:rPr>
  </w:style>
  <w:style w:type="paragraph" w:styleId="43">
    <w:name w:val="Body Text Indent 3"/>
    <w:basedOn w:val="1"/>
    <w:qFormat/>
    <w:uiPriority w:val="0"/>
    <w:pPr>
      <w:spacing w:line="360" w:lineRule="auto"/>
      <w:ind w:firstLine="632"/>
    </w:pPr>
    <w:rPr>
      <w:rFonts w:ascii="黑体" w:eastAsia="黑体"/>
    </w:rPr>
  </w:style>
  <w:style w:type="paragraph" w:styleId="44">
    <w:name w:val="index 9"/>
    <w:basedOn w:val="1"/>
    <w:next w:val="1"/>
    <w:qFormat/>
    <w:uiPriority w:val="0"/>
    <w:pPr>
      <w:ind w:left="1600" w:leftChars="1600"/>
    </w:pPr>
  </w:style>
  <w:style w:type="paragraph" w:styleId="45">
    <w:name w:val="table of figures"/>
    <w:basedOn w:val="1"/>
    <w:next w:val="1"/>
    <w:qFormat/>
    <w:uiPriority w:val="0"/>
    <w:pPr>
      <w:tabs>
        <w:tab w:val="right" w:leader="dot" w:pos="8640"/>
      </w:tabs>
      <w:spacing w:line="360" w:lineRule="auto"/>
      <w:ind w:left="400" w:hanging="400"/>
    </w:pPr>
    <w:rPr>
      <w:sz w:val="24"/>
    </w:rPr>
  </w:style>
  <w:style w:type="paragraph" w:styleId="46">
    <w:name w:val="toc 2"/>
    <w:basedOn w:val="1"/>
    <w:next w:val="1"/>
    <w:qFormat/>
    <w:uiPriority w:val="39"/>
    <w:pPr>
      <w:ind w:left="420" w:leftChars="200"/>
      <w:jc w:val="left"/>
    </w:pPr>
    <w:rPr>
      <w:rFonts w:ascii="Times New Roman" w:hAnsi="Times New Roman" w:eastAsia="宋体"/>
    </w:rPr>
  </w:style>
  <w:style w:type="paragraph" w:styleId="47">
    <w:name w:val="toc 9"/>
    <w:basedOn w:val="1"/>
    <w:next w:val="1"/>
    <w:qFormat/>
    <w:uiPriority w:val="0"/>
    <w:pPr>
      <w:ind w:left="3360" w:leftChars="1600"/>
    </w:pPr>
  </w:style>
  <w:style w:type="paragraph" w:styleId="48">
    <w:name w:val="Body Text 2"/>
    <w:basedOn w:val="1"/>
    <w:qFormat/>
    <w:uiPriority w:val="0"/>
    <w:pPr>
      <w:adjustRightInd w:val="0"/>
      <w:snapToGrid w:val="0"/>
      <w:spacing w:after="120" w:line="480" w:lineRule="auto"/>
    </w:pPr>
    <w:rPr>
      <w:sz w:val="24"/>
    </w:rPr>
  </w:style>
  <w:style w:type="paragraph" w:styleId="49">
    <w:name w:val="List 4"/>
    <w:basedOn w:val="1"/>
    <w:qFormat/>
    <w:uiPriority w:val="0"/>
    <w:pPr>
      <w:adjustRightInd w:val="0"/>
      <w:snapToGrid w:val="0"/>
      <w:spacing w:line="360" w:lineRule="auto"/>
      <w:ind w:left="100" w:leftChars="600" w:hanging="200" w:hangingChars="200"/>
    </w:pPr>
    <w:rPr>
      <w:sz w:val="24"/>
    </w:rPr>
  </w:style>
  <w:style w:type="paragraph" w:styleId="50">
    <w:name w:val="List Continue 2"/>
    <w:basedOn w:val="1"/>
    <w:qFormat/>
    <w:uiPriority w:val="0"/>
    <w:pPr>
      <w:adjustRightInd w:val="0"/>
      <w:snapToGrid w:val="0"/>
      <w:spacing w:after="120" w:line="360" w:lineRule="auto"/>
      <w:ind w:left="840" w:leftChars="400"/>
    </w:pPr>
    <w:rPr>
      <w:sz w:val="24"/>
    </w:rPr>
  </w:style>
  <w:style w:type="paragraph" w:styleId="51">
    <w:name w:val="HTML Preformatted"/>
    <w:basedOn w:val="1"/>
    <w:link w:val="8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sz w:val="24"/>
      <w:szCs w:val="24"/>
    </w:rPr>
  </w:style>
  <w:style w:type="paragraph" w:styleId="52">
    <w:name w:val="Normal (Web)"/>
    <w:basedOn w:val="1"/>
    <w:qFormat/>
    <w:uiPriority w:val="0"/>
    <w:pPr>
      <w:widowControl/>
      <w:spacing w:before="100" w:beforeAutospacing="1" w:after="100" w:afterAutospacing="1"/>
      <w:jc w:val="left"/>
    </w:pPr>
    <w:rPr>
      <w:rFonts w:ascii="宋体" w:hAnsi="宋体"/>
      <w:kern w:val="0"/>
      <w:sz w:val="24"/>
    </w:rPr>
  </w:style>
  <w:style w:type="paragraph" w:styleId="53">
    <w:name w:val="List Continue 3"/>
    <w:basedOn w:val="1"/>
    <w:qFormat/>
    <w:uiPriority w:val="0"/>
    <w:pPr>
      <w:adjustRightInd w:val="0"/>
      <w:snapToGrid w:val="0"/>
      <w:spacing w:after="120" w:line="360" w:lineRule="auto"/>
      <w:ind w:left="1260" w:leftChars="600"/>
    </w:pPr>
    <w:rPr>
      <w:sz w:val="24"/>
    </w:rPr>
  </w:style>
  <w:style w:type="paragraph" w:styleId="54">
    <w:name w:val="index 1"/>
    <w:basedOn w:val="1"/>
    <w:next w:val="1"/>
    <w:qFormat/>
    <w:uiPriority w:val="0"/>
    <w:pPr>
      <w:adjustRightInd w:val="0"/>
      <w:spacing w:line="240" w:lineRule="atLeast"/>
      <w:textAlignment w:val="baseline"/>
    </w:pPr>
    <w:rPr>
      <w:rFonts w:ascii="宋体"/>
      <w:kern w:val="0"/>
      <w:sz w:val="21"/>
    </w:rPr>
  </w:style>
  <w:style w:type="paragraph" w:styleId="55">
    <w:name w:val="Title"/>
    <w:basedOn w:val="1"/>
    <w:qFormat/>
    <w:uiPriority w:val="0"/>
    <w:pPr>
      <w:widowControl/>
      <w:spacing w:after="240" w:line="360" w:lineRule="auto"/>
      <w:jc w:val="center"/>
    </w:pPr>
    <w:rPr>
      <w:rFonts w:ascii="Arial" w:hAnsi="Arial"/>
      <w:b/>
      <w:smallCaps/>
      <w:kern w:val="28"/>
      <w:sz w:val="36"/>
      <w:lang w:eastAsia="en-US"/>
    </w:rPr>
  </w:style>
  <w:style w:type="paragraph" w:styleId="56">
    <w:name w:val="annotation subject"/>
    <w:basedOn w:val="19"/>
    <w:next w:val="19"/>
    <w:link w:val="81"/>
    <w:qFormat/>
    <w:uiPriority w:val="0"/>
    <w:pPr>
      <w:adjustRightInd/>
      <w:spacing w:line="240" w:lineRule="auto"/>
      <w:textAlignment w:val="auto"/>
    </w:pPr>
  </w:style>
  <w:style w:type="paragraph" w:styleId="57">
    <w:name w:val="Body Text First Indent"/>
    <w:basedOn w:val="1"/>
    <w:qFormat/>
    <w:uiPriority w:val="0"/>
    <w:pPr>
      <w:spacing w:line="360" w:lineRule="auto"/>
      <w:ind w:firstLine="420"/>
    </w:pPr>
    <w:rPr>
      <w:rFonts w:ascii="宋体" w:hAnsi="宋体"/>
      <w:sz w:val="24"/>
    </w:rPr>
  </w:style>
  <w:style w:type="paragraph" w:styleId="58">
    <w:name w:val="Body Text First Indent 2"/>
    <w:basedOn w:val="23"/>
    <w:next w:val="1"/>
    <w:link w:val="82"/>
    <w:qFormat/>
    <w:uiPriority w:val="0"/>
    <w:pPr>
      <w:spacing w:after="120" w:line="240" w:lineRule="auto"/>
      <w:ind w:left="420" w:leftChars="200" w:firstLine="420" w:firstLineChars="200"/>
    </w:pPr>
  </w:style>
  <w:style w:type="table" w:styleId="60">
    <w:name w:val="Table Grid"/>
    <w:basedOn w:val="59"/>
    <w:qFormat/>
    <w:uiPriority w:val="5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62">
    <w:name w:val="Strong"/>
    <w:qFormat/>
    <w:uiPriority w:val="0"/>
    <w:rPr>
      <w:b/>
    </w:rPr>
  </w:style>
  <w:style w:type="character" w:styleId="63">
    <w:name w:val="page number"/>
    <w:qFormat/>
    <w:uiPriority w:val="0"/>
  </w:style>
  <w:style w:type="character" w:styleId="64">
    <w:name w:val="FollowedHyperlink"/>
    <w:qFormat/>
    <w:uiPriority w:val="0"/>
    <w:rPr>
      <w:color w:val="800080"/>
      <w:u w:val="single"/>
    </w:rPr>
  </w:style>
  <w:style w:type="character" w:styleId="65">
    <w:name w:val="Emphasis"/>
    <w:qFormat/>
    <w:uiPriority w:val="0"/>
    <w:rPr>
      <w:i/>
    </w:rPr>
  </w:style>
  <w:style w:type="character" w:styleId="66">
    <w:name w:val="Hyperlink"/>
    <w:qFormat/>
    <w:uiPriority w:val="99"/>
    <w:rPr>
      <w:color w:val="0000FF"/>
      <w:u w:val="single"/>
    </w:rPr>
  </w:style>
  <w:style w:type="character" w:styleId="67">
    <w:name w:val="annotation reference"/>
    <w:qFormat/>
    <w:uiPriority w:val="0"/>
    <w:rPr>
      <w:sz w:val="21"/>
      <w:szCs w:val="21"/>
    </w:rPr>
  </w:style>
  <w:style w:type="character" w:styleId="68">
    <w:name w:val="footnote reference"/>
    <w:qFormat/>
    <w:uiPriority w:val="0"/>
    <w:rPr>
      <w:position w:val="6"/>
      <w:sz w:val="14"/>
      <w:vertAlign w:val="superscript"/>
    </w:rPr>
  </w:style>
  <w:style w:type="paragraph" w:customStyle="1" w:styleId="69">
    <w:name w:val="Default"/>
    <w:next w:val="70"/>
    <w:qFormat/>
    <w:uiPriority w:val="0"/>
    <w:pPr>
      <w:widowControl w:val="0"/>
      <w:autoSpaceDE w:val="0"/>
      <w:autoSpaceDN w:val="0"/>
      <w:adjustRightInd w:val="0"/>
    </w:pPr>
    <w:rPr>
      <w:rFonts w:ascii="宋体" w:hAnsi="Calibri" w:eastAsia="微软雅黑" w:cs="Times New Roman"/>
      <w:color w:val="000000"/>
      <w:sz w:val="24"/>
      <w:lang w:val="en-US" w:eastAsia="zh-CN" w:bidi="ar-SA"/>
    </w:rPr>
  </w:style>
  <w:style w:type="paragraph" w:customStyle="1" w:styleId="70">
    <w:name w:val="TOC 71"/>
    <w:next w:val="1"/>
    <w:qFormat/>
    <w:uiPriority w:val="0"/>
    <w:pPr>
      <w:wordWrap w:val="0"/>
      <w:ind w:left="2550"/>
      <w:jc w:val="both"/>
    </w:pPr>
    <w:rPr>
      <w:rFonts w:ascii="Times New Roman" w:hAnsi="Times New Roman" w:eastAsia="宋体" w:cs="Times New Roman"/>
      <w:sz w:val="21"/>
      <w:szCs w:val="22"/>
      <w:lang w:val="en-US" w:eastAsia="zh-CN" w:bidi="ar-SA"/>
    </w:rPr>
  </w:style>
  <w:style w:type="character" w:customStyle="1" w:styleId="71">
    <w:name w:val="标题 2 字符"/>
    <w:link w:val="4"/>
    <w:qFormat/>
    <w:uiPriority w:val="0"/>
    <w:rPr>
      <w:rFonts w:ascii="Arial" w:hAnsi="Arial" w:eastAsia="黑体"/>
      <w:b/>
      <w:kern w:val="2"/>
      <w:sz w:val="32"/>
    </w:rPr>
  </w:style>
  <w:style w:type="character" w:customStyle="1" w:styleId="72">
    <w:name w:val="标题 3 字符"/>
    <w:link w:val="5"/>
    <w:qFormat/>
    <w:uiPriority w:val="0"/>
    <w:rPr>
      <w:rFonts w:eastAsia="宋体"/>
      <w:b/>
      <w:kern w:val="2"/>
      <w:sz w:val="32"/>
      <w:lang w:val="en-US" w:eastAsia="zh-CN"/>
    </w:rPr>
  </w:style>
  <w:style w:type="character" w:customStyle="1" w:styleId="73">
    <w:name w:val="批注文字 字符"/>
    <w:link w:val="19"/>
    <w:qFormat/>
    <w:uiPriority w:val="0"/>
    <w:rPr>
      <w:sz w:val="24"/>
    </w:rPr>
  </w:style>
  <w:style w:type="character" w:customStyle="1" w:styleId="74">
    <w:name w:val="正文文本缩进 字符"/>
    <w:link w:val="23"/>
    <w:qFormat/>
    <w:uiPriority w:val="0"/>
    <w:rPr>
      <w:kern w:val="2"/>
      <w:sz w:val="44"/>
    </w:rPr>
  </w:style>
  <w:style w:type="character" w:customStyle="1" w:styleId="75">
    <w:name w:val="纯文本 字符"/>
    <w:link w:val="30"/>
    <w:qFormat/>
    <w:uiPriority w:val="0"/>
    <w:rPr>
      <w:rFonts w:ascii="宋体" w:hAnsi="Courier New"/>
      <w:kern w:val="2"/>
      <w:sz w:val="21"/>
    </w:rPr>
  </w:style>
  <w:style w:type="character" w:customStyle="1" w:styleId="76">
    <w:name w:val="日期 字符"/>
    <w:link w:val="32"/>
    <w:qFormat/>
    <w:uiPriority w:val="0"/>
    <w:rPr>
      <w:kern w:val="2"/>
      <w:sz w:val="28"/>
    </w:rPr>
  </w:style>
  <w:style w:type="character" w:customStyle="1" w:styleId="77">
    <w:name w:val="正文文本缩进 2 字符"/>
    <w:link w:val="33"/>
    <w:qFormat/>
    <w:uiPriority w:val="0"/>
    <w:rPr>
      <w:kern w:val="2"/>
      <w:sz w:val="28"/>
    </w:rPr>
  </w:style>
  <w:style w:type="character" w:customStyle="1" w:styleId="78">
    <w:name w:val="页脚 字符"/>
    <w:link w:val="35"/>
    <w:qFormat/>
    <w:uiPriority w:val="0"/>
    <w:rPr>
      <w:kern w:val="2"/>
      <w:sz w:val="18"/>
    </w:rPr>
  </w:style>
  <w:style w:type="character" w:customStyle="1" w:styleId="79">
    <w:name w:val="脚注文本 字符"/>
    <w:link w:val="40"/>
    <w:qFormat/>
    <w:uiPriority w:val="0"/>
    <w:rPr>
      <w:kern w:val="2"/>
      <w:sz w:val="18"/>
    </w:rPr>
  </w:style>
  <w:style w:type="character" w:customStyle="1" w:styleId="80">
    <w:name w:val="HTML 预设格式 字符"/>
    <w:link w:val="51"/>
    <w:qFormat/>
    <w:uiPriority w:val="0"/>
    <w:rPr>
      <w:rFonts w:ascii="宋体" w:hAnsi="宋体" w:cs="宋体"/>
      <w:sz w:val="24"/>
      <w:szCs w:val="24"/>
    </w:rPr>
  </w:style>
  <w:style w:type="character" w:customStyle="1" w:styleId="81">
    <w:name w:val="批注主题 字符"/>
    <w:link w:val="56"/>
    <w:qFormat/>
    <w:uiPriority w:val="0"/>
  </w:style>
  <w:style w:type="character" w:customStyle="1" w:styleId="82">
    <w:name w:val="正文首行缩进 2 字符"/>
    <w:link w:val="58"/>
    <w:qFormat/>
    <w:uiPriority w:val="0"/>
  </w:style>
  <w:style w:type="character" w:customStyle="1" w:styleId="83">
    <w:name w:val="Char Char11"/>
    <w:qFormat/>
    <w:uiPriority w:val="0"/>
    <w:rPr>
      <w:rFonts w:ascii="宋体"/>
      <w:kern w:val="2"/>
      <w:sz w:val="28"/>
    </w:rPr>
  </w:style>
  <w:style w:type="character" w:customStyle="1" w:styleId="84">
    <w:name w:val="content-white1"/>
    <w:qFormat/>
    <w:uiPriority w:val="0"/>
    <w:rPr>
      <w:color w:val="auto"/>
      <w:sz w:val="18"/>
      <w:u w:val="none"/>
    </w:rPr>
  </w:style>
  <w:style w:type="character" w:customStyle="1" w:styleId="85">
    <w:name w:val="Char Char4"/>
    <w:qFormat/>
    <w:uiPriority w:val="0"/>
    <w:rPr>
      <w:rFonts w:eastAsia="宋体"/>
      <w:b/>
      <w:kern w:val="2"/>
      <w:sz w:val="21"/>
      <w:lang w:val="en-US" w:eastAsia="zh-CN"/>
    </w:rPr>
  </w:style>
  <w:style w:type="character" w:customStyle="1" w:styleId="86">
    <w:name w:val="正文（GB2312加粗） Char Char"/>
    <w:link w:val="87"/>
    <w:qFormat/>
    <w:uiPriority w:val="0"/>
    <w:rPr>
      <w:rFonts w:eastAsia="仿宋_GB2312"/>
      <w:b/>
      <w:kern w:val="2"/>
      <w:sz w:val="24"/>
      <w:szCs w:val="24"/>
      <w:lang w:val="en-US" w:eastAsia="zh-CN" w:bidi="ar-SA"/>
    </w:rPr>
  </w:style>
  <w:style w:type="paragraph" w:customStyle="1" w:styleId="87">
    <w:name w:val="正文（GB2312加粗）"/>
    <w:link w:val="86"/>
    <w:qFormat/>
    <w:uiPriority w:val="0"/>
    <w:pPr>
      <w:ind w:firstLine="200" w:firstLineChars="200"/>
    </w:pPr>
    <w:rPr>
      <w:rFonts w:ascii="Times New Roman" w:hAnsi="Times New Roman" w:eastAsia="仿宋_GB2312" w:cs="Times New Roman"/>
      <w:b/>
      <w:kern w:val="2"/>
      <w:sz w:val="24"/>
      <w:szCs w:val="24"/>
      <w:lang w:val="en-US" w:eastAsia="zh-CN" w:bidi="ar-SA"/>
    </w:rPr>
  </w:style>
  <w:style w:type="character" w:customStyle="1" w:styleId="88">
    <w:name w:val="Char Char3"/>
    <w:qFormat/>
    <w:uiPriority w:val="0"/>
    <w:rPr>
      <w:rFonts w:eastAsia="宋体"/>
      <w:kern w:val="2"/>
      <w:sz w:val="18"/>
      <w:lang w:val="en-US" w:eastAsia="zh-CN"/>
    </w:rPr>
  </w:style>
  <w:style w:type="character" w:customStyle="1" w:styleId="89">
    <w:name w:val="crowed11"/>
    <w:qFormat/>
    <w:uiPriority w:val="0"/>
    <w:rPr>
      <w:rFonts w:hint="default"/>
      <w:sz w:val="24"/>
    </w:rPr>
  </w:style>
  <w:style w:type="character" w:customStyle="1" w:styleId="90">
    <w:name w:val="样式 宋体"/>
    <w:qFormat/>
    <w:uiPriority w:val="0"/>
    <w:rPr>
      <w:rFonts w:ascii="宋体" w:hAnsi="宋体" w:eastAsia="宋体"/>
      <w:sz w:val="28"/>
    </w:rPr>
  </w:style>
  <w:style w:type="character" w:customStyle="1" w:styleId="91">
    <w:name w:val="正文 + 三号 Char Char"/>
    <w:qFormat/>
    <w:uiPriority w:val="0"/>
    <w:rPr>
      <w:rFonts w:eastAsia="宋体"/>
      <w:kern w:val="2"/>
      <w:sz w:val="21"/>
      <w:lang w:val="en-US" w:eastAsia="zh-CN"/>
    </w:rPr>
  </w:style>
  <w:style w:type="character" w:customStyle="1" w:styleId="92">
    <w:name w:val="标书正文:  0.74 厘米 Char1"/>
    <w:qFormat/>
    <w:uiPriority w:val="0"/>
    <w:rPr>
      <w:rFonts w:eastAsia="宋体"/>
      <w:kern w:val="2"/>
      <w:sz w:val="24"/>
      <w:lang w:val="en-US" w:eastAsia="zh-CN"/>
    </w:rPr>
  </w:style>
  <w:style w:type="character" w:customStyle="1" w:styleId="93">
    <w:name w:val="font1"/>
    <w:qFormat/>
    <w:uiPriority w:val="0"/>
    <w:rPr>
      <w:color w:val="000000"/>
      <w:sz w:val="18"/>
    </w:rPr>
  </w:style>
  <w:style w:type="character" w:customStyle="1" w:styleId="94">
    <w:name w:val="Table Heading Char Char"/>
    <w:qFormat/>
    <w:uiPriority w:val="0"/>
    <w:rPr>
      <w:rFonts w:ascii="Arial" w:hAnsi="Arial" w:eastAsia="黑体"/>
      <w:kern w:val="2"/>
      <w:sz w:val="18"/>
      <w:lang w:val="en-US" w:eastAsia="zh-CN"/>
    </w:rPr>
  </w:style>
  <w:style w:type="character" w:customStyle="1" w:styleId="95">
    <w:name w:val="Char Char2"/>
    <w:qFormat/>
    <w:uiPriority w:val="0"/>
    <w:rPr>
      <w:rFonts w:eastAsia="宋体"/>
      <w:kern w:val="2"/>
      <w:sz w:val="18"/>
      <w:lang w:val="en-US" w:eastAsia="zh-CN"/>
    </w:rPr>
  </w:style>
  <w:style w:type="character" w:customStyle="1" w:styleId="96">
    <w:name w:val="正文1 Char Char Char"/>
    <w:qFormat/>
    <w:uiPriority w:val="0"/>
    <w:rPr>
      <w:rFonts w:ascii="宋体" w:hAnsi="宋体"/>
      <w:kern w:val="2"/>
      <w:sz w:val="21"/>
      <w:szCs w:val="24"/>
      <w:u w:val="single"/>
    </w:rPr>
  </w:style>
  <w:style w:type="character" w:customStyle="1" w:styleId="97">
    <w:name w:val="font21"/>
    <w:qFormat/>
    <w:uiPriority w:val="0"/>
    <w:rPr>
      <w:rFonts w:hint="eastAsia" w:ascii="方正仿宋_GBK" w:hAnsi="方正仿宋_GBK" w:eastAsia="方正仿宋_GBK" w:cs="方正仿宋_GBK"/>
      <w:color w:val="000000"/>
      <w:sz w:val="28"/>
      <w:szCs w:val="28"/>
      <w:u w:val="none"/>
    </w:rPr>
  </w:style>
  <w:style w:type="character" w:customStyle="1" w:styleId="98">
    <w:name w:val="Char Char5"/>
    <w:qFormat/>
    <w:uiPriority w:val="0"/>
    <w:rPr>
      <w:rFonts w:ascii="Arial" w:hAnsi="Arial" w:eastAsia="宋体"/>
      <w:b/>
      <w:smallCaps/>
      <w:kern w:val="28"/>
      <w:sz w:val="36"/>
      <w:lang w:val="en-US" w:eastAsia="en-US"/>
    </w:rPr>
  </w:style>
  <w:style w:type="character" w:customStyle="1" w:styleId="99">
    <w:name w:val="小 Char"/>
    <w:qFormat/>
    <w:uiPriority w:val="0"/>
    <w:rPr>
      <w:rFonts w:ascii="宋体" w:hAnsi="Courier New" w:eastAsia="宋体"/>
      <w:kern w:val="2"/>
      <w:sz w:val="21"/>
      <w:lang w:val="en-US" w:eastAsia="zh-CN" w:bidi="ar-SA"/>
    </w:rPr>
  </w:style>
  <w:style w:type="character" w:customStyle="1" w:styleId="100">
    <w:name w:val="Table Text Char1 Char Char"/>
    <w:qFormat/>
    <w:uiPriority w:val="0"/>
    <w:rPr>
      <w:rFonts w:ascii="Arial" w:hAnsi="Arial"/>
      <w:kern w:val="2"/>
      <w:sz w:val="18"/>
      <w:lang w:val="en-US" w:eastAsia="zh-CN" w:bidi="ar-SA"/>
    </w:rPr>
  </w:style>
  <w:style w:type="character" w:customStyle="1" w:styleId="101">
    <w:name w:val="title_emph1"/>
    <w:qFormat/>
    <w:uiPriority w:val="0"/>
    <w:rPr>
      <w:rFonts w:hint="default" w:ascii="Arial" w:hAnsi="Arial"/>
      <w:b/>
      <w:sz w:val="20"/>
    </w:rPr>
  </w:style>
  <w:style w:type="character" w:customStyle="1" w:styleId="102">
    <w:name w:val="Table Text Char Char Char Char Char"/>
    <w:link w:val="103"/>
    <w:qFormat/>
    <w:uiPriority w:val="0"/>
    <w:rPr>
      <w:rFonts w:ascii="Arial" w:hAnsi="Arial"/>
      <w:kern w:val="2"/>
      <w:sz w:val="18"/>
      <w:lang w:val="en-US" w:eastAsia="zh-CN" w:bidi="ar-SA"/>
    </w:rPr>
  </w:style>
  <w:style w:type="paragraph" w:customStyle="1" w:styleId="103">
    <w:name w:val="Table Text"/>
    <w:link w:val="102"/>
    <w:qFormat/>
    <w:uiPriority w:val="0"/>
    <w:pPr>
      <w:snapToGrid w:val="0"/>
      <w:spacing w:before="80" w:after="80"/>
    </w:pPr>
    <w:rPr>
      <w:rFonts w:ascii="Arial" w:hAnsi="Arial" w:eastAsia="宋体" w:cs="Times New Roman"/>
      <w:kern w:val="2"/>
      <w:sz w:val="18"/>
      <w:lang w:val="en-US" w:eastAsia="zh-CN" w:bidi="ar-SA"/>
    </w:rPr>
  </w:style>
  <w:style w:type="character" w:customStyle="1" w:styleId="104">
    <w:name w:val="Char Char Char Char Char Char Char Char Char"/>
    <w:qFormat/>
    <w:uiPriority w:val="0"/>
    <w:rPr>
      <w:rFonts w:ascii="宋体" w:hAnsi="宋体" w:eastAsia="宋体"/>
      <w:kern w:val="2"/>
      <w:sz w:val="24"/>
      <w:lang w:val="en-US" w:eastAsia="zh-CN" w:bidi="ar-SA"/>
    </w:rPr>
  </w:style>
  <w:style w:type="character" w:customStyle="1" w:styleId="105">
    <w:name w:val="H2 Char"/>
    <w:qFormat/>
    <w:uiPriority w:val="0"/>
    <w:rPr>
      <w:rFonts w:ascii="Arial" w:hAnsi="Arial" w:eastAsia="宋体"/>
      <w:kern w:val="2"/>
      <w:sz w:val="28"/>
      <w:lang w:val="en-US" w:eastAsia="zh-CN"/>
    </w:rPr>
  </w:style>
  <w:style w:type="character" w:customStyle="1" w:styleId="106">
    <w:name w:val="font01"/>
    <w:qFormat/>
    <w:uiPriority w:val="0"/>
    <w:rPr>
      <w:rFonts w:hint="eastAsia" w:ascii="宋体" w:hAnsi="宋体" w:eastAsia="宋体" w:cs="宋体"/>
      <w:color w:val="000000"/>
      <w:sz w:val="20"/>
      <w:szCs w:val="20"/>
      <w:u w:val="none"/>
    </w:rPr>
  </w:style>
  <w:style w:type="character" w:customStyle="1" w:styleId="107">
    <w:name w:val="未命名11"/>
    <w:qFormat/>
    <w:uiPriority w:val="0"/>
    <w:rPr>
      <w:color w:val="77FFFF"/>
      <w:sz w:val="24"/>
    </w:rPr>
  </w:style>
  <w:style w:type="character" w:customStyle="1" w:styleId="108">
    <w:name w:val="Char Char7"/>
    <w:qFormat/>
    <w:uiPriority w:val="0"/>
    <w:rPr>
      <w:rFonts w:ascii="宋体" w:hAnsi="宋体" w:eastAsia="宋体"/>
      <w:kern w:val="2"/>
      <w:sz w:val="28"/>
    </w:rPr>
  </w:style>
  <w:style w:type="character" w:customStyle="1" w:styleId="109">
    <w:name w:val="font11"/>
    <w:qFormat/>
    <w:uiPriority w:val="0"/>
    <w:rPr>
      <w:rFonts w:hint="eastAsia" w:ascii="宋体" w:hAnsi="宋体" w:eastAsia="宋体" w:cs="宋体"/>
      <w:b/>
      <w:color w:val="000000"/>
      <w:sz w:val="20"/>
      <w:szCs w:val="20"/>
      <w:u w:val="none"/>
    </w:rPr>
  </w:style>
  <w:style w:type="character" w:customStyle="1" w:styleId="110">
    <w:name w:val="Char Char6"/>
    <w:qFormat/>
    <w:uiPriority w:val="0"/>
    <w:rPr>
      <w:rFonts w:ascii="仿宋_GB2312" w:eastAsia="仿宋_GB2312"/>
      <w:kern w:val="2"/>
      <w:sz w:val="32"/>
    </w:rPr>
  </w:style>
  <w:style w:type="character" w:customStyle="1" w:styleId="111">
    <w:name w:val="文字 Char Char"/>
    <w:link w:val="112"/>
    <w:qFormat/>
    <w:uiPriority w:val="0"/>
    <w:rPr>
      <w:rFonts w:ascii="宋体"/>
      <w:kern w:val="2"/>
      <w:sz w:val="28"/>
    </w:rPr>
  </w:style>
  <w:style w:type="paragraph" w:customStyle="1" w:styleId="112">
    <w:name w:val="文字"/>
    <w:basedOn w:val="1"/>
    <w:link w:val="111"/>
    <w:qFormat/>
    <w:uiPriority w:val="0"/>
    <w:pPr>
      <w:tabs>
        <w:tab w:val="left" w:pos="8520"/>
      </w:tabs>
      <w:spacing w:line="312" w:lineRule="auto"/>
      <w:ind w:right="-210" w:firstLine="556"/>
    </w:pPr>
    <w:rPr>
      <w:rFonts w:ascii="宋体"/>
    </w:rPr>
  </w:style>
  <w:style w:type="character" w:customStyle="1" w:styleId="113">
    <w:name w:val="Table Text Char Char Char Char"/>
    <w:qFormat/>
    <w:uiPriority w:val="0"/>
    <w:rPr>
      <w:rFonts w:ascii="Arial" w:hAnsi="Arial"/>
      <w:kern w:val="2"/>
      <w:sz w:val="18"/>
      <w:lang w:val="en-US" w:eastAsia="zh-CN" w:bidi="ar-SA"/>
    </w:rPr>
  </w:style>
  <w:style w:type="character" w:customStyle="1" w:styleId="114">
    <w:name w:val="top-det1"/>
    <w:qFormat/>
    <w:uiPriority w:val="0"/>
    <w:rPr>
      <w:b/>
      <w:color w:val="000000"/>
    </w:rPr>
  </w:style>
  <w:style w:type="character" w:customStyle="1" w:styleId="115">
    <w:name w:val="v151"/>
    <w:qFormat/>
    <w:uiPriority w:val="0"/>
    <w:rPr>
      <w:sz w:val="18"/>
    </w:rPr>
  </w:style>
  <w:style w:type="paragraph" w:customStyle="1" w:styleId="116">
    <w:name w:val="样式 标题 1章标题Heading 0Section HeadPIM 1H1h11st levell11H1..."/>
    <w:basedOn w:val="3"/>
    <w:qFormat/>
    <w:uiPriority w:val="0"/>
    <w:pPr>
      <w:keepLines/>
      <w:pageBreakBefore/>
      <w:tabs>
        <w:tab w:val="left" w:pos="432"/>
      </w:tabs>
      <w:autoSpaceDE w:val="0"/>
      <w:autoSpaceDN w:val="0"/>
      <w:adjustRightInd w:val="0"/>
      <w:spacing w:before="340" w:after="330" w:line="578" w:lineRule="atLeast"/>
      <w:textAlignment w:val="bottom"/>
    </w:pPr>
    <w:rPr>
      <w:rFonts w:hAnsi="宋体" w:eastAsia="黑体"/>
      <w:b/>
      <w:kern w:val="44"/>
      <w:sz w:val="36"/>
    </w:rPr>
  </w:style>
  <w:style w:type="paragraph" w:customStyle="1" w:styleId="117">
    <w:name w:val="缺省文本"/>
    <w:basedOn w:val="1"/>
    <w:qFormat/>
    <w:uiPriority w:val="0"/>
    <w:pPr>
      <w:tabs>
        <w:tab w:val="left" w:pos="1260"/>
      </w:tabs>
      <w:autoSpaceDE w:val="0"/>
      <w:autoSpaceDN w:val="0"/>
      <w:adjustRightInd w:val="0"/>
      <w:spacing w:line="360" w:lineRule="auto"/>
      <w:jc w:val="left"/>
    </w:pPr>
    <w:rPr>
      <w:kern w:val="0"/>
      <w:sz w:val="24"/>
    </w:rPr>
  </w:style>
  <w:style w:type="paragraph" w:customStyle="1" w:styleId="118">
    <w:name w:val="修订1"/>
    <w:qFormat/>
    <w:uiPriority w:val="0"/>
    <w:rPr>
      <w:rFonts w:ascii="Calibri" w:hAnsi="Calibri" w:eastAsia="微软雅黑" w:cs="Times New Roman"/>
      <w:kern w:val="2"/>
      <w:sz w:val="21"/>
      <w:lang w:val="en-US" w:eastAsia="zh-CN" w:bidi="ar-SA"/>
    </w:rPr>
  </w:style>
  <w:style w:type="paragraph" w:customStyle="1" w:styleId="119">
    <w:name w:val="文档正文 Char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120">
    <w:name w:val="_"/>
    <w:basedOn w:val="1"/>
    <w:qFormat/>
    <w:uiPriority w:val="0"/>
    <w:pPr>
      <w:adjustRightInd w:val="0"/>
      <w:spacing w:line="360" w:lineRule="auto"/>
      <w:ind w:left="480" w:firstLine="200" w:firstLineChars="200"/>
      <w:textAlignment w:val="baseline"/>
    </w:pPr>
    <w:rPr>
      <w:kern w:val="0"/>
      <w:sz w:val="24"/>
    </w:rPr>
  </w:style>
  <w:style w:type="paragraph" w:customStyle="1" w:styleId="121">
    <w:name w:val="操作步骤"/>
    <w:basedOn w:val="1"/>
    <w:qFormat/>
    <w:uiPriority w:val="0"/>
    <w:pPr>
      <w:numPr>
        <w:ilvl w:val="0"/>
        <w:numId w:val="4"/>
      </w:numPr>
      <w:autoSpaceDE w:val="0"/>
      <w:autoSpaceDN w:val="0"/>
      <w:adjustRightInd w:val="0"/>
      <w:snapToGrid w:val="0"/>
      <w:spacing w:line="40" w:lineRule="atLeast"/>
      <w:textAlignment w:val="bottom"/>
    </w:pPr>
    <w:rPr>
      <w:rFonts w:ascii="昆仑楷体" w:eastAsia="楷体_GB2312"/>
      <w:kern w:val="0"/>
      <w:sz w:val="21"/>
    </w:rPr>
  </w:style>
  <w:style w:type="paragraph" w:customStyle="1" w:styleId="122">
    <w:name w:val="Char1"/>
    <w:basedOn w:val="1"/>
    <w:qFormat/>
    <w:uiPriority w:val="0"/>
    <w:rPr>
      <w:sz w:val="21"/>
    </w:rPr>
  </w:style>
  <w:style w:type="paragraph" w:customStyle="1" w:styleId="123">
    <w:name w:val="xl27"/>
    <w:basedOn w:val="1"/>
    <w:qFormat/>
    <w:uiPriority w:val="0"/>
    <w:pPr>
      <w:widowControl/>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kern w:val="0"/>
      <w:sz w:val="21"/>
    </w:rPr>
  </w:style>
  <w:style w:type="paragraph" w:customStyle="1" w:styleId="124">
    <w:name w:val="Note"/>
    <w:basedOn w:val="1"/>
    <w:qFormat/>
    <w:uiPriority w:val="0"/>
    <w:pPr>
      <w:pBdr>
        <w:top w:val="single" w:color="auto" w:sz="12" w:space="3"/>
        <w:bottom w:val="single" w:color="auto" w:sz="12" w:space="3"/>
      </w:pBdr>
      <w:spacing w:line="360" w:lineRule="auto"/>
    </w:pPr>
    <w:rPr>
      <w:sz w:val="24"/>
    </w:rPr>
  </w:style>
  <w:style w:type="paragraph" w:customStyle="1" w:styleId="125">
    <w:name w:val="Table Text Char Char"/>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126">
    <w:name w:val="二级列表"/>
    <w:basedOn w:val="127"/>
    <w:next w:val="127"/>
    <w:qFormat/>
    <w:uiPriority w:val="0"/>
    <w:pPr>
      <w:tabs>
        <w:tab w:val="left" w:pos="2120"/>
      </w:tabs>
      <w:ind w:firstLine="0" w:firstLineChars="0"/>
    </w:pPr>
    <w:rPr>
      <w:b/>
    </w:rPr>
  </w:style>
  <w:style w:type="paragraph" w:customStyle="1" w:styleId="127">
    <w:name w:val="段落正文"/>
    <w:basedOn w:val="1"/>
    <w:qFormat/>
    <w:uiPriority w:val="0"/>
    <w:pPr>
      <w:spacing w:before="156" w:beforeLines="50" w:line="360" w:lineRule="auto"/>
      <w:ind w:firstLine="200" w:firstLineChars="200"/>
    </w:pPr>
    <w:rPr>
      <w:spacing w:val="2"/>
      <w:sz w:val="24"/>
    </w:rPr>
  </w:style>
  <w:style w:type="paragraph" w:customStyle="1" w:styleId="128">
    <w:name w:val="tabletext"/>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129">
    <w:name w:val="Char Char Char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30">
    <w:name w:val="样式 样式 正文首行缩进 2 + 左  0 字符 + 首行缩进:  2.57 字符"/>
    <w:basedOn w:val="1"/>
    <w:next w:val="1"/>
    <w:qFormat/>
    <w:uiPriority w:val="0"/>
    <w:pPr>
      <w:adjustRightInd w:val="0"/>
      <w:snapToGrid w:val="0"/>
      <w:spacing w:after="120"/>
      <w:ind w:firstLine="540" w:firstLineChars="257"/>
    </w:pPr>
    <w:rPr>
      <w:sz w:val="21"/>
    </w:rPr>
  </w:style>
  <w:style w:type="paragraph" w:customStyle="1" w:styleId="131">
    <w:name w:val="表头文本"/>
    <w:qFormat/>
    <w:uiPriority w:val="0"/>
    <w:pPr>
      <w:jc w:val="center"/>
    </w:pPr>
    <w:rPr>
      <w:rFonts w:ascii="Arial" w:hAnsi="Arial" w:eastAsia="微软雅黑" w:cs="Times New Roman"/>
      <w:b/>
      <w:sz w:val="21"/>
      <w:lang w:val="en-US" w:eastAsia="zh-CN" w:bidi="ar-SA"/>
    </w:rPr>
  </w:style>
  <w:style w:type="paragraph" w:customStyle="1" w:styleId="132">
    <w:name w:val="文章正文"/>
    <w:basedOn w:val="1"/>
    <w:qFormat/>
    <w:uiPriority w:val="0"/>
    <w:pPr>
      <w:ind w:firstLine="560" w:firstLineChars="200"/>
    </w:pPr>
    <w:rPr>
      <w:rFonts w:ascii="仿宋_GB2312" w:hAnsi="宋体" w:eastAsia="仿宋_GB2312"/>
      <w:color w:val="000000"/>
    </w:rPr>
  </w:style>
  <w:style w:type="paragraph" w:customStyle="1" w:styleId="133">
    <w:name w:val="一级条标题"/>
    <w:basedOn w:val="134"/>
    <w:next w:val="135"/>
    <w:qFormat/>
    <w:uiPriority w:val="0"/>
    <w:pPr>
      <w:numPr>
        <w:numId w:val="0"/>
      </w:numPr>
      <w:ind w:left="525"/>
      <w:outlineLvl w:val="2"/>
    </w:pPr>
    <w:rPr>
      <w:sz w:val="21"/>
    </w:rPr>
  </w:style>
  <w:style w:type="paragraph" w:customStyle="1" w:styleId="134">
    <w:name w:val="章标题"/>
    <w:next w:val="1"/>
    <w:qFormat/>
    <w:uiPriority w:val="0"/>
    <w:pPr>
      <w:numPr>
        <w:ilvl w:val="1"/>
        <w:numId w:val="5"/>
      </w:numPr>
      <w:spacing w:before="156" w:beforeLines="50" w:after="156" w:afterLines="50"/>
      <w:ind w:left="0"/>
      <w:jc w:val="both"/>
      <w:outlineLvl w:val="1"/>
    </w:pPr>
    <w:rPr>
      <w:rFonts w:ascii="黑体" w:hAnsi="Calibri" w:eastAsia="黑体" w:cs="Times New Roman"/>
      <w:sz w:val="24"/>
      <w:lang w:val="en-US" w:eastAsia="zh-CN" w:bidi="ar-SA"/>
    </w:rPr>
  </w:style>
  <w:style w:type="paragraph" w:customStyle="1" w:styleId="135">
    <w:name w:val="段"/>
    <w:qFormat/>
    <w:uiPriority w:val="0"/>
    <w:pPr>
      <w:autoSpaceDE w:val="0"/>
      <w:autoSpaceDN w:val="0"/>
      <w:ind w:firstLine="200" w:firstLineChars="200"/>
      <w:jc w:val="both"/>
    </w:pPr>
    <w:rPr>
      <w:rFonts w:ascii="宋体" w:hAnsi="Calibri" w:eastAsia="微软雅黑" w:cs="Times New Roman"/>
      <w:sz w:val="21"/>
      <w:lang w:val="en-US" w:eastAsia="zh-CN" w:bidi="ar-SA"/>
    </w:rPr>
  </w:style>
  <w:style w:type="paragraph" w:customStyle="1" w:styleId="136">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b/>
      <w:i/>
      <w:sz w:val="24"/>
    </w:rPr>
  </w:style>
  <w:style w:type="paragraph" w:customStyle="1" w:styleId="137">
    <w:name w:val="样式 首行缩进:  0.74 厘米"/>
    <w:basedOn w:val="1"/>
    <w:qFormat/>
    <w:uiPriority w:val="0"/>
    <w:pPr>
      <w:spacing w:line="360" w:lineRule="auto"/>
      <w:ind w:firstLine="420"/>
    </w:pPr>
    <w:rPr>
      <w:sz w:val="24"/>
    </w:rPr>
  </w:style>
  <w:style w:type="paragraph" w:customStyle="1" w:styleId="138">
    <w:name w:val="表中字小于正文（居中）"/>
    <w:qFormat/>
    <w:uiPriority w:val="0"/>
    <w:pPr>
      <w:spacing w:line="280" w:lineRule="exact"/>
      <w:jc w:val="center"/>
    </w:pPr>
    <w:rPr>
      <w:rFonts w:ascii="黑体" w:hAnsi="宋体" w:eastAsia="仿宋_GB2312" w:cs="Times New Roman"/>
      <w:kern w:val="2"/>
      <w:sz w:val="21"/>
      <w:szCs w:val="90"/>
      <w:lang w:val="en-US" w:eastAsia="zh-CN" w:bidi="ar-SA"/>
    </w:rPr>
  </w:style>
  <w:style w:type="paragraph" w:customStyle="1" w:styleId="139">
    <w:name w:val="标书正文:  0.74 厘米"/>
    <w:basedOn w:val="1"/>
    <w:qFormat/>
    <w:uiPriority w:val="0"/>
    <w:pPr>
      <w:snapToGrid w:val="0"/>
      <w:spacing w:line="360" w:lineRule="auto"/>
      <w:ind w:firstLine="420"/>
    </w:pPr>
    <w:rPr>
      <w:sz w:val="24"/>
    </w:rPr>
  </w:style>
  <w:style w:type="paragraph" w:customStyle="1" w:styleId="140">
    <w:name w:val="Char Char Char Char Char"/>
    <w:basedOn w:val="1"/>
    <w:qFormat/>
    <w:uiPriority w:val="0"/>
    <w:pPr>
      <w:tabs>
        <w:tab w:val="left" w:pos="425"/>
      </w:tabs>
      <w:ind w:left="1620" w:hanging="360"/>
    </w:pPr>
    <w:rPr>
      <w:rFonts w:ascii="Tahoma" w:hAnsi="Tahoma"/>
      <w:sz w:val="24"/>
    </w:rPr>
  </w:style>
  <w:style w:type="paragraph" w:customStyle="1" w:styleId="141">
    <w:name w:val="附录3"/>
    <w:basedOn w:val="1"/>
    <w:next w:val="1"/>
    <w:qFormat/>
    <w:uiPriority w:val="0"/>
    <w:pPr>
      <w:tabs>
        <w:tab w:val="left" w:pos="851"/>
      </w:tabs>
      <w:ind w:left="425" w:hanging="425"/>
      <w:outlineLvl w:val="2"/>
    </w:pPr>
    <w:rPr>
      <w:rFonts w:eastAsia="黑体"/>
      <w:b/>
      <w:sz w:val="32"/>
    </w:rPr>
  </w:style>
  <w:style w:type="paragraph" w:customStyle="1" w:styleId="142">
    <w:name w:val="Title - Revision"/>
    <w:basedOn w:val="55"/>
    <w:qFormat/>
    <w:uiPriority w:val="0"/>
    <w:pPr>
      <w:spacing w:before="720"/>
    </w:pPr>
  </w:style>
  <w:style w:type="paragraph" w:customStyle="1" w:styleId="143">
    <w:name w:val="正文表格"/>
    <w:basedOn w:val="1"/>
    <w:qFormat/>
    <w:uiPriority w:val="0"/>
    <w:pPr>
      <w:adjustRightInd w:val="0"/>
      <w:spacing w:before="40" w:after="40"/>
    </w:pPr>
    <w:rPr>
      <w:sz w:val="24"/>
    </w:rPr>
  </w:style>
  <w:style w:type="paragraph" w:customStyle="1" w:styleId="144">
    <w:name w:val="表头样式"/>
    <w:basedOn w:val="1"/>
    <w:qFormat/>
    <w:uiPriority w:val="0"/>
    <w:pPr>
      <w:autoSpaceDE w:val="0"/>
      <w:autoSpaceDN w:val="0"/>
      <w:adjustRightInd w:val="0"/>
      <w:spacing w:line="360" w:lineRule="auto"/>
      <w:jc w:val="left"/>
    </w:pPr>
    <w:rPr>
      <w:b/>
      <w:kern w:val="0"/>
      <w:sz w:val="21"/>
    </w:rPr>
  </w:style>
  <w:style w:type="paragraph" w:customStyle="1" w:styleId="145">
    <w:name w:val="列表项目"/>
    <w:basedOn w:val="1"/>
    <w:qFormat/>
    <w:uiPriority w:val="0"/>
    <w:pPr>
      <w:tabs>
        <w:tab w:val="left" w:pos="420"/>
      </w:tabs>
      <w:spacing w:line="288" w:lineRule="auto"/>
      <w:ind w:left="840" w:leftChars="200" w:hanging="420" w:hangingChars="200"/>
    </w:pPr>
    <w:rPr>
      <w:sz w:val="21"/>
    </w:rPr>
  </w:style>
  <w:style w:type="paragraph" w:customStyle="1" w:styleId="146">
    <w:name w:val="1"/>
    <w:basedOn w:val="1"/>
    <w:next w:val="30"/>
    <w:qFormat/>
    <w:uiPriority w:val="0"/>
    <w:rPr>
      <w:rFonts w:ascii="宋体" w:hAnsi="Courier New"/>
      <w:sz w:val="21"/>
    </w:rPr>
  </w:style>
  <w:style w:type="paragraph" w:customStyle="1" w:styleId="147">
    <w:name w:val="表文字"/>
    <w:qFormat/>
    <w:uiPriority w:val="0"/>
    <w:rPr>
      <w:rFonts w:ascii="宋体" w:hAnsi="Calibri" w:eastAsia="微软雅黑" w:cs="Times New Roman"/>
      <w:kern w:val="2"/>
      <w:lang w:val="en-US" w:eastAsia="zh-CN" w:bidi="ar-SA"/>
    </w:rPr>
  </w:style>
  <w:style w:type="paragraph" w:customStyle="1" w:styleId="148">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kern w:val="0"/>
      <w:sz w:val="18"/>
    </w:rPr>
  </w:style>
  <w:style w:type="paragraph" w:customStyle="1" w:styleId="149">
    <w:name w:val="Body Text Indent 21"/>
    <w:basedOn w:val="1"/>
    <w:qFormat/>
    <w:uiPriority w:val="0"/>
    <w:pPr>
      <w:adjustRightInd w:val="0"/>
      <w:spacing w:before="120"/>
      <w:ind w:firstLine="420"/>
      <w:textAlignment w:val="baseline"/>
    </w:pPr>
    <w:rPr>
      <w:sz w:val="24"/>
    </w:rPr>
  </w:style>
  <w:style w:type="paragraph" w:customStyle="1" w:styleId="150">
    <w:name w:val="标准正文"/>
    <w:basedOn w:val="23"/>
    <w:qFormat/>
    <w:uiPriority w:val="0"/>
    <w:pPr>
      <w:spacing w:before="60" w:after="60" w:line="360" w:lineRule="auto"/>
      <w:ind w:left="0" w:firstLine="482"/>
    </w:pPr>
    <w:rPr>
      <w:rFonts w:ascii="Arial" w:hAnsi="Arial"/>
      <w:sz w:val="24"/>
    </w:rPr>
  </w:style>
  <w:style w:type="paragraph" w:customStyle="1" w:styleId="151">
    <w:name w:val="保证金信息卡行距及首行不空格"/>
    <w:qFormat/>
    <w:uiPriority w:val="0"/>
    <w:pPr>
      <w:spacing w:line="560" w:lineRule="exact"/>
    </w:pPr>
    <w:rPr>
      <w:rFonts w:ascii="黑体" w:hAnsi="宋体" w:eastAsia="仿宋_GB2312" w:cs="Times New Roman"/>
      <w:kern w:val="2"/>
      <w:sz w:val="24"/>
      <w:szCs w:val="90"/>
      <w:lang w:val="en-US" w:eastAsia="zh-CN" w:bidi="ar-SA"/>
    </w:rPr>
  </w:style>
  <w:style w:type="paragraph" w:customStyle="1" w:styleId="152">
    <w:name w:val="Char1 Char Char Char"/>
    <w:basedOn w:val="1"/>
    <w:qFormat/>
    <w:uiPriority w:val="0"/>
    <w:rPr>
      <w:rFonts w:ascii="Tahoma" w:hAnsi="Tahoma"/>
      <w:sz w:val="24"/>
    </w:rPr>
  </w:style>
  <w:style w:type="paragraph" w:customStyle="1" w:styleId="153">
    <w:name w:val="Style Heading 3h3Heading 3 - oldLevel 3 HeadH3level_3PIM 3se..."/>
    <w:basedOn w:val="5"/>
    <w:qFormat/>
    <w:uiPriority w:val="0"/>
    <w:pPr>
      <w:numPr>
        <w:ilvl w:val="2"/>
        <w:numId w:val="6"/>
      </w:numPr>
      <w:tabs>
        <w:tab w:val="left" w:pos="709"/>
        <w:tab w:val="left" w:pos="1620"/>
      </w:tabs>
    </w:pPr>
  </w:style>
  <w:style w:type="paragraph" w:customStyle="1" w:styleId="154">
    <w:name w:val="正文 + 三号"/>
    <w:basedOn w:val="1"/>
    <w:qFormat/>
    <w:uiPriority w:val="0"/>
    <w:rPr>
      <w:sz w:val="21"/>
    </w:rPr>
  </w:style>
  <w:style w:type="paragraph" w:customStyle="1" w:styleId="155">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156">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157">
    <w:name w:val="xl23"/>
    <w:basedOn w:val="1"/>
    <w:qFormat/>
    <w:uiPriority w:val="0"/>
    <w:pPr>
      <w:widowControl/>
      <w:spacing w:before="100" w:beforeAutospacing="1" w:after="100" w:afterAutospacing="1" w:line="360" w:lineRule="auto"/>
      <w:textAlignment w:val="top"/>
    </w:pPr>
    <w:rPr>
      <w:kern w:val="0"/>
      <w:sz w:val="24"/>
    </w:rPr>
  </w:style>
  <w:style w:type="paragraph" w:customStyle="1" w:styleId="158">
    <w:name w:val="正文1"/>
    <w:basedOn w:val="1"/>
    <w:qFormat/>
    <w:uiPriority w:val="0"/>
    <w:pPr>
      <w:spacing w:line="300" w:lineRule="auto"/>
      <w:ind w:firstLine="200" w:firstLineChars="200"/>
    </w:pPr>
    <w:rPr>
      <w:sz w:val="24"/>
    </w:rPr>
  </w:style>
  <w:style w:type="paragraph" w:customStyle="1" w:styleId="159">
    <w:name w:val="模板标题3"/>
    <w:basedOn w:val="5"/>
    <w:next w:val="160"/>
    <w:qFormat/>
    <w:uiPriority w:val="0"/>
    <w:pPr>
      <w:widowControl/>
      <w:numPr>
        <w:ilvl w:val="2"/>
        <w:numId w:val="7"/>
      </w:numPr>
      <w:spacing w:line="360" w:lineRule="auto"/>
      <w:jc w:val="left"/>
    </w:pPr>
    <w:rPr>
      <w:kern w:val="0"/>
      <w:sz w:val="28"/>
      <w:szCs w:val="32"/>
      <w:lang w:val="en-GB"/>
    </w:rPr>
  </w:style>
  <w:style w:type="paragraph" w:customStyle="1" w:styleId="160">
    <w:name w:val="模板正文"/>
    <w:basedOn w:val="1"/>
    <w:qFormat/>
    <w:uiPriority w:val="0"/>
    <w:pPr>
      <w:widowControl/>
      <w:spacing w:line="360" w:lineRule="auto"/>
      <w:ind w:firstLine="480" w:firstLineChars="200"/>
    </w:pPr>
    <w:rPr>
      <w:snapToGrid w:val="0"/>
      <w:kern w:val="0"/>
      <w:sz w:val="24"/>
      <w:lang w:val="en-GB"/>
    </w:rPr>
  </w:style>
  <w:style w:type="paragraph" w:customStyle="1" w:styleId="161">
    <w:name w:val="p1"/>
    <w:basedOn w:val="1"/>
    <w:qFormat/>
    <w:uiPriority w:val="0"/>
    <w:pPr>
      <w:spacing w:line="380" w:lineRule="atLeast"/>
      <w:jc w:val="left"/>
    </w:pPr>
    <w:rPr>
      <w:rFonts w:ascii="Helvetica Neue" w:hAnsi="Helvetica Neue" w:eastAsia="Helvetica Neue"/>
      <w:color w:val="000000"/>
      <w:kern w:val="0"/>
      <w:sz w:val="26"/>
      <w:szCs w:val="26"/>
    </w:rPr>
  </w:style>
  <w:style w:type="paragraph" w:customStyle="1" w:styleId="162">
    <w:name w:val="Char Char Char Char Char Char1 Char"/>
    <w:basedOn w:val="1"/>
    <w:qFormat/>
    <w:uiPriority w:val="0"/>
    <w:pPr>
      <w:widowControl/>
      <w:spacing w:after="160" w:line="240" w:lineRule="exact"/>
      <w:jc w:val="left"/>
    </w:pPr>
    <w:rPr>
      <w:rFonts w:ascii="Verdana" w:hAnsi="Verdana"/>
      <w:kern w:val="0"/>
      <w:sz w:val="21"/>
      <w:lang w:eastAsia="en-US"/>
    </w:rPr>
  </w:style>
  <w:style w:type="paragraph" w:customStyle="1" w:styleId="163">
    <w:name w:val="首行缩进"/>
    <w:basedOn w:val="1"/>
    <w:qFormat/>
    <w:uiPriority w:val="0"/>
    <w:pPr>
      <w:numPr>
        <w:ilvl w:val="0"/>
        <w:numId w:val="8"/>
      </w:numPr>
      <w:spacing w:line="360" w:lineRule="auto"/>
    </w:pPr>
    <w:rPr>
      <w:rFonts w:eastAsia="仿宋_GB2312"/>
    </w:rPr>
  </w:style>
  <w:style w:type="paragraph" w:customStyle="1" w:styleId="164">
    <w:name w:val="Char Char Char Char Char Char Char"/>
    <w:basedOn w:val="17"/>
    <w:qFormat/>
    <w:uiPriority w:val="0"/>
    <w:rPr>
      <w:rFonts w:ascii="宋体" w:hAnsi="Tahoma"/>
    </w:rPr>
  </w:style>
  <w:style w:type="paragraph" w:customStyle="1" w:styleId="165">
    <w:name w:val="标题2"/>
    <w:basedOn w:val="4"/>
    <w:qFormat/>
    <w:uiPriority w:val="0"/>
    <w:pPr>
      <w:keepNext w:val="0"/>
      <w:keepLines w:val="0"/>
      <w:adjustRightInd w:val="0"/>
      <w:snapToGrid w:val="0"/>
      <w:spacing w:before="0" w:after="0" w:line="360" w:lineRule="auto"/>
      <w:ind w:firstLine="574" w:firstLineChars="196"/>
      <w:outlineLvl w:val="9"/>
    </w:pPr>
    <w:rPr>
      <w:rFonts w:ascii="宋体" w:hAnsi="宋体" w:eastAsia="宋体"/>
      <w:spacing w:val="6"/>
      <w:sz w:val="28"/>
      <w:u w:val="single"/>
    </w:rPr>
  </w:style>
  <w:style w:type="paragraph" w:customStyle="1" w:styleId="166">
    <w:name w:val="简单回函地址"/>
    <w:basedOn w:val="1"/>
    <w:qFormat/>
    <w:uiPriority w:val="0"/>
    <w:pPr>
      <w:adjustRightInd w:val="0"/>
      <w:snapToGrid w:val="0"/>
      <w:spacing w:line="360" w:lineRule="auto"/>
    </w:pPr>
    <w:rPr>
      <w:sz w:val="24"/>
    </w:rPr>
  </w:style>
  <w:style w:type="paragraph" w:customStyle="1" w:styleId="167">
    <w:name w:val="样式 标题 6第五层条 + 三号 段前: 0.5 行"/>
    <w:basedOn w:val="7"/>
    <w:qFormat/>
    <w:uiPriority w:val="0"/>
    <w:pPr>
      <w:widowControl/>
      <w:adjustRightInd/>
      <w:snapToGrid/>
      <w:spacing w:before="156" w:beforeLines="50"/>
      <w:jc w:val="left"/>
    </w:pPr>
    <w:rPr>
      <w:snapToGrid w:val="0"/>
      <w:kern w:val="24"/>
      <w:sz w:val="28"/>
    </w:rPr>
  </w:style>
  <w:style w:type="paragraph" w:customStyle="1" w:styleId="168">
    <w:name w:val="Char2 Char Char Char Char Char Char"/>
    <w:basedOn w:val="1"/>
    <w:qFormat/>
    <w:uiPriority w:val="0"/>
    <w:rPr>
      <w:rFonts w:ascii="仿宋_GB2312"/>
      <w:b/>
      <w:sz w:val="30"/>
    </w:rPr>
  </w:style>
  <w:style w:type="paragraph" w:customStyle="1" w:styleId="169">
    <w:name w:val="附录4"/>
    <w:basedOn w:val="1"/>
    <w:next w:val="1"/>
    <w:qFormat/>
    <w:uiPriority w:val="0"/>
    <w:pPr>
      <w:widowControl/>
      <w:tabs>
        <w:tab w:val="left" w:pos="1134"/>
      </w:tabs>
      <w:spacing w:line="300" w:lineRule="auto"/>
      <w:ind w:left="1361" w:hanging="1361"/>
      <w:outlineLvl w:val="3"/>
    </w:pPr>
    <w:rPr>
      <w:rFonts w:ascii="Arial" w:hAnsi="Arial" w:eastAsia="黑体"/>
      <w:kern w:val="0"/>
    </w:rPr>
  </w:style>
  <w:style w:type="paragraph" w:customStyle="1" w:styleId="170">
    <w:name w:val="项目"/>
    <w:basedOn w:val="1"/>
    <w:qFormat/>
    <w:uiPriority w:val="0"/>
    <w:pPr>
      <w:tabs>
        <w:tab w:val="left" w:pos="1280"/>
      </w:tabs>
      <w:spacing w:before="120" w:after="120" w:line="360" w:lineRule="auto"/>
      <w:ind w:left="-7" w:firstLine="567"/>
      <w:jc w:val="left"/>
      <w:textAlignment w:val="baseline"/>
    </w:pPr>
    <w:rPr>
      <w:rFonts w:ascii="宋体"/>
      <w:kern w:val="0"/>
      <w:sz w:val="24"/>
    </w:rPr>
  </w:style>
  <w:style w:type="paragraph" w:customStyle="1" w:styleId="171">
    <w:name w:val="Item Step"/>
    <w:qFormat/>
    <w:uiPriority w:val="0"/>
    <w:pPr>
      <w:tabs>
        <w:tab w:val="left" w:pos="1644"/>
      </w:tabs>
      <w:ind w:left="1644" w:hanging="510"/>
      <w:outlineLvl w:val="4"/>
    </w:pPr>
    <w:rPr>
      <w:rFonts w:ascii="Arial" w:hAnsi="Arial" w:eastAsia="微软雅黑" w:cs="Times New Roman"/>
      <w:sz w:val="21"/>
      <w:lang w:val="en-US" w:eastAsia="zh-CN" w:bidi="ar-SA"/>
    </w:rPr>
  </w:style>
  <w:style w:type="paragraph" w:customStyle="1" w:styleId="172">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173">
    <w:name w:val="1.正文"/>
    <w:basedOn w:val="1"/>
    <w:qFormat/>
    <w:uiPriority w:val="0"/>
    <w:pPr>
      <w:spacing w:line="360" w:lineRule="auto"/>
      <w:ind w:left="540" w:leftChars="225" w:firstLine="540" w:firstLineChars="225"/>
    </w:pPr>
    <w:rPr>
      <w:sz w:val="24"/>
    </w:rPr>
  </w:style>
  <w:style w:type="paragraph" w:customStyle="1" w:styleId="174">
    <w:name w:val="文本框样式1"/>
    <w:basedOn w:val="1"/>
    <w:qFormat/>
    <w:uiPriority w:val="0"/>
    <w:pPr>
      <w:adjustRightInd w:val="0"/>
      <w:snapToGrid w:val="0"/>
      <w:spacing w:before="60" w:line="180" w:lineRule="exact"/>
      <w:jc w:val="center"/>
    </w:pPr>
    <w:rPr>
      <w:sz w:val="21"/>
    </w:rPr>
  </w:style>
  <w:style w:type="paragraph" w:customStyle="1" w:styleId="175">
    <w:name w:val="Char Char Char1 Char Char Char Char Char Char Char Char Char Char Char Char Char"/>
    <w:basedOn w:val="1"/>
    <w:qFormat/>
    <w:uiPriority w:val="0"/>
    <w:pPr>
      <w:widowControl/>
      <w:spacing w:after="160" w:line="240" w:lineRule="exact"/>
      <w:jc w:val="left"/>
    </w:pPr>
    <w:rPr>
      <w:rFonts w:ascii="Verdana" w:hAnsi="Verdana"/>
      <w:kern w:val="0"/>
      <w:sz w:val="18"/>
      <w:lang w:eastAsia="en-US"/>
    </w:rPr>
  </w:style>
  <w:style w:type="paragraph" w:customStyle="1" w:styleId="176">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177">
    <w:name w:val="默认段落字体 Para Char Char Char Char Char Char Char Char Char1 Char Char Char Char"/>
    <w:basedOn w:val="1"/>
    <w:qFormat/>
    <w:uiPriority w:val="0"/>
    <w:rPr>
      <w:rFonts w:ascii="Tahoma" w:hAnsi="Tahoma"/>
      <w:sz w:val="24"/>
    </w:rPr>
  </w:style>
  <w:style w:type="paragraph" w:customStyle="1" w:styleId="178">
    <w:name w:val="文本1"/>
    <w:basedOn w:val="1"/>
    <w:qFormat/>
    <w:uiPriority w:val="0"/>
    <w:pPr>
      <w:adjustRightInd w:val="0"/>
      <w:spacing w:line="312" w:lineRule="atLeast"/>
      <w:jc w:val="center"/>
      <w:textAlignment w:val="baseline"/>
    </w:pPr>
    <w:rPr>
      <w:kern w:val="0"/>
      <w:sz w:val="18"/>
    </w:rPr>
  </w:style>
  <w:style w:type="paragraph" w:styleId="179">
    <w:name w:val="List Paragraph"/>
    <w:basedOn w:val="1"/>
    <w:qFormat/>
    <w:uiPriority w:val="34"/>
    <w:pPr>
      <w:ind w:firstLine="420" w:firstLineChars="200"/>
    </w:pPr>
    <w:rPr>
      <w:sz w:val="21"/>
    </w:rPr>
  </w:style>
  <w:style w:type="paragraph" w:customStyle="1" w:styleId="180">
    <w:name w:val="List Paragraph1"/>
    <w:basedOn w:val="1"/>
    <w:qFormat/>
    <w:uiPriority w:val="0"/>
    <w:pPr>
      <w:spacing w:before="60" w:after="60"/>
      <w:ind w:left="482" w:firstLine="420"/>
    </w:pPr>
    <w:rPr>
      <w:rFonts w:eastAsia="宋体"/>
      <w:szCs w:val="22"/>
    </w:rPr>
  </w:style>
  <w:style w:type="paragraph" w:customStyle="1" w:styleId="181">
    <w:name w:val="xl40"/>
    <w:basedOn w:val="1"/>
    <w:qFormat/>
    <w:uiPriority w:val="0"/>
    <w:pPr>
      <w:widowControl/>
      <w:pBdr>
        <w:left w:val="single" w:color="auto" w:sz="4" w:space="0"/>
        <w:right w:val="single" w:color="auto" w:sz="4" w:space="0"/>
      </w:pBdr>
      <w:spacing w:before="100" w:beforeAutospacing="1" w:after="100" w:afterAutospacing="1"/>
      <w:jc w:val="center"/>
    </w:pPr>
    <w:rPr>
      <w:rFonts w:ascii="宋体" w:hAnsi="宋体"/>
      <w:kern w:val="0"/>
      <w:sz w:val="24"/>
    </w:rPr>
  </w:style>
  <w:style w:type="paragraph" w:customStyle="1" w:styleId="182">
    <w:name w:val="Char Char1 Char Char Char Char Char Char Char Char Char Char Char Char Char Char"/>
    <w:basedOn w:val="1"/>
    <w:qFormat/>
    <w:uiPriority w:val="0"/>
    <w:pPr>
      <w:widowControl/>
      <w:spacing w:after="160" w:line="240" w:lineRule="exact"/>
      <w:jc w:val="left"/>
    </w:pPr>
    <w:rPr>
      <w:rFonts w:ascii="Verdana" w:hAnsi="Verdana"/>
      <w:kern w:val="0"/>
      <w:sz w:val="20"/>
      <w:lang w:eastAsia="en-US"/>
    </w:rPr>
  </w:style>
  <w:style w:type="paragraph" w:customStyle="1" w:styleId="183">
    <w:name w:val="标题5"/>
    <w:basedOn w:val="1"/>
    <w:qFormat/>
    <w:uiPriority w:val="0"/>
    <w:pPr>
      <w:tabs>
        <w:tab w:val="left" w:pos="0"/>
      </w:tabs>
      <w:autoSpaceDE w:val="0"/>
      <w:autoSpaceDN w:val="0"/>
      <w:adjustRightInd w:val="0"/>
      <w:snapToGrid w:val="0"/>
      <w:spacing w:line="320" w:lineRule="atLeast"/>
    </w:pPr>
    <w:rPr>
      <w:rFonts w:ascii="宋体"/>
      <w:kern w:val="0"/>
      <w:sz w:val="21"/>
    </w:rPr>
  </w:style>
  <w:style w:type="paragraph" w:customStyle="1" w:styleId="184">
    <w:name w:val="正文格式"/>
    <w:basedOn w:val="1"/>
    <w:qFormat/>
    <w:uiPriority w:val="0"/>
    <w:pPr>
      <w:widowControl/>
      <w:adjustRightInd w:val="0"/>
      <w:snapToGrid w:val="0"/>
      <w:spacing w:before="60" w:line="360" w:lineRule="auto"/>
      <w:ind w:firstLine="480" w:firstLineChars="200"/>
      <w:jc w:val="left"/>
      <w:textAlignment w:val="baseline"/>
    </w:pPr>
    <w:rPr>
      <w:rFonts w:ascii="宋体" w:hAnsi="宋体"/>
      <w:color w:val="000000"/>
      <w:kern w:val="0"/>
      <w:sz w:val="24"/>
    </w:rPr>
  </w:style>
  <w:style w:type="paragraph" w:customStyle="1" w:styleId="185">
    <w:name w:val="样式2"/>
    <w:basedOn w:val="2"/>
    <w:qFormat/>
    <w:uiPriority w:val="0"/>
    <w:pPr>
      <w:numPr>
        <w:ilvl w:val="0"/>
        <w:numId w:val="9"/>
      </w:numPr>
      <w:spacing w:before="560" w:line="400" w:lineRule="exact"/>
      <w:jc w:val="center"/>
      <w:outlineLvl w:val="0"/>
    </w:pPr>
    <w:rPr>
      <w:b w:val="0"/>
      <w:sz w:val="44"/>
    </w:rPr>
  </w:style>
  <w:style w:type="paragraph" w:customStyle="1" w:styleId="186">
    <w:name w:val="Char"/>
    <w:basedOn w:val="1"/>
    <w:qFormat/>
    <w:uiPriority w:val="0"/>
    <w:pPr>
      <w:spacing w:line="240" w:lineRule="atLeast"/>
      <w:ind w:left="420" w:firstLine="420"/>
    </w:pPr>
    <w:rPr>
      <w:kern w:val="0"/>
      <w:sz w:val="21"/>
    </w:rPr>
  </w:style>
  <w:style w:type="paragraph" w:customStyle="1" w:styleId="187">
    <w:name w:val="Item List"/>
    <w:qFormat/>
    <w:uiPriority w:val="0"/>
    <w:pPr>
      <w:numPr>
        <w:ilvl w:val="0"/>
        <w:numId w:val="10"/>
      </w:numPr>
      <w:spacing w:line="300" w:lineRule="auto"/>
      <w:jc w:val="both"/>
    </w:pPr>
    <w:rPr>
      <w:rFonts w:ascii="Arial" w:hAnsi="Arial" w:eastAsia="微软雅黑" w:cs="Times New Roman"/>
      <w:sz w:val="21"/>
      <w:lang w:val="en-US" w:eastAsia="zh-CN" w:bidi="ar-SA"/>
    </w:rPr>
  </w:style>
  <w:style w:type="paragraph" w:customStyle="1" w:styleId="188">
    <w:name w:val="正文内容"/>
    <w:basedOn w:val="1"/>
    <w:qFormat/>
    <w:uiPriority w:val="0"/>
    <w:pPr>
      <w:spacing w:line="360" w:lineRule="auto"/>
      <w:ind w:firstLine="420"/>
    </w:pPr>
    <w:rPr>
      <w:rFonts w:ascii="Times New Roman" w:hAnsi="Times New Roman" w:eastAsia="宋体"/>
      <w:sz w:val="24"/>
      <w:szCs w:val="24"/>
    </w:rPr>
  </w:style>
  <w:style w:type="paragraph" w:customStyle="1" w:styleId="189">
    <w:name w:val="AA Numbering"/>
    <w:basedOn w:val="1"/>
    <w:qFormat/>
    <w:uiPriority w:val="0"/>
    <w:pPr>
      <w:widowControl/>
      <w:tabs>
        <w:tab w:val="left" w:pos="1134"/>
        <w:tab w:val="left" w:pos="1280"/>
      </w:tabs>
      <w:adjustRightInd w:val="0"/>
      <w:snapToGrid w:val="0"/>
      <w:spacing w:line="280" w:lineRule="atLeast"/>
      <w:jc w:val="left"/>
    </w:pPr>
    <w:rPr>
      <w:rFonts w:eastAsia="PMingLiU"/>
      <w:kern w:val="0"/>
      <w:sz w:val="24"/>
      <w:lang w:eastAsia="zh-TW"/>
    </w:rPr>
  </w:style>
  <w:style w:type="paragraph" w:customStyle="1" w:styleId="190">
    <w:name w:val="司法正文"/>
    <w:qFormat/>
    <w:uiPriority w:val="0"/>
    <w:pPr>
      <w:widowControl w:val="0"/>
      <w:ind w:firstLine="200" w:firstLineChars="200"/>
      <w:jc w:val="both"/>
    </w:pPr>
    <w:rPr>
      <w:rFonts w:ascii="Calibri" w:hAnsi="Calibri" w:eastAsia="仿宋_GB2312" w:cs="Times New Roman"/>
      <w:sz w:val="32"/>
      <w:lang w:val="en-US" w:eastAsia="zh-CN" w:bidi="ar-SA"/>
    </w:rPr>
  </w:style>
  <w:style w:type="paragraph" w:customStyle="1" w:styleId="191">
    <w:name w:val="投标正文"/>
    <w:basedOn w:val="1"/>
    <w:qFormat/>
    <w:uiPriority w:val="0"/>
    <w:pPr>
      <w:widowControl/>
      <w:spacing w:line="360" w:lineRule="auto"/>
      <w:ind w:firstLine="480" w:firstLineChars="200"/>
    </w:pPr>
    <w:rPr>
      <w:rFonts w:eastAsia="宋体"/>
      <w:snapToGrid w:val="0"/>
      <w:kern w:val="0"/>
      <w:sz w:val="24"/>
      <w:lang w:val="en-GB"/>
    </w:rPr>
  </w:style>
  <w:style w:type="paragraph" w:customStyle="1" w:styleId="192">
    <w:name w:val="Table Contents"/>
    <w:basedOn w:val="22"/>
    <w:qFormat/>
    <w:uiPriority w:val="0"/>
    <w:pPr>
      <w:suppressAutoHyphens/>
      <w:jc w:val="left"/>
    </w:pPr>
    <w:rPr>
      <w:rFonts w:ascii="Times New Roman" w:eastAsia="Times New Roman"/>
      <w:kern w:val="0"/>
      <w:sz w:val="24"/>
    </w:rPr>
  </w:style>
  <w:style w:type="paragraph" w:customStyle="1" w:styleId="193">
    <w:name w:val="Char2"/>
    <w:basedOn w:val="1"/>
    <w:qFormat/>
    <w:uiPriority w:val="0"/>
    <w:pPr>
      <w:spacing w:line="240" w:lineRule="atLeast"/>
      <w:ind w:left="420" w:firstLine="420"/>
    </w:pPr>
    <w:rPr>
      <w:kern w:val="0"/>
      <w:sz w:val="21"/>
    </w:rPr>
  </w:style>
  <w:style w:type="paragraph" w:customStyle="1" w:styleId="194">
    <w:name w:val="默认段落字体 Para Char Char Char Char Char Char Char"/>
    <w:basedOn w:val="1"/>
    <w:qFormat/>
    <w:uiPriority w:val="0"/>
    <w:rPr>
      <w:rFonts w:ascii="Tahoma" w:hAnsi="Tahoma"/>
      <w:sz w:val="24"/>
    </w:rPr>
  </w:style>
  <w:style w:type="paragraph" w:customStyle="1" w:styleId="195">
    <w:name w:val="样式 正文缩进正文（首行缩进两字）表正文正文非缩进特点标题4段1 + 首行缩进:  2 字符"/>
    <w:basedOn w:val="15"/>
    <w:qFormat/>
    <w:uiPriority w:val="0"/>
    <w:pPr>
      <w:ind w:firstLine="480" w:firstLineChars="200"/>
    </w:pPr>
  </w:style>
  <w:style w:type="paragraph" w:customStyle="1" w:styleId="196">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197">
    <w:name w:val="bt"/>
    <w:basedOn w:val="1"/>
    <w:next w:val="22"/>
    <w:qFormat/>
    <w:uiPriority w:val="0"/>
    <w:pPr>
      <w:overflowPunct w:val="0"/>
      <w:autoSpaceDE w:val="0"/>
      <w:autoSpaceDN w:val="0"/>
      <w:adjustRightInd w:val="0"/>
      <w:snapToGrid w:val="0"/>
      <w:spacing w:before="100" w:after="100" w:line="240" w:lineRule="atLeast"/>
      <w:ind w:left="2880" w:hanging="360"/>
      <w:textAlignment w:val="baseline"/>
    </w:pPr>
    <w:rPr>
      <w:rFonts w:ascii="宋体"/>
      <w:kern w:val="0"/>
      <w:sz w:val="20"/>
    </w:rPr>
  </w:style>
  <w:style w:type="paragraph" w:customStyle="1" w:styleId="198">
    <w:name w:val="首行缩进 1"/>
    <w:basedOn w:val="1"/>
    <w:qFormat/>
    <w:uiPriority w:val="0"/>
    <w:pPr>
      <w:spacing w:after="120" w:line="360" w:lineRule="auto"/>
      <w:ind w:firstLine="200" w:firstLineChars="200"/>
    </w:pPr>
    <w:rPr>
      <w:sz w:val="24"/>
    </w:rPr>
  </w:style>
  <w:style w:type="paragraph" w:customStyle="1" w:styleId="199">
    <w:name w:val="Char Char Char Char"/>
    <w:basedOn w:val="1"/>
    <w:qFormat/>
    <w:uiPriority w:val="0"/>
    <w:pPr>
      <w:pageBreakBefore/>
      <w:widowControl/>
      <w:spacing w:after="160" w:line="240" w:lineRule="exact"/>
      <w:jc w:val="left"/>
    </w:pPr>
    <w:rPr>
      <w:rFonts w:ascii="Verdana" w:hAnsi="Verdana"/>
      <w:kern w:val="0"/>
      <w:sz w:val="20"/>
      <w:lang w:eastAsia="en-US"/>
    </w:rPr>
  </w:style>
  <w:style w:type="paragraph" w:customStyle="1" w:styleId="200">
    <w:name w:val="文档正文 Char Char Char Char"/>
    <w:basedOn w:val="1"/>
    <w:qFormat/>
    <w:uiPriority w:val="0"/>
    <w:pPr>
      <w:adjustRightInd w:val="0"/>
      <w:spacing w:line="440" w:lineRule="exact"/>
      <w:ind w:firstLine="420"/>
      <w:textAlignment w:val="baseline"/>
    </w:pPr>
    <w:rPr>
      <w:rFonts w:ascii="Arial Narrow" w:hAnsi="Arial Narrow"/>
      <w:kern w:val="0"/>
      <w:sz w:val="24"/>
    </w:rPr>
  </w:style>
  <w:style w:type="paragraph" w:customStyle="1" w:styleId="201">
    <w:name w:val="xl53"/>
    <w:basedOn w:val="1"/>
    <w:qFormat/>
    <w:uiPriority w:val="0"/>
    <w:pPr>
      <w:widowControl/>
      <w:pBdr>
        <w:left w:val="single" w:color="auto" w:sz="4" w:space="0"/>
        <w:bottom w:val="single" w:color="auto" w:sz="4" w:space="0"/>
      </w:pBdr>
      <w:spacing w:before="100" w:beforeAutospacing="1" w:after="100" w:afterAutospacing="1"/>
      <w:jc w:val="center"/>
      <w:textAlignment w:val="center"/>
    </w:pPr>
    <w:rPr>
      <w:rFonts w:ascii="宋体" w:hAnsi="宋体"/>
      <w:kern w:val="0"/>
      <w:sz w:val="24"/>
    </w:rPr>
  </w:style>
  <w:style w:type="paragraph" w:customStyle="1" w:styleId="202">
    <w:name w:val="样式 宋体 五号 两端对齐 行距: 单倍行距"/>
    <w:basedOn w:val="1"/>
    <w:qFormat/>
    <w:uiPriority w:val="0"/>
    <w:pPr>
      <w:adjustRightInd w:val="0"/>
      <w:textAlignment w:val="baseline"/>
    </w:pPr>
    <w:rPr>
      <w:rFonts w:ascii="宋体" w:hAnsi="宋体"/>
      <w:kern w:val="0"/>
      <w:sz w:val="21"/>
    </w:rPr>
  </w:style>
  <w:style w:type="paragraph" w:customStyle="1" w:styleId="203">
    <w:name w:val="模板标题2"/>
    <w:basedOn w:val="4"/>
    <w:next w:val="1"/>
    <w:qFormat/>
    <w:uiPriority w:val="0"/>
    <w:pPr>
      <w:widowControl/>
      <w:numPr>
        <w:ilvl w:val="1"/>
        <w:numId w:val="7"/>
      </w:numPr>
      <w:spacing w:before="0" w:after="0" w:line="360" w:lineRule="auto"/>
      <w:jc w:val="left"/>
    </w:pPr>
    <w:rPr>
      <w:rFonts w:ascii="Times New Roman" w:hAnsi="Times New Roman" w:eastAsia="宋体"/>
      <w:kern w:val="0"/>
      <w:sz w:val="28"/>
      <w:lang w:val="en-GB"/>
    </w:rPr>
  </w:style>
  <w:style w:type="paragraph" w:customStyle="1" w:styleId="204">
    <w:name w:val="样式1"/>
    <w:basedOn w:val="2"/>
    <w:qFormat/>
    <w:uiPriority w:val="0"/>
    <w:pPr>
      <w:tabs>
        <w:tab w:val="left" w:pos="720"/>
      </w:tabs>
      <w:spacing w:before="500" w:after="260" w:line="560" w:lineRule="atLeast"/>
      <w:ind w:left="420" w:hanging="420"/>
    </w:pPr>
  </w:style>
  <w:style w:type="paragraph" w:customStyle="1" w:styleId="205">
    <w:name w:val="样式 仿宋_GB2312 首行缩进:  2 字符"/>
    <w:basedOn w:val="1"/>
    <w:qFormat/>
    <w:uiPriority w:val="0"/>
    <w:pPr>
      <w:spacing w:line="600" w:lineRule="exact"/>
      <w:ind w:firstLine="420" w:firstLineChars="150"/>
      <w:jc w:val="left"/>
    </w:pPr>
    <w:rPr>
      <w:rFonts w:ascii="仿宋_GB2312" w:hAnsi="Arial" w:eastAsia="仿宋_GB2312"/>
      <w:color w:val="000000"/>
      <w:kern w:val="0"/>
      <w:lang w:val="zh-CN"/>
    </w:rPr>
  </w:style>
  <w:style w:type="paragraph" w:customStyle="1" w:styleId="206">
    <w:name w:val="关键词"/>
    <w:basedOn w:val="1"/>
    <w:next w:val="1"/>
    <w:qFormat/>
    <w:uiPriority w:val="0"/>
    <w:pPr>
      <w:spacing w:line="360" w:lineRule="auto"/>
    </w:pPr>
    <w:rPr>
      <w:rFonts w:eastAsia="黑体"/>
      <w:sz w:val="20"/>
    </w:rPr>
  </w:style>
  <w:style w:type="paragraph" w:customStyle="1" w:styleId="207">
    <w:name w:val="CSS1级正文 Char"/>
    <w:basedOn w:val="22"/>
    <w:qFormat/>
    <w:uiPriority w:val="0"/>
    <w:pPr>
      <w:adjustRightInd w:val="0"/>
      <w:snapToGrid w:val="0"/>
      <w:spacing w:line="360" w:lineRule="auto"/>
      <w:ind w:firstLine="480"/>
    </w:pPr>
    <w:rPr>
      <w:rFonts w:ascii="Times New Roman" w:eastAsia="宋体"/>
      <w:sz w:val="24"/>
    </w:rPr>
  </w:style>
  <w:style w:type="paragraph" w:customStyle="1" w:styleId="208">
    <w:name w:val="样式3"/>
    <w:basedOn w:val="3"/>
    <w:next w:val="3"/>
    <w:qFormat/>
    <w:uiPriority w:val="0"/>
    <w:pPr>
      <w:keepLines/>
      <w:adjustRightInd w:val="0"/>
      <w:spacing w:before="340" w:after="330" w:line="576" w:lineRule="auto"/>
    </w:pPr>
    <w:rPr>
      <w:rFonts w:ascii="Times New Roman" w:eastAsia="黑体"/>
      <w:b/>
      <w:kern w:val="44"/>
      <w:sz w:val="44"/>
    </w:rPr>
  </w:style>
  <w:style w:type="paragraph" w:customStyle="1" w:styleId="209">
    <w:name w:val="Char Char1"/>
    <w:basedOn w:val="1"/>
    <w:qFormat/>
    <w:uiPriority w:val="0"/>
    <w:pPr>
      <w:widowControl/>
      <w:spacing w:after="160" w:line="240" w:lineRule="exact"/>
      <w:jc w:val="left"/>
    </w:pPr>
    <w:rPr>
      <w:rFonts w:ascii="Verdana" w:hAnsi="Verdana"/>
      <w:kern w:val="0"/>
      <w:sz w:val="20"/>
      <w:lang w:eastAsia="en-US"/>
    </w:rPr>
  </w:style>
  <w:style w:type="paragraph" w:customStyle="1" w:styleId="210">
    <w:name w:val="正文4"/>
    <w:basedOn w:val="1"/>
    <w:qFormat/>
    <w:uiPriority w:val="0"/>
    <w:pPr>
      <w:tabs>
        <w:tab w:val="left" w:pos="1275"/>
      </w:tabs>
      <w:spacing w:before="60" w:after="60" w:line="360" w:lineRule="auto"/>
      <w:ind w:left="820" w:leftChars="400" w:hanging="705"/>
    </w:pPr>
    <w:rPr>
      <w:sz w:val="24"/>
    </w:rPr>
  </w:style>
  <w:style w:type="paragraph" w:customStyle="1" w:styleId="211">
    <w:name w:val="00"/>
    <w:basedOn w:val="1"/>
    <w:qFormat/>
    <w:uiPriority w:val="0"/>
    <w:pPr>
      <w:autoSpaceDE w:val="0"/>
      <w:autoSpaceDN w:val="0"/>
      <w:adjustRightInd w:val="0"/>
      <w:jc w:val="left"/>
    </w:pPr>
    <w:rPr>
      <w:rFonts w:ascii="黑体" w:eastAsia="黑体"/>
      <w:b/>
      <w:kern w:val="0"/>
      <w:sz w:val="20"/>
    </w:rPr>
  </w:style>
  <w:style w:type="paragraph" w:customStyle="1" w:styleId="212">
    <w:name w:val="图例"/>
    <w:basedOn w:val="1"/>
    <w:qFormat/>
    <w:uiPriority w:val="0"/>
    <w:pPr>
      <w:spacing w:before="120" w:after="120" w:line="360" w:lineRule="auto"/>
      <w:jc w:val="center"/>
    </w:pPr>
    <w:rPr>
      <w:rFonts w:eastAsia="仿宋_GB2312"/>
      <w:b/>
      <w:sz w:val="24"/>
    </w:rPr>
  </w:style>
  <w:style w:type="paragraph" w:customStyle="1" w:styleId="213">
    <w:name w:val="Char Char 字元 字元 字元 Char Char Char Char"/>
    <w:basedOn w:val="1"/>
    <w:qFormat/>
    <w:uiPriority w:val="0"/>
    <w:pPr>
      <w:adjustRightInd w:val="0"/>
      <w:spacing w:line="360" w:lineRule="auto"/>
    </w:pPr>
    <w:rPr>
      <w:kern w:val="0"/>
      <w:sz w:val="24"/>
    </w:rPr>
  </w:style>
  <w:style w:type="paragraph" w:customStyle="1" w:styleId="214">
    <w:name w:val="没有缩进（为图形使用）"/>
    <w:basedOn w:val="1"/>
    <w:qFormat/>
    <w:uiPriority w:val="0"/>
    <w:pPr>
      <w:spacing w:before="120" w:after="120" w:line="360" w:lineRule="auto"/>
    </w:pPr>
    <w:rPr>
      <w:sz w:val="24"/>
    </w:rPr>
  </w:style>
  <w:style w:type="paragraph" w:customStyle="1" w:styleId="215">
    <w:name w:val="IN Step"/>
    <w:basedOn w:val="1"/>
    <w:qFormat/>
    <w:uiPriority w:val="0"/>
    <w:pPr>
      <w:keepLines/>
      <w:widowControl/>
      <w:tabs>
        <w:tab w:val="left" w:pos="1134"/>
      </w:tabs>
      <w:spacing w:before="80" w:after="80" w:line="300" w:lineRule="auto"/>
      <w:ind w:left="1134" w:hanging="907"/>
      <w:outlineLvl w:val="8"/>
    </w:pPr>
    <w:rPr>
      <w:rFonts w:ascii="Arial" w:hAnsi="Arial"/>
      <w:kern w:val="0"/>
      <w:sz w:val="21"/>
    </w:rPr>
  </w:style>
  <w:style w:type="paragraph" w:customStyle="1" w:styleId="216">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仿宋_GB2312"/>
      <w:kern w:val="0"/>
      <w:sz w:val="24"/>
    </w:rPr>
  </w:style>
  <w:style w:type="paragraph" w:customStyle="1" w:styleId="217">
    <w:name w:val="正文（首行不缩进）"/>
    <w:basedOn w:val="1"/>
    <w:qFormat/>
    <w:uiPriority w:val="0"/>
    <w:pPr>
      <w:autoSpaceDE w:val="0"/>
      <w:autoSpaceDN w:val="0"/>
      <w:adjustRightInd w:val="0"/>
      <w:spacing w:line="360" w:lineRule="auto"/>
      <w:jc w:val="left"/>
    </w:pPr>
    <w:rPr>
      <w:kern w:val="0"/>
      <w:sz w:val="21"/>
    </w:rPr>
  </w:style>
  <w:style w:type="paragraph" w:customStyle="1" w:styleId="218">
    <w:name w:val="样式 样式 宋体 小四 段前: 7.8 磅 段后: 7.8 磅 行距: 1.5 倍行距 + 小二 首行缩进:  2 字符"/>
    <w:basedOn w:val="1"/>
    <w:qFormat/>
    <w:uiPriority w:val="0"/>
    <w:pPr>
      <w:spacing w:line="360" w:lineRule="auto"/>
      <w:ind w:firstLine="480" w:firstLineChars="200"/>
    </w:pPr>
    <w:rPr>
      <w:rFonts w:ascii="宋体" w:hAnsi="宋体" w:cs="宋体"/>
      <w:sz w:val="24"/>
      <w:szCs w:val="24"/>
    </w:rPr>
  </w:style>
  <w:style w:type="paragraph" w:customStyle="1" w:styleId="219">
    <w:name w:val="表格文本"/>
    <w:qFormat/>
    <w:uiPriority w:val="0"/>
    <w:pPr>
      <w:tabs>
        <w:tab w:val="decimal" w:pos="0"/>
      </w:tabs>
    </w:pPr>
    <w:rPr>
      <w:rFonts w:ascii="Arial" w:hAnsi="Arial" w:eastAsia="微软雅黑" w:cs="Times New Roman"/>
      <w:sz w:val="21"/>
      <w:lang w:val="en-US" w:eastAsia="zh-CN" w:bidi="ar-SA"/>
    </w:rPr>
  </w:style>
  <w:style w:type="paragraph" w:customStyle="1" w:styleId="220">
    <w:name w:val="Char Char14 Char Char"/>
    <w:basedOn w:val="1"/>
    <w:qFormat/>
    <w:uiPriority w:val="0"/>
    <w:rPr>
      <w:sz w:val="21"/>
      <w:szCs w:val="24"/>
    </w:rPr>
  </w:style>
  <w:style w:type="paragraph" w:customStyle="1" w:styleId="221">
    <w:name w:val="WPSOffice手动目录 1"/>
    <w:qFormat/>
    <w:uiPriority w:val="0"/>
    <w:rPr>
      <w:rFonts w:ascii="Times New Roman" w:hAnsi="Times New Roman" w:eastAsia="宋体" w:cs="Times New Roman"/>
      <w:lang w:val="en-US" w:eastAsia="zh-CN" w:bidi="ar-SA"/>
    </w:rPr>
  </w:style>
  <w:style w:type="paragraph" w:customStyle="1" w:styleId="222">
    <w:name w:val="正文字缩2字"/>
    <w:basedOn w:val="1"/>
    <w:qFormat/>
    <w:uiPriority w:val="0"/>
    <w:pPr>
      <w:spacing w:before="60" w:after="60" w:line="360" w:lineRule="auto"/>
      <w:ind w:left="200" w:leftChars="200" w:firstLine="200" w:firstLineChars="200"/>
    </w:pPr>
    <w:rPr>
      <w:sz w:val="24"/>
    </w:rPr>
  </w:style>
  <w:style w:type="paragraph" w:customStyle="1" w:styleId="223">
    <w:name w:val="模板标题4"/>
    <w:basedOn w:val="2"/>
    <w:next w:val="160"/>
    <w:qFormat/>
    <w:uiPriority w:val="0"/>
    <w:pPr>
      <w:widowControl/>
      <w:numPr>
        <w:ilvl w:val="3"/>
        <w:numId w:val="7"/>
      </w:numPr>
      <w:tabs>
        <w:tab w:val="left" w:pos="600"/>
      </w:tabs>
      <w:jc w:val="left"/>
    </w:pPr>
    <w:rPr>
      <w:rFonts w:ascii="Times New Roman" w:hAnsi="Times New Roman"/>
      <w:bCs/>
      <w:szCs w:val="28"/>
      <w:lang w:val="en-GB"/>
    </w:rPr>
  </w:style>
  <w:style w:type="paragraph" w:customStyle="1" w:styleId="224">
    <w:name w:val="普通正文"/>
    <w:basedOn w:val="1"/>
    <w:qFormat/>
    <w:uiPriority w:val="0"/>
    <w:pPr>
      <w:adjustRightInd w:val="0"/>
      <w:spacing w:before="120" w:after="120" w:line="360" w:lineRule="auto"/>
      <w:ind w:firstLine="480"/>
      <w:jc w:val="left"/>
      <w:textAlignment w:val="baseline"/>
    </w:pPr>
    <w:rPr>
      <w:rFonts w:ascii="Arial" w:hAnsi="Arial"/>
      <w:kern w:val="0"/>
      <w:sz w:val="24"/>
    </w:rPr>
  </w:style>
  <w:style w:type="paragraph" w:customStyle="1" w:styleId="225">
    <w:name w:val="Title - Date"/>
    <w:basedOn w:val="55"/>
    <w:next w:val="1"/>
    <w:qFormat/>
    <w:uiPriority w:val="0"/>
    <w:pPr>
      <w:spacing w:before="240" w:after="720"/>
    </w:pPr>
    <w:rPr>
      <w:sz w:val="28"/>
    </w:rPr>
  </w:style>
  <w:style w:type="paragraph" w:customStyle="1" w:styleId="226">
    <w:name w:val="af"/>
    <w:basedOn w:val="1"/>
    <w:qFormat/>
    <w:uiPriority w:val="0"/>
    <w:pPr>
      <w:widowControl/>
      <w:spacing w:line="300" w:lineRule="atLeast"/>
      <w:jc w:val="left"/>
    </w:pPr>
    <w:rPr>
      <w:rFonts w:ascii="宋体" w:hAnsi="宋体"/>
      <w:kern w:val="0"/>
      <w:sz w:val="18"/>
    </w:rPr>
  </w:style>
  <w:style w:type="paragraph" w:customStyle="1" w:styleId="227">
    <w:name w:val="样式 样式 首行缩进:  2 字符 + 首行缩进:  2 字符"/>
    <w:basedOn w:val="1"/>
    <w:qFormat/>
    <w:uiPriority w:val="0"/>
    <w:pPr>
      <w:numPr>
        <w:ilvl w:val="0"/>
        <w:numId w:val="11"/>
      </w:numPr>
      <w:tabs>
        <w:tab w:val="clear" w:pos="1230"/>
      </w:tabs>
      <w:spacing w:line="360" w:lineRule="auto"/>
      <w:ind w:firstLine="480" w:firstLineChars="200"/>
    </w:pPr>
    <w:rPr>
      <w:sz w:val="24"/>
    </w:rPr>
  </w:style>
  <w:style w:type="paragraph" w:customStyle="1" w:styleId="228">
    <w:name w:val="Item Step in Table"/>
    <w:qFormat/>
    <w:uiPriority w:val="0"/>
    <w:pPr>
      <w:numPr>
        <w:ilvl w:val="0"/>
        <w:numId w:val="5"/>
      </w:numPr>
      <w:tabs>
        <w:tab w:val="left" w:pos="397"/>
      </w:tabs>
      <w:spacing w:before="40" w:after="40"/>
      <w:jc w:val="both"/>
    </w:pPr>
    <w:rPr>
      <w:rFonts w:ascii="Arial" w:hAnsi="Arial" w:eastAsia="微软雅黑" w:cs="Times New Roman"/>
      <w:sz w:val="18"/>
      <w:lang w:val="en-US" w:eastAsia="zh-CN" w:bidi="ar-SA"/>
    </w:rPr>
  </w:style>
  <w:style w:type="paragraph" w:customStyle="1" w:styleId="229">
    <w:name w:val="Table Text Char1"/>
    <w:qFormat/>
    <w:uiPriority w:val="0"/>
    <w:pPr>
      <w:snapToGrid w:val="0"/>
      <w:spacing w:before="80" w:after="80"/>
    </w:pPr>
    <w:rPr>
      <w:rFonts w:ascii="Arial" w:hAnsi="Arial" w:eastAsia="微软雅黑" w:cs="Times New Roman"/>
      <w:kern w:val="2"/>
      <w:sz w:val="18"/>
      <w:lang w:val="en-US" w:eastAsia="zh-CN" w:bidi="ar-SA"/>
    </w:rPr>
  </w:style>
  <w:style w:type="paragraph" w:customStyle="1" w:styleId="230">
    <w:name w:val="IN Feature"/>
    <w:next w:val="215"/>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231">
    <w:name w:val="样式4"/>
    <w:basedOn w:val="2"/>
    <w:qFormat/>
    <w:uiPriority w:val="0"/>
    <w:pPr>
      <w:adjustRightInd w:val="0"/>
      <w:snapToGrid w:val="0"/>
    </w:pPr>
  </w:style>
  <w:style w:type="paragraph" w:customStyle="1" w:styleId="232">
    <w:name w:val="正文文本 21"/>
    <w:basedOn w:val="1"/>
    <w:qFormat/>
    <w:uiPriority w:val="0"/>
    <w:pPr>
      <w:adjustRightInd w:val="0"/>
      <w:spacing w:before="120" w:line="360" w:lineRule="auto"/>
      <w:ind w:firstLine="480"/>
      <w:textAlignment w:val="baseline"/>
    </w:pPr>
    <w:rPr>
      <w:sz w:val="24"/>
    </w:rPr>
  </w:style>
  <w:style w:type="paragraph" w:customStyle="1" w:styleId="233">
    <w:name w:val="样式1xz"/>
    <w:basedOn w:val="1"/>
    <w:qFormat/>
    <w:uiPriority w:val="0"/>
    <w:pPr>
      <w:tabs>
        <w:tab w:val="left" w:pos="1050"/>
        <w:tab w:val="right" w:leader="dot" w:pos="8296"/>
      </w:tabs>
    </w:pPr>
    <w:rPr>
      <w:caps/>
      <w:spacing w:val="20"/>
      <w:sz w:val="24"/>
    </w:rPr>
  </w:style>
  <w:style w:type="paragraph" w:customStyle="1" w:styleId="234">
    <w:name w:val="È±Ê¡ÎÄ±¾"/>
    <w:basedOn w:val="1"/>
    <w:qFormat/>
    <w:uiPriority w:val="0"/>
    <w:pPr>
      <w:widowControl/>
      <w:overflowPunct w:val="0"/>
      <w:autoSpaceDE w:val="0"/>
      <w:autoSpaceDN w:val="0"/>
      <w:adjustRightInd w:val="0"/>
      <w:jc w:val="left"/>
      <w:textAlignment w:val="baseline"/>
    </w:pPr>
    <w:rPr>
      <w:kern w:val="0"/>
      <w:sz w:val="24"/>
    </w:rPr>
  </w:style>
  <w:style w:type="paragraph" w:customStyle="1" w:styleId="235">
    <w:name w:val="文档正文"/>
    <w:basedOn w:val="1"/>
    <w:qFormat/>
    <w:uiPriority w:val="0"/>
    <w:pPr>
      <w:adjustRightInd w:val="0"/>
      <w:snapToGrid w:val="0"/>
      <w:spacing w:line="440" w:lineRule="exact"/>
      <w:ind w:firstLine="567"/>
      <w:textAlignment w:val="baseline"/>
    </w:pPr>
    <w:rPr>
      <w:rFonts w:ascii="Arial Narrow" w:hAnsi="Arial Narrow"/>
      <w:kern w:val="0"/>
      <w:sz w:val="24"/>
    </w:rPr>
  </w:style>
  <w:style w:type="paragraph" w:customStyle="1" w:styleId="236">
    <w:name w:val="my正文"/>
    <w:basedOn w:val="1"/>
    <w:qFormat/>
    <w:uiPriority w:val="0"/>
    <w:rPr>
      <w:sz w:val="21"/>
    </w:rPr>
  </w:style>
  <w:style w:type="paragraph" w:customStyle="1" w:styleId="237">
    <w:name w:val="样式 标题 1 + 居中 段前: 6 磅 段后: 6 磅 行距: 1.5 倍行距"/>
    <w:basedOn w:val="3"/>
    <w:qFormat/>
    <w:uiPriority w:val="0"/>
    <w:pPr>
      <w:keepLines/>
      <w:adjustRightInd w:val="0"/>
      <w:spacing w:before="120" w:after="120" w:line="360" w:lineRule="auto"/>
      <w:jc w:val="center"/>
    </w:pPr>
    <w:rPr>
      <w:rFonts w:ascii="Times New Roman"/>
      <w:b/>
      <w:kern w:val="44"/>
      <w:sz w:val="32"/>
    </w:rPr>
  </w:style>
  <w:style w:type="paragraph" w:customStyle="1" w:styleId="238">
    <w:name w:val="授权书和信息卡行距"/>
    <w:qFormat/>
    <w:uiPriority w:val="0"/>
    <w:pPr>
      <w:spacing w:line="560" w:lineRule="exact"/>
      <w:ind w:left="200" w:hanging="200" w:hangingChars="200"/>
    </w:pPr>
    <w:rPr>
      <w:rFonts w:ascii="Calibri" w:hAnsi="Calibri" w:eastAsia="仿宋_GB2312" w:cs="Times New Roman"/>
      <w:kern w:val="2"/>
      <w:sz w:val="24"/>
      <w:szCs w:val="24"/>
      <w:lang w:val="en-US" w:eastAsia="zh-CN" w:bidi="ar-SA"/>
    </w:rPr>
  </w:style>
  <w:style w:type="paragraph" w:customStyle="1" w:styleId="239">
    <w:name w:val="Char1 Char Char Char1"/>
    <w:basedOn w:val="1"/>
    <w:qFormat/>
    <w:uiPriority w:val="0"/>
    <w:rPr>
      <w:rFonts w:ascii="Tahoma" w:hAnsi="Tahoma"/>
      <w:sz w:val="30"/>
    </w:rPr>
  </w:style>
  <w:style w:type="paragraph" w:customStyle="1" w:styleId="240">
    <w:name w:val="标题3——2"/>
    <w:basedOn w:val="5"/>
    <w:next w:val="57"/>
    <w:qFormat/>
    <w:uiPriority w:val="0"/>
    <w:pPr>
      <w:tabs>
        <w:tab w:val="left" w:pos="1280"/>
        <w:tab w:val="right" w:leader="dot" w:pos="8777"/>
      </w:tabs>
      <w:spacing w:before="312" w:beforeLines="100" w:after="0" w:line="240" w:lineRule="auto"/>
      <w:ind w:left="851" w:hanging="851"/>
      <w:outlineLvl w:val="9"/>
    </w:pPr>
    <w:rPr>
      <w:rFonts w:ascii="黑体" w:hAnsi="宋体" w:eastAsia="黑体"/>
      <w:sz w:val="30"/>
    </w:rPr>
  </w:style>
  <w:style w:type="paragraph" w:customStyle="1" w:styleId="241">
    <w:name w:val="附件"/>
    <w:next w:val="1"/>
    <w:qFormat/>
    <w:uiPriority w:val="0"/>
    <w:pPr>
      <w:tabs>
        <w:tab w:val="right" w:leader="dot" w:pos="9402"/>
      </w:tabs>
      <w:spacing w:line="400" w:lineRule="exact"/>
      <w:jc w:val="center"/>
      <w:outlineLvl w:val="0"/>
    </w:pPr>
    <w:rPr>
      <w:rFonts w:ascii="Calibri" w:hAnsi="Calibri" w:eastAsia="方正黑体_GBK" w:cs="Times New Roman"/>
      <w:b/>
      <w:bCs/>
      <w:smallCaps/>
      <w:kern w:val="2"/>
      <w:sz w:val="28"/>
      <w:lang w:val="en-US" w:eastAsia="zh-CN" w:bidi="ar-SA"/>
    </w:rPr>
  </w:style>
  <w:style w:type="paragraph" w:customStyle="1" w:styleId="242">
    <w:name w:val="可研正文"/>
    <w:basedOn w:val="22"/>
    <w:qFormat/>
    <w:uiPriority w:val="0"/>
    <w:pPr>
      <w:adjustRightInd w:val="0"/>
      <w:snapToGrid w:val="0"/>
      <w:spacing w:line="440" w:lineRule="exact"/>
      <w:ind w:firstLine="567"/>
    </w:pPr>
    <w:rPr>
      <w:sz w:val="28"/>
    </w:rPr>
  </w:style>
  <w:style w:type="paragraph" w:customStyle="1" w:styleId="243">
    <w:name w:val="编号正文"/>
    <w:basedOn w:val="235"/>
    <w:qFormat/>
    <w:uiPriority w:val="0"/>
    <w:pPr>
      <w:snapToGrid/>
      <w:spacing w:line="360" w:lineRule="auto"/>
      <w:ind w:left="1407" w:hanging="1047"/>
      <w:jc w:val="left"/>
    </w:pPr>
    <w:rPr>
      <w:rFonts w:eastAsia="仿宋_GB2312"/>
    </w:rPr>
  </w:style>
  <w:style w:type="paragraph" w:customStyle="1" w:styleId="244">
    <w:name w:val="样式 行距: 1.5 倍行距1"/>
    <w:basedOn w:val="1"/>
    <w:qFormat/>
    <w:uiPriority w:val="0"/>
    <w:pPr>
      <w:snapToGrid w:val="0"/>
    </w:pPr>
    <w:rPr>
      <w:sz w:val="21"/>
    </w:rPr>
  </w:style>
  <w:style w:type="paragraph" w:customStyle="1" w:styleId="245">
    <w:name w:val="样式 宋体 五号 行距: 单倍行距"/>
    <w:basedOn w:val="1"/>
    <w:qFormat/>
    <w:uiPriority w:val="0"/>
    <w:pPr>
      <w:adjustRightInd w:val="0"/>
      <w:jc w:val="left"/>
    </w:pPr>
    <w:rPr>
      <w:rFonts w:ascii="宋体" w:hAnsi="宋体"/>
      <w:kern w:val="0"/>
      <w:sz w:val="21"/>
    </w:rPr>
  </w:style>
  <w:style w:type="paragraph" w:customStyle="1" w:styleId="246">
    <w:name w:val="二级条标题"/>
    <w:basedOn w:val="133"/>
    <w:next w:val="135"/>
    <w:qFormat/>
    <w:uiPriority w:val="0"/>
    <w:pPr>
      <w:ind w:left="840"/>
      <w:outlineLvl w:val="3"/>
    </w:pPr>
  </w:style>
  <w:style w:type="paragraph" w:customStyle="1" w:styleId="247">
    <w:name w:val="style1"/>
    <w:basedOn w:val="1"/>
    <w:qFormat/>
    <w:uiPriority w:val="0"/>
    <w:pPr>
      <w:widowControl/>
      <w:spacing w:before="100" w:beforeAutospacing="1" w:after="100" w:afterAutospacing="1"/>
      <w:jc w:val="left"/>
    </w:pPr>
    <w:rPr>
      <w:rFonts w:ascii="宋体" w:hAnsi="宋体"/>
      <w:kern w:val="0"/>
      <w:sz w:val="21"/>
    </w:rPr>
  </w:style>
  <w:style w:type="paragraph" w:customStyle="1" w:styleId="248">
    <w:name w:val="表格内文字"/>
    <w:basedOn w:val="30"/>
    <w:qFormat/>
    <w:uiPriority w:val="0"/>
    <w:pPr>
      <w:adjustRightInd w:val="0"/>
    </w:pPr>
    <w:rPr>
      <w:color w:val="000000"/>
      <w:lang w:val="en-GB"/>
    </w:rPr>
  </w:style>
  <w:style w:type="paragraph" w:customStyle="1" w:styleId="249">
    <w:name w:val="Char Char Char Char Char Char Char1"/>
    <w:basedOn w:val="1"/>
    <w:qFormat/>
    <w:uiPriority w:val="0"/>
    <w:rPr>
      <w:rFonts w:ascii="Tahoma" w:hAnsi="Tahoma"/>
      <w:sz w:val="24"/>
    </w:rPr>
  </w:style>
  <w:style w:type="paragraph" w:customStyle="1" w:styleId="250">
    <w:name w:val="摘要"/>
    <w:basedOn w:val="1"/>
    <w:next w:val="4"/>
    <w:qFormat/>
    <w:uiPriority w:val="0"/>
    <w:pPr>
      <w:spacing w:line="360" w:lineRule="auto"/>
    </w:pPr>
    <w:rPr>
      <w:rFonts w:eastAsia="黑体"/>
      <w:sz w:val="20"/>
    </w:rPr>
  </w:style>
  <w:style w:type="paragraph" w:customStyle="1" w:styleId="251">
    <w:name w:val="content"/>
    <w:basedOn w:val="1"/>
    <w:qFormat/>
    <w:uiPriority w:val="0"/>
    <w:pPr>
      <w:widowControl/>
      <w:spacing w:before="100" w:beforeAutospacing="1" w:after="100" w:afterAutospacing="1" w:line="280" w:lineRule="atLeast"/>
      <w:ind w:firstLine="375"/>
      <w:jc w:val="left"/>
    </w:pPr>
    <w:rPr>
      <w:rFonts w:ascii="宋体" w:hAnsi="宋体"/>
      <w:color w:val="000000"/>
      <w:kern w:val="0"/>
      <w:sz w:val="18"/>
    </w:rPr>
  </w:style>
  <w:style w:type="paragraph" w:customStyle="1" w:styleId="252">
    <w:name w:val="表号"/>
    <w:basedOn w:val="1"/>
    <w:qFormat/>
    <w:uiPriority w:val="0"/>
    <w:pPr>
      <w:numPr>
        <w:ilvl w:val="0"/>
        <w:numId w:val="12"/>
      </w:numPr>
      <w:tabs>
        <w:tab w:val="left" w:pos="648"/>
        <w:tab w:val="clear" w:pos="360"/>
      </w:tabs>
      <w:autoSpaceDE w:val="0"/>
      <w:autoSpaceDN w:val="0"/>
      <w:adjustRightInd w:val="0"/>
      <w:spacing w:before="210" w:after="210"/>
      <w:ind w:left="425" w:hanging="137"/>
      <w:jc w:val="center"/>
    </w:pPr>
    <w:rPr>
      <w:kern w:val="0"/>
      <w:sz w:val="21"/>
      <w:lang w:eastAsia="en-US"/>
    </w:rPr>
  </w:style>
  <w:style w:type="paragraph" w:customStyle="1" w:styleId="253">
    <w:name w:val="Char Char Char"/>
    <w:basedOn w:val="1"/>
    <w:qFormat/>
    <w:uiPriority w:val="0"/>
    <w:rPr>
      <w:rFonts w:ascii="Tahoma" w:hAnsi="Tahoma"/>
      <w:sz w:val="24"/>
    </w:rPr>
  </w:style>
  <w:style w:type="paragraph" w:customStyle="1" w:styleId="254">
    <w:name w:val="Char Char Char Char Char Char Char Char Char Char Char Char Char Char Char Char"/>
    <w:basedOn w:val="1"/>
    <w:qFormat/>
    <w:uiPriority w:val="0"/>
    <w:pPr>
      <w:tabs>
        <w:tab w:val="left" w:pos="360"/>
      </w:tabs>
    </w:pPr>
    <w:rPr>
      <w:sz w:val="24"/>
    </w:rPr>
  </w:style>
  <w:style w:type="paragraph" w:customStyle="1" w:styleId="255">
    <w:name w:val="样式 正文首行缩进 2 + 首行缩进:  2 字符"/>
    <w:basedOn w:val="1"/>
    <w:qFormat/>
    <w:uiPriority w:val="0"/>
    <w:pPr>
      <w:numPr>
        <w:ilvl w:val="0"/>
        <w:numId w:val="13"/>
      </w:numPr>
      <w:adjustRightInd w:val="0"/>
      <w:snapToGrid w:val="0"/>
      <w:spacing w:line="360" w:lineRule="auto"/>
    </w:pPr>
    <w:rPr>
      <w:rFonts w:ascii="Arial" w:hAnsi="Arial"/>
      <w:b/>
      <w:sz w:val="24"/>
    </w:rPr>
  </w:style>
  <w:style w:type="paragraph" w:customStyle="1" w:styleId="256">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257">
    <w:name w:val="图片文字"/>
    <w:basedOn w:val="1"/>
    <w:qFormat/>
    <w:uiPriority w:val="0"/>
    <w:pPr>
      <w:spacing w:line="240" w:lineRule="atLeast"/>
      <w:jc w:val="center"/>
    </w:pPr>
    <w:rPr>
      <w:sz w:val="21"/>
    </w:rPr>
  </w:style>
  <w:style w:type="paragraph" w:customStyle="1" w:styleId="258">
    <w:name w:val="标题无"/>
    <w:basedOn w:val="1"/>
    <w:qFormat/>
    <w:uiPriority w:val="0"/>
    <w:pPr>
      <w:spacing w:line="360" w:lineRule="auto"/>
    </w:pPr>
    <w:rPr>
      <w:sz w:val="24"/>
    </w:rPr>
  </w:style>
  <w:style w:type="paragraph" w:customStyle="1" w:styleId="259">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260">
    <w:name w:val="内容标题"/>
    <w:basedOn w:val="17"/>
    <w:qFormat/>
    <w:uiPriority w:val="0"/>
    <w:rPr>
      <w:rFonts w:ascii="Tahoma" w:hAnsi="Tahoma"/>
      <w:sz w:val="24"/>
    </w:rPr>
  </w:style>
  <w:style w:type="character" w:customStyle="1" w:styleId="261">
    <w:name w:val="正文1 Char Char"/>
    <w:qFormat/>
    <w:uiPriority w:val="0"/>
    <w:rPr>
      <w:rFonts w:ascii="宋体" w:hAnsi="宋体" w:eastAsia="宋体"/>
      <w:u w:val="singl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header" Target="header2.xml"/><Relationship Id="rId6" Type="http://schemas.openxmlformats.org/officeDocument/2006/relationships/footer" Target="footer3.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3" Type="http://schemas.openxmlformats.org/officeDocument/2006/relationships/fontTable" Target="fontTable.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2.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Microsoft</Company>
  <Pages>51</Pages>
  <Words>22540</Words>
  <Characters>23945</Characters>
  <Lines>257</Lines>
  <Paragraphs>72</Paragraphs>
  <TotalTime>47</TotalTime>
  <ScaleCrop>false</ScaleCrop>
  <LinksUpToDate>false</LinksUpToDate>
  <CharactersWithSpaces>28217</CharactersWithSpaces>
  <Application>WPS Office_12.1.0.23125_F1E327BC-269C-435d-A152-05C5408002CA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2022-05-16T08:48:00Z</dcterms:created>
  <dc:creator>罗成</dc:creator>
  <cp:lastModifiedBy>吕银彬</cp:lastModifiedBy>
  <cp:lastPrinted>2025-10-31T10:18:00Z</cp:lastPrinted>
  <dcterms:modified xsi:type="dcterms:W3CDTF">2025-11-02T05:49:12Z</dcterms:modified>
  <dc:title>竞争性谈判文件</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2052-12.1.0.23125</vt:lpwstr>
  </property>
  <property fmtid="{D5CDD505-2E9C-101B-9397-08002B2CF9AE}" pid="3" name="ICV">
    <vt:lpwstr>4BB14031B8EE4B0FBBA7346417503B5A_13</vt:lpwstr>
  </property>
  <property fmtid="{D5CDD505-2E9C-101B-9397-08002B2CF9AE}" pid="4" name="KSOSaveFontToCloudKey">
    <vt:lpwstr>992573165_embed</vt:lpwstr>
  </property>
  <property fmtid="{D5CDD505-2E9C-101B-9397-08002B2CF9AE}" pid="5" name="KSOTemplateDocerSaveRecord">
    <vt:lpwstr>eyJoZGlkIjoiNjg1ZmNiYmI4YTFiY2I3MTk0MmU4MzZmZjY5ZGM3MjciLCJ1c2VySWQiOiIzODU5NTk0MzYifQ==</vt:lpwstr>
  </property>
</Properties>
</file>