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B11F7">
      <w:pPr>
        <w:spacing w:line="360" w:lineRule="auto"/>
        <w:ind w:firstLine="0" w:firstLineChars="0"/>
        <w:outlineLvl w:val="0"/>
        <w:rPr>
          <w:rFonts w:hint="eastAsia" w:ascii="宋体" w:hAnsi="宋体" w:eastAsia="宋体" w:cs="宋体"/>
          <w:color w:val="auto"/>
          <w:sz w:val="36"/>
          <w:szCs w:val="36"/>
          <w:highlight w:val="none"/>
        </w:rPr>
      </w:pPr>
    </w:p>
    <w:p w14:paraId="6AB60462">
      <w:pPr>
        <w:spacing w:line="360" w:lineRule="auto"/>
        <w:ind w:firstLine="0" w:firstLineChars="0"/>
        <w:jc w:val="center"/>
        <w:outlineLvl w:val="0"/>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项目名称：</w:t>
      </w:r>
      <w:r>
        <w:rPr>
          <w:rFonts w:hint="eastAsia" w:ascii="宋体" w:hAnsi="宋体" w:cs="宋体"/>
          <w:color w:val="auto"/>
          <w:sz w:val="36"/>
          <w:szCs w:val="36"/>
          <w:highlight w:val="none"/>
          <w:lang w:eastAsia="zh-CN"/>
        </w:rPr>
        <w:t>大足区北厅片区（水峰社区）城中村改造小户型保障性住房10kV马智线同碳支线#3杆至#6杆线路迁改及400kVA施工用电工程</w:t>
      </w:r>
    </w:p>
    <w:p w14:paraId="3C595827">
      <w:pPr>
        <w:pStyle w:val="26"/>
        <w:rPr>
          <w:rFonts w:hint="eastAsia"/>
          <w:color w:val="auto"/>
          <w:highlight w:val="none"/>
        </w:rPr>
      </w:pPr>
    </w:p>
    <w:p w14:paraId="7019380C">
      <w:pPr>
        <w:pStyle w:val="26"/>
        <w:rPr>
          <w:rFonts w:hint="eastAsia"/>
          <w:color w:val="auto"/>
          <w:highlight w:val="none"/>
        </w:rPr>
      </w:pPr>
    </w:p>
    <w:p w14:paraId="2885BC0F">
      <w:pPr>
        <w:pStyle w:val="26"/>
        <w:rPr>
          <w:rFonts w:hint="eastAsia"/>
          <w:color w:val="auto"/>
          <w:highlight w:val="none"/>
        </w:rPr>
      </w:pPr>
    </w:p>
    <w:p w14:paraId="024782D0">
      <w:pPr>
        <w:pStyle w:val="26"/>
        <w:rPr>
          <w:rFonts w:hint="eastAsia"/>
          <w:color w:val="auto"/>
          <w:highlight w:val="none"/>
        </w:rPr>
      </w:pPr>
    </w:p>
    <w:p w14:paraId="1E95CB23">
      <w:pPr>
        <w:pStyle w:val="26"/>
        <w:rPr>
          <w:rFonts w:hint="eastAsia"/>
          <w:color w:val="auto"/>
          <w:highlight w:val="none"/>
        </w:rPr>
      </w:pPr>
    </w:p>
    <w:p w14:paraId="50D20FAE">
      <w:pPr>
        <w:pStyle w:val="26"/>
        <w:rPr>
          <w:rFonts w:hint="eastAsia"/>
          <w:color w:val="auto"/>
          <w:highlight w:val="none"/>
        </w:rPr>
      </w:pPr>
    </w:p>
    <w:p w14:paraId="14E24E3B">
      <w:pPr>
        <w:pStyle w:val="26"/>
        <w:rPr>
          <w:rFonts w:hint="eastAsia"/>
          <w:color w:val="auto"/>
          <w:highlight w:val="none"/>
        </w:rPr>
      </w:pPr>
    </w:p>
    <w:p w14:paraId="5FDF6260">
      <w:pPr>
        <w:spacing w:line="1600" w:lineRule="exact"/>
        <w:jc w:val="center"/>
        <w:outlineLvl w:val="0"/>
        <w:rPr>
          <w:rFonts w:hint="eastAsia" w:ascii="宋体" w:hAnsi="宋体" w:cs="宋体"/>
          <w:b/>
          <w:bCs/>
          <w:color w:val="auto"/>
          <w:sz w:val="144"/>
          <w:szCs w:val="144"/>
          <w:highlight w:val="none"/>
          <w:lang w:val="en-US" w:eastAsia="zh-CN"/>
        </w:rPr>
      </w:pPr>
      <w:r>
        <w:rPr>
          <w:rFonts w:hint="eastAsia" w:ascii="宋体" w:hAnsi="宋体" w:eastAsia="宋体" w:cs="宋体"/>
          <w:b/>
          <w:bCs/>
          <w:color w:val="auto"/>
          <w:sz w:val="144"/>
          <w:szCs w:val="144"/>
          <w:highlight w:val="none"/>
        </w:rPr>
        <w:t>竞争性</w:t>
      </w:r>
      <w:r>
        <w:rPr>
          <w:rFonts w:hint="eastAsia" w:ascii="宋体" w:hAnsi="宋体" w:cs="宋体"/>
          <w:b/>
          <w:bCs/>
          <w:color w:val="auto"/>
          <w:sz w:val="144"/>
          <w:szCs w:val="144"/>
          <w:highlight w:val="none"/>
          <w:lang w:val="en-US" w:eastAsia="zh-CN"/>
        </w:rPr>
        <w:t>比选</w:t>
      </w:r>
    </w:p>
    <w:p w14:paraId="13609393">
      <w:pPr>
        <w:spacing w:line="1600" w:lineRule="exact"/>
        <w:jc w:val="center"/>
        <w:outlineLvl w:val="0"/>
        <w:rPr>
          <w:rFonts w:hint="eastAsia" w:ascii="宋体" w:hAnsi="宋体" w:eastAsia="宋体" w:cs="宋体"/>
          <w:b/>
          <w:bCs/>
          <w:color w:val="auto"/>
          <w:sz w:val="144"/>
          <w:szCs w:val="144"/>
          <w:highlight w:val="none"/>
        </w:rPr>
      </w:pPr>
      <w:r>
        <w:rPr>
          <w:rFonts w:hint="eastAsia" w:ascii="宋体" w:hAnsi="宋体" w:cs="宋体"/>
          <w:b/>
          <w:bCs/>
          <w:color w:val="auto"/>
          <w:sz w:val="144"/>
          <w:szCs w:val="144"/>
          <w:highlight w:val="none"/>
          <w:lang w:val="en-US" w:eastAsia="zh-CN"/>
        </w:rPr>
        <w:t>采购文件</w:t>
      </w:r>
    </w:p>
    <w:p w14:paraId="56A03771">
      <w:pPr>
        <w:spacing w:line="700" w:lineRule="exact"/>
        <w:jc w:val="center"/>
        <w:rPr>
          <w:rFonts w:hint="eastAsia" w:ascii="宋体" w:hAnsi="宋体" w:eastAsia="宋体" w:cs="宋体"/>
          <w:color w:val="auto"/>
          <w:sz w:val="32"/>
          <w:highlight w:val="none"/>
        </w:rPr>
      </w:pPr>
    </w:p>
    <w:p w14:paraId="2B1D9FBD">
      <w:pPr>
        <w:spacing w:line="360" w:lineRule="auto"/>
        <w:ind w:firstLine="0" w:firstLineChars="0"/>
        <w:jc w:val="center"/>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eastAsia="zh-CN"/>
        </w:rPr>
        <w:t>（</w:t>
      </w:r>
      <w:r>
        <w:rPr>
          <w:rFonts w:hint="eastAsia" w:ascii="宋体" w:hAnsi="宋体" w:cs="宋体"/>
          <w:color w:val="auto"/>
          <w:sz w:val="36"/>
          <w:szCs w:val="36"/>
          <w:highlight w:val="none"/>
          <w:lang w:eastAsia="zh-CN"/>
        </w:rPr>
        <w:t>项目编号</w:t>
      </w:r>
      <w:r>
        <w:rPr>
          <w:rFonts w:hint="eastAsia" w:ascii="宋体" w:hAnsi="宋体" w:eastAsia="宋体" w:cs="宋体"/>
          <w:color w:val="auto"/>
          <w:sz w:val="36"/>
          <w:szCs w:val="36"/>
          <w:highlight w:val="none"/>
        </w:rPr>
        <w:t>：</w:t>
      </w:r>
      <w:r>
        <w:rPr>
          <w:rFonts w:hint="eastAsia" w:ascii="宋体" w:hAnsi="宋体" w:cs="宋体"/>
          <w:color w:val="auto"/>
          <w:sz w:val="36"/>
          <w:szCs w:val="36"/>
          <w:highlight w:val="none"/>
          <w:lang w:val="en-US" w:eastAsia="zh-CN"/>
        </w:rPr>
        <w:t>CQFY-HC-251016</w:t>
      </w:r>
      <w:r>
        <w:rPr>
          <w:rFonts w:hint="eastAsia" w:ascii="宋体" w:hAnsi="宋体" w:eastAsia="宋体" w:cs="宋体"/>
          <w:color w:val="auto"/>
          <w:sz w:val="36"/>
          <w:szCs w:val="36"/>
          <w:highlight w:val="none"/>
          <w:lang w:val="en-US" w:eastAsia="zh-CN"/>
        </w:rPr>
        <w:t>）</w:t>
      </w:r>
    </w:p>
    <w:p w14:paraId="2FCB4C24">
      <w:pPr>
        <w:pStyle w:val="26"/>
        <w:rPr>
          <w:rFonts w:hint="default" w:ascii="宋体" w:hAnsi="Times New Roman" w:eastAsia="宋体"/>
          <w:color w:val="auto"/>
          <w:sz w:val="24"/>
          <w:szCs w:val="20"/>
          <w:highlight w:val="none"/>
        </w:rPr>
      </w:pPr>
    </w:p>
    <w:p w14:paraId="34C45B9E">
      <w:pPr>
        <w:pStyle w:val="26"/>
        <w:rPr>
          <w:rFonts w:hint="eastAsia"/>
          <w:color w:val="auto"/>
          <w:highlight w:val="none"/>
        </w:rPr>
      </w:pPr>
    </w:p>
    <w:p w14:paraId="1426FAAF">
      <w:pPr>
        <w:pStyle w:val="26"/>
        <w:rPr>
          <w:rFonts w:hint="eastAsia"/>
          <w:color w:val="auto"/>
          <w:highlight w:val="none"/>
        </w:rPr>
      </w:pPr>
    </w:p>
    <w:p w14:paraId="62983091">
      <w:pPr>
        <w:spacing w:line="700" w:lineRule="exact"/>
        <w:jc w:val="center"/>
        <w:rPr>
          <w:rFonts w:hint="eastAsia" w:ascii="宋体" w:hAnsi="宋体" w:eastAsia="宋体" w:cs="宋体"/>
          <w:b/>
          <w:color w:val="auto"/>
          <w:sz w:val="36"/>
          <w:szCs w:val="36"/>
          <w:highlight w:val="none"/>
        </w:rPr>
      </w:pPr>
    </w:p>
    <w:p w14:paraId="7EAFD1E4">
      <w:pPr>
        <w:spacing w:line="500" w:lineRule="exac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w:t>
      </w:r>
      <w:r>
        <w:rPr>
          <w:rFonts w:hint="eastAsia" w:ascii="宋体" w:hAnsi="宋体" w:cs="宋体"/>
          <w:b/>
          <w:bCs/>
          <w:color w:val="auto"/>
          <w:sz w:val="36"/>
          <w:szCs w:val="36"/>
          <w:highlight w:val="none"/>
          <w:lang w:eastAsia="zh-CN"/>
        </w:rPr>
        <w:t>重庆足投商业运营管理有限公司</w:t>
      </w:r>
      <w:r>
        <w:rPr>
          <w:rFonts w:hint="eastAsia" w:ascii="宋体" w:hAnsi="宋体" w:eastAsia="宋体" w:cs="宋体"/>
          <w:b/>
          <w:bCs/>
          <w:color w:val="auto"/>
          <w:sz w:val="36"/>
          <w:szCs w:val="36"/>
          <w:highlight w:val="none"/>
        </w:rPr>
        <w:t xml:space="preserve"> </w:t>
      </w:r>
    </w:p>
    <w:p w14:paraId="70E69414">
      <w:pPr>
        <w:pStyle w:val="2"/>
        <w:rPr>
          <w:rFonts w:hint="eastAsia"/>
          <w:color w:val="auto"/>
          <w:highlight w:val="none"/>
        </w:rPr>
      </w:pPr>
    </w:p>
    <w:p w14:paraId="6DD83BCE">
      <w:pPr>
        <w:pStyle w:val="26"/>
        <w:rPr>
          <w:rFonts w:hint="eastAsia"/>
          <w:color w:val="auto"/>
          <w:highlight w:val="none"/>
        </w:rPr>
      </w:pPr>
    </w:p>
    <w:p w14:paraId="21E2DC5E">
      <w:pPr>
        <w:spacing w:line="500" w:lineRule="exac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采购代理机构：</w:t>
      </w:r>
      <w:r>
        <w:rPr>
          <w:rFonts w:hint="eastAsia" w:ascii="宋体" w:hAnsi="宋体" w:cs="宋体"/>
          <w:b/>
          <w:bCs/>
          <w:color w:val="auto"/>
          <w:sz w:val="36"/>
          <w:szCs w:val="36"/>
          <w:highlight w:val="none"/>
          <w:lang w:eastAsia="zh-CN"/>
        </w:rPr>
        <w:t>重庆福源工程管理有限公司</w:t>
      </w:r>
    </w:p>
    <w:p w14:paraId="465EC601">
      <w:pPr>
        <w:spacing w:line="500" w:lineRule="exact"/>
        <w:jc w:val="center"/>
        <w:outlineLvl w:val="0"/>
        <w:rPr>
          <w:rFonts w:hint="eastAsia" w:ascii="宋体" w:hAnsi="宋体" w:eastAsia="宋体" w:cs="宋体"/>
          <w:color w:val="auto"/>
          <w:sz w:val="36"/>
          <w:szCs w:val="36"/>
          <w:highlight w:val="none"/>
        </w:rPr>
      </w:pPr>
    </w:p>
    <w:p w14:paraId="634D8F8A">
      <w:pPr>
        <w:spacing w:line="720" w:lineRule="exact"/>
        <w:jc w:val="center"/>
        <w:outlineLvl w:val="0"/>
        <w:rPr>
          <w:rFonts w:hint="eastAsia" w:ascii="宋体" w:hAnsi="宋体" w:eastAsia="宋体" w:cs="宋体"/>
          <w:color w:val="auto"/>
          <w:sz w:val="48"/>
          <w:szCs w:val="32"/>
          <w:highlight w:val="none"/>
        </w:rPr>
      </w:pPr>
      <w:r>
        <w:rPr>
          <w:rFonts w:hint="eastAsia" w:ascii="宋体" w:hAnsi="宋体" w:eastAsia="宋体" w:cs="宋体"/>
          <w:color w:val="auto"/>
          <w:sz w:val="36"/>
          <w:szCs w:val="36"/>
          <w:highlight w:val="none"/>
          <w:lang w:val="en-US" w:eastAsia="zh-CN"/>
        </w:rPr>
        <w:t>日期：</w:t>
      </w:r>
      <w:r>
        <w:rPr>
          <w:rFonts w:hint="eastAsia" w:ascii="宋体" w:hAnsi="宋体" w:eastAsia="宋体" w:cs="宋体"/>
          <w:color w:val="auto"/>
          <w:sz w:val="36"/>
          <w:szCs w:val="36"/>
          <w:highlight w:val="none"/>
        </w:rPr>
        <w:t>二〇二</w:t>
      </w:r>
      <w:r>
        <w:rPr>
          <w:rFonts w:hint="eastAsia" w:ascii="宋体" w:hAnsi="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十一</w:t>
      </w:r>
      <w:r>
        <w:rPr>
          <w:rFonts w:hint="eastAsia" w:ascii="宋体" w:hAnsi="宋体" w:eastAsia="宋体" w:cs="宋体"/>
          <w:color w:val="auto"/>
          <w:sz w:val="36"/>
          <w:szCs w:val="36"/>
          <w:highlight w:val="none"/>
        </w:rPr>
        <w:t>月</w:t>
      </w:r>
    </w:p>
    <w:p w14:paraId="3EB47192">
      <w:pPr>
        <w:spacing w:line="720" w:lineRule="exact"/>
        <w:jc w:val="center"/>
        <w:outlineLvl w:val="0"/>
        <w:rPr>
          <w:rFonts w:hint="eastAsia" w:ascii="宋体" w:hAnsi="宋体" w:eastAsia="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139EA4C6">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1DDE9BFB">
      <w:pPr>
        <w:pStyle w:val="17"/>
        <w:tabs>
          <w:tab w:val="right" w:leader="dot" w:pos="9402"/>
        </w:tabs>
        <w:ind w:left="560"/>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"_Toc106030870"</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第一篇  采购邀请书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210748FA">
      <w:pPr>
        <w:pStyle w:val="17"/>
        <w:tabs>
          <w:tab w:val="right" w:leader="dot" w:pos="9402"/>
        </w:tabs>
        <w:ind w:left="560"/>
        <w:rPr>
          <w:rFonts w:hint="eastAsia" w:ascii="宋体" w:hAnsi="宋体" w:eastAsia="宋体" w:cs="宋体"/>
          <w:color w:val="auto"/>
          <w:sz w:val="21"/>
          <w:szCs w:val="22"/>
          <w:highlight w:val="none"/>
        </w:rPr>
      </w:pPr>
    </w:p>
    <w:p w14:paraId="7BEF453C">
      <w:pPr>
        <w:pStyle w:val="17"/>
        <w:tabs>
          <w:tab w:val="right" w:leader="dot" w:pos="9402"/>
        </w:tabs>
        <w:ind w:left="560"/>
        <w:rPr>
          <w:rFonts w:hint="eastAsia" w:ascii="宋体" w:hAnsi="宋体" w:eastAsia="宋体" w:cs="宋体"/>
          <w:color w:val="auto"/>
          <w:sz w:val="21"/>
          <w:szCs w:val="22"/>
          <w:highlight w:val="none"/>
        </w:rPr>
      </w:pP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"_Toc106030878"</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第二篇  项目</w:t>
      </w:r>
      <w:r>
        <w:rPr>
          <w:rStyle w:val="24"/>
          <w:rFonts w:hint="eastAsia" w:ascii="宋体" w:hAnsi="宋体" w:cs="宋体"/>
          <w:color w:val="auto"/>
          <w:highlight w:val="none"/>
          <w:lang w:eastAsia="zh-CN"/>
        </w:rPr>
        <w:t>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_Toc106030878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6</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0DAD05EF">
      <w:pPr>
        <w:pStyle w:val="17"/>
        <w:tabs>
          <w:tab w:val="right" w:leader="dot" w:pos="9402"/>
        </w:tabs>
        <w:ind w:left="560"/>
        <w:rPr>
          <w:rFonts w:hint="eastAsia" w:ascii="宋体" w:hAnsi="宋体" w:eastAsia="宋体" w:cs="宋体"/>
          <w:color w:val="auto"/>
          <w:sz w:val="21"/>
          <w:szCs w:val="22"/>
          <w:highlight w:val="none"/>
        </w:rPr>
      </w:pPr>
    </w:p>
    <w:p w14:paraId="6C8F77DA">
      <w:pPr>
        <w:pStyle w:val="17"/>
        <w:tabs>
          <w:tab w:val="right" w:leader="dot" w:pos="9402"/>
        </w:tabs>
        <w:ind w:left="560"/>
        <w:rPr>
          <w:rFonts w:hint="eastAsia" w:ascii="宋体" w:hAnsi="宋体" w:eastAsia="宋体" w:cs="宋体"/>
          <w:color w:val="auto"/>
          <w:sz w:val="21"/>
          <w:szCs w:val="22"/>
          <w:highlight w:val="none"/>
        </w:rPr>
      </w:pP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"_Toc106030882"</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第三篇  项目</w:t>
      </w:r>
      <w:r>
        <w:rPr>
          <w:rStyle w:val="24"/>
          <w:rFonts w:hint="eastAsia" w:ascii="宋体" w:hAnsi="宋体" w:cs="宋体"/>
          <w:color w:val="auto"/>
          <w:highlight w:val="none"/>
          <w:lang w:val="en-US" w:eastAsia="zh-CN"/>
        </w:rPr>
        <w:t>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_Toc106030882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8</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31520A48">
      <w:pPr>
        <w:pStyle w:val="17"/>
        <w:tabs>
          <w:tab w:val="right" w:leader="dot" w:pos="9402"/>
        </w:tabs>
        <w:ind w:left="560"/>
        <w:rPr>
          <w:rFonts w:hint="eastAsia" w:ascii="宋体" w:hAnsi="宋体" w:eastAsia="宋体" w:cs="宋体"/>
          <w:color w:val="auto"/>
          <w:sz w:val="21"/>
          <w:szCs w:val="22"/>
          <w:highlight w:val="none"/>
        </w:rPr>
      </w:pPr>
    </w:p>
    <w:p w14:paraId="5D518EB0">
      <w:pPr>
        <w:pStyle w:val="17"/>
        <w:tabs>
          <w:tab w:val="right" w:leader="dot" w:pos="9402"/>
        </w:tabs>
        <w:ind w:left="560"/>
        <w:rPr>
          <w:rFonts w:hint="eastAsia" w:ascii="宋体" w:hAnsi="宋体" w:eastAsia="宋体" w:cs="宋体"/>
          <w:color w:val="auto"/>
          <w:sz w:val="21"/>
          <w:szCs w:val="22"/>
          <w:highlight w:val="none"/>
        </w:rPr>
      </w:pP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"_Toc106030887"</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 xml:space="preserve">第四篇  </w:t>
      </w:r>
      <w:r>
        <w:rPr>
          <w:rStyle w:val="24"/>
          <w:rFonts w:hint="eastAsia" w:ascii="宋体" w:hAnsi="宋体" w:eastAsia="宋体" w:cs="宋体"/>
          <w:color w:val="auto"/>
          <w:highlight w:val="none"/>
          <w:lang w:val="en-US" w:eastAsia="zh-CN"/>
        </w:rPr>
        <w:t>资格审查及符合性审查、评标方法、评标标准、无效响应和采购终止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_Toc106030887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w:t>
      </w:r>
      <w:r>
        <w:rPr>
          <w:rFonts w:hint="eastAsia" w:ascii="宋体" w:hAnsi="宋体" w:cs="宋体"/>
          <w:color w:val="auto"/>
          <w:highlight w:val="none"/>
          <w:lang w:val="en-US" w:eastAsia="zh-CN"/>
        </w:rPr>
        <w:t>1</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07BB783C">
      <w:pPr>
        <w:pStyle w:val="17"/>
        <w:tabs>
          <w:tab w:val="right" w:leader="dot" w:pos="9402"/>
        </w:tabs>
        <w:ind w:left="560"/>
        <w:rPr>
          <w:rFonts w:hint="eastAsia" w:ascii="宋体" w:hAnsi="宋体" w:eastAsia="宋体" w:cs="宋体"/>
          <w:color w:val="auto"/>
          <w:sz w:val="21"/>
          <w:szCs w:val="22"/>
          <w:highlight w:val="none"/>
        </w:rPr>
      </w:pPr>
    </w:p>
    <w:p w14:paraId="323FD19E">
      <w:pPr>
        <w:pStyle w:val="17"/>
        <w:tabs>
          <w:tab w:val="right" w:leader="dot" w:pos="9402"/>
        </w:tabs>
        <w:ind w:left="560"/>
        <w:rPr>
          <w:rFonts w:hint="eastAsia" w:ascii="宋体" w:hAnsi="宋体" w:eastAsia="宋体" w:cs="宋体"/>
          <w:color w:val="auto"/>
          <w:sz w:val="21"/>
          <w:szCs w:val="22"/>
          <w:highlight w:val="none"/>
        </w:rPr>
      </w:pP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"_Toc106030892"</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bCs/>
          <w:color w:val="auto"/>
          <w:highlight w:val="none"/>
        </w:rPr>
        <w:t>第五篇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w:t>
      </w:r>
      <w:r>
        <w:rPr>
          <w:rFonts w:hint="eastAsia" w:ascii="宋体" w:hAnsi="宋体" w:cs="宋体"/>
          <w:color w:val="auto"/>
          <w:highlight w:val="none"/>
          <w:lang w:val="en-US" w:eastAsia="zh-CN"/>
        </w:rPr>
        <w:t>5</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1CF2CEAA">
      <w:pPr>
        <w:pStyle w:val="17"/>
        <w:tabs>
          <w:tab w:val="right" w:leader="dot" w:pos="9402"/>
        </w:tabs>
        <w:ind w:left="560"/>
        <w:rPr>
          <w:rFonts w:hint="eastAsia" w:ascii="宋体" w:hAnsi="宋体" w:eastAsia="宋体" w:cs="宋体"/>
          <w:color w:val="auto"/>
          <w:sz w:val="21"/>
          <w:szCs w:val="22"/>
          <w:highlight w:val="none"/>
        </w:rPr>
      </w:pPr>
    </w:p>
    <w:p w14:paraId="24FA9A62">
      <w:pPr>
        <w:pStyle w:val="17"/>
        <w:tabs>
          <w:tab w:val="right" w:leader="dot" w:pos="9402"/>
        </w:tabs>
        <w:ind w:left="560"/>
        <w:rPr>
          <w:rFonts w:hint="eastAsia" w:ascii="宋体" w:hAnsi="宋体" w:eastAsia="宋体" w:cs="宋体"/>
          <w:color w:val="auto"/>
          <w:sz w:val="21"/>
          <w:szCs w:val="22"/>
          <w:highlight w:val="none"/>
        </w:rPr>
      </w:pP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"_Toc106030904"</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第六篇  政府采购合同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19</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4433B427">
      <w:pPr>
        <w:pStyle w:val="17"/>
        <w:tabs>
          <w:tab w:val="right" w:leader="dot" w:pos="9402"/>
        </w:tabs>
        <w:ind w:left="560"/>
        <w:rPr>
          <w:rStyle w:val="24"/>
          <w:rFonts w:hint="eastAsia" w:ascii="宋体" w:hAnsi="宋体" w:eastAsia="宋体" w:cs="宋体"/>
          <w:color w:val="auto"/>
          <w:highlight w:val="none"/>
        </w:rPr>
      </w:pPr>
    </w:p>
    <w:p w14:paraId="3CEB51EC">
      <w:pPr>
        <w:pStyle w:val="17"/>
        <w:tabs>
          <w:tab w:val="right" w:leader="dot" w:pos="9402"/>
        </w:tabs>
        <w:ind w:left="560"/>
        <w:rPr>
          <w:rFonts w:hint="eastAsia" w:ascii="宋体" w:hAnsi="宋体" w:eastAsia="宋体" w:cs="宋体"/>
          <w:color w:val="auto"/>
          <w:sz w:val="21"/>
          <w:szCs w:val="22"/>
          <w:highlight w:val="none"/>
        </w:rPr>
      </w:pPr>
      <w:r>
        <w:rPr>
          <w:rStyle w:val="24"/>
          <w:rFonts w:hint="eastAsia" w:ascii="宋体" w:hAnsi="宋体" w:eastAsia="宋体" w:cs="宋体"/>
          <w:color w:val="auto"/>
          <w:highlight w:val="none"/>
        </w:rPr>
        <w:fldChar w:fldCharType="begin"/>
      </w:r>
      <w:r>
        <w:rPr>
          <w:rStyle w:val="24"/>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"_Toc106030905"</w:instrText>
      </w:r>
      <w:r>
        <w:rPr>
          <w:rStyle w:val="24"/>
          <w:rFonts w:hint="eastAsia" w:ascii="宋体" w:hAnsi="宋体" w:eastAsia="宋体" w:cs="宋体"/>
          <w:color w:val="auto"/>
          <w:highlight w:val="none"/>
        </w:rPr>
        <w:instrText xml:space="preserve"> </w:instrText>
      </w:r>
      <w:r>
        <w:rPr>
          <w:rStyle w:val="24"/>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第七篇  响应文件编制要求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_Toc106030905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20</w:t>
      </w:r>
      <w:r>
        <w:rPr>
          <w:rFonts w:hint="eastAsia" w:ascii="宋体" w:hAnsi="宋体" w:eastAsia="宋体" w:cs="宋体"/>
          <w:color w:val="auto"/>
          <w:highlight w:val="none"/>
        </w:rPr>
        <w:t xml:space="preserve"> -</w:t>
      </w:r>
      <w:r>
        <w:rPr>
          <w:rFonts w:hint="eastAsia" w:ascii="宋体" w:hAnsi="宋体" w:eastAsia="宋体" w:cs="宋体"/>
          <w:color w:val="auto"/>
          <w:highlight w:val="none"/>
        </w:rPr>
        <w:fldChar w:fldCharType="end"/>
      </w:r>
      <w:r>
        <w:rPr>
          <w:rStyle w:val="24"/>
          <w:rFonts w:hint="eastAsia" w:ascii="宋体" w:hAnsi="宋体" w:eastAsia="宋体" w:cs="宋体"/>
          <w:color w:val="auto"/>
          <w:highlight w:val="none"/>
        </w:rPr>
        <w:fldChar w:fldCharType="end"/>
      </w:r>
    </w:p>
    <w:p w14:paraId="62E27916">
      <w:pPr>
        <w:pStyle w:val="17"/>
        <w:tabs>
          <w:tab w:val="right" w:leader="dot" w:pos="9402"/>
        </w:tabs>
        <w:ind w:left="560"/>
        <w:rPr>
          <w:rStyle w:val="24"/>
          <w:rFonts w:hint="eastAsia" w:ascii="宋体" w:hAnsi="宋体" w:eastAsia="宋体" w:cs="宋体"/>
          <w:color w:val="auto"/>
          <w:highlight w:val="none"/>
        </w:rPr>
      </w:pPr>
    </w:p>
    <w:p w14:paraId="36A6714C">
      <w:pPr>
        <w:pStyle w:val="17"/>
        <w:tabs>
          <w:tab w:val="right" w:leader="dot" w:pos="9402"/>
        </w:tabs>
        <w:spacing w:line="480" w:lineRule="exact"/>
        <w:ind w:left="560"/>
        <w:jc w:val="center"/>
        <w:rPr>
          <w:rFonts w:hint="eastAsia" w:ascii="宋体" w:hAnsi="宋体" w:eastAsia="宋体" w:cs="宋体"/>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eastAsia="宋体" w:cs="宋体"/>
          <w:color w:val="auto"/>
          <w:szCs w:val="21"/>
          <w:highlight w:val="none"/>
        </w:rPr>
        <w:fldChar w:fldCharType="end"/>
      </w:r>
    </w:p>
    <w:p w14:paraId="511EF72F">
      <w:pPr>
        <w:pStyle w:val="5"/>
        <w:pageBreakBefore w:val="0"/>
        <w:kinsoku/>
        <w:wordWrap/>
        <w:overflowPunct/>
        <w:topLinePunct w:val="0"/>
        <w:autoSpaceDE/>
        <w:autoSpaceDN/>
        <w:bidi w:val="0"/>
        <w:spacing w:line="372" w:lineRule="auto"/>
        <w:jc w:val="center"/>
        <w:textAlignment w:val="auto"/>
        <w:rPr>
          <w:rFonts w:hint="eastAsia" w:ascii="宋体" w:hAnsi="宋体" w:eastAsia="宋体" w:cs="宋体"/>
          <w:b w:val="0"/>
          <w:color w:val="auto"/>
          <w:szCs w:val="30"/>
          <w:highlight w:val="none"/>
        </w:rPr>
      </w:pPr>
      <w:bookmarkStart w:id="0" w:name="_Toc106030870"/>
      <w:bookmarkStart w:id="1" w:name="_Toc11641050"/>
      <w:bookmarkStart w:id="2" w:name="_Toc76462316"/>
      <w:bookmarkStart w:id="3" w:name="_Toc12789052"/>
      <w:r>
        <w:rPr>
          <w:rFonts w:hint="eastAsia" w:ascii="宋体" w:hAnsi="宋体" w:eastAsia="宋体" w:cs="宋体"/>
          <w:b w:val="0"/>
          <w:color w:val="auto"/>
          <w:sz w:val="36"/>
          <w:szCs w:val="30"/>
          <w:highlight w:val="none"/>
        </w:rPr>
        <w:t>第一篇  采购邀请书</w:t>
      </w:r>
      <w:bookmarkEnd w:id="0"/>
      <w:bookmarkEnd w:id="1"/>
      <w:bookmarkEnd w:id="2"/>
      <w:bookmarkEnd w:id="3"/>
    </w:p>
    <w:p w14:paraId="5DC76A89">
      <w:pPr>
        <w:pageBreakBefore w:val="0"/>
        <w:kinsoku/>
        <w:wordWrap/>
        <w:overflowPunct/>
        <w:topLinePunct w:val="0"/>
        <w:autoSpaceDE/>
        <w:autoSpaceDN/>
        <w:bidi w:val="0"/>
        <w:snapToGrid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重庆福源工程管理有限公司</w:t>
      </w:r>
      <w:r>
        <w:rPr>
          <w:rFonts w:hint="eastAsia" w:ascii="宋体" w:hAnsi="宋体" w:eastAsia="宋体" w:cs="宋体"/>
          <w:color w:val="auto"/>
          <w:sz w:val="24"/>
          <w:szCs w:val="24"/>
          <w:highlight w:val="none"/>
        </w:rPr>
        <w:t>（以下简称：采购代理机构）接受</w:t>
      </w:r>
      <w:r>
        <w:rPr>
          <w:rFonts w:hint="eastAsia" w:ascii="宋体" w:hAnsi="宋体" w:cs="宋体"/>
          <w:b w:val="0"/>
          <w:bCs w:val="0"/>
          <w:color w:val="auto"/>
          <w:sz w:val="24"/>
          <w:szCs w:val="24"/>
          <w:highlight w:val="none"/>
          <w:lang w:eastAsia="zh-CN"/>
        </w:rPr>
        <w:t>重庆足投商业运营管理有限公司</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lang w:eastAsia="zh-CN"/>
        </w:rPr>
        <w:t>大足区北厅片区（水峰社区）城中村改造小户型保障性住房10kV马智线同碳支线#3杆至#6杆线路迁改及400kVA施工用电工程</w:t>
      </w:r>
      <w:r>
        <w:rPr>
          <w:rFonts w:hint="eastAsia" w:ascii="宋体" w:hAnsi="宋体" w:eastAsia="宋体" w:cs="宋体"/>
          <w:color w:val="auto"/>
          <w:sz w:val="24"/>
          <w:szCs w:val="24"/>
          <w:highlight w:val="none"/>
        </w:rPr>
        <w:t>进行竞争性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采购。欢迎</w:t>
      </w:r>
      <w:r>
        <w:rPr>
          <w:rFonts w:hint="eastAsia" w:ascii="宋体" w:hAnsi="宋体" w:cs="宋体"/>
          <w:color w:val="auto"/>
          <w:sz w:val="24"/>
          <w:szCs w:val="24"/>
          <w:highlight w:val="none"/>
          <w:lang w:val="en-US" w:eastAsia="zh-CN"/>
        </w:rPr>
        <w:t>符合</w:t>
      </w:r>
      <w:r>
        <w:rPr>
          <w:rFonts w:hint="eastAsia" w:ascii="宋体" w:hAnsi="宋体" w:eastAsia="宋体" w:cs="宋体"/>
          <w:color w:val="auto"/>
          <w:sz w:val="24"/>
          <w:szCs w:val="24"/>
          <w:highlight w:val="none"/>
        </w:rPr>
        <w:t>资格的供应商前来参与</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3415B846">
      <w:pPr>
        <w:pStyle w:val="5"/>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bookmarkStart w:id="4" w:name="_Toc76462317"/>
      <w:bookmarkStart w:id="5" w:name="_Toc317775175"/>
      <w:bookmarkStart w:id="6" w:name="_Toc313893526"/>
      <w:bookmarkStart w:id="7" w:name="_Toc106030871"/>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竞争性比选</w:t>
      </w:r>
      <w:r>
        <w:rPr>
          <w:rFonts w:hint="eastAsia" w:ascii="宋体" w:hAnsi="宋体" w:eastAsia="宋体" w:cs="宋体"/>
          <w:color w:val="auto"/>
          <w:sz w:val="24"/>
          <w:highlight w:val="none"/>
        </w:rPr>
        <w:t>内容</w:t>
      </w:r>
      <w:bookmarkEnd w:id="4"/>
      <w:bookmarkEnd w:id="5"/>
      <w:bookmarkEnd w:id="6"/>
      <w:bookmarkEnd w:id="7"/>
    </w:p>
    <w:tbl>
      <w:tblPr>
        <w:tblStyle w:val="19"/>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5"/>
        <w:gridCol w:w="1519"/>
        <w:gridCol w:w="1502"/>
        <w:gridCol w:w="1172"/>
      </w:tblGrid>
      <w:tr w14:paraId="2A5E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65" w:type="dxa"/>
            <w:tcBorders>
              <w:top w:val="single" w:color="auto" w:sz="4" w:space="0"/>
              <w:left w:val="single" w:color="auto" w:sz="4" w:space="0"/>
              <w:right w:val="single" w:color="auto" w:sz="4" w:space="0"/>
            </w:tcBorders>
            <w:noWrap w:val="0"/>
            <w:vAlign w:val="center"/>
          </w:tcPr>
          <w:p w14:paraId="3DFEBD22">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包号及名称</w:t>
            </w:r>
          </w:p>
        </w:tc>
        <w:tc>
          <w:tcPr>
            <w:tcW w:w="1519" w:type="dxa"/>
            <w:tcBorders>
              <w:top w:val="single" w:color="auto" w:sz="4" w:space="0"/>
              <w:left w:val="single" w:color="auto" w:sz="4" w:space="0"/>
              <w:right w:val="single" w:color="auto" w:sz="4" w:space="0"/>
            </w:tcBorders>
            <w:noWrap w:val="0"/>
            <w:vAlign w:val="center"/>
          </w:tcPr>
          <w:p w14:paraId="1E5340D2">
            <w:pPr>
              <w:pageBreakBefore w:val="0"/>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w:t>
            </w:r>
          </w:p>
          <w:p w14:paraId="40F709AA">
            <w:pPr>
              <w:pageBreakBefore w:val="0"/>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（元）</w:t>
            </w:r>
          </w:p>
        </w:tc>
        <w:tc>
          <w:tcPr>
            <w:tcW w:w="1502" w:type="dxa"/>
            <w:tcBorders>
              <w:top w:val="single" w:color="auto" w:sz="4" w:space="0"/>
              <w:left w:val="single" w:color="auto" w:sz="4" w:space="0"/>
              <w:right w:val="single" w:color="auto" w:sz="4" w:space="0"/>
            </w:tcBorders>
            <w:noWrap w:val="0"/>
            <w:vAlign w:val="center"/>
          </w:tcPr>
          <w:p w14:paraId="3B40A282">
            <w:pPr>
              <w:pageBreakBefore w:val="0"/>
              <w:widowControl/>
              <w:kinsoku/>
              <w:wordWrap/>
              <w:overflowPunct/>
              <w:topLinePunct w:val="0"/>
              <w:autoSpaceDE/>
              <w:autoSpaceDN/>
              <w:bidi w:val="0"/>
              <w:spacing w:line="372" w:lineRule="auto"/>
              <w:jc w:val="center"/>
              <w:textAlignment w:val="auto"/>
              <w:rPr>
                <w:rFonts w:hint="eastAsia" w:ascii="宋体" w:hAnsi="宋体" w:cs="宋体"/>
                <w:b/>
                <w:bCs/>
                <w:color w:val="auto"/>
                <w:kern w:val="0"/>
                <w:sz w:val="21"/>
                <w:szCs w:val="24"/>
                <w:highlight w:val="none"/>
                <w:lang w:val="en-US" w:eastAsia="zh-CN"/>
              </w:rPr>
            </w:pPr>
            <w:r>
              <w:rPr>
                <w:rFonts w:hint="eastAsia" w:ascii="宋体" w:hAnsi="宋体" w:cs="宋体"/>
                <w:b/>
                <w:bCs/>
                <w:color w:val="auto"/>
                <w:kern w:val="0"/>
                <w:sz w:val="21"/>
                <w:szCs w:val="24"/>
                <w:highlight w:val="none"/>
                <w:lang w:val="en-US" w:eastAsia="zh-CN"/>
              </w:rPr>
              <w:t>比选保证金</w:t>
            </w:r>
          </w:p>
          <w:p w14:paraId="0DF1A308">
            <w:pPr>
              <w:pStyle w:val="2"/>
              <w:jc w:val="center"/>
              <w:rPr>
                <w:rFonts w:hint="eastAsia"/>
                <w:highlight w:val="none"/>
                <w:lang w:val="en-US" w:eastAsia="zh-CN"/>
              </w:rPr>
            </w:pPr>
            <w:r>
              <w:rPr>
                <w:rFonts w:hint="eastAsia" w:ascii="宋体" w:hAnsi="宋体" w:cs="宋体"/>
                <w:b/>
                <w:bCs/>
                <w:color w:val="auto"/>
                <w:kern w:val="0"/>
                <w:sz w:val="21"/>
                <w:szCs w:val="24"/>
                <w:highlight w:val="none"/>
                <w:lang w:val="en-US" w:eastAsia="zh-CN"/>
              </w:rPr>
              <w:t>（元）</w:t>
            </w:r>
          </w:p>
        </w:tc>
        <w:tc>
          <w:tcPr>
            <w:tcW w:w="1172" w:type="dxa"/>
            <w:tcBorders>
              <w:top w:val="single" w:color="auto" w:sz="4" w:space="0"/>
              <w:left w:val="single" w:color="auto" w:sz="4" w:space="0"/>
              <w:right w:val="single" w:color="auto" w:sz="4" w:space="0"/>
            </w:tcBorders>
            <w:noWrap w:val="0"/>
            <w:vAlign w:val="center"/>
          </w:tcPr>
          <w:p w14:paraId="6818013D">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lang w:eastAsia="zh-CN"/>
              </w:rPr>
            </w:pPr>
            <w:r>
              <w:rPr>
                <w:rFonts w:hint="eastAsia" w:ascii="宋体" w:hAnsi="宋体" w:eastAsia="宋体" w:cs="宋体"/>
                <w:b/>
                <w:bCs/>
                <w:color w:val="auto"/>
                <w:kern w:val="0"/>
                <w:sz w:val="21"/>
                <w:szCs w:val="24"/>
                <w:highlight w:val="none"/>
              </w:rPr>
              <w:t>成交供应商数量（名）</w:t>
            </w:r>
            <w:r>
              <w:rPr>
                <w:rFonts w:hint="eastAsia" w:ascii="宋体" w:hAnsi="宋体" w:eastAsia="宋体" w:cs="宋体"/>
                <w:b/>
                <w:bCs/>
                <w:color w:val="auto"/>
                <w:kern w:val="0"/>
                <w:sz w:val="21"/>
                <w:szCs w:val="24"/>
                <w:highlight w:val="none"/>
                <w:lang w:val="en-US" w:eastAsia="zh-CN"/>
              </w:rPr>
              <w:t xml:space="preserve"> </w:t>
            </w:r>
          </w:p>
        </w:tc>
      </w:tr>
      <w:tr w14:paraId="2175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865" w:type="dxa"/>
            <w:tcBorders>
              <w:top w:val="single" w:color="auto" w:sz="4" w:space="0"/>
              <w:left w:val="single" w:color="auto" w:sz="4" w:space="0"/>
              <w:right w:val="single" w:color="auto" w:sz="4" w:space="0"/>
            </w:tcBorders>
            <w:noWrap w:val="0"/>
            <w:vAlign w:val="center"/>
          </w:tcPr>
          <w:p w14:paraId="468C0C0D">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color w:val="auto"/>
                <w:kern w:val="0"/>
                <w:sz w:val="21"/>
                <w:szCs w:val="24"/>
                <w:highlight w:val="none"/>
              </w:rPr>
            </w:pPr>
            <w:r>
              <w:rPr>
                <w:rFonts w:hint="eastAsia" w:ascii="宋体" w:hAnsi="宋体" w:cs="宋体"/>
                <w:color w:val="auto"/>
                <w:sz w:val="24"/>
                <w:szCs w:val="24"/>
                <w:highlight w:val="none"/>
                <w:lang w:eastAsia="zh-CN"/>
              </w:rPr>
              <w:t>大足区北厅片区（水峰社区）城中村改造小户型保障性住房10kV马智线同碳支线#3杆至#6杆线路迁改及400kVA施工用电工程</w:t>
            </w:r>
          </w:p>
        </w:tc>
        <w:tc>
          <w:tcPr>
            <w:tcW w:w="1519" w:type="dxa"/>
            <w:tcBorders>
              <w:top w:val="single" w:color="auto" w:sz="4" w:space="0"/>
              <w:left w:val="single" w:color="auto" w:sz="4" w:space="0"/>
              <w:right w:val="single" w:color="auto" w:sz="4" w:space="0"/>
            </w:tcBorders>
            <w:noWrap w:val="0"/>
            <w:vAlign w:val="center"/>
          </w:tcPr>
          <w:p w14:paraId="275261C9">
            <w:pPr>
              <w:keepNext w:val="0"/>
              <w:keepLines w:val="0"/>
              <w:widowControl/>
              <w:suppressLineNumbers w:val="0"/>
              <w:jc w:val="center"/>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4"/>
                <w:szCs w:val="24"/>
                <w:highlight w:val="none"/>
                <w:lang w:val="en-US" w:eastAsia="zh-CN" w:bidi="ar"/>
              </w:rPr>
              <w:t>373909.29</w:t>
            </w:r>
          </w:p>
        </w:tc>
        <w:tc>
          <w:tcPr>
            <w:tcW w:w="1502" w:type="dxa"/>
            <w:tcBorders>
              <w:top w:val="single" w:color="auto" w:sz="4" w:space="0"/>
              <w:left w:val="single" w:color="auto" w:sz="4" w:space="0"/>
              <w:right w:val="single" w:color="auto" w:sz="4" w:space="0"/>
            </w:tcBorders>
            <w:noWrap w:val="0"/>
            <w:vAlign w:val="center"/>
          </w:tcPr>
          <w:p w14:paraId="21A58F81">
            <w:pPr>
              <w:pageBreakBefore w:val="0"/>
              <w:kinsoku/>
              <w:wordWrap/>
              <w:overflowPunct/>
              <w:topLinePunct w:val="0"/>
              <w:autoSpaceDE/>
              <w:autoSpaceDN/>
              <w:bidi w:val="0"/>
              <w:spacing w:line="372"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7000</w:t>
            </w:r>
          </w:p>
        </w:tc>
        <w:tc>
          <w:tcPr>
            <w:tcW w:w="1172" w:type="dxa"/>
            <w:tcBorders>
              <w:top w:val="single" w:color="auto" w:sz="4" w:space="0"/>
              <w:left w:val="single" w:color="auto" w:sz="4" w:space="0"/>
              <w:right w:val="single" w:color="auto" w:sz="4" w:space="0"/>
            </w:tcBorders>
            <w:noWrap w:val="0"/>
            <w:vAlign w:val="center"/>
          </w:tcPr>
          <w:p w14:paraId="0AEEDDF5">
            <w:pPr>
              <w:pageBreakBefore w:val="0"/>
              <w:kinsoku/>
              <w:wordWrap/>
              <w:overflowPunct/>
              <w:topLinePunct w:val="0"/>
              <w:autoSpaceDE/>
              <w:autoSpaceDN/>
              <w:bidi w:val="0"/>
              <w:spacing w:line="372"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4"/>
                <w:szCs w:val="24"/>
                <w:highlight w:val="none"/>
                <w:lang w:val="en-US" w:eastAsia="zh-CN"/>
              </w:rPr>
              <w:t>1</w:t>
            </w:r>
          </w:p>
        </w:tc>
      </w:tr>
    </w:tbl>
    <w:p w14:paraId="4F4F40FF">
      <w:pPr>
        <w:pStyle w:val="5"/>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bookmarkStart w:id="8" w:name="_Toc76462318"/>
      <w:bookmarkStart w:id="9" w:name="_Toc106030872"/>
      <w:bookmarkStart w:id="10" w:name="_Toc373860293"/>
      <w:bookmarkStart w:id="11" w:name="_Toc317775178"/>
      <w:r>
        <w:rPr>
          <w:rFonts w:hint="eastAsia" w:ascii="宋体" w:hAnsi="宋体" w:eastAsia="宋体" w:cs="宋体"/>
          <w:color w:val="auto"/>
          <w:sz w:val="24"/>
          <w:highlight w:val="none"/>
        </w:rPr>
        <w:t>二、资金来源</w:t>
      </w:r>
      <w:bookmarkEnd w:id="8"/>
      <w:bookmarkEnd w:id="9"/>
    </w:p>
    <w:p w14:paraId="3C88C7D4">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bookmarkStart w:id="12" w:name="_Toc106030873"/>
      <w:bookmarkStart w:id="13" w:name="_Toc76462319"/>
      <w:r>
        <w:rPr>
          <w:rFonts w:hint="eastAsia" w:ascii="宋体" w:hAnsi="宋体" w:cs="宋体"/>
          <w:color w:val="auto"/>
          <w:sz w:val="24"/>
          <w:szCs w:val="24"/>
          <w:highlight w:val="none"/>
          <w:lang w:val="en-US" w:eastAsia="zh-CN"/>
        </w:rPr>
        <w:t>专项债与业主自筹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预算金额为</w:t>
      </w:r>
      <w:r>
        <w:rPr>
          <w:rFonts w:hint="eastAsia" w:ascii="宋体" w:hAnsi="宋体" w:cs="宋体"/>
          <w:color w:val="auto"/>
          <w:kern w:val="0"/>
          <w:sz w:val="24"/>
          <w:szCs w:val="24"/>
          <w:highlight w:val="none"/>
          <w:lang w:val="en-US" w:eastAsia="zh-CN" w:bidi="ar"/>
        </w:rPr>
        <w:t>373909.29</w:t>
      </w:r>
      <w:r>
        <w:rPr>
          <w:rFonts w:hint="eastAsia" w:ascii="宋体" w:hAnsi="宋体" w:cs="宋体"/>
          <w:color w:val="auto"/>
          <w:sz w:val="24"/>
          <w:szCs w:val="24"/>
          <w:highlight w:val="none"/>
        </w:rPr>
        <w:t>元</w:t>
      </w:r>
      <w:r>
        <w:rPr>
          <w:rFonts w:hint="eastAsia" w:ascii="宋体" w:hAnsi="宋体" w:eastAsia="宋体" w:cs="宋体"/>
          <w:color w:val="auto"/>
          <w:sz w:val="24"/>
          <w:szCs w:val="24"/>
          <w:highlight w:val="none"/>
        </w:rPr>
        <w:t>。</w:t>
      </w:r>
    </w:p>
    <w:p w14:paraId="19C5C0FC">
      <w:pPr>
        <w:pStyle w:val="5"/>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三、供应商资格条件</w:t>
      </w:r>
      <w:bookmarkEnd w:id="12"/>
      <w:bookmarkEnd w:id="13"/>
    </w:p>
    <w:p w14:paraId="2CB57B29">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4" w:name="_Toc76462320"/>
      <w:bookmarkStart w:id="15" w:name="_Toc106030874"/>
      <w:r>
        <w:rPr>
          <w:rFonts w:hint="eastAsia" w:ascii="宋体" w:hAnsi="宋体" w:eastAsia="宋体" w:cs="宋体"/>
          <w:color w:val="000000" w:themeColor="text1"/>
          <w:sz w:val="24"/>
          <w:szCs w:val="24"/>
          <w:highlight w:val="none"/>
          <w14:textFill>
            <w14:solidFill>
              <w14:schemeClr w14:val="tx1"/>
            </w14:solidFill>
          </w14:textFill>
        </w:rPr>
        <w:t>（一）一般资质条件</w:t>
      </w:r>
    </w:p>
    <w:p w14:paraId="33F2A702">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464BAA86">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542352BD">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63E16D22">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7168B272">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5.参加政府采购活动前三年内，在经营活动中没有重大违法记录；</w:t>
      </w:r>
    </w:p>
    <w:p w14:paraId="29AD333E">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6.法律、行政法规规定的其他条件。</w:t>
      </w:r>
    </w:p>
    <w:p w14:paraId="2F7365AC">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（二）本项目的特定资格要求：</w:t>
      </w:r>
    </w:p>
    <w:p w14:paraId="7F05826A">
      <w:pPr>
        <w:spacing w:line="400" w:lineRule="exact"/>
        <w:ind w:firstLine="720" w:firstLineChars="3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w:t>
      </w:r>
      <w:r>
        <w:rPr>
          <w:rFonts w:hint="eastAsia" w:ascii="宋体" w:hAnsi="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具备建设行政主管部门颁发的电力工程施工总承包三级及以上资质或输变电工程专业承包叁级及以上资质，提供证书复印件并加盖供应商公章。</w:t>
      </w:r>
    </w:p>
    <w:p w14:paraId="660CFC81">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w:t>
      </w:r>
      <w:r>
        <w:rPr>
          <w:rFonts w:hint="eastAsia" w:ascii="宋体" w:hAnsi="宋体" w:eastAsia="宋体" w:cs="宋体"/>
          <w:color w:val="000000" w:themeColor="text1"/>
          <w:sz w:val="24"/>
          <w:szCs w:val="24"/>
          <w:highlight w:val="none"/>
          <w14:textFill>
            <w14:solidFill>
              <w14:schemeClr w14:val="tx1"/>
            </w14:solidFill>
          </w14:textFill>
        </w:rPr>
        <w:t>建设行政主管部门颁发的有效的安全生产许可证，提供证书复印件并加盖供应商公章。</w:t>
      </w:r>
    </w:p>
    <w:p w14:paraId="1B5A922C">
      <w:pPr>
        <w:pageBreakBefore w:val="0"/>
        <w:kinsoku/>
        <w:wordWrap/>
        <w:overflowPunct/>
        <w:topLinePunct w:val="0"/>
        <w:autoSpaceDE/>
        <w:autoSpaceDN/>
        <w:bidi w:val="0"/>
        <w:spacing w:line="372" w:lineRule="auto"/>
        <w:ind w:firstLine="48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w:t>
      </w:r>
      <w:r>
        <w:rPr>
          <w:rFonts w:hint="eastAsia" w:ascii="宋体" w:hAnsi="宋体" w:cs="宋体"/>
          <w:b/>
          <w:color w:val="auto"/>
          <w:sz w:val="24"/>
          <w:highlight w:val="none"/>
          <w:lang w:eastAsia="zh-CN"/>
        </w:rPr>
        <w:t>比选</w:t>
      </w:r>
      <w:r>
        <w:rPr>
          <w:rFonts w:hint="eastAsia" w:ascii="宋体" w:hAnsi="宋体" w:eastAsia="宋体" w:cs="宋体"/>
          <w:b/>
          <w:color w:val="auto"/>
          <w:sz w:val="24"/>
          <w:highlight w:val="none"/>
        </w:rPr>
        <w:t>有关说明</w:t>
      </w:r>
      <w:bookmarkEnd w:id="10"/>
      <w:bookmarkEnd w:id="14"/>
      <w:bookmarkEnd w:id="15"/>
    </w:p>
    <w:p w14:paraId="29D5264A">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（一）供应商应通过“行采家”平台（https://www.gec123.com）登记加入“</w:t>
      </w:r>
      <w:r>
        <w:rPr>
          <w:rFonts w:hint="eastAsia" w:ascii="宋体" w:hAnsi="宋体" w:cs="宋体"/>
          <w:color w:val="auto"/>
          <w:sz w:val="24"/>
          <w:szCs w:val="24"/>
          <w:highlight w:val="none"/>
          <w:lang w:val="en-US" w:eastAsia="zh-CN"/>
        </w:rPr>
        <w:t>行采家</w:t>
      </w:r>
      <w:r>
        <w:rPr>
          <w:rFonts w:hint="eastAsia" w:ascii="宋体" w:hAnsi="宋体" w:eastAsia="宋体" w:cs="宋体"/>
          <w:color w:val="auto"/>
          <w:sz w:val="24"/>
          <w:szCs w:val="24"/>
          <w:highlight w:val="none"/>
        </w:rPr>
        <w:t>采购供应商库”。</w:t>
      </w:r>
    </w:p>
    <w:p w14:paraId="66F59B0B">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的供应商，请在“行采家”平台（https://www.gec123.com）上下载或到采购代理机构处领取本项目</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文件以及图纸、澄清等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前公布的所有项目资料，无论供应商下载或领取与否，均视为已知晓所有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实质性要求内容。</w:t>
      </w:r>
    </w:p>
    <w:p w14:paraId="3F10A693">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报名及比选文件发售</w:t>
      </w:r>
      <w:r>
        <w:rPr>
          <w:rFonts w:hint="eastAsia" w:ascii="宋体" w:hAnsi="宋体" w:eastAsia="宋体" w:cs="宋体"/>
          <w:color w:val="auto"/>
          <w:sz w:val="24"/>
          <w:szCs w:val="24"/>
          <w:highlight w:val="none"/>
        </w:rPr>
        <w:t xml:space="preserve">： </w:t>
      </w:r>
    </w:p>
    <w:bookmarkEnd w:id="11"/>
    <w:p w14:paraId="42F6DED9">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bookmarkStart w:id="16" w:name="_Toc106030876"/>
      <w:bookmarkStart w:id="17" w:name="_Toc76462322"/>
      <w:bookmarkStart w:id="18" w:name="_Toc480466699"/>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报名和</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文件发售期：</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17 </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17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w:t>
      </w:r>
    </w:p>
    <w:p w14:paraId="6C8103DD">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比选文件售价</w:t>
      </w:r>
      <w:r>
        <w:rPr>
          <w:rFonts w:hint="eastAsia" w:ascii="宋体" w:hAnsi="宋体" w:eastAsia="宋体" w:cs="宋体"/>
          <w:color w:val="auto"/>
          <w:sz w:val="24"/>
          <w:szCs w:val="24"/>
          <w:highlight w:val="none"/>
        </w:rPr>
        <w:t>：人民币500元/份（售后不退）。</w:t>
      </w:r>
    </w:p>
    <w:p w14:paraId="294670D9">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3.报名</w:t>
      </w:r>
      <w:r>
        <w:rPr>
          <w:rFonts w:hint="eastAsia" w:ascii="宋体" w:hAnsi="宋体" w:eastAsia="宋体" w:cs="宋体"/>
          <w:color w:val="auto"/>
          <w:sz w:val="24"/>
          <w:szCs w:val="24"/>
          <w:highlight w:val="none"/>
          <w:lang w:val="en-US" w:eastAsia="zh-CN"/>
        </w:rPr>
        <w:t>及比选文件购买</w:t>
      </w:r>
      <w:r>
        <w:rPr>
          <w:rFonts w:hint="eastAsia" w:ascii="宋体" w:hAnsi="宋体" w:eastAsia="宋体" w:cs="宋体"/>
          <w:color w:val="auto"/>
          <w:sz w:val="24"/>
          <w:szCs w:val="24"/>
          <w:highlight w:val="none"/>
        </w:rPr>
        <w:t>方式：</w:t>
      </w: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lang w:val="en-US" w:eastAsia="zh-CN"/>
        </w:rPr>
        <w:t>购买</w:t>
      </w:r>
      <w:r>
        <w:rPr>
          <w:rFonts w:hint="eastAsia" w:ascii="宋体" w:hAnsi="宋体" w:cs="宋体"/>
          <w:color w:val="auto"/>
          <w:sz w:val="24"/>
          <w:szCs w:val="24"/>
          <w:highlight w:val="none"/>
          <w:lang w:val="en-US" w:eastAsia="zh-CN"/>
        </w:rPr>
        <w:t>。</w:t>
      </w:r>
    </w:p>
    <w:p w14:paraId="2330EB2A">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eastAsia="zh-CN"/>
        </w:rPr>
        <w:t>比选文件发售期内，供应商将《重庆</w:t>
      </w:r>
      <w:bookmarkStart w:id="297" w:name="_GoBack"/>
      <w:bookmarkEnd w:id="297"/>
      <w:r>
        <w:rPr>
          <w:rFonts w:hint="eastAsia" w:ascii="宋体" w:hAnsi="宋体" w:eastAsia="宋体" w:cs="宋体"/>
          <w:color w:val="auto"/>
          <w:sz w:val="24"/>
          <w:szCs w:val="24"/>
          <w:highlight w:val="none"/>
          <w:lang w:val="en-US" w:eastAsia="zh-CN"/>
        </w:rPr>
        <w:t>福源工程管理有限公司项目报名表》（格式详见附件）填写完整加盖供应商公章扫描后同文件购买费转账截图一起发送至指定邮箱3809723776@qq.com，按要求发送邮箱后方才报名成功（邮件需注明“供应商简称—CQFY-HC-251016”）</w:t>
      </w:r>
      <w:r>
        <w:rPr>
          <w:rFonts w:hint="eastAsia" w:ascii="宋体" w:hAnsi="宋体" w:eastAsia="宋体" w:cs="宋体"/>
          <w:color w:val="auto"/>
          <w:sz w:val="24"/>
          <w:szCs w:val="24"/>
          <w:highlight w:val="none"/>
        </w:rPr>
        <w:t>。</w:t>
      </w:r>
    </w:p>
    <w:p w14:paraId="6328FBC8">
      <w:pPr>
        <w:pageBreakBefore w:val="0"/>
        <w:kinsoku/>
        <w:wordWrap/>
        <w:overflowPunct/>
        <w:topLinePunct w:val="0"/>
        <w:autoSpaceDE/>
        <w:autoSpaceDN/>
        <w:bidi w:val="0"/>
        <w:spacing w:line="372" w:lineRule="auto"/>
        <w:ind w:firstLine="480"/>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lang w:eastAsia="zh-CN"/>
        </w:rPr>
        <w:t>投标时间地点及程序</w:t>
      </w:r>
    </w:p>
    <w:p w14:paraId="4652101D">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）线上报价：公告发布之日起即可报价，报价截止时间为：</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（报价时需</w:t>
      </w:r>
      <w:r>
        <w:rPr>
          <w:rFonts w:hint="eastAsia" w:ascii="宋体" w:hAnsi="宋体" w:eastAsia="宋体" w:cs="宋体"/>
          <w:color w:val="auto"/>
          <w:sz w:val="24"/>
          <w:szCs w:val="24"/>
          <w:highlight w:val="none"/>
          <w:lang w:eastAsia="zh-CN"/>
        </w:rPr>
        <w:t>上传签字盖章完整的PDF格式的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响应文件，电子文档内容应与纸质文件正本一致，不一致以纸质文件正本为准，未在规定时间内报价并上传响应文件的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将视为无效投标）</w:t>
      </w:r>
    </w:p>
    <w:p w14:paraId="7AC8A2AC">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线下</w:t>
      </w:r>
      <w:r>
        <w:rPr>
          <w:rFonts w:hint="eastAsia" w:ascii="宋体" w:hAnsi="宋体" w:eastAsia="宋体" w:cs="宋体"/>
          <w:color w:val="auto"/>
          <w:sz w:val="24"/>
          <w:szCs w:val="24"/>
          <w:highlight w:val="none"/>
          <w:lang w:eastAsia="zh-CN"/>
        </w:rPr>
        <w:t>投标时间：</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21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eastAsia="zh-CN"/>
        </w:rPr>
        <w:t>至</w:t>
      </w:r>
      <w:r>
        <w:rPr>
          <w:rFonts w:hint="eastAsia" w:ascii="宋体" w:hAnsi="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eastAsia="zh-CN"/>
        </w:rPr>
        <w:t>（以北京时间为准，逾期不予受理）</w:t>
      </w:r>
    </w:p>
    <w:p w14:paraId="4D43FD55">
      <w:pPr>
        <w:pStyle w:val="25"/>
        <w:pageBreakBefore w:val="0"/>
        <w:kinsoku/>
        <w:wordWrap/>
        <w:overflowPunct/>
        <w:topLinePunct w:val="0"/>
        <w:autoSpaceDE/>
        <w:autoSpaceDN/>
        <w:bidi w:val="0"/>
        <w:spacing w:line="372" w:lineRule="auto"/>
        <w:ind w:firstLine="1132" w:firstLineChars="472"/>
        <w:textAlignment w:val="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线下开标时间：</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21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w:t>
      </w:r>
    </w:p>
    <w:p w14:paraId="0F7CC45F">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）投标地点：</w:t>
      </w:r>
      <w:r>
        <w:rPr>
          <w:rFonts w:hint="eastAsia" w:ascii="宋体" w:hAnsi="宋体" w:eastAsia="宋体" w:cs="宋体"/>
          <w:color w:val="auto"/>
          <w:sz w:val="24"/>
          <w:szCs w:val="24"/>
          <w:highlight w:val="none"/>
          <w:lang w:val="en-US" w:eastAsia="zh-CN"/>
        </w:rPr>
        <w:t>重庆福源工程管理有限公司开标室（重庆市大足区海棠路65号）。</w:t>
      </w:r>
    </w:p>
    <w:p w14:paraId="72F6EA69">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）投标程序：</w:t>
      </w:r>
    </w:p>
    <w:p w14:paraId="68720C51">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递交报名表；</w:t>
      </w:r>
    </w:p>
    <w:p w14:paraId="28DD39C9">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2.递交文件购买费</w:t>
      </w:r>
      <w:r>
        <w:rPr>
          <w:rFonts w:hint="eastAsia" w:asciiTheme="minorEastAsia" w:hAnsiTheme="minorEastAsia" w:eastAsiaTheme="minorEastAsia" w:cstheme="minorEastAsia"/>
          <w:color w:val="auto"/>
          <w:sz w:val="24"/>
          <w:szCs w:val="24"/>
          <w:highlight w:val="none"/>
          <w:lang w:eastAsia="zh-CN"/>
        </w:rPr>
        <w:t>缴纳</w:t>
      </w:r>
      <w:r>
        <w:rPr>
          <w:rFonts w:hint="eastAsia" w:asciiTheme="minorEastAsia" w:hAnsiTheme="minorEastAsia" w:eastAsiaTheme="minorEastAsia" w:cstheme="minorEastAsia"/>
          <w:color w:val="auto"/>
          <w:sz w:val="24"/>
          <w:szCs w:val="24"/>
          <w:highlight w:val="none"/>
          <w:lang w:val="en-US" w:eastAsia="zh-CN"/>
        </w:rPr>
        <w:t>截图</w:t>
      </w:r>
      <w:r>
        <w:rPr>
          <w:rFonts w:hint="eastAsia" w:asciiTheme="minorEastAsia" w:hAnsiTheme="minorEastAsia" w:eastAsiaTheme="minorEastAsia" w:cstheme="minorEastAsia"/>
          <w:color w:val="auto"/>
          <w:sz w:val="24"/>
          <w:szCs w:val="24"/>
          <w:highlight w:val="none"/>
          <w:lang w:eastAsia="zh-CN"/>
        </w:rPr>
        <w:t>复印件，加盖供应商公章；</w:t>
      </w:r>
    </w:p>
    <w:p w14:paraId="48F57E37">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2.按规定递交响应</w:t>
      </w:r>
      <w:r>
        <w:rPr>
          <w:rFonts w:hint="eastAsia" w:asciiTheme="minorEastAsia" w:hAnsiTheme="minorEastAsia" w:eastAsiaTheme="minorEastAsia" w:cstheme="minorEastAsia"/>
          <w:color w:val="auto"/>
          <w:sz w:val="24"/>
          <w:szCs w:val="24"/>
          <w:highlight w:val="none"/>
        </w:rPr>
        <w:t>文件；</w:t>
      </w:r>
    </w:p>
    <w:p w14:paraId="29F757BF">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（五）比选保证金</w:t>
      </w:r>
    </w:p>
    <w:p w14:paraId="6D9070AD">
      <w:pPr>
        <w:keepNext w:val="0"/>
        <w:keepLines w:val="0"/>
        <w:pageBreakBefore w:val="0"/>
        <w:widowControl w:val="0"/>
        <w:kinsoku/>
        <w:topLinePunct w:val="0"/>
        <w:bidi w:val="0"/>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19" w:name="_Toc530038692"/>
      <w:bookmarkStart w:id="20" w:name="_Toc75258776"/>
      <w:r>
        <w:rPr>
          <w:rFonts w:hint="eastAsia" w:asciiTheme="minorEastAsia" w:hAnsiTheme="minorEastAsia" w:eastAsiaTheme="minorEastAsia" w:cstheme="minorEastAsia"/>
          <w:color w:val="auto"/>
          <w:sz w:val="24"/>
          <w:szCs w:val="24"/>
          <w:highlight w:val="none"/>
        </w:rPr>
        <w:t>（一）保证金递交</w:t>
      </w:r>
    </w:p>
    <w:p w14:paraId="7B6DE6F1">
      <w:pPr>
        <w:pStyle w:val="11"/>
        <w:keepNext w:val="0"/>
        <w:keepLines w:val="0"/>
        <w:pageBreakBefore w:val="0"/>
        <w:widowControl w:val="0"/>
        <w:kinsoku/>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1.供应商应足额交纳保证金（保证金金额详见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第一篇  采购邀请书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），并汇至以下账户，保证金的到账截止时间同提交响应文件截止时间。</w:t>
      </w:r>
    </w:p>
    <w:tbl>
      <w:tblPr>
        <w:tblStyle w:val="19"/>
        <w:tblW w:w="0" w:type="auto"/>
        <w:tblInd w:w="1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7"/>
      </w:tblGrid>
      <w:tr w14:paraId="49F1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377" w:type="dxa"/>
            <w:noWrap w:val="0"/>
            <w:vAlign w:val="top"/>
          </w:tcPr>
          <w:p w14:paraId="2B3F2FE2">
            <w:pPr>
              <w:pStyle w:val="11"/>
              <w:keepNext w:val="0"/>
              <w:keepLines w:val="0"/>
              <w:pageBreakBefore w:val="0"/>
              <w:widowControl w:val="0"/>
              <w:kinsoku/>
              <w:wordWrap/>
              <w:overflowPunct/>
              <w:topLinePunct w:val="0"/>
              <w:autoSpaceDE/>
              <w:autoSpaceDN/>
              <w:bidi w:val="0"/>
              <w:adjustRightInd/>
              <w:spacing w:line="264"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保证金缴纳账户：</w:t>
            </w:r>
          </w:p>
          <w:p w14:paraId="173FB44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户名：重庆福源工程管理有限公司</w:t>
            </w:r>
          </w:p>
          <w:p w14:paraId="72978415">
            <w:pPr>
              <w:snapToGrid w:val="0"/>
              <w:spacing w:line="360" w:lineRule="auto"/>
              <w:ind w:firstLine="480"/>
              <w:rPr>
                <w:rStyle w:val="36"/>
                <w:rFonts w:hint="eastAsia" w:asciiTheme="minorEastAsia" w:hAnsiTheme="minorEastAsia" w:eastAsiaTheme="minorEastAsia" w:cstheme="minorEastAsia"/>
                <w:color w:val="auto"/>
                <w:sz w:val="24"/>
                <w:szCs w:val="24"/>
                <w:highlight w:val="none"/>
                <w:lang w:eastAsia="zh-CN"/>
              </w:rPr>
            </w:pPr>
            <w:r>
              <w:rPr>
                <w:rStyle w:val="36"/>
                <w:rFonts w:hint="eastAsia" w:asciiTheme="minorEastAsia" w:hAnsiTheme="minorEastAsia" w:eastAsiaTheme="minorEastAsia" w:cstheme="minorEastAsia"/>
                <w:color w:val="auto"/>
                <w:sz w:val="24"/>
                <w:szCs w:val="24"/>
                <w:highlight w:val="none"/>
                <w:lang w:eastAsia="zh-CN"/>
              </w:rPr>
              <w:t xml:space="preserve">账号：3100096309100180262   </w:t>
            </w:r>
          </w:p>
          <w:p w14:paraId="2D57ACA6">
            <w:pPr>
              <w:keepNext w:val="0"/>
              <w:keepLines w:val="0"/>
              <w:pageBreakBefore w:val="0"/>
              <w:widowControl w:val="0"/>
              <w:kinsoku/>
              <w:wordWrap/>
              <w:overflowPunct/>
              <w:topLinePunct w:val="0"/>
              <w:autoSpaceDE/>
              <w:autoSpaceDN/>
              <w:bidi w:val="0"/>
              <w:adjustRightInd/>
              <w:spacing w:line="264"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Style w:val="36"/>
                <w:rFonts w:hint="eastAsia" w:asciiTheme="minorEastAsia" w:hAnsiTheme="minorEastAsia" w:eastAsiaTheme="minorEastAsia" w:cstheme="minorEastAsia"/>
                <w:color w:val="auto"/>
                <w:sz w:val="24"/>
                <w:szCs w:val="24"/>
                <w:highlight w:val="none"/>
                <w:lang w:eastAsia="zh-CN"/>
              </w:rPr>
              <w:t>开户行：中国工商银行股份有限公司重庆大足东城新区支行</w:t>
            </w:r>
          </w:p>
        </w:tc>
      </w:tr>
    </w:tbl>
    <w:p w14:paraId="6246144D">
      <w:pPr>
        <w:pStyle w:val="11"/>
        <w:keepNext w:val="0"/>
        <w:keepLines w:val="0"/>
        <w:pageBreakBefore w:val="0"/>
        <w:widowControl w:val="0"/>
        <w:kinsoku/>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2.各供应商在银行转账（电汇）时，须充分考虑银行转账（电汇）的时间差风险，如同城转账、异地转账或汇款、跨行转账或电汇的时间要求。</w:t>
      </w:r>
    </w:p>
    <w:p w14:paraId="1E9476A8">
      <w:pPr>
        <w:keepNext w:val="0"/>
        <w:keepLines w:val="0"/>
        <w:pageBreakBefore w:val="0"/>
        <w:widowControl w:val="0"/>
        <w:kinsoku/>
        <w:topLinePunct w:val="0"/>
        <w:bidi w:val="0"/>
        <w:snapToGrid w:val="0"/>
        <w:spacing w:line="360" w:lineRule="auto"/>
        <w:ind w:firstLine="360" w:firstLineChars="15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14:paraId="1AB21651">
      <w:pPr>
        <w:keepNext w:val="0"/>
        <w:keepLines w:val="0"/>
        <w:pageBreakBefore w:val="0"/>
        <w:widowControl w:val="0"/>
        <w:kinsoku/>
        <w:topLinePunct w:val="0"/>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1.未成交供应商的保证金，在成交通知书发放后，由采购代理机构在五个工作日内按来款渠道直接退还。</w:t>
      </w:r>
    </w:p>
    <w:p w14:paraId="76B37952">
      <w:pPr>
        <w:keepNext w:val="0"/>
        <w:keepLines w:val="0"/>
        <w:pageBreakBefore w:val="0"/>
        <w:widowControl w:val="0"/>
        <w:kinsoku/>
        <w:topLinePunct w:val="0"/>
        <w:bidi w:val="0"/>
        <w:snapToGrid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2.成交供应商的保证金，在成交供应商与采购人签订合同后，将合同送至采购代理机构存</w:t>
      </w:r>
      <w:r>
        <w:rPr>
          <w:rFonts w:hint="eastAsia" w:asciiTheme="minorEastAsia" w:hAnsiTheme="minorEastAsia" w:eastAsiaTheme="minorEastAsia" w:cstheme="minorEastAsia"/>
          <w:b w:val="0"/>
          <w:bCs w:val="0"/>
          <w:color w:val="auto"/>
          <w:sz w:val="24"/>
          <w:szCs w:val="24"/>
          <w:highlight w:val="none"/>
        </w:rPr>
        <w:t>档；采购代理机构在收到合同之日起五个工作日内按资金来款渠道直接退还。</w:t>
      </w:r>
    </w:p>
    <w:p w14:paraId="3FAFE721">
      <w:pPr>
        <w:keepNext w:val="0"/>
        <w:keepLines w:val="0"/>
        <w:pageBreakBefore w:val="0"/>
        <w:widowControl w:val="0"/>
        <w:kinsoku/>
        <w:topLinePunct w:val="0"/>
        <w:bidi w:val="0"/>
        <w:snapToGrid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保证金咨询电话：</w:t>
      </w:r>
      <w:r>
        <w:rPr>
          <w:rFonts w:hint="eastAsia" w:asciiTheme="minorEastAsia" w:hAnsiTheme="minorEastAsia" w:eastAsiaTheme="minorEastAsia" w:cstheme="minorEastAsia"/>
          <w:b w:val="0"/>
          <w:bCs w:val="0"/>
          <w:color w:val="auto"/>
          <w:sz w:val="24"/>
          <w:szCs w:val="24"/>
          <w:highlight w:val="none"/>
          <w:lang w:val="en-US" w:eastAsia="zh-CN"/>
        </w:rPr>
        <w:t>19886428550</w:t>
      </w:r>
    </w:p>
    <w:p w14:paraId="4F35A6EA">
      <w:pPr>
        <w:snapToGrid w:val="0"/>
        <w:spacing w:line="360" w:lineRule="auto"/>
        <w:ind w:firstLine="480" w:firstLineChars="200"/>
        <w:rPr>
          <w:rFonts w:hint="default" w:ascii="宋体" w:hAnsi="宋体" w:cs="宋体"/>
          <w:color w:val="auto"/>
          <w:sz w:val="24"/>
          <w:szCs w:val="24"/>
          <w:highlight w:val="none"/>
          <w:lang w:val="en-US" w:eastAsia="zh-CN"/>
        </w:rPr>
      </w:pPr>
    </w:p>
    <w:bookmarkEnd w:id="19"/>
    <w:bookmarkEnd w:id="20"/>
    <w:p w14:paraId="0E6C435E">
      <w:pPr>
        <w:pStyle w:val="5"/>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、其它有关规定</w:t>
      </w:r>
      <w:bookmarkEnd w:id="16"/>
      <w:bookmarkEnd w:id="17"/>
      <w:bookmarkEnd w:id="18"/>
    </w:p>
    <w:p w14:paraId="6EA961A7">
      <w:pPr>
        <w:pageBreakBefore w:val="0"/>
        <w:kinsoku/>
        <w:wordWrap/>
        <w:overflowPunct/>
        <w:topLinePunct w:val="0"/>
        <w:autoSpaceDE/>
        <w:autoSpaceDN/>
        <w:bidi w:val="0"/>
        <w:snapToGrid w:val="0"/>
        <w:spacing w:line="372"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（一）单位负责人为同一人或者存在直接控股、管理关系的不同供应商，不得参加同一合同项（包）下的政府采购活动，否则均为无效响应。</w:t>
      </w:r>
    </w:p>
    <w:p w14:paraId="6338DFBD">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23E19396">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行采家”平台（https://www.gec123.com）上发布，请各供应商注意下载或到采购代理机构处领取；无论供应商下载或领取与否，均视同供应商已知晓本项目澄清文件（如果有）的内容。</w:t>
      </w:r>
    </w:p>
    <w:p w14:paraId="7D95D7C5">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响应文件</w:t>
      </w:r>
      <w:r>
        <w:rPr>
          <w:rFonts w:hint="eastAsia" w:ascii="宋体" w:hAnsi="宋体" w:cs="宋体"/>
          <w:color w:val="auto"/>
          <w:sz w:val="24"/>
          <w:szCs w:val="24"/>
          <w:highlight w:val="none"/>
          <w:lang w:val="en-US" w:eastAsia="zh-CN"/>
        </w:rPr>
        <w:t>递交</w:t>
      </w:r>
      <w:r>
        <w:rPr>
          <w:rFonts w:hint="eastAsia" w:ascii="宋体" w:hAnsi="宋体" w:eastAsia="宋体" w:cs="宋体"/>
          <w:color w:val="auto"/>
          <w:sz w:val="24"/>
          <w:szCs w:val="24"/>
          <w:highlight w:val="none"/>
        </w:rPr>
        <w:t>截止时间递交的响应文件，恕不接收。</w:t>
      </w:r>
    </w:p>
    <w:p w14:paraId="26783EFD">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6BF6A18A">
      <w:pPr>
        <w:snapToGrid w:val="0"/>
        <w:spacing w:line="400" w:lineRule="exact"/>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bCs/>
          <w:i w:val="0"/>
          <w:iCs w:val="0"/>
          <w:color w:val="auto"/>
          <w:sz w:val="24"/>
          <w:szCs w:val="24"/>
          <w:highlight w:val="none"/>
        </w:rPr>
        <w:t>本项目不接受联合体参与</w:t>
      </w:r>
      <w:r>
        <w:rPr>
          <w:rFonts w:hint="eastAsia" w:ascii="宋体" w:hAnsi="宋体" w:cs="宋体"/>
          <w:b/>
          <w:bCs/>
          <w:i w:val="0"/>
          <w:iCs w:val="0"/>
          <w:color w:val="auto"/>
          <w:sz w:val="24"/>
          <w:szCs w:val="24"/>
          <w:highlight w:val="none"/>
          <w:lang w:eastAsia="zh-CN"/>
        </w:rPr>
        <w:t>比选</w:t>
      </w:r>
      <w:r>
        <w:rPr>
          <w:rFonts w:hint="eastAsia" w:ascii="宋体" w:hAnsi="宋体" w:eastAsia="宋体" w:cs="宋体"/>
          <w:b/>
          <w:bCs/>
          <w:i w:val="0"/>
          <w:iCs w:val="0"/>
          <w:color w:val="auto"/>
          <w:sz w:val="24"/>
          <w:szCs w:val="24"/>
          <w:highlight w:val="none"/>
        </w:rPr>
        <w:t>，否则按无效处理</w:t>
      </w:r>
      <w:r>
        <w:rPr>
          <w:rFonts w:hint="eastAsia" w:ascii="宋体" w:hAnsi="宋体" w:eastAsia="宋体" w:cs="宋体"/>
          <w:b/>
          <w:bCs/>
          <w:color w:val="auto"/>
          <w:sz w:val="24"/>
          <w:szCs w:val="24"/>
          <w:highlight w:val="none"/>
        </w:rPr>
        <w:t>。</w:t>
      </w:r>
    </w:p>
    <w:p w14:paraId="781E034B">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b/>
          <w:bCs/>
          <w:i w:val="0"/>
          <w:iCs w:val="0"/>
          <w:color w:val="auto"/>
          <w:sz w:val="24"/>
          <w:szCs w:val="24"/>
          <w:highlight w:val="none"/>
        </w:rPr>
        <w:t>本项目不接受合同分包，否则按无效处理</w:t>
      </w:r>
      <w:r>
        <w:rPr>
          <w:rFonts w:hint="eastAsia" w:ascii="宋体" w:hAnsi="宋体" w:eastAsia="宋体" w:cs="宋体"/>
          <w:b/>
          <w:bCs/>
          <w:color w:val="auto"/>
          <w:sz w:val="24"/>
          <w:szCs w:val="24"/>
          <w:highlight w:val="none"/>
        </w:rPr>
        <w:t>。</w:t>
      </w:r>
    </w:p>
    <w:p w14:paraId="3A57AEF5">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bookmarkStart w:id="21" w:name="_Toc480466700"/>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DBBDC92">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2" w:name="_Toc106030877"/>
      <w:bookmarkStart w:id="23" w:name="_Toc76462323"/>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、联系方式</w:t>
      </w:r>
      <w:bookmarkEnd w:id="21"/>
      <w:bookmarkEnd w:id="22"/>
      <w:bookmarkEnd w:id="23"/>
    </w:p>
    <w:p w14:paraId="5245AAAF">
      <w:pPr>
        <w:snapToGrid w:val="0"/>
        <w:spacing w:line="400" w:lineRule="exact"/>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重庆足投商业运营管理有限公司</w:t>
      </w:r>
    </w:p>
    <w:p w14:paraId="6729D8D4">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胡老师</w:t>
      </w:r>
    </w:p>
    <w:p w14:paraId="02751C07">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023-43778966</w:t>
      </w:r>
    </w:p>
    <w:p w14:paraId="6689232A">
      <w:pPr>
        <w:snapToGrid w:val="0"/>
        <w:spacing w:line="40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重庆市大足区棠香街道五星大道北段1号</w:t>
      </w:r>
    </w:p>
    <w:p w14:paraId="22214591">
      <w:pPr>
        <w:snapToGrid w:val="0"/>
        <w:spacing w:line="400" w:lineRule="exact"/>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r>
        <w:rPr>
          <w:rFonts w:hint="eastAsia" w:ascii="宋体" w:hAnsi="宋体" w:cs="宋体"/>
          <w:color w:val="auto"/>
          <w:sz w:val="24"/>
          <w:szCs w:val="24"/>
          <w:highlight w:val="none"/>
          <w:lang w:eastAsia="zh-CN"/>
        </w:rPr>
        <w:t>重庆福源工程管理有限公司</w:t>
      </w:r>
    </w:p>
    <w:p w14:paraId="69AF32D2">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r>
        <w:rPr>
          <w:rFonts w:hint="eastAsia" w:ascii="宋体" w:hAnsi="宋体" w:cs="宋体"/>
          <w:color w:val="auto"/>
          <w:sz w:val="24"/>
          <w:szCs w:val="24"/>
          <w:highlight w:val="none"/>
          <w:lang w:val="en-US" w:eastAsia="zh-CN"/>
        </w:rPr>
        <w:t>李老师</w:t>
      </w:r>
    </w:p>
    <w:p w14:paraId="3560B74B">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19886428550</w:t>
      </w:r>
    </w:p>
    <w:p w14:paraId="287913A3">
      <w:pPr>
        <w:snapToGrid w:val="0"/>
        <w:spacing w:line="400" w:lineRule="exact"/>
        <w:ind w:firstLine="360" w:firstLineChars="15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  址：</w:t>
      </w:r>
      <w:bookmarkStart w:id="24" w:name="_Toc76462324"/>
      <w:bookmarkStart w:id="25" w:name="_Toc106030878"/>
      <w:r>
        <w:rPr>
          <w:rFonts w:hint="eastAsia" w:ascii="宋体" w:hAnsi="宋体" w:cs="宋体"/>
          <w:color w:val="auto"/>
          <w:sz w:val="24"/>
          <w:szCs w:val="24"/>
          <w:highlight w:val="none"/>
          <w:lang w:val="en-US" w:eastAsia="zh-CN"/>
        </w:rPr>
        <w:t>重庆市大足区海棠路65号</w:t>
      </w:r>
    </w:p>
    <w:p w14:paraId="716958CD">
      <w:pPr>
        <w:snapToGrid w:val="0"/>
        <w:spacing w:line="400" w:lineRule="exact"/>
        <w:ind w:firstLine="360" w:firstLineChars="150"/>
        <w:rPr>
          <w:rFonts w:hint="eastAsia" w:ascii="宋体" w:hAnsi="宋体" w:cs="宋体"/>
          <w:color w:val="auto"/>
          <w:sz w:val="24"/>
          <w:szCs w:val="24"/>
          <w:highlight w:val="none"/>
          <w:lang w:val="en-US" w:eastAsia="zh-CN"/>
        </w:rPr>
      </w:pPr>
    </w:p>
    <w:p w14:paraId="4F9424AC">
      <w:pPr>
        <w:snapToGrid w:val="0"/>
        <w:spacing w:line="400" w:lineRule="exact"/>
        <w:ind w:firstLine="360" w:firstLineChars="150"/>
        <w:rPr>
          <w:rFonts w:hint="eastAsia" w:ascii="宋体" w:hAnsi="宋体" w:cs="宋体"/>
          <w:color w:val="auto"/>
          <w:sz w:val="24"/>
          <w:szCs w:val="24"/>
          <w:highlight w:val="none"/>
          <w:lang w:val="en-US" w:eastAsia="zh-CN"/>
        </w:rPr>
      </w:pPr>
    </w:p>
    <w:p w14:paraId="074770EF">
      <w:pPr>
        <w:snapToGrid w:val="0"/>
        <w:spacing w:line="400" w:lineRule="exact"/>
        <w:ind w:firstLine="360" w:firstLineChars="150"/>
        <w:rPr>
          <w:rFonts w:hint="eastAsia" w:ascii="宋体" w:hAnsi="宋体" w:cs="宋体"/>
          <w:color w:val="auto"/>
          <w:sz w:val="24"/>
          <w:szCs w:val="24"/>
          <w:highlight w:val="none"/>
          <w:lang w:val="en-US" w:eastAsia="zh-CN"/>
        </w:rPr>
      </w:pPr>
    </w:p>
    <w:p w14:paraId="155DE04C">
      <w:pPr>
        <w:pStyle w:val="2"/>
        <w:rPr>
          <w:rFonts w:hint="eastAsia" w:ascii="宋体" w:hAnsi="宋体" w:cs="宋体"/>
          <w:color w:val="auto"/>
          <w:sz w:val="24"/>
          <w:szCs w:val="24"/>
          <w:highlight w:val="none"/>
          <w:lang w:val="en-US" w:eastAsia="zh-CN"/>
        </w:rPr>
      </w:pPr>
    </w:p>
    <w:p w14:paraId="4B108AC2">
      <w:pPr>
        <w:rPr>
          <w:rFonts w:hint="eastAsia"/>
          <w:highlight w:val="none"/>
          <w:lang w:val="en-US" w:eastAsia="zh-CN"/>
        </w:rPr>
      </w:pPr>
    </w:p>
    <w:p w14:paraId="56931976">
      <w:pPr>
        <w:snapToGrid w:val="0"/>
        <w:spacing w:line="400" w:lineRule="exact"/>
        <w:ind w:firstLine="360" w:firstLineChars="150"/>
        <w:rPr>
          <w:rFonts w:hint="eastAsia" w:ascii="宋体" w:hAnsi="宋体" w:cs="宋体"/>
          <w:color w:val="auto"/>
          <w:sz w:val="24"/>
          <w:szCs w:val="24"/>
          <w:highlight w:val="none"/>
          <w:lang w:val="en-US" w:eastAsia="zh-CN"/>
        </w:rPr>
      </w:pPr>
    </w:p>
    <w:p w14:paraId="7F92B145">
      <w:pPr>
        <w:snapToGrid w:val="0"/>
        <w:spacing w:line="400" w:lineRule="exact"/>
        <w:ind w:firstLine="360" w:firstLineChars="150"/>
        <w:rPr>
          <w:rFonts w:hint="eastAsia" w:ascii="宋体" w:hAnsi="宋体" w:cs="宋体"/>
          <w:color w:val="auto"/>
          <w:sz w:val="24"/>
          <w:szCs w:val="24"/>
          <w:highlight w:val="none"/>
          <w:lang w:val="en-US" w:eastAsia="zh-CN"/>
        </w:rPr>
      </w:pPr>
    </w:p>
    <w:p w14:paraId="5F1A913E">
      <w:pPr>
        <w:snapToGrid w:val="0"/>
        <w:spacing w:line="400" w:lineRule="exact"/>
        <w:ind w:firstLine="360" w:firstLineChars="150"/>
        <w:rPr>
          <w:rFonts w:hint="eastAsia" w:ascii="宋体" w:hAnsi="宋体" w:cs="宋体"/>
          <w:color w:val="auto"/>
          <w:sz w:val="24"/>
          <w:szCs w:val="24"/>
          <w:highlight w:val="none"/>
          <w:lang w:val="en-US" w:eastAsia="zh-CN"/>
        </w:rPr>
      </w:pPr>
    </w:p>
    <w:p w14:paraId="013F2861">
      <w:pPr>
        <w:snapToGrid w:val="0"/>
        <w:spacing w:line="400" w:lineRule="exact"/>
        <w:ind w:firstLine="360" w:firstLineChars="150"/>
        <w:rPr>
          <w:rFonts w:hint="eastAsia" w:ascii="宋体" w:hAnsi="宋体" w:cs="宋体"/>
          <w:color w:val="auto"/>
          <w:sz w:val="24"/>
          <w:szCs w:val="24"/>
          <w:highlight w:val="none"/>
          <w:lang w:val="en-US" w:eastAsia="zh-CN"/>
        </w:rPr>
      </w:pPr>
    </w:p>
    <w:p w14:paraId="3E46A9B6">
      <w:pPr>
        <w:snapToGrid w:val="0"/>
        <w:spacing w:line="400" w:lineRule="exact"/>
        <w:ind w:firstLine="360" w:firstLineChars="150"/>
        <w:rPr>
          <w:rFonts w:hint="eastAsia" w:ascii="宋体" w:hAnsi="宋体" w:cs="宋体"/>
          <w:color w:val="auto"/>
          <w:sz w:val="24"/>
          <w:szCs w:val="24"/>
          <w:highlight w:val="none"/>
          <w:lang w:val="en-US" w:eastAsia="zh-CN"/>
        </w:rPr>
      </w:pPr>
    </w:p>
    <w:p w14:paraId="59EF77A7">
      <w:pPr>
        <w:pStyle w:val="2"/>
        <w:rPr>
          <w:rFonts w:hint="eastAsia" w:ascii="宋体" w:hAnsi="宋体" w:cs="宋体"/>
          <w:color w:val="auto"/>
          <w:sz w:val="24"/>
          <w:szCs w:val="24"/>
          <w:highlight w:val="none"/>
          <w:lang w:val="en-US" w:eastAsia="zh-CN"/>
        </w:rPr>
      </w:pPr>
    </w:p>
    <w:p w14:paraId="215493C8">
      <w:pPr>
        <w:pStyle w:val="3"/>
        <w:rPr>
          <w:rFonts w:hint="eastAsia" w:ascii="宋体" w:hAnsi="宋体" w:cs="宋体"/>
          <w:color w:val="auto"/>
          <w:sz w:val="24"/>
          <w:szCs w:val="24"/>
          <w:highlight w:val="none"/>
          <w:lang w:val="en-US" w:eastAsia="zh-CN"/>
        </w:rPr>
      </w:pPr>
    </w:p>
    <w:p w14:paraId="0C98B71B">
      <w:pPr>
        <w:rPr>
          <w:rFonts w:hint="eastAsia" w:ascii="宋体" w:hAnsi="宋体" w:cs="宋体"/>
          <w:color w:val="auto"/>
          <w:sz w:val="24"/>
          <w:szCs w:val="24"/>
          <w:highlight w:val="none"/>
          <w:lang w:val="en-US" w:eastAsia="zh-CN"/>
        </w:rPr>
      </w:pPr>
    </w:p>
    <w:p w14:paraId="39F4076E">
      <w:pPr>
        <w:pStyle w:val="2"/>
        <w:rPr>
          <w:rFonts w:hint="eastAsia" w:ascii="宋体" w:hAnsi="宋体" w:cs="宋体"/>
          <w:color w:val="auto"/>
          <w:sz w:val="24"/>
          <w:szCs w:val="24"/>
          <w:highlight w:val="none"/>
          <w:lang w:val="en-US" w:eastAsia="zh-CN"/>
        </w:rPr>
      </w:pPr>
    </w:p>
    <w:p w14:paraId="5D7EEA16">
      <w:pPr>
        <w:pStyle w:val="3"/>
        <w:rPr>
          <w:rFonts w:hint="eastAsia" w:ascii="宋体" w:hAnsi="宋体" w:cs="宋体"/>
          <w:color w:val="auto"/>
          <w:sz w:val="24"/>
          <w:szCs w:val="24"/>
          <w:highlight w:val="none"/>
          <w:lang w:val="en-US" w:eastAsia="zh-CN"/>
        </w:rPr>
      </w:pPr>
    </w:p>
    <w:p w14:paraId="3186340B">
      <w:pPr>
        <w:rPr>
          <w:rFonts w:hint="eastAsia" w:ascii="宋体" w:hAnsi="宋体" w:cs="宋体"/>
          <w:color w:val="auto"/>
          <w:sz w:val="24"/>
          <w:szCs w:val="24"/>
          <w:highlight w:val="none"/>
          <w:lang w:val="en-US" w:eastAsia="zh-CN"/>
        </w:rPr>
      </w:pPr>
    </w:p>
    <w:p w14:paraId="3815BDBB">
      <w:pPr>
        <w:pStyle w:val="2"/>
        <w:rPr>
          <w:rFonts w:hint="eastAsia" w:ascii="宋体" w:hAnsi="宋体" w:cs="宋体"/>
          <w:color w:val="auto"/>
          <w:sz w:val="24"/>
          <w:szCs w:val="24"/>
          <w:highlight w:val="none"/>
          <w:lang w:val="en-US" w:eastAsia="zh-CN"/>
        </w:rPr>
      </w:pPr>
    </w:p>
    <w:p w14:paraId="288896C8">
      <w:pPr>
        <w:pStyle w:val="3"/>
        <w:rPr>
          <w:rFonts w:hint="eastAsia" w:ascii="宋体" w:hAnsi="宋体" w:cs="宋体"/>
          <w:color w:val="auto"/>
          <w:sz w:val="24"/>
          <w:szCs w:val="24"/>
          <w:highlight w:val="none"/>
          <w:lang w:val="en-US" w:eastAsia="zh-CN"/>
        </w:rPr>
      </w:pPr>
    </w:p>
    <w:p w14:paraId="4F8AC9E6">
      <w:pPr>
        <w:rPr>
          <w:rFonts w:hint="eastAsia" w:ascii="宋体" w:hAnsi="宋体" w:cs="宋体"/>
          <w:color w:val="auto"/>
          <w:sz w:val="24"/>
          <w:szCs w:val="24"/>
          <w:highlight w:val="none"/>
          <w:lang w:val="en-US" w:eastAsia="zh-CN"/>
        </w:rPr>
      </w:pPr>
    </w:p>
    <w:p w14:paraId="1D81BA8B">
      <w:pPr>
        <w:pStyle w:val="2"/>
        <w:rPr>
          <w:rFonts w:hint="eastAsia" w:ascii="宋体" w:hAnsi="宋体" w:cs="宋体"/>
          <w:color w:val="auto"/>
          <w:sz w:val="24"/>
          <w:szCs w:val="24"/>
          <w:highlight w:val="none"/>
          <w:lang w:val="en-US" w:eastAsia="zh-CN"/>
        </w:rPr>
      </w:pPr>
    </w:p>
    <w:p w14:paraId="7BD7F8A5">
      <w:pPr>
        <w:pStyle w:val="3"/>
        <w:rPr>
          <w:rFonts w:hint="eastAsia" w:ascii="宋体" w:hAnsi="宋体" w:cs="宋体"/>
          <w:color w:val="auto"/>
          <w:sz w:val="24"/>
          <w:szCs w:val="24"/>
          <w:highlight w:val="none"/>
          <w:lang w:val="en-US" w:eastAsia="zh-CN"/>
        </w:rPr>
      </w:pPr>
    </w:p>
    <w:p w14:paraId="32EA4681">
      <w:pPr>
        <w:rPr>
          <w:rFonts w:hint="eastAsia" w:ascii="宋体" w:hAnsi="宋体" w:cs="宋体"/>
          <w:color w:val="auto"/>
          <w:sz w:val="24"/>
          <w:szCs w:val="24"/>
          <w:highlight w:val="none"/>
          <w:lang w:val="en-US" w:eastAsia="zh-CN"/>
        </w:rPr>
      </w:pPr>
    </w:p>
    <w:p w14:paraId="2C569B7F">
      <w:pPr>
        <w:pStyle w:val="2"/>
        <w:rPr>
          <w:rFonts w:hint="eastAsia" w:ascii="宋体" w:hAnsi="宋体" w:cs="宋体"/>
          <w:color w:val="auto"/>
          <w:sz w:val="24"/>
          <w:szCs w:val="24"/>
          <w:highlight w:val="none"/>
          <w:lang w:val="en-US" w:eastAsia="zh-CN"/>
        </w:rPr>
      </w:pPr>
    </w:p>
    <w:p w14:paraId="6B25D1DD">
      <w:pPr>
        <w:pStyle w:val="3"/>
        <w:rPr>
          <w:rFonts w:hint="eastAsia" w:ascii="宋体" w:hAnsi="宋体" w:cs="宋体"/>
          <w:color w:val="auto"/>
          <w:sz w:val="24"/>
          <w:szCs w:val="24"/>
          <w:highlight w:val="none"/>
          <w:lang w:val="en-US" w:eastAsia="zh-CN"/>
        </w:rPr>
      </w:pPr>
    </w:p>
    <w:p w14:paraId="68AC4D71">
      <w:pPr>
        <w:rPr>
          <w:rFonts w:hint="eastAsia" w:ascii="宋体" w:hAnsi="宋体" w:cs="宋体"/>
          <w:color w:val="auto"/>
          <w:sz w:val="24"/>
          <w:szCs w:val="24"/>
          <w:highlight w:val="none"/>
          <w:lang w:val="en-US" w:eastAsia="zh-CN"/>
        </w:rPr>
      </w:pPr>
    </w:p>
    <w:p w14:paraId="4FFEE2EA">
      <w:pPr>
        <w:pStyle w:val="2"/>
        <w:rPr>
          <w:rFonts w:hint="eastAsia" w:ascii="宋体" w:hAnsi="宋体" w:cs="宋体"/>
          <w:color w:val="auto"/>
          <w:sz w:val="24"/>
          <w:szCs w:val="24"/>
          <w:highlight w:val="none"/>
          <w:lang w:val="en-US" w:eastAsia="zh-CN"/>
        </w:rPr>
      </w:pPr>
    </w:p>
    <w:p w14:paraId="76120B52">
      <w:pPr>
        <w:pStyle w:val="3"/>
        <w:rPr>
          <w:rFonts w:hint="eastAsia" w:ascii="宋体" w:hAnsi="宋体" w:cs="宋体"/>
          <w:color w:val="auto"/>
          <w:sz w:val="24"/>
          <w:szCs w:val="24"/>
          <w:highlight w:val="none"/>
          <w:lang w:val="en-US" w:eastAsia="zh-CN"/>
        </w:rPr>
      </w:pPr>
    </w:p>
    <w:p w14:paraId="7ADA320E">
      <w:pPr>
        <w:rPr>
          <w:rFonts w:hint="eastAsia" w:ascii="宋体" w:hAnsi="宋体" w:cs="宋体"/>
          <w:color w:val="auto"/>
          <w:sz w:val="24"/>
          <w:szCs w:val="24"/>
          <w:highlight w:val="none"/>
          <w:lang w:val="en-US" w:eastAsia="zh-CN"/>
        </w:rPr>
      </w:pPr>
    </w:p>
    <w:p w14:paraId="4164181C">
      <w:pPr>
        <w:pStyle w:val="2"/>
        <w:rPr>
          <w:rFonts w:hint="eastAsia"/>
          <w:highlight w:val="none"/>
          <w:lang w:val="en-US" w:eastAsia="zh-CN"/>
        </w:rPr>
      </w:pPr>
    </w:p>
    <w:p w14:paraId="66547E70">
      <w:pPr>
        <w:snapToGrid w:val="0"/>
        <w:spacing w:line="400" w:lineRule="exact"/>
        <w:rPr>
          <w:rFonts w:hint="eastAsia" w:ascii="宋体" w:hAnsi="宋体" w:cs="宋体"/>
          <w:color w:val="auto"/>
          <w:sz w:val="24"/>
          <w:szCs w:val="24"/>
          <w:highlight w:val="none"/>
          <w:lang w:val="en-US" w:eastAsia="zh-CN"/>
        </w:rPr>
      </w:pPr>
    </w:p>
    <w:p w14:paraId="17B09355">
      <w:pPr>
        <w:snapToGrid w:val="0"/>
        <w:spacing w:line="400" w:lineRule="exact"/>
        <w:jc w:val="both"/>
        <w:rPr>
          <w:rFonts w:hint="eastAsia" w:ascii="宋体" w:hAnsi="宋体" w:eastAsia="宋体" w:cs="宋体"/>
          <w:b w:val="0"/>
          <w:color w:val="auto"/>
          <w:sz w:val="36"/>
          <w:szCs w:val="30"/>
          <w:highlight w:val="none"/>
        </w:rPr>
      </w:pPr>
    </w:p>
    <w:p w14:paraId="1CF5A90C">
      <w:pPr>
        <w:pStyle w:val="5"/>
        <w:numPr>
          <w:ilvl w:val="0"/>
          <w:numId w:val="1"/>
        </w:numPr>
        <w:adjustRightInd w:val="0"/>
        <w:snapToGrid w:val="0"/>
        <w:spacing w:before="0" w:after="0" w:line="400" w:lineRule="exact"/>
        <w:ind w:firstLine="720" w:firstLineChars="200"/>
        <w:jc w:val="center"/>
        <w:rPr>
          <w:rFonts w:hint="eastAsia" w:ascii="方正小标宋_GBK" w:eastAsia="方正小标宋_GBK"/>
          <w:b w:val="0"/>
          <w:color w:val="auto"/>
          <w:sz w:val="36"/>
          <w:szCs w:val="30"/>
          <w:highlight w:val="none"/>
        </w:rPr>
      </w:pPr>
      <w:r>
        <w:rPr>
          <w:rFonts w:hint="eastAsia" w:ascii="宋体" w:hAnsi="宋体" w:eastAsia="宋体" w:cs="宋体"/>
          <w:b w:val="0"/>
          <w:color w:val="auto"/>
          <w:sz w:val="36"/>
          <w:szCs w:val="30"/>
          <w:highlight w:val="none"/>
        </w:rPr>
        <w:t xml:space="preserve">  </w:t>
      </w:r>
      <w:bookmarkEnd w:id="24"/>
      <w:bookmarkEnd w:id="25"/>
      <w:bookmarkStart w:id="26" w:name="_Toc11327"/>
      <w:bookmarkStart w:id="27" w:name="_Toc14516"/>
      <w:bookmarkStart w:id="28" w:name="_Toc106034778"/>
      <w:bookmarkStart w:id="29" w:name="_Toc21513"/>
      <w:bookmarkStart w:id="30" w:name="_Toc29884"/>
      <w:bookmarkStart w:id="31" w:name="_Toc65660338"/>
      <w:bookmarkStart w:id="32" w:name="_Toc1292"/>
      <w:r>
        <w:rPr>
          <w:rFonts w:hint="eastAsia" w:ascii="方正小标宋_GBK" w:eastAsia="方正小标宋_GBK"/>
          <w:b w:val="0"/>
          <w:color w:val="auto"/>
          <w:sz w:val="36"/>
          <w:szCs w:val="30"/>
          <w:highlight w:val="none"/>
        </w:rPr>
        <w:t>项目</w:t>
      </w:r>
      <w:bookmarkEnd w:id="26"/>
      <w:bookmarkEnd w:id="27"/>
      <w:bookmarkEnd w:id="28"/>
      <w:bookmarkEnd w:id="29"/>
      <w:bookmarkEnd w:id="30"/>
      <w:bookmarkEnd w:id="31"/>
      <w:bookmarkEnd w:id="32"/>
      <w:r>
        <w:rPr>
          <w:rFonts w:hint="eastAsia" w:ascii="方正小标宋_GBK" w:eastAsia="方正小标宋_GBK"/>
          <w:b w:val="0"/>
          <w:color w:val="auto"/>
          <w:sz w:val="36"/>
          <w:szCs w:val="30"/>
          <w:highlight w:val="none"/>
          <w:lang w:eastAsia="zh-CN"/>
        </w:rPr>
        <w:t>技术需求</w:t>
      </w:r>
    </w:p>
    <w:p w14:paraId="04845593">
      <w:pPr>
        <w:snapToGrid w:val="0"/>
        <w:spacing w:line="400" w:lineRule="exact"/>
        <w:ind w:firstLine="450" w:firstLineChars="150"/>
        <w:jc w:val="center"/>
        <w:rPr>
          <w:rFonts w:hint="eastAsia" w:ascii="宋体" w:hAnsi="宋体" w:eastAsia="宋体" w:cs="宋体"/>
          <w:b w:val="0"/>
          <w:color w:val="auto"/>
          <w:sz w:val="30"/>
          <w:szCs w:val="30"/>
          <w:highlight w:val="none"/>
        </w:rPr>
      </w:pPr>
    </w:p>
    <w:p w14:paraId="61BD5D78">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33" w:name="_Toc106030879"/>
      <w:bookmarkStart w:id="34" w:name="_Toc76462325"/>
      <w:bookmarkStart w:id="35" w:name="_Toc12789058"/>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项目基本概况介绍</w:t>
      </w:r>
      <w:bookmarkEnd w:id="33"/>
      <w:bookmarkEnd w:id="34"/>
    </w:p>
    <w:p w14:paraId="5AB7A117">
      <w:pPr>
        <w:spacing w:line="400" w:lineRule="exact"/>
        <w:ind w:firstLine="480" w:firstLineChars="200"/>
        <w:outlineLvl w:val="2"/>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eastAsia="zh-CN"/>
        </w:rPr>
        <w:t>大足区北厅片区（水峰社区）城中村改造小户型保障性住房10kV马智线同碳支线#3杆至#6杆线路迁改及400kVA施工用电工程</w:t>
      </w:r>
    </w:p>
    <w:p w14:paraId="42ECECAB">
      <w:pPr>
        <w:spacing w:line="400" w:lineRule="exact"/>
        <w:ind w:firstLine="480" w:firstLineChars="200"/>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2.项目概况：</w:t>
      </w:r>
      <w:bookmarkStart w:id="36" w:name="_Toc106030880"/>
      <w:bookmarkStart w:id="37" w:name="_Toc344475116"/>
      <w:bookmarkStart w:id="38" w:name="_Toc313536013"/>
      <w:bookmarkStart w:id="39" w:name="_Toc76462326"/>
      <w:bookmarkStart w:id="40" w:name="_Toc106030881"/>
      <w:r>
        <w:rPr>
          <w:rFonts w:hint="eastAsia" w:ascii="宋体" w:hAnsi="宋体" w:cs="宋体"/>
          <w:color w:val="auto"/>
          <w:sz w:val="24"/>
          <w:szCs w:val="24"/>
          <w:highlight w:val="none"/>
          <w:lang w:val="en-US" w:eastAsia="zh-CN"/>
        </w:rPr>
        <w:t>本项目为大足区北厅片区（水峰社区）城中村改造小户型保障性住房10kV马智线同碳支线#3杆至#6杆线路迁改及400kVA施工用电工程，主要包含实施红线范围内电力线路搬迁及施工用电安装等，具体以比选人发布的施工图、工程量清单为准。</w:t>
      </w:r>
    </w:p>
    <w:p w14:paraId="271C61F8">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二、服务范围、要求及标准</w:t>
      </w:r>
      <w:bookmarkEnd w:id="36"/>
    </w:p>
    <w:p w14:paraId="6AB345ED">
      <w:pPr>
        <w:spacing w:line="400" w:lineRule="exact"/>
        <w:ind w:firstLine="480" w:firstLineChars="200"/>
        <w:outlineLvl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（一）服务范围、要求及标准</w:t>
      </w:r>
    </w:p>
    <w:p w14:paraId="0E3B4283">
      <w:pPr>
        <w:spacing w:line="400" w:lineRule="exact"/>
        <w:ind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1.服务范围：本项目设计施工图</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及工程量清单</w:t>
      </w:r>
      <w:r>
        <w:rPr>
          <w:rFonts w:hint="eastAsia" w:ascii="宋体" w:hAnsi="宋体" w:eastAsia="宋体" w:cs="宋体"/>
          <w:color w:val="auto"/>
          <w:sz w:val="24"/>
          <w:szCs w:val="24"/>
          <w:highlight w:val="none"/>
          <w:lang w:val="en-US" w:eastAsia="zh-CN"/>
        </w:rPr>
        <w:t>所示</w:t>
      </w:r>
      <w:r>
        <w:rPr>
          <w:rFonts w:hint="eastAsia" w:ascii="宋体" w:hAnsi="宋体" w:eastAsia="宋体" w:cs="宋体"/>
          <w:color w:val="auto"/>
          <w:sz w:val="24"/>
          <w:szCs w:val="24"/>
          <w:highlight w:val="none"/>
        </w:rPr>
        <w:t>所有工作内容（详见本项目公告附件）</w:t>
      </w:r>
      <w:r>
        <w:rPr>
          <w:rFonts w:hint="eastAsia" w:ascii="宋体" w:hAnsi="宋体" w:eastAsia="宋体" w:cs="宋体"/>
          <w:color w:val="auto"/>
          <w:sz w:val="24"/>
          <w:szCs w:val="24"/>
          <w:highlight w:val="none"/>
          <w:lang w:eastAsia="zh-CN"/>
        </w:rPr>
        <w:t>。</w:t>
      </w:r>
    </w:p>
    <w:p w14:paraId="79F1FBD2">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2.服务要求：依据设计施工图纸和技术文件的要求，本项目的材料、设备、施工必须达到现行规范及标准规定的要求。</w:t>
      </w:r>
    </w:p>
    <w:p w14:paraId="6CF778CB">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3.服务标准：严格按照电力设备运行的国家标准或相关行业标准及操作规程执行。</w:t>
      </w:r>
    </w:p>
    <w:p w14:paraId="43B3049A">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三、质量</w:t>
      </w:r>
      <w:bookmarkEnd w:id="37"/>
      <w:bookmarkEnd w:id="38"/>
      <w:r>
        <w:rPr>
          <w:rFonts w:hint="eastAsia" w:ascii="宋体" w:hAnsi="宋体" w:eastAsia="宋体" w:cs="宋体"/>
          <w:color w:val="auto"/>
          <w:sz w:val="24"/>
          <w:highlight w:val="none"/>
        </w:rPr>
        <w:t>需求</w:t>
      </w:r>
      <w:bookmarkEnd w:id="39"/>
      <w:bookmarkEnd w:id="40"/>
    </w:p>
    <w:p w14:paraId="2B4A06EA">
      <w:pPr>
        <w:widowControl/>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符合强制性质量标准，符合国家和重庆市现行有关施工质量验收规范要求，并达到合格标准。</w:t>
      </w:r>
    </w:p>
    <w:p w14:paraId="6A763870">
      <w:pPr>
        <w:spacing w:line="440" w:lineRule="atLeast"/>
        <w:ind w:firstLine="482" w:firstLineChars="200"/>
        <w:rPr>
          <w:rFonts w:hint="eastAsia" w:ascii="宋体" w:hAnsi="宋体" w:eastAsia="宋体" w:cs="宋体"/>
          <w:b/>
          <w:color w:val="auto"/>
          <w:sz w:val="24"/>
          <w:szCs w:val="20"/>
          <w:highlight w:val="none"/>
        </w:rPr>
      </w:pPr>
      <w:bookmarkStart w:id="41" w:name="_Toc113374270"/>
      <w:r>
        <w:rPr>
          <w:rFonts w:hint="eastAsia" w:ascii="宋体" w:hAnsi="宋体" w:cs="宋体"/>
          <w:b/>
          <w:color w:val="auto"/>
          <w:sz w:val="24"/>
          <w:szCs w:val="20"/>
          <w:highlight w:val="none"/>
          <w:lang w:val="en-US" w:eastAsia="zh-CN"/>
        </w:rPr>
        <w:t>四</w:t>
      </w:r>
      <w:r>
        <w:rPr>
          <w:rFonts w:hint="eastAsia" w:ascii="宋体" w:hAnsi="宋体" w:eastAsia="宋体" w:cs="宋体"/>
          <w:b/>
          <w:color w:val="auto"/>
          <w:sz w:val="24"/>
          <w:szCs w:val="20"/>
          <w:highlight w:val="none"/>
        </w:rPr>
        <w:t>、施工要求</w:t>
      </w:r>
      <w:bookmarkEnd w:id="41"/>
    </w:p>
    <w:p w14:paraId="5DD41F8A">
      <w:pPr>
        <w:spacing w:line="40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成交供应商负有安全施工责任，应保证所有现场施工人员及施工区域的人身财产安全。施工过程中不得对场所中其</w:t>
      </w:r>
      <w:r>
        <w:rPr>
          <w:rFonts w:hint="eastAsia" w:ascii="宋体" w:hAnsi="宋体" w:eastAsia="宋体" w:cs="宋体"/>
          <w:color w:val="auto"/>
          <w:kern w:val="2"/>
          <w:sz w:val="24"/>
          <w:szCs w:val="24"/>
          <w:highlight w:val="none"/>
          <w:lang w:eastAsia="zh-CN"/>
        </w:rPr>
        <w:t>他</w:t>
      </w:r>
      <w:r>
        <w:rPr>
          <w:rFonts w:hint="eastAsia" w:ascii="宋体" w:hAnsi="宋体" w:eastAsia="宋体" w:cs="宋体"/>
          <w:color w:val="auto"/>
          <w:kern w:val="2"/>
          <w:sz w:val="24"/>
          <w:szCs w:val="24"/>
          <w:highlight w:val="none"/>
        </w:rPr>
        <w:t>区域造成损害。若出现任何安全事故或造成损失的，由成交供应商承担所有责任。</w:t>
      </w:r>
    </w:p>
    <w:p w14:paraId="7490CEBC">
      <w:pPr>
        <w:keepNext w:val="0"/>
        <w:keepLines w:val="0"/>
        <w:pageBreakBefore w:val="0"/>
        <w:widowControl/>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color w:val="auto"/>
          <w:sz w:val="24"/>
          <w:szCs w:val="20"/>
          <w:highlight w:val="none"/>
        </w:rPr>
      </w:pPr>
      <w:r>
        <w:rPr>
          <w:rFonts w:hint="eastAsia" w:ascii="宋体" w:hAnsi="宋体" w:cs="宋体"/>
          <w:b/>
          <w:bCs w:val="0"/>
          <w:color w:val="auto"/>
          <w:sz w:val="24"/>
          <w:szCs w:val="20"/>
          <w:highlight w:val="none"/>
          <w:lang w:val="en-US" w:eastAsia="zh-CN"/>
        </w:rPr>
        <w:t>五</w:t>
      </w:r>
      <w:r>
        <w:rPr>
          <w:rFonts w:hint="eastAsia" w:ascii="宋体" w:hAnsi="宋体" w:eastAsia="宋体" w:cs="宋体"/>
          <w:b/>
          <w:bCs w:val="0"/>
          <w:color w:val="auto"/>
          <w:sz w:val="24"/>
          <w:szCs w:val="20"/>
          <w:highlight w:val="none"/>
        </w:rPr>
        <w:t>、人员要求</w:t>
      </w:r>
    </w:p>
    <w:p w14:paraId="1F91C946">
      <w:pPr>
        <w:widowControl/>
        <w:snapToGrid/>
        <w:spacing w:line="400" w:lineRule="exact"/>
        <w:ind w:firstLine="480" w:firstLineChars="200"/>
        <w:outlineLvl w:val="9"/>
        <w:rPr>
          <w:rFonts w:hint="eastAsia" w:ascii="宋体" w:hAnsi="宋体" w:eastAsia="宋体" w:cs="宋体"/>
          <w:color w:val="auto"/>
          <w:sz w:val="24"/>
          <w:szCs w:val="24"/>
          <w:highlight w:val="none"/>
          <w:lang w:val="en-US" w:eastAsia="zh-CN"/>
        </w:rPr>
      </w:pPr>
      <w:bookmarkStart w:id="42" w:name="_Toc14302"/>
      <w:bookmarkStart w:id="43" w:name="_Toc3450"/>
      <w:bookmarkStart w:id="44" w:name="_Toc18324"/>
      <w:bookmarkStart w:id="45" w:name="_Toc23420"/>
      <w:bookmarkStart w:id="46" w:name="_Toc10740"/>
      <w:bookmarkStart w:id="47" w:name="_Toc14130"/>
      <w:r>
        <w:rPr>
          <w:rFonts w:hint="eastAsia" w:ascii="宋体" w:hAnsi="宋体" w:eastAsia="宋体" w:cs="宋体"/>
          <w:color w:val="auto"/>
          <w:sz w:val="24"/>
          <w:szCs w:val="24"/>
          <w:highlight w:val="none"/>
          <w:lang w:val="en-US" w:eastAsia="zh-CN"/>
        </w:rPr>
        <w:t>1、项目经理（1人）</w:t>
      </w:r>
    </w:p>
    <w:p w14:paraId="49CB91AC">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拟派的项目经理必须已在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本单位注册并应具有</w:t>
      </w:r>
      <w:r>
        <w:rPr>
          <w:rFonts w:hint="eastAsia" w:ascii="宋体" w:hAnsi="宋体" w:eastAsia="宋体" w:cs="宋体"/>
          <w:color w:val="auto"/>
          <w:sz w:val="24"/>
          <w:szCs w:val="24"/>
          <w:highlight w:val="none"/>
          <w:u w:val="single"/>
          <w:lang w:val="en-US" w:eastAsia="zh-CN"/>
        </w:rPr>
        <w:t>机电工程</w:t>
      </w:r>
      <w:r>
        <w:rPr>
          <w:rFonts w:hint="eastAsia" w:ascii="宋体" w:hAnsi="宋体" w:eastAsia="宋体" w:cs="宋体"/>
          <w:color w:val="auto"/>
          <w:sz w:val="24"/>
          <w:szCs w:val="24"/>
          <w:highlight w:val="none"/>
          <w:u w:val="single"/>
        </w:rPr>
        <w:t>专业贰级</w:t>
      </w:r>
      <w:r>
        <w:rPr>
          <w:rFonts w:hint="eastAsia" w:ascii="宋体" w:hAnsi="宋体" w:eastAsia="宋体" w:cs="宋体"/>
          <w:color w:val="auto"/>
          <w:sz w:val="24"/>
          <w:szCs w:val="24"/>
          <w:highlight w:val="none"/>
        </w:rPr>
        <w:t>及以上注册建造师执业资格。</w:t>
      </w:r>
    </w:p>
    <w:p w14:paraId="562F1763">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注：提供拟派项目经理建造师注册证书复印件、</w:t>
      </w:r>
      <w:r>
        <w:rPr>
          <w:rFonts w:hint="eastAsia" w:ascii="宋体" w:hAnsi="宋体" w:cs="宋体"/>
          <w:color w:val="auto"/>
          <w:sz w:val="24"/>
          <w:szCs w:val="24"/>
          <w:highlight w:val="none"/>
          <w:lang w:val="en-US" w:eastAsia="zh-CN"/>
        </w:rPr>
        <w:t>身份证复印件、</w:t>
      </w:r>
      <w:r>
        <w:rPr>
          <w:rFonts w:hint="eastAsia" w:ascii="宋体" w:hAnsi="宋体" w:eastAsia="宋体" w:cs="宋体"/>
          <w:color w:val="auto"/>
          <w:sz w:val="24"/>
          <w:szCs w:val="24"/>
          <w:highlight w:val="none"/>
        </w:rPr>
        <w:t>安全生产考核合格证B证复印件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本单位为其缴纳的养老保险证明材料复印件。以上证明材料均需加盖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061799DB">
      <w:pPr>
        <w:widowControl/>
        <w:snapToGrid/>
        <w:spacing w:line="40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2、项目技术负责人（1人）</w:t>
      </w:r>
    </w:p>
    <w:p w14:paraId="11A73A1F">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拟派的项目技术负责人应具有</w:t>
      </w:r>
      <w:r>
        <w:rPr>
          <w:rFonts w:hint="eastAsia" w:ascii="宋体" w:hAnsi="宋体" w:eastAsia="宋体" w:cs="宋体"/>
          <w:color w:val="auto"/>
          <w:sz w:val="24"/>
          <w:szCs w:val="24"/>
          <w:highlight w:val="none"/>
          <w:u w:val="single"/>
        </w:rPr>
        <w:t>工程类中级</w:t>
      </w:r>
      <w:r>
        <w:rPr>
          <w:rFonts w:hint="eastAsia" w:ascii="宋体" w:hAnsi="宋体" w:eastAsia="宋体" w:cs="宋体"/>
          <w:color w:val="auto"/>
          <w:sz w:val="24"/>
          <w:szCs w:val="24"/>
          <w:highlight w:val="none"/>
        </w:rPr>
        <w:t>及以上</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职称。</w:t>
      </w:r>
    </w:p>
    <w:p w14:paraId="56A72F9B">
      <w:pPr>
        <w:widowControl/>
        <w:snapToGrid/>
        <w:spacing w:line="40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须在投标文件资格审查部分提供拟派技术负责人职称证复印件、</w:t>
      </w:r>
      <w:r>
        <w:rPr>
          <w:rFonts w:hint="eastAsia" w:ascii="宋体" w:hAnsi="宋体" w:cs="宋体"/>
          <w:color w:val="auto"/>
          <w:sz w:val="24"/>
          <w:szCs w:val="24"/>
          <w:highlight w:val="none"/>
          <w:lang w:val="en-US" w:eastAsia="zh-CN"/>
        </w:rPr>
        <w:t>身份证复印件、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本单位为其缴纳的养老保险证明材料复印件。以上证明材料均需加盖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024D7698">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主要管理人员</w:t>
      </w:r>
    </w:p>
    <w:p w14:paraId="4F2D66FE">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自行承诺成交后在签订合同之前，须按照主管部门的要求组建施工项目部，配置项目管理班子，出具任命文件。拟派的项目经理、项目技术负责人未经过</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同意，不得变更。任命文件应当明确施工项目部的职责、岗位设置、人员配备，并书面通知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。相关岗位管理人员应持有主管部门要求的岗位证书，并提供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本单位为其缴纳的养老保险证明材料复印件。成交后不能满足该要求的，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可取消其</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资格，给</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造成损失的，</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依法承担违约赔偿责任。</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资格审查部分提供承诺并加盖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公章（承诺格式自拟）</w:t>
      </w:r>
    </w:p>
    <w:p w14:paraId="0EFC8F63">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41443D59">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（1）上述要求须提交的相关证明材料均为扫描件（原件或复印件的扫描件均可），扫描件须清晰可辨，有一条不满足，则</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作否决投标处理。</w:t>
      </w:r>
    </w:p>
    <w:p w14:paraId="21890A8F">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）人员养老保险证明要求如下：</w:t>
      </w:r>
    </w:p>
    <w:p w14:paraId="51AB8421">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①企业提供养老保险证明，事业单位提供养老保险证明或行政主管部门在编证明。</w:t>
      </w:r>
    </w:p>
    <w:p w14:paraId="24046AFE">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②项目经理、项目技术负责人的连续养老保险证明期限须</w:t>
      </w:r>
      <w:r>
        <w:rPr>
          <w:rFonts w:hint="eastAsia" w:ascii="宋体" w:hAnsi="宋体" w:eastAsia="宋体" w:cs="宋体"/>
          <w:color w:val="auto"/>
          <w:sz w:val="24"/>
          <w:szCs w:val="24"/>
          <w:highlight w:val="none"/>
          <w:lang w:val="en-US" w:eastAsia="zh-CN"/>
        </w:rPr>
        <w:t>包含</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，提供的养老保险参保证明须</w:t>
      </w:r>
      <w:r>
        <w:rPr>
          <w:rFonts w:hint="eastAsia" w:ascii="宋体" w:hAnsi="宋体" w:eastAsia="宋体" w:cs="宋体"/>
          <w:color w:val="auto"/>
          <w:sz w:val="24"/>
          <w:szCs w:val="24"/>
          <w:highlight w:val="none"/>
        </w:rPr>
        <w:t>体现上述人员的姓名、身份证号（或社保号）、单位名称、本单位参保时间（或起始参保时间），并带有社保部门公章或社保部门的有效电子印章。</w:t>
      </w:r>
    </w:p>
    <w:p w14:paraId="2F0E5D6F">
      <w:pPr>
        <w:spacing w:line="400" w:lineRule="exact"/>
        <w:ind w:firstLine="482" w:firstLineChars="200"/>
        <w:outlineLvl w:val="9"/>
        <w:rPr>
          <w:rFonts w:hint="eastAsia" w:ascii="宋体" w:hAnsi="宋体" w:eastAsia="宋体" w:cs="宋体"/>
          <w:b/>
          <w:color w:val="auto"/>
          <w:sz w:val="24"/>
          <w:szCs w:val="20"/>
          <w:highlight w:val="none"/>
        </w:rPr>
      </w:pPr>
      <w:r>
        <w:rPr>
          <w:rFonts w:hint="eastAsia" w:ascii="宋体" w:hAnsi="宋体" w:cs="宋体"/>
          <w:b/>
          <w:color w:val="auto"/>
          <w:sz w:val="24"/>
          <w:szCs w:val="20"/>
          <w:highlight w:val="none"/>
          <w:lang w:val="en-US" w:eastAsia="zh-CN"/>
        </w:rPr>
        <w:t>六</w:t>
      </w:r>
      <w:r>
        <w:rPr>
          <w:rFonts w:hint="eastAsia" w:ascii="宋体" w:hAnsi="宋体" w:eastAsia="宋体" w:cs="宋体"/>
          <w:b/>
          <w:color w:val="auto"/>
          <w:sz w:val="24"/>
          <w:szCs w:val="20"/>
          <w:highlight w:val="none"/>
        </w:rPr>
        <w:t>、现场踏勘</w:t>
      </w:r>
      <w:bookmarkEnd w:id="42"/>
      <w:bookmarkEnd w:id="43"/>
      <w:bookmarkEnd w:id="44"/>
      <w:bookmarkEnd w:id="45"/>
      <w:bookmarkEnd w:id="46"/>
      <w:bookmarkEnd w:id="47"/>
    </w:p>
    <w:p w14:paraId="2C4FEB14">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1.本项目采购人不组织现场集中</w:t>
      </w:r>
      <w:r>
        <w:rPr>
          <w:rFonts w:hint="eastAsia" w:ascii="宋体" w:hAnsi="宋体" w:eastAsia="宋体" w:cs="宋体"/>
          <w:b w:val="0"/>
          <w:color w:val="auto"/>
          <w:sz w:val="24"/>
          <w:szCs w:val="24"/>
          <w:highlight w:val="none"/>
        </w:rPr>
        <w:t>踏勘</w:t>
      </w:r>
      <w:r>
        <w:rPr>
          <w:rFonts w:hint="eastAsia" w:ascii="宋体" w:hAnsi="宋体" w:eastAsia="宋体" w:cs="宋体"/>
          <w:b w:val="0"/>
          <w:color w:val="auto"/>
          <w:sz w:val="24"/>
          <w:szCs w:val="24"/>
          <w:highlight w:val="none"/>
          <w:lang w:eastAsia="zh-CN"/>
        </w:rPr>
        <w:t>，</w:t>
      </w:r>
      <w:r>
        <w:rPr>
          <w:rFonts w:hint="eastAsia" w:ascii="宋体" w:hAnsi="宋体" w:eastAsia="宋体" w:cs="宋体"/>
          <w:color w:val="auto"/>
          <w:sz w:val="24"/>
          <w:szCs w:val="24"/>
          <w:highlight w:val="none"/>
        </w:rPr>
        <w:t>供应商在递交响应文件前自行到项目现场进行勘察，对本项目现场及周边环境进行踏勘以了解本项目风险和义务，踏勘现场所产生的费用及安全责任由供应商自行承担。</w:t>
      </w:r>
    </w:p>
    <w:p w14:paraId="5AE1AA4E">
      <w:pPr>
        <w:widowControl/>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bookmarkStart w:id="48" w:name="_Toc106030882"/>
      <w:bookmarkStart w:id="49" w:name="_Toc76462327"/>
    </w:p>
    <w:p w14:paraId="2238BEF2">
      <w:pPr>
        <w:pStyle w:val="2"/>
        <w:rPr>
          <w:rFonts w:hint="eastAsia" w:ascii="方正仿宋_GBK" w:hAnsi="宋体" w:eastAsia="方正仿宋_GBK" w:cs="Times New Roman"/>
          <w:color w:val="auto"/>
          <w:sz w:val="24"/>
          <w:szCs w:val="24"/>
          <w:highlight w:val="none"/>
          <w:lang w:val="en-US" w:eastAsia="zh-CN"/>
        </w:rPr>
      </w:pPr>
    </w:p>
    <w:p w14:paraId="2B7931FD">
      <w:pPr>
        <w:rPr>
          <w:rFonts w:hint="eastAsia" w:ascii="方正仿宋_GBK" w:hAnsi="宋体" w:eastAsia="方正仿宋_GBK" w:cs="Times New Roman"/>
          <w:color w:val="auto"/>
          <w:sz w:val="24"/>
          <w:szCs w:val="24"/>
          <w:highlight w:val="none"/>
          <w:lang w:val="en-US" w:eastAsia="zh-CN"/>
        </w:rPr>
      </w:pPr>
    </w:p>
    <w:p w14:paraId="23616009">
      <w:pPr>
        <w:rPr>
          <w:rFonts w:hint="eastAsia" w:ascii="方正仿宋_GBK" w:hAnsi="宋体" w:eastAsia="方正仿宋_GBK" w:cs="Times New Roman"/>
          <w:color w:val="auto"/>
          <w:sz w:val="24"/>
          <w:szCs w:val="24"/>
          <w:highlight w:val="none"/>
          <w:lang w:val="en-US" w:eastAsia="zh-CN"/>
        </w:rPr>
      </w:pPr>
    </w:p>
    <w:p w14:paraId="28A4407F">
      <w:pPr>
        <w:rPr>
          <w:rFonts w:hint="eastAsia" w:ascii="方正仿宋_GBK" w:hAnsi="宋体" w:eastAsia="方正仿宋_GBK" w:cs="Times New Roman"/>
          <w:color w:val="auto"/>
          <w:sz w:val="24"/>
          <w:szCs w:val="24"/>
          <w:highlight w:val="none"/>
          <w:lang w:val="en-US" w:eastAsia="zh-CN"/>
        </w:rPr>
      </w:pPr>
    </w:p>
    <w:p w14:paraId="08B0A379">
      <w:pPr>
        <w:rPr>
          <w:rFonts w:hint="eastAsia" w:ascii="方正仿宋_GBK" w:hAnsi="宋体" w:eastAsia="方正仿宋_GBK" w:cs="Times New Roman"/>
          <w:color w:val="auto"/>
          <w:sz w:val="24"/>
          <w:szCs w:val="24"/>
          <w:highlight w:val="none"/>
          <w:lang w:val="en-US" w:eastAsia="zh-CN"/>
        </w:rPr>
      </w:pPr>
    </w:p>
    <w:p w14:paraId="7F0D9A70">
      <w:pPr>
        <w:rPr>
          <w:rFonts w:hint="eastAsia" w:ascii="方正仿宋_GBK" w:hAnsi="宋体" w:eastAsia="方正仿宋_GBK" w:cs="Times New Roman"/>
          <w:color w:val="auto"/>
          <w:sz w:val="24"/>
          <w:szCs w:val="24"/>
          <w:highlight w:val="none"/>
          <w:lang w:val="en-US" w:eastAsia="zh-CN"/>
        </w:rPr>
      </w:pPr>
    </w:p>
    <w:p w14:paraId="334D76EB">
      <w:pPr>
        <w:rPr>
          <w:rFonts w:hint="eastAsia" w:ascii="方正仿宋_GBK" w:hAnsi="宋体" w:eastAsia="方正仿宋_GBK" w:cs="Times New Roman"/>
          <w:color w:val="auto"/>
          <w:sz w:val="24"/>
          <w:szCs w:val="24"/>
          <w:highlight w:val="none"/>
          <w:lang w:val="en-US" w:eastAsia="zh-CN"/>
        </w:rPr>
      </w:pPr>
    </w:p>
    <w:p w14:paraId="2908B1D1">
      <w:pPr>
        <w:rPr>
          <w:rFonts w:hint="eastAsia" w:ascii="方正仿宋_GBK" w:hAnsi="宋体" w:eastAsia="方正仿宋_GBK" w:cs="Times New Roman"/>
          <w:color w:val="auto"/>
          <w:sz w:val="24"/>
          <w:szCs w:val="24"/>
          <w:highlight w:val="none"/>
          <w:lang w:val="en-US" w:eastAsia="zh-CN"/>
        </w:rPr>
      </w:pPr>
    </w:p>
    <w:p w14:paraId="301EF1FD">
      <w:pPr>
        <w:rPr>
          <w:rFonts w:hint="eastAsia" w:ascii="方正仿宋_GBK" w:hAnsi="宋体" w:eastAsia="方正仿宋_GBK" w:cs="Times New Roman"/>
          <w:color w:val="auto"/>
          <w:sz w:val="24"/>
          <w:szCs w:val="24"/>
          <w:highlight w:val="none"/>
          <w:lang w:val="en-US" w:eastAsia="zh-CN"/>
        </w:rPr>
      </w:pPr>
    </w:p>
    <w:p w14:paraId="32CFB68B">
      <w:pPr>
        <w:rPr>
          <w:rFonts w:hint="eastAsia" w:ascii="方正仿宋_GBK" w:hAnsi="宋体" w:eastAsia="方正仿宋_GBK" w:cs="Times New Roman"/>
          <w:color w:val="auto"/>
          <w:sz w:val="24"/>
          <w:szCs w:val="24"/>
          <w:highlight w:val="none"/>
          <w:lang w:val="en-US" w:eastAsia="zh-CN"/>
        </w:rPr>
      </w:pPr>
    </w:p>
    <w:p w14:paraId="447FEC43">
      <w:pPr>
        <w:pStyle w:val="2"/>
        <w:rPr>
          <w:rFonts w:hint="eastAsia"/>
          <w:color w:val="auto"/>
          <w:highlight w:val="none"/>
        </w:rPr>
      </w:pPr>
    </w:p>
    <w:p w14:paraId="40D56CE4">
      <w:pPr>
        <w:pStyle w:val="5"/>
        <w:numPr>
          <w:ilvl w:val="0"/>
          <w:numId w:val="1"/>
        </w:numPr>
        <w:adjustRightInd w:val="0"/>
        <w:snapToGrid w:val="0"/>
        <w:spacing w:before="0" w:after="0" w:line="400" w:lineRule="exact"/>
        <w:ind w:left="0" w:leftChars="0" w:firstLine="720" w:firstLineChars="200"/>
        <w:jc w:val="center"/>
        <w:rPr>
          <w:rFonts w:hint="eastAsia" w:ascii="方正小标宋_GBK" w:eastAsia="方正小标宋_GBK" w:cs="Times New Roman"/>
          <w:b w:val="0"/>
          <w:color w:val="auto"/>
          <w:sz w:val="36"/>
          <w:szCs w:val="30"/>
          <w:highlight w:val="none"/>
        </w:rPr>
      </w:pPr>
      <w:r>
        <w:rPr>
          <w:rFonts w:hint="eastAsia" w:ascii="方正小标宋_GBK" w:eastAsia="方正小标宋_GBK" w:cs="Times New Roman"/>
          <w:b w:val="0"/>
          <w:color w:val="auto"/>
          <w:sz w:val="36"/>
          <w:szCs w:val="30"/>
          <w:highlight w:val="none"/>
        </w:rPr>
        <w:t xml:space="preserve"> </w:t>
      </w:r>
      <w:bookmarkEnd w:id="35"/>
      <w:bookmarkEnd w:id="48"/>
      <w:bookmarkEnd w:id="49"/>
      <w:r>
        <w:rPr>
          <w:rFonts w:hint="eastAsia" w:ascii="方正小标宋_GBK" w:eastAsia="方正小标宋_GBK" w:cs="Times New Roman"/>
          <w:b w:val="0"/>
          <w:color w:val="auto"/>
          <w:sz w:val="36"/>
          <w:szCs w:val="30"/>
          <w:highlight w:val="none"/>
        </w:rPr>
        <w:t>项目</w:t>
      </w:r>
      <w:r>
        <w:rPr>
          <w:rFonts w:hint="eastAsia" w:ascii="方正小标宋_GBK" w:eastAsia="方正小标宋_GBK" w:cs="Times New Roman"/>
          <w:b w:val="0"/>
          <w:color w:val="auto"/>
          <w:sz w:val="36"/>
          <w:szCs w:val="30"/>
          <w:highlight w:val="none"/>
          <w:lang w:val="en-US" w:eastAsia="zh-CN"/>
        </w:rPr>
        <w:t>商务需求</w:t>
      </w:r>
    </w:p>
    <w:p w14:paraId="384F9CDB">
      <w:pPr>
        <w:numPr>
          <w:ilvl w:val="0"/>
          <w:numId w:val="0"/>
        </w:numPr>
        <w:ind w:leftChars="200"/>
        <w:rPr>
          <w:rFonts w:hint="eastAsia"/>
          <w:color w:val="auto"/>
          <w:highlight w:val="none"/>
        </w:rPr>
      </w:pPr>
    </w:p>
    <w:p w14:paraId="2E18AEA9">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0" w:name="_Toc106030883"/>
      <w:bookmarkStart w:id="51" w:name="_Toc76462328"/>
      <w:bookmarkStart w:id="52" w:name="_Toc344475120"/>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、地点及验收方式</w:t>
      </w:r>
      <w:bookmarkEnd w:id="50"/>
      <w:bookmarkEnd w:id="51"/>
      <w:bookmarkEnd w:id="52"/>
    </w:p>
    <w:p w14:paraId="38975F5E">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工</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60</w:t>
      </w:r>
      <w:r>
        <w:rPr>
          <w:rFonts w:hint="eastAsia" w:ascii="宋体" w:hAnsi="宋体" w:eastAsia="宋体" w:cs="宋体"/>
          <w:color w:val="auto"/>
          <w:sz w:val="24"/>
          <w:szCs w:val="24"/>
          <w:highlight w:val="none"/>
          <w:lang w:val="en-US" w:eastAsia="zh-CN"/>
        </w:rPr>
        <w:t>日历天</w:t>
      </w:r>
      <w:r>
        <w:rPr>
          <w:rFonts w:hint="eastAsia" w:ascii="宋体" w:hAnsi="宋体" w:eastAsia="宋体" w:cs="宋体"/>
          <w:color w:val="auto"/>
          <w:sz w:val="24"/>
          <w:szCs w:val="24"/>
          <w:highlight w:val="none"/>
          <w:lang w:eastAsia="zh-CN"/>
        </w:rPr>
        <w:t>。</w:t>
      </w:r>
    </w:p>
    <w:p w14:paraId="29660317">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地点：重庆市</w:t>
      </w:r>
      <w:r>
        <w:rPr>
          <w:rFonts w:hint="eastAsia" w:ascii="宋体" w:hAnsi="宋体" w:eastAsia="宋体" w:cs="宋体"/>
          <w:color w:val="auto"/>
          <w:sz w:val="24"/>
          <w:szCs w:val="24"/>
          <w:highlight w:val="none"/>
          <w:lang w:val="en-US" w:eastAsia="zh-CN"/>
        </w:rPr>
        <w:t>大足区水峰社区</w:t>
      </w:r>
      <w:r>
        <w:rPr>
          <w:rFonts w:hint="eastAsia" w:ascii="宋体" w:hAnsi="宋体" w:eastAsia="宋体" w:cs="宋体"/>
          <w:color w:val="auto"/>
          <w:sz w:val="24"/>
          <w:szCs w:val="24"/>
          <w:highlight w:val="none"/>
        </w:rPr>
        <w:t>。</w:t>
      </w:r>
    </w:p>
    <w:p w14:paraId="145C64EC">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02930FB1">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和材料到货后，成交供应商应通知采购人现场管理人员对材料进行验收，货到验收时如与承诺的要求不一致，采购人可拒绝收货，由此造成的一切损失，应由成交供应商全部承担。设备和材料验收合格后才能进行实施。相关材料及工艺应该按照建设行业主管部门的规定，送专业检测机构进行检测并合格后方能在本项目进行使用。</w:t>
      </w:r>
    </w:p>
    <w:p w14:paraId="72213D3F">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过程应遵照现行国家有关规范进行，按照工程量清单、图级及有关要求进行检查验收。成交供应商应保证工程质量，工程用建筑材料须符合国家及行业标准，项目工程达到国家现行有关施工质量验收规范要求，并达到合格标准。</w:t>
      </w:r>
    </w:p>
    <w:p w14:paraId="576AF5C6">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3.工程完工后，按国家相关标准验收程序和规程进行验收，采购人代表和供应商签字确认。验收的相关费用由成交供应商承担。</w:t>
      </w:r>
    </w:p>
    <w:p w14:paraId="6172B0C6">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4.成交供应商未达到</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的要求，且对采购人造成损失的，由成交供应商承担一切责任，并赔偿所造成的损失。</w:t>
      </w:r>
    </w:p>
    <w:p w14:paraId="5404A474">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由成交供应商组织并通知电力部门按照国家标准及电力行业安全运行的相关要求进行验收，必须经采购人和电力行业部门同时认可才算验收通过。</w:t>
      </w:r>
    </w:p>
    <w:p w14:paraId="054B61D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0"/>
          <w:highlight w:val="none"/>
        </w:rPr>
      </w:pPr>
      <w:bookmarkStart w:id="53" w:name="_Toc344475121"/>
      <w:bookmarkStart w:id="54" w:name="_Toc106030884"/>
      <w:bookmarkStart w:id="55" w:name="_Toc76462329"/>
      <w:r>
        <w:rPr>
          <w:rFonts w:hint="eastAsia" w:ascii="宋体" w:hAnsi="宋体" w:eastAsia="宋体" w:cs="宋体"/>
          <w:b/>
          <w:bCs w:val="0"/>
          <w:color w:val="auto"/>
          <w:sz w:val="24"/>
          <w:szCs w:val="20"/>
          <w:highlight w:val="none"/>
        </w:rPr>
        <w:t>二、质量保证及售后服务</w:t>
      </w:r>
    </w:p>
    <w:p w14:paraId="42E4B562">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（一）设备和材料质量总体要求：</w:t>
      </w:r>
    </w:p>
    <w:p w14:paraId="59E4FF6B">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主要技术数据和性能要详细描述，满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 xml:space="preserve">全部要求。 </w:t>
      </w:r>
    </w:p>
    <w:p w14:paraId="50716BA9">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（二）质保期：</w:t>
      </w:r>
    </w:p>
    <w:p w14:paraId="4C03B94C">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工程质量保修期限：满足重庆市建设工程质量监督总站监制《重庆市建设工程质量保修书》相关要求，竣工验收合格之日起</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年（若供应商有更优惠的质保期，请在响应文件中明确应答）。</w:t>
      </w:r>
    </w:p>
    <w:p w14:paraId="55BFEDD1">
      <w:pPr>
        <w:widowControl/>
        <w:snapToGrid w:val="0"/>
        <w:spacing w:line="400" w:lineRule="exact"/>
        <w:ind w:firstLine="54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保修期内，所有设备和施工质量缺陷的维护及维修（非人为损坏）均为免费。成交供应商应在接到采购人维修通知后</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小时内到现场了解情况，在通知后</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4小时</w:t>
      </w:r>
      <w:r>
        <w:rPr>
          <w:rFonts w:hint="eastAsia" w:ascii="宋体" w:hAnsi="宋体" w:eastAsia="宋体" w:cs="宋体"/>
          <w:color w:val="auto"/>
          <w:sz w:val="24"/>
          <w:szCs w:val="24"/>
          <w:highlight w:val="none"/>
        </w:rPr>
        <w:t>内修复并承担所有费用。维修以电话、电邮、传真方式通知成交单位，成交单位不按本约定按时执行，采购人可安排专业人员进行，所发生的费用在成交供应商预留的质保金中扣除。</w:t>
      </w:r>
    </w:p>
    <w:p w14:paraId="387AADB0">
      <w:pPr>
        <w:keepNext w:val="0"/>
        <w:keepLines w:val="0"/>
        <w:widowControl/>
        <w:numPr>
          <w:ilvl w:val="0"/>
          <w:numId w:val="2"/>
        </w:numPr>
        <w:adjustRightInd/>
        <w:ind w:firstLine="54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保修期内，所有设备维护和施工质量缺陷维修均为现场服务，由此产生的费用均不再收取。</w:t>
      </w:r>
    </w:p>
    <w:p w14:paraId="2CF565F9">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（三）售后服务内容</w:t>
      </w:r>
    </w:p>
    <w:p w14:paraId="740BA78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供应商和厂家在质量保证期内应当为采购人提供以下技术支持服务：</w:t>
      </w:r>
    </w:p>
    <w:p w14:paraId="12874D7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1、质量保证期内服务要求</w:t>
      </w:r>
    </w:p>
    <w:p w14:paraId="5C36595C">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1.1电话咨询</w:t>
      </w:r>
    </w:p>
    <w:p w14:paraId="690A40B4">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成交供应商和厂家应当为用户提供技术援助电话，解答用户在使用中遇到的问题，及时为用户提出解决问题的建议。</w:t>
      </w:r>
    </w:p>
    <w:p w14:paraId="589BB938">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1.2现场响应</w:t>
      </w:r>
    </w:p>
    <w:p w14:paraId="390B7F37">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用户遇到使用及技术问题，电话咨询不能解决的，成交供应商或厂家应在</w:t>
      </w:r>
      <w:r>
        <w:rPr>
          <w:rFonts w:hint="eastAsia" w:ascii="宋体" w:hAnsi="宋体" w:eastAsia="宋体" w:cs="宋体"/>
          <w:color w:val="auto"/>
          <w:sz w:val="24"/>
          <w:szCs w:val="24"/>
          <w:highlight w:val="none"/>
          <w:u w:val="none"/>
        </w:rPr>
        <w:t xml:space="preserve"> 3 </w:t>
      </w:r>
      <w:r>
        <w:rPr>
          <w:rFonts w:hint="eastAsia" w:ascii="宋体" w:hAnsi="宋体" w:eastAsia="宋体" w:cs="宋体"/>
          <w:color w:val="auto"/>
          <w:sz w:val="24"/>
          <w:szCs w:val="24"/>
          <w:highlight w:val="none"/>
        </w:rPr>
        <w:t>小时内采取相应响应措施；无法在</w:t>
      </w:r>
      <w:r>
        <w:rPr>
          <w:rFonts w:hint="eastAsia" w:ascii="宋体" w:hAnsi="宋体" w:eastAsia="宋体" w:cs="宋体"/>
          <w:color w:val="auto"/>
          <w:sz w:val="24"/>
          <w:szCs w:val="24"/>
          <w:highlight w:val="none"/>
          <w:u w:val="none"/>
        </w:rPr>
        <w:t xml:space="preserve"> 3 </w:t>
      </w:r>
      <w:r>
        <w:rPr>
          <w:rFonts w:hint="eastAsia" w:ascii="宋体" w:hAnsi="宋体" w:eastAsia="宋体" w:cs="宋体"/>
          <w:color w:val="auto"/>
          <w:sz w:val="24"/>
          <w:szCs w:val="24"/>
          <w:highlight w:val="none"/>
        </w:rPr>
        <w:t>小时内解决的，应在</w:t>
      </w:r>
      <w:r>
        <w:rPr>
          <w:rFonts w:hint="eastAsia" w:ascii="宋体" w:hAnsi="宋体" w:eastAsia="宋体" w:cs="宋体"/>
          <w:color w:val="auto"/>
          <w:sz w:val="24"/>
          <w:szCs w:val="24"/>
          <w:highlight w:val="none"/>
          <w:u w:val="none"/>
        </w:rPr>
        <w:t xml:space="preserve"> 6 </w:t>
      </w:r>
      <w:r>
        <w:rPr>
          <w:rFonts w:hint="eastAsia" w:ascii="宋体" w:hAnsi="宋体" w:eastAsia="宋体" w:cs="宋体"/>
          <w:color w:val="auto"/>
          <w:sz w:val="24"/>
          <w:szCs w:val="24"/>
          <w:highlight w:val="none"/>
        </w:rPr>
        <w:t>小时内派出专业人员进行技术支持。</w:t>
      </w:r>
    </w:p>
    <w:p w14:paraId="33BE1A93">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1.3技术升级</w:t>
      </w:r>
    </w:p>
    <w:p w14:paraId="7678A2DB">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在质保期内，如果成交供应商和厂家的产品技术升级，成交供应商应及时通知采购人，如采购人有相应要求，成交供应商和厂家应对采购人进行升级服务。</w:t>
      </w:r>
    </w:p>
    <w:p w14:paraId="3477032B">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2、质保期外服务要求</w:t>
      </w:r>
    </w:p>
    <w:p w14:paraId="0C191ED1">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2.1质量保证期过后，成交供应商和厂家应同样提供免费电话咨询服务，并应承诺提供产品上门维护服务。</w:t>
      </w:r>
    </w:p>
    <w:p w14:paraId="5B3154B6">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2.2质量保证期过后，采购人需要继续由原成交供应商和厂家提供售后服务的，成交供应商和厂家应以优惠价格提供售后服务。</w:t>
      </w:r>
    </w:p>
    <w:p w14:paraId="2484F45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（四）故障响应时间要求</w:t>
      </w:r>
    </w:p>
    <w:p w14:paraId="6C46DC6E">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供应商接到使用方产品出现问题的通知后立即作出响应，</w:t>
      </w:r>
      <w:r>
        <w:rPr>
          <w:rFonts w:hint="eastAsia" w:ascii="宋体" w:hAnsi="宋体" w:eastAsia="宋体" w:cs="宋体"/>
          <w:color w:val="auto"/>
          <w:sz w:val="24"/>
          <w:szCs w:val="24"/>
          <w:highlight w:val="none"/>
          <w:u w:val="none"/>
        </w:rPr>
        <w:t xml:space="preserve"> 12 </w:t>
      </w:r>
      <w:r>
        <w:rPr>
          <w:rFonts w:hint="eastAsia" w:ascii="宋体" w:hAnsi="宋体" w:eastAsia="宋体" w:cs="宋体"/>
          <w:color w:val="auto"/>
          <w:sz w:val="24"/>
          <w:szCs w:val="24"/>
          <w:highlight w:val="none"/>
        </w:rPr>
        <w:t>小时内到达现场进行处理。</w:t>
      </w:r>
    </w:p>
    <w:p w14:paraId="3E021E6A">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（五）维修配件</w:t>
      </w:r>
    </w:p>
    <w:p w14:paraId="35D9886E">
      <w:pPr>
        <w:widowControl/>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成交供应商或厂家应提供备品备件，保证用户应急所需。使用的维修零配件应为原厂配件，未经用户同意不得使用非原厂配件。</w:t>
      </w:r>
    </w:p>
    <w:bookmarkEnd w:id="53"/>
    <w:p w14:paraId="135093D5">
      <w:pPr>
        <w:pStyle w:val="5"/>
        <w:numPr>
          <w:ilvl w:val="0"/>
          <w:numId w:val="3"/>
        </w:numPr>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报价要求</w:t>
      </w:r>
      <w:bookmarkEnd w:id="54"/>
      <w:bookmarkEnd w:id="55"/>
    </w:p>
    <w:p w14:paraId="5056BED6">
      <w:pPr>
        <w:snapToGrid w:val="0"/>
        <w:spacing w:line="400" w:lineRule="exact"/>
        <w:ind w:firstLine="480" w:firstLineChars="200"/>
        <w:rPr>
          <w:rFonts w:hint="eastAsia" w:ascii="宋体" w:hAnsi="宋体" w:eastAsia="宋体" w:cs="宋体"/>
          <w:color w:val="auto"/>
          <w:sz w:val="24"/>
          <w:szCs w:val="24"/>
          <w:highlight w:val="none"/>
        </w:rPr>
      </w:pPr>
      <w:bookmarkStart w:id="56" w:name="_Toc267320050"/>
      <w:bookmarkStart w:id="57" w:name="_Toc20576"/>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的投标报价应完成本项目全部工程的投标报价，并以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在工程量清单中提出的单价或总价为依据。</w:t>
      </w:r>
    </w:p>
    <w:p w14:paraId="01C7ADD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报价函中的总报价必须与工程量清单总报价一致。</w:t>
      </w:r>
    </w:p>
    <w:p w14:paraId="12E3CA8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3、本工程将设置最高限价</w:t>
      </w:r>
      <w:r>
        <w:rPr>
          <w:rFonts w:hint="eastAsia" w:ascii="宋体" w:hAnsi="宋体" w:eastAsia="宋体" w:cs="宋体"/>
          <w:color w:val="auto"/>
          <w:sz w:val="24"/>
          <w:szCs w:val="24"/>
          <w:highlight w:val="none"/>
          <w:lang w:val="en-US" w:eastAsia="zh-CN"/>
        </w:rPr>
        <w:t>为：</w:t>
      </w:r>
      <w:r>
        <w:rPr>
          <w:rFonts w:hint="eastAsia" w:ascii="宋体" w:hAnsi="宋体" w:cs="宋体"/>
          <w:color w:val="auto"/>
          <w:kern w:val="0"/>
          <w:sz w:val="24"/>
          <w:szCs w:val="24"/>
          <w:highlight w:val="none"/>
          <w:lang w:val="en-US" w:eastAsia="zh-CN" w:bidi="ar"/>
        </w:rPr>
        <w:t>373909.29</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叁拾柒万叁仟玖佰零玖元贰角玖分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其中，安全文明施工费暂定为：</w:t>
      </w:r>
      <w:r>
        <w:rPr>
          <w:rFonts w:hint="eastAsia" w:ascii="宋体" w:hAnsi="宋体" w:cs="宋体"/>
          <w:color w:val="auto"/>
          <w:sz w:val="24"/>
          <w:szCs w:val="24"/>
          <w:highlight w:val="none"/>
          <w:lang w:val="en-US" w:eastAsia="zh-CN"/>
        </w:rPr>
        <w:t>3343.81</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。投标总价超过此最高限价的投标文件为无效投标。</w:t>
      </w:r>
    </w:p>
    <w:p w14:paraId="21C3D7E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注：（1）采购人在工程量清单中所列出的价格（包括安全文明施工费、暂列金额、暂估价等），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不得修改，否则由评标委员会作否决投标处理。</w:t>
      </w:r>
    </w:p>
    <w:p w14:paraId="6274CF5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次报价为综合单价报价，每项清单综合单价报价不得高于每项清单综合单价最高限价。报价包括但不限于完成本项目所实施内容的人工、材料、机械、管理费、规费、利润、税金、措施项目费、风险费等一切费用等。供应商根据本</w:t>
      </w:r>
      <w:r>
        <w:rPr>
          <w:rFonts w:hint="eastAsia" w:ascii="宋体" w:hAnsi="宋体" w:eastAsia="宋体" w:cs="宋体"/>
          <w:color w:val="auto"/>
          <w:sz w:val="24"/>
          <w:szCs w:val="24"/>
          <w:highlight w:val="none"/>
          <w:lang w:eastAsia="zh-CN"/>
        </w:rPr>
        <w:t>竞采文件</w:t>
      </w:r>
      <w:r>
        <w:rPr>
          <w:rFonts w:hint="eastAsia" w:ascii="宋体" w:hAnsi="宋体" w:eastAsia="宋体" w:cs="宋体"/>
          <w:color w:val="auto"/>
          <w:sz w:val="24"/>
          <w:szCs w:val="24"/>
          <w:highlight w:val="none"/>
        </w:rPr>
        <w:t>、国家有关标准规范结合本项目特点，结合实际工作量、技术含量、难易程度、复杂性、经营决策、企业实力和市场行情等因素，计算费用并承担相应的风险自主报价。因成交供应商自身原因造成漏报、少报皆由其自行承担责任，采购人不再补偿。</w:t>
      </w:r>
      <w:bookmarkEnd w:id="56"/>
    </w:p>
    <w:bookmarkEnd w:id="57"/>
    <w:p w14:paraId="4F029699">
      <w:pPr>
        <w:numPr>
          <w:ilvl w:val="0"/>
          <w:numId w:val="0"/>
        </w:numPr>
        <w:rPr>
          <w:rFonts w:hint="eastAsia"/>
          <w:color w:val="auto"/>
          <w:highlight w:val="none"/>
        </w:rPr>
      </w:pPr>
    </w:p>
    <w:p w14:paraId="7FD8FA05">
      <w:pPr>
        <w:keepNext w:val="0"/>
        <w:keepLines w:val="0"/>
        <w:widowControl/>
        <w:numPr>
          <w:ilvl w:val="0"/>
          <w:numId w:val="0"/>
        </w:numPr>
        <w:adjustRightInd/>
        <w:ind w:firstLine="482" w:firstLineChars="200"/>
        <w:rPr>
          <w:rFonts w:hint="eastAsia" w:ascii="宋体" w:hAnsi="宋体" w:eastAsia="宋体" w:cs="宋体"/>
          <w:b/>
          <w:color w:val="auto"/>
          <w:sz w:val="24"/>
          <w:szCs w:val="20"/>
          <w:highlight w:val="none"/>
        </w:rPr>
      </w:pPr>
      <w:bookmarkStart w:id="58" w:name="_Toc344475122"/>
      <w:bookmarkStart w:id="59" w:name="_Toc106030885"/>
      <w:bookmarkStart w:id="60" w:name="_Toc76462330"/>
      <w:r>
        <w:rPr>
          <w:rFonts w:hint="eastAsia" w:ascii="宋体" w:hAnsi="宋体" w:cs="宋体"/>
          <w:b/>
          <w:color w:val="auto"/>
          <w:sz w:val="24"/>
          <w:szCs w:val="20"/>
          <w:highlight w:val="none"/>
          <w:lang w:val="en-US" w:eastAsia="zh-CN"/>
        </w:rPr>
        <w:t>四</w:t>
      </w:r>
      <w:r>
        <w:rPr>
          <w:rFonts w:hint="eastAsia" w:ascii="宋体" w:hAnsi="宋体" w:eastAsia="宋体" w:cs="宋体"/>
          <w:b/>
          <w:color w:val="auto"/>
          <w:sz w:val="24"/>
          <w:szCs w:val="20"/>
          <w:highlight w:val="none"/>
        </w:rPr>
        <w:t>、付款方式</w:t>
      </w:r>
      <w:bookmarkEnd w:id="58"/>
      <w:bookmarkEnd w:id="59"/>
      <w:bookmarkEnd w:id="60"/>
    </w:p>
    <w:p w14:paraId="686C0A09">
      <w:pPr>
        <w:snapToGrid w:val="0"/>
        <w:spacing w:line="400" w:lineRule="exact"/>
        <w:ind w:firstLine="480" w:firstLineChars="200"/>
        <w:rPr>
          <w:rFonts w:hint="eastAsia" w:ascii="宋体" w:hAnsi="宋体" w:eastAsia="宋体" w:cs="宋体"/>
          <w:b w:val="0"/>
          <w:bCs w:val="0"/>
          <w:color w:val="auto"/>
          <w:sz w:val="24"/>
          <w:szCs w:val="24"/>
          <w:highlight w:val="none"/>
          <w:lang w:val="en-US" w:eastAsia="zh-CN"/>
        </w:rPr>
      </w:pPr>
      <w:bookmarkStart w:id="61" w:name="_Toc825"/>
      <w:bookmarkStart w:id="62" w:name="_Toc106030886"/>
      <w:bookmarkStart w:id="63" w:name="_Toc267320052"/>
      <w:bookmarkStart w:id="64" w:name="_Toc21122"/>
      <w:bookmarkStart w:id="65" w:name="_Toc76462331"/>
      <w:bookmarkStart w:id="66" w:name="_Toc344475124"/>
      <w:r>
        <w:rPr>
          <w:rFonts w:hint="eastAsia" w:ascii="宋体" w:hAnsi="宋体" w:eastAsia="宋体" w:cs="宋体"/>
          <w:color w:val="auto"/>
          <w:sz w:val="24"/>
          <w:szCs w:val="24"/>
          <w:highlight w:val="none"/>
          <w:lang w:val="en-US" w:eastAsia="zh-CN"/>
        </w:rPr>
        <w:t>工程款支付：采购人根据实际工程量支付工程款项；由采购人按照成交供应商单位实际完成的工程量进行验收，竣工验收合格并完成相关手续办理后开具等额增值税专用发票支付至</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lang w:val="en-US" w:eastAsia="zh-CN"/>
        </w:rPr>
        <w:t>金额的</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0%，待审核完成后，付至</w:t>
      </w:r>
      <w:r>
        <w:rPr>
          <w:rFonts w:hint="eastAsia" w:ascii="宋体" w:hAnsi="宋体" w:cs="宋体"/>
          <w:color w:val="auto"/>
          <w:sz w:val="24"/>
          <w:szCs w:val="24"/>
          <w:highlight w:val="none"/>
          <w:lang w:val="en-US" w:eastAsia="zh-CN"/>
        </w:rPr>
        <w:t>审定</w:t>
      </w:r>
      <w:r>
        <w:rPr>
          <w:rFonts w:hint="eastAsia" w:ascii="宋体" w:hAnsi="宋体" w:eastAsia="宋体" w:cs="宋体"/>
          <w:color w:val="auto"/>
          <w:sz w:val="24"/>
          <w:szCs w:val="24"/>
          <w:highlight w:val="none"/>
          <w:lang w:val="en-US" w:eastAsia="zh-CN"/>
        </w:rPr>
        <w:t>金额的97%；余下3%作为本项目质量保证金；质量保修期限满后一次性无息支付。</w:t>
      </w:r>
    </w:p>
    <w:p w14:paraId="24B6C6E1">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、知识产权</w:t>
      </w:r>
    </w:p>
    <w:p w14:paraId="62AD9785">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9E6EB8F">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注：（若涉及软件开发等服务类项目知识产权的，知识产权归采购人所有）</w:t>
      </w:r>
    </w:p>
    <w:p w14:paraId="56C4CD08">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bookmarkStart w:id="67" w:name="_Toc267320053"/>
      <w:bookmarkStart w:id="68" w:name="_Toc12797"/>
      <w:bookmarkStart w:id="69" w:name="_Toc495592651"/>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w:t>
      </w:r>
      <w:bookmarkEnd w:id="67"/>
      <w:bookmarkEnd w:id="68"/>
      <w:bookmarkEnd w:id="69"/>
      <w:r>
        <w:rPr>
          <w:rFonts w:hint="eastAsia" w:ascii="宋体" w:hAnsi="宋体" w:eastAsia="宋体" w:cs="宋体"/>
          <w:b/>
          <w:bCs/>
          <w:color w:val="auto"/>
          <w:sz w:val="24"/>
          <w:szCs w:val="24"/>
          <w:highlight w:val="none"/>
          <w:lang w:val="en-US" w:eastAsia="zh-CN"/>
        </w:rPr>
        <w:t>培训</w:t>
      </w:r>
    </w:p>
    <w:p w14:paraId="6E466091">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成交供应商负责在安装调试及使用期间，免费对采购人选派的维修人员进行技术培训，直至达到采购人的人员能正确使用、检修、维护保养及排除一般故障水平为止。</w:t>
      </w:r>
    </w:p>
    <w:p w14:paraId="7F688109">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转包、分包</w:t>
      </w:r>
    </w:p>
    <w:p w14:paraId="49CFCFEE">
      <w:pPr>
        <w:widowControl/>
        <w:numPr>
          <w:ilvl w:val="0"/>
          <w:numId w:val="0"/>
        </w:numPr>
        <w:snapToGrid w:val="0"/>
        <w:spacing w:line="400" w:lineRule="exact"/>
        <w:ind w:firstLine="54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成交供应商未经采购人书面同意，不得将本工程项目转包、分包给第三方，如成交供应商将本工程项目转包、分包给第三方的，采购人有权解除合同，因此给采购人造成的损失应由成交供应商承担赔偿责任。</w:t>
      </w:r>
      <w:bookmarkEnd w:id="61"/>
      <w:bookmarkEnd w:id="62"/>
      <w:bookmarkEnd w:id="63"/>
      <w:bookmarkEnd w:id="64"/>
      <w:bookmarkEnd w:id="65"/>
      <w:bookmarkEnd w:id="66"/>
    </w:p>
    <w:p w14:paraId="000A529A">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w:t>
      </w:r>
      <w:bookmarkStart w:id="70" w:name="_Toc344475125"/>
      <w:r>
        <w:rPr>
          <w:rFonts w:hint="eastAsia" w:ascii="宋体" w:hAnsi="宋体" w:eastAsia="宋体" w:cs="宋体"/>
          <w:b/>
          <w:bCs/>
          <w:color w:val="auto"/>
          <w:sz w:val="24"/>
          <w:szCs w:val="24"/>
          <w:highlight w:val="none"/>
          <w:lang w:val="en-US" w:eastAsia="zh-CN"/>
        </w:rPr>
        <w:t>其他</w:t>
      </w:r>
    </w:p>
    <w:bookmarkEnd w:id="70"/>
    <w:p w14:paraId="748A1C21">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其他未尽事宜由供需双方在采购合同中详细约定。</w:t>
      </w:r>
    </w:p>
    <w:p w14:paraId="19408A47">
      <w:pPr>
        <w:snapToGrid w:val="0"/>
        <w:spacing w:line="400" w:lineRule="exact"/>
        <w:ind w:firstLine="540"/>
        <w:rPr>
          <w:rFonts w:hint="eastAsia" w:ascii="宋体" w:hAnsi="宋体" w:eastAsia="宋体" w:cs="宋体"/>
          <w:color w:val="auto"/>
          <w:sz w:val="24"/>
          <w:szCs w:val="24"/>
          <w:highlight w:val="none"/>
        </w:rPr>
      </w:pPr>
    </w:p>
    <w:p w14:paraId="10B40D91">
      <w:pPr>
        <w:pStyle w:val="5"/>
        <w:pageBreakBefore/>
        <w:numPr>
          <w:ilvl w:val="0"/>
          <w:numId w:val="4"/>
        </w:numPr>
        <w:spacing w:before="0" w:after="0" w:line="360" w:lineRule="auto"/>
        <w:jc w:val="center"/>
        <w:rPr>
          <w:rFonts w:hint="eastAsia" w:ascii="宋体" w:hAnsi="宋体" w:eastAsia="宋体" w:cs="宋体"/>
          <w:b w:val="0"/>
          <w:color w:val="auto"/>
          <w:sz w:val="36"/>
          <w:szCs w:val="30"/>
          <w:highlight w:val="none"/>
        </w:rPr>
      </w:pPr>
      <w:bookmarkStart w:id="71" w:name="_Toc106030892"/>
      <w:bookmarkStart w:id="72" w:name="_Toc102227313"/>
      <w:bookmarkStart w:id="73" w:name="_Toc76462337"/>
      <w:r>
        <w:rPr>
          <w:rFonts w:hint="eastAsia" w:ascii="宋体" w:hAnsi="宋体" w:eastAsia="宋体" w:cs="宋体"/>
          <w:b w:val="0"/>
          <w:color w:val="auto"/>
          <w:sz w:val="36"/>
          <w:szCs w:val="30"/>
          <w:highlight w:val="none"/>
        </w:rPr>
        <w:t>资格审查及符合性审查</w:t>
      </w:r>
      <w:r>
        <w:rPr>
          <w:rFonts w:hint="eastAsia" w:ascii="宋体" w:hAnsi="宋体" w:eastAsia="宋体" w:cs="宋体"/>
          <w:b w:val="0"/>
          <w:color w:val="auto"/>
          <w:sz w:val="36"/>
          <w:szCs w:val="30"/>
          <w:highlight w:val="none"/>
          <w:lang w:eastAsia="zh-CN"/>
        </w:rPr>
        <w:t>、评标方法、评标标准、无效响应和采购终止</w:t>
      </w:r>
    </w:p>
    <w:p w14:paraId="0A1B8390">
      <w:pPr>
        <w:snapToGrid w:val="0"/>
        <w:spacing w:line="400" w:lineRule="exact"/>
        <w:ind w:firstLine="480" w:firstLineChars="200"/>
        <w:rPr>
          <w:rFonts w:hint="eastAsia" w:ascii="宋体" w:hAnsi="宋体" w:eastAsia="宋体" w:cs="宋体"/>
          <w:color w:val="auto"/>
          <w:sz w:val="24"/>
          <w:szCs w:val="24"/>
          <w:highlight w:val="none"/>
          <w:lang w:val="en-US" w:eastAsia="zh-CN"/>
        </w:rPr>
      </w:pPr>
      <w:bookmarkStart w:id="74" w:name="_Toc29755"/>
      <w:bookmarkStart w:id="75" w:name="_Toc20541"/>
      <w:bookmarkStart w:id="76" w:name="_Toc28360"/>
      <w:bookmarkStart w:id="77" w:name="_Toc14564"/>
      <w:bookmarkStart w:id="78" w:name="_Toc12641"/>
      <w:bookmarkStart w:id="79" w:name="_Toc4071"/>
      <w:bookmarkStart w:id="80" w:name="_Toc8983"/>
      <w:bookmarkStart w:id="81" w:name="_Toc21859"/>
      <w:bookmarkStart w:id="82" w:name="_Toc75793518"/>
      <w:bookmarkStart w:id="83" w:name="_Toc25971"/>
      <w:bookmarkStart w:id="84" w:name="_Toc26309"/>
      <w:bookmarkStart w:id="85" w:name="_Toc28903"/>
      <w:bookmarkStart w:id="86" w:name="_Toc1497"/>
      <w:bookmarkStart w:id="87" w:name="_Toc27081"/>
      <w:bookmarkStart w:id="88" w:name="_Toc27866"/>
      <w:bookmarkStart w:id="89" w:name="_Toc7433"/>
      <w:bookmarkStart w:id="90" w:name="_Toc18167"/>
      <w:bookmarkStart w:id="91" w:name="_Toc22001"/>
      <w:bookmarkStart w:id="92" w:name="_Toc15323"/>
      <w:bookmarkStart w:id="93" w:name="_Toc12216"/>
      <w:bookmarkStart w:id="94" w:name="_Toc20477"/>
      <w:bookmarkStart w:id="95" w:name="_Toc30765"/>
      <w:bookmarkStart w:id="96" w:name="_Toc26246"/>
      <w:bookmarkStart w:id="97" w:name="_Toc2476"/>
      <w:bookmarkStart w:id="98" w:name="_Toc27050"/>
      <w:bookmarkStart w:id="99" w:name="_Toc982"/>
      <w:bookmarkStart w:id="100" w:name="_Toc29359"/>
      <w:bookmarkStart w:id="101" w:name="_Toc16151"/>
      <w:bookmarkStart w:id="102" w:name="_Toc20314"/>
      <w:bookmarkStart w:id="103" w:name="_Toc14200"/>
      <w:bookmarkStart w:id="104" w:name="_Toc6694"/>
      <w:bookmarkStart w:id="105" w:name="_Toc5714"/>
      <w:bookmarkStart w:id="106" w:name="_Toc89"/>
      <w:bookmarkStart w:id="107" w:name="_Toc20246"/>
      <w:bookmarkStart w:id="108" w:name="_Toc31139"/>
      <w:bookmarkStart w:id="109" w:name="_Toc26897"/>
      <w:bookmarkStart w:id="110" w:name="_Toc27956"/>
      <w:bookmarkStart w:id="111" w:name="_Toc31107"/>
      <w:bookmarkStart w:id="112" w:name="_Toc9436"/>
      <w:bookmarkStart w:id="113" w:name="_Toc17646"/>
      <w:bookmarkStart w:id="114" w:name="_Toc106030394"/>
      <w:bookmarkStart w:id="115" w:name="_Toc10081"/>
      <w:bookmarkStart w:id="116" w:name="_Toc7781"/>
      <w:bookmarkStart w:id="117" w:name="_Toc16699"/>
      <w:bookmarkStart w:id="118" w:name="_Toc20559"/>
      <w:bookmarkStart w:id="119" w:name="_Toc31353"/>
      <w:bookmarkStart w:id="120" w:name="_Toc2322"/>
      <w:bookmarkStart w:id="121" w:name="_Toc10603"/>
      <w:bookmarkStart w:id="122" w:name="_Toc133"/>
      <w:bookmarkStart w:id="123" w:name="_Toc15106"/>
      <w:bookmarkStart w:id="124" w:name="_Toc28552"/>
      <w:bookmarkStart w:id="125" w:name="_Toc28653"/>
      <w:bookmarkStart w:id="126" w:name="_Toc12993"/>
      <w:bookmarkStart w:id="127" w:name="_Toc14727"/>
      <w:bookmarkStart w:id="128" w:name="_Toc28769"/>
      <w:bookmarkStart w:id="129" w:name="_Toc12146"/>
      <w:bookmarkStart w:id="130" w:name="_Toc20619"/>
      <w:bookmarkStart w:id="131" w:name="_Toc11797"/>
      <w:bookmarkStart w:id="132" w:name="_Toc13011"/>
      <w:bookmarkStart w:id="133" w:name="_Toc18758"/>
      <w:r>
        <w:rPr>
          <w:rFonts w:hint="eastAsia" w:ascii="宋体" w:hAnsi="宋体" w:eastAsia="宋体" w:cs="宋体"/>
          <w:color w:val="auto"/>
          <w:sz w:val="24"/>
          <w:szCs w:val="24"/>
          <w:highlight w:val="none"/>
          <w:lang w:val="en-US" w:eastAsia="zh-CN"/>
        </w:rPr>
        <w:t>一、资格审查</w:t>
      </w:r>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hint="eastAsia" w:ascii="宋体" w:hAnsi="宋体" w:eastAsia="宋体" w:cs="宋体"/>
          <w:color w:val="auto"/>
          <w:sz w:val="24"/>
          <w:szCs w:val="24"/>
          <w:highlight w:val="none"/>
          <w:lang w:val="en-US" w:eastAsia="zh-CN"/>
        </w:rPr>
        <w:t>及符合性审查</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89F4C3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对各供应商的资格条件、响应文件的有效性、完整性和响应程度进行审查。若未通过资格</w:t>
      </w:r>
      <w:r>
        <w:rPr>
          <w:rFonts w:hint="eastAsia" w:ascii="宋体" w:hAnsi="宋体" w:eastAsia="宋体" w:cs="宋体"/>
          <w:color w:val="auto"/>
          <w:sz w:val="24"/>
          <w:szCs w:val="24"/>
          <w:highlight w:val="none"/>
          <w:lang w:eastAsia="zh-CN"/>
        </w:rPr>
        <w:t>性</w:t>
      </w:r>
      <w:r>
        <w:rPr>
          <w:rFonts w:hint="eastAsia" w:ascii="宋体" w:hAnsi="宋体" w:eastAsia="宋体" w:cs="宋体"/>
          <w:color w:val="auto"/>
          <w:sz w:val="24"/>
          <w:szCs w:val="24"/>
          <w:highlight w:val="none"/>
        </w:rPr>
        <w:t>审查及符合性审查的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，不进入评审环节。</w:t>
      </w:r>
    </w:p>
    <w:p w14:paraId="46859EB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（一）资格性审查。依据法律法规和竞争性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文件的规定，对响应文件中的资格证明进行审查，以确定供应商是否具备</w:t>
      </w:r>
      <w:r>
        <w:rPr>
          <w:rFonts w:hint="eastAsia" w:ascii="宋体" w:hAnsi="宋体" w:eastAsia="宋体" w:cs="宋体"/>
          <w:color w:val="auto"/>
          <w:sz w:val="24"/>
          <w:szCs w:val="24"/>
          <w:highlight w:val="none"/>
          <w:lang w:eastAsia="zh-CN"/>
        </w:rPr>
        <w:t>合格供应商</w:t>
      </w:r>
      <w:r>
        <w:rPr>
          <w:rFonts w:hint="eastAsia" w:ascii="宋体" w:hAnsi="宋体" w:eastAsia="宋体" w:cs="宋体"/>
          <w:color w:val="auto"/>
          <w:sz w:val="24"/>
          <w:szCs w:val="24"/>
          <w:highlight w:val="none"/>
        </w:rPr>
        <w:t>资格。资格性审查资料表如下：</w:t>
      </w:r>
    </w:p>
    <w:tbl>
      <w:tblPr>
        <w:tblStyle w:val="19"/>
        <w:tblpPr w:leftFromText="180" w:rightFromText="180" w:vertAnchor="text" w:horzAnchor="page" w:tblpX="1456" w:tblpY="251"/>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94"/>
        <w:gridCol w:w="2454"/>
        <w:gridCol w:w="5407"/>
      </w:tblGrid>
      <w:tr w14:paraId="6614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99" w:type="dxa"/>
            <w:noWrap w:val="0"/>
            <w:vAlign w:val="center"/>
          </w:tcPr>
          <w:p w14:paraId="0DFED01D">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序号</w:t>
            </w:r>
          </w:p>
        </w:tc>
        <w:tc>
          <w:tcPr>
            <w:tcW w:w="3148" w:type="dxa"/>
            <w:gridSpan w:val="2"/>
            <w:noWrap w:val="0"/>
            <w:vAlign w:val="center"/>
          </w:tcPr>
          <w:p w14:paraId="7097B50E">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检查因素</w:t>
            </w:r>
          </w:p>
        </w:tc>
        <w:tc>
          <w:tcPr>
            <w:tcW w:w="5407" w:type="dxa"/>
            <w:noWrap w:val="0"/>
            <w:vAlign w:val="center"/>
          </w:tcPr>
          <w:p w14:paraId="2D0E3D20">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检查内容</w:t>
            </w:r>
          </w:p>
        </w:tc>
      </w:tr>
      <w:tr w14:paraId="78D2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99" w:type="dxa"/>
            <w:vMerge w:val="restart"/>
            <w:noWrap w:val="0"/>
            <w:vAlign w:val="center"/>
          </w:tcPr>
          <w:p w14:paraId="08D24D01">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w:t>
            </w:r>
          </w:p>
        </w:tc>
        <w:tc>
          <w:tcPr>
            <w:tcW w:w="694" w:type="dxa"/>
            <w:vMerge w:val="restart"/>
            <w:noWrap w:val="0"/>
            <w:vAlign w:val="center"/>
          </w:tcPr>
          <w:p w14:paraId="79CF979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供应商应符合的基本资格条件</w:t>
            </w:r>
          </w:p>
        </w:tc>
        <w:tc>
          <w:tcPr>
            <w:tcW w:w="2454" w:type="dxa"/>
            <w:noWrap w:val="0"/>
            <w:vAlign w:val="center"/>
          </w:tcPr>
          <w:p w14:paraId="7FEC08FA">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1.具有独立承担民事责任的能力</w:t>
            </w:r>
          </w:p>
        </w:tc>
        <w:tc>
          <w:tcPr>
            <w:tcW w:w="5407" w:type="dxa"/>
            <w:noWrap w:val="0"/>
            <w:vAlign w:val="center"/>
          </w:tcPr>
          <w:p w14:paraId="51380A1A">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法人营业执照（副本）或事业单位法人证书（副本）或个体工商户营业执照或有效的自然人身份证明或社会团体法人登记证书（提供复印件）。</w:t>
            </w:r>
          </w:p>
          <w:p w14:paraId="57777BEE">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法定代表人身份证明和法定代表人授权代表委托书。</w:t>
            </w:r>
          </w:p>
        </w:tc>
      </w:tr>
      <w:tr w14:paraId="70F5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99" w:type="dxa"/>
            <w:vMerge w:val="continue"/>
            <w:noWrap w:val="0"/>
            <w:vAlign w:val="center"/>
          </w:tcPr>
          <w:p w14:paraId="47C9825C">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14:paraId="02195E5E">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14:paraId="769DCF40">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2.</w:t>
            </w:r>
            <w:r>
              <w:rPr>
                <w:rFonts w:hint="eastAsia" w:asciiTheme="minorEastAsia" w:hAnsiTheme="minorEastAsia" w:eastAsiaTheme="minorEastAsia" w:cstheme="minorEastAsia"/>
                <w:sz w:val="21"/>
                <w:szCs w:val="21"/>
                <w:highlight w:val="none"/>
              </w:rPr>
              <w:t>具有良好的商业信誉和健全的财务会计制度</w:t>
            </w:r>
          </w:p>
        </w:tc>
        <w:tc>
          <w:tcPr>
            <w:tcW w:w="5407" w:type="dxa"/>
            <w:vMerge w:val="restart"/>
            <w:noWrap w:val="0"/>
            <w:vAlign w:val="center"/>
          </w:tcPr>
          <w:p w14:paraId="33CF8F01">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提供“基本资格条件承诺函”（格式详见第七篇）</w:t>
            </w:r>
            <w:r>
              <w:rPr>
                <w:rFonts w:hint="eastAsia" w:asciiTheme="minorEastAsia" w:hAnsiTheme="minorEastAsia" w:eastAsiaTheme="minorEastAsia" w:cstheme="minorEastAsia"/>
                <w:sz w:val="21"/>
                <w:szCs w:val="21"/>
                <w:highlight w:val="none"/>
                <w:lang w:val="en-US" w:eastAsia="zh-CN"/>
              </w:rPr>
              <w:t>。</w:t>
            </w:r>
          </w:p>
        </w:tc>
      </w:tr>
      <w:tr w14:paraId="0FC9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99" w:type="dxa"/>
            <w:vMerge w:val="continue"/>
            <w:noWrap w:val="0"/>
            <w:vAlign w:val="center"/>
          </w:tcPr>
          <w:p w14:paraId="79F39501">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14:paraId="10CEDCB1">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14:paraId="22223CCA">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3.具有履行合同所必需的设备和专业技术能力</w:t>
            </w:r>
          </w:p>
        </w:tc>
        <w:tc>
          <w:tcPr>
            <w:tcW w:w="5407" w:type="dxa"/>
            <w:vMerge w:val="continue"/>
            <w:noWrap w:val="0"/>
            <w:vAlign w:val="center"/>
          </w:tcPr>
          <w:p w14:paraId="024B5EBC">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r>
      <w:tr w14:paraId="51C8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99" w:type="dxa"/>
            <w:vMerge w:val="continue"/>
            <w:noWrap w:val="0"/>
            <w:vAlign w:val="center"/>
          </w:tcPr>
          <w:p w14:paraId="6F32CB92">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14:paraId="1150B0BD">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14:paraId="2F65A5B7">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4.有依法缴纳税收和社会保障金的良好记录</w:t>
            </w:r>
          </w:p>
        </w:tc>
        <w:tc>
          <w:tcPr>
            <w:tcW w:w="5407" w:type="dxa"/>
            <w:vMerge w:val="continue"/>
            <w:noWrap w:val="0"/>
            <w:vAlign w:val="center"/>
          </w:tcPr>
          <w:p w14:paraId="6B4B7EDA">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r>
      <w:tr w14:paraId="796F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9" w:type="dxa"/>
            <w:vMerge w:val="continue"/>
            <w:noWrap w:val="0"/>
            <w:vAlign w:val="center"/>
          </w:tcPr>
          <w:p w14:paraId="54619164">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14:paraId="0E8CFCCF">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14:paraId="77C275BA">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5.参加政府采购活动前三年内，在经营活动中没有重大违法记录（注</w:t>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EQ \o\ac(○,1)</w:instrTex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t>）</w:t>
            </w:r>
          </w:p>
        </w:tc>
        <w:tc>
          <w:tcPr>
            <w:tcW w:w="5407" w:type="dxa"/>
            <w:vMerge w:val="continue"/>
            <w:noWrap w:val="0"/>
            <w:vAlign w:val="center"/>
          </w:tcPr>
          <w:p w14:paraId="730E2642">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b/>
                <w:sz w:val="21"/>
                <w:szCs w:val="21"/>
                <w:highlight w:val="none"/>
              </w:rPr>
            </w:pPr>
          </w:p>
        </w:tc>
      </w:tr>
      <w:tr w14:paraId="7CAE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9" w:type="dxa"/>
            <w:vMerge w:val="continue"/>
            <w:noWrap w:val="0"/>
            <w:vAlign w:val="center"/>
          </w:tcPr>
          <w:p w14:paraId="2E3B05C1">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14:paraId="0AB445F6">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2454" w:type="dxa"/>
            <w:noWrap w:val="0"/>
            <w:vAlign w:val="center"/>
          </w:tcPr>
          <w:p w14:paraId="271B9960">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6.法律、行政法规规定的其他条件</w:t>
            </w:r>
          </w:p>
        </w:tc>
        <w:tc>
          <w:tcPr>
            <w:tcW w:w="5407" w:type="dxa"/>
            <w:noWrap w:val="0"/>
            <w:vAlign w:val="center"/>
          </w:tcPr>
          <w:p w14:paraId="0A653340">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p>
        </w:tc>
      </w:tr>
      <w:tr w14:paraId="4AA7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99" w:type="dxa"/>
            <w:noWrap w:val="0"/>
            <w:vAlign w:val="center"/>
          </w:tcPr>
          <w:p w14:paraId="7941A10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二</w:t>
            </w:r>
            <w:r>
              <w:rPr>
                <w:rFonts w:hint="eastAsia" w:asciiTheme="minorEastAsia" w:hAnsiTheme="minorEastAsia" w:eastAsiaTheme="minorEastAsia" w:cstheme="minorEastAsia"/>
                <w:sz w:val="21"/>
                <w:szCs w:val="21"/>
                <w:highlight w:val="none"/>
              </w:rPr>
              <w:t>）</w:t>
            </w:r>
          </w:p>
        </w:tc>
        <w:tc>
          <w:tcPr>
            <w:tcW w:w="3148" w:type="dxa"/>
            <w:gridSpan w:val="2"/>
            <w:noWrap w:val="0"/>
            <w:vAlign w:val="center"/>
          </w:tcPr>
          <w:p w14:paraId="6ADE6B52">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本项目的特定资格要求</w:t>
            </w:r>
          </w:p>
        </w:tc>
        <w:tc>
          <w:tcPr>
            <w:tcW w:w="5407" w:type="dxa"/>
            <w:noWrap w:val="0"/>
            <w:vAlign w:val="center"/>
          </w:tcPr>
          <w:p w14:paraId="4795D117">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按第一篇“三、</w:t>
            </w:r>
            <w:r>
              <w:rPr>
                <w:rFonts w:hint="eastAsia" w:asciiTheme="minorEastAsia" w:hAnsiTheme="minorEastAsia" w:eastAsiaTheme="minorEastAsia" w:cstheme="minorEastAsia"/>
                <w:sz w:val="21"/>
                <w:szCs w:val="21"/>
                <w:highlight w:val="none"/>
                <w:lang w:eastAsia="zh-CN"/>
              </w:rPr>
              <w:t>供应商资格条件（二）特定资格条件</w:t>
            </w:r>
            <w:r>
              <w:rPr>
                <w:rFonts w:hint="eastAsia" w:asciiTheme="minorEastAsia" w:hAnsiTheme="minorEastAsia" w:eastAsiaTheme="minorEastAsia" w:cstheme="minorEastAsia"/>
                <w:sz w:val="21"/>
                <w:szCs w:val="21"/>
                <w:highlight w:val="none"/>
              </w:rPr>
              <w:t>”的要求提交（如果有）。</w:t>
            </w:r>
          </w:p>
        </w:tc>
      </w:tr>
      <w:tr w14:paraId="2BCB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99" w:type="dxa"/>
            <w:noWrap w:val="0"/>
            <w:vAlign w:val="center"/>
          </w:tcPr>
          <w:p w14:paraId="325BB63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三</w:t>
            </w:r>
            <w:r>
              <w:rPr>
                <w:rFonts w:hint="eastAsia" w:asciiTheme="minorEastAsia" w:hAnsiTheme="minorEastAsia" w:eastAsiaTheme="minorEastAsia" w:cstheme="minorEastAsia"/>
                <w:sz w:val="21"/>
                <w:szCs w:val="21"/>
                <w:highlight w:val="none"/>
              </w:rPr>
              <w:t>）</w:t>
            </w:r>
          </w:p>
        </w:tc>
        <w:tc>
          <w:tcPr>
            <w:tcW w:w="3148" w:type="dxa"/>
            <w:gridSpan w:val="2"/>
            <w:noWrap w:val="0"/>
            <w:vAlign w:val="center"/>
          </w:tcPr>
          <w:p w14:paraId="5E49BA09">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rPr>
              <w:t>保证金</w:t>
            </w:r>
          </w:p>
        </w:tc>
        <w:tc>
          <w:tcPr>
            <w:tcW w:w="5407" w:type="dxa"/>
            <w:noWrap w:val="0"/>
            <w:vAlign w:val="center"/>
          </w:tcPr>
          <w:p w14:paraId="5691297D">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按照</w:t>
            </w:r>
            <w:r>
              <w:rPr>
                <w:rFonts w:hint="eastAsia" w:asciiTheme="minorEastAsia" w:hAnsiTheme="minorEastAsia" w:eastAsiaTheme="minorEastAsia" w:cstheme="minorEastAsia"/>
                <w:sz w:val="21"/>
                <w:szCs w:val="21"/>
                <w:highlight w:val="none"/>
                <w:lang w:eastAsia="zh-CN"/>
              </w:rPr>
              <w:t>竞争性比选文件</w:t>
            </w:r>
            <w:r>
              <w:rPr>
                <w:rFonts w:hint="eastAsia" w:asciiTheme="minorEastAsia" w:hAnsiTheme="minorEastAsia" w:eastAsiaTheme="minorEastAsia" w:cstheme="minorEastAsia"/>
                <w:sz w:val="21"/>
                <w:szCs w:val="21"/>
                <w:highlight w:val="none"/>
              </w:rPr>
              <w:t>要求足额交纳所投包的</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rPr>
              <w:t>保证金。</w:t>
            </w:r>
          </w:p>
        </w:tc>
      </w:tr>
    </w:tbl>
    <w:p w14:paraId="125D77F1">
      <w:pPr>
        <w:snapToGrid w:val="0"/>
        <w:spacing w:line="400" w:lineRule="exact"/>
        <w:rPr>
          <w:rFonts w:hint="eastAsia" w:ascii="宋体" w:hAnsi="宋体" w:eastAsia="宋体" w:cs="宋体"/>
          <w:color w:val="auto"/>
          <w:sz w:val="24"/>
          <w:szCs w:val="24"/>
          <w:highlight w:val="none"/>
          <w:lang w:val="en-US" w:eastAsia="zh-CN"/>
        </w:rPr>
      </w:pPr>
    </w:p>
    <w:p w14:paraId="264873A0">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\o\ac(○,1)</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递交截止日期前通过“信用中国”网站（www.creditchina.gov.cn）、"中国政府采购网"（www.ccgp.gov.cn）等渠道查询信用记录。</w:t>
      </w:r>
    </w:p>
    <w:p w14:paraId="76E0769B">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\o\ac(○,2)</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以联合体形式参与比选的，联合比选协议中应确定主办方（主体），代表联合体进行比选和澄清。联合体各方均应满足供应商资格要求（详见“第一篇”）。</w:t>
      </w:r>
    </w:p>
    <w:p w14:paraId="318047D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（二）符合性审查</w:t>
      </w:r>
    </w:p>
    <w:tbl>
      <w:tblPr>
        <w:tblStyle w:val="19"/>
        <w:tblpPr w:leftFromText="180" w:rightFromText="180" w:vertAnchor="text" w:horzAnchor="page" w:tblpX="1435" w:tblpY="763"/>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950"/>
        <w:gridCol w:w="1550"/>
        <w:gridCol w:w="6285"/>
      </w:tblGrid>
      <w:tr w14:paraId="72E8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69" w:type="dxa"/>
            <w:noWrap w:val="0"/>
            <w:vAlign w:val="center"/>
          </w:tcPr>
          <w:p w14:paraId="7E130800">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序号</w:t>
            </w:r>
          </w:p>
        </w:tc>
        <w:tc>
          <w:tcPr>
            <w:tcW w:w="2500" w:type="dxa"/>
            <w:gridSpan w:val="2"/>
            <w:noWrap w:val="0"/>
            <w:vAlign w:val="center"/>
          </w:tcPr>
          <w:p w14:paraId="34804CF0">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评审因素</w:t>
            </w:r>
          </w:p>
        </w:tc>
        <w:tc>
          <w:tcPr>
            <w:tcW w:w="6285" w:type="dxa"/>
            <w:noWrap w:val="0"/>
            <w:vAlign w:val="center"/>
          </w:tcPr>
          <w:p w14:paraId="196875B9">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评审标准</w:t>
            </w:r>
          </w:p>
        </w:tc>
      </w:tr>
      <w:tr w14:paraId="3A7F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69" w:type="dxa"/>
            <w:vMerge w:val="restart"/>
            <w:noWrap w:val="0"/>
            <w:vAlign w:val="center"/>
          </w:tcPr>
          <w:p w14:paraId="500241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p>
        </w:tc>
        <w:tc>
          <w:tcPr>
            <w:tcW w:w="950" w:type="dxa"/>
            <w:vMerge w:val="restart"/>
            <w:noWrap w:val="0"/>
            <w:vAlign w:val="center"/>
          </w:tcPr>
          <w:p w14:paraId="51C6E5E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有效性审查</w:t>
            </w:r>
          </w:p>
        </w:tc>
        <w:tc>
          <w:tcPr>
            <w:tcW w:w="1550" w:type="dxa"/>
            <w:noWrap w:val="0"/>
            <w:vAlign w:val="center"/>
          </w:tcPr>
          <w:p w14:paraId="6DBBEB8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签署或盖章</w:t>
            </w:r>
          </w:p>
        </w:tc>
        <w:tc>
          <w:tcPr>
            <w:tcW w:w="6285" w:type="dxa"/>
            <w:noWrap w:val="0"/>
            <w:vAlign w:val="center"/>
          </w:tcPr>
          <w:p w14:paraId="75506B1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上法定代表人（或其授权代表）或自然人（</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为自然人）的签署或盖章齐全。</w:t>
            </w:r>
          </w:p>
        </w:tc>
      </w:tr>
      <w:tr w14:paraId="6047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69" w:type="dxa"/>
            <w:vMerge w:val="continue"/>
            <w:noWrap w:val="0"/>
            <w:vAlign w:val="center"/>
          </w:tcPr>
          <w:p w14:paraId="7509455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950" w:type="dxa"/>
            <w:vMerge w:val="continue"/>
            <w:noWrap w:val="0"/>
            <w:vAlign w:val="center"/>
          </w:tcPr>
          <w:p w14:paraId="057238F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1550" w:type="dxa"/>
            <w:noWrap w:val="0"/>
            <w:vAlign w:val="center"/>
          </w:tcPr>
          <w:p w14:paraId="58261DE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法定代表人身份证明及授权委托书</w:t>
            </w:r>
          </w:p>
        </w:tc>
        <w:tc>
          <w:tcPr>
            <w:tcW w:w="6285" w:type="dxa"/>
            <w:noWrap w:val="0"/>
            <w:vAlign w:val="center"/>
          </w:tcPr>
          <w:p w14:paraId="3C5B4AD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法定代表人身份证明及授权委托书有效，符合</w:t>
            </w:r>
            <w:r>
              <w:rPr>
                <w:rFonts w:hint="eastAsia" w:asciiTheme="minorEastAsia" w:hAnsiTheme="minorEastAsia" w:eastAsiaTheme="minorEastAsia" w:cstheme="minorEastAsia"/>
                <w:sz w:val="21"/>
                <w:szCs w:val="21"/>
                <w:highlight w:val="none"/>
                <w:lang w:eastAsia="zh-CN"/>
              </w:rPr>
              <w:t>竞争性比选文件</w:t>
            </w:r>
            <w:r>
              <w:rPr>
                <w:rFonts w:hint="eastAsia" w:asciiTheme="minorEastAsia" w:hAnsiTheme="minorEastAsia" w:eastAsiaTheme="minorEastAsia" w:cstheme="minorEastAsia"/>
                <w:sz w:val="21"/>
                <w:szCs w:val="21"/>
                <w:highlight w:val="none"/>
              </w:rPr>
              <w:t>规定的格式，签署或盖章齐全。</w:t>
            </w:r>
          </w:p>
        </w:tc>
      </w:tr>
      <w:tr w14:paraId="5E96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69" w:type="dxa"/>
            <w:vMerge w:val="continue"/>
            <w:noWrap w:val="0"/>
            <w:vAlign w:val="center"/>
          </w:tcPr>
          <w:p w14:paraId="5AA9CCF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950" w:type="dxa"/>
            <w:vMerge w:val="continue"/>
            <w:noWrap w:val="0"/>
            <w:vAlign w:val="center"/>
          </w:tcPr>
          <w:p w14:paraId="0148E01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1550" w:type="dxa"/>
            <w:noWrap w:val="0"/>
            <w:vAlign w:val="center"/>
          </w:tcPr>
          <w:p w14:paraId="5605447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响应方案</w:t>
            </w:r>
          </w:p>
        </w:tc>
        <w:tc>
          <w:tcPr>
            <w:tcW w:w="6285" w:type="dxa"/>
            <w:noWrap w:val="0"/>
            <w:vAlign w:val="center"/>
          </w:tcPr>
          <w:p w14:paraId="05A36CC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每个包只能有一个响应方案。</w:t>
            </w:r>
          </w:p>
        </w:tc>
      </w:tr>
      <w:tr w14:paraId="6CDA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69" w:type="dxa"/>
            <w:vMerge w:val="continue"/>
            <w:noWrap w:val="0"/>
            <w:vAlign w:val="center"/>
          </w:tcPr>
          <w:p w14:paraId="33EB7A8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950" w:type="dxa"/>
            <w:vMerge w:val="continue"/>
            <w:noWrap w:val="0"/>
            <w:vAlign w:val="center"/>
          </w:tcPr>
          <w:p w14:paraId="56B30CC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1550" w:type="dxa"/>
            <w:noWrap w:val="0"/>
            <w:vAlign w:val="center"/>
          </w:tcPr>
          <w:p w14:paraId="345318B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报价唯一</w:t>
            </w:r>
          </w:p>
        </w:tc>
        <w:tc>
          <w:tcPr>
            <w:tcW w:w="6285" w:type="dxa"/>
            <w:noWrap w:val="0"/>
            <w:vAlign w:val="center"/>
          </w:tcPr>
          <w:p w14:paraId="52068BB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只能在预算金额和最高限价内报价，</w:t>
            </w:r>
            <w:r>
              <w:rPr>
                <w:rFonts w:hint="eastAsia" w:asciiTheme="minorEastAsia" w:hAnsiTheme="minorEastAsia" w:eastAsiaTheme="minorEastAsia" w:cstheme="minorEastAsia"/>
                <w:sz w:val="21"/>
                <w:szCs w:val="21"/>
                <w:highlight w:val="none"/>
              </w:rPr>
              <w:t>只能有一个有效报价，不得提交选择性报价。</w:t>
            </w:r>
          </w:p>
        </w:tc>
      </w:tr>
      <w:tr w14:paraId="1368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noWrap w:val="0"/>
            <w:vAlign w:val="center"/>
          </w:tcPr>
          <w:p w14:paraId="32856A9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w:t>
            </w:r>
          </w:p>
        </w:tc>
        <w:tc>
          <w:tcPr>
            <w:tcW w:w="950" w:type="dxa"/>
            <w:noWrap w:val="0"/>
            <w:vAlign w:val="center"/>
          </w:tcPr>
          <w:p w14:paraId="51EAB8A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完整性审查</w:t>
            </w:r>
          </w:p>
        </w:tc>
        <w:tc>
          <w:tcPr>
            <w:tcW w:w="1550" w:type="dxa"/>
            <w:noWrap w:val="0"/>
            <w:vAlign w:val="center"/>
          </w:tcPr>
          <w:p w14:paraId="6812382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响应文件份数</w:t>
            </w:r>
          </w:p>
        </w:tc>
        <w:tc>
          <w:tcPr>
            <w:tcW w:w="6285" w:type="dxa"/>
            <w:noWrap w:val="0"/>
            <w:vAlign w:val="center"/>
          </w:tcPr>
          <w:p w14:paraId="1185B69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符合竞争性比选文件要求。</w:t>
            </w:r>
          </w:p>
        </w:tc>
      </w:tr>
      <w:tr w14:paraId="6F8E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69" w:type="dxa"/>
            <w:vMerge w:val="restart"/>
            <w:noWrap w:val="0"/>
            <w:vAlign w:val="center"/>
          </w:tcPr>
          <w:p w14:paraId="5DEECAC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3</w:t>
            </w:r>
          </w:p>
        </w:tc>
        <w:tc>
          <w:tcPr>
            <w:tcW w:w="950" w:type="dxa"/>
            <w:vMerge w:val="restart"/>
            <w:noWrap w:val="0"/>
            <w:vAlign w:val="center"/>
          </w:tcPr>
          <w:p w14:paraId="409942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响应程度审查</w:t>
            </w:r>
          </w:p>
        </w:tc>
        <w:tc>
          <w:tcPr>
            <w:tcW w:w="1550" w:type="dxa"/>
            <w:noWrap w:val="0"/>
            <w:vAlign w:val="center"/>
          </w:tcPr>
          <w:p w14:paraId="13EBD67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eastAsia="zh-CN"/>
              </w:rPr>
              <w:t>响应文件内容</w:t>
            </w:r>
          </w:p>
        </w:tc>
        <w:tc>
          <w:tcPr>
            <w:tcW w:w="6285" w:type="dxa"/>
            <w:noWrap w:val="0"/>
            <w:vAlign w:val="center"/>
          </w:tcPr>
          <w:p w14:paraId="2E35BB3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kern w:val="0"/>
                <w:sz w:val="21"/>
                <w:szCs w:val="21"/>
                <w:highlight w:val="none"/>
                <w:lang w:val="en-US" w:eastAsia="zh-CN" w:bidi="ar-SA"/>
              </w:rPr>
              <w:t>对竞争性比选文件第二篇、第三篇内容进行实质性响应。</w:t>
            </w:r>
          </w:p>
        </w:tc>
      </w:tr>
      <w:tr w14:paraId="1BB0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69" w:type="dxa"/>
            <w:vMerge w:val="continue"/>
            <w:noWrap w:val="0"/>
            <w:vAlign w:val="center"/>
          </w:tcPr>
          <w:p w14:paraId="56EC7DF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950" w:type="dxa"/>
            <w:vMerge w:val="continue"/>
            <w:noWrap w:val="0"/>
            <w:vAlign w:val="center"/>
          </w:tcPr>
          <w:p w14:paraId="02D7E01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1550" w:type="dxa"/>
            <w:noWrap w:val="0"/>
            <w:vAlign w:val="center"/>
          </w:tcPr>
          <w:p w14:paraId="4F65320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rPr>
              <w:t>有效期</w:t>
            </w:r>
          </w:p>
        </w:tc>
        <w:tc>
          <w:tcPr>
            <w:tcW w:w="6285" w:type="dxa"/>
            <w:noWrap w:val="0"/>
            <w:vAlign w:val="center"/>
          </w:tcPr>
          <w:p w14:paraId="2AB0B98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kern w:val="0"/>
                <w:sz w:val="21"/>
                <w:szCs w:val="21"/>
                <w:highlight w:val="none"/>
              </w:rPr>
              <w:t>响应文件及有关承诺文件有效期为提交响应文件截止时间起90天。</w:t>
            </w:r>
          </w:p>
        </w:tc>
      </w:tr>
    </w:tbl>
    <w:p w14:paraId="06FCF3E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评审委员会应当对符合资格的供应商的响应文件进行符合性审查，以确定其是否满足竞争性比选文件的实质性要求。符合性审查资料表如下：</w:t>
      </w:r>
    </w:p>
    <w:p w14:paraId="7BEA4E43">
      <w:pPr>
        <w:snapToGrid w:val="0"/>
        <w:spacing w:line="400" w:lineRule="exact"/>
        <w:ind w:firstLine="480" w:firstLineChars="200"/>
        <w:rPr>
          <w:rFonts w:hint="eastAsia" w:ascii="宋体" w:hAnsi="宋体" w:eastAsia="宋体" w:cs="宋体"/>
          <w:color w:val="auto"/>
          <w:sz w:val="24"/>
          <w:szCs w:val="24"/>
          <w:highlight w:val="none"/>
          <w:lang w:val="en-US" w:eastAsia="zh-CN"/>
        </w:rPr>
      </w:pPr>
      <w:bookmarkStart w:id="134" w:name="_Toc25012"/>
      <w:bookmarkStart w:id="135" w:name="_Toc21624"/>
      <w:bookmarkStart w:id="136" w:name="_Toc10852"/>
      <w:bookmarkStart w:id="137" w:name="_Toc19089"/>
      <w:bookmarkStart w:id="138" w:name="_Toc22624"/>
      <w:bookmarkStart w:id="139" w:name="_Toc20910"/>
      <w:bookmarkStart w:id="140" w:name="_Toc30416"/>
      <w:bookmarkStart w:id="141" w:name="_Toc31190"/>
      <w:bookmarkStart w:id="142" w:name="_Toc11883"/>
      <w:bookmarkStart w:id="143" w:name="_Toc4801"/>
      <w:bookmarkStart w:id="144" w:name="_Toc31878"/>
      <w:bookmarkStart w:id="145" w:name="_Toc4079"/>
      <w:bookmarkStart w:id="146" w:name="_Toc10106"/>
      <w:bookmarkStart w:id="147" w:name="_Toc8072"/>
      <w:bookmarkStart w:id="148" w:name="_Toc16752"/>
      <w:bookmarkStart w:id="149" w:name="_Toc18068"/>
      <w:bookmarkStart w:id="150" w:name="_Toc12919"/>
      <w:bookmarkStart w:id="151" w:name="_Toc5778"/>
      <w:bookmarkStart w:id="152" w:name="_Toc1548"/>
      <w:bookmarkStart w:id="153" w:name="_Toc13410"/>
      <w:bookmarkStart w:id="154" w:name="_Toc23806"/>
      <w:bookmarkStart w:id="155" w:name="_Toc10700"/>
      <w:bookmarkStart w:id="156" w:name="_Toc6375"/>
      <w:bookmarkStart w:id="157" w:name="_Toc12741"/>
      <w:bookmarkStart w:id="158" w:name="_Toc22996"/>
      <w:bookmarkStart w:id="159" w:name="_Toc7580"/>
      <w:bookmarkStart w:id="160" w:name="_Toc32150"/>
      <w:bookmarkStart w:id="161" w:name="_Toc947"/>
      <w:bookmarkStart w:id="162" w:name="_Toc31167"/>
      <w:bookmarkStart w:id="163" w:name="_Toc29568"/>
      <w:bookmarkStart w:id="164" w:name="_Toc9942"/>
      <w:bookmarkStart w:id="165" w:name="_Toc26647"/>
      <w:bookmarkStart w:id="166" w:name="_Toc23217"/>
      <w:bookmarkStart w:id="167" w:name="_Toc2171"/>
      <w:bookmarkStart w:id="168" w:name="_Toc24383"/>
      <w:bookmarkStart w:id="169" w:name="_Toc4317"/>
      <w:bookmarkStart w:id="170" w:name="_Toc28209"/>
      <w:bookmarkStart w:id="171" w:name="_Toc26276"/>
      <w:bookmarkStart w:id="172" w:name="_Toc7160"/>
      <w:bookmarkStart w:id="173" w:name="_Toc7788"/>
      <w:bookmarkStart w:id="174" w:name="_Toc6519"/>
      <w:bookmarkStart w:id="175" w:name="_Toc9245"/>
      <w:bookmarkStart w:id="176" w:name="_Toc13060"/>
      <w:bookmarkStart w:id="177" w:name="_Toc1088"/>
      <w:bookmarkStart w:id="178" w:name="_Toc19905"/>
      <w:r>
        <w:rPr>
          <w:rFonts w:hint="eastAsia" w:ascii="宋体" w:hAnsi="宋体" w:eastAsia="宋体" w:cs="宋体"/>
          <w:color w:val="auto"/>
          <w:sz w:val="24"/>
          <w:szCs w:val="24"/>
          <w:highlight w:val="none"/>
          <w:lang w:val="en-US" w:eastAsia="zh-CN"/>
        </w:rPr>
        <w:t>二、评标方法</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FB01D19">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本项目采用综合评分法进行评标。</w:t>
      </w:r>
    </w:p>
    <w:p w14:paraId="23D25CFF">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法，是指响应文件满足竞争性比选文件全部实质性要求且按照评审因素的量化指标评审得分最高的供应商为成交候选人的评标方法。供应商总得分为价格、商务、技术（质量）等评定因素分别按照相应权重值计算分项得分后相加，满分为100分。</w:t>
      </w:r>
    </w:p>
    <w:p w14:paraId="7560CEA5">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澄清有关问题。对响应文件中含义不明确、同类问题表述不一致或者有明显文字和计算错误的内容，评审委员会可以书面形式（应当由评审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7DBE7C4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响应报价由低到高的顺序排列推荐。评审得分且响应报价相同的，按照技术（质量）指标优劣顺序排列推荐。以上都相同的，按商务条款的优劣顺序排列推荐。（注：技术（质量）部分得分为0分的供应商将失去成为成交供应商候选人的资格）</w:t>
      </w:r>
    </w:p>
    <w:p w14:paraId="546296D0">
      <w:pPr>
        <w:snapToGrid w:val="0"/>
        <w:spacing w:line="400" w:lineRule="exact"/>
        <w:ind w:firstLine="480" w:firstLineChars="200"/>
        <w:rPr>
          <w:rFonts w:hint="eastAsia" w:ascii="宋体" w:hAnsi="宋体" w:eastAsia="宋体" w:cs="宋体"/>
          <w:color w:val="auto"/>
          <w:sz w:val="24"/>
          <w:szCs w:val="24"/>
          <w:highlight w:val="none"/>
          <w:lang w:val="en-US" w:eastAsia="zh-CN"/>
        </w:rPr>
      </w:pPr>
      <w:bookmarkStart w:id="179" w:name="_Toc31680"/>
      <w:bookmarkStart w:id="180" w:name="_Toc10397"/>
      <w:bookmarkStart w:id="181" w:name="_Toc413"/>
      <w:bookmarkStart w:id="182" w:name="_Toc7083"/>
      <w:bookmarkStart w:id="183" w:name="_Toc473"/>
      <w:bookmarkStart w:id="184" w:name="_Toc3413"/>
      <w:bookmarkStart w:id="185" w:name="_Toc21864"/>
      <w:bookmarkStart w:id="186" w:name="_Toc4429"/>
      <w:bookmarkStart w:id="187" w:name="_Toc27662"/>
      <w:bookmarkStart w:id="188" w:name="_Toc21452"/>
      <w:bookmarkStart w:id="189" w:name="_Toc2991"/>
      <w:bookmarkStart w:id="190" w:name="_Toc28992"/>
      <w:bookmarkStart w:id="191" w:name="_Toc22636"/>
      <w:bookmarkStart w:id="192" w:name="_Toc23783"/>
      <w:bookmarkStart w:id="193" w:name="_Toc10886"/>
      <w:bookmarkStart w:id="194" w:name="_Toc16899"/>
      <w:bookmarkStart w:id="195" w:name="_Toc20622"/>
      <w:bookmarkStart w:id="196" w:name="_Toc6071"/>
      <w:bookmarkStart w:id="197" w:name="_Toc15252"/>
      <w:bookmarkStart w:id="198" w:name="_Toc13975"/>
      <w:bookmarkStart w:id="199" w:name="_Toc11288"/>
      <w:bookmarkStart w:id="200" w:name="_Toc22537"/>
      <w:bookmarkStart w:id="201" w:name="_Toc26832"/>
      <w:bookmarkStart w:id="202" w:name="_Toc3113"/>
      <w:bookmarkStart w:id="203" w:name="_Toc13754"/>
      <w:bookmarkStart w:id="204" w:name="_Toc5562"/>
      <w:bookmarkStart w:id="205" w:name="_Toc4304"/>
      <w:bookmarkStart w:id="206" w:name="_Toc32416"/>
      <w:bookmarkStart w:id="207" w:name="_Toc10260"/>
      <w:bookmarkStart w:id="208" w:name="_Toc12787"/>
      <w:bookmarkStart w:id="209" w:name="_Toc28941"/>
      <w:bookmarkStart w:id="210" w:name="_Toc23613"/>
      <w:bookmarkStart w:id="211" w:name="_Toc1480"/>
      <w:bookmarkStart w:id="212" w:name="_Toc1307"/>
      <w:bookmarkStart w:id="213" w:name="_Toc24344"/>
      <w:bookmarkStart w:id="214" w:name="_Toc15896"/>
      <w:bookmarkStart w:id="215" w:name="_Toc13516"/>
      <w:bookmarkStart w:id="216" w:name="_Toc9435"/>
      <w:bookmarkStart w:id="217" w:name="_Toc25316"/>
      <w:bookmarkStart w:id="218" w:name="_Toc12726"/>
      <w:bookmarkStart w:id="219" w:name="_Toc11630"/>
      <w:bookmarkStart w:id="220" w:name="_Toc10207"/>
      <w:bookmarkStart w:id="221" w:name="_Toc10980"/>
      <w:bookmarkStart w:id="222" w:name="_Toc16486"/>
      <w:bookmarkStart w:id="223" w:name="_Toc10024"/>
      <w:r>
        <w:rPr>
          <w:rFonts w:hint="eastAsia" w:ascii="宋体" w:hAnsi="宋体" w:eastAsia="宋体" w:cs="宋体"/>
          <w:color w:val="auto"/>
          <w:sz w:val="24"/>
          <w:szCs w:val="24"/>
          <w:highlight w:val="none"/>
          <w:lang w:val="en-US" w:eastAsia="zh-CN"/>
        </w:rPr>
        <w:t>三、评标标准</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tbl>
      <w:tblPr>
        <w:tblStyle w:val="1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290"/>
        <w:gridCol w:w="765"/>
        <w:gridCol w:w="4890"/>
        <w:gridCol w:w="1572"/>
      </w:tblGrid>
      <w:tr w14:paraId="193B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7" w:type="dxa"/>
            <w:noWrap w:val="0"/>
            <w:vAlign w:val="center"/>
          </w:tcPr>
          <w:p w14:paraId="32D183EA">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1290" w:type="dxa"/>
            <w:noWrap w:val="0"/>
            <w:vAlign w:val="center"/>
          </w:tcPr>
          <w:p w14:paraId="22CEDD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评分因素</w:t>
            </w:r>
          </w:p>
          <w:p w14:paraId="64479CB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及权重</w:t>
            </w:r>
          </w:p>
        </w:tc>
        <w:tc>
          <w:tcPr>
            <w:tcW w:w="765" w:type="dxa"/>
            <w:noWrap w:val="0"/>
            <w:vAlign w:val="center"/>
          </w:tcPr>
          <w:p w14:paraId="3B7AA728">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分值</w:t>
            </w:r>
          </w:p>
        </w:tc>
        <w:tc>
          <w:tcPr>
            <w:tcW w:w="4890" w:type="dxa"/>
            <w:noWrap w:val="0"/>
            <w:vAlign w:val="center"/>
          </w:tcPr>
          <w:p w14:paraId="00734F58">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评分标准</w:t>
            </w:r>
          </w:p>
        </w:tc>
        <w:tc>
          <w:tcPr>
            <w:tcW w:w="1572" w:type="dxa"/>
            <w:noWrap w:val="0"/>
            <w:vAlign w:val="center"/>
          </w:tcPr>
          <w:p w14:paraId="647EFA8A">
            <w:pPr>
              <w:pageBreakBefore w:val="0"/>
              <w:widowControl w:val="0"/>
              <w:kinsoku/>
              <w:topLinePunct w:val="0"/>
              <w:bidi w:val="0"/>
              <w:spacing w:before="0" w:beforeLines="0" w:beforeAutospacing="0" w:after="0" w:afterLines="0" w:afterAutospacing="0" w:line="240" w:lineRule="auto"/>
              <w:ind w:left="0" w:leftChars="0" w:firstLine="0" w:firstLineChars="0"/>
              <w:jc w:val="center"/>
              <w:rPr>
                <w:rFonts w:hint="eastAsia" w:asciiTheme="minorEastAsia" w:hAnsiTheme="minorEastAsia" w:eastAsiaTheme="minorEastAsia" w:cstheme="minorEastAsia"/>
                <w:b/>
                <w:kern w:val="2"/>
                <w:sz w:val="21"/>
                <w:szCs w:val="21"/>
                <w:highlight w:val="none"/>
                <w:lang w:val="en-US" w:eastAsia="zh-CN" w:bidi="ar-SA"/>
              </w:rPr>
            </w:pPr>
            <w:r>
              <w:rPr>
                <w:rFonts w:hint="eastAsia" w:asciiTheme="minorEastAsia" w:hAnsiTheme="minorEastAsia" w:eastAsiaTheme="minorEastAsia" w:cstheme="minorEastAsia"/>
                <w:b/>
                <w:kern w:val="2"/>
                <w:sz w:val="21"/>
                <w:szCs w:val="21"/>
                <w:highlight w:val="none"/>
                <w:lang w:val="en-US" w:eastAsia="zh-CN" w:bidi="ar-SA"/>
              </w:rPr>
              <w:t>说明</w:t>
            </w:r>
          </w:p>
        </w:tc>
      </w:tr>
      <w:tr w14:paraId="0C47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667" w:type="dxa"/>
            <w:noWrap w:val="0"/>
            <w:vAlign w:val="center"/>
          </w:tcPr>
          <w:p w14:paraId="59770F74">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290" w:type="dxa"/>
            <w:noWrap w:val="0"/>
            <w:vAlign w:val="center"/>
          </w:tcPr>
          <w:p w14:paraId="550C0D6F">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响应报价</w:t>
            </w:r>
          </w:p>
          <w:p w14:paraId="0445D301">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w:t>
            </w:r>
          </w:p>
        </w:tc>
        <w:tc>
          <w:tcPr>
            <w:tcW w:w="765" w:type="dxa"/>
            <w:noWrap w:val="0"/>
            <w:vAlign w:val="center"/>
          </w:tcPr>
          <w:p w14:paraId="11AA4B1A">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30</w:t>
            </w:r>
          </w:p>
        </w:tc>
        <w:tc>
          <w:tcPr>
            <w:tcW w:w="4890" w:type="dxa"/>
            <w:noWrap w:val="0"/>
            <w:vAlign w:val="center"/>
          </w:tcPr>
          <w:p w14:paraId="16C9B4E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有效的</w:t>
            </w:r>
            <w:r>
              <w:rPr>
                <w:rFonts w:hint="eastAsia" w:asciiTheme="minorEastAsia" w:hAnsiTheme="minorEastAsia" w:eastAsiaTheme="minorEastAsia" w:cstheme="minorEastAsia"/>
                <w:sz w:val="21"/>
                <w:szCs w:val="21"/>
                <w:highlight w:val="none"/>
                <w:lang w:eastAsia="zh-CN"/>
              </w:rPr>
              <w:t>响应报价</w:t>
            </w:r>
            <w:r>
              <w:rPr>
                <w:rFonts w:hint="eastAsia" w:asciiTheme="minorEastAsia" w:hAnsiTheme="minorEastAsia" w:eastAsiaTheme="minorEastAsia" w:cstheme="minorEastAsia"/>
                <w:sz w:val="21"/>
                <w:szCs w:val="21"/>
                <w:highlight w:val="none"/>
              </w:rPr>
              <w:t>中的最低价为评标基准价，其价格分为满分。其他</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的价格分统一按照下列公式计算：</w:t>
            </w:r>
          </w:p>
          <w:p w14:paraId="77E8FD0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sz w:val="21"/>
                <w:szCs w:val="21"/>
                <w:highlight w:val="none"/>
                <w:lang w:eastAsia="zh-CN"/>
              </w:rPr>
              <w:t>响应报价</w:t>
            </w:r>
            <w:r>
              <w:rPr>
                <w:rFonts w:hint="eastAsia" w:asciiTheme="minorEastAsia" w:hAnsiTheme="minorEastAsia" w:eastAsiaTheme="minorEastAsia" w:cstheme="minorEastAsia"/>
                <w:sz w:val="21"/>
                <w:szCs w:val="21"/>
                <w:highlight w:val="none"/>
              </w:rPr>
              <w:t>得分＝（评标基准价/</w:t>
            </w:r>
            <w:r>
              <w:rPr>
                <w:rFonts w:hint="eastAsia" w:asciiTheme="minorEastAsia" w:hAnsiTheme="minorEastAsia" w:eastAsiaTheme="minorEastAsia" w:cstheme="minorEastAsia"/>
                <w:sz w:val="21"/>
                <w:szCs w:val="21"/>
                <w:highlight w:val="none"/>
                <w:lang w:eastAsia="zh-CN"/>
              </w:rPr>
              <w:t>响应报价</w:t>
            </w:r>
            <w:r>
              <w:rPr>
                <w:rFonts w:hint="eastAsia" w:asciiTheme="minorEastAsia" w:hAnsiTheme="minorEastAsia" w:eastAsiaTheme="minorEastAsia" w:cstheme="minorEastAsia"/>
                <w:sz w:val="21"/>
                <w:szCs w:val="21"/>
                <w:highlight w:val="none"/>
              </w:rPr>
              <w:t>）×价格权重×100。</w:t>
            </w:r>
          </w:p>
        </w:tc>
        <w:tc>
          <w:tcPr>
            <w:tcW w:w="1572" w:type="dxa"/>
            <w:noWrap w:val="0"/>
            <w:vAlign w:val="center"/>
          </w:tcPr>
          <w:p w14:paraId="7E0DA894">
            <w:pPr>
              <w:pageBreakBefore w:val="0"/>
              <w:widowControl w:val="0"/>
              <w:kinsoku/>
              <w:topLinePunct w:val="0"/>
              <w:bidi w:val="0"/>
              <w:spacing w:line="240" w:lineRule="auto"/>
              <w:ind w:left="-38" w:firstLine="0" w:firstLineChars="0"/>
              <w:jc w:val="both"/>
              <w:rPr>
                <w:rFonts w:hint="eastAsia" w:asciiTheme="minorEastAsia" w:hAnsiTheme="minorEastAsia" w:eastAsiaTheme="minorEastAsia" w:cstheme="minorEastAsia"/>
                <w:sz w:val="21"/>
                <w:szCs w:val="21"/>
                <w:highlight w:val="none"/>
              </w:rPr>
            </w:pPr>
          </w:p>
        </w:tc>
      </w:tr>
      <w:tr w14:paraId="23CC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667" w:type="dxa"/>
            <w:vMerge w:val="restart"/>
            <w:noWrap w:val="0"/>
            <w:vAlign w:val="center"/>
          </w:tcPr>
          <w:p w14:paraId="14D0FB8B">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290" w:type="dxa"/>
            <w:vMerge w:val="restart"/>
            <w:noWrap w:val="0"/>
            <w:vAlign w:val="center"/>
          </w:tcPr>
          <w:p w14:paraId="6D5916B6">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技术部分（</w:t>
            </w:r>
            <w:r>
              <w:rPr>
                <w:rFonts w:hint="eastAsia" w:asciiTheme="minorEastAsia" w:hAnsiTheme="minorEastAsia" w:eastAsiaTheme="minorEastAsia" w:cstheme="minorEastAsia"/>
                <w:sz w:val="21"/>
                <w:szCs w:val="21"/>
                <w:highlight w:val="none"/>
                <w:lang w:val="en-US" w:eastAsia="zh-CN"/>
              </w:rPr>
              <w:t>60</w:t>
            </w:r>
            <w:r>
              <w:rPr>
                <w:rFonts w:hint="eastAsia" w:asciiTheme="minorEastAsia" w:hAnsiTheme="minorEastAsia" w:eastAsiaTheme="minorEastAsia" w:cstheme="minorEastAsia"/>
                <w:sz w:val="21"/>
                <w:szCs w:val="21"/>
                <w:highlight w:val="none"/>
              </w:rPr>
              <w:t>%）</w:t>
            </w:r>
          </w:p>
        </w:tc>
        <w:tc>
          <w:tcPr>
            <w:tcW w:w="765" w:type="dxa"/>
            <w:vMerge w:val="restart"/>
            <w:noWrap w:val="0"/>
            <w:vAlign w:val="center"/>
          </w:tcPr>
          <w:p w14:paraId="6A19AFD9">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w:t>
            </w:r>
          </w:p>
        </w:tc>
        <w:tc>
          <w:tcPr>
            <w:tcW w:w="4890" w:type="dxa"/>
            <w:noWrap w:val="0"/>
            <w:vAlign w:val="center"/>
          </w:tcPr>
          <w:p w14:paraId="2BF94D4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1.施工方案（20分）</w:t>
            </w:r>
          </w:p>
          <w:p w14:paraId="02E23E3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根据本项目的实际情况，提供施工方案，包含但不限于施工方法、施工配置情况（人员、设备）、施工技术措施等。</w:t>
            </w:r>
          </w:p>
          <w:p w14:paraId="19E0E98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施工方案详实、具体、可行为优得20分；</w:t>
            </w:r>
          </w:p>
          <w:p w14:paraId="6387AF8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②</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施工方案较详实、具体、可行为良得10分；</w:t>
            </w:r>
          </w:p>
          <w:p w14:paraId="349FA48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③</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施工方案不够详实、具体，但具有一定可行性为一般得5分；</w:t>
            </w:r>
          </w:p>
          <w:p w14:paraId="1ED99F6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④</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供应商提供的施工方案不具备可操作性或未提供得0分。</w:t>
            </w:r>
          </w:p>
        </w:tc>
        <w:tc>
          <w:tcPr>
            <w:tcW w:w="1572" w:type="dxa"/>
            <w:vMerge w:val="restart"/>
            <w:noWrap w:val="0"/>
            <w:vAlign w:val="center"/>
          </w:tcPr>
          <w:p w14:paraId="7C6C9064">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eastAsia="zh-CN"/>
              </w:rPr>
              <w:t>技术</w:t>
            </w:r>
            <w:r>
              <w:rPr>
                <w:rFonts w:hint="eastAsia" w:asciiTheme="minorEastAsia" w:hAnsiTheme="minorEastAsia" w:eastAsiaTheme="minorEastAsia" w:cstheme="minorEastAsia"/>
                <w:color w:val="auto"/>
                <w:sz w:val="21"/>
                <w:szCs w:val="21"/>
                <w:highlight w:val="none"/>
                <w:lang w:val="en-US" w:eastAsia="zh-CN"/>
              </w:rPr>
              <w:t>服务方案</w:t>
            </w:r>
            <w:r>
              <w:rPr>
                <w:rFonts w:hint="eastAsia" w:asciiTheme="minorEastAsia" w:hAnsiTheme="minorEastAsia" w:eastAsiaTheme="minorEastAsia" w:cstheme="minorEastAsia"/>
                <w:color w:val="auto"/>
                <w:sz w:val="21"/>
                <w:szCs w:val="21"/>
                <w:highlight w:val="none"/>
              </w:rPr>
              <w:t>进行独立评审打分。</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的得分取所有</w:t>
            </w:r>
            <w:r>
              <w:rPr>
                <w:rFonts w:hint="eastAsia" w:asciiTheme="minorEastAsia" w:hAnsiTheme="minorEastAsia" w:eastAsiaTheme="minorEastAsia" w:cstheme="minorEastAsia"/>
                <w:color w:val="auto"/>
                <w:sz w:val="21"/>
                <w:szCs w:val="21"/>
                <w:highlight w:val="none"/>
                <w:lang w:val="en-US" w:eastAsia="zh-CN"/>
              </w:rPr>
              <w:t>评审委员会</w:t>
            </w:r>
            <w:r>
              <w:rPr>
                <w:rFonts w:hint="eastAsia" w:asciiTheme="minorEastAsia" w:hAnsiTheme="minorEastAsia" w:eastAsiaTheme="minorEastAsia" w:cstheme="minorEastAsia"/>
                <w:color w:val="auto"/>
                <w:sz w:val="21"/>
                <w:szCs w:val="21"/>
                <w:highlight w:val="none"/>
              </w:rPr>
              <w:t>成员打分的算术平均值。</w:t>
            </w:r>
          </w:p>
        </w:tc>
      </w:tr>
      <w:tr w14:paraId="1E2E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667" w:type="dxa"/>
            <w:vMerge w:val="continue"/>
            <w:noWrap w:val="0"/>
            <w:vAlign w:val="center"/>
          </w:tcPr>
          <w:p w14:paraId="021FB7B2">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1290" w:type="dxa"/>
            <w:vMerge w:val="continue"/>
            <w:noWrap w:val="0"/>
            <w:vAlign w:val="center"/>
          </w:tcPr>
          <w:p w14:paraId="245AA0AF">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765" w:type="dxa"/>
            <w:vMerge w:val="continue"/>
            <w:noWrap w:val="0"/>
            <w:vAlign w:val="center"/>
          </w:tcPr>
          <w:p w14:paraId="3E50B170">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4890" w:type="dxa"/>
            <w:noWrap w:val="0"/>
            <w:vAlign w:val="center"/>
          </w:tcPr>
          <w:p w14:paraId="7B1AAD9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2.质量保证措施（10分）</w:t>
            </w:r>
          </w:p>
          <w:p w14:paraId="1CAFC25E">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供应商提供的质量保证措施是否健全有效，硬性措施是否切实可行。保证措施是否具有针对性。</w:t>
            </w:r>
          </w:p>
          <w:p w14:paraId="6746B80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①</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质量保证措施详实、具体、可行为优得10分；</w:t>
            </w:r>
          </w:p>
          <w:p w14:paraId="613B936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②</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质量保证措施较详实、具体、可行为良得5分；</w:t>
            </w:r>
          </w:p>
          <w:p w14:paraId="25DB0F2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③</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质量保证措施不够详实、具体，但具有一定可行性为一般得3分；</w:t>
            </w:r>
          </w:p>
          <w:p w14:paraId="7C4D577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④</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供应商提供的质量保证措施不具备可行性、简单马虎或未提供得0分。</w:t>
            </w:r>
          </w:p>
        </w:tc>
        <w:tc>
          <w:tcPr>
            <w:tcW w:w="1572" w:type="dxa"/>
            <w:vMerge w:val="continue"/>
            <w:noWrap w:val="0"/>
            <w:vAlign w:val="center"/>
          </w:tcPr>
          <w:p w14:paraId="1E1703AA">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r>
      <w:tr w14:paraId="4D2A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667" w:type="dxa"/>
            <w:vMerge w:val="continue"/>
            <w:noWrap w:val="0"/>
            <w:vAlign w:val="center"/>
          </w:tcPr>
          <w:p w14:paraId="71695041">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1290" w:type="dxa"/>
            <w:vMerge w:val="continue"/>
            <w:noWrap w:val="0"/>
            <w:vAlign w:val="center"/>
          </w:tcPr>
          <w:p w14:paraId="18FF0600">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765" w:type="dxa"/>
            <w:vMerge w:val="continue"/>
            <w:noWrap w:val="0"/>
            <w:vAlign w:val="center"/>
          </w:tcPr>
          <w:p w14:paraId="4A4D6BE8">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4890" w:type="dxa"/>
            <w:noWrap w:val="0"/>
            <w:vAlign w:val="center"/>
          </w:tcPr>
          <w:p w14:paraId="3BB55F0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3.安全管理体系（20分）</w:t>
            </w:r>
          </w:p>
          <w:p w14:paraId="7BEC3DA5">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供应商提供的安全管理体系是否健全有效，施工安全专项方案及安全管理保证措施是否具有针对性，文明施工措施是否得当等。</w:t>
            </w:r>
          </w:p>
          <w:p w14:paraId="5395BAE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①</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安全管理体系详实、具体、可行为优得20分；</w:t>
            </w:r>
          </w:p>
          <w:p w14:paraId="4A8F87E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②</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安全管理体系较详实、具体、可行为良得10分；</w:t>
            </w:r>
          </w:p>
          <w:p w14:paraId="053A822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③</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安全管理体系不够详实、具体，但具有一定可行性为一般得5分；</w:t>
            </w:r>
          </w:p>
          <w:p w14:paraId="59C197D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④</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供应商提供的安全管理体系不具备可行性、简单马虎或未提供得0分。</w:t>
            </w:r>
          </w:p>
        </w:tc>
        <w:tc>
          <w:tcPr>
            <w:tcW w:w="1572" w:type="dxa"/>
            <w:vMerge w:val="continue"/>
            <w:noWrap w:val="0"/>
            <w:vAlign w:val="center"/>
          </w:tcPr>
          <w:p w14:paraId="7CCED777">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r>
      <w:tr w14:paraId="4F89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7" w:type="dxa"/>
            <w:vMerge w:val="continue"/>
            <w:noWrap w:val="0"/>
            <w:vAlign w:val="center"/>
          </w:tcPr>
          <w:p w14:paraId="77D0DE7E">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1290" w:type="dxa"/>
            <w:vMerge w:val="continue"/>
            <w:noWrap w:val="0"/>
            <w:vAlign w:val="center"/>
          </w:tcPr>
          <w:p w14:paraId="5319E9D8">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765" w:type="dxa"/>
            <w:vMerge w:val="continue"/>
            <w:noWrap w:val="0"/>
            <w:vAlign w:val="center"/>
          </w:tcPr>
          <w:p w14:paraId="42C64DF2">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4890" w:type="dxa"/>
            <w:noWrap w:val="0"/>
            <w:vAlign w:val="center"/>
          </w:tcPr>
          <w:p w14:paraId="108C1BE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4.进度计划（10分）</w:t>
            </w:r>
          </w:p>
          <w:p w14:paraId="6C16A06F">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根据本项目的实际情况，提供施工进度计划安排，进度计划安排需满足项目进度要求，实现进度计划安排的保证措施可行，在确保质量、提高工效等方面能发挥作用。</w:t>
            </w:r>
          </w:p>
          <w:p w14:paraId="183D15C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①</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进度计划安排合理，在确保质量、提高工效等方面能发挥很好作用的为优得10分；</w:t>
            </w:r>
          </w:p>
          <w:p w14:paraId="02144C6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②</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进度计划安排较合理，在确保质量、提高工效等方面能发挥作用的为良得5分；</w:t>
            </w:r>
          </w:p>
          <w:p w14:paraId="5772173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③</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进度计划安排不够合理，但在确保质量、提高工效等方面能发挥一些作用的为一般得3分；</w:t>
            </w:r>
          </w:p>
          <w:p w14:paraId="3FCFD24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④</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供应商提供的进度计划安排不合理、不具备可操作性或未提供得0分。</w:t>
            </w:r>
          </w:p>
        </w:tc>
        <w:tc>
          <w:tcPr>
            <w:tcW w:w="1572" w:type="dxa"/>
            <w:vMerge w:val="continue"/>
            <w:noWrap w:val="0"/>
            <w:vAlign w:val="center"/>
          </w:tcPr>
          <w:p w14:paraId="0C4BAC0F">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r>
      <w:tr w14:paraId="3886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67" w:type="dxa"/>
            <w:noWrap w:val="0"/>
            <w:vAlign w:val="center"/>
          </w:tcPr>
          <w:p w14:paraId="105757CF">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3</w:t>
            </w:r>
          </w:p>
        </w:tc>
        <w:tc>
          <w:tcPr>
            <w:tcW w:w="1290" w:type="dxa"/>
            <w:noWrap w:val="0"/>
            <w:vAlign w:val="center"/>
          </w:tcPr>
          <w:p w14:paraId="10467C4B">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商务部分</w:t>
            </w:r>
          </w:p>
          <w:p w14:paraId="7DA14E4D">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（10%）</w:t>
            </w:r>
          </w:p>
        </w:tc>
        <w:tc>
          <w:tcPr>
            <w:tcW w:w="765" w:type="dxa"/>
            <w:noWrap w:val="0"/>
            <w:vAlign w:val="center"/>
          </w:tcPr>
          <w:p w14:paraId="0E3E0A2E">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10</w:t>
            </w:r>
          </w:p>
        </w:tc>
        <w:tc>
          <w:tcPr>
            <w:tcW w:w="4890" w:type="dxa"/>
            <w:noWrap w:val="0"/>
            <w:vAlign w:val="center"/>
          </w:tcPr>
          <w:p w14:paraId="186843D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val="en-US" w:eastAsia="zh-CN"/>
              </w:rPr>
              <w:t>项目业绩</w:t>
            </w:r>
          </w:p>
          <w:p w14:paraId="1E0E0205">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2022年至今，供应商承接过类似工程的，提供一份业绩合同得5分，最多得10分。</w:t>
            </w:r>
          </w:p>
        </w:tc>
        <w:tc>
          <w:tcPr>
            <w:tcW w:w="1572" w:type="dxa"/>
            <w:noWrap w:val="0"/>
            <w:vAlign w:val="center"/>
          </w:tcPr>
          <w:p w14:paraId="30E6A1E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供应商提供合同复印件并加盖供应商单位公章。</w:t>
            </w:r>
          </w:p>
        </w:tc>
      </w:tr>
      <w:tr w14:paraId="766C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184" w:type="dxa"/>
            <w:gridSpan w:val="5"/>
            <w:noWrap w:val="0"/>
            <w:vAlign w:val="center"/>
          </w:tcPr>
          <w:p w14:paraId="52A4DF26">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FF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供应商得分=响应报价得分+技术部分得分+商务部分得分</w:t>
            </w:r>
          </w:p>
        </w:tc>
      </w:tr>
    </w:tbl>
    <w:p w14:paraId="3B5B3B33">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委员会应当将其作为无效响应处理。</w:t>
      </w:r>
    </w:p>
    <w:p w14:paraId="62D85699">
      <w:pPr>
        <w:snapToGrid w:val="0"/>
        <w:spacing w:line="400" w:lineRule="exact"/>
        <w:ind w:firstLine="480" w:firstLineChars="200"/>
        <w:rPr>
          <w:rFonts w:hint="default" w:ascii="宋体" w:hAnsi="宋体" w:eastAsia="宋体" w:cs="宋体"/>
          <w:color w:val="auto"/>
          <w:sz w:val="24"/>
          <w:szCs w:val="24"/>
          <w:highlight w:val="none"/>
          <w:lang w:val="en-US" w:eastAsia="zh-CN"/>
        </w:rPr>
      </w:pPr>
      <w:bookmarkStart w:id="224" w:name="_Toc9128"/>
      <w:bookmarkStart w:id="225" w:name="_Toc16871"/>
      <w:r>
        <w:rPr>
          <w:rFonts w:hint="default" w:ascii="宋体" w:hAnsi="宋体" w:eastAsia="宋体" w:cs="宋体"/>
          <w:color w:val="auto"/>
          <w:sz w:val="24"/>
          <w:szCs w:val="24"/>
          <w:highlight w:val="none"/>
          <w:lang w:val="en-US" w:eastAsia="zh-CN"/>
        </w:rPr>
        <w:t>四、无效响应</w:t>
      </w:r>
      <w:bookmarkEnd w:id="224"/>
      <w:bookmarkEnd w:id="225"/>
    </w:p>
    <w:p w14:paraId="0B3A2B1B">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供应商或其响应文件出现下列情况之一者，应为无效响应，其响应文件将被拒绝：</w:t>
      </w:r>
    </w:p>
    <w:p w14:paraId="02A3D4C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（一）未按照采购竞争性比选文件的规定缴纳比选保证金的；</w:t>
      </w:r>
    </w:p>
    <w:p w14:paraId="542E07C5">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（二）供应商未通过资格性审查和符合性审查的；</w:t>
      </w:r>
    </w:p>
    <w:p w14:paraId="04E816A6">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（三）供应商所提交的响应文件未按“第七篇 响应文件编制要求”要求签署或盖章；</w:t>
      </w:r>
    </w:p>
    <w:p w14:paraId="6F8D3778">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（四）供应商的响应总报价超过采购最高限价或分项报价超过分项最高限价的；</w:t>
      </w:r>
    </w:p>
    <w:p w14:paraId="0A26A175">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（五）法定代表人为同一个人的两个及两个以上法人，母公司、全资子公司及其控股公司，在同一包采购中同时参与比选的；</w:t>
      </w:r>
    </w:p>
    <w:p w14:paraId="683DEC33">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（六）单位负责人为同一人或者存在直接控股、管理关系的不同供应商，参加同一合同项下的采购活动的；</w:t>
      </w:r>
    </w:p>
    <w:p w14:paraId="6D5DBA34">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（七）为采购项目提供整体设计、规范编制或者项目管理、监理、检测等服务的供应商，再参加该采购项目的其他采购活动；</w:t>
      </w:r>
    </w:p>
    <w:p w14:paraId="7A0C3DC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（八）供应商比选有效期不满足采购竞争性比选文件要求的；</w:t>
      </w:r>
    </w:p>
    <w:p w14:paraId="450FDB3B">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（九）供应商响应文件内容有与国家现行法律法规相违背的内容，或附有采购人无法接受的条件；</w:t>
      </w:r>
    </w:p>
    <w:p w14:paraId="3CDECBC1">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（十）法律、法规和采购竞争性比选文件规定的其他无效情形。</w:t>
      </w:r>
    </w:p>
    <w:p w14:paraId="7EEBD708">
      <w:pPr>
        <w:snapToGrid w:val="0"/>
        <w:spacing w:line="400" w:lineRule="exact"/>
        <w:ind w:firstLine="480" w:firstLineChars="200"/>
        <w:rPr>
          <w:rFonts w:hint="default" w:ascii="宋体" w:hAnsi="宋体" w:eastAsia="宋体" w:cs="宋体"/>
          <w:color w:val="auto"/>
          <w:sz w:val="24"/>
          <w:szCs w:val="24"/>
          <w:highlight w:val="none"/>
          <w:lang w:val="en-US" w:eastAsia="zh-CN"/>
        </w:rPr>
      </w:pPr>
      <w:bookmarkStart w:id="226" w:name="_Toc28946"/>
      <w:bookmarkStart w:id="227" w:name="_Toc25843"/>
      <w:r>
        <w:rPr>
          <w:rFonts w:hint="eastAsia" w:ascii="宋体" w:hAnsi="宋体" w:eastAsia="宋体" w:cs="宋体"/>
          <w:color w:val="auto"/>
          <w:sz w:val="24"/>
          <w:szCs w:val="24"/>
          <w:highlight w:val="none"/>
          <w:lang w:val="en-US" w:eastAsia="zh-CN"/>
        </w:rPr>
        <w:t>五</w:t>
      </w:r>
      <w:r>
        <w:rPr>
          <w:rFonts w:hint="default" w:ascii="宋体" w:hAnsi="宋体" w:eastAsia="宋体" w:cs="宋体"/>
          <w:color w:val="auto"/>
          <w:sz w:val="24"/>
          <w:szCs w:val="24"/>
          <w:highlight w:val="none"/>
          <w:lang w:val="en-US" w:eastAsia="zh-CN"/>
        </w:rPr>
        <w:t>、采购终止</w:t>
      </w:r>
      <w:bookmarkEnd w:id="226"/>
      <w:bookmarkEnd w:id="227"/>
    </w:p>
    <w:p w14:paraId="6364DB79">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出现下列情形之一的，采购人或者采购代理机构应当终止竞争性比选采购活动，发布项目终止公告并说明原因，重新开展采购活动：</w:t>
      </w:r>
    </w:p>
    <w:p w14:paraId="703EE4CF">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（一）因情况变化，不再符合规定的竞争性比选采购方式适用情形的；</w:t>
      </w:r>
    </w:p>
    <w:p w14:paraId="453E39E9">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（二）出现影响采购公正的违法、违规行为的；</w:t>
      </w:r>
    </w:p>
    <w:p w14:paraId="2DD61426">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（三）因重大变故，采购任务取消的；</w:t>
      </w:r>
    </w:p>
    <w:p w14:paraId="37861934">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（四）在采购过程中符合要求的供应商或者报价未超过采购预算的供应商不足3家的。</w:t>
      </w:r>
    </w:p>
    <w:p w14:paraId="5854E438">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采购终止后，除采购任务取消情形外，应当重新组织采购。</w:t>
      </w:r>
    </w:p>
    <w:p w14:paraId="69A0E62F">
      <w:pPr>
        <w:pStyle w:val="5"/>
        <w:pageBreakBefore/>
        <w:spacing w:before="0" w:after="0" w:line="360" w:lineRule="auto"/>
        <w:jc w:val="center"/>
        <w:rPr>
          <w:rFonts w:hint="eastAsia" w:ascii="宋体" w:hAnsi="宋体" w:eastAsia="宋体" w:cs="宋体"/>
          <w:b w:val="0"/>
          <w:bCs/>
          <w:color w:val="auto"/>
          <w:sz w:val="36"/>
          <w:szCs w:val="30"/>
          <w:highlight w:val="none"/>
        </w:rPr>
      </w:pPr>
      <w:r>
        <w:rPr>
          <w:rFonts w:hint="eastAsia" w:ascii="宋体" w:hAnsi="宋体" w:eastAsia="宋体" w:cs="宋体"/>
          <w:b w:val="0"/>
          <w:bCs/>
          <w:color w:val="auto"/>
          <w:sz w:val="36"/>
          <w:szCs w:val="30"/>
          <w:highlight w:val="none"/>
        </w:rPr>
        <w:t>第五篇  供应商须知</w:t>
      </w:r>
      <w:bookmarkEnd w:id="71"/>
      <w:bookmarkEnd w:id="72"/>
      <w:bookmarkEnd w:id="73"/>
    </w:p>
    <w:p w14:paraId="1028083C">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28" w:name="_Toc342913389"/>
      <w:bookmarkStart w:id="229" w:name="_Toc106030893"/>
      <w:bookmarkStart w:id="230" w:name="_Toc76462338"/>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费用</w:t>
      </w:r>
      <w:bookmarkEnd w:id="228"/>
      <w:bookmarkEnd w:id="229"/>
      <w:bookmarkEnd w:id="230"/>
    </w:p>
    <w:p w14:paraId="55973E6B">
      <w:pPr>
        <w:pStyle w:val="28"/>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eastAsia="zh-CN"/>
        </w:rPr>
        <w:t>比选</w:t>
      </w:r>
      <w:r>
        <w:rPr>
          <w:rFonts w:hint="eastAsia" w:ascii="宋体" w:hAnsi="宋体" w:eastAsia="宋体" w:cs="宋体"/>
          <w:color w:val="auto"/>
          <w:sz w:val="24"/>
          <w:szCs w:val="24"/>
          <w:highlight w:val="none"/>
        </w:rPr>
        <w:t>结果如何，采购人和采购代理机构在任何情况下无义务也无责任承担这些费用。</w:t>
      </w:r>
    </w:p>
    <w:p w14:paraId="3D39E8AB">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31" w:name="_Toc76462339"/>
      <w:bookmarkStart w:id="232" w:name="_Toc106030894"/>
      <w:bookmarkStart w:id="233" w:name="_Toc342913391"/>
      <w:r>
        <w:rPr>
          <w:rFonts w:hint="eastAsia" w:ascii="宋体" w:hAnsi="宋体" w:eastAsia="宋体" w:cs="宋体"/>
          <w:color w:val="auto"/>
          <w:sz w:val="24"/>
          <w:highlight w:val="none"/>
        </w:rPr>
        <w:t>二、竞争性</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w:t>
      </w:r>
      <w:bookmarkEnd w:id="231"/>
      <w:bookmarkEnd w:id="232"/>
      <w:bookmarkEnd w:id="233"/>
    </w:p>
    <w:p w14:paraId="4A16275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文件由采购邀请书、项目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需求、项目商务需求、资格审查及符合性审查</w:t>
      </w:r>
      <w:r>
        <w:rPr>
          <w:rFonts w:hint="eastAsia" w:ascii="宋体" w:hAnsi="宋体" w:eastAsia="宋体" w:cs="宋体"/>
          <w:color w:val="auto"/>
          <w:sz w:val="24"/>
          <w:szCs w:val="24"/>
          <w:highlight w:val="none"/>
          <w:lang w:eastAsia="zh-CN"/>
        </w:rPr>
        <w:t>、评标方法、评标标准、无效响应和采购终止</w:t>
      </w:r>
      <w:r>
        <w:rPr>
          <w:rFonts w:hint="eastAsia" w:ascii="宋体" w:hAnsi="宋体" w:eastAsia="宋体" w:cs="宋体"/>
          <w:color w:val="auto"/>
          <w:sz w:val="24"/>
          <w:szCs w:val="24"/>
          <w:highlight w:val="none"/>
        </w:rPr>
        <w:t>、供应商须知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366FC38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文件不可分割的部分。</w:t>
      </w:r>
    </w:p>
    <w:p w14:paraId="79EB16F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文件的解释</w:t>
      </w:r>
    </w:p>
    <w:p w14:paraId="55F2F98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文件有疑问，必须以书面形式在提交响应文件截止时间前向采购人（或采购代理机构）要求澄清，采购人（或采购代理机构）可视具体情况做出处理或答复。如供应商未提出疑问，视为完全理解并同意本竞争性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文件。一经进入</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程序，即视为供应商已详细阅读全部文件资料，完全理解竞争性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文件所有条款内容并同意放弃对这方面有不明白及误解的权利。</w:t>
      </w:r>
      <w:bookmarkStart w:id="234" w:name="_Toc318166429"/>
      <w:bookmarkStart w:id="235" w:name="_Toc318159780"/>
      <w:bookmarkStart w:id="236" w:name="_Toc318159349"/>
      <w:bookmarkStart w:id="237" w:name="_Toc318159160"/>
    </w:p>
    <w:p w14:paraId="0EF1C12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文件中，</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根据与供应商进行</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可能实质性变动的内容为竞争性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文件第二、三、六篇全部内容。</w:t>
      </w:r>
    </w:p>
    <w:p w14:paraId="69337FA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文件和响应文件（含有效的书面承诺）。</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判断响应文件对竞争性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文件的响应，仅基于响应文件本身而不靠外部证据。</w:t>
      </w:r>
    </w:p>
    <w:bookmarkEnd w:id="234"/>
    <w:bookmarkEnd w:id="235"/>
    <w:bookmarkEnd w:id="236"/>
    <w:bookmarkEnd w:id="237"/>
    <w:p w14:paraId="0F4D0E8D">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38" w:name="_Toc179714297"/>
      <w:bookmarkStart w:id="239" w:name="_Toc76462340"/>
      <w:bookmarkStart w:id="240" w:name="_Toc102227318"/>
      <w:bookmarkStart w:id="241" w:name="_Toc106030895"/>
      <w:bookmarkStart w:id="242" w:name="_Toc342913392"/>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要求</w:t>
      </w:r>
      <w:bookmarkEnd w:id="238"/>
      <w:bookmarkEnd w:id="239"/>
      <w:bookmarkEnd w:id="240"/>
      <w:bookmarkEnd w:id="241"/>
      <w:bookmarkEnd w:id="242"/>
    </w:p>
    <w:p w14:paraId="037F35D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24ED6BC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文件的要求编制响应文件，并对竞争性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文件提出的要求和条件作出实质性响应，响应文件原则上采用软面订本，同时应编制完整的页码、目录。</w:t>
      </w:r>
    </w:p>
    <w:p w14:paraId="5CFC855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0646A50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C3851A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有效期：响应文件及有关承诺文件有效期为提交响应文件截止时间起90天。</w:t>
      </w:r>
    </w:p>
    <w:p w14:paraId="4599060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）修正错误</w:t>
      </w:r>
    </w:p>
    <w:p w14:paraId="6CDD5DA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1.若供应商所递交的响应文件或报价中的价格出现大写金额和小写金额不一致的错误，以大写金额修正为准。</w:t>
      </w:r>
    </w:p>
    <w:p w14:paraId="2FB25CE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按上述修正错误的原则及方法修正供应商的报价，供应商同意并签字确认后，修正后的报价对供应商具有约束作用。如果供应商不接受修正后的价格，将失去成为成交供应商的资格。</w:t>
      </w:r>
    </w:p>
    <w:p w14:paraId="0C3A2D8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）提交响应文件的份数和签署</w:t>
      </w:r>
    </w:p>
    <w:p w14:paraId="20D90019">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供应商须在平台报价</w:t>
      </w:r>
      <w:r>
        <w:rPr>
          <w:rFonts w:hint="eastAsia" w:ascii="宋体" w:hAnsi="宋体" w:cs="宋体"/>
          <w:color w:val="auto"/>
          <w:sz w:val="24"/>
          <w:szCs w:val="24"/>
          <w:highlight w:val="none"/>
          <w:lang w:val="en-US" w:eastAsia="zh-CN"/>
        </w:rPr>
        <w:t>上传电子档1份，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上传的电子档需是</w:t>
      </w:r>
      <w:r>
        <w:rPr>
          <w:rFonts w:hint="eastAsia" w:ascii="宋体" w:hAnsi="宋体" w:eastAsia="宋体" w:cs="宋体"/>
          <w:color w:val="auto"/>
          <w:sz w:val="24"/>
          <w:szCs w:val="24"/>
          <w:highlight w:val="none"/>
          <w:lang w:eastAsia="zh-CN"/>
        </w:rPr>
        <w:t>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响应文件，电子文档内容应与纸质文件正本一致，不一致以纸质文件正本为准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，线下</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时提供</w:t>
      </w:r>
      <w:r>
        <w:rPr>
          <w:rFonts w:hint="eastAsia" w:ascii="宋体" w:hAnsi="宋体" w:eastAsia="宋体" w:cs="宋体"/>
          <w:color w:val="auto"/>
          <w:sz w:val="24"/>
          <w:szCs w:val="24"/>
          <w:highlight w:val="none"/>
          <w:lang w:eastAsia="zh-CN"/>
        </w:rPr>
        <w:t>纸质</w:t>
      </w:r>
      <w:r>
        <w:rPr>
          <w:rFonts w:hint="eastAsia" w:ascii="宋体" w:hAnsi="宋体" w:eastAsia="宋体" w:cs="宋体"/>
          <w:color w:val="auto"/>
          <w:sz w:val="24"/>
          <w:szCs w:val="24"/>
          <w:highlight w:val="none"/>
        </w:rPr>
        <w:t>响应文件一式</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份，其中正本一份，副本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副本可为正本的复印件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应与正本一致，如出现不一致情况以正本为准</w:t>
      </w:r>
      <w:r>
        <w:rPr>
          <w:rFonts w:hint="eastAsia" w:ascii="宋体" w:hAnsi="宋体" w:cs="宋体"/>
          <w:color w:val="auto"/>
          <w:sz w:val="24"/>
          <w:szCs w:val="24"/>
          <w:highlight w:val="none"/>
          <w:lang w:eastAsia="zh-CN"/>
        </w:rPr>
        <w:t>。</w:t>
      </w:r>
    </w:p>
    <w:p w14:paraId="4CE4BBA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响应文件按竞争性</w:t>
      </w:r>
      <w:r>
        <w:rPr>
          <w:rFonts w:hint="eastAsia" w:ascii="宋体" w:hAnsi="宋体" w:cs="宋体"/>
          <w:color w:val="auto"/>
          <w:sz w:val="24"/>
          <w:highlight w:val="none"/>
          <w:lang w:eastAsia="zh-CN"/>
        </w:rPr>
        <w:t>比选</w:t>
      </w:r>
      <w:r>
        <w:rPr>
          <w:rFonts w:hint="eastAsia" w:ascii="宋体" w:hAnsi="宋体" w:eastAsia="宋体" w:cs="宋体"/>
          <w:color w:val="auto"/>
          <w:sz w:val="24"/>
          <w:highlight w:val="none"/>
        </w:rPr>
        <w:t>文件“第七篇响应文件编制要求”要求签署或盖章。</w:t>
      </w:r>
    </w:p>
    <w:p w14:paraId="79F22A1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）响应文件的递交</w:t>
      </w:r>
    </w:p>
    <w:p w14:paraId="24F3FE1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响应文件的正本、副本以及电子文档均应密封送达</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地点，应在封套上注明项目名称、</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。若正本、副本以及电子文档分别进行密封的，还应在封套上注明“正本”、“副本”、“电子文档”字样。</w:t>
      </w:r>
    </w:p>
    <w:p w14:paraId="60B5509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）供应商参与人员</w:t>
      </w:r>
    </w:p>
    <w:p w14:paraId="7956ED78">
      <w:pPr>
        <w:pStyle w:val="5"/>
        <w:adjustRightInd w:val="0"/>
        <w:snapToGrid w:val="0"/>
        <w:spacing w:before="0" w:after="0" w:line="400" w:lineRule="exact"/>
        <w:ind w:firstLine="480" w:firstLineChars="200"/>
        <w:rPr>
          <w:rFonts w:hint="eastAsia" w:ascii="宋体" w:hAnsi="宋体" w:eastAsia="宋体" w:cs="宋体"/>
          <w:b w:val="0"/>
          <w:bCs/>
          <w:color w:val="auto"/>
          <w:sz w:val="24"/>
          <w:highlight w:val="none"/>
        </w:rPr>
      </w:pPr>
      <w:bookmarkStart w:id="243" w:name="_Toc76462341"/>
      <w:bookmarkStart w:id="244" w:name="_Toc106030896"/>
      <w:r>
        <w:rPr>
          <w:rFonts w:hint="eastAsia" w:ascii="宋体" w:hAnsi="宋体" w:eastAsia="宋体" w:cs="宋体"/>
          <w:b w:val="0"/>
          <w:bCs/>
          <w:color w:val="auto"/>
          <w:sz w:val="24"/>
          <w:highlight w:val="none"/>
        </w:rPr>
        <w:t>各个供应商应当派1名代表参与投标，应为法定代表人或具有法定代表人授权委托书的授权代表。</w:t>
      </w:r>
    </w:p>
    <w:p w14:paraId="4F7FA07A">
      <w:pPr>
        <w:pStyle w:val="5"/>
        <w:adjustRightInd w:val="0"/>
        <w:snapToGrid w:val="0"/>
        <w:spacing w:before="0" w:after="0" w:line="40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（手持件：身份证原件、法人身份证证明及授权委托书（法定代表人亲自参加竞采的不需要））</w:t>
      </w:r>
    </w:p>
    <w:p w14:paraId="1879A07B">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四、成交供应商的确认和变更</w:t>
      </w:r>
      <w:bookmarkEnd w:id="243"/>
      <w:bookmarkEnd w:id="244"/>
    </w:p>
    <w:p w14:paraId="2652B559">
      <w:pPr>
        <w:snapToGrid w:val="0"/>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5E7B2DB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直接确定成交供应商。采购人逾期未确定成交供应商且不提出异议的，视为确定评审报告提出的排序第一的供应商为成交供应商。</w:t>
      </w:r>
    </w:p>
    <w:p w14:paraId="07357B23">
      <w:pPr>
        <w:snapToGrid w:val="0"/>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36E8332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3C941180">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45" w:name="_Toc102227321"/>
      <w:bookmarkStart w:id="246" w:name="_Toc76462342"/>
      <w:bookmarkStart w:id="247" w:name="_Toc106030897"/>
      <w:bookmarkStart w:id="248" w:name="_Toc342913395"/>
      <w:r>
        <w:rPr>
          <w:rFonts w:hint="eastAsia" w:ascii="宋体" w:hAnsi="宋体" w:eastAsia="宋体" w:cs="宋体"/>
          <w:color w:val="auto"/>
          <w:sz w:val="24"/>
          <w:highlight w:val="none"/>
        </w:rPr>
        <w:t>五、成交通知</w:t>
      </w:r>
      <w:bookmarkEnd w:id="245"/>
      <w:bookmarkEnd w:id="246"/>
      <w:bookmarkEnd w:id="247"/>
      <w:bookmarkEnd w:id="248"/>
    </w:p>
    <w:p w14:paraId="412DE0D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（一）成交供应商确定后，采购代理机构将在“行采家”平台（https://www.gec123.com）上发布成交结果公告。</w:t>
      </w:r>
    </w:p>
    <w:p w14:paraId="2D71B23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0EC8322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71A09CE6">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49" w:name="_Toc76462343"/>
      <w:bookmarkStart w:id="250" w:name="_Toc106030898"/>
      <w:r>
        <w:rPr>
          <w:rFonts w:hint="eastAsia" w:ascii="宋体" w:hAnsi="宋体" w:eastAsia="宋体" w:cs="宋体"/>
          <w:color w:val="auto"/>
          <w:sz w:val="24"/>
          <w:highlight w:val="none"/>
        </w:rPr>
        <w:t>六、关于质疑和投诉</w:t>
      </w:r>
      <w:bookmarkEnd w:id="249"/>
      <w:bookmarkEnd w:id="250"/>
    </w:p>
    <w:p w14:paraId="2E04CE5F">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35F2BAC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w:t>
      </w:r>
      <w:r>
        <w:rPr>
          <w:rFonts w:hint="eastAsia" w:ascii="宋体" w:hAnsi="宋体" w:cs="宋体"/>
          <w:color w:val="auto"/>
          <w:sz w:val="24"/>
          <w:szCs w:val="24"/>
          <w:highlight w:val="none"/>
          <w:lang w:val="en-US" w:eastAsia="zh-CN"/>
        </w:rPr>
        <w:t>比选文件</w:t>
      </w:r>
      <w:r>
        <w:rPr>
          <w:rFonts w:hint="eastAsia" w:ascii="宋体" w:hAnsi="宋体" w:eastAsia="宋体" w:cs="宋体"/>
          <w:color w:val="auto"/>
          <w:sz w:val="24"/>
          <w:szCs w:val="24"/>
          <w:highlight w:val="none"/>
        </w:rPr>
        <w:t>、采购过程和成交结果使自己的权益收到伤害的，可向采购人或采购代理机构以书面形式提出质疑。</w:t>
      </w:r>
    </w:p>
    <w:p w14:paraId="0B1A984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4F844FE7">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C0FC042">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w:t>
      </w:r>
      <w:r>
        <w:rPr>
          <w:rFonts w:hint="eastAsia" w:ascii="宋体" w:hAnsi="宋体" w:cs="宋体"/>
          <w:color w:val="auto"/>
          <w:sz w:val="24"/>
          <w:highlight w:val="none"/>
          <w:lang w:eastAsia="zh-CN"/>
        </w:rPr>
        <w:t>比选文件</w:t>
      </w:r>
      <w:r>
        <w:rPr>
          <w:rFonts w:hint="eastAsia" w:ascii="宋体" w:hAnsi="宋体" w:eastAsia="宋体" w:cs="宋体"/>
          <w:color w:val="auto"/>
          <w:sz w:val="24"/>
          <w:highlight w:val="none"/>
        </w:rPr>
        <w:t>、采购过程、成交结果使自己的权益受到损害的，可以在知道或者应知其权益受到损害之日起7个工作日内，以书面形式向采购人、采购代理机构提出质疑。</w:t>
      </w:r>
    </w:p>
    <w:p w14:paraId="130EE973">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7B59369F">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598219E1">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w:t>
      </w:r>
      <w:r>
        <w:rPr>
          <w:rFonts w:hint="eastAsia" w:ascii="宋体" w:hAnsi="宋体" w:cs="宋体"/>
          <w:color w:val="auto"/>
          <w:sz w:val="24"/>
          <w:highlight w:val="none"/>
          <w:lang w:eastAsia="zh-CN"/>
        </w:rPr>
        <w:t>项目编号</w:t>
      </w:r>
      <w:r>
        <w:rPr>
          <w:rFonts w:hint="eastAsia" w:ascii="宋体" w:hAnsi="宋体" w:eastAsia="宋体" w:cs="宋体"/>
          <w:color w:val="auto"/>
          <w:sz w:val="24"/>
          <w:highlight w:val="none"/>
        </w:rPr>
        <w:t>；</w:t>
      </w:r>
    </w:p>
    <w:p w14:paraId="3990F84C">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5D0C9DA6">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36C1A746">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14CD447E">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5811DB21">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12A36B11">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3E96B845">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27B49967">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3B31E572">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444396A7">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7C385AD7">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04F6146A">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22065688">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4C626EB3">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147F37B5">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0769EF2B">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515BCD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307083A6">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1" w:name="_Toc106030899"/>
      <w:bookmarkStart w:id="252" w:name="_Toc76462344"/>
      <w:r>
        <w:rPr>
          <w:rFonts w:hint="eastAsia" w:ascii="宋体" w:hAnsi="宋体" w:eastAsia="宋体" w:cs="宋体"/>
          <w:color w:val="auto"/>
          <w:sz w:val="24"/>
          <w:highlight w:val="none"/>
        </w:rPr>
        <w:t>七、采购代理服务费</w:t>
      </w:r>
      <w:bookmarkEnd w:id="251"/>
      <w:bookmarkEnd w:id="252"/>
    </w:p>
    <w:p w14:paraId="4E24F696">
      <w:pPr>
        <w:snapToGrid w:val="0"/>
        <w:spacing w:line="400" w:lineRule="exact"/>
        <w:ind w:firstLine="960" w:firstLineChars="400"/>
        <w:rPr>
          <w:rFonts w:hint="default" w:ascii="宋体" w:hAnsi="宋体" w:eastAsia="宋体" w:cs="宋体"/>
          <w:color w:val="auto"/>
          <w:kern w:val="0"/>
          <w:sz w:val="24"/>
          <w:szCs w:val="24"/>
          <w:highlight w:val="none"/>
          <w:lang w:val="en-US"/>
        </w:rPr>
      </w:pPr>
      <w:bookmarkStart w:id="253" w:name="OLE_LINK7"/>
      <w:bookmarkStart w:id="254" w:name="OLE_LINK8"/>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本项目采购代理服务费为人民币</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000</w:t>
      </w:r>
      <w:r>
        <w:rPr>
          <w:rFonts w:hint="eastAsia" w:ascii="宋体" w:hAnsi="宋体" w:eastAsia="宋体" w:cs="宋体"/>
          <w:color w:val="auto"/>
          <w:sz w:val="24"/>
          <w:highlight w:val="none"/>
          <w:lang w:eastAsia="zh-CN"/>
        </w:rPr>
        <w:t>元</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由成交供应商支付。即成交供应商在领取成交通知书之前以现金或转账形式一次性支付给代理机构。</w:t>
      </w:r>
    </w:p>
    <w:p w14:paraId="449BBD7E">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2.成交供应商如未按上述规定缴付采购代理服务费，其保证金将不予退还。</w:t>
      </w:r>
    </w:p>
    <w:bookmarkEnd w:id="253"/>
    <w:bookmarkEnd w:id="254"/>
    <w:p w14:paraId="639EC76C">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5" w:name="_Toc102227322"/>
      <w:bookmarkStart w:id="256" w:name="_Toc106030901"/>
      <w:bookmarkStart w:id="257" w:name="_Toc76462346"/>
      <w:bookmarkStart w:id="258" w:name="_Toc342913396"/>
      <w:bookmarkStart w:id="259" w:name="_Toc12789059"/>
      <w:bookmarkStart w:id="260" w:name="_Toc11641055"/>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、签订</w:t>
      </w:r>
      <w:bookmarkEnd w:id="255"/>
      <w:r>
        <w:rPr>
          <w:rFonts w:hint="eastAsia" w:ascii="宋体" w:hAnsi="宋体" w:eastAsia="宋体" w:cs="宋体"/>
          <w:color w:val="auto"/>
          <w:sz w:val="24"/>
          <w:highlight w:val="none"/>
        </w:rPr>
        <w:t>合同</w:t>
      </w:r>
      <w:bookmarkEnd w:id="256"/>
      <w:bookmarkEnd w:id="257"/>
      <w:bookmarkEnd w:id="258"/>
    </w:p>
    <w:p w14:paraId="48C36CFB">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十日内和成交供应商签订政府采购合同，无正当理由不得拒绝或拖延合同签订</w:t>
      </w:r>
      <w:r>
        <w:rPr>
          <w:rFonts w:hint="eastAsia" w:ascii="宋体" w:hAnsi="宋体" w:eastAsia="宋体" w:cs="宋体"/>
          <w:color w:val="auto"/>
          <w:sz w:val="24"/>
          <w:szCs w:val="24"/>
          <w:highlight w:val="none"/>
        </w:rPr>
        <w:t>。所签订的合同不得对竞争性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文件和供应商的响应文件作实质性修改。其他未尽事宜由采购人和成交供应商在采购合同中详细约定。</w:t>
      </w:r>
    </w:p>
    <w:p w14:paraId="72DFEE3C">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文件、供应商的响应文件及澄清文件等，均为签订采购合同的依据。</w:t>
      </w:r>
    </w:p>
    <w:p w14:paraId="31EDB511">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p>
    <w:p w14:paraId="1B4EB7B4">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）合同原则上应按照《重庆市政府采购合同》签订，相关单位要求适用合同通用格式版本的，应按其要求另行签订其他合同。</w:t>
      </w:r>
    </w:p>
    <w:p w14:paraId="3AF70A7A">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）采购人要求成交供应商提供履约保证金的，应当在竞争性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文件中予以约定。成交供应商履约完毕后，采购人</w:t>
      </w:r>
      <w:r>
        <w:rPr>
          <w:rFonts w:hint="eastAsia" w:ascii="宋体" w:hAnsi="宋体" w:cs="宋体"/>
          <w:color w:val="auto"/>
          <w:sz w:val="24"/>
          <w:szCs w:val="24"/>
          <w:highlight w:val="none"/>
          <w:lang w:val="en-US" w:eastAsia="zh-CN"/>
        </w:rPr>
        <w:t>或采购代理人</w:t>
      </w: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规定无息退还其履约保证金。</w:t>
      </w:r>
    </w:p>
    <w:p w14:paraId="4FBDCF0E">
      <w:pPr>
        <w:spacing w:line="400" w:lineRule="exact"/>
        <w:rPr>
          <w:rFonts w:hint="eastAsia" w:ascii="宋体" w:hAnsi="宋体" w:eastAsia="宋体" w:cs="宋体"/>
          <w:color w:val="auto"/>
          <w:sz w:val="24"/>
          <w:highlight w:val="none"/>
        </w:rPr>
      </w:pPr>
      <w:bookmarkStart w:id="261" w:name="_Toc76462348"/>
      <w:bookmarkStart w:id="262" w:name="_Toc106030904"/>
    </w:p>
    <w:p w14:paraId="3C65F07C">
      <w:pPr>
        <w:spacing w:line="400" w:lineRule="exact"/>
        <w:rPr>
          <w:rFonts w:hint="eastAsia" w:ascii="宋体" w:hAnsi="宋体" w:eastAsia="宋体" w:cs="宋体"/>
          <w:color w:val="auto"/>
          <w:sz w:val="24"/>
          <w:highlight w:val="none"/>
        </w:rPr>
      </w:pPr>
    </w:p>
    <w:p w14:paraId="12B8E60B">
      <w:pPr>
        <w:spacing w:line="400" w:lineRule="exact"/>
        <w:rPr>
          <w:rFonts w:hint="eastAsia" w:ascii="宋体" w:hAnsi="宋体" w:eastAsia="宋体" w:cs="宋体"/>
          <w:color w:val="auto"/>
          <w:sz w:val="24"/>
          <w:highlight w:val="none"/>
        </w:rPr>
      </w:pPr>
    </w:p>
    <w:p w14:paraId="5FBF41E3">
      <w:pPr>
        <w:pStyle w:val="2"/>
        <w:rPr>
          <w:rFonts w:hint="eastAsia" w:ascii="宋体" w:hAnsi="宋体" w:eastAsia="宋体" w:cs="宋体"/>
          <w:color w:val="auto"/>
          <w:sz w:val="24"/>
          <w:highlight w:val="none"/>
        </w:rPr>
      </w:pPr>
    </w:p>
    <w:p w14:paraId="40CA080E">
      <w:pPr>
        <w:rPr>
          <w:rFonts w:hint="eastAsia" w:ascii="宋体" w:hAnsi="宋体" w:eastAsia="宋体" w:cs="宋体"/>
          <w:color w:val="auto"/>
          <w:sz w:val="24"/>
          <w:highlight w:val="none"/>
        </w:rPr>
      </w:pPr>
    </w:p>
    <w:p w14:paraId="3879F02F">
      <w:pPr>
        <w:pStyle w:val="2"/>
        <w:rPr>
          <w:rFonts w:hint="eastAsia" w:ascii="宋体" w:hAnsi="宋体" w:eastAsia="宋体" w:cs="宋体"/>
          <w:color w:val="auto"/>
          <w:sz w:val="24"/>
          <w:highlight w:val="none"/>
        </w:rPr>
      </w:pPr>
    </w:p>
    <w:p w14:paraId="4E22A1F8">
      <w:pPr>
        <w:rPr>
          <w:rFonts w:hint="eastAsia" w:ascii="宋体" w:hAnsi="宋体" w:eastAsia="宋体" w:cs="宋体"/>
          <w:color w:val="auto"/>
          <w:sz w:val="24"/>
          <w:highlight w:val="none"/>
        </w:rPr>
      </w:pPr>
    </w:p>
    <w:p w14:paraId="080A9386">
      <w:pPr>
        <w:pStyle w:val="2"/>
        <w:rPr>
          <w:rFonts w:hint="eastAsia"/>
          <w:color w:val="auto"/>
          <w:highlight w:val="none"/>
        </w:rPr>
      </w:pPr>
    </w:p>
    <w:p w14:paraId="451A1CAF">
      <w:pPr>
        <w:spacing w:line="400" w:lineRule="exact"/>
        <w:rPr>
          <w:rFonts w:hint="eastAsia" w:ascii="宋体" w:hAnsi="宋体" w:eastAsia="宋体" w:cs="宋体"/>
          <w:color w:val="auto"/>
          <w:sz w:val="24"/>
          <w:highlight w:val="none"/>
        </w:rPr>
      </w:pPr>
    </w:p>
    <w:p w14:paraId="3ECCF070">
      <w:pPr>
        <w:spacing w:line="400" w:lineRule="exact"/>
        <w:rPr>
          <w:rFonts w:hint="eastAsia" w:ascii="宋体" w:hAnsi="宋体" w:eastAsia="宋体" w:cs="宋体"/>
          <w:color w:val="auto"/>
          <w:sz w:val="24"/>
          <w:highlight w:val="none"/>
        </w:rPr>
      </w:pPr>
    </w:p>
    <w:p w14:paraId="6823380B">
      <w:pPr>
        <w:spacing w:line="400" w:lineRule="exact"/>
        <w:jc w:val="center"/>
        <w:rPr>
          <w:rFonts w:hint="eastAsia" w:ascii="宋体" w:hAnsi="宋体" w:eastAsia="宋体" w:cs="宋体"/>
          <w:b w:val="0"/>
          <w:color w:val="auto"/>
          <w:sz w:val="36"/>
          <w:szCs w:val="30"/>
          <w:highlight w:val="none"/>
        </w:rPr>
      </w:pPr>
    </w:p>
    <w:p w14:paraId="06AC78F8">
      <w:pPr>
        <w:spacing w:line="400" w:lineRule="exact"/>
        <w:jc w:val="center"/>
        <w:rPr>
          <w:rFonts w:hint="eastAsia" w:ascii="宋体" w:hAnsi="宋体" w:eastAsia="宋体" w:cs="宋体"/>
          <w:b w:val="0"/>
          <w:color w:val="auto"/>
          <w:sz w:val="36"/>
          <w:szCs w:val="30"/>
          <w:highlight w:val="none"/>
        </w:rPr>
      </w:pPr>
    </w:p>
    <w:p w14:paraId="648C9A64">
      <w:pPr>
        <w:spacing w:line="400" w:lineRule="exact"/>
        <w:jc w:val="center"/>
        <w:rPr>
          <w:rFonts w:hint="eastAsia" w:ascii="宋体" w:hAnsi="宋体" w:eastAsia="宋体" w:cs="宋体"/>
          <w:b w:val="0"/>
          <w:color w:val="auto"/>
          <w:sz w:val="36"/>
          <w:szCs w:val="30"/>
          <w:highlight w:val="none"/>
        </w:rPr>
      </w:pPr>
    </w:p>
    <w:p w14:paraId="200198A0">
      <w:pPr>
        <w:spacing w:line="400" w:lineRule="exact"/>
        <w:jc w:val="center"/>
        <w:rPr>
          <w:rFonts w:hint="eastAsia" w:ascii="宋体" w:hAnsi="宋体" w:eastAsia="宋体" w:cs="宋体"/>
          <w:b w:val="0"/>
          <w:color w:val="auto"/>
          <w:sz w:val="36"/>
          <w:szCs w:val="30"/>
          <w:highlight w:val="none"/>
        </w:rPr>
      </w:pPr>
    </w:p>
    <w:p w14:paraId="3790BF73">
      <w:pPr>
        <w:spacing w:line="400" w:lineRule="exact"/>
        <w:jc w:val="center"/>
        <w:rPr>
          <w:rFonts w:hint="eastAsia" w:ascii="宋体" w:hAnsi="宋体" w:eastAsia="宋体" w:cs="宋体"/>
          <w:b w:val="0"/>
          <w:color w:val="auto"/>
          <w:sz w:val="36"/>
          <w:szCs w:val="30"/>
          <w:highlight w:val="none"/>
        </w:rPr>
      </w:pPr>
    </w:p>
    <w:p w14:paraId="1F8A7480">
      <w:pPr>
        <w:spacing w:line="400" w:lineRule="exact"/>
        <w:jc w:val="both"/>
        <w:rPr>
          <w:rFonts w:hint="eastAsia" w:ascii="宋体" w:hAnsi="宋体" w:eastAsia="宋体" w:cs="宋体"/>
          <w:b w:val="0"/>
          <w:color w:val="auto"/>
          <w:sz w:val="36"/>
          <w:szCs w:val="30"/>
          <w:highlight w:val="none"/>
        </w:rPr>
      </w:pPr>
    </w:p>
    <w:p w14:paraId="13559074">
      <w:pPr>
        <w:spacing w:line="400" w:lineRule="exact"/>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第六篇  </w:t>
      </w:r>
      <w:bookmarkEnd w:id="259"/>
      <w:bookmarkEnd w:id="260"/>
      <w:r>
        <w:rPr>
          <w:rFonts w:hint="eastAsia" w:ascii="宋体" w:hAnsi="宋体" w:eastAsia="宋体" w:cs="宋体"/>
          <w:b w:val="0"/>
          <w:color w:val="auto"/>
          <w:sz w:val="36"/>
          <w:szCs w:val="30"/>
          <w:highlight w:val="none"/>
        </w:rPr>
        <w:t>政府采购合同</w:t>
      </w:r>
      <w:bookmarkEnd w:id="261"/>
      <w:bookmarkEnd w:id="262"/>
    </w:p>
    <w:p w14:paraId="42295472">
      <w:pPr>
        <w:pStyle w:val="26"/>
        <w:rPr>
          <w:rFonts w:hint="eastAsia" w:ascii="宋体" w:hAnsi="宋体" w:eastAsia="宋体" w:cs="宋体"/>
          <w:color w:val="auto"/>
          <w:sz w:val="24"/>
          <w:szCs w:val="24"/>
          <w:highlight w:val="none"/>
        </w:rPr>
      </w:pPr>
    </w:p>
    <w:p w14:paraId="6348C1A7">
      <w:pPr>
        <w:snapToGrid w:val="0"/>
        <w:spacing w:line="360" w:lineRule="auto"/>
        <w:ind w:firstLine="315" w:firstLineChars="150"/>
        <w:jc w:val="center"/>
        <w:rPr>
          <w:rFonts w:hint="eastAsia" w:ascii="宋体" w:hAnsi="宋体"/>
          <w:color w:val="auto"/>
          <w:sz w:val="21"/>
          <w:szCs w:val="21"/>
          <w:highlight w:val="none"/>
          <w:lang w:eastAsia="zh-CN"/>
        </w:rPr>
      </w:pPr>
      <w:bookmarkStart w:id="263" w:name="_Toc76462349"/>
      <w:bookmarkStart w:id="264" w:name="_Toc106030905"/>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合同格式自行拟定</w:t>
      </w:r>
      <w:r>
        <w:rPr>
          <w:rFonts w:hint="eastAsia" w:ascii="宋体" w:hAnsi="宋体"/>
          <w:color w:val="auto"/>
          <w:sz w:val="21"/>
          <w:szCs w:val="21"/>
          <w:highlight w:val="none"/>
          <w:lang w:eastAsia="zh-CN"/>
        </w:rPr>
        <w:t>）</w:t>
      </w:r>
    </w:p>
    <w:p w14:paraId="16480E9F">
      <w:pPr>
        <w:pStyle w:val="5"/>
        <w:spacing w:before="0" w:after="0" w:line="360" w:lineRule="auto"/>
        <w:jc w:val="center"/>
        <w:rPr>
          <w:rFonts w:hint="eastAsia" w:ascii="宋体" w:hAnsi="宋体" w:eastAsia="宋体" w:cs="宋体"/>
          <w:b w:val="0"/>
          <w:color w:val="auto"/>
          <w:sz w:val="36"/>
          <w:szCs w:val="30"/>
          <w:highlight w:val="none"/>
        </w:rPr>
      </w:pPr>
    </w:p>
    <w:p w14:paraId="274F687F">
      <w:pPr>
        <w:pStyle w:val="5"/>
        <w:spacing w:before="0" w:after="0" w:line="360" w:lineRule="auto"/>
        <w:jc w:val="center"/>
        <w:rPr>
          <w:rFonts w:hint="eastAsia" w:ascii="宋体" w:hAnsi="宋体" w:eastAsia="宋体" w:cs="宋体"/>
          <w:b w:val="0"/>
          <w:color w:val="auto"/>
          <w:sz w:val="36"/>
          <w:szCs w:val="30"/>
          <w:highlight w:val="none"/>
        </w:rPr>
      </w:pPr>
    </w:p>
    <w:p w14:paraId="13A4567E">
      <w:pPr>
        <w:pStyle w:val="5"/>
        <w:spacing w:before="0" w:after="0" w:line="360" w:lineRule="auto"/>
        <w:jc w:val="center"/>
        <w:rPr>
          <w:rFonts w:hint="eastAsia" w:ascii="宋体" w:hAnsi="宋体" w:eastAsia="宋体" w:cs="宋体"/>
          <w:b w:val="0"/>
          <w:color w:val="auto"/>
          <w:sz w:val="36"/>
          <w:szCs w:val="30"/>
          <w:highlight w:val="none"/>
        </w:rPr>
      </w:pPr>
    </w:p>
    <w:p w14:paraId="13DF6C25">
      <w:pPr>
        <w:pStyle w:val="5"/>
        <w:spacing w:before="0" w:after="0" w:line="360" w:lineRule="auto"/>
        <w:jc w:val="center"/>
        <w:rPr>
          <w:rFonts w:hint="eastAsia" w:ascii="宋体" w:hAnsi="宋体" w:eastAsia="宋体" w:cs="宋体"/>
          <w:b w:val="0"/>
          <w:color w:val="auto"/>
          <w:sz w:val="36"/>
          <w:szCs w:val="30"/>
          <w:highlight w:val="none"/>
        </w:rPr>
      </w:pPr>
    </w:p>
    <w:p w14:paraId="352062CF">
      <w:pPr>
        <w:pStyle w:val="5"/>
        <w:spacing w:before="0" w:after="0" w:line="360" w:lineRule="auto"/>
        <w:jc w:val="center"/>
        <w:rPr>
          <w:rFonts w:hint="eastAsia" w:ascii="宋体" w:hAnsi="宋体" w:eastAsia="宋体" w:cs="宋体"/>
          <w:b w:val="0"/>
          <w:color w:val="auto"/>
          <w:sz w:val="36"/>
          <w:szCs w:val="30"/>
          <w:highlight w:val="none"/>
        </w:rPr>
      </w:pPr>
    </w:p>
    <w:p w14:paraId="60687BC3">
      <w:pPr>
        <w:pStyle w:val="5"/>
        <w:spacing w:before="0" w:after="0" w:line="360" w:lineRule="auto"/>
        <w:jc w:val="both"/>
        <w:rPr>
          <w:rFonts w:hint="eastAsia" w:ascii="宋体" w:hAnsi="宋体" w:eastAsia="宋体" w:cs="宋体"/>
          <w:b w:val="0"/>
          <w:color w:val="auto"/>
          <w:sz w:val="36"/>
          <w:szCs w:val="30"/>
          <w:highlight w:val="none"/>
        </w:rPr>
      </w:pPr>
    </w:p>
    <w:p w14:paraId="3C89EF96">
      <w:pPr>
        <w:pStyle w:val="5"/>
        <w:spacing w:before="0" w:after="0" w:line="360" w:lineRule="auto"/>
        <w:jc w:val="both"/>
        <w:rPr>
          <w:rFonts w:hint="eastAsia" w:ascii="宋体" w:hAnsi="宋体" w:eastAsia="宋体" w:cs="宋体"/>
          <w:b w:val="0"/>
          <w:color w:val="auto"/>
          <w:sz w:val="36"/>
          <w:szCs w:val="30"/>
          <w:highlight w:val="none"/>
        </w:rPr>
      </w:pPr>
    </w:p>
    <w:p w14:paraId="2AE0F85D">
      <w:pPr>
        <w:pStyle w:val="5"/>
        <w:spacing w:before="0" w:after="0" w:line="360" w:lineRule="auto"/>
        <w:jc w:val="both"/>
        <w:rPr>
          <w:rFonts w:hint="eastAsia" w:ascii="宋体" w:hAnsi="宋体" w:eastAsia="宋体" w:cs="宋体"/>
          <w:b w:val="0"/>
          <w:color w:val="auto"/>
          <w:sz w:val="36"/>
          <w:szCs w:val="30"/>
          <w:highlight w:val="none"/>
        </w:rPr>
      </w:pPr>
    </w:p>
    <w:p w14:paraId="36C24328">
      <w:pPr>
        <w:pStyle w:val="5"/>
        <w:spacing w:before="0" w:after="0" w:line="360" w:lineRule="auto"/>
        <w:jc w:val="both"/>
        <w:rPr>
          <w:rFonts w:hint="eastAsia" w:ascii="宋体" w:hAnsi="宋体" w:eastAsia="宋体" w:cs="宋体"/>
          <w:b w:val="0"/>
          <w:color w:val="auto"/>
          <w:sz w:val="36"/>
          <w:szCs w:val="30"/>
          <w:highlight w:val="none"/>
        </w:rPr>
      </w:pPr>
    </w:p>
    <w:p w14:paraId="7A49E326">
      <w:pPr>
        <w:pStyle w:val="5"/>
        <w:spacing w:before="0" w:after="0" w:line="360" w:lineRule="auto"/>
        <w:jc w:val="both"/>
        <w:rPr>
          <w:rFonts w:hint="eastAsia" w:ascii="宋体" w:hAnsi="宋体" w:eastAsia="宋体" w:cs="宋体"/>
          <w:b w:val="0"/>
          <w:color w:val="auto"/>
          <w:sz w:val="36"/>
          <w:szCs w:val="30"/>
          <w:highlight w:val="none"/>
        </w:rPr>
      </w:pPr>
    </w:p>
    <w:p w14:paraId="3DB9073C">
      <w:pPr>
        <w:pStyle w:val="5"/>
        <w:spacing w:before="0" w:after="0" w:line="360" w:lineRule="auto"/>
        <w:jc w:val="both"/>
        <w:rPr>
          <w:rFonts w:hint="eastAsia" w:ascii="宋体" w:hAnsi="宋体" w:eastAsia="宋体" w:cs="宋体"/>
          <w:b w:val="0"/>
          <w:color w:val="auto"/>
          <w:sz w:val="36"/>
          <w:szCs w:val="30"/>
          <w:highlight w:val="none"/>
        </w:rPr>
      </w:pPr>
    </w:p>
    <w:p w14:paraId="6EC8053A">
      <w:pPr>
        <w:rPr>
          <w:rFonts w:hint="eastAsia" w:ascii="宋体" w:hAnsi="宋体" w:eastAsia="宋体" w:cs="宋体"/>
          <w:b w:val="0"/>
          <w:color w:val="auto"/>
          <w:sz w:val="36"/>
          <w:szCs w:val="30"/>
          <w:highlight w:val="none"/>
        </w:rPr>
      </w:pPr>
    </w:p>
    <w:p w14:paraId="1938B1D0">
      <w:pPr>
        <w:pStyle w:val="25"/>
        <w:rPr>
          <w:rFonts w:hint="eastAsia"/>
          <w:color w:val="auto"/>
          <w:highlight w:val="none"/>
        </w:rPr>
      </w:pPr>
    </w:p>
    <w:p w14:paraId="6B89ACE5">
      <w:pPr>
        <w:pStyle w:val="25"/>
        <w:rPr>
          <w:rFonts w:hint="eastAsia" w:ascii="宋体" w:hAnsi="宋体" w:eastAsia="宋体" w:cs="宋体"/>
          <w:b w:val="0"/>
          <w:color w:val="auto"/>
          <w:sz w:val="36"/>
          <w:szCs w:val="30"/>
          <w:highlight w:val="none"/>
        </w:rPr>
      </w:pPr>
    </w:p>
    <w:p w14:paraId="1D3F2B72">
      <w:pPr>
        <w:pStyle w:val="25"/>
        <w:rPr>
          <w:rFonts w:hint="eastAsia" w:ascii="宋体" w:hAnsi="宋体" w:eastAsia="宋体" w:cs="宋体"/>
          <w:b w:val="0"/>
          <w:color w:val="auto"/>
          <w:sz w:val="36"/>
          <w:szCs w:val="30"/>
          <w:highlight w:val="none"/>
        </w:rPr>
      </w:pPr>
    </w:p>
    <w:p w14:paraId="452AE44B">
      <w:pPr>
        <w:pStyle w:val="5"/>
        <w:spacing w:before="0" w:after="0" w:line="360" w:lineRule="auto"/>
        <w:jc w:val="both"/>
        <w:rPr>
          <w:rFonts w:hint="eastAsia" w:ascii="宋体" w:hAnsi="宋体" w:eastAsia="宋体" w:cs="宋体"/>
          <w:b w:val="0"/>
          <w:color w:val="auto"/>
          <w:sz w:val="36"/>
          <w:szCs w:val="30"/>
          <w:highlight w:val="none"/>
        </w:rPr>
      </w:pPr>
    </w:p>
    <w:p w14:paraId="46A7FB99">
      <w:pPr>
        <w:pStyle w:val="5"/>
        <w:spacing w:before="0" w:after="0" w:line="360" w:lineRule="auto"/>
        <w:jc w:val="both"/>
        <w:rPr>
          <w:rFonts w:hint="eastAsia" w:ascii="宋体" w:hAnsi="宋体" w:eastAsia="宋体" w:cs="宋体"/>
          <w:b w:val="0"/>
          <w:color w:val="auto"/>
          <w:sz w:val="36"/>
          <w:szCs w:val="30"/>
          <w:highlight w:val="none"/>
        </w:rPr>
      </w:pPr>
    </w:p>
    <w:p w14:paraId="0F3C03FA">
      <w:pPr>
        <w:rPr>
          <w:rFonts w:hint="eastAsia" w:ascii="宋体" w:hAnsi="宋体" w:eastAsia="宋体" w:cs="宋体"/>
          <w:b w:val="0"/>
          <w:color w:val="auto"/>
          <w:sz w:val="36"/>
          <w:szCs w:val="30"/>
          <w:highlight w:val="none"/>
        </w:rPr>
      </w:pPr>
    </w:p>
    <w:p w14:paraId="2892944A">
      <w:pPr>
        <w:pStyle w:val="5"/>
        <w:numPr>
          <w:ilvl w:val="0"/>
          <w:numId w:val="5"/>
        </w:numPr>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 响应文件编制要求</w:t>
      </w:r>
      <w:bookmarkEnd w:id="263"/>
      <w:bookmarkEnd w:id="264"/>
      <w:bookmarkStart w:id="265" w:name="_Toc110444048"/>
      <w:bookmarkStart w:id="266" w:name="_Toc11297"/>
      <w:bookmarkStart w:id="267" w:name="_Toc28347"/>
      <w:bookmarkStart w:id="268" w:name="_Toc8011"/>
      <w:bookmarkStart w:id="269" w:name="_Toc1277"/>
    </w:p>
    <w:p w14:paraId="21216B72">
      <w:pPr>
        <w:widowControl w:val="0"/>
        <w:numPr>
          <w:ilvl w:val="0"/>
          <w:numId w:val="0"/>
        </w:numPr>
        <w:jc w:val="both"/>
        <w:rPr>
          <w:rFonts w:hint="eastAsia"/>
          <w:color w:val="auto"/>
          <w:highlight w:val="none"/>
        </w:rPr>
      </w:pPr>
    </w:p>
    <w:p w14:paraId="48F48214">
      <w:pPr>
        <w:pStyle w:val="25"/>
        <w:rPr>
          <w:rFonts w:hint="eastAsia"/>
          <w:color w:val="auto"/>
          <w:highlight w:val="none"/>
        </w:rPr>
      </w:pPr>
    </w:p>
    <w:p w14:paraId="539839CB">
      <w:pPr>
        <w:pStyle w:val="25"/>
        <w:rPr>
          <w:rFonts w:hint="eastAsia"/>
          <w:color w:val="auto"/>
          <w:highlight w:val="none"/>
        </w:rPr>
      </w:pPr>
    </w:p>
    <w:p w14:paraId="78D98C17">
      <w:pPr>
        <w:pStyle w:val="25"/>
        <w:rPr>
          <w:rFonts w:hint="eastAsia"/>
          <w:color w:val="auto"/>
          <w:highlight w:val="none"/>
        </w:rPr>
      </w:pPr>
    </w:p>
    <w:p w14:paraId="75CD0364">
      <w:pPr>
        <w:pStyle w:val="25"/>
        <w:rPr>
          <w:rFonts w:hint="eastAsia"/>
          <w:color w:val="auto"/>
          <w:highlight w:val="none"/>
        </w:rPr>
      </w:pPr>
    </w:p>
    <w:p w14:paraId="4B1CC994">
      <w:pPr>
        <w:pStyle w:val="25"/>
        <w:rPr>
          <w:rFonts w:hint="eastAsia"/>
          <w:color w:val="auto"/>
          <w:highlight w:val="none"/>
        </w:rPr>
      </w:pPr>
    </w:p>
    <w:p w14:paraId="2D3EB312">
      <w:pPr>
        <w:pStyle w:val="25"/>
        <w:rPr>
          <w:rFonts w:hint="eastAsia"/>
          <w:color w:val="auto"/>
          <w:highlight w:val="none"/>
        </w:rPr>
      </w:pPr>
    </w:p>
    <w:p w14:paraId="4ABD1444">
      <w:pPr>
        <w:pStyle w:val="25"/>
        <w:rPr>
          <w:rFonts w:hint="eastAsia"/>
          <w:color w:val="auto"/>
          <w:highlight w:val="none"/>
        </w:rPr>
      </w:pPr>
    </w:p>
    <w:p w14:paraId="62F4F7B4">
      <w:pPr>
        <w:pStyle w:val="25"/>
        <w:rPr>
          <w:rFonts w:hint="eastAsia"/>
          <w:color w:val="auto"/>
          <w:highlight w:val="none"/>
        </w:rPr>
      </w:pPr>
    </w:p>
    <w:p w14:paraId="0FCA18AF">
      <w:pPr>
        <w:pStyle w:val="25"/>
        <w:rPr>
          <w:rFonts w:hint="eastAsia"/>
          <w:color w:val="auto"/>
          <w:highlight w:val="none"/>
        </w:rPr>
      </w:pPr>
    </w:p>
    <w:p w14:paraId="75C0A135">
      <w:pPr>
        <w:pStyle w:val="25"/>
        <w:rPr>
          <w:rFonts w:hint="eastAsia"/>
          <w:color w:val="auto"/>
          <w:highlight w:val="none"/>
        </w:rPr>
      </w:pPr>
    </w:p>
    <w:p w14:paraId="1A0DD008">
      <w:pPr>
        <w:pStyle w:val="25"/>
        <w:rPr>
          <w:rFonts w:hint="eastAsia"/>
          <w:color w:val="auto"/>
          <w:highlight w:val="none"/>
        </w:rPr>
      </w:pPr>
    </w:p>
    <w:p w14:paraId="60492DB5">
      <w:pPr>
        <w:pStyle w:val="25"/>
        <w:rPr>
          <w:rFonts w:hint="eastAsia"/>
          <w:color w:val="auto"/>
          <w:highlight w:val="none"/>
        </w:rPr>
      </w:pPr>
    </w:p>
    <w:p w14:paraId="146E6185">
      <w:pPr>
        <w:pStyle w:val="25"/>
        <w:rPr>
          <w:rFonts w:hint="eastAsia"/>
          <w:color w:val="auto"/>
          <w:highlight w:val="none"/>
        </w:rPr>
      </w:pPr>
    </w:p>
    <w:p w14:paraId="5CDF0222">
      <w:pPr>
        <w:pStyle w:val="25"/>
        <w:rPr>
          <w:rFonts w:hint="eastAsia"/>
          <w:color w:val="auto"/>
          <w:highlight w:val="none"/>
        </w:rPr>
      </w:pPr>
    </w:p>
    <w:p w14:paraId="6A8EB4A3">
      <w:pPr>
        <w:pStyle w:val="25"/>
        <w:rPr>
          <w:rFonts w:hint="eastAsia"/>
          <w:color w:val="auto"/>
          <w:highlight w:val="none"/>
        </w:rPr>
      </w:pPr>
    </w:p>
    <w:p w14:paraId="38B17164">
      <w:pPr>
        <w:pStyle w:val="25"/>
        <w:rPr>
          <w:rFonts w:hint="eastAsia"/>
          <w:color w:val="auto"/>
          <w:highlight w:val="none"/>
        </w:rPr>
      </w:pPr>
    </w:p>
    <w:p w14:paraId="0BC22B0C">
      <w:pPr>
        <w:pStyle w:val="25"/>
        <w:rPr>
          <w:rFonts w:hint="eastAsia"/>
          <w:color w:val="auto"/>
          <w:highlight w:val="none"/>
        </w:rPr>
      </w:pPr>
    </w:p>
    <w:p w14:paraId="700C656E">
      <w:pPr>
        <w:pStyle w:val="25"/>
        <w:rPr>
          <w:rFonts w:hint="eastAsia"/>
          <w:color w:val="auto"/>
          <w:highlight w:val="none"/>
        </w:rPr>
      </w:pPr>
    </w:p>
    <w:p w14:paraId="76BC80BD">
      <w:pPr>
        <w:pStyle w:val="25"/>
        <w:rPr>
          <w:rFonts w:hint="eastAsia"/>
          <w:color w:val="auto"/>
          <w:highlight w:val="none"/>
        </w:rPr>
      </w:pPr>
    </w:p>
    <w:p w14:paraId="7EFE1957">
      <w:pPr>
        <w:pStyle w:val="25"/>
        <w:rPr>
          <w:rFonts w:hint="eastAsia"/>
          <w:color w:val="auto"/>
          <w:highlight w:val="none"/>
        </w:rPr>
      </w:pPr>
    </w:p>
    <w:p w14:paraId="2A8E7C5E">
      <w:pPr>
        <w:pStyle w:val="25"/>
        <w:rPr>
          <w:rFonts w:hint="eastAsia"/>
          <w:color w:val="auto"/>
          <w:highlight w:val="none"/>
        </w:rPr>
      </w:pPr>
    </w:p>
    <w:p w14:paraId="77BB3D14">
      <w:pPr>
        <w:pStyle w:val="25"/>
        <w:ind w:left="0" w:leftChars="0" w:firstLine="0" w:firstLineChars="0"/>
        <w:rPr>
          <w:rFonts w:hint="eastAsia"/>
          <w:color w:val="auto"/>
          <w:highlight w:val="none"/>
        </w:rPr>
      </w:pPr>
    </w:p>
    <w:p w14:paraId="42908D67">
      <w:pPr>
        <w:pStyle w:val="25"/>
        <w:rPr>
          <w:rFonts w:hint="eastAsia"/>
          <w:color w:val="auto"/>
          <w:highlight w:val="none"/>
        </w:rPr>
      </w:pPr>
    </w:p>
    <w:p w14:paraId="3FD15FBE">
      <w:pPr>
        <w:spacing w:line="360" w:lineRule="auto"/>
        <w:jc w:val="both"/>
        <w:rPr>
          <w:rStyle w:val="22"/>
          <w:rFonts w:hint="eastAsia" w:ascii="宋体" w:hAnsi="宋体" w:eastAsia="宋体" w:cs="宋体"/>
          <w:b w:val="0"/>
          <w:bCs/>
          <w:color w:val="auto"/>
          <w:sz w:val="28"/>
          <w:szCs w:val="28"/>
          <w:highlight w:val="none"/>
          <w:u w:val="none"/>
          <w:lang w:val="en-US" w:eastAsia="zh-CN"/>
        </w:rPr>
      </w:pPr>
      <w:r>
        <w:rPr>
          <w:rStyle w:val="22"/>
          <w:rFonts w:hint="eastAsia" w:ascii="宋体" w:hAnsi="宋体" w:eastAsia="宋体" w:cs="宋体"/>
          <w:b/>
          <w:bCs w:val="0"/>
          <w:color w:val="auto"/>
          <w:sz w:val="28"/>
          <w:szCs w:val="28"/>
          <w:highlight w:val="none"/>
          <w:lang w:val="en-US" w:eastAsia="zh-CN"/>
        </w:rPr>
        <w:t>项目名称：</w:t>
      </w:r>
      <w:r>
        <w:rPr>
          <w:rStyle w:val="22"/>
          <w:rFonts w:hint="eastAsia" w:ascii="宋体" w:hAnsi="宋体" w:eastAsia="宋体" w:cs="宋体"/>
          <w:b w:val="0"/>
          <w:bCs/>
          <w:color w:val="auto"/>
          <w:sz w:val="28"/>
          <w:szCs w:val="28"/>
          <w:highlight w:val="none"/>
          <w:u w:val="none"/>
          <w:lang w:val="en-US" w:eastAsia="zh-CN"/>
        </w:rPr>
        <w:t xml:space="preserve">                                 </w:t>
      </w:r>
    </w:p>
    <w:p w14:paraId="74CF8DEF">
      <w:pPr>
        <w:spacing w:line="360" w:lineRule="auto"/>
        <w:jc w:val="both"/>
        <w:rPr>
          <w:rStyle w:val="22"/>
          <w:rFonts w:hint="eastAsia" w:ascii="宋体" w:hAnsi="宋体" w:eastAsia="宋体" w:cs="宋体"/>
          <w:color w:val="auto"/>
          <w:sz w:val="36"/>
          <w:szCs w:val="36"/>
          <w:highlight w:val="none"/>
          <w:u w:val="single"/>
          <w:lang w:val="en-US" w:eastAsia="zh-CN"/>
        </w:rPr>
      </w:pPr>
      <w:r>
        <w:rPr>
          <w:rStyle w:val="22"/>
          <w:rFonts w:hint="eastAsia" w:ascii="宋体" w:hAnsi="宋体" w:eastAsia="宋体" w:cs="宋体"/>
          <w:b/>
          <w:bCs w:val="0"/>
          <w:color w:val="auto"/>
          <w:sz w:val="28"/>
          <w:szCs w:val="28"/>
          <w:highlight w:val="none"/>
          <w:lang w:val="en-US" w:eastAsia="zh-CN"/>
        </w:rPr>
        <w:t>项目编号：</w:t>
      </w:r>
      <w:r>
        <w:rPr>
          <w:rStyle w:val="22"/>
          <w:rFonts w:hint="eastAsia" w:ascii="宋体" w:hAnsi="宋体" w:eastAsia="宋体" w:cs="宋体"/>
          <w:b w:val="0"/>
          <w:bCs/>
          <w:color w:val="auto"/>
          <w:sz w:val="28"/>
          <w:szCs w:val="28"/>
          <w:highlight w:val="none"/>
          <w:u w:val="none"/>
          <w:lang w:val="en-US" w:eastAsia="zh-CN"/>
        </w:rPr>
        <w:t xml:space="preserve">                                 </w:t>
      </w:r>
      <w:r>
        <w:rPr>
          <w:rStyle w:val="22"/>
          <w:rFonts w:hint="eastAsia" w:ascii="宋体" w:hAnsi="宋体" w:eastAsia="宋体" w:cs="宋体"/>
          <w:b w:val="0"/>
          <w:bCs/>
          <w:color w:val="auto"/>
          <w:sz w:val="28"/>
          <w:szCs w:val="28"/>
          <w:highlight w:val="none"/>
          <w:lang w:val="en-US" w:eastAsia="zh-CN"/>
        </w:rPr>
        <w:t xml:space="preserve"> </w:t>
      </w:r>
      <w:r>
        <w:rPr>
          <w:rStyle w:val="22"/>
          <w:rFonts w:hint="eastAsia" w:ascii="宋体" w:hAnsi="宋体" w:eastAsia="宋体" w:cs="宋体"/>
          <w:color w:val="auto"/>
          <w:sz w:val="36"/>
          <w:szCs w:val="36"/>
          <w:highlight w:val="none"/>
          <w:lang w:val="en-US" w:eastAsia="zh-CN"/>
        </w:rPr>
        <w:t xml:space="preserve">       </w:t>
      </w:r>
    </w:p>
    <w:p w14:paraId="389614D9">
      <w:pPr>
        <w:spacing w:line="360" w:lineRule="auto"/>
        <w:jc w:val="center"/>
        <w:rPr>
          <w:rStyle w:val="22"/>
          <w:rFonts w:hint="eastAsia" w:ascii="宋体" w:hAnsi="宋体" w:eastAsia="宋体" w:cs="宋体"/>
          <w:color w:val="auto"/>
          <w:sz w:val="36"/>
          <w:szCs w:val="36"/>
          <w:highlight w:val="none"/>
          <w:lang w:val="en-US" w:eastAsia="zh-CN"/>
        </w:rPr>
      </w:pPr>
      <w:r>
        <w:rPr>
          <w:rStyle w:val="22"/>
          <w:rFonts w:hint="eastAsia" w:ascii="宋体" w:hAnsi="宋体" w:eastAsia="宋体" w:cs="宋体"/>
          <w:color w:val="auto"/>
          <w:sz w:val="36"/>
          <w:szCs w:val="36"/>
          <w:highlight w:val="none"/>
          <w:lang w:val="en-US" w:eastAsia="zh-CN"/>
        </w:rPr>
        <w:t xml:space="preserve"> </w:t>
      </w:r>
    </w:p>
    <w:p w14:paraId="29CD0435">
      <w:pPr>
        <w:pStyle w:val="34"/>
        <w:spacing w:line="360" w:lineRule="auto"/>
        <w:rPr>
          <w:rFonts w:hint="eastAsia" w:ascii="宋体" w:hAnsi="宋体" w:eastAsia="宋体" w:cs="宋体"/>
          <w:color w:val="auto"/>
          <w:highlight w:val="none"/>
        </w:rPr>
      </w:pPr>
    </w:p>
    <w:p w14:paraId="13B20C74">
      <w:pPr>
        <w:pStyle w:val="34"/>
        <w:spacing w:line="360" w:lineRule="auto"/>
        <w:rPr>
          <w:rFonts w:hint="eastAsia" w:ascii="宋体" w:hAnsi="宋体" w:eastAsia="宋体" w:cs="宋体"/>
          <w:color w:val="auto"/>
          <w:highlight w:val="none"/>
        </w:rPr>
      </w:pPr>
    </w:p>
    <w:p w14:paraId="709D08FE">
      <w:pPr>
        <w:pStyle w:val="34"/>
        <w:spacing w:line="360" w:lineRule="auto"/>
        <w:rPr>
          <w:rFonts w:hint="eastAsia" w:ascii="宋体" w:hAnsi="宋体" w:eastAsia="宋体" w:cs="宋体"/>
          <w:color w:val="auto"/>
          <w:highlight w:val="none"/>
        </w:rPr>
      </w:pPr>
    </w:p>
    <w:p w14:paraId="4E7E913D">
      <w:pPr>
        <w:pStyle w:val="34"/>
        <w:spacing w:line="360" w:lineRule="auto"/>
        <w:rPr>
          <w:rFonts w:hint="eastAsia" w:ascii="宋体" w:hAnsi="宋体" w:eastAsia="宋体" w:cs="宋体"/>
          <w:color w:val="auto"/>
          <w:highlight w:val="none"/>
        </w:rPr>
      </w:pPr>
    </w:p>
    <w:p w14:paraId="128B8A6B">
      <w:pPr>
        <w:spacing w:line="360" w:lineRule="auto"/>
        <w:jc w:val="center"/>
        <w:rPr>
          <w:rStyle w:val="22"/>
          <w:rFonts w:hint="eastAsia" w:ascii="宋体" w:hAnsi="宋体" w:eastAsia="宋体" w:cs="宋体"/>
          <w:color w:val="auto"/>
          <w:sz w:val="72"/>
          <w:szCs w:val="72"/>
          <w:highlight w:val="none"/>
        </w:rPr>
      </w:pPr>
      <w:r>
        <w:rPr>
          <w:rStyle w:val="22"/>
          <w:rFonts w:hint="eastAsia" w:ascii="宋体" w:hAnsi="宋体" w:eastAsia="宋体" w:cs="宋体"/>
          <w:color w:val="auto"/>
          <w:sz w:val="72"/>
          <w:szCs w:val="72"/>
          <w:highlight w:val="none"/>
        </w:rPr>
        <w:t>响</w:t>
      </w:r>
      <w:r>
        <w:rPr>
          <w:rStyle w:val="22"/>
          <w:rFonts w:hint="eastAsia" w:ascii="宋体" w:hAnsi="宋体" w:eastAsia="宋体" w:cs="宋体"/>
          <w:color w:val="auto"/>
          <w:sz w:val="72"/>
          <w:szCs w:val="72"/>
          <w:highlight w:val="none"/>
          <w:lang w:val="en-US" w:eastAsia="zh-CN"/>
        </w:rPr>
        <w:t xml:space="preserve"> </w:t>
      </w:r>
      <w:r>
        <w:rPr>
          <w:rStyle w:val="22"/>
          <w:rFonts w:hint="eastAsia" w:ascii="宋体" w:hAnsi="宋体" w:eastAsia="宋体" w:cs="宋体"/>
          <w:color w:val="auto"/>
          <w:sz w:val="72"/>
          <w:szCs w:val="72"/>
          <w:highlight w:val="none"/>
        </w:rPr>
        <w:t>应</w:t>
      </w:r>
      <w:r>
        <w:rPr>
          <w:rStyle w:val="22"/>
          <w:rFonts w:hint="eastAsia" w:ascii="宋体" w:hAnsi="宋体" w:eastAsia="宋体" w:cs="宋体"/>
          <w:color w:val="auto"/>
          <w:sz w:val="72"/>
          <w:szCs w:val="72"/>
          <w:highlight w:val="none"/>
          <w:lang w:val="en-US" w:eastAsia="zh-CN"/>
        </w:rPr>
        <w:t xml:space="preserve"> </w:t>
      </w:r>
      <w:r>
        <w:rPr>
          <w:rStyle w:val="22"/>
          <w:rFonts w:hint="eastAsia" w:ascii="宋体" w:hAnsi="宋体" w:eastAsia="宋体" w:cs="宋体"/>
          <w:color w:val="auto"/>
          <w:sz w:val="72"/>
          <w:szCs w:val="72"/>
          <w:highlight w:val="none"/>
        </w:rPr>
        <w:t>文</w:t>
      </w:r>
      <w:r>
        <w:rPr>
          <w:rStyle w:val="22"/>
          <w:rFonts w:hint="eastAsia" w:ascii="宋体" w:hAnsi="宋体" w:eastAsia="宋体" w:cs="宋体"/>
          <w:color w:val="auto"/>
          <w:sz w:val="72"/>
          <w:szCs w:val="72"/>
          <w:highlight w:val="none"/>
          <w:lang w:val="en-US" w:eastAsia="zh-CN"/>
        </w:rPr>
        <w:t xml:space="preserve"> </w:t>
      </w:r>
      <w:r>
        <w:rPr>
          <w:rStyle w:val="22"/>
          <w:rFonts w:hint="eastAsia" w:ascii="宋体" w:hAnsi="宋体" w:eastAsia="宋体" w:cs="宋体"/>
          <w:color w:val="auto"/>
          <w:sz w:val="72"/>
          <w:szCs w:val="72"/>
          <w:highlight w:val="none"/>
        </w:rPr>
        <w:t>件</w:t>
      </w:r>
    </w:p>
    <w:p w14:paraId="0063FED3">
      <w:pPr>
        <w:pStyle w:val="12"/>
        <w:spacing w:line="360" w:lineRule="auto"/>
        <w:rPr>
          <w:rFonts w:hint="eastAsia" w:ascii="宋体" w:hAnsi="宋体" w:eastAsia="宋体" w:cs="宋体"/>
          <w:color w:val="auto"/>
          <w:sz w:val="72"/>
          <w:szCs w:val="72"/>
          <w:highlight w:val="none"/>
        </w:rPr>
      </w:pPr>
    </w:p>
    <w:p w14:paraId="44EFB339">
      <w:pPr>
        <w:spacing w:line="360" w:lineRule="auto"/>
        <w:jc w:val="center"/>
        <w:rPr>
          <w:rFonts w:hint="eastAsia" w:ascii="宋体" w:hAnsi="宋体" w:eastAsia="宋体" w:cs="宋体"/>
          <w:color w:val="auto"/>
          <w:sz w:val="28"/>
          <w:szCs w:val="28"/>
          <w:highlight w:val="none"/>
        </w:rPr>
      </w:pPr>
    </w:p>
    <w:p w14:paraId="5908C50F">
      <w:pPr>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（正本</w:t>
      </w:r>
      <w:r>
        <w:rPr>
          <w:rFonts w:hint="eastAsia" w:ascii="宋体" w:hAnsi="宋体" w:eastAsia="宋体" w:cs="宋体"/>
          <w:color w:val="auto"/>
          <w:sz w:val="32"/>
          <w:szCs w:val="32"/>
          <w:highlight w:val="none"/>
          <w:lang w:val="en-US" w:eastAsia="zh-CN"/>
        </w:rPr>
        <w:t>/副本</w:t>
      </w:r>
      <w:r>
        <w:rPr>
          <w:rFonts w:hint="eastAsia" w:ascii="宋体" w:hAnsi="宋体" w:eastAsia="宋体" w:cs="宋体"/>
          <w:color w:val="auto"/>
          <w:sz w:val="32"/>
          <w:szCs w:val="32"/>
          <w:highlight w:val="none"/>
          <w:lang w:eastAsia="zh-CN"/>
        </w:rPr>
        <w:t>）</w:t>
      </w:r>
    </w:p>
    <w:p w14:paraId="44A2E1F9">
      <w:pPr>
        <w:spacing w:line="360" w:lineRule="auto"/>
        <w:jc w:val="center"/>
        <w:rPr>
          <w:rFonts w:hint="eastAsia" w:ascii="宋体" w:hAnsi="宋体" w:eastAsia="宋体" w:cs="宋体"/>
          <w:color w:val="auto"/>
          <w:sz w:val="18"/>
          <w:szCs w:val="18"/>
          <w:highlight w:val="none"/>
        </w:rPr>
      </w:pPr>
    </w:p>
    <w:p w14:paraId="24E2E9D5">
      <w:pPr>
        <w:spacing w:line="360" w:lineRule="auto"/>
        <w:jc w:val="center"/>
        <w:rPr>
          <w:rFonts w:hint="eastAsia" w:ascii="宋体" w:hAnsi="宋体" w:eastAsia="宋体" w:cs="宋体"/>
          <w:color w:val="auto"/>
          <w:sz w:val="18"/>
          <w:szCs w:val="18"/>
          <w:highlight w:val="none"/>
        </w:rPr>
      </w:pPr>
    </w:p>
    <w:p w14:paraId="2E981F23">
      <w:pPr>
        <w:spacing w:line="360" w:lineRule="auto"/>
        <w:jc w:val="center"/>
        <w:rPr>
          <w:rFonts w:hint="eastAsia" w:ascii="宋体" w:hAnsi="宋体" w:eastAsia="宋体" w:cs="宋体"/>
          <w:color w:val="auto"/>
          <w:sz w:val="18"/>
          <w:szCs w:val="18"/>
          <w:highlight w:val="none"/>
        </w:rPr>
      </w:pPr>
    </w:p>
    <w:p w14:paraId="13EC3507">
      <w:pPr>
        <w:spacing w:line="360" w:lineRule="auto"/>
        <w:jc w:val="center"/>
        <w:rPr>
          <w:rFonts w:hint="eastAsia" w:ascii="宋体" w:hAnsi="宋体" w:eastAsia="宋体" w:cs="宋体"/>
          <w:color w:val="auto"/>
          <w:sz w:val="18"/>
          <w:szCs w:val="18"/>
          <w:highlight w:val="none"/>
        </w:rPr>
      </w:pPr>
    </w:p>
    <w:p w14:paraId="74E7DD84">
      <w:pPr>
        <w:pStyle w:val="26"/>
        <w:spacing w:line="360" w:lineRule="auto"/>
        <w:rPr>
          <w:rFonts w:hint="eastAsia" w:ascii="宋体" w:hAnsi="宋体" w:eastAsia="宋体" w:cs="宋体"/>
          <w:color w:val="auto"/>
          <w:sz w:val="18"/>
          <w:szCs w:val="18"/>
          <w:highlight w:val="none"/>
        </w:rPr>
      </w:pPr>
    </w:p>
    <w:p w14:paraId="6EDBF54D">
      <w:pPr>
        <w:pStyle w:val="26"/>
        <w:spacing w:line="360" w:lineRule="auto"/>
        <w:rPr>
          <w:rFonts w:hint="eastAsia" w:ascii="宋体" w:hAnsi="宋体" w:eastAsia="宋体" w:cs="宋体"/>
          <w:color w:val="auto"/>
          <w:sz w:val="18"/>
          <w:szCs w:val="18"/>
          <w:highlight w:val="none"/>
        </w:rPr>
      </w:pPr>
    </w:p>
    <w:p w14:paraId="254B8D67">
      <w:pPr>
        <w:pStyle w:val="26"/>
        <w:spacing w:line="360" w:lineRule="auto"/>
        <w:rPr>
          <w:rFonts w:hint="eastAsia" w:ascii="宋体" w:hAnsi="宋体" w:eastAsia="宋体" w:cs="宋体"/>
          <w:color w:val="auto"/>
          <w:sz w:val="18"/>
          <w:szCs w:val="18"/>
          <w:highlight w:val="none"/>
        </w:rPr>
      </w:pPr>
    </w:p>
    <w:p w14:paraId="30C7111A">
      <w:pPr>
        <w:pStyle w:val="26"/>
        <w:spacing w:line="360" w:lineRule="auto"/>
        <w:rPr>
          <w:rFonts w:hint="eastAsia" w:ascii="宋体" w:hAnsi="宋体" w:eastAsia="宋体" w:cs="宋体"/>
          <w:color w:val="auto"/>
          <w:sz w:val="18"/>
          <w:szCs w:val="18"/>
          <w:highlight w:val="none"/>
        </w:rPr>
      </w:pPr>
    </w:p>
    <w:p w14:paraId="4FB658F0">
      <w:pPr>
        <w:spacing w:line="360" w:lineRule="auto"/>
        <w:jc w:val="center"/>
        <w:rPr>
          <w:rFonts w:hint="eastAsia" w:ascii="宋体" w:hAnsi="宋体" w:eastAsia="宋体" w:cs="宋体"/>
          <w:color w:val="auto"/>
          <w:sz w:val="18"/>
          <w:szCs w:val="18"/>
          <w:highlight w:val="none"/>
        </w:rPr>
      </w:pPr>
    </w:p>
    <w:p w14:paraId="7699D609">
      <w:pPr>
        <w:spacing w:line="360" w:lineRule="auto"/>
        <w:jc w:val="center"/>
        <w:rPr>
          <w:rFonts w:hint="eastAsia" w:ascii="宋体" w:hAnsi="宋体" w:eastAsia="宋体" w:cs="宋体"/>
          <w:color w:val="auto"/>
          <w:sz w:val="18"/>
          <w:szCs w:val="18"/>
          <w:highlight w:val="none"/>
        </w:rPr>
      </w:pPr>
    </w:p>
    <w:p w14:paraId="6E53F9AE">
      <w:pPr>
        <w:spacing w:line="360" w:lineRule="auto"/>
        <w:jc w:val="center"/>
        <w:rPr>
          <w:rFonts w:hint="eastAsia" w:ascii="宋体" w:hAnsi="宋体" w:eastAsia="宋体" w:cs="宋体"/>
          <w:color w:val="auto"/>
          <w:szCs w:val="28"/>
          <w:highlight w:val="none"/>
        </w:rPr>
      </w:pPr>
    </w:p>
    <w:p w14:paraId="6BF329A2">
      <w:pPr>
        <w:spacing w:line="360" w:lineRule="auto"/>
        <w:jc w:val="center"/>
        <w:rPr>
          <w:rFonts w:hint="eastAsia" w:ascii="宋体" w:hAnsi="宋体" w:eastAsia="宋体" w:cs="宋体"/>
          <w:b/>
          <w:bCs/>
          <w:color w:val="auto"/>
          <w:szCs w:val="28"/>
          <w:highlight w:val="none"/>
        </w:rPr>
      </w:pPr>
      <w:r>
        <w:rPr>
          <w:rFonts w:hint="eastAsia" w:ascii="宋体" w:hAnsi="宋体" w:eastAsia="宋体" w:cs="宋体"/>
          <w:color w:val="auto"/>
          <w:szCs w:val="28"/>
          <w:highlight w:val="none"/>
        </w:rPr>
        <w:t xml:space="preserve">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b/>
          <w:bCs/>
          <w:color w:val="auto"/>
          <w:szCs w:val="28"/>
          <w:highlight w:val="none"/>
        </w:rPr>
        <w:t>供应商名称：</w:t>
      </w:r>
      <w:r>
        <w:rPr>
          <w:rFonts w:hint="eastAsia" w:ascii="宋体" w:hAnsi="宋体" w:eastAsia="宋体" w:cs="宋体"/>
          <w:b/>
          <w:bCs/>
          <w:color w:val="auto"/>
          <w:szCs w:val="28"/>
          <w:highlight w:val="none"/>
          <w:u w:val="single"/>
        </w:rPr>
        <w:t xml:space="preserve">                       </w:t>
      </w:r>
      <w:r>
        <w:rPr>
          <w:rFonts w:hint="eastAsia" w:ascii="宋体" w:hAnsi="宋体" w:eastAsia="宋体" w:cs="宋体"/>
          <w:b/>
          <w:bCs/>
          <w:color w:val="auto"/>
          <w:szCs w:val="28"/>
          <w:highlight w:val="none"/>
        </w:rPr>
        <w:t>(</w:t>
      </w:r>
      <w:r>
        <w:rPr>
          <w:rFonts w:hint="eastAsia" w:ascii="宋体" w:hAnsi="宋体" w:eastAsia="宋体" w:cs="宋体"/>
          <w:color w:val="auto"/>
          <w:highlight w:val="none"/>
        </w:rPr>
        <w:t>公章</w:t>
      </w:r>
      <w:r>
        <w:rPr>
          <w:rFonts w:hint="eastAsia" w:ascii="宋体" w:hAnsi="宋体" w:eastAsia="宋体" w:cs="宋体"/>
          <w:b/>
          <w:bCs/>
          <w:color w:val="auto"/>
          <w:szCs w:val="28"/>
          <w:highlight w:val="none"/>
        </w:rPr>
        <w:t>)</w:t>
      </w:r>
      <w:bookmarkStart w:id="270" w:name="_Toc17074"/>
    </w:p>
    <w:p w14:paraId="489185C8">
      <w:pPr>
        <w:spacing w:line="360" w:lineRule="auto"/>
        <w:jc w:val="center"/>
        <w:rPr>
          <w:rFonts w:hint="eastAsia" w:ascii="宋体" w:hAnsi="宋体" w:eastAsia="宋体" w:cs="宋体"/>
          <w:b/>
          <w:bCs/>
          <w:color w:val="auto"/>
          <w:szCs w:val="28"/>
          <w:highlight w:val="none"/>
        </w:rPr>
      </w:pPr>
    </w:p>
    <w:p w14:paraId="6EB3C207">
      <w:pPr>
        <w:spacing w:line="360" w:lineRule="auto"/>
        <w:jc w:val="center"/>
        <w:rPr>
          <w:rFonts w:hint="eastAsia" w:ascii="宋体" w:hAnsi="宋体" w:eastAsia="宋体" w:cs="宋体"/>
          <w:b/>
          <w:bCs/>
          <w:color w:val="auto"/>
          <w:szCs w:val="28"/>
          <w:highlight w:val="none"/>
        </w:rPr>
      </w:pPr>
    </w:p>
    <w:p w14:paraId="4E7A4561">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一、经济部分</w:t>
      </w:r>
    </w:p>
    <w:p w14:paraId="40713DB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2E3FA7C3">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（二）已标价工程量清单</w:t>
      </w:r>
    </w:p>
    <w:p w14:paraId="7EA5AA7F">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二、技术</w:t>
      </w:r>
      <w:r>
        <w:rPr>
          <w:rFonts w:hint="eastAsia" w:ascii="仿宋" w:hAnsi="仿宋" w:eastAsia="仿宋" w:cs="仿宋"/>
          <w:b/>
          <w:bCs/>
          <w:color w:val="auto"/>
          <w:sz w:val="24"/>
          <w:szCs w:val="24"/>
          <w:highlight w:val="none"/>
          <w:lang w:eastAsia="zh-CN"/>
        </w:rPr>
        <w:t>部分</w:t>
      </w:r>
    </w:p>
    <w:p w14:paraId="25717AA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lang w:val="en-US" w:eastAsia="zh-CN"/>
        </w:rPr>
        <w:t>响应偏离</w:t>
      </w:r>
      <w:r>
        <w:rPr>
          <w:rFonts w:hint="eastAsia" w:ascii="仿宋" w:hAnsi="仿宋" w:eastAsia="仿宋" w:cs="仿宋"/>
          <w:color w:val="auto"/>
          <w:sz w:val="24"/>
          <w:szCs w:val="24"/>
          <w:highlight w:val="none"/>
          <w:lang w:eastAsia="zh-CN"/>
        </w:rPr>
        <w:t>表</w:t>
      </w:r>
    </w:p>
    <w:p w14:paraId="3BA69527">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技术方案</w:t>
      </w:r>
    </w:p>
    <w:p w14:paraId="0186C820">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三、商务部分</w:t>
      </w:r>
    </w:p>
    <w:p w14:paraId="342E2D8B">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4DD12CC1">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（二）其他资料（格式自定）</w:t>
      </w:r>
    </w:p>
    <w:p w14:paraId="24FE0CBB">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四、资格条件部分</w:t>
      </w:r>
    </w:p>
    <w:p w14:paraId="14EE568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427C120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4456AF7E">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1DA064D6">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14:paraId="2D204F0A">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（五）特定资格条件证书或证明文件</w:t>
      </w:r>
    </w:p>
    <w:p w14:paraId="7860FF00">
      <w:pPr>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五、其他应提供的资料</w:t>
      </w:r>
    </w:p>
    <w:p w14:paraId="46A1BC48">
      <w:pPr>
        <w:pageBreakBefore w:val="0"/>
        <w:widowControl w:val="0"/>
        <w:tabs>
          <w:tab w:val="left" w:pos="6300"/>
        </w:tabs>
        <w:kinsoku/>
        <w:wordWrap/>
        <w:overflowPunct/>
        <w:topLinePunct w:val="0"/>
        <w:autoSpaceDE/>
        <w:autoSpaceDN/>
        <w:bidi w:val="0"/>
        <w:adjustRightInd/>
        <w:snapToGrid w:val="0"/>
        <w:spacing w:line="480" w:lineRule="exact"/>
        <w:ind w:firstLine="480" w:firstLineChars="200"/>
        <w:jc w:val="left"/>
        <w:textAlignment w:val="auto"/>
        <w:rPr>
          <w:rFonts w:hint="eastAsia" w:ascii="仿宋" w:hAnsi="仿宋" w:eastAsia="仿宋" w:cs="仿宋"/>
          <w:color w:val="auto"/>
          <w:sz w:val="24"/>
          <w:szCs w:val="24"/>
          <w:highlight w:val="none"/>
          <w:bdr w:val="single" w:color="auto" w:sz="4" w:space="0"/>
        </w:rPr>
        <w:sectPr>
          <w:pgSz w:w="11907" w:h="16840"/>
          <w:pgMar w:top="1134" w:right="1191" w:bottom="1134" w:left="1304" w:header="851" w:footer="992" w:gutter="0"/>
          <w:pgNumType w:fmt="decimal"/>
          <w:cols w:space="720" w:num="1"/>
          <w:docGrid w:linePitch="380" w:charSpace="-5735"/>
        </w:sectPr>
      </w:pPr>
      <w:r>
        <w:rPr>
          <w:rFonts w:hint="eastAsia" w:ascii="仿宋" w:hAnsi="仿宋" w:eastAsia="仿宋" w:cs="仿宋"/>
          <w:color w:val="auto"/>
          <w:sz w:val="24"/>
          <w:szCs w:val="24"/>
          <w:highlight w:val="none"/>
        </w:rPr>
        <w:t>（一）其他与项目有关的资料（自附）</w:t>
      </w:r>
    </w:p>
    <w:p w14:paraId="63CF739C">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一、经济部分</w:t>
      </w:r>
    </w:p>
    <w:p w14:paraId="67C13620">
      <w:pPr>
        <w:tabs>
          <w:tab w:val="left" w:pos="6300"/>
        </w:tabs>
        <w:snapToGrid w:val="0"/>
        <w:spacing w:line="312"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（一）报价函</w:t>
      </w:r>
    </w:p>
    <w:p w14:paraId="0B5B488B">
      <w:pPr>
        <w:tabs>
          <w:tab w:val="left" w:pos="6300"/>
        </w:tabs>
        <w:snapToGrid w:val="0"/>
        <w:spacing w:line="360" w:lineRule="auto"/>
        <w:jc w:val="center"/>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报价函</w:t>
      </w:r>
    </w:p>
    <w:p w14:paraId="4A7E203B">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_________________（采购人名称）：</w:t>
      </w:r>
    </w:p>
    <w:p w14:paraId="2DA54F2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w:t>
      </w:r>
      <w:r>
        <w:rPr>
          <w:rFonts w:hint="eastAsia" w:ascii="宋体" w:hAnsi="宋体" w:eastAsia="宋体" w:cs="宋体"/>
          <w:color w:val="auto"/>
          <w:sz w:val="24"/>
          <w:szCs w:val="24"/>
          <w:highlight w:val="none"/>
          <w:lang w:eastAsia="zh-CN"/>
        </w:rPr>
        <w:t>比选</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，经详细研究，决定参加该项目的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67120B30">
      <w:pPr>
        <w:numPr>
          <w:ilvl w:val="0"/>
          <w:numId w:val="6"/>
        </w:numPr>
        <w:tabs>
          <w:tab w:val="left" w:pos="6300"/>
        </w:tabs>
        <w:snapToGrid w:val="0"/>
        <w:spacing w:line="360" w:lineRule="auto"/>
        <w:ind w:left="-36" w:leftChars="0" w:firstLine="458"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愿意按照</w:t>
      </w:r>
      <w:r>
        <w:rPr>
          <w:rFonts w:hint="eastAsia" w:ascii="宋体" w:hAnsi="宋体" w:eastAsia="宋体" w:cs="宋体"/>
          <w:color w:val="auto"/>
          <w:sz w:val="24"/>
          <w:szCs w:val="24"/>
          <w:highlight w:val="none"/>
          <w:lang w:eastAsia="zh-CN"/>
        </w:rPr>
        <w:t>比选</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中的一切要求，提供本项目的</w:t>
      </w:r>
      <w:r>
        <w:rPr>
          <w:rFonts w:hint="eastAsia" w:ascii="宋体" w:hAnsi="宋体" w:eastAsia="宋体" w:cs="宋体"/>
          <w:color w:val="auto"/>
          <w:sz w:val="24"/>
          <w:szCs w:val="24"/>
          <w:highlight w:val="none"/>
          <w:lang w:val="en-US" w:eastAsia="zh-CN"/>
        </w:rPr>
        <w:t>工程施工</w:t>
      </w:r>
      <w:r>
        <w:rPr>
          <w:rFonts w:hint="eastAsia" w:ascii="宋体" w:hAnsi="宋体" w:eastAsia="宋体" w:cs="宋体"/>
          <w:color w:val="auto"/>
          <w:sz w:val="24"/>
          <w:szCs w:val="24"/>
          <w:highlight w:val="none"/>
        </w:rPr>
        <w:t>服务，报价为人民币</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小写：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（其中安全文明施工费：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日历天,按合同约定实施和完成承包工程，修补工程中的任何缺陷，工程质量达到</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w:t>
      </w:r>
    </w:p>
    <w:p w14:paraId="6DFCCCAD">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47F0046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的有效期为90天。</w:t>
      </w:r>
    </w:p>
    <w:p w14:paraId="44C5924B">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的一切规定和要求及评审办法。</w:t>
      </w:r>
    </w:p>
    <w:p w14:paraId="0F656DD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过程中，我方若有违规行为，</w:t>
      </w:r>
      <w:r>
        <w:rPr>
          <w:rFonts w:hint="eastAsia" w:ascii="宋体" w:hAnsi="宋体" w:eastAsia="宋体" w:cs="宋体"/>
          <w:color w:val="auto"/>
          <w:sz w:val="24"/>
          <w:szCs w:val="24"/>
          <w:highlight w:val="none"/>
          <w:lang w:eastAsia="zh-CN"/>
        </w:rPr>
        <w:t>自愿</w:t>
      </w:r>
      <w:r>
        <w:rPr>
          <w:rFonts w:hint="eastAsia" w:ascii="宋体" w:hAnsi="宋体" w:eastAsia="宋体" w:cs="宋体"/>
          <w:color w:val="auto"/>
          <w:sz w:val="24"/>
          <w:szCs w:val="24"/>
          <w:highlight w:val="none"/>
        </w:rPr>
        <w:t>接受按照《中华人民共和国政府采购法》和《</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》之规定给予惩罚。</w:t>
      </w:r>
    </w:p>
    <w:p w14:paraId="3AD2FBC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.我方若成为成交供应商，将按照</w:t>
      </w:r>
      <w:r>
        <w:rPr>
          <w:rFonts w:hint="eastAsia" w:ascii="宋体" w:hAnsi="宋体" w:eastAsia="宋体" w:cs="宋体"/>
          <w:color w:val="auto"/>
          <w:sz w:val="24"/>
          <w:szCs w:val="24"/>
          <w:highlight w:val="none"/>
          <w:lang w:eastAsia="zh-CN"/>
        </w:rPr>
        <w:t>采购报价</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46EC73A2">
      <w:pPr>
        <w:tabs>
          <w:tab w:val="left" w:pos="6300"/>
        </w:tabs>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7.我方同意按</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规定，如果我方成为成交供应商，保证在接到成交通知书前，向采购代理机构缴纳</w:t>
      </w:r>
      <w:r>
        <w:rPr>
          <w:rFonts w:hint="eastAsia" w:ascii="宋体" w:hAnsi="宋体" w:eastAsia="宋体" w:cs="宋体"/>
          <w:color w:val="auto"/>
          <w:sz w:val="24"/>
          <w:szCs w:val="24"/>
          <w:highlight w:val="none"/>
          <w:lang w:eastAsia="zh-CN"/>
        </w:rPr>
        <w:t>竞争性比选文件中</w:t>
      </w:r>
      <w:r>
        <w:rPr>
          <w:rFonts w:hint="eastAsia" w:ascii="宋体" w:hAnsi="宋体" w:eastAsia="宋体" w:cs="宋体"/>
          <w:color w:val="auto"/>
          <w:sz w:val="24"/>
          <w:szCs w:val="24"/>
          <w:highlight w:val="none"/>
        </w:rPr>
        <w:t>规定的采购代理服务费。</w:t>
      </w:r>
    </w:p>
    <w:p w14:paraId="44593360">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我方未为采购项目提供整体设计、规范编制或者项目管理、监理、检测等服务。</w:t>
      </w:r>
    </w:p>
    <w:p w14:paraId="528E5500">
      <w:pPr>
        <w:tabs>
          <w:tab w:val="left" w:pos="6300"/>
        </w:tabs>
        <w:snapToGrid w:val="0"/>
        <w:spacing w:line="360" w:lineRule="auto"/>
        <w:ind w:firstLine="570"/>
        <w:rPr>
          <w:rFonts w:hint="eastAsia" w:ascii="宋体" w:hAnsi="宋体" w:eastAsia="宋体" w:cs="宋体"/>
          <w:color w:val="auto"/>
          <w:sz w:val="24"/>
          <w:szCs w:val="24"/>
          <w:highlight w:val="none"/>
        </w:rPr>
      </w:pPr>
    </w:p>
    <w:p w14:paraId="7C280D3C">
      <w:pPr>
        <w:tabs>
          <w:tab w:val="left" w:pos="6300"/>
        </w:tabs>
        <w:snapToGrid w:val="0"/>
        <w:spacing w:line="360" w:lineRule="auto"/>
        <w:ind w:firstLine="570"/>
        <w:rPr>
          <w:rFonts w:hint="eastAsia" w:ascii="宋体" w:hAnsi="宋体" w:eastAsia="宋体" w:cs="宋体"/>
          <w:color w:val="auto"/>
          <w:sz w:val="24"/>
          <w:szCs w:val="24"/>
          <w:highlight w:val="none"/>
        </w:rPr>
      </w:pPr>
    </w:p>
    <w:p w14:paraId="161C6F7D">
      <w:pPr>
        <w:tabs>
          <w:tab w:val="left" w:pos="6300"/>
        </w:tabs>
        <w:snapToGrid w:val="0"/>
        <w:spacing w:line="360" w:lineRule="auto"/>
        <w:ind w:firstLine="570"/>
        <w:rPr>
          <w:rFonts w:hint="eastAsia" w:ascii="宋体" w:hAnsi="宋体" w:eastAsia="宋体" w:cs="宋体"/>
          <w:color w:val="auto"/>
          <w:sz w:val="24"/>
          <w:szCs w:val="24"/>
          <w:highlight w:val="none"/>
        </w:rPr>
      </w:pPr>
    </w:p>
    <w:p w14:paraId="1DCD3522">
      <w:pPr>
        <w:tabs>
          <w:tab w:val="left" w:pos="6300"/>
        </w:tabs>
        <w:snapToGrid w:val="0"/>
        <w:spacing w:line="360" w:lineRule="auto"/>
        <w:ind w:firstLine="570"/>
        <w:rPr>
          <w:rFonts w:hint="eastAsia" w:ascii="宋体" w:hAnsi="宋体" w:eastAsia="宋体" w:cs="宋体"/>
          <w:color w:val="auto"/>
          <w:sz w:val="24"/>
          <w:szCs w:val="24"/>
          <w:highlight w:val="none"/>
        </w:rPr>
      </w:pPr>
    </w:p>
    <w:p w14:paraId="470AA4F3">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w:t>
      </w:r>
    </w:p>
    <w:p w14:paraId="4E62A8D9">
      <w:pPr>
        <w:snapToGrid w:val="0"/>
        <w:spacing w:line="360" w:lineRule="auto"/>
        <w:ind w:firstLine="480" w:firstLineChars="200"/>
        <w:rPr>
          <w:rFonts w:hint="eastAsia" w:ascii="宋体" w:hAnsi="宋体" w:eastAsia="宋体" w:cs="宋体"/>
          <w:color w:val="auto"/>
          <w:sz w:val="24"/>
          <w:szCs w:val="24"/>
          <w:highlight w:val="none"/>
        </w:rPr>
        <w:sectPr>
          <w:footerReference r:id="rId8"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14:paraId="61BD303B">
      <w:pPr>
        <w:tabs>
          <w:tab w:val="left" w:pos="6300"/>
        </w:tabs>
        <w:snapToGrid w:val="0"/>
        <w:spacing w:line="312"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（二）已标价工程量清单</w:t>
      </w:r>
    </w:p>
    <w:p w14:paraId="6C55B8A8">
      <w:pPr>
        <w:tabs>
          <w:tab w:val="left" w:pos="6300"/>
        </w:tabs>
        <w:snapToGrid w:val="0"/>
        <w:spacing w:line="312" w:lineRule="auto"/>
        <w:ind w:firstLine="720" w:firstLineChars="300"/>
        <w:rPr>
          <w:rFonts w:hint="eastAsia" w:ascii="宋体" w:hAnsi="宋体" w:eastAsia="宋体" w:cs="宋体"/>
          <w:bCs/>
          <w:color w:val="auto"/>
          <w:sz w:val="24"/>
          <w:szCs w:val="24"/>
          <w:highlight w:val="none"/>
          <w:lang w:eastAsia="zh-CN"/>
        </w:rPr>
      </w:pPr>
    </w:p>
    <w:p w14:paraId="5AFF6994">
      <w:pPr>
        <w:tabs>
          <w:tab w:val="left" w:pos="6300"/>
        </w:tabs>
        <w:snapToGrid w:val="0"/>
        <w:spacing w:line="312" w:lineRule="auto"/>
        <w:ind w:firstLine="720" w:firstLineChars="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供应商根据清单自行组价</w:t>
      </w:r>
      <w:r>
        <w:rPr>
          <w:rFonts w:hint="eastAsia" w:ascii="宋体" w:hAnsi="宋体" w:eastAsia="宋体" w:cs="宋体"/>
          <w:bCs/>
          <w:color w:val="auto"/>
          <w:sz w:val="24"/>
          <w:szCs w:val="24"/>
          <w:highlight w:val="none"/>
        </w:rPr>
        <w:t>并逐页</w:t>
      </w:r>
      <w:r>
        <w:rPr>
          <w:rFonts w:hint="eastAsia" w:ascii="宋体" w:hAnsi="宋体" w:eastAsia="宋体" w:cs="宋体"/>
          <w:bCs/>
          <w:color w:val="auto"/>
          <w:sz w:val="24"/>
          <w:szCs w:val="24"/>
          <w:highlight w:val="none"/>
          <w:lang w:eastAsia="zh-CN"/>
        </w:rPr>
        <w:t>盖章</w:t>
      </w:r>
      <w:r>
        <w:rPr>
          <w:rFonts w:hint="eastAsia" w:ascii="宋体" w:hAnsi="宋体" w:eastAsia="宋体" w:cs="宋体"/>
          <w:bCs/>
          <w:color w:val="auto"/>
          <w:sz w:val="24"/>
          <w:szCs w:val="24"/>
          <w:highlight w:val="none"/>
        </w:rPr>
        <w:t>。</w:t>
      </w:r>
    </w:p>
    <w:p w14:paraId="71B0AC57">
      <w:pPr>
        <w:widowControl w:val="0"/>
        <w:spacing w:line="312" w:lineRule="auto"/>
        <w:ind w:firstLine="480"/>
        <w:jc w:val="center"/>
        <w:rPr>
          <w:rFonts w:hint="eastAsia" w:ascii="宋体" w:hAnsi="宋体" w:eastAsia="宋体" w:cs="宋体"/>
          <w:color w:val="auto"/>
          <w:kern w:val="2"/>
          <w:sz w:val="24"/>
          <w:szCs w:val="24"/>
          <w:highlight w:val="none"/>
          <w:lang w:val="en-US" w:eastAsia="zh-CN" w:bidi="ar-SA"/>
        </w:rPr>
      </w:pPr>
    </w:p>
    <w:p w14:paraId="0C4FDA09">
      <w:pPr>
        <w:widowControl w:val="0"/>
        <w:spacing w:line="312" w:lineRule="auto"/>
        <w:ind w:firstLine="480"/>
        <w:jc w:val="center"/>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053FA779">
      <w:pPr>
        <w:widowControl w:val="0"/>
        <w:spacing w:line="312" w:lineRule="auto"/>
        <w:ind w:firstLine="420" w:firstLineChars="0"/>
        <w:jc w:val="both"/>
        <w:rPr>
          <w:rFonts w:hint="eastAsia" w:ascii="宋体" w:hAnsi="宋体" w:eastAsia="宋体" w:cs="宋体"/>
          <w:b/>
          <w:color w:val="auto"/>
          <w:sz w:val="28"/>
          <w:szCs w:val="28"/>
          <w:highlight w:val="none"/>
        </w:rPr>
      </w:pPr>
    </w:p>
    <w:p w14:paraId="4418A154">
      <w:pPr>
        <w:widowControl w:val="0"/>
        <w:spacing w:line="312" w:lineRule="auto"/>
        <w:ind w:firstLine="0" w:firstLineChars="0"/>
        <w:jc w:val="both"/>
        <w:rPr>
          <w:rFonts w:hint="eastAsia" w:ascii="宋体" w:hAnsi="宋体" w:eastAsia="宋体" w:cs="宋体"/>
          <w:b/>
          <w:color w:val="auto"/>
          <w:sz w:val="28"/>
          <w:szCs w:val="28"/>
          <w:highlight w:val="none"/>
        </w:rPr>
      </w:pPr>
    </w:p>
    <w:p w14:paraId="31F7003D">
      <w:pPr>
        <w:spacing w:line="312" w:lineRule="auto"/>
        <w:ind w:firstLine="480" w:firstLineChars="200"/>
        <w:rPr>
          <w:rFonts w:hint="eastAsia" w:ascii="宋体" w:hAnsi="宋体" w:eastAsia="宋体" w:cs="宋体"/>
          <w:color w:val="auto"/>
          <w:sz w:val="24"/>
          <w:szCs w:val="24"/>
          <w:highlight w:val="none"/>
        </w:rPr>
        <w:sectPr>
          <w:headerReference r:id="rId9" w:type="default"/>
          <w:footerReference r:id="rId10" w:type="default"/>
          <w:pgSz w:w="11907" w:h="16840"/>
          <w:pgMar w:top="1440" w:right="1803" w:bottom="1440" w:left="1803" w:header="964" w:footer="992" w:gutter="0"/>
          <w:pgNumType w:fmt="numberInDash"/>
          <w:cols w:space="720" w:num="1"/>
          <w:docGrid w:linePitch="312" w:charSpace="0"/>
        </w:sectPr>
      </w:pPr>
    </w:p>
    <w:p w14:paraId="0BE6B270">
      <w:pPr>
        <w:numPr>
          <w:ilvl w:val="0"/>
          <w:numId w:val="0"/>
        </w:numPr>
        <w:spacing w:line="312" w:lineRule="auto"/>
        <w:rPr>
          <w:rFonts w:hint="eastAsia" w:ascii="宋体" w:hAnsi="宋体" w:eastAsia="宋体" w:cs="宋体"/>
          <w:b/>
          <w:color w:val="auto"/>
          <w:sz w:val="24"/>
          <w:szCs w:val="24"/>
          <w:highlight w:val="none"/>
          <w:lang w:val="en-US" w:eastAsia="zh-CN"/>
        </w:rPr>
      </w:pPr>
    </w:p>
    <w:bookmarkEnd w:id="270"/>
    <w:p w14:paraId="2B9AAF46">
      <w:pPr>
        <w:pStyle w:val="6"/>
        <w:spacing w:before="0" w:after="0" w:line="360" w:lineRule="auto"/>
        <w:rPr>
          <w:rFonts w:hint="eastAsia" w:asciiTheme="minorEastAsia" w:hAnsiTheme="minorEastAsia" w:eastAsiaTheme="minorEastAsia" w:cstheme="minorEastAsia"/>
          <w:color w:val="auto"/>
          <w:sz w:val="24"/>
          <w:szCs w:val="24"/>
          <w:highlight w:val="none"/>
          <w:lang w:eastAsia="zh-CN"/>
        </w:rPr>
      </w:pPr>
      <w:bookmarkStart w:id="271" w:name="_Toc313008357"/>
      <w:bookmarkStart w:id="272" w:name="_Toc313888361"/>
      <w:bookmarkStart w:id="273" w:name="_Toc342913420"/>
      <w:bookmarkStart w:id="274" w:name="_Toc12453"/>
      <w:r>
        <w:rPr>
          <w:rFonts w:hint="eastAsia" w:asciiTheme="minorEastAsia" w:hAnsiTheme="minorEastAsia" w:eastAsiaTheme="minorEastAsia" w:cstheme="minorEastAsia"/>
          <w:color w:val="auto"/>
          <w:sz w:val="24"/>
          <w:szCs w:val="24"/>
          <w:highlight w:val="none"/>
        </w:rPr>
        <w:t>二、</w:t>
      </w:r>
      <w:bookmarkEnd w:id="271"/>
      <w:bookmarkEnd w:id="272"/>
      <w:bookmarkEnd w:id="273"/>
      <w:r>
        <w:rPr>
          <w:rFonts w:hint="eastAsia" w:asciiTheme="minorEastAsia" w:hAnsiTheme="minorEastAsia" w:eastAsiaTheme="minorEastAsia" w:cstheme="minorEastAsia"/>
          <w:color w:val="auto"/>
          <w:sz w:val="24"/>
          <w:szCs w:val="24"/>
          <w:highlight w:val="none"/>
        </w:rPr>
        <w:t>技术</w:t>
      </w:r>
      <w:r>
        <w:rPr>
          <w:rFonts w:hint="eastAsia" w:asciiTheme="minorEastAsia" w:hAnsiTheme="minorEastAsia" w:eastAsiaTheme="minorEastAsia" w:cstheme="minorEastAsia"/>
          <w:color w:val="auto"/>
          <w:sz w:val="24"/>
          <w:szCs w:val="24"/>
          <w:highlight w:val="none"/>
          <w:lang w:eastAsia="zh-CN"/>
        </w:rPr>
        <w:t>部分</w:t>
      </w:r>
      <w:bookmarkEnd w:id="274"/>
    </w:p>
    <w:p w14:paraId="797D880F">
      <w:pPr>
        <w:tabs>
          <w:tab w:val="left" w:pos="6300"/>
        </w:tabs>
        <w:snapToGrid w:val="0"/>
        <w:spacing w:line="312"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（一）</w:t>
      </w:r>
      <w:r>
        <w:rPr>
          <w:rFonts w:hint="eastAsia" w:asciiTheme="minorEastAsia" w:hAnsiTheme="minorEastAsia" w:eastAsiaTheme="minorEastAsia" w:cstheme="minorEastAsia"/>
          <w:bCs/>
          <w:color w:val="auto"/>
          <w:sz w:val="24"/>
          <w:szCs w:val="24"/>
          <w:highlight w:val="none"/>
          <w:lang w:eastAsia="zh-CN"/>
        </w:rPr>
        <w:t>技术</w:t>
      </w:r>
      <w:r>
        <w:rPr>
          <w:rFonts w:hint="eastAsia" w:asciiTheme="minorEastAsia" w:hAnsiTheme="minorEastAsia" w:eastAsiaTheme="minorEastAsia" w:cstheme="minorEastAsia"/>
          <w:bCs/>
          <w:color w:val="auto"/>
          <w:sz w:val="24"/>
          <w:szCs w:val="24"/>
          <w:highlight w:val="none"/>
          <w:lang w:val="en-US" w:eastAsia="zh-CN"/>
        </w:rPr>
        <w:t>响应偏离</w:t>
      </w:r>
      <w:r>
        <w:rPr>
          <w:rFonts w:hint="eastAsia" w:asciiTheme="minorEastAsia" w:hAnsiTheme="minorEastAsia" w:eastAsiaTheme="minorEastAsia" w:cstheme="minorEastAsia"/>
          <w:bCs/>
          <w:color w:val="auto"/>
          <w:sz w:val="24"/>
          <w:szCs w:val="24"/>
          <w:highlight w:val="none"/>
          <w:lang w:eastAsia="zh-CN"/>
        </w:rPr>
        <w:t>表</w:t>
      </w:r>
    </w:p>
    <w:p w14:paraId="5685EBCD">
      <w:pPr>
        <w:tabs>
          <w:tab w:val="left" w:pos="2145"/>
        </w:tabs>
        <w:spacing w:line="360" w:lineRule="auto"/>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ab/>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3228"/>
        <w:gridCol w:w="2520"/>
        <w:gridCol w:w="1888"/>
      </w:tblGrid>
      <w:tr w14:paraId="0C09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0" w:type="dxa"/>
            <w:noWrap w:val="0"/>
            <w:vAlign w:val="center"/>
          </w:tcPr>
          <w:p w14:paraId="2D358682">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228" w:type="dxa"/>
            <w:noWrap w:val="0"/>
            <w:vAlign w:val="center"/>
          </w:tcPr>
          <w:p w14:paraId="4EB29DEC">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项目技术</w:t>
            </w:r>
            <w:r>
              <w:rPr>
                <w:rFonts w:hint="eastAsia" w:asciiTheme="minorEastAsia" w:hAnsiTheme="minorEastAsia" w:eastAsiaTheme="minorEastAsia" w:cstheme="minorEastAsia"/>
                <w:color w:val="auto"/>
                <w:sz w:val="24"/>
                <w:szCs w:val="24"/>
                <w:highlight w:val="none"/>
              </w:rPr>
              <w:t>需求</w:t>
            </w:r>
          </w:p>
        </w:tc>
        <w:tc>
          <w:tcPr>
            <w:tcW w:w="2520" w:type="dxa"/>
            <w:noWrap w:val="0"/>
            <w:vAlign w:val="center"/>
          </w:tcPr>
          <w:p w14:paraId="02707CFF">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响应情况</w:t>
            </w:r>
          </w:p>
        </w:tc>
        <w:tc>
          <w:tcPr>
            <w:tcW w:w="1888" w:type="dxa"/>
            <w:noWrap w:val="0"/>
            <w:vAlign w:val="center"/>
          </w:tcPr>
          <w:p w14:paraId="5E850A3E">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差异说明</w:t>
            </w:r>
          </w:p>
        </w:tc>
      </w:tr>
      <w:tr w14:paraId="224E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2C2D6DF3">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0435B2C3">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4E29BE50">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05093F79">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1535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264AE3DB">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2AAF8C81">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2E858DA0">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6D5C690F">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1E6A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4ECC4FF6">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3538EC7E">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0E050C47">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7CBA60EF">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5E32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2011DDBD">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1BC7DF2F">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3EBF7AB8">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6C59D1EB">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623B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23B2DB43">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57053143">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05CC2003">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0DF749CF">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0215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6F0AF031">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2BE3B170">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2E73F296">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0BDF4743">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6F46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355AD604">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2D1CBA4A">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25E648EC">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5741AA19">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3692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67292FD1">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31CB0657">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2A3F08FC">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4662D921">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4968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384EBA18">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0EFB38C0">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6D412E0E">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1FB5AC9A">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4CE2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2933240D">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5C44A1E8">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78D16824">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7F5C16DB">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14:paraId="323A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14:paraId="1CBE416F">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14:paraId="72FB219D">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77EA3774">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6FEDC052">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bl>
    <w:p w14:paraId="105FDD0A">
      <w:pPr>
        <w:spacing w:line="500" w:lineRule="exact"/>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法定代表人（或法定代表人授权代表）：</w:t>
      </w:r>
    </w:p>
    <w:p w14:paraId="2B59288E">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2F2FC79">
      <w:pPr>
        <w:spacing w:line="5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                                 （签字或盖章）</w:t>
      </w:r>
    </w:p>
    <w:p w14:paraId="6BEB479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2D6E77E9">
      <w:pPr>
        <w:tabs>
          <w:tab w:val="left" w:pos="6300"/>
        </w:tabs>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2FA9689F">
      <w:pPr>
        <w:tabs>
          <w:tab w:val="left" w:pos="6300"/>
        </w:tabs>
        <w:snapToGrid w:val="0"/>
        <w:spacing w:line="360" w:lineRule="auto"/>
        <w:ind w:firstLine="570"/>
        <w:jc w:val="left"/>
        <w:rPr>
          <w:rFonts w:hint="eastAsia" w:asciiTheme="minorEastAsia" w:hAnsiTheme="minorEastAsia" w:eastAsiaTheme="minorEastAsia" w:cstheme="minorEastAsia"/>
          <w:color w:val="auto"/>
          <w:sz w:val="24"/>
          <w:szCs w:val="24"/>
          <w:highlight w:val="none"/>
        </w:rPr>
      </w:pPr>
      <w:bookmarkStart w:id="275" w:name="_Toc80104370"/>
      <w:r>
        <w:rPr>
          <w:rFonts w:hint="eastAsia" w:asciiTheme="minorEastAsia" w:hAnsiTheme="minorEastAsia" w:eastAsiaTheme="minorEastAsia" w:cstheme="minorEastAsia"/>
          <w:color w:val="auto"/>
          <w:sz w:val="24"/>
          <w:szCs w:val="24"/>
          <w:highlight w:val="none"/>
        </w:rPr>
        <w:t>1.本表即为对本项目“第二篇  项目</w:t>
      </w:r>
      <w:r>
        <w:rPr>
          <w:rFonts w:hint="eastAsia" w:asciiTheme="minorEastAsia" w:hAnsiTheme="minorEastAsia" w:eastAsiaTheme="minorEastAsia" w:cstheme="minorEastAsia"/>
          <w:color w:val="auto"/>
          <w:sz w:val="24"/>
          <w:szCs w:val="24"/>
          <w:highlight w:val="none"/>
          <w:lang w:eastAsia="zh-CN"/>
        </w:rPr>
        <w:t>技术需求</w:t>
      </w:r>
      <w:r>
        <w:rPr>
          <w:rFonts w:hint="eastAsia" w:asciiTheme="minorEastAsia" w:hAnsiTheme="minorEastAsia" w:eastAsiaTheme="minorEastAsia" w:cstheme="minorEastAsia"/>
          <w:color w:val="auto"/>
          <w:sz w:val="24"/>
          <w:szCs w:val="24"/>
          <w:highlight w:val="none"/>
        </w:rPr>
        <w:t>”中所列条款进行比较和响应；</w:t>
      </w:r>
    </w:p>
    <w:p w14:paraId="2532F200">
      <w:pPr>
        <w:tabs>
          <w:tab w:val="left" w:pos="6300"/>
        </w:tabs>
        <w:snapToGrid w:val="0"/>
        <w:spacing w:line="360" w:lineRule="auto"/>
        <w:ind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该表必须按照</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要求逐条如实填写，根据响应情况在“差异说明”项填写正偏离或负偏离及原因，完全符合的填写“无差异”。</w:t>
      </w:r>
    </w:p>
    <w:p w14:paraId="0181A318">
      <w:pPr>
        <w:tabs>
          <w:tab w:val="left" w:pos="6300"/>
        </w:tabs>
        <w:snapToGrid w:val="0"/>
        <w:spacing w:line="360" w:lineRule="auto"/>
        <w:ind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3.该表可扩展。</w:t>
      </w:r>
    </w:p>
    <w:p w14:paraId="229478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技术方案</w:t>
      </w:r>
    </w:p>
    <w:p w14:paraId="1830843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1"/>
        <w:rPr>
          <w:rFonts w:hint="eastAsia" w:asciiTheme="minorEastAsia" w:hAnsiTheme="minorEastAsia" w:eastAsiaTheme="minorEastAsia" w:cstheme="minorEastAsia"/>
          <w:color w:val="auto"/>
          <w:sz w:val="24"/>
          <w:szCs w:val="24"/>
          <w:highlight w:val="none"/>
          <w:lang w:val="en-US" w:eastAsia="zh-CN"/>
        </w:rPr>
      </w:pPr>
      <w:bookmarkStart w:id="276" w:name="_Toc5199"/>
      <w:r>
        <w:rPr>
          <w:rFonts w:hint="eastAsia" w:asciiTheme="minorEastAsia" w:hAnsiTheme="minorEastAsia" w:eastAsiaTheme="minorEastAsia" w:cstheme="minorEastAsia"/>
          <w:color w:val="auto"/>
          <w:sz w:val="24"/>
          <w:szCs w:val="24"/>
          <w:highlight w:val="none"/>
          <w:lang w:val="en-US" w:eastAsia="zh-CN"/>
        </w:rPr>
        <w:t>根据招标文件“</w:t>
      </w:r>
      <w:bookmarkStart w:id="277" w:name="_Toc24195"/>
      <w:bookmarkStart w:id="278" w:name="_Toc106034789"/>
      <w:bookmarkStart w:id="279" w:name="_Toc65660349"/>
      <w:bookmarkStart w:id="280" w:name="_Toc31282"/>
      <w:bookmarkStart w:id="281" w:name="_Toc16123"/>
      <w:bookmarkStart w:id="282" w:name="_Toc25440"/>
      <w:bookmarkStart w:id="283" w:name="_Toc17356"/>
      <w:bookmarkStart w:id="284" w:name="_Toc27932"/>
      <w:bookmarkStart w:id="285" w:name="_Toc64732012"/>
      <w:bookmarkStart w:id="286" w:name="_Toc65660350"/>
      <w:bookmarkStart w:id="287" w:name="_Toc20108"/>
      <w:bookmarkStart w:id="288" w:name="_Toc5167"/>
      <w:bookmarkStart w:id="289" w:name="_Toc9361"/>
      <w:bookmarkStart w:id="290" w:name="_Toc106034790"/>
      <w:r>
        <w:rPr>
          <w:rFonts w:hint="eastAsia" w:asciiTheme="minorEastAsia" w:hAnsiTheme="minorEastAsia" w:eastAsiaTheme="minorEastAsia" w:cstheme="minorEastAsia"/>
          <w:color w:val="auto"/>
          <w:sz w:val="24"/>
          <w:szCs w:val="24"/>
          <w:highlight w:val="none"/>
          <w:lang w:val="en-US" w:eastAsia="zh-CN"/>
        </w:rPr>
        <w:t xml:space="preserve">第四篇  </w:t>
      </w:r>
      <w:bookmarkEnd w:id="277"/>
      <w:bookmarkEnd w:id="278"/>
      <w:bookmarkEnd w:id="279"/>
      <w:bookmarkEnd w:id="280"/>
      <w:bookmarkEnd w:id="281"/>
      <w:bookmarkEnd w:id="282"/>
      <w:r>
        <w:rPr>
          <w:rFonts w:hint="eastAsia" w:asciiTheme="minorEastAsia" w:hAnsiTheme="minorEastAsia" w:eastAsiaTheme="minorEastAsia" w:cstheme="minorEastAsia"/>
          <w:color w:val="auto"/>
          <w:sz w:val="24"/>
          <w:szCs w:val="24"/>
          <w:highlight w:val="none"/>
          <w:lang w:val="en-US" w:eastAsia="zh-CN"/>
        </w:rPr>
        <w:t>资格审查及符合性审查、评标方法、评标标准、无效响应和采购终止</w:t>
      </w:r>
      <w:bookmarkEnd w:id="283"/>
      <w:bookmarkEnd w:id="284"/>
      <w:bookmarkEnd w:id="285"/>
      <w:bookmarkEnd w:id="286"/>
      <w:bookmarkEnd w:id="287"/>
      <w:bookmarkEnd w:id="288"/>
      <w:bookmarkEnd w:id="289"/>
      <w:bookmarkEnd w:id="290"/>
      <w:r>
        <w:rPr>
          <w:rFonts w:hint="eastAsia" w:asciiTheme="minorEastAsia" w:hAnsiTheme="minorEastAsia" w:eastAsiaTheme="minorEastAsia" w:cstheme="minorEastAsia"/>
          <w:color w:val="auto"/>
          <w:sz w:val="24"/>
          <w:szCs w:val="24"/>
          <w:highlight w:val="none"/>
          <w:lang w:val="en-US" w:eastAsia="zh-CN"/>
        </w:rPr>
        <w:t>”中技术部分的评审标准编制，格式自拟。</w:t>
      </w:r>
    </w:p>
    <w:p w14:paraId="62F2E548">
      <w:pPr>
        <w:pStyle w:val="6"/>
        <w:spacing w:before="0" w:after="0" w:line="360" w:lineRule="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color w:val="auto"/>
          <w:sz w:val="24"/>
          <w:szCs w:val="24"/>
          <w:highlight w:val="none"/>
        </w:rPr>
        <w:t>三、商务部分</w:t>
      </w:r>
      <w:bookmarkEnd w:id="275"/>
      <w:bookmarkEnd w:id="276"/>
    </w:p>
    <w:p w14:paraId="3E83AF91">
      <w:pPr>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（一）商务响应偏离表</w:t>
      </w:r>
    </w:p>
    <w:p w14:paraId="10284CFB">
      <w:pPr>
        <w:pageBreakBefore w:val="0"/>
        <w:widowControl w:val="0"/>
        <w:tabs>
          <w:tab w:val="left" w:pos="2145"/>
        </w:tabs>
        <w:kinsoku/>
        <w:wordWrap/>
        <w:overflowPunct/>
        <w:topLinePunct w:val="0"/>
        <w:autoSpaceDE/>
        <w:autoSpaceDN/>
        <w:bidi w:val="0"/>
        <w:adjustRightInd/>
        <w:spacing w:line="480" w:lineRule="exact"/>
        <w:ind w:firstLine="840" w:firstLineChars="3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ab/>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1D95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0"/>
            <w:vAlign w:val="center"/>
          </w:tcPr>
          <w:p w14:paraId="37F56B33">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428" w:type="dxa"/>
            <w:noWrap w:val="0"/>
            <w:vAlign w:val="center"/>
          </w:tcPr>
          <w:p w14:paraId="10F937B0">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商务</w:t>
            </w:r>
            <w:r>
              <w:rPr>
                <w:rFonts w:hint="eastAsia" w:asciiTheme="minorEastAsia" w:hAnsiTheme="minorEastAsia" w:eastAsiaTheme="minorEastAsia" w:cstheme="minorEastAsia"/>
                <w:color w:val="auto"/>
                <w:sz w:val="24"/>
                <w:szCs w:val="24"/>
                <w:highlight w:val="none"/>
              </w:rPr>
              <w:t>需求</w:t>
            </w:r>
          </w:p>
        </w:tc>
        <w:tc>
          <w:tcPr>
            <w:tcW w:w="2520" w:type="dxa"/>
            <w:noWrap w:val="0"/>
            <w:vAlign w:val="center"/>
          </w:tcPr>
          <w:p w14:paraId="11CECA3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响应情况</w:t>
            </w:r>
          </w:p>
        </w:tc>
        <w:tc>
          <w:tcPr>
            <w:tcW w:w="1888" w:type="dxa"/>
            <w:noWrap w:val="0"/>
            <w:vAlign w:val="center"/>
          </w:tcPr>
          <w:p w14:paraId="71554CE6">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差异说明</w:t>
            </w:r>
          </w:p>
        </w:tc>
      </w:tr>
      <w:tr w14:paraId="0CC7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321A7BB">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55616266">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35D798AD">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5F44F5E3">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294A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2A2804D7">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7E7E08A3">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4A35CCA2">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1E28DE7F">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69A4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80EEFE6">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1998F7E1">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392F4E7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04332D39">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42EE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438DCEAC">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4B4D87C5">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2F28C467">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4016F77D">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6830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02D1042">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36F8A2E5">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2BAB6841">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55F4BDB4">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7341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5FCEC686">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4604887F">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10674A5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4A08C290">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39B2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732AA6B">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05740247">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5D4E0FED">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71C85E97">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3F08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6815794">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7742678F">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35BE0A47">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1C2BE555">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3E66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397058B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0158E8E3">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33881D7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1FE1E831">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10F0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BAE32D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416116A8">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18ADB7DE">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196535AC">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14:paraId="3B41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3037ED4">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14:paraId="2B334AB0">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14:paraId="78B30BF3">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14:paraId="2AD52360">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bl>
    <w:p w14:paraId="4B3EDBC3">
      <w:pPr>
        <w:pageBreakBefore w:val="0"/>
        <w:widowControl w:val="0"/>
        <w:kinsoku/>
        <w:wordWrap/>
        <w:overflowPunct/>
        <w:topLinePunct w:val="0"/>
        <w:autoSpaceDE/>
        <w:autoSpaceDN/>
        <w:bidi w:val="0"/>
        <w:adjustRightInd/>
        <w:spacing w:line="480" w:lineRule="exact"/>
        <w:ind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法定代表人（或法定代表人授权代表）：</w:t>
      </w:r>
    </w:p>
    <w:p w14:paraId="6E70FC2A">
      <w:pPr>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5C60EB39">
      <w:pPr>
        <w:pageBreakBefore w:val="0"/>
        <w:widowControl w:val="0"/>
        <w:kinsoku/>
        <w:wordWrap/>
        <w:overflowPunct/>
        <w:topLinePunct w:val="0"/>
        <w:autoSpaceDE/>
        <w:autoSpaceDN/>
        <w:bidi w:val="0"/>
        <w:adjustRightInd/>
        <w:spacing w:line="48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                                 （签字或盖章）</w:t>
      </w:r>
    </w:p>
    <w:p w14:paraId="2539C61F">
      <w:pPr>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09D115E7">
      <w:pPr>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7606DA7A">
      <w:pPr>
        <w:pageBreakBefore w:val="0"/>
        <w:widowControl w:val="0"/>
        <w:tabs>
          <w:tab w:val="left" w:pos="6300"/>
        </w:tabs>
        <w:kinsoku/>
        <w:wordWrap/>
        <w:overflowPunct/>
        <w:topLinePunct w:val="0"/>
        <w:autoSpaceDE/>
        <w:autoSpaceDN/>
        <w:bidi w:val="0"/>
        <w:adjustRightInd/>
        <w:snapToGrid w:val="0"/>
        <w:spacing w:line="480" w:lineRule="exact"/>
        <w:ind w:firstLine="5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1.本表即为对本项目“第三篇 项目商务需求”中所列条款进行比较和响应；</w:t>
      </w:r>
    </w:p>
    <w:p w14:paraId="3997F01D">
      <w:pPr>
        <w:pageBreakBefore w:val="0"/>
        <w:widowControl w:val="0"/>
        <w:tabs>
          <w:tab w:val="left" w:pos="6300"/>
        </w:tabs>
        <w:kinsoku/>
        <w:wordWrap/>
        <w:overflowPunct/>
        <w:topLinePunct w:val="0"/>
        <w:autoSpaceDE/>
        <w:autoSpaceDN/>
        <w:bidi w:val="0"/>
        <w:adjustRightInd/>
        <w:snapToGrid w:val="0"/>
        <w:spacing w:line="480" w:lineRule="exact"/>
        <w:ind w:firstLine="5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该表必须按照</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要求逐条如实填写，根据响应情况在“差异说明”项填写正偏离或负偏离及原因，完全符合的填写“无差异”</w:t>
      </w:r>
    </w:p>
    <w:p w14:paraId="1034EFBF">
      <w:pPr>
        <w:pageBreakBefore w:val="0"/>
        <w:widowControl w:val="0"/>
        <w:tabs>
          <w:tab w:val="left" w:pos="6300"/>
        </w:tabs>
        <w:kinsoku/>
        <w:wordWrap/>
        <w:overflowPunct/>
        <w:topLinePunct w:val="0"/>
        <w:autoSpaceDE/>
        <w:autoSpaceDN/>
        <w:bidi w:val="0"/>
        <w:adjustRightInd/>
        <w:snapToGrid w:val="0"/>
        <w:spacing w:line="480" w:lineRule="exact"/>
        <w:ind w:firstLine="5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3.该表可扩展。</w:t>
      </w:r>
    </w:p>
    <w:p w14:paraId="7E1EC63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w:t>
      </w:r>
      <w:bookmarkStart w:id="291" w:name="_Toc313008358"/>
      <w:bookmarkStart w:id="292" w:name="_Toc342913421"/>
      <w:bookmarkStart w:id="293" w:name="_Toc313888362"/>
      <w:bookmarkStart w:id="294" w:name="_Toc12335"/>
      <w:bookmarkStart w:id="295" w:name="_Toc80104371"/>
      <w:r>
        <w:rPr>
          <w:rFonts w:hint="eastAsia" w:asciiTheme="minorEastAsia" w:hAnsiTheme="minorEastAsia" w:eastAsiaTheme="minorEastAsia" w:cstheme="minorEastAsia"/>
          <w:color w:val="auto"/>
          <w:sz w:val="24"/>
          <w:szCs w:val="24"/>
          <w:highlight w:val="none"/>
        </w:rPr>
        <w:t>商务</w:t>
      </w:r>
      <w:r>
        <w:rPr>
          <w:rFonts w:hint="eastAsia" w:asciiTheme="minorEastAsia" w:hAnsiTheme="minorEastAsia" w:eastAsiaTheme="minorEastAsia" w:cstheme="minorEastAsia"/>
          <w:color w:val="auto"/>
          <w:sz w:val="24"/>
          <w:szCs w:val="24"/>
          <w:highlight w:val="none"/>
          <w:lang w:val="en-US" w:eastAsia="zh-CN"/>
        </w:rPr>
        <w:t>部分其他资料</w:t>
      </w:r>
      <w:r>
        <w:rPr>
          <w:rFonts w:hint="eastAsia" w:asciiTheme="minorEastAsia" w:hAnsiTheme="minorEastAsia" w:eastAsiaTheme="minorEastAsia" w:cstheme="minorEastAsia"/>
          <w:color w:val="auto"/>
          <w:sz w:val="24"/>
          <w:szCs w:val="24"/>
          <w:highlight w:val="none"/>
        </w:rPr>
        <w:t>（格式自拟）</w:t>
      </w:r>
    </w:p>
    <w:p w14:paraId="0F3DAA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根据招标文件“第四篇  资格审查及符合性审查、评标方法、评标标准、无效响应和采购终止”中商务部分的评审标准编制，格式自拟。</w:t>
      </w:r>
    </w:p>
    <w:p w14:paraId="7A2476E1">
      <w:pPr>
        <w:pStyle w:val="6"/>
        <w:spacing w:before="0" w:after="0" w:line="360" w:lineRule="auto"/>
        <w:rPr>
          <w:rFonts w:hint="eastAsia" w:asciiTheme="minorEastAsia" w:hAnsiTheme="minorEastAsia" w:eastAsiaTheme="minorEastAsia" w:cstheme="minorEastAsia"/>
          <w:color w:val="auto"/>
          <w:sz w:val="40"/>
          <w:szCs w:val="22"/>
          <w:highlight w:val="none"/>
        </w:rPr>
      </w:pPr>
      <w:r>
        <w:rPr>
          <w:rFonts w:hint="eastAsia" w:asciiTheme="minorEastAsia" w:hAnsiTheme="minorEastAsia" w:eastAsiaTheme="minorEastAsia" w:cstheme="minorEastAsia"/>
          <w:color w:val="auto"/>
          <w:szCs w:val="32"/>
          <w:highlight w:val="none"/>
        </w:rPr>
        <w:br w:type="column"/>
      </w:r>
      <w:r>
        <w:rPr>
          <w:rFonts w:hint="eastAsia" w:asciiTheme="minorEastAsia" w:hAnsiTheme="minorEastAsia" w:eastAsiaTheme="minorEastAsia" w:cstheme="minorEastAsia"/>
          <w:color w:val="auto"/>
          <w:sz w:val="24"/>
          <w:szCs w:val="24"/>
          <w:highlight w:val="none"/>
        </w:rPr>
        <w:t>四、</w:t>
      </w:r>
      <w:bookmarkEnd w:id="291"/>
      <w:bookmarkEnd w:id="292"/>
      <w:bookmarkEnd w:id="293"/>
      <w:r>
        <w:rPr>
          <w:rFonts w:hint="eastAsia" w:asciiTheme="minorEastAsia" w:hAnsiTheme="minorEastAsia" w:eastAsiaTheme="minorEastAsia" w:cstheme="minorEastAsia"/>
          <w:color w:val="auto"/>
          <w:sz w:val="24"/>
          <w:szCs w:val="24"/>
          <w:highlight w:val="none"/>
        </w:rPr>
        <w:t>资格条件</w:t>
      </w:r>
      <w:bookmarkEnd w:id="294"/>
      <w:bookmarkEnd w:id="295"/>
    </w:p>
    <w:p w14:paraId="5355EC7A">
      <w:pPr>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2EF30E7D">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06DDED97">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765D0784">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4E4A7510">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50950A0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32"/>
          <w:szCs w:val="32"/>
          <w:highlight w:val="none"/>
        </w:rPr>
      </w:pPr>
    </w:p>
    <w:p w14:paraId="000B6C8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35DE803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02B863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名称）：</w:t>
      </w:r>
    </w:p>
    <w:p w14:paraId="699F7A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（法定代表人姓名）在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（职务名称）职务，是（</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的法定代表人。</w:t>
      </w:r>
    </w:p>
    <w:p w14:paraId="1292CD6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4938097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0324633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0FD2AE9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5159DDE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65608EF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center"/>
        <w:textAlignment w:val="auto"/>
        <w:rPr>
          <w:rFonts w:hint="eastAsia" w:asciiTheme="minorEastAsia" w:hAnsiTheme="minorEastAsia" w:eastAsiaTheme="minorEastAsia" w:cstheme="minorEastAsia"/>
          <w:color w:val="auto"/>
          <w:sz w:val="24"/>
          <w:szCs w:val="24"/>
          <w:highlight w:val="none"/>
        </w:rPr>
      </w:pPr>
    </w:p>
    <w:p w14:paraId="6BE54AB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w:t>
      </w:r>
    </w:p>
    <w:p w14:paraId="4D444A5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035877E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48FE579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14:paraId="09455D7A">
      <w:pPr>
        <w:pStyle w:val="15"/>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sz w:val="24"/>
          <w:szCs w:val="24"/>
          <w:highlight w:val="none"/>
        </w:rPr>
      </w:pPr>
    </w:p>
    <w:p w14:paraId="44F65D1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sz w:val="24"/>
          <w:szCs w:val="24"/>
          <w:highlight w:val="none"/>
        </w:rPr>
      </w:pPr>
    </w:p>
    <w:p w14:paraId="57544879">
      <w:pPr>
        <w:pStyle w:val="15"/>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highlight w:val="none"/>
        </w:rPr>
      </w:pPr>
    </w:p>
    <w:p w14:paraId="62D219D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highlight w:val="none"/>
        </w:rPr>
        <w:t>（附：法定代表人身份证正反面复印件）</w:t>
      </w:r>
    </w:p>
    <w:p w14:paraId="651CA4A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3A47339D">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793E7093">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504CCD4F">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34174F87">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5489D65B">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14:paraId="15B01663">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11095F6D">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14:paraId="22B463E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74FAB90C">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48BCA49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名称）：</w:t>
      </w:r>
    </w:p>
    <w:p w14:paraId="0CC26C76">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法定代表人名称）是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名称）的法定代表人，特授权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（被授权人姓名及身份证代码）代表我单位全权办理上述项目的</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、签约等具体工作，并签署全部有关文件、协议及合同。</w:t>
      </w:r>
    </w:p>
    <w:p w14:paraId="654B41E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我单位对被授权人的签字负全部责任。</w:t>
      </w:r>
    </w:p>
    <w:p w14:paraId="2208F05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在撤消授权的书面通知以前，本授权书一直有效。被授权人在授权书有效期内签署的所有文件不因授权的撤消而失效。</w:t>
      </w:r>
    </w:p>
    <w:p w14:paraId="5109EC50">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0F6D2457">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635FAB8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被授权人：                                 </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法定代表人：</w:t>
      </w:r>
    </w:p>
    <w:p w14:paraId="304A7D24">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                                （签字或盖章）</w:t>
      </w:r>
    </w:p>
    <w:p w14:paraId="7547AB4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联系电话：                                  </w:t>
      </w:r>
    </w:p>
    <w:p w14:paraId="0CE6596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5917519F">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67057998">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7793BA92">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w:t>
      </w:r>
    </w:p>
    <w:p w14:paraId="6F35E31E">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64E1DEBD">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14:paraId="1F284562">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（附：被授权人身份证正反面复印件）</w:t>
      </w:r>
    </w:p>
    <w:p w14:paraId="57B49E80">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2A075E0D">
      <w:pPr>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w:t>
      </w:r>
    </w:p>
    <w:p w14:paraId="227D99EA">
      <w:pPr>
        <w:tabs>
          <w:tab w:val="left" w:pos="6300"/>
        </w:tabs>
        <w:snapToGrid w:val="0"/>
        <w:spacing w:line="500" w:lineRule="exact"/>
        <w:ind w:firstLine="57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基本资格条件承诺函</w:t>
      </w:r>
    </w:p>
    <w:p w14:paraId="4EA65790">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p>
    <w:p w14:paraId="5F6BAA72">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名称）：</w:t>
      </w:r>
    </w:p>
    <w:p w14:paraId="620C93ED">
      <w:pPr>
        <w:tabs>
          <w:tab w:val="left" w:pos="6300"/>
        </w:tabs>
        <w:snapToGrid w:val="0"/>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名称）郑重承诺：</w:t>
      </w:r>
    </w:p>
    <w:p w14:paraId="7AB7E2CC">
      <w:pPr>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szCs w:val="24"/>
          <w:highlight w:val="none"/>
          <w:lang w:val="zh-CN"/>
        </w:rPr>
        <w:t>有依法缴纳税收和社会保障金的良好记录</w:t>
      </w:r>
      <w:r>
        <w:rPr>
          <w:rFonts w:hint="eastAsia" w:asciiTheme="minorEastAsia" w:hAnsiTheme="minorEastAsia" w:eastAsiaTheme="minorEastAsia" w:cstheme="minorEastAsia"/>
          <w:color w:val="auto"/>
          <w:sz w:val="24"/>
          <w:szCs w:val="24"/>
          <w:highlight w:val="none"/>
        </w:rPr>
        <w:t>，参加本项目采购活动前三年内无重大违法活动记录。</w:t>
      </w:r>
    </w:p>
    <w:p w14:paraId="0D05F9A5">
      <w:pPr>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041F255">
      <w:pPr>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3.我方在采购项目评审（评标）环节结束后，随时接受</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的检查验证，配合提供相关证明材料，证明符合《中华人民共和国政府采购法》规定的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基本资格条件。</w:t>
      </w:r>
    </w:p>
    <w:p w14:paraId="55C364E3">
      <w:pPr>
        <w:tabs>
          <w:tab w:val="left" w:pos="6300"/>
        </w:tabs>
        <w:snapToGrid w:val="0"/>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14:paraId="791B9A66">
      <w:pPr>
        <w:tabs>
          <w:tab w:val="left" w:pos="6300"/>
        </w:tabs>
        <w:snapToGrid w:val="0"/>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14:paraId="57DF5916">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p>
    <w:p w14:paraId="706F0673">
      <w:pPr>
        <w:tabs>
          <w:tab w:val="left" w:pos="6300"/>
        </w:tabs>
        <w:snapToGrid w:val="0"/>
        <w:spacing w:line="530" w:lineRule="exact"/>
        <w:ind w:right="424"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w:t>
      </w:r>
    </w:p>
    <w:p w14:paraId="06E83AF0">
      <w:pPr>
        <w:pStyle w:val="18"/>
        <w:jc w:val="right"/>
        <w:rPr>
          <w:rFonts w:hint="eastAsia" w:asciiTheme="minorEastAsia" w:hAnsiTheme="minorEastAsia" w:eastAsiaTheme="minorEastAsia" w:cstheme="minorEastAsia"/>
          <w:color w:val="auto"/>
          <w:szCs w:val="24"/>
          <w:highlight w:val="none"/>
        </w:rPr>
      </w:pPr>
    </w:p>
    <w:p w14:paraId="3B4248FD">
      <w:pPr>
        <w:pStyle w:val="18"/>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Cs w:val="24"/>
          <w:highlight w:val="none"/>
          <w:lang w:val="en-US" w:eastAsia="zh-CN"/>
        </w:rPr>
        <w:t xml:space="preserve">                                                     </w:t>
      </w:r>
      <w:r>
        <w:rPr>
          <w:rFonts w:hint="eastAsia" w:asciiTheme="minorEastAsia" w:hAnsiTheme="minorEastAsia" w:eastAsiaTheme="minorEastAsia" w:cstheme="minorEastAsia"/>
          <w:color w:val="auto"/>
          <w:szCs w:val="24"/>
          <w:highlight w:val="none"/>
        </w:rPr>
        <w:t>年   月   日</w:t>
      </w:r>
    </w:p>
    <w:p w14:paraId="36453D41">
      <w:pPr>
        <w:pStyle w:val="18"/>
        <w:rPr>
          <w:rFonts w:hint="eastAsia" w:asciiTheme="minorEastAsia" w:hAnsiTheme="minorEastAsia" w:eastAsiaTheme="minorEastAsia" w:cstheme="minorEastAsia"/>
          <w:color w:val="auto"/>
          <w:sz w:val="32"/>
          <w:szCs w:val="32"/>
          <w:highlight w:val="none"/>
        </w:rPr>
      </w:pPr>
    </w:p>
    <w:p w14:paraId="72B3D828">
      <w:pPr>
        <w:pStyle w:val="18"/>
        <w:rPr>
          <w:rFonts w:hint="eastAsia" w:asciiTheme="minorEastAsia" w:hAnsiTheme="minorEastAsia" w:eastAsiaTheme="minorEastAsia" w:cstheme="minorEastAsia"/>
          <w:color w:val="auto"/>
          <w:sz w:val="32"/>
          <w:szCs w:val="32"/>
          <w:highlight w:val="none"/>
        </w:rPr>
      </w:pPr>
    </w:p>
    <w:p w14:paraId="3DAB2EC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（五）特定资格条件证书或证明文件（如果有）</w:t>
      </w:r>
    </w:p>
    <w:p w14:paraId="24A58F79">
      <w:pPr>
        <w:pStyle w:val="18"/>
        <w:rPr>
          <w:rFonts w:hint="eastAsia" w:asciiTheme="minorEastAsia" w:hAnsiTheme="minorEastAsia" w:eastAsiaTheme="minorEastAsia" w:cstheme="minorEastAsia"/>
          <w:color w:val="auto"/>
          <w:sz w:val="32"/>
          <w:szCs w:val="32"/>
          <w:highlight w:val="none"/>
        </w:rPr>
      </w:pPr>
    </w:p>
    <w:p w14:paraId="39090B96">
      <w:pPr>
        <w:pStyle w:val="18"/>
        <w:ind w:firstLine="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14:paraId="66D81B95">
      <w:pPr>
        <w:pStyle w:val="6"/>
        <w:spacing w:before="0" w:after="0" w:line="360" w:lineRule="auto"/>
        <w:rPr>
          <w:rFonts w:hint="eastAsia" w:asciiTheme="minorEastAsia" w:hAnsiTheme="minorEastAsia" w:eastAsiaTheme="minorEastAsia" w:cstheme="minorEastAsia"/>
          <w:color w:val="auto"/>
          <w:sz w:val="28"/>
          <w:szCs w:val="28"/>
          <w:highlight w:val="none"/>
        </w:rPr>
      </w:pPr>
      <w:bookmarkStart w:id="296" w:name="_Toc12008"/>
      <w:r>
        <w:rPr>
          <w:rFonts w:hint="eastAsia" w:asciiTheme="minorEastAsia" w:hAnsiTheme="minorEastAsia" w:eastAsiaTheme="minorEastAsia" w:cstheme="minorEastAsia"/>
          <w:color w:val="auto"/>
          <w:sz w:val="28"/>
          <w:szCs w:val="28"/>
          <w:highlight w:val="none"/>
        </w:rPr>
        <w:t>五、其他应提供的资料</w:t>
      </w:r>
      <w:bookmarkEnd w:id="296"/>
    </w:p>
    <w:p w14:paraId="18C0ADC3">
      <w:pPr>
        <w:spacing w:line="4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（一）其他与项目有关的资料（自附）</w:t>
      </w:r>
    </w:p>
    <w:p w14:paraId="7F5E5594">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7F38FEE1">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6DF85E5D">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24163FDC">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0A6EEFC5">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052964A2">
      <w:pPr>
        <w:spacing w:line="360" w:lineRule="auto"/>
        <w:rPr>
          <w:rFonts w:hint="eastAsia" w:asciiTheme="minorEastAsia" w:hAnsiTheme="minorEastAsia" w:eastAsiaTheme="minorEastAsia" w:cstheme="minorEastAsia"/>
          <w:color w:val="auto"/>
          <w:sz w:val="32"/>
          <w:szCs w:val="32"/>
          <w:highlight w:val="none"/>
        </w:rPr>
      </w:pPr>
    </w:p>
    <w:p w14:paraId="010FD011">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1AA0533D">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66F7133E">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6E97C9CA">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3BBA73F8">
      <w:pPr>
        <w:spacing w:line="360" w:lineRule="auto"/>
        <w:rPr>
          <w:rFonts w:hint="eastAsia" w:asciiTheme="minorEastAsia" w:hAnsiTheme="minorEastAsia" w:eastAsiaTheme="minorEastAsia" w:cstheme="minorEastAsia"/>
          <w:color w:val="auto"/>
          <w:sz w:val="32"/>
          <w:szCs w:val="32"/>
          <w:highlight w:val="none"/>
        </w:rPr>
      </w:pPr>
    </w:p>
    <w:p w14:paraId="33C85DD8">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14:paraId="24B180FB">
      <w:pPr>
        <w:spacing w:line="360" w:lineRule="auto"/>
        <w:ind w:firstLine="560" w:firstLineChars="200"/>
        <w:jc w:val="center"/>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rPr>
        <w:t>（结束）</w:t>
      </w:r>
    </w:p>
    <w:p w14:paraId="4548E083">
      <w:pPr>
        <w:spacing w:line="360" w:lineRule="auto"/>
        <w:ind w:firstLine="720" w:firstLineChars="200"/>
        <w:jc w:val="center"/>
        <w:rPr>
          <w:rFonts w:hint="eastAsia" w:asciiTheme="minorEastAsia" w:hAnsiTheme="minorEastAsia" w:eastAsiaTheme="minorEastAsia" w:cstheme="minorEastAsia"/>
          <w:color w:val="auto"/>
          <w:sz w:val="36"/>
          <w:szCs w:val="22"/>
          <w:highlight w:val="none"/>
        </w:rPr>
      </w:pPr>
    </w:p>
    <w:p w14:paraId="1F475445">
      <w:pPr>
        <w:rPr>
          <w:rFonts w:hint="eastAsia" w:asciiTheme="minorEastAsia" w:hAnsiTheme="minorEastAsia" w:eastAsiaTheme="minorEastAsia" w:cstheme="minorEastAsia"/>
          <w:color w:val="auto"/>
          <w:highlight w:val="none"/>
        </w:rPr>
      </w:pPr>
    </w:p>
    <w:p w14:paraId="478A46DE">
      <w:pPr>
        <w:rPr>
          <w:rFonts w:hint="eastAsia" w:asciiTheme="minorEastAsia" w:hAnsiTheme="minorEastAsia" w:eastAsiaTheme="minorEastAsia" w:cstheme="minorEastAsia"/>
          <w:color w:val="auto"/>
          <w:highlight w:val="none"/>
        </w:rPr>
      </w:pPr>
    </w:p>
    <w:p w14:paraId="67D03A33">
      <w:pPr>
        <w:rPr>
          <w:rFonts w:hint="eastAsia" w:asciiTheme="minorEastAsia" w:hAnsiTheme="minorEastAsia" w:eastAsiaTheme="minorEastAsia" w:cstheme="minorEastAsia"/>
          <w:color w:val="auto"/>
          <w:highlight w:val="none"/>
        </w:rPr>
      </w:pPr>
    </w:p>
    <w:p w14:paraId="648F1706">
      <w:pPr>
        <w:rPr>
          <w:rFonts w:hint="eastAsia" w:asciiTheme="minorEastAsia" w:hAnsiTheme="minorEastAsia" w:eastAsiaTheme="minorEastAsia" w:cstheme="minorEastAsia"/>
          <w:color w:val="auto"/>
          <w:highlight w:val="none"/>
        </w:rPr>
      </w:pPr>
    </w:p>
    <w:p w14:paraId="6ADDB2ED">
      <w:pPr>
        <w:rPr>
          <w:rFonts w:hint="eastAsia" w:asciiTheme="minorEastAsia" w:hAnsiTheme="minorEastAsia" w:eastAsiaTheme="minorEastAsia" w:cstheme="minorEastAsia"/>
          <w:color w:val="auto"/>
          <w:highlight w:val="none"/>
        </w:rPr>
      </w:pPr>
    </w:p>
    <w:p w14:paraId="61B5A0CB">
      <w:pPr>
        <w:rPr>
          <w:rFonts w:hint="eastAsia" w:asciiTheme="minorEastAsia" w:hAnsiTheme="minorEastAsia" w:eastAsiaTheme="minorEastAsia" w:cstheme="minorEastAsia"/>
          <w:color w:val="auto"/>
          <w:highlight w:val="none"/>
        </w:rPr>
      </w:pPr>
    </w:p>
    <w:p w14:paraId="5C77851A">
      <w:pPr>
        <w:spacing w:line="240" w:lineRule="auto"/>
        <w:jc w:val="center"/>
        <w:outlineLvl w:val="0"/>
        <w:rPr>
          <w:rFonts w:hint="eastAsia" w:asciiTheme="minorEastAsia" w:hAnsiTheme="minorEastAsia" w:eastAsiaTheme="minorEastAsia" w:cstheme="minorEastAsia"/>
          <w:b/>
          <w:bCs/>
          <w:smallCaps/>
          <w:color w:val="auto"/>
          <w:kern w:val="2"/>
          <w:sz w:val="28"/>
          <w:szCs w:val="20"/>
          <w:highlight w:val="none"/>
          <w:lang w:val="en-US" w:eastAsia="zh-CN" w:bidi="ar-SA"/>
        </w:rPr>
      </w:pPr>
      <w:r>
        <w:rPr>
          <w:rFonts w:hint="eastAsia" w:asciiTheme="minorEastAsia" w:hAnsiTheme="minorEastAsia" w:eastAsiaTheme="minorEastAsia" w:cstheme="minorEastAsia"/>
          <w:b/>
          <w:bCs/>
          <w:smallCaps/>
          <w:color w:val="auto"/>
          <w:kern w:val="2"/>
          <w:sz w:val="28"/>
          <w:szCs w:val="20"/>
          <w:highlight w:val="none"/>
          <w:lang w:val="en-US" w:eastAsia="zh-CN" w:bidi="ar-SA"/>
        </w:rPr>
        <w:t>附件1：</w:t>
      </w:r>
      <w:bookmarkEnd w:id="265"/>
      <w:bookmarkEnd w:id="266"/>
      <w:bookmarkEnd w:id="267"/>
      <w:bookmarkEnd w:id="268"/>
      <w:bookmarkEnd w:id="269"/>
      <w:r>
        <w:rPr>
          <w:rFonts w:hint="eastAsia" w:asciiTheme="minorEastAsia" w:hAnsiTheme="minorEastAsia" w:eastAsiaTheme="minorEastAsia" w:cstheme="minorEastAsia"/>
          <w:b/>
          <w:bCs/>
          <w:smallCaps/>
          <w:color w:val="auto"/>
          <w:kern w:val="2"/>
          <w:sz w:val="28"/>
          <w:szCs w:val="20"/>
          <w:highlight w:val="none"/>
          <w:lang w:val="en-US" w:eastAsia="zh-CN" w:bidi="ar-SA"/>
        </w:rPr>
        <w:t>重庆福源工程管理有限公司项目报名表</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521B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7F457C92">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lang w:eastAsia="zh-CN"/>
              </w:rPr>
              <w:t>项目编号</w:t>
            </w:r>
          </w:p>
        </w:tc>
        <w:tc>
          <w:tcPr>
            <w:tcW w:w="7407" w:type="dxa"/>
            <w:gridSpan w:val="3"/>
            <w:noWrap w:val="0"/>
            <w:vAlign w:val="center"/>
          </w:tcPr>
          <w:p w14:paraId="1187CE95">
            <w:pPr>
              <w:ind w:left="0" w:leftChars="0" w:firstLine="0" w:firstLineChars="0"/>
              <w:jc w:val="center"/>
              <w:rPr>
                <w:rFonts w:hint="eastAsia" w:asciiTheme="minorEastAsia" w:hAnsiTheme="minorEastAsia" w:eastAsiaTheme="minorEastAsia" w:cstheme="minorEastAsia"/>
                <w:color w:val="auto"/>
                <w:sz w:val="28"/>
                <w:szCs w:val="21"/>
                <w:highlight w:val="none"/>
                <w:lang w:val="en-US" w:eastAsia="zh-CN"/>
              </w:rPr>
            </w:pPr>
          </w:p>
        </w:tc>
      </w:tr>
      <w:tr w14:paraId="16996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05BC9E6E">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项目名称</w:t>
            </w:r>
          </w:p>
        </w:tc>
        <w:tc>
          <w:tcPr>
            <w:tcW w:w="7407" w:type="dxa"/>
            <w:gridSpan w:val="3"/>
            <w:noWrap w:val="0"/>
            <w:vAlign w:val="center"/>
          </w:tcPr>
          <w:p w14:paraId="176F90EC">
            <w:pPr>
              <w:ind w:left="0" w:leftChars="0" w:firstLine="0" w:firstLineChars="0"/>
              <w:jc w:val="center"/>
              <w:rPr>
                <w:rFonts w:hint="eastAsia" w:asciiTheme="minorEastAsia" w:hAnsiTheme="minorEastAsia" w:eastAsiaTheme="minorEastAsia" w:cstheme="minorEastAsia"/>
                <w:color w:val="auto"/>
                <w:sz w:val="28"/>
                <w:szCs w:val="21"/>
                <w:highlight w:val="none"/>
                <w:lang w:val="en-US" w:eastAsia="zh-CN"/>
              </w:rPr>
            </w:pPr>
          </w:p>
        </w:tc>
      </w:tr>
      <w:tr w14:paraId="32BD3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3EDBADAC">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lang w:eastAsia="zh-CN"/>
              </w:rPr>
              <w:t>供应商</w:t>
            </w:r>
            <w:r>
              <w:rPr>
                <w:rFonts w:hint="eastAsia" w:asciiTheme="minorEastAsia" w:hAnsiTheme="minorEastAsia" w:eastAsiaTheme="minorEastAsia" w:cstheme="minorEastAsia"/>
                <w:color w:val="auto"/>
                <w:sz w:val="28"/>
                <w:szCs w:val="21"/>
                <w:highlight w:val="none"/>
              </w:rPr>
              <w:t>名称</w:t>
            </w:r>
          </w:p>
        </w:tc>
        <w:tc>
          <w:tcPr>
            <w:tcW w:w="7407" w:type="dxa"/>
            <w:gridSpan w:val="3"/>
            <w:noWrap w:val="0"/>
            <w:vAlign w:val="center"/>
          </w:tcPr>
          <w:p w14:paraId="6F20DB3A">
            <w:pPr>
              <w:ind w:left="0" w:leftChars="0" w:firstLine="0" w:firstLineChars="0"/>
              <w:jc w:val="center"/>
              <w:rPr>
                <w:rFonts w:hint="eastAsia" w:asciiTheme="minorEastAsia" w:hAnsiTheme="minorEastAsia" w:eastAsiaTheme="minorEastAsia" w:cstheme="minorEastAsia"/>
                <w:color w:val="auto"/>
                <w:sz w:val="28"/>
                <w:szCs w:val="21"/>
                <w:highlight w:val="none"/>
                <w:lang w:val="en-US" w:eastAsia="zh-CN"/>
              </w:rPr>
            </w:pPr>
            <w:r>
              <w:rPr>
                <w:rFonts w:hint="eastAsia" w:asciiTheme="minorEastAsia" w:hAnsiTheme="minorEastAsia" w:eastAsiaTheme="minorEastAsia" w:cstheme="minorEastAsia"/>
                <w:color w:val="auto"/>
                <w:sz w:val="28"/>
                <w:szCs w:val="21"/>
                <w:highlight w:val="none"/>
                <w:lang w:val="en-US" w:eastAsia="zh-CN"/>
              </w:rPr>
              <w:t>（供应商公章）</w:t>
            </w:r>
          </w:p>
        </w:tc>
      </w:tr>
      <w:tr w14:paraId="26FE40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2EBF92B0">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联系人</w:t>
            </w:r>
          </w:p>
        </w:tc>
        <w:tc>
          <w:tcPr>
            <w:tcW w:w="2391" w:type="dxa"/>
            <w:noWrap w:val="0"/>
            <w:vAlign w:val="center"/>
          </w:tcPr>
          <w:p w14:paraId="16399221">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c>
          <w:tcPr>
            <w:tcW w:w="1051" w:type="dxa"/>
            <w:noWrap w:val="0"/>
            <w:vAlign w:val="center"/>
          </w:tcPr>
          <w:p w14:paraId="191479EE">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手机</w:t>
            </w:r>
          </w:p>
        </w:tc>
        <w:tc>
          <w:tcPr>
            <w:tcW w:w="3965" w:type="dxa"/>
            <w:noWrap w:val="0"/>
            <w:vAlign w:val="center"/>
          </w:tcPr>
          <w:p w14:paraId="4684FAAB">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r w14:paraId="198BF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209021C6">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办公电话</w:t>
            </w:r>
          </w:p>
        </w:tc>
        <w:tc>
          <w:tcPr>
            <w:tcW w:w="2391" w:type="dxa"/>
            <w:noWrap w:val="0"/>
            <w:vAlign w:val="center"/>
          </w:tcPr>
          <w:p w14:paraId="7FB1DFE7">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c>
          <w:tcPr>
            <w:tcW w:w="1051" w:type="dxa"/>
            <w:noWrap w:val="0"/>
            <w:vAlign w:val="center"/>
          </w:tcPr>
          <w:p w14:paraId="43FD1134">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传真</w:t>
            </w:r>
          </w:p>
        </w:tc>
        <w:tc>
          <w:tcPr>
            <w:tcW w:w="3965" w:type="dxa"/>
            <w:noWrap w:val="0"/>
            <w:vAlign w:val="center"/>
          </w:tcPr>
          <w:p w14:paraId="1C78C3BB">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r w14:paraId="23C18D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158D0466">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E-mail</w:t>
            </w:r>
          </w:p>
        </w:tc>
        <w:tc>
          <w:tcPr>
            <w:tcW w:w="7407" w:type="dxa"/>
            <w:gridSpan w:val="3"/>
            <w:noWrap w:val="0"/>
            <w:vAlign w:val="center"/>
          </w:tcPr>
          <w:p w14:paraId="5A8E5623">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r w14:paraId="6EC9B5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0B70251">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单位地址</w:t>
            </w:r>
          </w:p>
        </w:tc>
        <w:tc>
          <w:tcPr>
            <w:tcW w:w="7407" w:type="dxa"/>
            <w:gridSpan w:val="3"/>
            <w:noWrap w:val="0"/>
            <w:vAlign w:val="center"/>
          </w:tcPr>
          <w:p w14:paraId="1C284840">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bl>
    <w:p w14:paraId="2E89AFB0">
      <w:pPr>
        <w:spacing w:line="360" w:lineRule="auto"/>
        <w:ind w:right="-372" w:rightChars="-133"/>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eastAsia="zh-CN"/>
        </w:rPr>
        <w:t>比选文件售价</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eastAsia="zh-CN"/>
        </w:rPr>
        <w:t>00元/份</w:t>
      </w:r>
      <w:r>
        <w:rPr>
          <w:rFonts w:hint="eastAsia" w:asciiTheme="minorEastAsia" w:hAnsiTheme="minorEastAsia" w:eastAsiaTheme="minorEastAsia" w:cstheme="minorEastAsia"/>
          <w:color w:val="auto"/>
          <w:sz w:val="24"/>
          <w:highlight w:val="none"/>
          <w:lang w:val="en-US" w:eastAsia="zh-CN"/>
        </w:rPr>
        <w:t xml:space="preserve">             代理机构</w:t>
      </w:r>
      <w:r>
        <w:rPr>
          <w:rFonts w:hint="eastAsia" w:asciiTheme="minorEastAsia" w:hAnsiTheme="minorEastAsia" w:eastAsiaTheme="minorEastAsia" w:cstheme="minorEastAsia"/>
          <w:color w:val="auto"/>
          <w:sz w:val="24"/>
          <w:highlight w:val="none"/>
          <w:lang w:eastAsia="zh-CN"/>
        </w:rPr>
        <w:t>：重庆福源工程管理有限公司</w:t>
      </w:r>
      <w:r>
        <w:rPr>
          <w:rFonts w:hint="eastAsia" w:asciiTheme="minorEastAsia" w:hAnsiTheme="minorEastAsia" w:eastAsiaTheme="minorEastAsia" w:cstheme="minorEastAsia"/>
          <w:color w:val="auto"/>
          <w:sz w:val="24"/>
          <w:highlight w:val="none"/>
          <w:lang w:val="en-US" w:eastAsia="zh-CN"/>
        </w:rPr>
        <w:t xml:space="preserve">    </w:t>
      </w:r>
    </w:p>
    <w:p w14:paraId="7F38312F">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p>
    <w:p w14:paraId="59CA2236">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相关说明：</w:t>
      </w:r>
    </w:p>
    <w:p w14:paraId="023789F8">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61312" behindDoc="0" locked="0" layoutInCell="1" allowOverlap="1">
            <wp:simplePos x="0" y="0"/>
            <wp:positionH relativeFrom="column">
              <wp:posOffset>4965700</wp:posOffset>
            </wp:positionH>
            <wp:positionV relativeFrom="paragraph">
              <wp:posOffset>280035</wp:posOffset>
            </wp:positionV>
            <wp:extent cx="836930" cy="1140460"/>
            <wp:effectExtent l="0" t="0" r="1270" b="2540"/>
            <wp:wrapSquare wrapText="bothSides"/>
            <wp:docPr id="4" name="图片 4" descr="cefba4322cd98a097a1099badf897d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efba4322cd98a097a1099badf897d98"/>
                    <pic:cNvPicPr>
                      <a:picLocks noChangeAspect="1"/>
                    </pic:cNvPicPr>
                  </pic:nvPicPr>
                  <pic:blipFill>
                    <a:blip r:embed="rId14"/>
                    <a:stretch>
                      <a:fillRect/>
                    </a:stretch>
                  </pic:blipFill>
                  <pic:spPr>
                    <a:xfrm>
                      <a:off x="0" y="0"/>
                      <a:ext cx="836930" cy="1140460"/>
                    </a:xfrm>
                    <a:prstGeom prst="rect">
                      <a:avLst/>
                    </a:prstGeom>
                  </pic:spPr>
                </pic:pic>
              </a:graphicData>
            </a:graphic>
          </wp:anchor>
        </w:drawing>
      </w:r>
      <w:r>
        <w:rPr>
          <w:rFonts w:hint="eastAsia" w:ascii="宋体" w:hAnsi="宋体" w:eastAsia="宋体" w:cs="宋体"/>
          <w:color w:val="auto"/>
          <w:sz w:val="24"/>
          <w:highlight w:val="none"/>
          <w:lang w:val="en-US" w:eastAsia="zh-CN"/>
        </w:rPr>
        <w:t>在规定的报名和比选文件发售期内，供应商将文件购买费转入右侧二维码中，转账时需注明“供应商简称”，并</w:t>
      </w:r>
      <w:r>
        <w:rPr>
          <w:rFonts w:hint="eastAsia" w:ascii="宋体" w:hAnsi="宋体" w:cs="宋体"/>
          <w:color w:val="auto"/>
          <w:sz w:val="24"/>
          <w:highlight w:val="none"/>
          <w:lang w:val="en-US" w:eastAsia="zh-CN"/>
        </w:rPr>
        <w:t>将</w:t>
      </w:r>
      <w:r>
        <w:rPr>
          <w:rFonts w:hint="eastAsia" w:ascii="宋体" w:hAnsi="宋体" w:eastAsia="宋体" w:cs="宋体"/>
          <w:color w:val="auto"/>
          <w:sz w:val="24"/>
          <w:highlight w:val="none"/>
          <w:lang w:val="en-US" w:eastAsia="zh-CN"/>
        </w:rPr>
        <w:t>《重庆福源工程管理有限公司项目报名表》（格式详见附件）填写完整加盖供应商公章扫描后同文件购买费转账截图一起发送至指定邮箱3809723776@qq.com，按要求发送邮箱后方才报名成功（邮件需注明“供应商简称—</w:t>
      </w:r>
      <w:r>
        <w:rPr>
          <w:rFonts w:hint="eastAsia" w:ascii="宋体" w:hAnsi="宋体" w:cs="宋体"/>
          <w:color w:val="auto"/>
          <w:sz w:val="24"/>
          <w:highlight w:val="none"/>
          <w:lang w:val="en-US" w:eastAsia="zh-CN"/>
        </w:rPr>
        <w:t>CQFY-HC-251016</w:t>
      </w:r>
      <w:r>
        <w:rPr>
          <w:rFonts w:hint="eastAsia" w:ascii="宋体" w:hAnsi="宋体" w:eastAsia="宋体" w:cs="宋体"/>
          <w:color w:val="auto"/>
          <w:sz w:val="24"/>
          <w:highlight w:val="none"/>
          <w:lang w:val="en-US" w:eastAsia="zh-CN"/>
        </w:rPr>
        <w:t>”）</w:t>
      </w:r>
    </w:p>
    <w:p w14:paraId="56C8CE53">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p>
    <w:p w14:paraId="1F6C97DA">
      <w:pPr>
        <w:rPr>
          <w:color w:val="auto"/>
          <w:highlight w:val="none"/>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5F24668-11AD-4854-A41B-DAEB6E61FC8E}"/>
  </w:font>
  <w:font w:name="方正仿宋_GBK">
    <w:panose1 w:val="02000000000000000000"/>
    <w:charset w:val="86"/>
    <w:family w:val="script"/>
    <w:pitch w:val="default"/>
    <w:sig w:usb0="A00002BF" w:usb1="38CF7CFA" w:usb2="00082016" w:usb3="00000000" w:csb0="00040001" w:csb1="00000000"/>
    <w:embedRegular r:id="rId2" w:fontKey="{835D5F42-8939-4475-A1E6-6B742F5E3433}"/>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9089DFAA-EE7C-488A-AFBD-2086595A08D4}"/>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4" w:fontKey="{4C897A4C-F060-439E-B609-A54C6C7348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B96C">
    <w:pPr>
      <w:pStyle w:val="13"/>
      <w:framePr w:wrap="around" w:vAnchor="text" w:hAnchor="margin" w:xAlign="center" w:y="1"/>
      <w:jc w:val="center"/>
      <w:rPr>
        <w:rStyle w:val="23"/>
        <w:rFonts w:hint="eastAsia" w:ascii="宋体"/>
        <w:sz w:val="21"/>
        <w:szCs w:val="21"/>
      </w:rPr>
    </w:pPr>
    <w:r>
      <w:rPr>
        <w:rFonts w:ascii="宋体"/>
        <w:sz w:val="21"/>
        <w:szCs w:val="21"/>
      </w:rPr>
      <w:fldChar w:fldCharType="begin"/>
    </w:r>
    <w:r>
      <w:rPr>
        <w:rStyle w:val="23"/>
        <w:rFonts w:ascii="宋体"/>
        <w:sz w:val="21"/>
        <w:szCs w:val="21"/>
      </w:rPr>
      <w:instrText xml:space="preserve">PAGE  </w:instrText>
    </w:r>
    <w:r>
      <w:rPr>
        <w:rFonts w:ascii="宋体"/>
        <w:sz w:val="21"/>
        <w:szCs w:val="21"/>
      </w:rPr>
      <w:fldChar w:fldCharType="separate"/>
    </w:r>
    <w:r>
      <w:rPr>
        <w:rStyle w:val="23"/>
        <w:rFonts w:ascii="宋体"/>
        <w:sz w:val="21"/>
        <w:szCs w:val="21"/>
      </w:rPr>
      <w:t>- 5 -</w:t>
    </w:r>
    <w:r>
      <w:rPr>
        <w:rFonts w:ascii="宋体"/>
        <w:sz w:val="21"/>
        <w:szCs w:val="21"/>
      </w:rPr>
      <w:fldChar w:fldCharType="end"/>
    </w:r>
  </w:p>
  <w:p w14:paraId="08D8B26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5203">
    <w:pPr>
      <w:pStyle w:val="13"/>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6829844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E36D">
    <w:pPr>
      <w:pStyle w:val="13"/>
      <w:framePr w:wrap="around" w:vAnchor="text" w:hAnchor="margin" w:xAlign="center" w:y="1"/>
      <w:rPr>
        <w:rStyle w:val="23"/>
      </w:rPr>
    </w:pPr>
  </w:p>
  <w:p w14:paraId="2D5102EC">
    <w:pPr>
      <w:pStyle w:val="13"/>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FE13">
    <w:pPr>
      <w:pStyle w:val="13"/>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0243D9">
                          <w:pPr>
                            <w:pStyle w:val="1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60243D9">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E5041">
    <w:pPr>
      <w:widowControl w:val="0"/>
      <w:snapToGrid w:val="0"/>
      <w:jc w:val="left"/>
      <w:rPr>
        <w:rFonts w:ascii="Calibri" w:hAnsi="Calibri" w:eastAsia="宋体" w:cs="Times New Roman"/>
        <w:kern w:val="2"/>
        <w:sz w:val="18"/>
        <w:szCs w:val="20"/>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7D3040">
                          <w:pPr>
                            <w:pStyle w:val="13"/>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C7D3040">
                    <w:pPr>
                      <w:pStyle w:val="13"/>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1F29">
    <w:pPr>
      <w:pStyle w:val="13"/>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820480">
                          <w:pPr>
                            <w:pStyle w:val="13"/>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66820480">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ED5F">
    <w:pPr>
      <w:pStyle w:val="14"/>
      <w:pBdr>
        <w:bottom w:val="none" w:color="auto" w:sz="0" w:space="1"/>
      </w:pBdr>
      <w:tabs>
        <w:tab w:val="left" w:pos="5988"/>
        <w:tab w:val="clear" w:pos="4153"/>
      </w:tabs>
      <w:rPr>
        <w:rFonts w:hint="default" w:eastAsiaTheme="minorEastAsia"/>
        <w:sz w:val="22"/>
        <w:szCs w:val="22"/>
        <w:lang w:val="en-US" w:eastAsia="zh-CN"/>
      </w:rPr>
    </w:pPr>
    <w:r>
      <w:rPr>
        <w:rFonts w:hint="eastAsia"/>
        <w:sz w:val="22"/>
        <w:szCs w:val="22"/>
        <w:lang w:val="en-US" w:eastAsia="zh-CN"/>
      </w:rPr>
      <w:t xml:space="preserve">        </w:t>
    </w:r>
  </w:p>
  <w:p w14:paraId="6C78B0F7">
    <w:pPr>
      <w:pStyle w:val="14"/>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FC645">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D812">
    <w:pPr>
      <w:widowControl w:val="0"/>
      <w:pBdr>
        <w:bottom w:val="none" w:color="auto" w:sz="0" w:space="0"/>
      </w:pBdr>
      <w:snapToGrid w:val="0"/>
      <w:jc w:val="both"/>
      <w:rPr>
        <w:rFonts w:ascii="方正仿宋_GBK" w:hAnsi="Calibri" w:eastAsia="方正仿宋_GBK" w:cs="Times New Roman"/>
        <w:kern w:val="2"/>
        <w:sz w:val="21"/>
        <w:szCs w:val="21"/>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3355A">
    <w:pPr>
      <w:pStyle w:val="14"/>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C9188"/>
    <w:multiLevelType w:val="singleLevel"/>
    <w:tmpl w:val="D31C9188"/>
    <w:lvl w:ilvl="0" w:tentative="0">
      <w:start w:val="4"/>
      <w:numFmt w:val="chineseCounting"/>
      <w:suff w:val="space"/>
      <w:lvlText w:val="第%1篇"/>
      <w:lvlJc w:val="left"/>
      <w:rPr>
        <w:rFonts w:hint="eastAsia"/>
      </w:rPr>
    </w:lvl>
  </w:abstractNum>
  <w:abstractNum w:abstractNumId="1">
    <w:nsid w:val="10FE3554"/>
    <w:multiLevelType w:val="singleLevel"/>
    <w:tmpl w:val="10FE3554"/>
    <w:lvl w:ilvl="0" w:tentative="0">
      <w:start w:val="7"/>
      <w:numFmt w:val="chineseCounting"/>
      <w:suff w:val="space"/>
      <w:lvlText w:val="第%1篇"/>
      <w:lvlJc w:val="left"/>
      <w:rPr>
        <w:rFonts w:hint="eastAsia"/>
      </w:rPr>
    </w:lvl>
  </w:abstractNum>
  <w:abstractNum w:abstractNumId="2">
    <w:nsid w:val="183A57F8"/>
    <w:multiLevelType w:val="singleLevel"/>
    <w:tmpl w:val="183A57F8"/>
    <w:lvl w:ilvl="0" w:tentative="0">
      <w:start w:val="1"/>
      <w:numFmt w:val="decimal"/>
      <w:suff w:val="nothing"/>
      <w:lvlText w:val="%1、"/>
      <w:lvlJc w:val="left"/>
      <w:pPr>
        <w:ind w:left="-48"/>
      </w:pPr>
    </w:lvl>
  </w:abstractNum>
  <w:abstractNum w:abstractNumId="3">
    <w:nsid w:val="38611424"/>
    <w:multiLevelType w:val="singleLevel"/>
    <w:tmpl w:val="38611424"/>
    <w:lvl w:ilvl="0" w:tentative="0">
      <w:start w:val="2"/>
      <w:numFmt w:val="chineseCounting"/>
      <w:suff w:val="space"/>
      <w:lvlText w:val="第%1篇"/>
      <w:lvlJc w:val="left"/>
      <w:rPr>
        <w:rFonts w:hint="eastAsia"/>
      </w:rPr>
    </w:lvl>
  </w:abstractNum>
  <w:abstractNum w:abstractNumId="4">
    <w:nsid w:val="4D9C6171"/>
    <w:multiLevelType w:val="singleLevel"/>
    <w:tmpl w:val="4D9C6171"/>
    <w:lvl w:ilvl="0" w:tentative="0">
      <w:start w:val="3"/>
      <w:numFmt w:val="chineseCounting"/>
      <w:suff w:val="nothing"/>
      <w:lvlText w:val="%1、"/>
      <w:lvlJc w:val="left"/>
      <w:rPr>
        <w:rFonts w:hint="eastAsia"/>
      </w:rPr>
    </w:lvl>
  </w:abstractNum>
  <w:abstractNum w:abstractNumId="5">
    <w:nsid w:val="6F39A1C8"/>
    <w:multiLevelType w:val="singleLevel"/>
    <w:tmpl w:val="6F39A1C8"/>
    <w:lvl w:ilvl="0" w:tentative="0">
      <w:start w:val="3"/>
      <w:numFmt w:val="decimal"/>
      <w:lvlText w:val="%1."/>
      <w:lvlJc w:val="left"/>
      <w:pPr>
        <w:tabs>
          <w:tab w:val="left" w:pos="312"/>
        </w:tabs>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N2ZmY2FiMjg1OWI5ZjgzNzYwOWQ4ODJhN2Q3NTAifQ=="/>
  </w:docVars>
  <w:rsids>
    <w:rsidRoot w:val="4E472A84"/>
    <w:rsid w:val="01F359B1"/>
    <w:rsid w:val="023A18AD"/>
    <w:rsid w:val="0363796B"/>
    <w:rsid w:val="04820ADC"/>
    <w:rsid w:val="04E41694"/>
    <w:rsid w:val="0733430F"/>
    <w:rsid w:val="077C4461"/>
    <w:rsid w:val="07A1653A"/>
    <w:rsid w:val="096C4B48"/>
    <w:rsid w:val="09787CEE"/>
    <w:rsid w:val="09BE22D9"/>
    <w:rsid w:val="0ACB776E"/>
    <w:rsid w:val="0B9C0E22"/>
    <w:rsid w:val="0C030754"/>
    <w:rsid w:val="0C1F4E62"/>
    <w:rsid w:val="0C816BBF"/>
    <w:rsid w:val="0F073C1A"/>
    <w:rsid w:val="0F0E76A8"/>
    <w:rsid w:val="0FCA2182"/>
    <w:rsid w:val="10DD1C44"/>
    <w:rsid w:val="10F1501F"/>
    <w:rsid w:val="134456CF"/>
    <w:rsid w:val="137E5D92"/>
    <w:rsid w:val="14822EEF"/>
    <w:rsid w:val="14B26918"/>
    <w:rsid w:val="14B33B02"/>
    <w:rsid w:val="198F7974"/>
    <w:rsid w:val="1AD42D15"/>
    <w:rsid w:val="1B0D7DB0"/>
    <w:rsid w:val="1BCD60CB"/>
    <w:rsid w:val="1C8C4A6C"/>
    <w:rsid w:val="1CA078F9"/>
    <w:rsid w:val="1E1D56A5"/>
    <w:rsid w:val="1EC12CE3"/>
    <w:rsid w:val="22D64075"/>
    <w:rsid w:val="248D799D"/>
    <w:rsid w:val="24FE5578"/>
    <w:rsid w:val="26EC5899"/>
    <w:rsid w:val="27733BBB"/>
    <w:rsid w:val="27982240"/>
    <w:rsid w:val="299C556E"/>
    <w:rsid w:val="29B42C36"/>
    <w:rsid w:val="2A60384A"/>
    <w:rsid w:val="2A912863"/>
    <w:rsid w:val="2AB7478C"/>
    <w:rsid w:val="2E652751"/>
    <w:rsid w:val="2E91731A"/>
    <w:rsid w:val="30696528"/>
    <w:rsid w:val="320A5AE9"/>
    <w:rsid w:val="35773495"/>
    <w:rsid w:val="361527A5"/>
    <w:rsid w:val="38DC3C6D"/>
    <w:rsid w:val="393F42CA"/>
    <w:rsid w:val="3AA54D69"/>
    <w:rsid w:val="3B1964AA"/>
    <w:rsid w:val="3B1D71A5"/>
    <w:rsid w:val="3BAA1ABA"/>
    <w:rsid w:val="3BF35840"/>
    <w:rsid w:val="3CB63FD1"/>
    <w:rsid w:val="3CDB07AE"/>
    <w:rsid w:val="3D624A2B"/>
    <w:rsid w:val="3E9F0327"/>
    <w:rsid w:val="3ECA0ADA"/>
    <w:rsid w:val="3F397A0D"/>
    <w:rsid w:val="43BB4E27"/>
    <w:rsid w:val="43C723A0"/>
    <w:rsid w:val="44117478"/>
    <w:rsid w:val="443A431D"/>
    <w:rsid w:val="448F7930"/>
    <w:rsid w:val="44F151D9"/>
    <w:rsid w:val="44F46356"/>
    <w:rsid w:val="456B6447"/>
    <w:rsid w:val="45A0479D"/>
    <w:rsid w:val="45C16D86"/>
    <w:rsid w:val="45C4397E"/>
    <w:rsid w:val="45FC3A90"/>
    <w:rsid w:val="46342CDD"/>
    <w:rsid w:val="47A2508B"/>
    <w:rsid w:val="48455675"/>
    <w:rsid w:val="488C0CFD"/>
    <w:rsid w:val="48B504ED"/>
    <w:rsid w:val="49AD0E2D"/>
    <w:rsid w:val="4B376753"/>
    <w:rsid w:val="4BBD1357"/>
    <w:rsid w:val="4DA93F02"/>
    <w:rsid w:val="4E472A84"/>
    <w:rsid w:val="4EDE77FC"/>
    <w:rsid w:val="4FF60E0D"/>
    <w:rsid w:val="5081006F"/>
    <w:rsid w:val="518B66FF"/>
    <w:rsid w:val="52AD4542"/>
    <w:rsid w:val="54212621"/>
    <w:rsid w:val="545A0B28"/>
    <w:rsid w:val="57810B57"/>
    <w:rsid w:val="58B959EF"/>
    <w:rsid w:val="59346FE3"/>
    <w:rsid w:val="5C1A7B93"/>
    <w:rsid w:val="5C9D2F32"/>
    <w:rsid w:val="5D361E2E"/>
    <w:rsid w:val="5E5F29AC"/>
    <w:rsid w:val="5EEB4C44"/>
    <w:rsid w:val="60724A56"/>
    <w:rsid w:val="610160C9"/>
    <w:rsid w:val="622A52D0"/>
    <w:rsid w:val="63163E01"/>
    <w:rsid w:val="68585345"/>
    <w:rsid w:val="6AC13808"/>
    <w:rsid w:val="6AC9771D"/>
    <w:rsid w:val="6B796397"/>
    <w:rsid w:val="6BDE7184"/>
    <w:rsid w:val="6E586931"/>
    <w:rsid w:val="6F313900"/>
    <w:rsid w:val="6FDD7A3E"/>
    <w:rsid w:val="6FE253D4"/>
    <w:rsid w:val="70146EEE"/>
    <w:rsid w:val="70291255"/>
    <w:rsid w:val="707F5C6F"/>
    <w:rsid w:val="71786888"/>
    <w:rsid w:val="718D0379"/>
    <w:rsid w:val="73D22AD5"/>
    <w:rsid w:val="74325E2D"/>
    <w:rsid w:val="759A21A8"/>
    <w:rsid w:val="759D5165"/>
    <w:rsid w:val="763D7808"/>
    <w:rsid w:val="770F2A24"/>
    <w:rsid w:val="77976AA4"/>
    <w:rsid w:val="77CD6969"/>
    <w:rsid w:val="77DC0A87"/>
    <w:rsid w:val="782B33D2"/>
    <w:rsid w:val="791731E8"/>
    <w:rsid w:val="79C75B7D"/>
    <w:rsid w:val="7A0119FE"/>
    <w:rsid w:val="7A953EBE"/>
    <w:rsid w:val="7BC462D5"/>
    <w:rsid w:val="7DED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spacing w:before="50" w:beforeLines="50" w:after="120" w:line="360" w:lineRule="auto"/>
      <w:ind w:firstLine="0" w:firstLineChars="0"/>
      <w:jc w:val="center"/>
      <w:outlineLvl w:val="0"/>
    </w:pPr>
    <w:rPr>
      <w:rFonts w:ascii="Times New Roman" w:hAnsi="Times New Roman"/>
      <w:b/>
      <w:bCs/>
      <w:kern w:val="44"/>
      <w:sz w:val="36"/>
      <w:szCs w:val="44"/>
    </w:rPr>
  </w:style>
  <w:style w:type="paragraph" w:styleId="5">
    <w:name w:val="heading 2"/>
    <w:basedOn w:val="1"/>
    <w:next w:val="1"/>
    <w:link w:val="2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keepLines/>
      <w:tabs>
        <w:tab w:val="left" w:pos="720"/>
      </w:tabs>
      <w:spacing w:before="10" w:beforeLines="10" w:after="10" w:afterLines="10" w:line="380" w:lineRule="exact"/>
      <w:ind w:firstLine="210" w:firstLineChars="210"/>
      <w:outlineLvl w:val="3"/>
    </w:pPr>
    <w:rPr>
      <w:rFonts w:ascii="Arial" w:hAnsi="Arial" w:eastAsia="黑体"/>
      <w:b/>
      <w:kern w:val="2"/>
      <w:sz w:val="25"/>
      <w:szCs w:val="24"/>
      <w:lang w:val="en-US" w:eastAsia="zh-CN" w:bidi="ar-SA"/>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Times New Roman" w:hAnsi="Times New Roman" w:cs="Times New Roman"/>
      <w:kern w:val="2"/>
      <w:sz w:val="28"/>
      <w:szCs w:val="28"/>
      <w:lang w:val="zh-CN"/>
    </w:rPr>
  </w:style>
  <w:style w:type="paragraph" w:customStyle="1" w:styleId="3">
    <w:name w:val="引用1"/>
    <w:basedOn w:val="1"/>
    <w:next w:val="1"/>
    <w:qFormat/>
    <w:uiPriority w:val="0"/>
    <w:rPr>
      <w:rFonts w:ascii="Calibri" w:hAnsi="Calibri" w:cs="宋体"/>
      <w:i/>
      <w:iCs/>
      <w:color w:val="000000"/>
      <w:sz w:val="21"/>
      <w:szCs w:val="22"/>
    </w:rPr>
  </w:style>
  <w:style w:type="paragraph" w:styleId="8">
    <w:name w:val="Body Text Indent"/>
    <w:basedOn w:val="1"/>
    <w:qFormat/>
    <w:uiPriority w:val="0"/>
    <w:pPr>
      <w:spacing w:line="700" w:lineRule="exact"/>
      <w:ind w:left="960"/>
    </w:pPr>
    <w:rPr>
      <w:sz w:val="44"/>
    </w:r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Balloon Text"/>
    <w:basedOn w:val="1"/>
    <w:semiHidden/>
    <w:qFormat/>
    <w:uiPriority w:val="0"/>
    <w:rPr>
      <w:rFonts w:ascii="宋体" w:hAnsi="宋体" w:eastAsia="宋体"/>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6">
    <w:name w:val="List"/>
    <w:basedOn w:val="1"/>
    <w:semiHidden/>
    <w:qFormat/>
    <w:uiPriority w:val="0"/>
    <w:pPr>
      <w:ind w:left="200" w:hanging="200" w:hangingChars="200"/>
    </w:pPr>
  </w:style>
  <w:style w:type="paragraph" w:styleId="17">
    <w:name w:val="toc 2"/>
    <w:basedOn w:val="1"/>
    <w:next w:val="1"/>
    <w:qFormat/>
    <w:uiPriority w:val="39"/>
    <w:pPr>
      <w:ind w:left="420" w:leftChars="200"/>
    </w:pPr>
  </w:style>
  <w:style w:type="paragraph" w:styleId="18">
    <w:name w:val="Body Text First Indent"/>
    <w:basedOn w:val="2"/>
    <w:next w:val="1"/>
    <w:qFormat/>
    <w:uiPriority w:val="0"/>
    <w:pPr>
      <w:spacing w:line="360" w:lineRule="auto"/>
      <w:ind w:firstLine="420"/>
    </w:pPr>
    <w:rPr>
      <w:rFonts w:ascii="宋体" w:hAnsi="宋体"/>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qFormat/>
    <w:uiPriority w:val="0"/>
  </w:style>
  <w:style w:type="character" w:styleId="24">
    <w:name w:val="Hyperlink"/>
    <w:qFormat/>
    <w:uiPriority w:val="99"/>
    <w:rPr>
      <w:color w:val="0000FF"/>
      <w:u w:val="single"/>
    </w:rPr>
  </w:style>
  <w:style w:type="paragraph" w:customStyle="1" w:styleId="25">
    <w:name w:val="正文（缩进）"/>
    <w:basedOn w:val="1"/>
    <w:qFormat/>
    <w:uiPriority w:val="0"/>
    <w:pPr>
      <w:spacing w:line="594" w:lineRule="exact"/>
      <w:ind w:firstLine="482"/>
    </w:pPr>
    <w:rPr>
      <w:rFonts w:eastAsia="方正仿宋_GBK"/>
      <w:sz w:val="32"/>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8">
    <w:name w:val="1"/>
    <w:basedOn w:val="1"/>
    <w:next w:val="9"/>
    <w:qFormat/>
    <w:uiPriority w:val="0"/>
    <w:rPr>
      <w:rFonts w:ascii="宋体" w:hAnsi="Courier New"/>
      <w:sz w:val="21"/>
    </w:rPr>
  </w:style>
  <w:style w:type="character" w:customStyle="1" w:styleId="29">
    <w:name w:val="标题 2 Char"/>
    <w:link w:val="5"/>
    <w:qFormat/>
    <w:uiPriority w:val="0"/>
    <w:rPr>
      <w:rFonts w:ascii="Arial" w:hAnsi="Arial" w:eastAsia="黑体"/>
      <w:b/>
      <w:sz w:val="32"/>
    </w:rPr>
  </w:style>
  <w:style w:type="paragraph" w:customStyle="1" w:styleId="30">
    <w:name w:val="标书正文1"/>
    <w:basedOn w:val="1"/>
    <w:qFormat/>
    <w:uiPriority w:val="0"/>
    <w:pPr>
      <w:spacing w:line="520" w:lineRule="exact"/>
      <w:ind w:firstLine="640" w:firstLineChars="200"/>
    </w:pPr>
  </w:style>
  <w:style w:type="paragraph" w:customStyle="1" w:styleId="31">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2">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3">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34">
    <w:name w:val="电建正文"/>
    <w:basedOn w:val="35"/>
    <w:qFormat/>
    <w:uiPriority w:val="0"/>
    <w:pPr>
      <w:tabs>
        <w:tab w:val="left" w:pos="720"/>
      </w:tabs>
      <w:spacing w:line="360" w:lineRule="auto"/>
      <w:ind w:firstLine="200" w:firstLineChars="200"/>
    </w:pPr>
    <w:rPr>
      <w:rFonts w:ascii="Tahoma" w:hAnsi="Tahoma"/>
      <w:sz w:val="24"/>
    </w:rPr>
  </w:style>
  <w:style w:type="paragraph" w:customStyle="1" w:styleId="35">
    <w:name w:val="List First"/>
    <w:basedOn w:val="16"/>
    <w:next w:val="16"/>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36">
    <w:name w:val="NormalCharacter"/>
    <w:semiHidden/>
    <w:qFormat/>
    <w:uiPriority w:val="0"/>
    <w:rPr>
      <w:rFonts w:ascii="Verdana" w:hAnsi="Verdana" w:eastAsia="仿宋_GB2312"/>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7384</Words>
  <Characters>7775</Characters>
  <Lines>0</Lines>
  <Paragraphs>0</Paragraphs>
  <TotalTime>64</TotalTime>
  <ScaleCrop>false</ScaleCrop>
  <LinksUpToDate>false</LinksUpToDate>
  <CharactersWithSpaces>7893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2023-03-20T03:25:00Z</dcterms:created>
  <dc:creator>让一切随风</dc:creator>
  <cp:lastModifiedBy>谢宝宝</cp:lastModifiedBy>
  <cp:lastPrinted>2025-01-04T08:00:00Z</cp:lastPrinted>
  <dcterms:modified xsi:type="dcterms:W3CDTF">2025-11-19T07:16:02Z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6275E37215F046098ADA12D7EC7DA911_13</vt:lpwstr>
  </property>
  <property fmtid="{D5CDD505-2E9C-101B-9397-08002B2CF9AE}" pid="4" name="KSOTemplateDocerSaveRecord">
    <vt:lpwstr>eyJoZGlkIjoiYzc2N2ZmY2FiMjg1OWI5ZjgzNzYwOWQ4ODJhN2Q3NTAiLCJ1c2VySWQiOiI1MjIxOTAzNjgifQ==</vt:lpwstr>
  </property>
</Properties>
</file>