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2C9A2">
      <w:pPr>
        <w:spacing w:line="360" w:lineRule="auto"/>
        <w:jc w:val="center"/>
        <w:outlineLvl w:val="0"/>
        <w:rPr>
          <w:rFonts w:hint="eastAsia" w:ascii="仿宋" w:hAnsi="仿宋" w:eastAsia="仿宋" w:cs="仿宋"/>
          <w:b/>
          <w:color w:val="auto"/>
          <w:sz w:val="24"/>
          <w:szCs w:val="24"/>
          <w:highlight w:val="none"/>
        </w:rPr>
      </w:pPr>
    </w:p>
    <w:p w14:paraId="04D36313">
      <w:pPr>
        <w:spacing w:line="360" w:lineRule="auto"/>
        <w:jc w:val="center"/>
        <w:outlineLvl w:val="0"/>
        <w:rPr>
          <w:rFonts w:hint="eastAsia" w:ascii="仿宋" w:hAnsi="仿宋" w:eastAsia="仿宋" w:cs="仿宋"/>
          <w:color w:val="auto"/>
          <w:sz w:val="112"/>
          <w:szCs w:val="112"/>
          <w:highlight w:val="none"/>
        </w:rPr>
      </w:pPr>
      <w:r>
        <w:rPr>
          <w:rFonts w:hint="eastAsia" w:ascii="仿宋" w:hAnsi="仿宋" w:eastAsia="仿宋" w:cs="仿宋"/>
          <w:b/>
          <w:color w:val="auto"/>
          <w:sz w:val="112"/>
          <w:szCs w:val="112"/>
          <w:highlight w:val="none"/>
        </w:rPr>
        <w:t>竞争性比选文件</w:t>
      </w:r>
    </w:p>
    <w:p w14:paraId="317F7493">
      <w:pPr>
        <w:pStyle w:val="11"/>
        <w:spacing w:line="360" w:lineRule="auto"/>
        <w:ind w:left="0"/>
        <w:jc w:val="center"/>
        <w:rPr>
          <w:rFonts w:hint="eastAsia" w:ascii="仿宋" w:hAnsi="仿宋" w:eastAsia="仿宋" w:cs="仿宋"/>
          <w:color w:val="auto"/>
          <w:sz w:val="24"/>
          <w:szCs w:val="24"/>
          <w:highlight w:val="none"/>
        </w:rPr>
      </w:pPr>
    </w:p>
    <w:p w14:paraId="07BDBF36">
      <w:pPr>
        <w:pStyle w:val="11"/>
        <w:spacing w:line="360" w:lineRule="auto"/>
        <w:ind w:left="0"/>
        <w:jc w:val="center"/>
        <w:rPr>
          <w:rFonts w:hint="eastAsia" w:ascii="仿宋" w:hAnsi="仿宋" w:eastAsia="仿宋" w:cs="仿宋"/>
          <w:color w:val="auto"/>
          <w:sz w:val="24"/>
          <w:szCs w:val="24"/>
          <w:highlight w:val="none"/>
        </w:rPr>
      </w:pPr>
    </w:p>
    <w:p w14:paraId="5FA9901A">
      <w:pPr>
        <w:pStyle w:val="11"/>
        <w:spacing w:line="360" w:lineRule="auto"/>
        <w:ind w:left="0"/>
        <w:jc w:val="center"/>
        <w:rPr>
          <w:rFonts w:hint="eastAsia" w:ascii="仿宋" w:hAnsi="仿宋" w:eastAsia="仿宋" w:cs="仿宋"/>
          <w:color w:val="auto"/>
          <w:sz w:val="24"/>
          <w:szCs w:val="24"/>
          <w:highlight w:val="none"/>
        </w:rPr>
      </w:pPr>
    </w:p>
    <w:p w14:paraId="1709D868">
      <w:pPr>
        <w:pStyle w:val="11"/>
        <w:spacing w:line="360" w:lineRule="auto"/>
        <w:ind w:left="0"/>
        <w:jc w:val="center"/>
        <w:rPr>
          <w:rFonts w:hint="eastAsia" w:ascii="仿宋" w:hAnsi="仿宋" w:eastAsia="仿宋" w:cs="仿宋"/>
          <w:color w:val="auto"/>
          <w:sz w:val="24"/>
          <w:szCs w:val="24"/>
          <w:highlight w:val="none"/>
        </w:rPr>
      </w:pPr>
    </w:p>
    <w:p w14:paraId="1875C2EA">
      <w:pPr>
        <w:pStyle w:val="11"/>
        <w:spacing w:line="360" w:lineRule="auto"/>
        <w:ind w:left="0"/>
        <w:jc w:val="center"/>
        <w:rPr>
          <w:rFonts w:hint="eastAsia" w:ascii="仿宋" w:hAnsi="仿宋" w:eastAsia="仿宋" w:cs="仿宋"/>
          <w:color w:val="auto"/>
          <w:sz w:val="24"/>
          <w:szCs w:val="24"/>
          <w:highlight w:val="none"/>
        </w:rPr>
      </w:pPr>
    </w:p>
    <w:p w14:paraId="2B729D96">
      <w:pPr>
        <w:pStyle w:val="11"/>
        <w:spacing w:line="360" w:lineRule="auto"/>
        <w:ind w:left="0"/>
        <w:jc w:val="center"/>
        <w:rPr>
          <w:rFonts w:hint="eastAsia" w:ascii="仿宋" w:hAnsi="仿宋" w:eastAsia="仿宋" w:cs="仿宋"/>
          <w:color w:val="auto"/>
          <w:sz w:val="24"/>
          <w:szCs w:val="24"/>
          <w:highlight w:val="none"/>
        </w:rPr>
      </w:pPr>
    </w:p>
    <w:p w14:paraId="66517A30">
      <w:pPr>
        <w:spacing w:line="360" w:lineRule="auto"/>
        <w:ind w:firstLine="562"/>
        <w:jc w:val="center"/>
        <w:outlineLvl w:val="0"/>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项目名称：</w:t>
      </w:r>
      <w:r>
        <w:rPr>
          <w:rFonts w:hint="eastAsia" w:ascii="仿宋" w:hAnsi="仿宋" w:eastAsia="仿宋" w:cs="仿宋"/>
          <w:b/>
          <w:bCs/>
          <w:color w:val="auto"/>
          <w:sz w:val="40"/>
          <w:szCs w:val="40"/>
          <w:highlight w:val="none"/>
          <w:lang w:val="en-US" w:eastAsia="zh-CN"/>
        </w:rPr>
        <w:t>建桥C区海兴路西侧铁路沿线土地整治及配套设施项目勘察设计</w:t>
      </w:r>
    </w:p>
    <w:p w14:paraId="14D6A67C">
      <w:pPr>
        <w:spacing w:line="360" w:lineRule="auto"/>
        <w:ind w:firstLine="562"/>
        <w:jc w:val="left"/>
        <w:outlineLvl w:val="0"/>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rPr>
        <w:t>项目编号：FD-ZC-2026-012</w:t>
      </w:r>
    </w:p>
    <w:p w14:paraId="4F43BFC1">
      <w:pPr>
        <w:pStyle w:val="10"/>
        <w:rPr>
          <w:rFonts w:hint="eastAsia" w:ascii="仿宋" w:hAnsi="仿宋" w:eastAsia="仿宋" w:cs="仿宋"/>
          <w:b/>
          <w:bCs/>
          <w:color w:val="auto"/>
          <w:sz w:val="36"/>
          <w:szCs w:val="36"/>
          <w:highlight w:val="none"/>
        </w:rPr>
      </w:pPr>
    </w:p>
    <w:p w14:paraId="5ACDE562">
      <w:pPr>
        <w:pStyle w:val="10"/>
        <w:rPr>
          <w:rFonts w:hint="eastAsia" w:ascii="仿宋" w:hAnsi="仿宋" w:eastAsia="仿宋" w:cs="仿宋"/>
          <w:b/>
          <w:bCs/>
          <w:color w:val="auto"/>
          <w:sz w:val="30"/>
          <w:szCs w:val="30"/>
          <w:highlight w:val="none"/>
        </w:rPr>
      </w:pPr>
    </w:p>
    <w:p w14:paraId="0BB74E13">
      <w:pPr>
        <w:pStyle w:val="10"/>
        <w:rPr>
          <w:rFonts w:hint="eastAsia" w:ascii="仿宋" w:hAnsi="仿宋" w:eastAsia="仿宋" w:cs="仿宋"/>
          <w:color w:val="auto"/>
          <w:sz w:val="30"/>
          <w:szCs w:val="30"/>
          <w:highlight w:val="none"/>
        </w:rPr>
      </w:pPr>
    </w:p>
    <w:p w14:paraId="7D69EF98">
      <w:pPr>
        <w:spacing w:line="360" w:lineRule="auto"/>
        <w:rPr>
          <w:rFonts w:hint="eastAsia" w:ascii="仿宋" w:hAnsi="仿宋" w:eastAsia="仿宋" w:cs="仿宋"/>
          <w:color w:val="auto"/>
          <w:highlight w:val="none"/>
        </w:rPr>
      </w:pPr>
    </w:p>
    <w:p w14:paraId="0B59F85A">
      <w:pPr>
        <w:spacing w:line="360" w:lineRule="auto"/>
        <w:ind w:firstLine="1958" w:firstLineChars="650"/>
        <w:outlineLvl w:val="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 </w:t>
      </w:r>
    </w:p>
    <w:p w14:paraId="1946E5E5">
      <w:pPr>
        <w:spacing w:line="360" w:lineRule="auto"/>
        <w:jc w:val="center"/>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比选人：</w:t>
      </w:r>
      <w:r>
        <w:rPr>
          <w:rFonts w:hint="eastAsia" w:ascii="仿宋" w:hAnsi="仿宋" w:eastAsia="仿宋" w:cs="仿宋"/>
          <w:b/>
          <w:bCs/>
          <w:color w:val="auto"/>
          <w:sz w:val="32"/>
          <w:szCs w:val="32"/>
          <w:highlight w:val="none"/>
          <w:lang w:val="en-US" w:eastAsia="zh-CN"/>
        </w:rPr>
        <w:t>重庆市大渡口区城市运营管理有限公司（代理业主）、        重庆市建桥工业园区发展中心（业主）</w:t>
      </w:r>
    </w:p>
    <w:p w14:paraId="06BD6060">
      <w:pPr>
        <w:spacing w:line="360" w:lineRule="auto"/>
        <w:jc w:val="both"/>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比选代理机构：</w:t>
      </w:r>
      <w:r>
        <w:rPr>
          <w:rFonts w:hint="eastAsia" w:ascii="仿宋" w:hAnsi="仿宋" w:eastAsia="仿宋" w:cs="仿宋"/>
          <w:b/>
          <w:bCs/>
          <w:color w:val="auto"/>
          <w:sz w:val="32"/>
          <w:szCs w:val="32"/>
          <w:highlight w:val="none"/>
          <w:lang w:val="en-US" w:eastAsia="zh-CN"/>
        </w:rPr>
        <w:t>重庆丰盾工程管理咨询有限公司</w:t>
      </w:r>
    </w:p>
    <w:p w14:paraId="6E24D7F4">
      <w:pPr>
        <w:snapToGrid w:val="0"/>
        <w:spacing w:line="360" w:lineRule="auto"/>
        <w:rPr>
          <w:rFonts w:hint="eastAsia" w:ascii="仿宋" w:hAnsi="仿宋" w:eastAsia="仿宋" w:cs="仿宋"/>
          <w:b/>
          <w:bCs/>
          <w:color w:val="auto"/>
          <w:sz w:val="30"/>
          <w:szCs w:val="30"/>
          <w:highlight w:val="none"/>
        </w:rPr>
      </w:pPr>
    </w:p>
    <w:p w14:paraId="10232EC8">
      <w:pPr>
        <w:snapToGrid w:val="0"/>
        <w:spacing w:line="360" w:lineRule="auto"/>
        <w:jc w:val="center"/>
        <w:rPr>
          <w:rFonts w:hint="eastAsia" w:ascii="仿宋" w:hAnsi="仿宋" w:eastAsia="仿宋" w:cs="仿宋"/>
          <w:color w:val="auto"/>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b/>
          <w:bCs/>
          <w:color w:val="auto"/>
          <w:sz w:val="32"/>
          <w:szCs w:val="32"/>
          <w:highlight w:val="none"/>
          <w:lang w:eastAsia="zh-CN"/>
        </w:rPr>
        <w:t>二〇二六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eastAsia="zh-CN"/>
        </w:rPr>
        <w:t>四月</w:t>
      </w:r>
    </w:p>
    <w:p w14:paraId="326A9B2F">
      <w:pPr>
        <w:spacing w:line="360" w:lineRule="auto"/>
        <w:outlineLvl w:val="0"/>
        <w:rPr>
          <w:rFonts w:hint="eastAsia" w:ascii="仿宋" w:hAnsi="仿宋" w:eastAsia="仿宋" w:cs="仿宋"/>
          <w:color w:val="auto"/>
          <w:sz w:val="24"/>
          <w:szCs w:val="24"/>
          <w:highlight w:val="none"/>
        </w:rPr>
      </w:pPr>
    </w:p>
    <w:p w14:paraId="466E1C6C">
      <w:pPr>
        <w:spacing w:line="360" w:lineRule="auto"/>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t>目   录</w:t>
      </w:r>
    </w:p>
    <w:p w14:paraId="6750B903">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color w:val="auto"/>
          <w:highlight w:val="none"/>
        </w:rPr>
        <w:fldChar w:fldCharType="begin"/>
      </w:r>
      <w:r>
        <w:rPr>
          <w:color w:val="auto"/>
          <w:highlight w:val="none"/>
        </w:rPr>
        <w:instrText xml:space="preserve"> HYPERLINK \l "_Toc212456861" </w:instrText>
      </w:r>
      <w:r>
        <w:rPr>
          <w:color w:val="auto"/>
          <w:highlight w:val="none"/>
        </w:rPr>
        <w:fldChar w:fldCharType="separate"/>
      </w:r>
      <w:r>
        <w:rPr>
          <w:rStyle w:val="27"/>
          <w:rFonts w:hint="eastAsia" w:ascii="仿宋" w:hAnsi="仿宋" w:eastAsia="仿宋" w:cs="仿宋"/>
          <w:bCs/>
          <w:color w:val="auto"/>
          <w:highlight w:val="none"/>
        </w:rPr>
        <w:t>第一篇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比选公告</w:t>
      </w:r>
      <w:r>
        <w:rPr>
          <w:color w:val="auto"/>
          <w:highlight w:val="none"/>
        </w:rPr>
        <w:tab/>
      </w:r>
      <w:r>
        <w:rPr>
          <w:color w:val="auto"/>
          <w:highlight w:val="none"/>
        </w:rPr>
        <w:fldChar w:fldCharType="begin"/>
      </w:r>
      <w:r>
        <w:rPr>
          <w:color w:val="auto"/>
          <w:highlight w:val="none"/>
        </w:rPr>
        <w:instrText xml:space="preserve"> PAGEREF _Toc212456861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29FBFA20">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"_Toc212456862" </w:instrText>
      </w:r>
      <w:r>
        <w:rPr>
          <w:color w:val="auto"/>
          <w:highlight w:val="none"/>
        </w:rPr>
        <w:fldChar w:fldCharType="separate"/>
      </w:r>
      <w:r>
        <w:rPr>
          <w:rStyle w:val="27"/>
          <w:rFonts w:hint="eastAsia" w:ascii="仿宋" w:hAnsi="仿宋" w:eastAsia="仿宋" w:cs="仿宋"/>
          <w:bCs/>
          <w:color w:val="auto"/>
          <w:highlight w:val="none"/>
        </w:rPr>
        <w:t>第二篇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_Toc212456862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FBF533A">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"_Toc212456863" </w:instrText>
      </w:r>
      <w:r>
        <w:rPr>
          <w:color w:val="auto"/>
          <w:highlight w:val="none"/>
        </w:rPr>
        <w:fldChar w:fldCharType="separate"/>
      </w:r>
      <w:r>
        <w:rPr>
          <w:rStyle w:val="27"/>
          <w:rFonts w:hint="eastAsia" w:ascii="仿宋" w:hAnsi="仿宋" w:eastAsia="仿宋" w:cs="仿宋"/>
          <w:bCs/>
          <w:color w:val="auto"/>
          <w:highlight w:val="none"/>
        </w:rPr>
        <w:t>第四篇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资格审查及评审办法</w:t>
      </w:r>
      <w:r>
        <w:rPr>
          <w:color w:val="auto"/>
          <w:highlight w:val="none"/>
        </w:rPr>
        <w:tab/>
      </w:r>
      <w:r>
        <w:rPr>
          <w:color w:val="auto"/>
          <w:highlight w:val="none"/>
        </w:rPr>
        <w:fldChar w:fldCharType="begin"/>
      </w:r>
      <w:r>
        <w:rPr>
          <w:color w:val="auto"/>
          <w:highlight w:val="none"/>
        </w:rPr>
        <w:instrText xml:space="preserve"> PAGEREF _Toc212456863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0BDDAE7F">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"_Toc212456864" </w:instrText>
      </w:r>
      <w:r>
        <w:rPr>
          <w:color w:val="auto"/>
          <w:highlight w:val="none"/>
        </w:rPr>
        <w:fldChar w:fldCharType="separate"/>
      </w:r>
      <w:r>
        <w:rPr>
          <w:rStyle w:val="27"/>
          <w:rFonts w:hint="eastAsia" w:ascii="仿宋" w:hAnsi="仿宋" w:eastAsia="仿宋" w:cs="仿宋"/>
          <w:bCs/>
          <w:color w:val="auto"/>
          <w:highlight w:val="none"/>
        </w:rPr>
        <w:t>第五篇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竞争性比选须知</w:t>
      </w:r>
      <w:r>
        <w:rPr>
          <w:color w:val="auto"/>
          <w:highlight w:val="none"/>
        </w:rPr>
        <w:tab/>
      </w:r>
      <w:r>
        <w:rPr>
          <w:color w:val="auto"/>
          <w:highlight w:val="none"/>
        </w:rPr>
        <w:fldChar w:fldCharType="begin"/>
      </w:r>
      <w:r>
        <w:rPr>
          <w:color w:val="auto"/>
          <w:highlight w:val="none"/>
        </w:rPr>
        <w:instrText xml:space="preserve"> PAGEREF _Toc212456864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171ED155">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"_Toc212456865" </w:instrText>
      </w:r>
      <w:r>
        <w:rPr>
          <w:color w:val="auto"/>
          <w:highlight w:val="none"/>
        </w:rPr>
        <w:fldChar w:fldCharType="separate"/>
      </w:r>
      <w:r>
        <w:rPr>
          <w:rStyle w:val="27"/>
          <w:rFonts w:hint="eastAsia" w:ascii="仿宋" w:hAnsi="仿宋" w:eastAsia="仿宋" w:cs="仿宋"/>
          <w:bCs/>
          <w:color w:val="auto"/>
          <w:highlight w:val="none"/>
        </w:rPr>
        <w:t>第六篇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合同格式自拟</w:t>
      </w:r>
      <w:r>
        <w:rPr>
          <w:color w:val="auto"/>
          <w:highlight w:val="none"/>
        </w:rPr>
        <w:tab/>
      </w:r>
      <w:r>
        <w:rPr>
          <w:color w:val="auto"/>
          <w:highlight w:val="none"/>
        </w:rPr>
        <w:fldChar w:fldCharType="begin"/>
      </w:r>
      <w:r>
        <w:rPr>
          <w:color w:val="auto"/>
          <w:highlight w:val="none"/>
        </w:rPr>
        <w:instrText xml:space="preserve"> PAGEREF _Toc212456865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20B9AAF7">
      <w:pPr>
        <w:pStyle w:val="20"/>
        <w:tabs>
          <w:tab w:val="right" w:leader="dot" w:pos="9175"/>
        </w:tabs>
        <w:spacing w:line="360" w:lineRule="auto"/>
        <w:ind w:left="56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"_Toc212456866" </w:instrText>
      </w:r>
      <w:r>
        <w:rPr>
          <w:color w:val="auto"/>
          <w:highlight w:val="none"/>
        </w:rPr>
        <w:fldChar w:fldCharType="separate"/>
      </w:r>
      <w:r>
        <w:rPr>
          <w:rStyle w:val="27"/>
          <w:rFonts w:hint="eastAsia" w:ascii="仿宋" w:hAnsi="仿宋" w:eastAsia="仿宋" w:cs="仿宋"/>
          <w:bCs/>
          <w:color w:val="auto"/>
          <w:highlight w:val="none"/>
        </w:rPr>
        <w:t>第七篇</w:t>
      </w:r>
      <w:r>
        <w:rPr>
          <w:rStyle w:val="27"/>
          <w:rFonts w:ascii="仿宋" w:hAnsi="仿宋" w:eastAsia="仿宋" w:cs="仿宋"/>
          <w:bCs/>
          <w:color w:val="auto"/>
          <w:highlight w:val="none"/>
        </w:rPr>
        <w:t xml:space="preserve"> </w:t>
      </w:r>
      <w:r>
        <w:rPr>
          <w:rStyle w:val="27"/>
          <w:rFonts w:hint="eastAsia" w:ascii="仿宋" w:hAnsi="仿宋" w:eastAsia="仿宋" w:cs="仿宋"/>
          <w:bCs/>
          <w:color w:val="auto"/>
          <w:highlight w:val="none"/>
        </w:rPr>
        <w:t>响应文件组成及要求格式</w:t>
      </w:r>
      <w:r>
        <w:rPr>
          <w:color w:val="auto"/>
          <w:highlight w:val="none"/>
        </w:rPr>
        <w:tab/>
      </w:r>
      <w:r>
        <w:rPr>
          <w:color w:val="auto"/>
          <w:highlight w:val="none"/>
        </w:rPr>
        <w:fldChar w:fldCharType="begin"/>
      </w:r>
      <w:r>
        <w:rPr>
          <w:color w:val="auto"/>
          <w:highlight w:val="none"/>
        </w:rPr>
        <w:instrText xml:space="preserve"> PAGEREF _Toc212456866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768C9286">
      <w:pPr>
        <w:pStyle w:val="21"/>
        <w:ind w:firstLine="0"/>
        <w:rPr>
          <w:rFonts w:hint="eastAsia" w:ascii="仿宋" w:hAnsi="仿宋" w:eastAsia="仿宋" w:cs="仿宋"/>
          <w:color w:val="auto"/>
          <w:szCs w:val="24"/>
          <w:highlight w:val="none"/>
        </w:rPr>
      </w:pPr>
      <w:r>
        <w:rPr>
          <w:rFonts w:hint="eastAsia" w:ascii="仿宋" w:hAnsi="仿宋" w:eastAsia="仿宋" w:cs="仿宋"/>
          <w:color w:val="auto"/>
          <w:szCs w:val="21"/>
          <w:highlight w:val="none"/>
        </w:rPr>
        <w:fldChar w:fldCharType="end"/>
      </w:r>
    </w:p>
    <w:p w14:paraId="690F84C2">
      <w:pPr>
        <w:pStyle w:val="3"/>
        <w:spacing w:line="360" w:lineRule="auto"/>
        <w:jc w:val="center"/>
        <w:rPr>
          <w:rFonts w:hint="eastAsia" w:ascii="仿宋" w:hAnsi="仿宋" w:eastAsia="仿宋" w:cs="仿宋"/>
          <w:bCs/>
          <w:color w:val="auto"/>
          <w:sz w:val="36"/>
          <w:szCs w:val="36"/>
          <w:highlight w:val="none"/>
        </w:rPr>
        <w:sectPr>
          <w:footerReference r:id="rId7" w:type="default"/>
          <w:pgSz w:w="11907" w:h="16840"/>
          <w:pgMar w:top="1134" w:right="1304" w:bottom="1134" w:left="1418" w:header="850" w:footer="850" w:gutter="0"/>
          <w:pgNumType w:fmt="decimal"/>
          <w:cols w:space="720" w:num="1"/>
          <w:docGrid w:linePitch="312" w:charSpace="0"/>
        </w:sectPr>
      </w:pPr>
      <w:bookmarkStart w:id="0" w:name="_Toc11641050"/>
      <w:bookmarkStart w:id="1" w:name="_Toc12789052"/>
      <w:bookmarkStart w:id="2" w:name="_Toc19580"/>
      <w:bookmarkStart w:id="3" w:name="_Toc212456861"/>
    </w:p>
    <w:p w14:paraId="4EE2C346">
      <w:pPr>
        <w:pStyle w:val="3"/>
        <w:spacing w:line="360" w:lineRule="auto"/>
        <w:jc w:val="center"/>
        <w:rPr>
          <w:rFonts w:hint="eastAsia"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 xml:space="preserve">第一篇 </w:t>
      </w:r>
      <w:bookmarkEnd w:id="0"/>
      <w:bookmarkEnd w:id="1"/>
      <w:bookmarkEnd w:id="2"/>
      <w:r>
        <w:rPr>
          <w:rFonts w:hint="eastAsia" w:ascii="仿宋" w:hAnsi="仿宋" w:eastAsia="仿宋" w:cs="仿宋"/>
          <w:bCs/>
          <w:color w:val="auto"/>
          <w:sz w:val="36"/>
          <w:szCs w:val="36"/>
          <w:highlight w:val="none"/>
        </w:rPr>
        <w:t>比选公告</w:t>
      </w:r>
      <w:bookmarkEnd w:id="3"/>
    </w:p>
    <w:p w14:paraId="01000DD1">
      <w:pPr>
        <w:spacing w:line="360" w:lineRule="auto"/>
        <w:ind w:firstLine="560" w:firstLineChars="200"/>
        <w:rPr>
          <w:rFonts w:hint="eastAsia" w:ascii="仿宋" w:hAnsi="仿宋" w:eastAsia="仿宋" w:cs="仿宋"/>
          <w:color w:val="auto"/>
          <w:sz w:val="24"/>
          <w:szCs w:val="24"/>
          <w:highlight w:val="none"/>
        </w:rPr>
      </w:pPr>
      <w:r>
        <w:rPr>
          <w:rFonts w:hint="eastAsia" w:ascii="仿宋_GB2312" w:eastAsia="仿宋_GB2312"/>
          <w:sz w:val="28"/>
          <w:szCs w:val="28"/>
          <w:u w:val="single"/>
          <w:lang w:val="en-US" w:eastAsia="zh-CN"/>
        </w:rPr>
        <w:t>重庆丰盾工程管理咨询有限公司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rPr>
        <w:t>重庆市大渡口区城市运营管理有限公司</w:t>
      </w:r>
      <w:r>
        <w:rPr>
          <w:rFonts w:hint="eastAsia" w:ascii="仿宋" w:hAnsi="仿宋" w:eastAsia="仿宋" w:cs="仿宋"/>
          <w:color w:val="auto"/>
          <w:sz w:val="24"/>
          <w:szCs w:val="24"/>
          <w:highlight w:val="none"/>
          <w:u w:val="single"/>
          <w:lang w:eastAsia="zh-CN"/>
        </w:rPr>
        <w:t>（代理业主）、</w:t>
      </w:r>
      <w:r>
        <w:rPr>
          <w:rFonts w:hint="eastAsia" w:ascii="仿宋" w:hAnsi="仿宋" w:eastAsia="仿宋" w:cs="仿宋"/>
          <w:color w:val="auto"/>
          <w:sz w:val="24"/>
          <w:szCs w:val="24"/>
          <w:highlight w:val="none"/>
          <w:u w:val="single"/>
          <w:lang w:val="en-US" w:eastAsia="zh-CN"/>
        </w:rPr>
        <w:t>重庆市建桥工业园区发展中心（业主）</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建桥C区海兴路西侧铁路沿线土地整治及配套设施项目勘察设计</w:t>
      </w:r>
      <w:r>
        <w:rPr>
          <w:rFonts w:hint="eastAsia" w:ascii="仿宋" w:hAnsi="仿宋" w:eastAsia="仿宋" w:cs="仿宋"/>
          <w:color w:val="auto"/>
          <w:sz w:val="24"/>
          <w:szCs w:val="24"/>
          <w:highlight w:val="none"/>
        </w:rPr>
        <w:t>进行竞争性比选，比选资金来源为</w:t>
      </w:r>
      <w:r>
        <w:rPr>
          <w:rFonts w:hint="eastAsia" w:ascii="仿宋" w:hAnsi="仿宋" w:eastAsia="仿宋" w:cs="仿宋"/>
          <w:color w:val="auto"/>
          <w:sz w:val="24"/>
          <w:szCs w:val="24"/>
          <w:highlight w:val="none"/>
          <w:u w:val="single"/>
        </w:rPr>
        <w:t>业主自筹</w:t>
      </w:r>
      <w:r>
        <w:rPr>
          <w:rFonts w:hint="eastAsia" w:ascii="仿宋" w:hAnsi="仿宋" w:eastAsia="仿宋" w:cs="仿宋"/>
          <w:color w:val="auto"/>
          <w:sz w:val="24"/>
          <w:szCs w:val="24"/>
          <w:highlight w:val="none"/>
        </w:rPr>
        <w:t>。项目已具备竞争性比选条件，现进行公开比选，特邀请有兴趣的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参与竞争性比选。</w:t>
      </w:r>
    </w:p>
    <w:p w14:paraId="3A1FA70A">
      <w:pPr>
        <w:spacing w:line="360" w:lineRule="auto"/>
        <w:rPr>
          <w:rFonts w:hint="eastAsia" w:ascii="仿宋" w:hAnsi="仿宋" w:eastAsia="仿宋" w:cs="仿宋"/>
          <w:b/>
          <w:bCs/>
          <w:color w:val="auto"/>
          <w:sz w:val="24"/>
          <w:szCs w:val="24"/>
          <w:highlight w:val="none"/>
        </w:rPr>
      </w:pPr>
      <w:bookmarkStart w:id="4" w:name="_Toc28581"/>
      <w:bookmarkStart w:id="5" w:name="_Toc313893526"/>
      <w:bookmarkStart w:id="6" w:name="_Toc317775175"/>
      <w:r>
        <w:rPr>
          <w:rFonts w:hint="eastAsia" w:ascii="仿宋" w:hAnsi="仿宋" w:eastAsia="仿宋" w:cs="仿宋"/>
          <w:b/>
          <w:bCs/>
          <w:color w:val="auto"/>
          <w:sz w:val="24"/>
          <w:szCs w:val="24"/>
          <w:highlight w:val="none"/>
        </w:rPr>
        <w:t>一、竞争性比选内容</w:t>
      </w:r>
      <w:bookmarkEnd w:id="4"/>
      <w:bookmarkEnd w:id="5"/>
      <w:bookmarkEnd w:id="6"/>
    </w:p>
    <w:tbl>
      <w:tblPr>
        <w:tblStyle w:val="2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1448"/>
        <w:gridCol w:w="1513"/>
        <w:gridCol w:w="2086"/>
        <w:gridCol w:w="1642"/>
      </w:tblGrid>
      <w:tr w14:paraId="36BD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675" w:type="dxa"/>
            <w:vAlign w:val="center"/>
          </w:tcPr>
          <w:p w14:paraId="0197CC6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448" w:type="dxa"/>
            <w:vAlign w:val="center"/>
          </w:tcPr>
          <w:p w14:paraId="17844467">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勘察费固定费率（</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1513" w:type="dxa"/>
            <w:vAlign w:val="center"/>
          </w:tcPr>
          <w:p w14:paraId="13ADFCC2">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设计费固定费率（</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lang w:eastAsia="zh-CN"/>
              </w:rPr>
              <w:t>）</w:t>
            </w:r>
          </w:p>
        </w:tc>
        <w:tc>
          <w:tcPr>
            <w:tcW w:w="2086" w:type="dxa"/>
            <w:vAlign w:val="center"/>
          </w:tcPr>
          <w:p w14:paraId="578FDC5D">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暂定总报价限价（元）</w:t>
            </w:r>
          </w:p>
        </w:tc>
        <w:tc>
          <w:tcPr>
            <w:tcW w:w="1642" w:type="dxa"/>
            <w:vAlign w:val="center"/>
          </w:tcPr>
          <w:p w14:paraId="36888785">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成交</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数量（名）</w:t>
            </w:r>
          </w:p>
        </w:tc>
      </w:tr>
      <w:tr w14:paraId="0504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675" w:type="dxa"/>
            <w:vAlign w:val="center"/>
          </w:tcPr>
          <w:p w14:paraId="43F7839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建桥C区海兴路西侧铁路沿线土地整治及配套设施项目勘察设计</w:t>
            </w:r>
          </w:p>
        </w:tc>
        <w:tc>
          <w:tcPr>
            <w:tcW w:w="1448" w:type="dxa"/>
            <w:vAlign w:val="center"/>
          </w:tcPr>
          <w:p w14:paraId="6DD6A5A9">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50.00</w:t>
            </w:r>
          </w:p>
        </w:tc>
        <w:tc>
          <w:tcPr>
            <w:tcW w:w="1513" w:type="dxa"/>
            <w:vAlign w:val="center"/>
          </w:tcPr>
          <w:p w14:paraId="2B335182">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22.00</w:t>
            </w:r>
          </w:p>
        </w:tc>
        <w:tc>
          <w:tcPr>
            <w:tcW w:w="2086" w:type="dxa"/>
            <w:vAlign w:val="center"/>
          </w:tcPr>
          <w:p w14:paraId="0D88863A">
            <w:pPr>
              <w:adjustRightInd w:val="0"/>
              <w:snapToGrid w:val="0"/>
              <w:spacing w:line="360" w:lineRule="auto"/>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256760.00</w:t>
            </w:r>
          </w:p>
        </w:tc>
        <w:tc>
          <w:tcPr>
            <w:tcW w:w="1642" w:type="dxa"/>
            <w:vAlign w:val="center"/>
          </w:tcPr>
          <w:p w14:paraId="00A4153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6ED8B3C0">
      <w:pPr>
        <w:spacing w:line="360" w:lineRule="auto"/>
        <w:rPr>
          <w:rFonts w:hint="eastAsia" w:ascii="仿宋" w:hAnsi="仿宋" w:eastAsia="仿宋" w:cs="仿宋"/>
          <w:b/>
          <w:bCs/>
          <w:color w:val="auto"/>
          <w:sz w:val="24"/>
          <w:szCs w:val="24"/>
          <w:highlight w:val="none"/>
        </w:rPr>
      </w:pPr>
      <w:bookmarkStart w:id="7" w:name="_Toc28615"/>
      <w:bookmarkStart w:id="8" w:name="_Toc373860293"/>
      <w:bookmarkStart w:id="9" w:name="_Toc317775178"/>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资格条件</w:t>
      </w:r>
      <w:bookmarkEnd w:id="7"/>
    </w:p>
    <w:p w14:paraId="3C3FAFF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（一）满足《中华人民共和国政府采购法》第二十二条规定；</w:t>
      </w:r>
    </w:p>
    <w:p w14:paraId="1756B509">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（二）特定资格条件</w:t>
      </w:r>
      <w:bookmarkStart w:id="10" w:name="_Toc5284"/>
    </w:p>
    <w:p w14:paraId="0C8D5C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I</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供应商应具备下列勘察资质之一：</w:t>
      </w:r>
    </w:p>
    <w:p w14:paraId="5C8B7A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①工程勘察综合甲级资质；</w:t>
      </w:r>
    </w:p>
    <w:p w14:paraId="542F90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②工程勘察专业类（岩土工程）</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级</w:t>
      </w:r>
      <w:r>
        <w:rPr>
          <w:rFonts w:hint="eastAsia" w:ascii="仿宋" w:hAnsi="仿宋" w:eastAsia="仿宋" w:cs="仿宋"/>
          <w:color w:val="auto"/>
          <w:sz w:val="24"/>
          <w:szCs w:val="24"/>
          <w:highlight w:val="none"/>
        </w:rPr>
        <w:t>及以上资质；</w:t>
      </w:r>
    </w:p>
    <w:p w14:paraId="7D71E8D8">
      <w:pPr>
        <w:spacing w:line="360" w:lineRule="auto"/>
        <w:ind w:firstLine="480" w:firstLineChars="200"/>
        <w:rPr>
          <w:rFonts w:hint="eastAsia"/>
          <w:highlight w:val="none"/>
        </w:rPr>
      </w:pPr>
      <w:r>
        <w:rPr>
          <w:rFonts w:hint="eastAsia" w:ascii="仿宋" w:hAnsi="仿宋" w:eastAsia="仿宋" w:cs="仿宋"/>
          <w:color w:val="auto"/>
          <w:sz w:val="24"/>
          <w:szCs w:val="24"/>
          <w:highlight w:val="none"/>
        </w:rPr>
        <w:t>③工程勘察专业类（岩土工程（勘察））</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及以上资质。</w:t>
      </w:r>
    </w:p>
    <w:p w14:paraId="289A68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Ⅱ. </w:t>
      </w:r>
      <w:r>
        <w:rPr>
          <w:rFonts w:hint="eastAsia" w:ascii="仿宋" w:hAnsi="仿宋" w:eastAsia="仿宋" w:cs="仿宋"/>
          <w:color w:val="auto"/>
          <w:sz w:val="24"/>
          <w:szCs w:val="24"/>
          <w:highlight w:val="none"/>
        </w:rPr>
        <w:t>供应商应具备下列设计资质之一：</w:t>
      </w:r>
    </w:p>
    <w:p w14:paraId="1EFDF38E">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①工程设计综合甲级资质；</w:t>
      </w:r>
    </w:p>
    <w:p w14:paraId="4CB6C5C0">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②工程设计市政行业乙级及以上资质；</w:t>
      </w:r>
    </w:p>
    <w:p w14:paraId="5E1B3E66">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③工程设计市政行业（燃气工程、轨道交通工程除外）乙级及以上资质；</w:t>
      </w:r>
    </w:p>
    <w:p w14:paraId="135DBA98">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④工程设计市政行业（道路工程）专业乙级及以上资质。</w:t>
      </w:r>
    </w:p>
    <w:p w14:paraId="44AE701B">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须提供资质证书副本复印件并加盖供应商单位公章。</w:t>
      </w:r>
    </w:p>
    <w:p w14:paraId="0CDE9F24">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须提供资质证书副本复印件并加盖供应商单位公章。</w:t>
      </w:r>
    </w:p>
    <w:p w14:paraId="058F1988">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三、比选有关说明</w:t>
      </w:r>
      <w:bookmarkEnd w:id="8"/>
      <w:bookmarkEnd w:id="10"/>
    </w:p>
    <w:p w14:paraId="61D36C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应通过“行采家”平台（https://www.gec123.com）进行注册，成为行采家平台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bookmarkEnd w:id="9"/>
    <w:p w14:paraId="301326C2">
      <w:pPr>
        <w:spacing w:line="360" w:lineRule="auto"/>
        <w:ind w:firstLine="480" w:firstLineChars="200"/>
        <w:rPr>
          <w:rFonts w:hint="eastAsia" w:ascii="仿宋" w:hAnsi="仿宋" w:eastAsia="仿宋" w:cs="仿宋"/>
          <w:color w:val="auto"/>
          <w:sz w:val="24"/>
          <w:highlight w:val="none"/>
        </w:rPr>
      </w:pPr>
      <w:bookmarkStart w:id="11" w:name="_Toc11608"/>
      <w:bookmarkStart w:id="12" w:name="_Toc480466699"/>
      <w:r>
        <w:rPr>
          <w:rFonts w:hint="eastAsia" w:ascii="仿宋" w:hAnsi="仿宋" w:eastAsia="仿宋" w:cs="仿宋"/>
          <w:color w:val="auto"/>
          <w:sz w:val="24"/>
          <w:highlight w:val="none"/>
        </w:rPr>
        <w:t>（二）凡有意参加竞价的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，请于公告发布之日起至响应文件上传截止时间之前，在行采家-电子竞采（www.gec123.com/xe/）下载并查看本项目比选文件以及变更公告等竞采前公布的所有项目资料，无论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下载查看与否，均视为已知晓所有竞采实质性要求内容。</w:t>
      </w:r>
    </w:p>
    <w:p w14:paraId="487F0D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须在</w:t>
      </w:r>
      <w:r>
        <w:rPr>
          <w:rFonts w:hint="eastAsia" w:ascii="仿宋" w:hAnsi="仿宋" w:eastAsia="仿宋" w:cs="仿宋"/>
          <w:color w:val="auto"/>
          <w:sz w:val="24"/>
          <w:highlight w:val="none"/>
        </w:rPr>
        <w:t>行采家-电子竞采（www.gec123.com/xe/）平台</w:t>
      </w:r>
      <w:r>
        <w:rPr>
          <w:rFonts w:hint="eastAsia" w:ascii="仿宋" w:hAnsi="仿宋" w:eastAsia="仿宋" w:cs="仿宋"/>
          <w:bCs/>
          <w:color w:val="auto"/>
          <w:sz w:val="24"/>
          <w:szCs w:val="24"/>
          <w:highlight w:val="none"/>
        </w:rPr>
        <w:t>上获取比选文件，并在规定的时间内按要求报价和上传响应文件，未按要求报价和上传响应文件的视为无效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color w:val="auto"/>
          <w:sz w:val="24"/>
          <w:highlight w:val="none"/>
        </w:rPr>
        <w:t>。</w:t>
      </w:r>
    </w:p>
    <w:p w14:paraId="2A9CBEA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4783BCF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1.供应商</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highlight w:val="none"/>
        </w:rPr>
        <w:t>行采家-电子竞采（www.gec123.com/xe/）平台上</w:t>
      </w:r>
      <w:r>
        <w:rPr>
          <w:rFonts w:hint="eastAsia" w:ascii="仿宋" w:hAnsi="仿宋" w:eastAsia="仿宋" w:cs="仿宋"/>
          <w:b/>
          <w:bCs/>
          <w:color w:val="auto"/>
          <w:sz w:val="24"/>
          <w:szCs w:val="24"/>
          <w:highlight w:val="none"/>
        </w:rPr>
        <w:t>须上传本项目的响应文件一份。</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在</w:t>
      </w:r>
      <w:r>
        <w:rPr>
          <w:rFonts w:hint="eastAsia" w:ascii="仿宋" w:hAnsi="仿宋" w:eastAsia="仿宋" w:cs="仿宋"/>
          <w:b/>
          <w:bCs/>
          <w:color w:val="auto"/>
          <w:sz w:val="24"/>
          <w:highlight w:val="none"/>
        </w:rPr>
        <w:t>行采家-电子竞采（www.gec123.com/xe/）平台上的报价必须与上传的响应文件中的报价一致，否则，</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4D2D22AA">
      <w:p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szCs w:val="24"/>
          <w:highlight w:val="none"/>
          <w:lang w:eastAsia="zh-CN"/>
        </w:rPr>
        <w:t>2.供应商</w:t>
      </w:r>
      <w:r>
        <w:rPr>
          <w:rFonts w:hint="eastAsia" w:ascii="仿宋" w:hAnsi="仿宋" w:eastAsia="仿宋" w:cs="仿宋"/>
          <w:b/>
          <w:bCs/>
          <w:color w:val="auto"/>
          <w:sz w:val="24"/>
          <w:szCs w:val="24"/>
          <w:highlight w:val="none"/>
        </w:rPr>
        <w:t>的响应文件应按照比选文件要求制作，要求签字、盖章的地方必须按规定签字、盖章，并扫描成PDF格式电子文档上传至</w:t>
      </w:r>
      <w:r>
        <w:rPr>
          <w:rFonts w:hint="eastAsia" w:ascii="仿宋" w:hAnsi="仿宋" w:eastAsia="仿宋" w:cs="仿宋"/>
          <w:b/>
          <w:bCs/>
          <w:color w:val="auto"/>
          <w:sz w:val="24"/>
          <w:highlight w:val="none"/>
        </w:rPr>
        <w:t>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w:t>
      </w:r>
      <w:r>
        <w:rPr>
          <w:rFonts w:hint="eastAsia" w:ascii="仿宋" w:hAnsi="仿宋" w:eastAsia="仿宋" w:cs="仿宋"/>
          <w:b/>
          <w:bCs/>
          <w:color w:val="auto"/>
          <w:sz w:val="24"/>
          <w:szCs w:val="24"/>
          <w:highlight w:val="none"/>
        </w:rPr>
        <w:t>，扫描件须清晰可辨，未按要求制作的文件</w:t>
      </w:r>
      <w:r>
        <w:rPr>
          <w:rFonts w:hint="eastAsia" w:ascii="仿宋" w:hAnsi="仿宋" w:eastAsia="仿宋" w:cs="仿宋"/>
          <w:b/>
          <w:bCs/>
          <w:color w:val="auto"/>
          <w:sz w:val="24"/>
          <w:szCs w:val="24"/>
          <w:highlight w:val="none"/>
          <w:lang w:eastAsia="zh-CN"/>
        </w:rPr>
        <w:t>按</w:t>
      </w:r>
      <w:r>
        <w:rPr>
          <w:rFonts w:hint="eastAsia" w:ascii="仿宋" w:hAnsi="仿宋" w:eastAsia="仿宋" w:cs="仿宋"/>
          <w:b/>
          <w:bCs/>
          <w:color w:val="auto"/>
          <w:sz w:val="24"/>
          <w:highlight w:val="none"/>
          <w:lang w:eastAsia="zh-CN"/>
        </w:rPr>
        <w:t>无效竞标处理</w:t>
      </w:r>
      <w:r>
        <w:rPr>
          <w:rFonts w:hint="eastAsia" w:ascii="仿宋" w:hAnsi="仿宋" w:eastAsia="仿宋" w:cs="仿宋"/>
          <w:b/>
          <w:bCs/>
          <w:color w:val="auto"/>
          <w:sz w:val="24"/>
          <w:szCs w:val="24"/>
          <w:highlight w:val="none"/>
        </w:rPr>
        <w:t>。</w:t>
      </w:r>
    </w:p>
    <w:p w14:paraId="6A22EDC6">
      <w:pPr>
        <w:spacing w:line="360" w:lineRule="auto"/>
        <w:ind w:firstLine="482" w:firstLineChars="200"/>
        <w:rPr>
          <w:rFonts w:cs="宋体"/>
          <w:color w:val="auto"/>
          <w:sz w:val="24"/>
          <w:szCs w:val="24"/>
          <w:highlight w:val="none"/>
        </w:rPr>
      </w:pPr>
      <w:r>
        <w:rPr>
          <w:rFonts w:hint="eastAsia" w:ascii="仿宋" w:hAnsi="仿宋" w:eastAsia="仿宋" w:cs="仿宋"/>
          <w:b/>
          <w:bCs/>
          <w:color w:val="auto"/>
          <w:sz w:val="24"/>
          <w:highlight w:val="none"/>
        </w:rPr>
        <w:t>（四）报名方式</w:t>
      </w:r>
    </w:p>
    <w:p w14:paraId="387B2D83">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1.报名时间：</w:t>
      </w:r>
      <w:r>
        <w:rPr>
          <w:rFonts w:hint="eastAsia" w:ascii="仿宋" w:hAnsi="仿宋" w:eastAsia="仿宋" w:cs="仿宋"/>
          <w:b/>
          <w:bCs/>
          <w:color w:val="auto"/>
          <w:sz w:val="24"/>
          <w:highlight w:val="none"/>
          <w:lang w:eastAsia="zh-CN"/>
        </w:rPr>
        <w:t>2026年</w:t>
      </w:r>
      <w:r>
        <w:rPr>
          <w:rFonts w:hint="eastAsia" w:ascii="仿宋" w:hAnsi="仿宋" w:eastAsia="仿宋" w:cs="仿宋"/>
          <w:b/>
          <w:bCs/>
          <w:color w:val="auto"/>
          <w:sz w:val="24"/>
          <w:highlight w:val="non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lang w:eastAsia="zh-CN"/>
        </w:rPr>
        <w:t>日—2026年</w:t>
      </w:r>
      <w:r>
        <w:rPr>
          <w:rFonts w:hint="eastAsia" w:ascii="仿宋" w:hAnsi="仿宋" w:eastAsia="仿宋" w:cs="仿宋"/>
          <w:b/>
          <w:bCs/>
          <w:color w:val="auto"/>
          <w:sz w:val="24"/>
          <w:highlight w:val="non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17</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rPr>
        <w:t>17</w:t>
      </w:r>
      <w:r>
        <w:rPr>
          <w:rFonts w:hint="eastAsia" w:ascii="仿宋" w:hAnsi="仿宋" w:eastAsia="仿宋" w:cs="仿宋"/>
          <w:b/>
          <w:bCs/>
          <w:color w:val="auto"/>
          <w:sz w:val="24"/>
          <w:highlight w:val="none"/>
          <w:lang w:eastAsia="zh-CN"/>
        </w:rPr>
        <w:t>:30</w:t>
      </w:r>
      <w:r>
        <w:rPr>
          <w:rFonts w:hint="eastAsia" w:ascii="仿宋" w:hAnsi="仿宋" w:eastAsia="仿宋" w:cs="仿宋"/>
          <w:b/>
          <w:bCs/>
          <w:color w:val="auto"/>
          <w:sz w:val="24"/>
          <w:highlight w:val="none"/>
        </w:rPr>
        <w:t>。</w:t>
      </w:r>
    </w:p>
    <w:p w14:paraId="0832BDFF">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rPr>
        <w:t>.</w:t>
      </w:r>
      <w:bookmarkStart w:id="13" w:name="_Toc3308"/>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仿宋" w:hAnsi="仿宋" w:eastAsia="仿宋" w:cs="仿宋"/>
          <w:b/>
          <w:bCs/>
          <w:color w:val="auto"/>
          <w:sz w:val="24"/>
          <w:highlight w:val="none"/>
        </w:rPr>
        <w:fldChar w:fldCharType="separate"/>
      </w:r>
      <w:r>
        <w:rPr>
          <w:rFonts w:hint="eastAsia" w:ascii="仿宋" w:hAnsi="仿宋" w:eastAsia="仿宋" w:cs="仿宋"/>
          <w:b/>
          <w:bCs/>
          <w:color w:val="auto"/>
          <w:sz w:val="24"/>
          <w:highlight w:val="none"/>
        </w:rPr>
        <w:t>供应商将</w:t>
      </w:r>
      <w:r>
        <w:rPr>
          <w:rFonts w:hint="eastAsia" w:ascii="仿宋" w:hAnsi="仿宋" w:eastAsia="仿宋" w:cs="仿宋"/>
          <w:b/>
          <w:bCs/>
          <w:color w:val="auto"/>
          <w:sz w:val="24"/>
          <w:highlight w:val="none"/>
          <w:lang w:eastAsia="zh-CN"/>
        </w:rPr>
        <w:t>附件</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《报名登记表》填写完整</w:t>
      </w:r>
      <w:r>
        <w:rPr>
          <w:rFonts w:hint="eastAsia" w:ascii="仿宋" w:hAnsi="仿宋" w:eastAsia="仿宋" w:cs="仿宋"/>
          <w:b/>
          <w:bCs/>
          <w:color w:val="auto"/>
          <w:sz w:val="24"/>
          <w:highlight w:val="none"/>
          <w:lang w:eastAsia="zh-CN"/>
        </w:rPr>
        <w:t>，加盖</w:t>
      </w:r>
      <w:r>
        <w:rPr>
          <w:rFonts w:hint="eastAsia" w:ascii="仿宋" w:hAnsi="仿宋" w:eastAsia="仿宋" w:cs="仿宋"/>
          <w:b/>
          <w:bCs/>
          <w:color w:val="auto"/>
          <w:sz w:val="24"/>
          <w:highlight w:val="none"/>
        </w:rPr>
        <w:t>供应商公章</w:t>
      </w:r>
      <w:r>
        <w:rPr>
          <w:rFonts w:hint="eastAsia" w:ascii="仿宋" w:hAnsi="仿宋" w:eastAsia="仿宋" w:cs="仿宋"/>
          <w:b/>
          <w:bCs/>
          <w:color w:val="auto"/>
          <w:sz w:val="24"/>
          <w:highlight w:val="none"/>
          <w:lang w:eastAsia="zh-CN"/>
        </w:rPr>
        <w:t>，扫描</w:t>
      </w:r>
      <w:r>
        <w:rPr>
          <w:rFonts w:hint="eastAsia" w:ascii="仿宋" w:hAnsi="仿宋" w:eastAsia="仿宋" w:cs="仿宋"/>
          <w:b/>
          <w:bCs/>
          <w:color w:val="auto"/>
          <w:sz w:val="24"/>
          <w:highlight w:val="none"/>
        </w:rPr>
        <w:t>后发送至指定邮箱（</w:t>
      </w:r>
      <w:r>
        <w:rPr>
          <w:rFonts w:hint="eastAsia" w:ascii="仿宋" w:hAnsi="仿宋" w:eastAsia="仿宋" w:cs="仿宋"/>
          <w:b/>
          <w:bCs/>
          <w:color w:val="auto"/>
          <w:sz w:val="24"/>
          <w:highlight w:val="none"/>
          <w:lang w:val="en-US" w:eastAsia="zh-CN"/>
        </w:rPr>
        <w:t>396432958</w:t>
      </w:r>
      <w:r>
        <w:rPr>
          <w:rFonts w:hint="eastAsia" w:ascii="仿宋" w:hAnsi="仿宋" w:eastAsia="仿宋" w:cs="仿宋"/>
          <w:b/>
          <w:bCs/>
          <w:color w:val="auto"/>
          <w:sz w:val="24"/>
          <w:highlight w:val="none"/>
        </w:rPr>
        <w:t>@qq.com）</w:t>
      </w:r>
      <w:r>
        <w:rPr>
          <w:rFonts w:hint="eastAsia" w:ascii="仿宋" w:hAnsi="仿宋" w:eastAsia="仿宋" w:cs="仿宋"/>
          <w:b/>
          <w:bCs/>
          <w:color w:val="auto"/>
          <w:sz w:val="24"/>
          <w:highlight w:val="none"/>
          <w:lang w:eastAsia="zh-CN"/>
        </w:rPr>
        <w:t>，报名时间以邮箱到达时间为准，经代理机构确认报名有效后，对成功报名供应商的信用信息及关</w:t>
      </w:r>
      <w:bookmarkStart w:id="94" w:name="_GoBack"/>
      <w:bookmarkEnd w:id="94"/>
      <w:r>
        <w:rPr>
          <w:rFonts w:hint="eastAsia" w:ascii="仿宋" w:hAnsi="仿宋" w:eastAsia="仿宋" w:cs="仿宋"/>
          <w:b/>
          <w:bCs/>
          <w:color w:val="auto"/>
          <w:sz w:val="24"/>
          <w:highlight w:val="none"/>
          <w:lang w:eastAsia="zh-CN"/>
        </w:rPr>
        <w:t>联单位信息进行核查</w:t>
      </w:r>
      <w:r>
        <w:rPr>
          <w:rFonts w:hint="eastAsia" w:ascii="仿宋" w:hAnsi="仿宋" w:eastAsia="仿宋" w:cs="仿宋"/>
          <w:b/>
          <w:bCs/>
          <w:color w:val="auto"/>
          <w:sz w:val="24"/>
          <w:highlight w:val="none"/>
        </w:rPr>
        <w:t>。</w:t>
      </w:r>
      <w:bookmarkEnd w:id="13"/>
      <w:r>
        <w:rPr>
          <w:rFonts w:hint="eastAsia" w:ascii="仿宋" w:hAnsi="仿宋" w:eastAsia="仿宋" w:cs="仿宋"/>
          <w:b/>
          <w:bCs/>
          <w:color w:val="auto"/>
          <w:sz w:val="24"/>
          <w:highlight w:val="none"/>
        </w:rPr>
        <w:fldChar w:fldCharType="end"/>
      </w:r>
    </w:p>
    <w:p w14:paraId="2DB0AE2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五</w:t>
      </w:r>
      <w:r>
        <w:rPr>
          <w:rFonts w:hint="eastAsia" w:ascii="仿宋" w:hAnsi="仿宋" w:eastAsia="仿宋" w:cs="仿宋"/>
          <w:b/>
          <w:bCs/>
          <w:color w:val="auto"/>
          <w:sz w:val="24"/>
          <w:highlight w:val="none"/>
        </w:rPr>
        <w:t>）行采家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电子竞采平台的响应文件上传开始时间和截止时间：以行采家-电子竞采（www.gec123.com/xe/）平台上项目公告上规定的时间为准。</w:t>
      </w:r>
    </w:p>
    <w:p w14:paraId="0A21407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六</w:t>
      </w:r>
      <w:r>
        <w:rPr>
          <w:rFonts w:hint="eastAsia" w:ascii="仿宋" w:hAnsi="仿宋" w:eastAsia="仿宋" w:cs="仿宋"/>
          <w:b/>
          <w:bCs/>
          <w:color w:val="auto"/>
          <w:sz w:val="24"/>
          <w:highlight w:val="none"/>
        </w:rPr>
        <w:t>）线下递交纸质版响应文件要求</w:t>
      </w:r>
    </w:p>
    <w:p w14:paraId="465951E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1.各</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参与本项目的竞采，除应按要求在行采家-电子竞采（www.gec123.com/xe/）平台上传响应文件外，还应当线下递交响应文件纸质版一式两份，其中正本一份，副本一份，每套纸质响应文件须在封面清楚地标明“正本</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副本”，副本应为正本的完整复印件，副本与正本不一致时以正本为准。</w:t>
      </w:r>
    </w:p>
    <w:p w14:paraId="33B3FC0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eastAsia="zh-CN"/>
        </w:rPr>
        <w:t>比选人</w:t>
      </w:r>
      <w:r>
        <w:rPr>
          <w:rFonts w:hint="eastAsia" w:ascii="仿宋" w:hAnsi="仿宋" w:eastAsia="仿宋" w:cs="仿宋"/>
          <w:b/>
          <w:bCs/>
          <w:color w:val="auto"/>
          <w:sz w:val="24"/>
          <w:highlight w:val="none"/>
        </w:rPr>
        <w:t>以线下递交的纸质版响应文件作为评审依据，纸质版响应文件的总报价应与行采家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电子竞采平台上的总报价一致，否则，</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7BA29ED1">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highlight w:val="none"/>
        </w:rPr>
        <w:t>3.纸质版响应文件递交地点：</w:t>
      </w:r>
      <w:r>
        <w:rPr>
          <w:rFonts w:hint="eastAsia" w:ascii="仿宋" w:hAnsi="仿宋" w:eastAsia="仿宋" w:cs="仿宋"/>
          <w:b/>
          <w:bCs/>
          <w:color w:val="auto"/>
          <w:sz w:val="24"/>
          <w:szCs w:val="24"/>
          <w:highlight w:val="none"/>
          <w:lang w:val="en-US" w:eastAsia="zh-CN"/>
        </w:rPr>
        <w:t>大渡口区海康路106号1号楼12楼。</w:t>
      </w:r>
    </w:p>
    <w:p w14:paraId="355EF11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4.纸质版响应文件递交开始时间：</w:t>
      </w:r>
      <w:r>
        <w:rPr>
          <w:rFonts w:hint="eastAsia" w:ascii="仿宋" w:hAnsi="仿宋" w:eastAsia="仿宋" w:cs="仿宋"/>
          <w:b/>
          <w:bCs/>
          <w:color w:val="auto"/>
          <w:sz w:val="24"/>
          <w:highlight w:val="none"/>
          <w:u w:val="single"/>
        </w:rPr>
        <w:t>202</w:t>
      </w:r>
      <w:r>
        <w:rPr>
          <w:rFonts w:hint="eastAsia" w:ascii="仿宋" w:hAnsi="仿宋" w:eastAsia="仿宋" w:cs="仿宋"/>
          <w:b/>
          <w:bCs/>
          <w:color w:val="auto"/>
          <w:sz w:val="24"/>
          <w:highlight w:val="none"/>
          <w:u w:val="single"/>
          <w:lang w:val="en-US" w:eastAsia="zh-CN"/>
        </w:rPr>
        <w:t>6</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 xml:space="preserve">04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20</w:t>
      </w:r>
      <w:r>
        <w:rPr>
          <w:rFonts w:hint="eastAsia" w:ascii="仿宋" w:hAnsi="仿宋" w:eastAsia="仿宋" w:cs="仿宋"/>
          <w:b/>
          <w:bCs/>
          <w:color w:val="auto"/>
          <w:sz w:val="24"/>
          <w:highlight w:val="none"/>
        </w:rPr>
        <w:t>日</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14</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时</w:t>
      </w:r>
      <w:r>
        <w:rPr>
          <w:rFonts w:hint="eastAsia" w:ascii="仿宋" w:hAnsi="仿宋" w:eastAsia="仿宋" w:cs="仿宋"/>
          <w:b/>
          <w:bCs/>
          <w:color w:val="auto"/>
          <w:sz w:val="24"/>
          <w:highlight w:val="none"/>
          <w:u w:val="single"/>
          <w:lang w:val="en-US" w:eastAsia="zh-CN"/>
        </w:rPr>
        <w:t>00</w:t>
      </w:r>
      <w:r>
        <w:rPr>
          <w:rFonts w:hint="eastAsia" w:ascii="仿宋" w:hAnsi="仿宋" w:eastAsia="仿宋" w:cs="仿宋"/>
          <w:b/>
          <w:bCs/>
          <w:color w:val="auto"/>
          <w:sz w:val="24"/>
          <w:highlight w:val="none"/>
        </w:rPr>
        <w:t>分（北京时间），递交截止时间：</w:t>
      </w:r>
      <w:r>
        <w:rPr>
          <w:rFonts w:hint="eastAsia" w:ascii="仿宋" w:hAnsi="仿宋" w:eastAsia="仿宋" w:cs="仿宋"/>
          <w:b/>
          <w:bCs/>
          <w:color w:val="auto"/>
          <w:sz w:val="24"/>
          <w:highlight w:val="none"/>
          <w:u w:val="single"/>
          <w:lang w:eastAsia="zh-CN"/>
        </w:rPr>
        <w:t>2026</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u w:val="single"/>
          <w:lang w:eastAsia="zh-CN"/>
        </w:rPr>
        <w:t xml:space="preserve"> </w:t>
      </w:r>
      <w:r>
        <w:rPr>
          <w:rFonts w:hint="eastAsia" w:ascii="仿宋" w:hAnsi="仿宋" w:eastAsia="仿宋" w:cs="仿宋"/>
          <w:b/>
          <w:bCs/>
          <w:color w:val="auto"/>
          <w:sz w:val="24"/>
          <w:highlight w:val="none"/>
          <w:u w:val="single"/>
          <w:lang w:val="en-US" w:eastAsia="zh-CN"/>
        </w:rPr>
        <w:t>04</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u w:val="single"/>
          <w:lang w:val="en-US" w:eastAsia="zh-CN"/>
        </w:rPr>
        <w:t>20</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u w:val="single"/>
          <w:lang w:val="en-US" w:eastAsia="zh-CN"/>
        </w:rPr>
        <w:t>14</w:t>
      </w:r>
      <w:r>
        <w:rPr>
          <w:rFonts w:hint="eastAsia" w:ascii="仿宋" w:hAnsi="仿宋" w:eastAsia="仿宋" w:cs="仿宋"/>
          <w:b/>
          <w:bCs/>
          <w:color w:val="auto"/>
          <w:sz w:val="24"/>
          <w:highlight w:val="none"/>
          <w:lang w:eastAsia="zh-CN"/>
        </w:rPr>
        <w:t>时</w:t>
      </w:r>
      <w:r>
        <w:rPr>
          <w:rFonts w:hint="eastAsia" w:ascii="仿宋" w:hAnsi="仿宋" w:eastAsia="仿宋" w:cs="仿宋"/>
          <w:b/>
          <w:bCs/>
          <w:color w:val="auto"/>
          <w:sz w:val="24"/>
          <w:highlight w:val="none"/>
          <w:u w:val="single"/>
          <w:lang w:val="en-US" w:eastAsia="zh-CN"/>
        </w:rPr>
        <w:t>30</w:t>
      </w:r>
      <w:r>
        <w:rPr>
          <w:rFonts w:hint="eastAsia" w:ascii="仿宋" w:hAnsi="仿宋" w:eastAsia="仿宋" w:cs="仿宋"/>
          <w:b/>
          <w:bCs/>
          <w:color w:val="auto"/>
          <w:sz w:val="24"/>
          <w:highlight w:val="none"/>
          <w:lang w:eastAsia="zh-CN"/>
        </w:rPr>
        <w:t>分</w:t>
      </w:r>
      <w:r>
        <w:rPr>
          <w:rFonts w:hint="eastAsia" w:ascii="仿宋" w:hAnsi="仿宋" w:eastAsia="仿宋" w:cs="仿宋"/>
          <w:b/>
          <w:bCs/>
          <w:color w:val="auto"/>
          <w:sz w:val="24"/>
          <w:highlight w:val="none"/>
        </w:rPr>
        <w:t>（北京时间）。未在</w:t>
      </w:r>
      <w:r>
        <w:rPr>
          <w:rFonts w:hint="eastAsia" w:ascii="仿宋" w:hAnsi="仿宋" w:eastAsia="仿宋" w:cs="仿宋"/>
          <w:b/>
          <w:bCs/>
          <w:color w:val="auto"/>
          <w:sz w:val="24"/>
          <w:highlight w:val="none"/>
          <w:lang w:eastAsia="zh-CN"/>
        </w:rPr>
        <w:t>规定</w:t>
      </w:r>
      <w:r>
        <w:rPr>
          <w:rFonts w:hint="eastAsia" w:ascii="仿宋" w:hAnsi="仿宋" w:eastAsia="仿宋" w:cs="仿宋"/>
          <w:b/>
          <w:bCs/>
          <w:color w:val="auto"/>
          <w:sz w:val="24"/>
          <w:highlight w:val="none"/>
        </w:rPr>
        <w:t>时间内按要求递交纸质版响应文件的，</w:t>
      </w:r>
      <w:r>
        <w:rPr>
          <w:rFonts w:hint="eastAsia" w:ascii="仿宋" w:hAnsi="仿宋" w:eastAsia="仿宋" w:cs="仿宋"/>
          <w:b/>
          <w:bCs/>
          <w:color w:val="auto"/>
          <w:sz w:val="24"/>
          <w:highlight w:val="none"/>
          <w:lang w:eastAsia="zh-CN"/>
        </w:rPr>
        <w:t>按无效竞标处理</w:t>
      </w:r>
      <w:r>
        <w:rPr>
          <w:rFonts w:hint="eastAsia" w:ascii="仿宋" w:hAnsi="仿宋" w:eastAsia="仿宋" w:cs="仿宋"/>
          <w:b/>
          <w:bCs/>
          <w:color w:val="auto"/>
          <w:sz w:val="24"/>
          <w:highlight w:val="none"/>
        </w:rPr>
        <w:t>。</w:t>
      </w:r>
    </w:p>
    <w:p w14:paraId="2A1A07A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（七）开标时间：同响应文件递交</w:t>
      </w:r>
      <w:r>
        <w:rPr>
          <w:rFonts w:hint="eastAsia" w:ascii="仿宋" w:hAnsi="仿宋" w:eastAsia="仿宋" w:cs="仿宋"/>
          <w:color w:val="auto"/>
          <w:sz w:val="24"/>
          <w:highlight w:val="none"/>
          <w:lang w:eastAsia="zh-CN"/>
        </w:rPr>
        <w:t>截止</w:t>
      </w:r>
      <w:r>
        <w:rPr>
          <w:rFonts w:hint="eastAsia" w:ascii="仿宋" w:hAnsi="仿宋" w:eastAsia="仿宋" w:cs="仿宋"/>
          <w:color w:val="auto"/>
          <w:sz w:val="24"/>
          <w:highlight w:val="none"/>
        </w:rPr>
        <w:t>时间。</w:t>
      </w:r>
    </w:p>
    <w:p w14:paraId="0BC08ED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（八）无论竞标结果如何，</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参与本项目的所有费用均由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自行承担。</w:t>
      </w:r>
    </w:p>
    <w:p w14:paraId="7C869846">
      <w:pPr>
        <w:pStyle w:val="8"/>
        <w:spacing w:line="360" w:lineRule="auto"/>
        <w:rPr>
          <w:rFonts w:hint="eastAsia" w:ascii="仿宋" w:hAnsi="仿宋" w:eastAsia="仿宋" w:cs="仿宋"/>
          <w:b/>
          <w:bCs/>
          <w:color w:val="auto"/>
          <w:sz w:val="24"/>
          <w:szCs w:val="24"/>
          <w:highlight w:val="none"/>
        </w:rPr>
      </w:pPr>
      <w:r>
        <w:rPr>
          <w:rFonts w:hint="eastAsia" w:ascii="仿宋" w:hAnsi="仿宋" w:eastAsia="仿宋" w:cs="仿宋"/>
          <w:color w:val="auto"/>
          <w:kern w:val="2"/>
          <w:sz w:val="24"/>
          <w:szCs w:val="24"/>
          <w:highlight w:val="none"/>
        </w:rPr>
        <w:t>件一并递交，投标保证金保函递交截止时间同投标截止时间。</w:t>
      </w:r>
    </w:p>
    <w:p w14:paraId="24979A89">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其他</w:t>
      </w:r>
      <w:r>
        <w:rPr>
          <w:rFonts w:hint="eastAsia" w:ascii="仿宋" w:hAnsi="仿宋" w:eastAsia="仿宋" w:cs="仿宋"/>
          <w:b/>
          <w:bCs/>
          <w:color w:val="auto"/>
          <w:sz w:val="24"/>
          <w:szCs w:val="24"/>
          <w:highlight w:val="none"/>
        </w:rPr>
        <w:t>有关规定</w:t>
      </w:r>
      <w:bookmarkEnd w:id="11"/>
      <w:bookmarkEnd w:id="12"/>
    </w:p>
    <w:p w14:paraId="251E8C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，不得参加同一合同项（分包）下的投标活动，否则均为响应无效。</w:t>
      </w:r>
    </w:p>
    <w:p w14:paraId="64068F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（二）为比选项目提供整体设计、规范编制或者项目管理、监理、检测等服务的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，不得再参加该项目的其他采购活动。</w:t>
      </w:r>
    </w:p>
    <w:p w14:paraId="5BC79B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（三）本项目的补遗文件（如果有）一律在“行采家”网上发布，请各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4E8519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249D6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476EC3EA">
      <w:pPr>
        <w:spacing w:line="360" w:lineRule="auto"/>
        <w:ind w:firstLine="480" w:firstLineChars="200"/>
        <w:rPr>
          <w:rFonts w:hint="eastAsia" w:ascii="仿宋" w:hAnsi="仿宋" w:eastAsia="仿宋" w:cs="仿宋"/>
          <w:color w:val="auto"/>
          <w:sz w:val="24"/>
          <w:szCs w:val="24"/>
          <w:highlight w:val="none"/>
        </w:rPr>
      </w:pPr>
      <w:bookmarkStart w:id="14" w:name="_Toc480466700"/>
      <w:r>
        <w:rPr>
          <w:rFonts w:hint="eastAsia" w:ascii="仿宋" w:hAnsi="仿宋" w:eastAsia="仿宋" w:cs="仿宋"/>
          <w:color w:val="auto"/>
          <w:sz w:val="24"/>
          <w:szCs w:val="24"/>
          <w:highlight w:val="none"/>
        </w:rPr>
        <w:t>（六）本项目不接受联合体参与比选。</w:t>
      </w:r>
    </w:p>
    <w:p w14:paraId="543127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（七）本项目不接受合同分包。</w:t>
      </w:r>
    </w:p>
    <w:p w14:paraId="37CEA2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（八）按照《财政部关于在政府采购活动中查询及使用信用记录有关问题的通知》财库〔2016〕125号，</w:t>
      </w:r>
      <w:r>
        <w:rPr>
          <w:rFonts w:hint="eastAsia" w:ascii="仿宋" w:hAnsi="仿宋" w:eastAsia="仿宋" w:cs="仿宋"/>
          <w:color w:val="auto"/>
          <w:sz w:val="24"/>
          <w:szCs w:val="24"/>
          <w:highlight w:val="none"/>
          <w:lang w:eastAsia="zh-CN"/>
        </w:rPr>
        <w:t>被</w:t>
      </w:r>
      <w:r>
        <w:rPr>
          <w:rFonts w:hint="eastAsia" w:ascii="仿宋" w:hAnsi="仿宋" w:eastAsia="仿宋" w:cs="仿宋"/>
          <w:color w:val="auto"/>
          <w:sz w:val="24"/>
          <w:szCs w:val="24"/>
          <w:highlight w:val="none"/>
        </w:rPr>
        <w:t>列入失信被执行人、重大税收违法案件当事人名单、政府采购严重违法失信行为记录名单</w:t>
      </w:r>
      <w:r>
        <w:rPr>
          <w:rFonts w:hint="eastAsia" w:ascii="仿宋" w:hAnsi="仿宋" w:eastAsia="仿宋" w:cs="仿宋"/>
          <w:color w:val="auto"/>
          <w:sz w:val="24"/>
          <w:szCs w:val="24"/>
          <w:highlight w:val="none"/>
          <w:lang w:eastAsia="zh-CN"/>
        </w:rPr>
        <w:t>，以及其他</w:t>
      </w:r>
      <w:r>
        <w:rPr>
          <w:rFonts w:hint="eastAsia" w:ascii="仿宋" w:hAnsi="仿宋" w:eastAsia="仿宋" w:cs="仿宋"/>
          <w:color w:val="auto"/>
          <w:sz w:val="24"/>
          <w:szCs w:val="24"/>
          <w:highlight w:val="none"/>
        </w:rPr>
        <w:t>不符合《中华人民共和国政府采购法》第二十二条规定条件的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w:t>
      </w:r>
      <w:r>
        <w:rPr>
          <w:rFonts w:hint="eastAsia" w:ascii="仿宋" w:hAnsi="仿宋" w:eastAsia="仿宋" w:cs="仿宋"/>
          <w:color w:val="auto"/>
          <w:sz w:val="24"/>
          <w:szCs w:val="24"/>
          <w:highlight w:val="none"/>
          <w:lang w:eastAsia="zh-CN"/>
        </w:rPr>
        <w:t>被拒绝</w:t>
      </w:r>
      <w:r>
        <w:rPr>
          <w:rFonts w:hint="eastAsia" w:ascii="仿宋" w:hAnsi="仿宋" w:eastAsia="仿宋" w:cs="仿宋"/>
          <w:color w:val="auto"/>
          <w:sz w:val="24"/>
          <w:szCs w:val="24"/>
          <w:highlight w:val="none"/>
        </w:rPr>
        <w:t>参与政府采购活动。</w:t>
      </w:r>
    </w:p>
    <w:p w14:paraId="36451CDD">
      <w:pPr>
        <w:spacing w:line="360" w:lineRule="auto"/>
        <w:rPr>
          <w:rFonts w:hint="eastAsia" w:ascii="仿宋" w:hAnsi="仿宋" w:eastAsia="仿宋" w:cs="仿宋"/>
          <w:b/>
          <w:bCs/>
          <w:color w:val="auto"/>
          <w:sz w:val="24"/>
          <w:szCs w:val="24"/>
          <w:highlight w:val="none"/>
        </w:rPr>
      </w:pPr>
      <w:bookmarkStart w:id="15" w:name="_Toc1712"/>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bookmarkEnd w:id="15"/>
      <w:bookmarkStart w:id="16" w:name="_Toc26660"/>
      <w:r>
        <w:rPr>
          <w:rFonts w:hint="eastAsia" w:ascii="仿宋" w:hAnsi="仿宋" w:eastAsia="仿宋" w:cs="仿宋"/>
          <w:b/>
          <w:bCs/>
          <w:color w:val="auto"/>
          <w:sz w:val="24"/>
          <w:szCs w:val="24"/>
          <w:highlight w:val="none"/>
        </w:rPr>
        <w:t>联系方式</w:t>
      </w:r>
      <w:bookmarkEnd w:id="14"/>
      <w:bookmarkEnd w:id="16"/>
    </w:p>
    <w:p w14:paraId="71842FB7">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（一）比选人：重庆市大渡口区城市运营管理有限公司</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重庆市建桥工业园区发展中心</w:t>
      </w:r>
    </w:p>
    <w:p w14:paraId="6159428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联系人：肖老师</w:t>
      </w:r>
    </w:p>
    <w:p w14:paraId="1046661C">
      <w:pPr>
        <w:widowControl/>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话：023-68950066</w:t>
      </w:r>
    </w:p>
    <w:p w14:paraId="5418126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址：大渡口区田西路中冶熙城商街1号楼</w:t>
      </w:r>
    </w:p>
    <w:p w14:paraId="6164EAE5">
      <w:pPr>
        <w:snapToGrid w:val="0"/>
        <w:spacing w:line="360" w:lineRule="auto"/>
        <w:ind w:firstLine="480" w:firstLineChars="200"/>
        <w:rPr>
          <w:rFonts w:hint="eastAsia" w:ascii="仿宋" w:hAnsi="仿宋" w:eastAsia="仿宋" w:cs="仿宋"/>
          <w:color w:val="auto"/>
          <w:sz w:val="24"/>
          <w:szCs w:val="24"/>
          <w:highlight w:val="none"/>
        </w:rPr>
      </w:pPr>
    </w:p>
    <w:p w14:paraId="53C8F69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（二）比选代理机构：</w:t>
      </w:r>
      <w:r>
        <w:rPr>
          <w:rFonts w:hint="eastAsia" w:ascii="仿宋" w:hAnsi="仿宋" w:eastAsia="仿宋" w:cs="仿宋"/>
          <w:color w:val="auto"/>
          <w:sz w:val="24"/>
          <w:szCs w:val="24"/>
          <w:highlight w:val="none"/>
          <w:lang w:val="en-US" w:eastAsia="zh-CN"/>
        </w:rPr>
        <w:t>重庆丰盾工程管理咨询有限公司</w:t>
      </w:r>
    </w:p>
    <w:p w14:paraId="34E8403C">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杨先生</w:t>
      </w:r>
    </w:p>
    <w:p w14:paraId="4A3EE13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023-68833588</w:t>
      </w:r>
    </w:p>
    <w:p w14:paraId="0A632D11">
      <w:pPr>
        <w:snapToGrid w:val="0"/>
        <w:spacing w:line="360" w:lineRule="auto"/>
        <w:ind w:firstLine="480" w:firstLineChars="200"/>
        <w:rPr>
          <w:rFonts w:hint="eastAsia" w:ascii="仿宋" w:hAnsi="仿宋" w:eastAsia="仿宋" w:cs="仿宋"/>
          <w:color w:val="auto"/>
          <w:sz w:val="24"/>
          <w:szCs w:val="24"/>
          <w:highlight w:val="none"/>
        </w:rPr>
        <w:sectPr>
          <w:footerReference r:id="rId8" w:type="default"/>
          <w:pgSz w:w="11907" w:h="16840"/>
          <w:pgMar w:top="1134" w:right="1304" w:bottom="1134" w:left="1418" w:header="850" w:footer="850" w:gutter="0"/>
          <w:pgNumType w:fmt="numberInDash" w:start="1"/>
          <w:cols w:space="720" w:num="1"/>
          <w:docGrid w:linePitch="312" w:charSpace="0"/>
        </w:sect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val="en-US" w:eastAsia="zh-CN"/>
        </w:rPr>
        <w:t>重庆市大渡口区松青路1066号1幢19-20</w:t>
      </w:r>
    </w:p>
    <w:p w14:paraId="5E184B5F">
      <w:pPr>
        <w:pStyle w:val="3"/>
        <w:numPr>
          <w:ilvl w:val="255"/>
          <w:numId w:val="0"/>
        </w:numPr>
        <w:spacing w:before="0" w:after="0" w:line="360" w:lineRule="auto"/>
        <w:jc w:val="center"/>
        <w:rPr>
          <w:rFonts w:hint="eastAsia" w:ascii="仿宋" w:hAnsi="仿宋" w:eastAsia="仿宋" w:cs="仿宋"/>
          <w:color w:val="auto"/>
          <w:sz w:val="24"/>
          <w:highlight w:val="none"/>
        </w:rPr>
      </w:pPr>
      <w:bookmarkStart w:id="17" w:name="_Toc64"/>
      <w:r>
        <w:rPr>
          <w:rFonts w:hint="eastAsia" w:ascii="仿宋" w:hAnsi="仿宋" w:eastAsia="仿宋" w:cs="仿宋"/>
          <w:bCs/>
          <w:color w:val="auto"/>
          <w:sz w:val="36"/>
          <w:szCs w:val="36"/>
          <w:highlight w:val="none"/>
        </w:rPr>
        <w:t xml:space="preserve"> </w:t>
      </w:r>
      <w:bookmarkStart w:id="18" w:name="_Toc212456862"/>
      <w:r>
        <w:rPr>
          <w:rFonts w:hint="eastAsia" w:ascii="仿宋" w:hAnsi="仿宋" w:eastAsia="仿宋" w:cs="仿宋"/>
          <w:bCs/>
          <w:color w:val="auto"/>
          <w:sz w:val="36"/>
          <w:szCs w:val="36"/>
          <w:highlight w:val="none"/>
        </w:rPr>
        <w:t xml:space="preserve">第二篇 </w:t>
      </w:r>
      <w:bookmarkEnd w:id="17"/>
      <w:r>
        <w:rPr>
          <w:rFonts w:hint="eastAsia" w:ascii="仿宋" w:hAnsi="仿宋" w:eastAsia="仿宋" w:cs="仿宋"/>
          <w:bCs/>
          <w:color w:val="auto"/>
          <w:sz w:val="36"/>
          <w:szCs w:val="36"/>
          <w:highlight w:val="none"/>
        </w:rPr>
        <w:t>项目技术（质量）需求</w:t>
      </w:r>
      <w:bookmarkEnd w:id="18"/>
      <w:bookmarkStart w:id="19" w:name="_Toc11081"/>
      <w:bookmarkStart w:id="20" w:name="_Toc21142"/>
      <w:bookmarkStart w:id="21" w:name="_Toc12789058"/>
    </w:p>
    <w:p w14:paraId="0BFF66DC">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一、项目概况</w:t>
      </w:r>
    </w:p>
    <w:p w14:paraId="3B298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为优化园区的招商环境，招商企业落地，拟对园区范围内闲置地块进行建桥C区海兴路西侧铁路沿线土地整治及配套建设工作，占地面积约100亩，建设内容主要包含土坡防护及配套设施等，计划总投资约2000万元。</w:t>
      </w:r>
    </w:p>
    <w:p w14:paraId="3F3505C7">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二、</w:t>
      </w:r>
      <w:bookmarkEnd w:id="19"/>
      <w:r>
        <w:rPr>
          <w:rFonts w:hint="eastAsia" w:ascii="仿宋" w:hAnsi="仿宋" w:eastAsia="仿宋" w:cs="仿宋"/>
          <w:b/>
          <w:bCs/>
          <w:color w:val="auto"/>
          <w:highlight w:val="none"/>
        </w:rPr>
        <w:t>采购范围</w:t>
      </w:r>
    </w:p>
    <w:bookmarkEnd w:id="20"/>
    <w:bookmarkEnd w:id="21"/>
    <w:p w14:paraId="7381858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rPr>
      </w:pPr>
      <w:bookmarkStart w:id="22" w:name="_Toc495933196"/>
      <w:bookmarkStart w:id="23" w:name="_Toc22280"/>
      <w:bookmarkStart w:id="24" w:name="_Toc344475120"/>
      <w:bookmarkStart w:id="25" w:name="_Toc508636292"/>
      <w:r>
        <w:rPr>
          <w:rFonts w:hint="eastAsia" w:ascii="仿宋" w:hAnsi="仿宋" w:eastAsia="仿宋" w:cs="仿宋"/>
          <w:bCs/>
          <w:color w:val="auto"/>
          <w:highlight w:val="none"/>
        </w:rPr>
        <w:t>（1）勘察内容：按照现行工程勘察的技术标准与勘察规范等的要求，完成该项目建设区域范围内的工程勘察所涉及的全部各项工作[包括但不限于：</w:t>
      </w:r>
      <w:r>
        <w:rPr>
          <w:rFonts w:hint="default" w:ascii="仿宋" w:hAnsi="仿宋" w:eastAsia="仿宋" w:cs="仿宋"/>
          <w:bCs/>
          <w:color w:val="auto"/>
          <w:highlight w:val="none"/>
          <w:lang w:val="en-US"/>
        </w:rPr>
        <w:drawing>
          <wp:anchor distT="0" distB="0" distL="114300" distR="114300" simplePos="0" relativeHeight="251660288" behindDoc="1" locked="0" layoutInCell="1" allowOverlap="1">
            <wp:simplePos x="0" y="0"/>
            <wp:positionH relativeFrom="column">
              <wp:posOffset>4487545</wp:posOffset>
            </wp:positionH>
            <wp:positionV relativeFrom="paragraph">
              <wp:posOffset>8378825</wp:posOffset>
            </wp:positionV>
            <wp:extent cx="1525270" cy="1511935"/>
            <wp:effectExtent l="248285" t="232410" r="264795" b="255905"/>
            <wp:wrapNone/>
            <wp:docPr id="1" name="图片 3" descr="微信图片_20210927090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微信图片_20210927090708"/>
                    <pic:cNvPicPr>
                      <a:picLocks noChangeAspect="1"/>
                    </pic:cNvPicPr>
                  </pic:nvPicPr>
                  <pic:blipFill>
                    <a:blip r:embed="rId14"/>
                    <a:stretch>
                      <a:fillRect/>
                    </a:stretch>
                  </pic:blipFill>
                  <pic:spPr>
                    <a:xfrm rot="-1500000">
                      <a:off x="0" y="0"/>
                      <a:ext cx="1525270" cy="1511935"/>
                    </a:xfrm>
                    <a:prstGeom prst="rect">
                      <a:avLst/>
                    </a:prstGeom>
                    <a:noFill/>
                    <a:ln>
                      <a:noFill/>
                    </a:ln>
                  </pic:spPr>
                </pic:pic>
              </a:graphicData>
            </a:graphic>
          </wp:anchor>
        </w:drawing>
      </w:r>
      <w:r>
        <w:rPr>
          <w:rFonts w:hint="eastAsia" w:ascii="仿宋" w:hAnsi="仿宋" w:eastAsia="仿宋" w:cs="仿宋"/>
          <w:bCs/>
          <w:color w:val="auto"/>
          <w:highlight w:val="none"/>
          <w:lang w:val="en-US" w:eastAsia="zh-CN"/>
        </w:rPr>
        <w:t>现状地形图测绘、详细勘察、周边环境调查</w:t>
      </w:r>
      <w:r>
        <w:rPr>
          <w:rFonts w:hint="eastAsia" w:ascii="仿宋" w:hAnsi="仿宋" w:eastAsia="仿宋" w:cs="仿宋"/>
          <w:bCs/>
          <w:color w:val="auto"/>
          <w:highlight w:val="none"/>
        </w:rPr>
        <w:t>等，以及负责协助</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完成项目相关审批手续办理等]；按照相关主管部门对该项目的工程勘察成果资料所提出的审核意见与要求，修改并完善工程勘察成果资料，直至最终满足送审合格的要求；根据该项目建设的需要，为后续工程设计、施工、竣工验收及质量保修阶段提供必要的技术服务工作。</w:t>
      </w:r>
    </w:p>
    <w:p w14:paraId="502B605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（2）设计内容：按照现行法律法规、设计规范及</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的要求，完成该项目勘察设计工作，主要内容包含方案设计（含估算）、初步设计（含概算）、施工图设计（含预算）；按照相关行政审批部门及</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对各设计阶段设计成果资料所提出的相关审核意见与要求，修改并完善各设计阶段的设计成果资料，直至最终满足送审合格的要求；为该项目的施工、竣工验收及质量保修阶段提供相应的设计服务工作（含：配合</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进行施工招标并在施工图设计阶段提出施工控制的建议方案，完成建设过程中变更所涉及的全部设计工作以及协助</w:t>
      </w:r>
      <w:r>
        <w:rPr>
          <w:rFonts w:hint="eastAsia" w:ascii="仿宋" w:hAnsi="仿宋" w:eastAsia="仿宋" w:cs="仿宋"/>
          <w:bCs/>
          <w:color w:val="auto"/>
          <w:highlight w:val="none"/>
          <w:lang w:eastAsia="zh-CN"/>
        </w:rPr>
        <w:t>比选人</w:t>
      </w:r>
      <w:r>
        <w:rPr>
          <w:rFonts w:hint="eastAsia" w:ascii="仿宋" w:hAnsi="仿宋" w:eastAsia="仿宋" w:cs="仿宋"/>
          <w:bCs/>
          <w:color w:val="auto"/>
          <w:highlight w:val="none"/>
        </w:rPr>
        <w:t>完成各项审批手续办理等）。</w:t>
      </w:r>
    </w:p>
    <w:p w14:paraId="0102DE2A">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三、</w:t>
      </w:r>
      <w:r>
        <w:rPr>
          <w:rFonts w:hint="eastAsia" w:ascii="仿宋" w:hAnsi="仿宋" w:eastAsia="仿宋" w:cs="仿宋"/>
          <w:b/>
          <w:bCs/>
          <w:color w:val="auto"/>
          <w:highlight w:val="none"/>
          <w:lang w:eastAsia="zh-CN"/>
        </w:rPr>
        <w:t>人员要求</w:t>
      </w:r>
    </w:p>
    <w:p w14:paraId="51FEC76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项目总负责人、勘察负责人及设计负责人资格要求： </w:t>
      </w:r>
    </w:p>
    <w:p w14:paraId="35B00D95">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1.项目总负责人兼任设计负责人：拟派的项目总负责人（兼任设计负责人）须是供应商本单位人员，具备工程类中级及以上技术职称。 </w:t>
      </w:r>
    </w:p>
    <w:p w14:paraId="4324C5F3">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 xml:space="preserve">2.勘察负责人：拟派的勘察负责人须是供应商本单位人员，具备工程类中级及以上技术职称。 </w:t>
      </w:r>
    </w:p>
    <w:p w14:paraId="0925C3B6">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eastAsia="zh-CN"/>
        </w:rPr>
        <w:t>特别说明：须提供拟派项目总负责人（兼任设计负责人）及勘察负责人身份证、职称证、供应商为其缴纳的</w:t>
      </w:r>
      <w:r>
        <w:rPr>
          <w:rFonts w:hint="eastAsia" w:ascii="仿宋" w:hAnsi="仿宋" w:eastAsia="仿宋" w:cs="仿宋"/>
          <w:bCs/>
          <w:color w:val="auto"/>
          <w:highlight w:val="none"/>
          <w:lang w:val="en-US" w:eastAsia="zh-CN"/>
        </w:rPr>
        <w:t>近</w:t>
      </w:r>
      <w:r>
        <w:rPr>
          <w:rFonts w:hint="eastAsia" w:ascii="仿宋" w:hAnsi="仿宋" w:eastAsia="仿宋" w:cs="仿宋"/>
          <w:bCs/>
          <w:color w:val="auto"/>
          <w:highlight w:val="none"/>
          <w:lang w:eastAsia="zh-CN"/>
        </w:rPr>
        <w:t>3</w:t>
      </w:r>
      <w:r>
        <w:rPr>
          <w:rFonts w:hint="eastAsia" w:ascii="仿宋" w:hAnsi="仿宋" w:eastAsia="仿宋" w:cs="仿宋"/>
          <w:bCs/>
          <w:color w:val="auto"/>
          <w:highlight w:val="none"/>
          <w:lang w:val="en-US" w:eastAsia="zh-CN"/>
        </w:rPr>
        <w:t>个</w:t>
      </w:r>
      <w:r>
        <w:rPr>
          <w:rFonts w:hint="eastAsia" w:ascii="仿宋" w:hAnsi="仿宋" w:eastAsia="仿宋" w:cs="仿宋"/>
          <w:bCs/>
          <w:color w:val="auto"/>
          <w:highlight w:val="none"/>
          <w:lang w:eastAsia="zh-CN"/>
        </w:rPr>
        <w:t>月连续养老保险证明材料。</w:t>
      </w:r>
    </w:p>
    <w:p w14:paraId="577BE69C">
      <w:pPr>
        <w:pStyle w:val="21"/>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rPr>
        <w:t>质量标准</w:t>
      </w:r>
    </w:p>
    <w:p w14:paraId="248690D7">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highlight w:val="none"/>
        </w:rPr>
      </w:pPr>
      <w:r>
        <w:rPr>
          <w:rFonts w:hint="eastAsia" w:ascii="仿宋" w:hAnsi="仿宋" w:eastAsia="仿宋" w:cs="仿宋"/>
          <w:bCs/>
          <w:color w:val="auto"/>
          <w:highlight w:val="none"/>
        </w:rPr>
        <w:t>工程勘察设计严格执行工程建设强制性质量标准，并达到合格标准。</w:t>
      </w:r>
    </w:p>
    <w:p w14:paraId="30A3C4A7">
      <w:pPr>
        <w:spacing w:line="360" w:lineRule="auto"/>
        <w:ind w:firstLine="723" w:firstLineChars="200"/>
        <w:jc w:val="center"/>
        <w:rPr>
          <w:rFonts w:hint="eastAsia" w:ascii="仿宋" w:hAnsi="仿宋" w:eastAsia="仿宋" w:cs="仿宋"/>
          <w:b/>
          <w:bCs/>
          <w:color w:val="auto"/>
          <w:sz w:val="36"/>
          <w:szCs w:val="36"/>
          <w:highlight w:val="none"/>
        </w:rPr>
      </w:pPr>
    </w:p>
    <w:p w14:paraId="110DA2C1">
      <w:pPr>
        <w:spacing w:line="360" w:lineRule="auto"/>
        <w:ind w:firstLine="723"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36"/>
          <w:szCs w:val="36"/>
          <w:highlight w:val="none"/>
        </w:rPr>
        <w:t>第三篇 项目商务需求</w:t>
      </w:r>
    </w:p>
    <w:p w14:paraId="29C1F4B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一、实施时间、项目地点及验收方式</w:t>
      </w:r>
      <w:bookmarkEnd w:id="22"/>
      <w:bookmarkEnd w:id="23"/>
      <w:bookmarkEnd w:id="24"/>
      <w:bookmarkEnd w:id="25"/>
    </w:p>
    <w:p w14:paraId="18324693">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（一）实施时间：总服务期45日历天，其中勘察相关服务内容应在15日历天内完成，设计相关服务内容应在30日历天内完成。</w:t>
      </w:r>
    </w:p>
    <w:p w14:paraId="157076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（二）实施地点：业主指定地点。</w:t>
      </w:r>
    </w:p>
    <w:p w14:paraId="5989906C">
      <w:pPr>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（三）验收方式：</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自行组织验收。</w:t>
      </w:r>
      <w:bookmarkStart w:id="26" w:name="_Toc40784080"/>
    </w:p>
    <w:p w14:paraId="4353DA2B">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二、报价要求</w:t>
      </w:r>
    </w:p>
    <w:bookmarkEnd w:id="26"/>
    <w:p w14:paraId="71F9989D">
      <w:pPr>
        <w:pStyle w:val="15"/>
        <w:spacing w:line="360" w:lineRule="auto"/>
        <w:ind w:firstLine="480" w:firstLineChars="200"/>
        <w:rPr>
          <w:rFonts w:hint="eastAsia" w:ascii="仿宋" w:hAnsi="仿宋" w:eastAsia="仿宋" w:cs="仿宋"/>
          <w:color w:val="auto"/>
          <w:sz w:val="24"/>
          <w:szCs w:val="24"/>
          <w:highlight w:val="none"/>
        </w:rPr>
      </w:pPr>
      <w:bookmarkStart w:id="27" w:name="_Toc344475121"/>
      <w:bookmarkStart w:id="28" w:name="_Toc25913"/>
      <w:bookmarkStart w:id="29" w:name="_Toc508636294"/>
      <w:r>
        <w:rPr>
          <w:rFonts w:hint="eastAsia" w:ascii="仿宋" w:hAnsi="仿宋" w:eastAsia="仿宋" w:cs="仿宋"/>
          <w:color w:val="auto"/>
          <w:sz w:val="24"/>
          <w:szCs w:val="24"/>
          <w:highlight w:val="none"/>
        </w:rPr>
        <w:t>本项目投标总报价分为两部分，即勘察投标报价和设计费投标报价。投标总报价=勘察费投标报价+设计费投标报价，投标总报价以人民币元为单位，保留小数点后两位，小数点后第三位四舍五入，小数点后不足两位的按实际位数保留。投标报价保留小数点位数的要求仅为方便评标使用，不作为否决投标条件。</w:t>
      </w:r>
    </w:p>
    <w:p w14:paraId="56340AF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勘察费报价方式</w:t>
      </w:r>
    </w:p>
    <w:p w14:paraId="03DEB9C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本项目勘察进尺深度暂定</w:t>
      </w:r>
      <w:r>
        <w:rPr>
          <w:rFonts w:hint="eastAsia" w:ascii="仿宋" w:hAnsi="仿宋" w:eastAsia="仿宋" w:cs="仿宋"/>
          <w:color w:val="auto"/>
          <w:sz w:val="24"/>
          <w:szCs w:val="24"/>
          <w:highlight w:val="none"/>
          <w:u w:val="single"/>
          <w:lang w:val="en-US" w:eastAsia="zh-CN"/>
        </w:rPr>
        <w:t>666</w:t>
      </w:r>
      <w:r>
        <w:rPr>
          <w:rFonts w:hint="eastAsia" w:ascii="仿宋" w:hAnsi="仿宋" w:eastAsia="仿宋" w:cs="仿宋"/>
          <w:color w:val="auto"/>
          <w:sz w:val="24"/>
          <w:szCs w:val="24"/>
          <w:highlight w:val="none"/>
        </w:rPr>
        <w:t>米（具体以实际勘察报告中的数据为准），勘察费单价</w:t>
      </w:r>
      <w:r>
        <w:rPr>
          <w:rFonts w:hint="eastAsia" w:ascii="仿宋" w:hAnsi="仿宋" w:eastAsia="仿宋" w:cs="仿宋"/>
          <w:color w:val="auto"/>
          <w:sz w:val="24"/>
          <w:szCs w:val="24"/>
          <w:highlight w:val="none"/>
          <w:u w:val="single"/>
          <w:lang w:val="en-US" w:eastAsia="zh-CN"/>
        </w:rPr>
        <w:t>300.00</w:t>
      </w:r>
      <w:r>
        <w:rPr>
          <w:rFonts w:hint="eastAsia" w:ascii="仿宋" w:hAnsi="仿宋" w:eastAsia="仿宋" w:cs="仿宋"/>
          <w:color w:val="auto"/>
          <w:sz w:val="24"/>
          <w:szCs w:val="24"/>
          <w:highlight w:val="none"/>
        </w:rPr>
        <w:t>元/米。勘察费暂定</w:t>
      </w:r>
      <w:r>
        <w:rPr>
          <w:rFonts w:hint="eastAsia" w:ascii="仿宋" w:hAnsi="仿宋" w:eastAsia="仿宋" w:cs="仿宋"/>
          <w:color w:val="auto"/>
          <w:sz w:val="24"/>
          <w:szCs w:val="24"/>
          <w:highlight w:val="none"/>
          <w:u w:val="single"/>
          <w:lang w:val="en-US" w:eastAsia="zh-CN"/>
        </w:rPr>
        <w:t>666</w:t>
      </w:r>
      <w:r>
        <w:rPr>
          <w:rFonts w:hint="eastAsia" w:ascii="仿宋" w:hAnsi="仿宋" w:eastAsia="仿宋" w:cs="仿宋"/>
          <w:color w:val="auto"/>
          <w:sz w:val="24"/>
          <w:szCs w:val="24"/>
          <w:highlight w:val="none"/>
        </w:rPr>
        <w:t>米×300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元/米</w:t>
      </w:r>
      <w:r>
        <w:rPr>
          <w:rFonts w:hint="eastAsia" w:ascii="仿宋" w:hAnsi="仿宋" w:eastAsia="仿宋" w:cs="仿宋"/>
          <w:color w:val="auto"/>
          <w:sz w:val="24"/>
          <w:szCs w:val="24"/>
          <w:highlight w:val="none"/>
          <w:lang w:val="en-US" w:eastAsia="zh-CN"/>
        </w:rPr>
        <w:t>(暂定勘察费综合单价）</w:t>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lang w:eastAsia="zh-CN"/>
        </w:rPr>
        <w:t>固定</w:t>
      </w:r>
      <w:r>
        <w:rPr>
          <w:rFonts w:hint="eastAsia" w:ascii="仿宋" w:hAnsi="仿宋" w:eastAsia="仿宋" w:cs="仿宋"/>
          <w:color w:val="auto"/>
          <w:sz w:val="24"/>
          <w:szCs w:val="24"/>
          <w:highlight w:val="none"/>
        </w:rPr>
        <w:t>费率</w:t>
      </w:r>
      <w:r>
        <w:rPr>
          <w:rFonts w:hint="eastAsia" w:ascii="仿宋" w:hAnsi="仿宋" w:eastAsia="仿宋" w:cs="仿宋"/>
          <w:color w:val="auto"/>
          <w:sz w:val="24"/>
          <w:szCs w:val="24"/>
          <w:highlight w:val="none"/>
          <w:lang w:eastAsia="zh-CN"/>
        </w:rPr>
        <w:t>限价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99900.00</w:t>
      </w:r>
      <w:r>
        <w:rPr>
          <w:rFonts w:hint="eastAsia" w:ascii="仿宋" w:hAnsi="仿宋" w:eastAsia="仿宋" w:cs="仿宋"/>
          <w:color w:val="auto"/>
          <w:sz w:val="24"/>
          <w:szCs w:val="24"/>
          <w:highlight w:val="none"/>
        </w:rPr>
        <w:t>元，最终以地勘审查情况据实结算。</w:t>
      </w:r>
    </w:p>
    <w:p w14:paraId="67FF8AA3">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勘察费投标报价=勘察进尺深度</w:t>
      </w:r>
      <w:r>
        <w:rPr>
          <w:rFonts w:hint="eastAsia" w:ascii="仿宋" w:hAnsi="仿宋" w:eastAsia="仿宋" w:cs="仿宋"/>
          <w:color w:val="auto"/>
          <w:sz w:val="24"/>
          <w:szCs w:val="24"/>
          <w:highlight w:val="none"/>
          <w:lang w:val="en-US" w:eastAsia="zh-CN"/>
        </w:rPr>
        <w:t>666米</w:t>
      </w:r>
      <w:r>
        <w:rPr>
          <w:rFonts w:hint="eastAsia" w:ascii="仿宋" w:hAnsi="仿宋" w:eastAsia="仿宋" w:cs="仿宋"/>
          <w:color w:val="auto"/>
          <w:sz w:val="24"/>
          <w:szCs w:val="24"/>
          <w:highlight w:val="none"/>
        </w:rPr>
        <w:t>×300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元/米</w:t>
      </w:r>
      <w:r>
        <w:rPr>
          <w:rFonts w:hint="eastAsia" w:ascii="仿宋" w:hAnsi="仿宋" w:eastAsia="仿宋" w:cs="仿宋"/>
          <w:color w:val="auto"/>
          <w:sz w:val="24"/>
          <w:szCs w:val="24"/>
          <w:highlight w:val="none"/>
          <w:lang w:val="en-US" w:eastAsia="zh-CN"/>
        </w:rPr>
        <w:t>(暂定勘察费综合单价）</w:t>
      </w:r>
      <w:r>
        <w:rPr>
          <w:rFonts w:hint="eastAsia" w:ascii="仿宋" w:hAnsi="仿宋" w:eastAsia="仿宋" w:cs="仿宋"/>
          <w:color w:val="auto"/>
          <w:sz w:val="24"/>
          <w:szCs w:val="24"/>
          <w:highlight w:val="none"/>
        </w:rPr>
        <w:t>×固定费率</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432C695D">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（二）设计费报价方式</w:t>
      </w:r>
    </w:p>
    <w:p w14:paraId="4FBE44B5">
      <w:pPr>
        <w:pStyle w:val="15"/>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本项目暂定建筑安装工程费为</w:t>
      </w:r>
      <w:r>
        <w:rPr>
          <w:rFonts w:hint="eastAsia" w:ascii="仿宋" w:hAnsi="仿宋" w:eastAsia="仿宋" w:cs="仿宋"/>
          <w:color w:val="auto"/>
          <w:sz w:val="24"/>
          <w:szCs w:val="24"/>
          <w:highlight w:val="none"/>
          <w:u w:val="single"/>
          <w:lang w:val="en-US" w:eastAsia="zh-CN"/>
        </w:rPr>
        <w:t>2000.00</w:t>
      </w:r>
      <w:r>
        <w:rPr>
          <w:rFonts w:hint="eastAsia" w:ascii="仿宋" w:hAnsi="仿宋" w:eastAsia="仿宋" w:cs="仿宋"/>
          <w:color w:val="auto"/>
          <w:sz w:val="24"/>
          <w:szCs w:val="24"/>
          <w:highlight w:val="none"/>
          <w:lang w:val="en-US" w:eastAsia="zh-CN"/>
        </w:rPr>
        <w:t>万元，</w:t>
      </w:r>
      <w:r>
        <w:rPr>
          <w:rFonts w:hint="eastAsia" w:ascii="仿宋" w:hAnsi="仿宋" w:eastAsia="仿宋" w:cs="仿宋"/>
          <w:color w:val="auto"/>
          <w:sz w:val="24"/>
          <w:szCs w:val="24"/>
          <w:highlight w:val="none"/>
        </w:rPr>
        <w:t>工程设计费取费百分比最高限价按《工程勘察设计收费管理规定》（计价格</w:t>
      </w:r>
      <w:r>
        <w:rPr>
          <w:rFonts w:hint="eastAsia" w:ascii="仿宋" w:hAnsi="仿宋" w:eastAsia="仿宋" w:cs="仿宋"/>
          <w:color w:val="auto"/>
          <w:sz w:val="24"/>
          <w:szCs w:val="24"/>
          <w:highlight w:val="none"/>
          <w:lang w:eastAsia="zh-CN"/>
        </w:rPr>
        <w:t>〔2002〕10号</w:t>
      </w:r>
      <w:r>
        <w:rPr>
          <w:rFonts w:hint="eastAsia" w:ascii="仿宋" w:hAnsi="仿宋" w:eastAsia="仿宋" w:cs="仿宋"/>
          <w:color w:val="auto"/>
          <w:sz w:val="24"/>
          <w:szCs w:val="24"/>
          <w:highlight w:val="none"/>
        </w:rPr>
        <w:t>）工程设计收费标准的</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%，即供应商所报工程设计费百分比即固定</w:t>
      </w:r>
      <w:r>
        <w:rPr>
          <w:rFonts w:hint="eastAsia" w:ascii="仿宋" w:hAnsi="仿宋" w:eastAsia="仿宋" w:cs="仿宋"/>
          <w:color w:val="auto"/>
          <w:sz w:val="24"/>
          <w:szCs w:val="24"/>
          <w:highlight w:val="none"/>
          <w:lang w:eastAsia="zh-CN"/>
        </w:rPr>
        <w:t>费率</w:t>
      </w:r>
      <w:r>
        <w:rPr>
          <w:rFonts w:hint="eastAsia" w:ascii="仿宋" w:hAnsi="仿宋" w:eastAsia="仿宋" w:cs="仿宋"/>
          <w:color w:val="auto"/>
          <w:sz w:val="24"/>
          <w:szCs w:val="24"/>
          <w:highlight w:val="none"/>
        </w:rPr>
        <w:t>报价必须≤</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，故暂定总价</w:t>
      </w:r>
      <w:r>
        <w:rPr>
          <w:rFonts w:hint="eastAsia" w:ascii="仿宋" w:hAnsi="仿宋" w:eastAsia="仿宋" w:cs="仿宋"/>
          <w:color w:val="auto"/>
          <w:sz w:val="24"/>
          <w:szCs w:val="24"/>
          <w:highlight w:val="none"/>
          <w:u w:val="single"/>
          <w:lang w:val="en-US" w:eastAsia="zh-CN"/>
        </w:rPr>
        <w:t xml:space="preserve"> 156860.00</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p w14:paraId="302DEEA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计费基数：</w:t>
      </w:r>
      <w:r>
        <w:rPr>
          <w:rFonts w:hint="eastAsia" w:ascii="仿宋" w:hAnsi="仿宋" w:eastAsia="仿宋" w:cs="仿宋"/>
          <w:color w:val="auto"/>
          <w:kern w:val="2"/>
          <w:sz w:val="24"/>
          <w:szCs w:val="24"/>
          <w:highlight w:val="none"/>
          <w:lang w:val="en-US" w:eastAsia="zh-CN" w:bidi="ar-SA"/>
        </w:rPr>
        <w:t>本项目暂按建安工程费</w:t>
      </w:r>
      <w:r>
        <w:rPr>
          <w:rFonts w:hint="eastAsia" w:ascii="仿宋" w:hAnsi="仿宋" w:eastAsia="仿宋" w:cs="仿宋"/>
          <w:color w:val="auto"/>
          <w:kern w:val="2"/>
          <w:sz w:val="24"/>
          <w:szCs w:val="24"/>
          <w:highlight w:val="none"/>
          <w:u w:val="single"/>
          <w:lang w:val="en-US" w:eastAsia="zh-CN" w:bidi="ar-SA"/>
        </w:rPr>
        <w:t>2000.00</w:t>
      </w:r>
      <w:r>
        <w:rPr>
          <w:rFonts w:hint="eastAsia" w:ascii="仿宋" w:hAnsi="仿宋" w:eastAsia="仿宋" w:cs="仿宋"/>
          <w:color w:val="auto"/>
          <w:kern w:val="2"/>
          <w:sz w:val="24"/>
          <w:szCs w:val="24"/>
          <w:highlight w:val="none"/>
          <w:lang w:val="en-US" w:eastAsia="zh-CN" w:bidi="ar-SA"/>
        </w:rPr>
        <w:t>万元予以考虑，并依据《工程勘察设计收费管理规定》计价格〔2002〕10号文规定的工程设计收费标准计算出设计费</w:t>
      </w:r>
      <w:r>
        <w:rPr>
          <w:rFonts w:hint="eastAsia" w:ascii="仿宋" w:hAnsi="仿宋" w:eastAsia="仿宋" w:cs="仿宋"/>
          <w:color w:val="auto"/>
          <w:sz w:val="24"/>
          <w:szCs w:val="24"/>
          <w:highlight w:val="none"/>
        </w:rPr>
        <w:t>；</w:t>
      </w:r>
    </w:p>
    <w:p w14:paraId="310D0A3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暂定设计费投标报价=计费基数×固定费率报价。</w:t>
      </w:r>
    </w:p>
    <w:p w14:paraId="1D931AB9">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注：本项目</w:t>
      </w:r>
      <w:r>
        <w:rPr>
          <w:rFonts w:hint="eastAsia" w:ascii="仿宋" w:hAnsi="仿宋" w:eastAsia="仿宋" w:cs="仿宋"/>
          <w:color w:val="auto"/>
          <w:sz w:val="24"/>
          <w:szCs w:val="24"/>
          <w:highlight w:val="none"/>
        </w:rPr>
        <w:t>专业调整系数按1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、复杂程度按</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、附加调整系数按1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予以计算。</w:t>
      </w:r>
    </w:p>
    <w:p w14:paraId="059BF8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（三）供应商填报的勘察费包括： </w:t>
      </w:r>
    </w:p>
    <w:p w14:paraId="2AFB8D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kern w:val="2"/>
          <w:sz w:val="24"/>
          <w:szCs w:val="24"/>
          <w:highlight w:val="none"/>
          <w:lang w:val="en-US" w:eastAsia="zh-CN" w:bidi="ar-SA"/>
        </w:rPr>
        <w:t>完成本工程勘察工作范围内的所有工作，主要包含不限于项目现状地形图测绘、详细勘察、周边环境调查、勘察审查费和外业见证费和青苗补偿费等，并提交经审查合格的成果，以及提供相应的技术服务（包括配合比选人委托的设计咨询单位、协助招标人完成各项审批手续办理、提供勘察交底服务及在施工期间按招标人要求提供必要的服务等相关技术服务工作）；配合比选人完成满足行业主管部门相应要求等产生的所有费用。</w:t>
      </w:r>
    </w:p>
    <w:p w14:paraId="63B6D0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供应商自行对现场条件进行勘测。水、电、场地、道路、环保措施等现场条件和涉及勘测措施所需的手续办理及相关协调费用均由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人自行解决，</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协助；开展勘察测量工作涉及的各类工程责任险、人员险等以及其他内容或形式的保险，在投标报价中综合考虑，按项目统一购买，供应商因保险投保义务</w:t>
      </w:r>
      <w:r>
        <w:rPr>
          <w:rFonts w:hint="eastAsia" w:ascii="仿宋" w:hAnsi="仿宋" w:eastAsia="仿宋" w:cs="仿宋"/>
          <w:color w:val="auto"/>
          <w:sz w:val="24"/>
          <w:szCs w:val="24"/>
          <w:highlight w:val="none"/>
          <w:lang w:eastAsia="zh-CN"/>
        </w:rPr>
        <w:t>履行</w:t>
      </w:r>
      <w:r>
        <w:rPr>
          <w:rFonts w:hint="eastAsia" w:ascii="仿宋" w:hAnsi="仿宋" w:eastAsia="仿宋" w:cs="仿宋"/>
          <w:color w:val="auto"/>
          <w:sz w:val="24"/>
          <w:szCs w:val="24"/>
          <w:highlight w:val="none"/>
        </w:rPr>
        <w:t>缺失造成的责任由其自行承担。供应商需将相关费用综合考虑纳入投标总报价中，包干计取。</w:t>
      </w:r>
    </w:p>
    <w:p w14:paraId="4AF93BB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开展勘测工作的人员必须与投标文件中承诺的人员一致；且施工过程中</w:t>
      </w:r>
      <w:r>
        <w:rPr>
          <w:rFonts w:hint="eastAsia" w:ascii="仿宋" w:hAnsi="仿宋" w:eastAsia="仿宋" w:cs="仿宋"/>
          <w:color w:val="auto"/>
          <w:sz w:val="24"/>
          <w:szCs w:val="24"/>
          <w:highlight w:val="none"/>
          <w:lang w:eastAsia="zh-CN"/>
        </w:rPr>
        <w:t>应</w:t>
      </w:r>
      <w:r>
        <w:rPr>
          <w:rFonts w:hint="eastAsia" w:ascii="仿宋" w:hAnsi="仿宋" w:eastAsia="仿宋" w:cs="仿宋"/>
          <w:color w:val="auto"/>
          <w:sz w:val="24"/>
          <w:szCs w:val="24"/>
          <w:highlight w:val="none"/>
        </w:rPr>
        <w:t>全程提供相应的勘测</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。否则，将按投标文件投标承诺书承诺的处罚方式对勘测单位予以处罚。</w:t>
      </w:r>
    </w:p>
    <w:p w14:paraId="4DA8D95F">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 xml:space="preserve">（四）供应商填报的设计费包括： </w:t>
      </w:r>
    </w:p>
    <w:p w14:paraId="2C26B566">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1.</w:t>
      </w:r>
      <w:r>
        <w:rPr>
          <w:rFonts w:hint="eastAsia" w:ascii="仿宋" w:hAnsi="仿宋" w:eastAsia="仿宋" w:cs="仿宋"/>
          <w:color w:val="auto"/>
          <w:kern w:val="2"/>
          <w:sz w:val="24"/>
          <w:szCs w:val="24"/>
          <w:highlight w:val="none"/>
        </w:rPr>
        <w:t>投标报价应为完成招标文件所确定的委托</w:t>
      </w:r>
      <w:r>
        <w:rPr>
          <w:rFonts w:hint="eastAsia" w:ascii="仿宋" w:hAnsi="仿宋" w:eastAsia="仿宋" w:cs="仿宋"/>
          <w:color w:val="auto"/>
          <w:kern w:val="2"/>
          <w:sz w:val="24"/>
          <w:szCs w:val="24"/>
          <w:highlight w:val="none"/>
          <w:lang w:eastAsia="zh-CN"/>
        </w:rPr>
        <w:t>设计</w:t>
      </w:r>
      <w:r>
        <w:rPr>
          <w:rFonts w:hint="eastAsia" w:ascii="仿宋" w:hAnsi="仿宋" w:eastAsia="仿宋" w:cs="仿宋"/>
          <w:color w:val="auto"/>
          <w:kern w:val="2"/>
          <w:sz w:val="24"/>
          <w:szCs w:val="24"/>
          <w:highlight w:val="none"/>
        </w:rPr>
        <w:t>范围和设计业务所需的全部费用</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包含方案设计（或总体设计）、初步设计及概算、施工图设计、施工设计交底服务、施工阶段及缺陷责任期的伴随设计服务]。具体包括为实施和完成本项目全部设计工作所需的管理费、资料费、劳务费、技术服务费、专家评审费（如有）、办公家具、办公设施、通讯工具、通讯费用、交通工具、保险、税费、利润及协调配合费等实施工程设计所产生的一切费用。</w:t>
      </w:r>
    </w:p>
    <w:p w14:paraId="41261A75">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2.</w:t>
      </w:r>
      <w:r>
        <w:rPr>
          <w:rFonts w:hint="eastAsia" w:ascii="仿宋" w:hAnsi="仿宋" w:eastAsia="仿宋" w:cs="仿宋"/>
          <w:color w:val="auto"/>
          <w:kern w:val="2"/>
          <w:sz w:val="24"/>
          <w:szCs w:val="24"/>
          <w:highlight w:val="none"/>
        </w:rPr>
        <w:t>根据住建部《危险性较大的分部分项工程安全管理规定》，设计单位应当在设计文件中注明涉及危大工程的重点部位和环节，提出保障工程周边环境安全和工程施工安全的意见，必要时进行专项设计。相关费用在投标报价时综合考虑。</w:t>
      </w:r>
    </w:p>
    <w:p w14:paraId="252B8173">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（五）投标总报价限价</w:t>
      </w:r>
    </w:p>
    <w:p w14:paraId="3EC21438">
      <w:pPr>
        <w:pStyle w:val="8"/>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本项目投标总报价最高限价为</w:t>
      </w:r>
      <w:r>
        <w:rPr>
          <w:rFonts w:hint="eastAsia" w:ascii="仿宋" w:hAnsi="仿宋" w:eastAsia="仿宋" w:cs="仿宋"/>
          <w:color w:val="auto"/>
          <w:kern w:val="2"/>
          <w:sz w:val="24"/>
          <w:szCs w:val="24"/>
          <w:highlight w:val="none"/>
          <w:u w:val="single"/>
          <w:lang w:val="en-US" w:eastAsia="zh-CN"/>
        </w:rPr>
        <w:t>256760.00</w:t>
      </w:r>
      <w:r>
        <w:rPr>
          <w:rFonts w:hint="eastAsia" w:ascii="仿宋" w:hAnsi="仿宋" w:eastAsia="仿宋" w:cs="仿宋"/>
          <w:color w:val="auto"/>
          <w:kern w:val="2"/>
          <w:sz w:val="24"/>
          <w:szCs w:val="24"/>
          <w:highlight w:val="none"/>
        </w:rPr>
        <w:t>元，其中勘察费固定</w:t>
      </w:r>
      <w:r>
        <w:rPr>
          <w:rFonts w:hint="eastAsia" w:ascii="仿宋" w:hAnsi="仿宋" w:eastAsia="仿宋" w:cs="仿宋"/>
          <w:color w:val="auto"/>
          <w:kern w:val="2"/>
          <w:sz w:val="24"/>
          <w:szCs w:val="24"/>
          <w:highlight w:val="none"/>
          <w:lang w:eastAsia="zh-CN"/>
        </w:rPr>
        <w:t>费率</w:t>
      </w:r>
      <w:r>
        <w:rPr>
          <w:rFonts w:hint="eastAsia" w:ascii="仿宋" w:hAnsi="仿宋" w:eastAsia="仿宋" w:cs="仿宋"/>
          <w:color w:val="auto"/>
          <w:kern w:val="2"/>
          <w:sz w:val="24"/>
          <w:szCs w:val="24"/>
          <w:highlight w:val="none"/>
        </w:rPr>
        <w:t>最高限价为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 xml:space="preserve">50.00 </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rPr>
        <w:t xml:space="preserve"> </w:t>
      </w:r>
      <w:r>
        <w:rPr>
          <w:rFonts w:hint="eastAsia" w:ascii="仿宋" w:hAnsi="仿宋" w:eastAsia="仿宋" w:cs="仿宋"/>
          <w:color w:val="auto"/>
          <w:kern w:val="2"/>
          <w:sz w:val="24"/>
          <w:szCs w:val="24"/>
          <w:highlight w:val="none"/>
        </w:rPr>
        <w:t>，勘察费投标报价最高限价为</w:t>
      </w:r>
      <w:r>
        <w:rPr>
          <w:rFonts w:hint="eastAsia" w:ascii="仿宋" w:hAnsi="仿宋" w:eastAsia="仿宋" w:cs="仿宋"/>
          <w:color w:val="auto"/>
          <w:sz w:val="24"/>
          <w:szCs w:val="24"/>
          <w:highlight w:val="none"/>
          <w:u w:val="single"/>
          <w:lang w:val="en-US" w:eastAsia="zh-CN"/>
        </w:rPr>
        <w:t>99900.00</w:t>
      </w:r>
      <w:r>
        <w:rPr>
          <w:rFonts w:hint="eastAsia" w:ascii="仿宋" w:hAnsi="仿宋" w:eastAsia="仿宋" w:cs="仿宋"/>
          <w:color w:val="auto"/>
          <w:kern w:val="2"/>
          <w:sz w:val="24"/>
          <w:szCs w:val="24"/>
          <w:highlight w:val="none"/>
        </w:rPr>
        <w:t>元；设计费固定费率最高限价为</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u w:val="single"/>
          <w:lang w:val="en-US" w:eastAsia="zh-CN"/>
        </w:rPr>
        <w:t>22.00</w:t>
      </w:r>
      <w:r>
        <w:rPr>
          <w:rFonts w:hint="eastAsia" w:ascii="仿宋" w:hAnsi="仿宋" w:eastAsia="仿宋" w:cs="仿宋"/>
          <w:color w:val="auto"/>
          <w:kern w:val="2"/>
          <w:sz w:val="24"/>
          <w:szCs w:val="24"/>
          <w:highlight w:val="none"/>
          <w:u w:val="single"/>
        </w:rPr>
        <w:t xml:space="preserve"> </w:t>
      </w:r>
      <w:r>
        <w:rPr>
          <w:rFonts w:hint="eastAsia" w:ascii="仿宋" w:hAnsi="仿宋" w:eastAsia="仿宋" w:cs="仿宋"/>
          <w:color w:val="auto"/>
          <w:kern w:val="2"/>
          <w:sz w:val="24"/>
          <w:szCs w:val="24"/>
          <w:highlight w:val="none"/>
        </w:rPr>
        <w:t>%，设计费投标报价最高限价为</w:t>
      </w:r>
      <w:r>
        <w:rPr>
          <w:rFonts w:hint="eastAsia" w:ascii="仿宋" w:hAnsi="仿宋" w:eastAsia="仿宋" w:cs="仿宋"/>
          <w:color w:val="auto"/>
          <w:sz w:val="24"/>
          <w:szCs w:val="24"/>
          <w:highlight w:val="none"/>
          <w:u w:val="single"/>
          <w:lang w:val="en-US" w:eastAsia="zh-CN"/>
        </w:rPr>
        <w:t xml:space="preserve"> 156860.00</w:t>
      </w:r>
      <w:r>
        <w:rPr>
          <w:rFonts w:hint="eastAsia" w:ascii="仿宋" w:hAnsi="仿宋" w:eastAsia="仿宋" w:cs="仿宋"/>
          <w:color w:val="auto"/>
          <w:kern w:val="2"/>
          <w:sz w:val="24"/>
          <w:szCs w:val="24"/>
          <w:highlight w:val="none"/>
        </w:rPr>
        <w:t>元。</w:t>
      </w:r>
      <w:r>
        <w:rPr>
          <w:rFonts w:hint="eastAsia" w:ascii="仿宋" w:hAnsi="仿宋" w:eastAsia="仿宋" w:cs="仿宋"/>
          <w:color w:val="auto"/>
          <w:kern w:val="2"/>
          <w:sz w:val="24"/>
          <w:szCs w:val="24"/>
          <w:highlight w:val="none"/>
          <w:lang w:eastAsia="zh-CN"/>
        </w:rPr>
        <w:t>供应商</w:t>
      </w:r>
      <w:r>
        <w:rPr>
          <w:rFonts w:hint="eastAsia" w:ascii="仿宋" w:hAnsi="仿宋" w:eastAsia="仿宋" w:cs="仿宋"/>
          <w:color w:val="auto"/>
          <w:kern w:val="2"/>
          <w:sz w:val="24"/>
          <w:szCs w:val="24"/>
          <w:highlight w:val="none"/>
        </w:rPr>
        <w:t>的投标报价不得超过其最高限价，否则由评标委员会作否决投标处理。</w:t>
      </w:r>
    </w:p>
    <w:p w14:paraId="6895FCFE">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、履约保证金</w:t>
      </w:r>
    </w:p>
    <w:p w14:paraId="7BA02581">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1、履约保证金形式：银行转账、电子保函、银行保函、保证保险或担保保函等非现金形式。</w:t>
      </w:r>
    </w:p>
    <w:p w14:paraId="2B52B2CD">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2、履约保证金金额为：项目成交金额的10%。</w:t>
      </w:r>
    </w:p>
    <w:p w14:paraId="1C4F2813">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3、履约保证金提交时间：</w:t>
      </w:r>
    </w:p>
    <w:p w14:paraId="79B2E184">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1.以保函形式提交的在成交通知书发出后签订合同前，成交供应商按担保金额向采购人提交履约担保；</w:t>
      </w:r>
    </w:p>
    <w:p w14:paraId="454DD00C">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2.以转账形式提交的成交人应当在领取成交通知书后且合同签订之前（到账时间以重庆市大渡口区城市运营管理有限公司开具收据为准）将履约担保汇入下列帐户：</w:t>
      </w:r>
    </w:p>
    <w:p w14:paraId="21ECB47E">
      <w:pPr>
        <w:keepNext/>
        <w:keepLines/>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账户名称：重庆市大渡口区城市运营管理有限公司</w:t>
      </w:r>
    </w:p>
    <w:p w14:paraId="09D8066A">
      <w:pPr>
        <w:keepNext/>
        <w:keepLines/>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开户行：交通银行重庆大渡口支行</w:t>
      </w:r>
    </w:p>
    <w:p w14:paraId="7EEDFF94">
      <w:pPr>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  号：500500220013002850772</w:t>
      </w:r>
    </w:p>
    <w:p w14:paraId="423D482C">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000000"/>
          <w:kern w:val="0"/>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注：汇入履约保证金时需备注项目名称。</w:t>
      </w:r>
    </w:p>
    <w:p w14:paraId="666AC8EC">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4、履约保证金的退还时间：项目服务期满后30日内返还履约保证金的100%（不计息）。</w:t>
      </w:r>
    </w:p>
    <w:p w14:paraId="087970C6">
      <w:pPr>
        <w:pStyle w:val="8"/>
        <w:pageBreakBefore w:val="0"/>
        <w:widowControl w:val="0"/>
        <w:kinsoku/>
        <w:wordWrap/>
        <w:overflowPunct/>
        <w:topLinePunct w:val="0"/>
        <w:autoSpaceDE/>
        <w:autoSpaceDN/>
        <w:bidi w:val="0"/>
        <w:snapToGrid/>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5、履约担保的期限：自提交履约担保之日起至服务期结束之日止。</w:t>
      </w:r>
    </w:p>
    <w:p w14:paraId="3D8321B0">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四</w:t>
      </w:r>
      <w:r>
        <w:rPr>
          <w:rFonts w:hint="eastAsia" w:ascii="仿宋" w:hAnsi="仿宋" w:eastAsia="仿宋" w:cs="仿宋"/>
          <w:b/>
          <w:bCs/>
          <w:color w:val="auto"/>
          <w:sz w:val="24"/>
          <w:szCs w:val="24"/>
          <w:highlight w:val="none"/>
        </w:rPr>
        <w:t>、</w:t>
      </w:r>
      <w:bookmarkEnd w:id="27"/>
      <w:r>
        <w:rPr>
          <w:rFonts w:hint="eastAsia" w:ascii="仿宋" w:hAnsi="仿宋" w:eastAsia="仿宋" w:cs="仿宋"/>
          <w:b/>
          <w:bCs/>
          <w:color w:val="auto"/>
          <w:sz w:val="24"/>
          <w:szCs w:val="24"/>
          <w:highlight w:val="none"/>
        </w:rPr>
        <w:t>付款方式</w:t>
      </w:r>
      <w:bookmarkEnd w:id="28"/>
      <w:bookmarkEnd w:id="29"/>
      <w:bookmarkStart w:id="30" w:name="_Toc23903"/>
      <w:bookmarkStart w:id="31" w:name="_Toc2244"/>
      <w:bookmarkStart w:id="32" w:name="_Toc4252"/>
      <w:bookmarkStart w:id="33" w:name="_Toc1450"/>
      <w:bookmarkStart w:id="34" w:name="_Toc27382"/>
      <w:bookmarkStart w:id="35" w:name="_Toc8897"/>
      <w:bookmarkStart w:id="36" w:name="_Toc14177"/>
      <w:bookmarkStart w:id="37" w:name="_Toc4774"/>
      <w:bookmarkStart w:id="38" w:name="_Toc20887"/>
      <w:bookmarkStart w:id="39" w:name="_Toc3465"/>
      <w:bookmarkStart w:id="40" w:name="_Toc22134"/>
      <w:bookmarkStart w:id="41" w:name="_Toc106030512"/>
      <w:bookmarkStart w:id="42" w:name="_Toc18405"/>
      <w:bookmarkStart w:id="43" w:name="_Toc4370"/>
      <w:bookmarkStart w:id="44" w:name="_Toc2821"/>
      <w:bookmarkStart w:id="45" w:name="_Toc15096"/>
      <w:bookmarkStart w:id="46" w:name="_Toc75793511"/>
      <w:bookmarkStart w:id="47" w:name="_Toc9318"/>
    </w:p>
    <w:p w14:paraId="159A32B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（一）勘察费支付方式如下：</w:t>
      </w:r>
    </w:p>
    <w:p w14:paraId="1BB0C03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①第1次支付：</w:t>
      </w:r>
      <w:r>
        <w:rPr>
          <w:rFonts w:hint="eastAsia" w:ascii="仿宋" w:hAnsi="仿宋" w:eastAsia="仿宋" w:cs="仿宋"/>
          <w:color w:val="auto"/>
          <w:sz w:val="24"/>
          <w:szCs w:val="24"/>
          <w:highlight w:val="none"/>
          <w:lang w:val="en-US" w:eastAsia="zh-CN"/>
        </w:rPr>
        <w:t>在勘察报告审核通过并办理勘察费结算后 30 日内支付至勘察费结算金额的80%</w:t>
      </w:r>
      <w:r>
        <w:rPr>
          <w:rFonts w:hint="eastAsia" w:ascii="仿宋" w:hAnsi="仿宋" w:eastAsia="仿宋" w:cs="仿宋"/>
          <w:color w:val="auto"/>
          <w:sz w:val="24"/>
          <w:szCs w:val="24"/>
          <w:highlight w:val="none"/>
          <w:lang w:eastAsia="zh-CN"/>
        </w:rPr>
        <w:t>；</w:t>
      </w:r>
    </w:p>
    <w:p w14:paraId="12B9133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第2次支付：工程竣工验收合格后 30日内，支付至勘察费结算金额的100%。</w:t>
      </w:r>
    </w:p>
    <w:p w14:paraId="1499861D">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（二）设计费支付方式如下：</w:t>
      </w:r>
    </w:p>
    <w:p w14:paraId="442E54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①第1次支付：方案设计文件提交并取得工规证后30天内，发包人向设计人支付</w:t>
      </w:r>
      <w:r>
        <w:rPr>
          <w:rFonts w:hint="eastAsia" w:ascii="仿宋" w:hAnsi="仿宋" w:eastAsia="仿宋" w:cs="仿宋"/>
          <w:color w:val="auto"/>
          <w:sz w:val="24"/>
          <w:szCs w:val="24"/>
          <w:highlight w:val="none"/>
          <w:lang w:eastAsia="zh-CN"/>
        </w:rPr>
        <w:t>设计费金额</w:t>
      </w:r>
      <w:r>
        <w:rPr>
          <w:rFonts w:hint="eastAsia" w:ascii="仿宋" w:hAnsi="仿宋" w:eastAsia="仿宋" w:cs="仿宋"/>
          <w:color w:val="auto"/>
          <w:sz w:val="24"/>
          <w:szCs w:val="24"/>
          <w:highlight w:val="none"/>
        </w:rPr>
        <w:t>的20%；</w:t>
      </w:r>
    </w:p>
    <w:p w14:paraId="3A67E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②第2次支付：初步设计文件提交并取得行业主管部门初步设计批复后30天内，发包人向设计人支付</w:t>
      </w:r>
      <w:r>
        <w:rPr>
          <w:rFonts w:hint="eastAsia" w:ascii="仿宋" w:hAnsi="仿宋" w:eastAsia="仿宋" w:cs="仿宋"/>
          <w:color w:val="auto"/>
          <w:sz w:val="24"/>
          <w:szCs w:val="24"/>
          <w:highlight w:val="none"/>
          <w:lang w:eastAsia="zh-CN"/>
        </w:rPr>
        <w:t>设计费金额</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p>
    <w:p w14:paraId="632FA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次支付：按发包人要求完成施工图设计及审查，在取得施工图审查合格</w:t>
      </w:r>
      <w:r>
        <w:rPr>
          <w:rFonts w:hint="eastAsia" w:ascii="仿宋" w:hAnsi="仿宋" w:eastAsia="仿宋" w:cs="仿宋"/>
          <w:color w:val="auto"/>
          <w:sz w:val="24"/>
          <w:szCs w:val="24"/>
          <w:highlight w:val="none"/>
          <w:lang w:eastAsia="zh-CN"/>
        </w:rPr>
        <w:t>书</w:t>
      </w:r>
      <w:r>
        <w:rPr>
          <w:rFonts w:hint="eastAsia" w:ascii="仿宋" w:hAnsi="仿宋" w:eastAsia="仿宋" w:cs="仿宋"/>
          <w:color w:val="auto"/>
          <w:sz w:val="24"/>
          <w:szCs w:val="24"/>
          <w:highlight w:val="none"/>
        </w:rPr>
        <w:t>并配合比选人完成预算评审后</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天内，发包人向设计人支付</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rPr>
        <w:t>设计费结算价的</w:t>
      </w:r>
      <w:r>
        <w:rPr>
          <w:rFonts w:hint="eastAsia" w:ascii="仿宋" w:hAnsi="仿宋" w:eastAsia="仿宋" w:cs="仿宋"/>
          <w:color w:val="auto"/>
          <w:sz w:val="24"/>
          <w:szCs w:val="24"/>
          <w:highlight w:val="none"/>
          <w:lang w:val="en-US" w:eastAsia="zh-CN"/>
        </w:rPr>
        <w:t>80</w:t>
      </w:r>
      <w:r>
        <w:rPr>
          <w:rFonts w:hint="eastAsia" w:ascii="仿宋" w:hAnsi="仿宋" w:eastAsia="仿宋" w:cs="仿宋"/>
          <w:color w:val="auto"/>
          <w:sz w:val="24"/>
          <w:szCs w:val="24"/>
          <w:highlight w:val="none"/>
        </w:rPr>
        <w:t>%；</w:t>
      </w:r>
    </w:p>
    <w:p w14:paraId="75BAF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④第4次支付：工程竣工验收合格后28天内，发包人按设计费结算价向设计人结清设计费</w:t>
      </w:r>
      <w:r>
        <w:rPr>
          <w:rFonts w:hint="eastAsia" w:ascii="仿宋" w:hAnsi="仿宋" w:eastAsia="仿宋" w:cs="仿宋"/>
          <w:color w:val="auto"/>
          <w:sz w:val="24"/>
          <w:szCs w:val="24"/>
          <w:highlight w:val="none"/>
          <w:lang w:eastAsia="zh-CN"/>
        </w:rPr>
        <w:t>。</w:t>
      </w:r>
    </w:p>
    <w:p w14:paraId="20CC0294">
      <w:pPr>
        <w:keepNext w:val="0"/>
        <w:keepLines w:val="0"/>
        <w:pageBreakBefore w:val="0"/>
        <w:widowControl w:val="0"/>
        <w:kinsoku/>
        <w:wordWrap/>
        <w:overflowPunct/>
        <w:topLinePunct w:val="0"/>
        <w:autoSpaceDE/>
        <w:autoSpaceDN/>
        <w:bidi w:val="0"/>
        <w:adjustRightInd/>
        <w:snapToGrid/>
        <w:spacing w:line="360" w:lineRule="auto"/>
        <w:ind w:left="476" w:leftChars="17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注：每次付款前，供应商须开具相应的增值税专用发票。</w:t>
      </w:r>
    </w:p>
    <w:p w14:paraId="5A9816D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ascii="仿宋" w:hAnsi="仿宋" w:eastAsia="仿宋" w:cs="仿宋"/>
          <w:b/>
          <w:bCs/>
          <w:color w:val="auto"/>
          <w:sz w:val="24"/>
          <w:szCs w:val="24"/>
          <w:highlight w:val="none"/>
        </w:rPr>
        <w:t>结算方式</w:t>
      </w:r>
    </w:p>
    <w:p w14:paraId="4D82A51A">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勘察费：按固定费率结算。双方商定，勘察固定费率按成交费率包干使用，实施过程中不再对该固定费率进行调整。最终结算价=根据实际发生的勘察实物工作量按照《工程勘察设计收费管理规定》（计价格[2002]10 号文）计算的标准勘察费基价×中标固定费率±合同约定的其他勘察费用。</w:t>
      </w:r>
    </w:p>
    <w:p w14:paraId="7C92C448">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设计费：按固定费率结算。双方商定，设计固定费率按成交费率包干使用，实施过程中不再对该固定费率进行调整。最终设计费结算价=以该项目经财政评审的工程量清单招标控制价，依据《工程勘察设计收费管理规定》计价格〔2002〕10号文规定的工程设计收费标准计算出设计费，再乘以各调整系数和成交固定折扣率±违约金。</w:t>
      </w:r>
    </w:p>
    <w:p w14:paraId="22A2AD2C">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、知识产权</w:t>
      </w:r>
    </w:p>
    <w:p w14:paraId="391C774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在中华人民共和国境内使用成交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提供的货物及服务时免受第三方提出的侵犯其专利权或</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知识产权的起诉。如果第三方提出侵权指控，成交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应承担由此而引起的一切法律责任和费用。</w:t>
      </w:r>
    </w:p>
    <w:p w14:paraId="4D63D256">
      <w:pPr>
        <w:spacing w:line="360" w:lineRule="auto"/>
        <w:ind w:firstLine="482" w:firstLineChars="200"/>
        <w:rPr>
          <w:rFonts w:hint="eastAsia" w:ascii="仿宋" w:hAnsi="仿宋" w:eastAsia="仿宋" w:cs="仿宋"/>
          <w:b/>
          <w:bCs/>
          <w:color w:val="auto"/>
          <w:sz w:val="24"/>
          <w:szCs w:val="24"/>
          <w:highlight w:val="none"/>
        </w:rPr>
      </w:pPr>
      <w:bookmarkStart w:id="48" w:name="_Toc28570"/>
      <w:bookmarkStart w:id="49" w:name="_Toc32007"/>
      <w:bookmarkStart w:id="50" w:name="_Toc209190573"/>
      <w:bookmarkStart w:id="51" w:name="_Toc413"/>
      <w:bookmarkStart w:id="52" w:name="_Toc17737"/>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w:t>
      </w:r>
      <w:bookmarkEnd w:id="48"/>
      <w:bookmarkEnd w:id="49"/>
      <w:bookmarkEnd w:id="50"/>
      <w:bookmarkEnd w:id="51"/>
      <w:bookmarkEnd w:id="52"/>
      <w:r>
        <w:rPr>
          <w:rFonts w:hint="eastAsia" w:ascii="仿宋" w:hAnsi="仿宋" w:eastAsia="仿宋" w:cs="仿宋"/>
          <w:b/>
          <w:bCs/>
          <w:color w:val="auto"/>
          <w:sz w:val="24"/>
          <w:szCs w:val="24"/>
          <w:highlight w:val="none"/>
        </w:rPr>
        <w:t>其他</w:t>
      </w:r>
    </w:p>
    <w:p w14:paraId="1F79D489">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必须在响应文件中对以上条款和服务承诺明确列出，承诺内容必须达到本篇及竞争性谈判文件其他条款的要求。</w:t>
      </w:r>
    </w:p>
    <w:p w14:paraId="27CC423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（二）其他未尽事宜由供需双方在服务合同中详细约定。</w:t>
      </w:r>
    </w:p>
    <w:p w14:paraId="0AA42B7A">
      <w:pPr>
        <w:spacing w:line="360" w:lineRule="auto"/>
        <w:outlineLvl w:val="1"/>
        <w:rPr>
          <w:rFonts w:hint="eastAsia" w:ascii="仿宋" w:hAnsi="仿宋" w:eastAsia="仿宋" w:cs="仿宋"/>
          <w:b/>
          <w:bCs/>
          <w:color w:val="auto"/>
          <w:sz w:val="36"/>
          <w:szCs w:val="36"/>
          <w:highlight w:val="none"/>
        </w:rPr>
      </w:pPr>
      <w:bookmarkStart w:id="53" w:name="_Toc96681791"/>
    </w:p>
    <w:p w14:paraId="1EB5952D">
      <w:pPr>
        <w:spacing w:line="360" w:lineRule="auto"/>
        <w:ind w:firstLine="482" w:firstLineChars="200"/>
        <w:outlineLvl w:val="1"/>
        <w:rPr>
          <w:rFonts w:hint="eastAsia" w:ascii="仿宋" w:hAnsi="仿宋" w:eastAsia="仿宋" w:cs="仿宋"/>
          <w:b/>
          <w:bCs/>
          <w:color w:val="auto"/>
          <w:sz w:val="24"/>
          <w:szCs w:val="24"/>
          <w:highlight w:val="none"/>
        </w:rPr>
      </w:pPr>
    </w:p>
    <w:p w14:paraId="0389B85C">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6928D2F">
      <w:pPr>
        <w:rPr>
          <w:color w:val="auto"/>
          <w:highlight w:val="none"/>
        </w:rPr>
      </w:pPr>
    </w:p>
    <w:p w14:paraId="133E1AF1">
      <w:pPr>
        <w:pStyle w:val="3"/>
        <w:spacing w:before="0" w:after="0" w:line="360" w:lineRule="auto"/>
        <w:jc w:val="center"/>
        <w:rPr>
          <w:rFonts w:hint="eastAsia" w:ascii="仿宋" w:hAnsi="仿宋" w:eastAsia="仿宋" w:cs="仿宋"/>
          <w:bCs/>
          <w:color w:val="auto"/>
          <w:sz w:val="24"/>
          <w:szCs w:val="24"/>
          <w:highlight w:val="none"/>
        </w:rPr>
      </w:pPr>
      <w:bookmarkStart w:id="54" w:name="_Toc212456863"/>
      <w:r>
        <w:rPr>
          <w:rFonts w:hint="eastAsia" w:ascii="仿宋" w:hAnsi="仿宋" w:eastAsia="仿宋" w:cs="仿宋"/>
          <w:bCs/>
          <w:color w:val="auto"/>
          <w:sz w:val="36"/>
          <w:szCs w:val="36"/>
          <w:highlight w:val="none"/>
        </w:rPr>
        <w:t>第四篇 资格审查及评审办法</w:t>
      </w:r>
      <w:bookmarkEnd w:id="54"/>
    </w:p>
    <w:p w14:paraId="516C737C">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一、比选开标程序</w:t>
      </w:r>
      <w:bookmarkEnd w:id="53"/>
    </w:p>
    <w:p w14:paraId="243B9EA9">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比选会由比选代理机构主持，并宣布比选纪律；</w:t>
      </w:r>
    </w:p>
    <w:p w14:paraId="085BFB75">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公布在比选申请截止时间前按时报名及签到、按时递交了响应文件的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p>
    <w:p w14:paraId="68F17999">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或者其推选的代表检查比选申请文件外密封袋的密封情况，经确认比选申请文件密封情况无误后，由工作人员当众开启密封袋，并宣读比选申请文件的相关实质性内容；</w:t>
      </w:r>
    </w:p>
    <w:p w14:paraId="7EE33371">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代表、比选人、监督人在比选记录上签字确认；</w:t>
      </w:r>
    </w:p>
    <w:p w14:paraId="72D552DF">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比选开标会结束。</w:t>
      </w:r>
    </w:p>
    <w:p w14:paraId="3421F20F">
      <w:pPr>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二、评审标准和方法</w:t>
      </w:r>
    </w:p>
    <w:p w14:paraId="5240994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（一）比选申请文件的评审工作由比选人组建的评审委员会负责。</w:t>
      </w:r>
    </w:p>
    <w:p w14:paraId="2962173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的资格条件、响应文件的有效性、完整性和响应程度进行审查。各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只有在完全符合要求的前提下，才能参与正式比选。</w:t>
      </w:r>
    </w:p>
    <w:p w14:paraId="5D233F46">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资格性检查。依据法律法规和竞争性比选文件的规定，对响应文件中的资格证明</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进行审查，以确定</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是否具备比选资格。资格性检查资料表如下：</w:t>
      </w:r>
    </w:p>
    <w:bookmarkEnd w:id="47"/>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8C2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765DF3">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827" w:type="dxa"/>
            <w:gridSpan w:val="2"/>
            <w:vAlign w:val="center"/>
          </w:tcPr>
          <w:p w14:paraId="41C9428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984" w:type="dxa"/>
            <w:vAlign w:val="center"/>
          </w:tcPr>
          <w:p w14:paraId="3EE9A5CA">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2318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318389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709" w:type="dxa"/>
            <w:vMerge w:val="restart"/>
            <w:vAlign w:val="center"/>
          </w:tcPr>
          <w:p w14:paraId="3B8F26F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《中华人民共和国政府采购法》第二十二条规定</w:t>
            </w:r>
          </w:p>
        </w:tc>
        <w:tc>
          <w:tcPr>
            <w:tcW w:w="3118" w:type="dxa"/>
            <w:vAlign w:val="center"/>
          </w:tcPr>
          <w:p w14:paraId="17A257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984" w:type="dxa"/>
            <w:vAlign w:val="center"/>
          </w:tcPr>
          <w:p w14:paraId="3EB262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法人营业执照（副本）或事业单位法人证书（副本）或个体工商户营业执照或有效的自然人身份证明或社会团体法人登记证书（提供复印件）。 </w:t>
            </w:r>
          </w:p>
          <w:p w14:paraId="7B5342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法定代表人身份证明和法定代表人授权代表委托书。</w:t>
            </w:r>
          </w:p>
        </w:tc>
      </w:tr>
      <w:tr w14:paraId="6C03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E033840">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51ECFF7E">
            <w:pPr>
              <w:spacing w:line="360" w:lineRule="auto"/>
              <w:rPr>
                <w:rFonts w:hint="eastAsia" w:ascii="仿宋" w:hAnsi="仿宋" w:eastAsia="仿宋" w:cs="仿宋"/>
                <w:color w:val="auto"/>
                <w:sz w:val="24"/>
                <w:szCs w:val="24"/>
                <w:highlight w:val="none"/>
                <w:lang w:val="zh-CN"/>
              </w:rPr>
            </w:pPr>
          </w:p>
        </w:tc>
        <w:tc>
          <w:tcPr>
            <w:tcW w:w="3118" w:type="dxa"/>
            <w:vAlign w:val="center"/>
          </w:tcPr>
          <w:p w14:paraId="6C1AE1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984" w:type="dxa"/>
            <w:vMerge w:val="restart"/>
            <w:vAlign w:val="center"/>
          </w:tcPr>
          <w:p w14:paraId="7A8C8D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提供“基本资格条件承诺函”（格式详见第七篇）</w:t>
            </w:r>
          </w:p>
        </w:tc>
      </w:tr>
      <w:tr w14:paraId="0841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11CF139">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07B8B3AB">
            <w:pPr>
              <w:spacing w:line="360" w:lineRule="auto"/>
              <w:rPr>
                <w:rFonts w:hint="eastAsia" w:ascii="仿宋" w:hAnsi="仿宋" w:eastAsia="仿宋" w:cs="仿宋"/>
                <w:color w:val="auto"/>
                <w:sz w:val="24"/>
                <w:szCs w:val="24"/>
                <w:highlight w:val="none"/>
                <w:lang w:val="zh-CN"/>
              </w:rPr>
            </w:pPr>
          </w:p>
        </w:tc>
        <w:tc>
          <w:tcPr>
            <w:tcW w:w="3118" w:type="dxa"/>
            <w:vAlign w:val="center"/>
          </w:tcPr>
          <w:p w14:paraId="4B5850E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984" w:type="dxa"/>
            <w:vMerge w:val="continue"/>
            <w:vAlign w:val="center"/>
          </w:tcPr>
          <w:p w14:paraId="3B57B49C">
            <w:pPr>
              <w:spacing w:line="360" w:lineRule="auto"/>
              <w:rPr>
                <w:rFonts w:hint="eastAsia" w:ascii="仿宋" w:hAnsi="仿宋" w:eastAsia="仿宋" w:cs="仿宋"/>
                <w:color w:val="auto"/>
                <w:sz w:val="24"/>
                <w:szCs w:val="24"/>
                <w:highlight w:val="none"/>
              </w:rPr>
            </w:pPr>
          </w:p>
        </w:tc>
      </w:tr>
      <w:tr w14:paraId="6C7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9672F92">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1200684F">
            <w:pPr>
              <w:spacing w:line="360" w:lineRule="auto"/>
              <w:rPr>
                <w:rFonts w:hint="eastAsia" w:ascii="仿宋" w:hAnsi="仿宋" w:eastAsia="仿宋" w:cs="仿宋"/>
                <w:color w:val="auto"/>
                <w:sz w:val="24"/>
                <w:szCs w:val="24"/>
                <w:highlight w:val="none"/>
                <w:lang w:val="zh-CN"/>
              </w:rPr>
            </w:pPr>
          </w:p>
        </w:tc>
        <w:tc>
          <w:tcPr>
            <w:tcW w:w="3118" w:type="dxa"/>
            <w:vAlign w:val="center"/>
          </w:tcPr>
          <w:p w14:paraId="5E04FCC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984" w:type="dxa"/>
            <w:vMerge w:val="continue"/>
            <w:vAlign w:val="center"/>
          </w:tcPr>
          <w:p w14:paraId="2CF4259A">
            <w:pPr>
              <w:spacing w:line="360" w:lineRule="auto"/>
              <w:rPr>
                <w:rFonts w:hint="eastAsia" w:ascii="仿宋" w:hAnsi="仿宋" w:eastAsia="仿宋" w:cs="仿宋"/>
                <w:color w:val="auto"/>
                <w:sz w:val="24"/>
                <w:szCs w:val="24"/>
                <w:highlight w:val="none"/>
              </w:rPr>
            </w:pPr>
          </w:p>
        </w:tc>
      </w:tr>
      <w:tr w14:paraId="6BF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A9782F">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3E4A917C">
            <w:pPr>
              <w:spacing w:line="360" w:lineRule="auto"/>
              <w:rPr>
                <w:rFonts w:hint="eastAsia" w:ascii="仿宋" w:hAnsi="仿宋" w:eastAsia="仿宋" w:cs="仿宋"/>
                <w:color w:val="auto"/>
                <w:sz w:val="24"/>
                <w:szCs w:val="24"/>
                <w:highlight w:val="none"/>
                <w:lang w:val="zh-CN"/>
              </w:rPr>
            </w:pPr>
          </w:p>
        </w:tc>
        <w:tc>
          <w:tcPr>
            <w:tcW w:w="3118" w:type="dxa"/>
            <w:vAlign w:val="center"/>
          </w:tcPr>
          <w:p w14:paraId="6F5B17ED">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w:t>
            </w:r>
          </w:p>
        </w:tc>
        <w:tc>
          <w:tcPr>
            <w:tcW w:w="4984" w:type="dxa"/>
            <w:vMerge w:val="continue"/>
            <w:vAlign w:val="center"/>
          </w:tcPr>
          <w:p w14:paraId="4A3492E0">
            <w:pPr>
              <w:spacing w:line="360" w:lineRule="auto"/>
              <w:rPr>
                <w:rFonts w:hint="eastAsia" w:ascii="仿宋" w:hAnsi="仿宋" w:eastAsia="仿宋" w:cs="仿宋"/>
                <w:b/>
                <w:color w:val="auto"/>
                <w:sz w:val="24"/>
                <w:szCs w:val="24"/>
                <w:highlight w:val="none"/>
              </w:rPr>
            </w:pPr>
          </w:p>
        </w:tc>
      </w:tr>
      <w:tr w14:paraId="58C4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17" w:type="dxa"/>
            <w:vMerge w:val="continue"/>
            <w:vAlign w:val="center"/>
          </w:tcPr>
          <w:p w14:paraId="30F04855">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5A8FADD0">
            <w:pPr>
              <w:spacing w:line="360" w:lineRule="auto"/>
              <w:rPr>
                <w:rFonts w:hint="eastAsia" w:ascii="仿宋" w:hAnsi="仿宋" w:eastAsia="仿宋" w:cs="仿宋"/>
                <w:color w:val="auto"/>
                <w:sz w:val="24"/>
                <w:szCs w:val="24"/>
                <w:highlight w:val="none"/>
              </w:rPr>
            </w:pPr>
          </w:p>
        </w:tc>
        <w:tc>
          <w:tcPr>
            <w:tcW w:w="3118" w:type="dxa"/>
            <w:vAlign w:val="center"/>
          </w:tcPr>
          <w:p w14:paraId="4756D14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984" w:type="dxa"/>
            <w:vMerge w:val="continue"/>
            <w:vAlign w:val="center"/>
          </w:tcPr>
          <w:p w14:paraId="24787894">
            <w:pPr>
              <w:spacing w:line="360" w:lineRule="auto"/>
              <w:rPr>
                <w:rFonts w:hint="eastAsia" w:ascii="仿宋" w:hAnsi="仿宋" w:eastAsia="仿宋" w:cs="仿宋"/>
                <w:color w:val="auto"/>
                <w:sz w:val="24"/>
                <w:szCs w:val="24"/>
                <w:highlight w:val="none"/>
              </w:rPr>
            </w:pPr>
          </w:p>
        </w:tc>
      </w:tr>
      <w:tr w14:paraId="7E78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EE7C275">
            <w:pPr>
              <w:spacing w:line="360" w:lineRule="auto"/>
              <w:jc w:val="center"/>
              <w:rPr>
                <w:rFonts w:hint="eastAsia" w:ascii="仿宋" w:hAnsi="仿宋" w:eastAsia="仿宋" w:cs="仿宋"/>
                <w:color w:val="auto"/>
                <w:sz w:val="24"/>
                <w:szCs w:val="24"/>
                <w:highlight w:val="none"/>
              </w:rPr>
            </w:pPr>
          </w:p>
        </w:tc>
        <w:tc>
          <w:tcPr>
            <w:tcW w:w="709" w:type="dxa"/>
            <w:vMerge w:val="continue"/>
            <w:vAlign w:val="center"/>
          </w:tcPr>
          <w:p w14:paraId="10C39F81">
            <w:pPr>
              <w:spacing w:line="360" w:lineRule="auto"/>
              <w:rPr>
                <w:rFonts w:hint="eastAsia" w:ascii="仿宋" w:hAnsi="仿宋" w:eastAsia="仿宋" w:cs="仿宋"/>
                <w:color w:val="auto"/>
                <w:sz w:val="24"/>
                <w:szCs w:val="24"/>
                <w:highlight w:val="none"/>
              </w:rPr>
            </w:pPr>
          </w:p>
        </w:tc>
        <w:tc>
          <w:tcPr>
            <w:tcW w:w="3118" w:type="dxa"/>
            <w:vAlign w:val="center"/>
          </w:tcPr>
          <w:p w14:paraId="4867415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7.本项目的特定资格要求</w:t>
            </w:r>
          </w:p>
        </w:tc>
        <w:tc>
          <w:tcPr>
            <w:tcW w:w="4984" w:type="dxa"/>
            <w:vAlign w:val="center"/>
          </w:tcPr>
          <w:p w14:paraId="4AA9A3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资格要求（二）特定资格要求”的要求提交。</w:t>
            </w:r>
          </w:p>
        </w:tc>
      </w:tr>
    </w:tbl>
    <w:p w14:paraId="505ECF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1FCAB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根据《中华人民共和国政府采购法实施条例》第十九条“参加政府采购活动前三年内，在经营活动中没有重大违法记录”中“重大违法记录”，是指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较大数额罚款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具体适用问题的意见（财库〔2022〕3 号）”执行。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可于响应文件递交截止时间前通过 “信用中国”网站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等渠道查询信用记录。</w:t>
      </w:r>
    </w:p>
    <w:p w14:paraId="0D111A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2.符合性检查。依据竞争性比选文件的规定，</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rPr>
        <w:t>响应文件的有效性、完整性和对竞争性比选文件的响应程度进行审查，以确定是否对竞争性比选文件的实质性要求作出响应。符合性检查资料表如下：</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172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F069A3F">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69B8D37E">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35F9BAA9">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6F4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restart"/>
            <w:vAlign w:val="center"/>
          </w:tcPr>
          <w:p w14:paraId="4886D0AF">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32EED4B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4852E746">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409" w:type="dxa"/>
            <w:vAlign w:val="center"/>
          </w:tcPr>
          <w:p w14:paraId="0E89664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按竞争性比选文件“第七篇响应文件组成及要求格式”要求签署或盖章。</w:t>
            </w:r>
          </w:p>
        </w:tc>
      </w:tr>
      <w:tr w14:paraId="1BE2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continue"/>
            <w:vAlign w:val="center"/>
          </w:tcPr>
          <w:p w14:paraId="0E363F03">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4677D522">
            <w:pPr>
              <w:spacing w:line="360" w:lineRule="auto"/>
              <w:rPr>
                <w:rFonts w:hint="eastAsia" w:ascii="仿宋" w:hAnsi="仿宋" w:eastAsia="仿宋" w:cs="仿宋"/>
                <w:color w:val="auto"/>
                <w:kern w:val="0"/>
                <w:sz w:val="24"/>
                <w:szCs w:val="24"/>
                <w:highlight w:val="none"/>
              </w:rPr>
            </w:pPr>
          </w:p>
        </w:tc>
        <w:tc>
          <w:tcPr>
            <w:tcW w:w="1984" w:type="dxa"/>
            <w:vAlign w:val="center"/>
          </w:tcPr>
          <w:p w14:paraId="564757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37C2A9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法定代表人身份证明及授权委托书有效，符合竞争性比选文件规定的格式，签字或盖章齐全。</w:t>
            </w:r>
          </w:p>
        </w:tc>
      </w:tr>
      <w:tr w14:paraId="58C1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14:paraId="089FBC25">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1C2ECB4D">
            <w:pPr>
              <w:spacing w:line="360" w:lineRule="auto"/>
              <w:rPr>
                <w:rFonts w:hint="eastAsia" w:ascii="仿宋" w:hAnsi="仿宋" w:eastAsia="仿宋" w:cs="仿宋"/>
                <w:color w:val="auto"/>
                <w:kern w:val="0"/>
                <w:sz w:val="24"/>
                <w:szCs w:val="24"/>
                <w:highlight w:val="none"/>
              </w:rPr>
            </w:pPr>
          </w:p>
        </w:tc>
        <w:tc>
          <w:tcPr>
            <w:tcW w:w="1984" w:type="dxa"/>
            <w:vAlign w:val="center"/>
          </w:tcPr>
          <w:p w14:paraId="28397400">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1CBBCD0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475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75" w:type="dxa"/>
            <w:vMerge w:val="continue"/>
            <w:vAlign w:val="center"/>
          </w:tcPr>
          <w:p w14:paraId="34725909">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179230B0">
            <w:pPr>
              <w:spacing w:line="360" w:lineRule="auto"/>
              <w:rPr>
                <w:rFonts w:hint="eastAsia" w:ascii="仿宋" w:hAnsi="仿宋" w:eastAsia="仿宋" w:cs="仿宋"/>
                <w:color w:val="auto"/>
                <w:kern w:val="0"/>
                <w:sz w:val="24"/>
                <w:szCs w:val="24"/>
                <w:highlight w:val="none"/>
              </w:rPr>
            </w:pPr>
          </w:p>
        </w:tc>
        <w:tc>
          <w:tcPr>
            <w:tcW w:w="1984" w:type="dxa"/>
            <w:vAlign w:val="center"/>
          </w:tcPr>
          <w:p w14:paraId="67BA03A8">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041085A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w:t>
            </w:r>
            <w:r>
              <w:rPr>
                <w:rFonts w:hint="eastAsia" w:ascii="仿宋" w:hAnsi="仿宋" w:eastAsia="仿宋" w:cs="仿宋"/>
                <w:color w:val="auto"/>
                <w:sz w:val="24"/>
                <w:szCs w:val="24"/>
                <w:highlight w:val="none"/>
              </w:rPr>
              <w:t>比选项目</w:t>
            </w:r>
            <w:r>
              <w:rPr>
                <w:rFonts w:hint="eastAsia" w:ascii="仿宋" w:hAnsi="仿宋" w:eastAsia="仿宋" w:cs="仿宋"/>
                <w:color w:val="auto"/>
                <w:sz w:val="24"/>
                <w:szCs w:val="24"/>
                <w:highlight w:val="none"/>
                <w:lang w:val="zh-CN"/>
              </w:rPr>
              <w:t>预算范围内报价，</w:t>
            </w:r>
            <w:r>
              <w:rPr>
                <w:rFonts w:hint="eastAsia" w:ascii="仿宋" w:hAnsi="仿宋" w:eastAsia="仿宋" w:cs="仿宋"/>
                <w:color w:val="auto"/>
                <w:sz w:val="24"/>
                <w:szCs w:val="24"/>
                <w:highlight w:val="none"/>
              </w:rPr>
              <w:t>只能有一个有效报价，不得提交选择性报价，且不得高于最高限价。</w:t>
            </w:r>
          </w:p>
        </w:tc>
      </w:tr>
      <w:tr w14:paraId="478B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vAlign w:val="center"/>
          </w:tcPr>
          <w:p w14:paraId="7C9C7614">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678D9FA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59FA45A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09" w:type="dxa"/>
            <w:vAlign w:val="center"/>
          </w:tcPr>
          <w:p w14:paraId="496967A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文件正、副本数量（含电子文档）符合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22A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75" w:type="dxa"/>
            <w:vMerge w:val="restart"/>
            <w:vAlign w:val="center"/>
          </w:tcPr>
          <w:p w14:paraId="032450A2">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70FA0817">
            <w:pPr>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竞争性比选文件的响应程度审查</w:t>
            </w:r>
          </w:p>
        </w:tc>
        <w:tc>
          <w:tcPr>
            <w:tcW w:w="1984" w:type="dxa"/>
            <w:vAlign w:val="center"/>
          </w:tcPr>
          <w:p w14:paraId="229AC6D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09" w:type="dxa"/>
            <w:vAlign w:val="center"/>
          </w:tcPr>
          <w:p w14:paraId="34900EFA">
            <w:pPr>
              <w:pStyle w:val="14"/>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对竞争性比选文件第二篇、第三篇规定的比选内容作出响应。</w:t>
            </w:r>
          </w:p>
        </w:tc>
      </w:tr>
      <w:tr w14:paraId="5E71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vAlign w:val="center"/>
          </w:tcPr>
          <w:p w14:paraId="1BBCD531">
            <w:pPr>
              <w:spacing w:line="360" w:lineRule="auto"/>
              <w:jc w:val="center"/>
              <w:rPr>
                <w:rFonts w:hint="eastAsia" w:ascii="仿宋" w:hAnsi="仿宋" w:eastAsia="仿宋" w:cs="仿宋"/>
                <w:color w:val="auto"/>
                <w:kern w:val="0"/>
                <w:sz w:val="24"/>
                <w:szCs w:val="24"/>
                <w:highlight w:val="none"/>
              </w:rPr>
            </w:pPr>
          </w:p>
        </w:tc>
        <w:tc>
          <w:tcPr>
            <w:tcW w:w="1560" w:type="dxa"/>
            <w:vMerge w:val="continue"/>
            <w:vAlign w:val="center"/>
          </w:tcPr>
          <w:p w14:paraId="060FC9AF">
            <w:pPr>
              <w:spacing w:line="360" w:lineRule="auto"/>
              <w:rPr>
                <w:rFonts w:hint="eastAsia" w:ascii="仿宋" w:hAnsi="仿宋" w:eastAsia="仿宋" w:cs="仿宋"/>
                <w:color w:val="auto"/>
                <w:sz w:val="24"/>
                <w:szCs w:val="24"/>
                <w:highlight w:val="none"/>
                <w:lang w:val="zh-CN"/>
              </w:rPr>
            </w:pPr>
          </w:p>
        </w:tc>
        <w:tc>
          <w:tcPr>
            <w:tcW w:w="1984" w:type="dxa"/>
            <w:vAlign w:val="center"/>
          </w:tcPr>
          <w:p w14:paraId="6338490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5409" w:type="dxa"/>
            <w:vAlign w:val="center"/>
          </w:tcPr>
          <w:p w14:paraId="668F0EE4">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响应文件及有关承诺文件有效期为提交响应文件截止时间起90天。</w:t>
            </w:r>
          </w:p>
        </w:tc>
      </w:tr>
    </w:tbl>
    <w:p w14:paraId="5A72212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（三）比选申请文件的澄清</w:t>
      </w:r>
    </w:p>
    <w:p w14:paraId="5FB5E9E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评审委员会可以要求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用书面方式对比选申请文件中含义不明确、对同类问题表述不一致内容</w:t>
      </w:r>
      <w:r>
        <w:rPr>
          <w:rFonts w:hint="eastAsia" w:ascii="仿宋" w:hAnsi="仿宋" w:eastAsia="仿宋" w:cs="仿宋"/>
          <w:color w:val="auto"/>
          <w:sz w:val="24"/>
          <w:szCs w:val="24"/>
          <w:highlight w:val="none"/>
          <w:lang w:eastAsia="zh-CN"/>
        </w:rPr>
        <w:t>做必要</w:t>
      </w:r>
      <w:r>
        <w:rPr>
          <w:rFonts w:hint="eastAsia" w:ascii="仿宋" w:hAnsi="仿宋" w:eastAsia="仿宋" w:cs="仿宋"/>
          <w:color w:val="auto"/>
          <w:sz w:val="24"/>
          <w:szCs w:val="24"/>
          <w:highlight w:val="none"/>
        </w:rPr>
        <w:t>的澄清、说明或补正。澄清、说明或者补正应以书面方式进行，并不得超出比选申请文件范围或者改变比选申请文件的实质性内容。评审委员会不接受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主动提出的澄清、说明或补正。</w:t>
      </w:r>
    </w:p>
    <w:p w14:paraId="369DCC3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评审委员会对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提出的澄清、说明或补正有疑问的，可以要求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进一步澄清、说明或补正，直至满足评审委员会的要求。</w:t>
      </w:r>
    </w:p>
    <w:p w14:paraId="336AB67D">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（四）评审委员会采用综合评分法对提交报价的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的响应文件和报价进行综合评分。综合评分法，是指响应文件满足竞争性比选文件全部实质性要求且按照评审因素的量化指标评审得分最高的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的评审方法。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总得分为价格、技术等评定因素分别按照相应权重值计算分项得分后相加，满分为100分。</w:t>
      </w:r>
    </w:p>
    <w:p w14:paraId="0650ADFB">
      <w:pPr>
        <w:snapToGrid w:val="0"/>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（五）评审委员会各成员独立对每个有效响应（通过资格性检查、符合性检查的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）的文件进行评价、打分，然后汇总每个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每项评分因素的得分，并根据综合评分情况</w:t>
      </w:r>
      <w:r>
        <w:rPr>
          <w:rFonts w:hint="eastAsia" w:ascii="仿宋" w:hAnsi="仿宋" w:eastAsia="仿宋" w:cs="仿宋"/>
          <w:color w:val="auto"/>
          <w:sz w:val="24"/>
          <w:szCs w:val="24"/>
          <w:highlight w:val="none"/>
          <w:lang w:eastAsia="zh-CN"/>
        </w:rPr>
        <w:t>，按照</w:t>
      </w:r>
      <w:r>
        <w:rPr>
          <w:rFonts w:hint="eastAsia" w:ascii="仿宋" w:hAnsi="仿宋" w:eastAsia="仿宋" w:cs="仿宋"/>
          <w:color w:val="auto"/>
          <w:sz w:val="24"/>
          <w:szCs w:val="24"/>
          <w:highlight w:val="none"/>
        </w:rPr>
        <w:t>评审得分由高到低</w:t>
      </w:r>
      <w:r>
        <w:rPr>
          <w:rFonts w:hint="eastAsia" w:ascii="仿宋" w:hAnsi="仿宋" w:eastAsia="仿宋" w:cs="仿宋"/>
          <w:color w:val="auto"/>
          <w:sz w:val="24"/>
          <w:szCs w:val="24"/>
          <w:highlight w:val="none"/>
          <w:lang w:eastAsia="zh-CN"/>
        </w:rPr>
        <w:t>的顺序</w:t>
      </w:r>
      <w:r>
        <w:rPr>
          <w:rFonts w:hint="eastAsia" w:ascii="仿宋" w:hAnsi="仿宋" w:eastAsia="仿宋" w:cs="仿宋"/>
          <w:color w:val="auto"/>
          <w:sz w:val="24"/>
          <w:szCs w:val="24"/>
          <w:highlight w:val="none"/>
        </w:rPr>
        <w:t>推荐3名以上成交候选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，并编写评审报告。若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的评审得分</w:t>
      </w:r>
      <w:r>
        <w:rPr>
          <w:rFonts w:hint="eastAsia" w:ascii="仿宋" w:hAnsi="仿宋" w:eastAsia="仿宋" w:cs="仿宋"/>
          <w:color w:val="auto"/>
          <w:sz w:val="24"/>
          <w:szCs w:val="24"/>
          <w:highlight w:val="none"/>
          <w:lang w:eastAsia="zh-CN"/>
        </w:rPr>
        <w:t>相同</w:t>
      </w:r>
      <w:r>
        <w:rPr>
          <w:rFonts w:hint="eastAsia" w:ascii="仿宋" w:hAnsi="仿宋" w:eastAsia="仿宋" w:cs="仿宋"/>
          <w:color w:val="auto"/>
          <w:sz w:val="24"/>
          <w:szCs w:val="24"/>
          <w:highlight w:val="none"/>
        </w:rPr>
        <w:t>，按照报价由低到高的顺序排列推荐</w:t>
      </w:r>
      <w:r>
        <w:rPr>
          <w:rFonts w:hint="eastAsia" w:ascii="仿宋" w:hAnsi="仿宋" w:eastAsia="仿宋" w:cs="仿宋"/>
          <w:color w:val="auto"/>
          <w:sz w:val="24"/>
          <w:szCs w:val="24"/>
          <w:highlight w:val="none"/>
          <w:lang w:eastAsia="zh-CN"/>
        </w:rPr>
        <w:t>；若</w:t>
      </w:r>
      <w:r>
        <w:rPr>
          <w:rFonts w:hint="eastAsia" w:ascii="仿宋" w:hAnsi="仿宋" w:eastAsia="仿宋" w:cs="仿宋"/>
          <w:color w:val="auto"/>
          <w:sz w:val="24"/>
          <w:szCs w:val="24"/>
          <w:highlight w:val="none"/>
        </w:rPr>
        <w:t>评审得分</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eastAsia="zh-CN"/>
        </w:rPr>
        <w:t>都相同</w:t>
      </w:r>
      <w:r>
        <w:rPr>
          <w:rFonts w:hint="eastAsia" w:ascii="仿宋" w:hAnsi="仿宋" w:eastAsia="仿宋" w:cs="仿宋"/>
          <w:color w:val="auto"/>
          <w:sz w:val="24"/>
          <w:szCs w:val="24"/>
          <w:highlight w:val="none"/>
        </w:rPr>
        <w:t>，按照技术方案优劣顺序排列推荐。</w:t>
      </w:r>
    </w:p>
    <w:p w14:paraId="1128C050">
      <w:pPr>
        <w:snapToGrid w:val="0"/>
        <w:spacing w:line="360" w:lineRule="auto"/>
        <w:ind w:firstLine="482" w:firstLineChars="200"/>
        <w:rPr>
          <w:rFonts w:hint="eastAsia" w:ascii="仿宋" w:hAnsi="仿宋" w:eastAsia="仿宋" w:cs="仿宋"/>
          <w:b/>
          <w:bCs/>
          <w:color w:val="auto"/>
          <w:sz w:val="24"/>
          <w:szCs w:val="24"/>
          <w:highlight w:val="none"/>
        </w:rPr>
      </w:pPr>
      <w:bookmarkStart w:id="55" w:name="_Toc27272"/>
      <w:r>
        <w:rPr>
          <w:rFonts w:hint="eastAsia" w:ascii="仿宋" w:hAnsi="仿宋" w:eastAsia="仿宋" w:cs="仿宋"/>
          <w:b/>
          <w:bCs/>
          <w:color w:val="auto"/>
          <w:sz w:val="24"/>
          <w:szCs w:val="24"/>
          <w:highlight w:val="none"/>
        </w:rPr>
        <w:t>三、成交原则</w:t>
      </w:r>
      <w:bookmarkStart w:id="56" w:name="_Toc342913394"/>
      <w:bookmarkStart w:id="57" w:name="_Toc102227320"/>
    </w:p>
    <w:p w14:paraId="48B5DE9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（一）评审标准</w:t>
      </w:r>
      <w:bookmarkEnd w:id="55"/>
    </w:p>
    <w:tbl>
      <w:tblPr>
        <w:tblStyle w:val="23"/>
        <w:tblW w:w="10297" w:type="dxa"/>
        <w:jc w:val="center"/>
        <w:tblLayout w:type="fixed"/>
        <w:tblCellMar>
          <w:top w:w="0" w:type="dxa"/>
          <w:left w:w="108" w:type="dxa"/>
          <w:bottom w:w="0" w:type="dxa"/>
          <w:right w:w="108" w:type="dxa"/>
        </w:tblCellMar>
      </w:tblPr>
      <w:tblGrid>
        <w:gridCol w:w="680"/>
        <w:gridCol w:w="1150"/>
        <w:gridCol w:w="1369"/>
        <w:gridCol w:w="5039"/>
        <w:gridCol w:w="2059"/>
      </w:tblGrid>
      <w:tr w14:paraId="4D3E6DEE">
        <w:tblPrEx>
          <w:tblCellMar>
            <w:top w:w="0" w:type="dxa"/>
            <w:left w:w="108" w:type="dxa"/>
            <w:bottom w:w="0" w:type="dxa"/>
            <w:right w:w="108" w:type="dxa"/>
          </w:tblCellMar>
        </w:tblPrEx>
        <w:trPr>
          <w:trHeight w:val="725" w:hRule="atLeast"/>
          <w:jc w:val="center"/>
        </w:trPr>
        <w:tc>
          <w:tcPr>
            <w:tcW w:w="680" w:type="dxa"/>
            <w:tcBorders>
              <w:top w:val="single" w:color="000000" w:sz="4" w:space="0"/>
              <w:left w:val="single" w:color="000000" w:sz="4" w:space="0"/>
              <w:bottom w:val="single" w:color="auto" w:sz="4" w:space="0"/>
              <w:right w:val="single" w:color="000000" w:sz="4" w:space="0"/>
            </w:tcBorders>
            <w:vAlign w:val="center"/>
          </w:tcPr>
          <w:p w14:paraId="39CE7BB8">
            <w:pPr>
              <w:widowControl/>
              <w:spacing w:line="360" w:lineRule="auto"/>
              <w:jc w:val="center"/>
              <w:textAlignment w:val="center"/>
              <w:rPr>
                <w:rFonts w:hint="eastAsia" w:ascii="仿宋" w:hAnsi="仿宋" w:eastAsia="仿宋" w:cs="仿宋"/>
                <w:b/>
                <w:bCs/>
                <w:color w:val="auto"/>
                <w:kern w:val="0"/>
                <w:sz w:val="22"/>
                <w:szCs w:val="22"/>
                <w:highlight w:val="none"/>
                <w:lang w:bidi="ar"/>
              </w:rPr>
            </w:pPr>
            <w:bookmarkStart w:id="58" w:name="_Toc8766"/>
            <w:r>
              <w:rPr>
                <w:rFonts w:hint="eastAsia" w:ascii="仿宋" w:hAnsi="仿宋" w:eastAsia="仿宋" w:cs="仿宋"/>
                <w:b/>
                <w:bCs/>
                <w:color w:val="auto"/>
                <w:kern w:val="0"/>
                <w:sz w:val="22"/>
                <w:szCs w:val="22"/>
                <w:highlight w:val="none"/>
                <w:lang w:bidi="ar"/>
              </w:rPr>
              <w:t>序号</w:t>
            </w:r>
          </w:p>
        </w:tc>
        <w:tc>
          <w:tcPr>
            <w:tcW w:w="1150" w:type="dxa"/>
            <w:tcBorders>
              <w:top w:val="single" w:color="000000" w:sz="4" w:space="0"/>
              <w:left w:val="single" w:color="000000" w:sz="4" w:space="0"/>
              <w:bottom w:val="single" w:color="auto" w:sz="4" w:space="0"/>
              <w:right w:val="single" w:color="000000" w:sz="4" w:space="0"/>
            </w:tcBorders>
            <w:vAlign w:val="center"/>
          </w:tcPr>
          <w:p w14:paraId="5537FFF9">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评分因素及权重</w:t>
            </w:r>
          </w:p>
        </w:tc>
        <w:tc>
          <w:tcPr>
            <w:tcW w:w="1369" w:type="dxa"/>
            <w:tcBorders>
              <w:top w:val="single" w:color="000000" w:sz="4" w:space="0"/>
              <w:left w:val="single" w:color="000000" w:sz="4" w:space="0"/>
              <w:bottom w:val="single" w:color="auto" w:sz="4" w:space="0"/>
              <w:right w:val="single" w:color="000000" w:sz="4" w:space="0"/>
            </w:tcBorders>
            <w:vAlign w:val="center"/>
          </w:tcPr>
          <w:p w14:paraId="444C68D7">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分值</w:t>
            </w:r>
          </w:p>
        </w:tc>
        <w:tc>
          <w:tcPr>
            <w:tcW w:w="5039" w:type="dxa"/>
            <w:tcBorders>
              <w:top w:val="single" w:color="000000" w:sz="4" w:space="0"/>
              <w:left w:val="single" w:color="000000" w:sz="4" w:space="0"/>
              <w:bottom w:val="single" w:color="auto" w:sz="4" w:space="0"/>
              <w:right w:val="single" w:color="000000" w:sz="4" w:space="0"/>
            </w:tcBorders>
            <w:vAlign w:val="center"/>
          </w:tcPr>
          <w:p w14:paraId="2F152744">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评分标准</w:t>
            </w:r>
          </w:p>
        </w:tc>
        <w:tc>
          <w:tcPr>
            <w:tcW w:w="2059" w:type="dxa"/>
            <w:tcBorders>
              <w:top w:val="single" w:color="000000" w:sz="4" w:space="0"/>
              <w:left w:val="single" w:color="000000" w:sz="4" w:space="0"/>
              <w:bottom w:val="single" w:color="auto" w:sz="4" w:space="0"/>
              <w:right w:val="single" w:color="000000" w:sz="4" w:space="0"/>
            </w:tcBorders>
            <w:vAlign w:val="center"/>
          </w:tcPr>
          <w:p w14:paraId="57013D4C">
            <w:pPr>
              <w:widowControl/>
              <w:spacing w:line="360" w:lineRule="auto"/>
              <w:jc w:val="center"/>
              <w:textAlignment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bidi="ar"/>
              </w:rPr>
              <w:t>说明</w:t>
            </w:r>
          </w:p>
        </w:tc>
      </w:tr>
      <w:tr w14:paraId="55AA3F6B">
        <w:tblPrEx>
          <w:tblCellMar>
            <w:top w:w="0" w:type="dxa"/>
            <w:left w:w="108" w:type="dxa"/>
            <w:bottom w:w="0" w:type="dxa"/>
            <w:right w:w="108" w:type="dxa"/>
          </w:tblCellMar>
        </w:tblPrEx>
        <w:trPr>
          <w:trHeight w:val="1152"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7315DD31">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w:t>
            </w:r>
          </w:p>
        </w:tc>
        <w:tc>
          <w:tcPr>
            <w:tcW w:w="1150" w:type="dxa"/>
            <w:tcBorders>
              <w:top w:val="single" w:color="auto" w:sz="4" w:space="0"/>
              <w:left w:val="single" w:color="auto" w:sz="4" w:space="0"/>
              <w:bottom w:val="single" w:color="auto" w:sz="4" w:space="0"/>
              <w:right w:val="single" w:color="auto" w:sz="4" w:space="0"/>
            </w:tcBorders>
            <w:vAlign w:val="center"/>
          </w:tcPr>
          <w:p w14:paraId="636DEF87">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投标报价</w:t>
            </w:r>
            <w:r>
              <w:rPr>
                <w:rFonts w:hint="eastAsia" w:ascii="仿宋" w:hAnsi="仿宋" w:eastAsia="仿宋" w:cs="仿宋"/>
                <w:color w:val="auto"/>
                <w:kern w:val="0"/>
                <w:sz w:val="22"/>
                <w:szCs w:val="22"/>
                <w:highlight w:val="none"/>
                <w:lang w:bidi="ar"/>
              </w:rPr>
              <w:br w:type="textWrapping"/>
            </w:r>
            <w:r>
              <w:rPr>
                <w:rFonts w:hint="eastAsia" w:ascii="仿宋" w:hAnsi="仿宋" w:eastAsia="仿宋" w:cs="仿宋"/>
                <w:color w:val="auto"/>
                <w:kern w:val="0"/>
                <w:sz w:val="22"/>
                <w:szCs w:val="22"/>
                <w:highlight w:val="none"/>
                <w:lang w:bidi="ar"/>
              </w:rPr>
              <w:t>(</w:t>
            </w:r>
            <w:r>
              <w:rPr>
                <w:rFonts w:hint="eastAsia" w:ascii="仿宋" w:hAnsi="仿宋" w:eastAsia="仿宋" w:cs="仿宋"/>
                <w:color w:val="auto"/>
                <w:kern w:val="0"/>
                <w:sz w:val="22"/>
                <w:szCs w:val="22"/>
                <w:highlight w:val="none"/>
                <w:lang w:val="en-US" w:eastAsia="zh-CN" w:bidi="ar"/>
              </w:rPr>
              <w:t>30</w:t>
            </w:r>
            <w:r>
              <w:rPr>
                <w:rFonts w:hint="eastAsia" w:ascii="仿宋" w:hAnsi="仿宋" w:eastAsia="仿宋" w:cs="仿宋"/>
                <w:color w:val="auto"/>
                <w:kern w:val="0"/>
                <w:sz w:val="22"/>
                <w:szCs w:val="22"/>
                <w:highlight w:val="none"/>
                <w:lang w:bidi="ar"/>
              </w:rPr>
              <w:t>%)</w:t>
            </w:r>
          </w:p>
        </w:tc>
        <w:tc>
          <w:tcPr>
            <w:tcW w:w="1369" w:type="dxa"/>
            <w:tcBorders>
              <w:top w:val="single" w:color="auto" w:sz="4" w:space="0"/>
              <w:left w:val="single" w:color="auto" w:sz="4" w:space="0"/>
              <w:bottom w:val="single" w:color="auto" w:sz="4" w:space="0"/>
              <w:right w:val="single" w:color="auto" w:sz="4" w:space="0"/>
            </w:tcBorders>
            <w:vAlign w:val="center"/>
          </w:tcPr>
          <w:p w14:paraId="07BC5628">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30</w:t>
            </w:r>
            <w:r>
              <w:rPr>
                <w:rFonts w:hint="eastAsia" w:ascii="仿宋" w:hAnsi="仿宋" w:eastAsia="仿宋" w:cs="仿宋"/>
                <w:color w:val="auto"/>
                <w:kern w:val="0"/>
                <w:sz w:val="22"/>
                <w:szCs w:val="22"/>
                <w:highlight w:val="none"/>
                <w:lang w:bidi="ar"/>
              </w:rPr>
              <w:t>分</w:t>
            </w:r>
          </w:p>
        </w:tc>
        <w:tc>
          <w:tcPr>
            <w:tcW w:w="5039" w:type="dxa"/>
            <w:tcBorders>
              <w:top w:val="single" w:color="auto" w:sz="4" w:space="0"/>
              <w:left w:val="single" w:color="auto" w:sz="4" w:space="0"/>
              <w:bottom w:val="single" w:color="auto" w:sz="4" w:space="0"/>
              <w:right w:val="single" w:color="auto" w:sz="4" w:space="0"/>
            </w:tcBorders>
            <w:vAlign w:val="center"/>
          </w:tcPr>
          <w:p w14:paraId="724395C4">
            <w:pPr>
              <w:widowControl/>
              <w:spacing w:line="360"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有效的投标报价中的最低价为评标基准价，按照下列公式计算每个</w:t>
            </w:r>
            <w:r>
              <w:rPr>
                <w:rFonts w:hint="eastAsia" w:ascii="仿宋" w:hAnsi="仿宋" w:eastAsia="仿宋" w:cs="仿宋"/>
                <w:color w:val="auto"/>
                <w:kern w:val="0"/>
                <w:sz w:val="22"/>
                <w:szCs w:val="22"/>
                <w:highlight w:val="none"/>
                <w:lang w:eastAsia="zh-CN" w:bidi="ar"/>
              </w:rPr>
              <w:t>供应商</w:t>
            </w:r>
            <w:r>
              <w:rPr>
                <w:rFonts w:hint="eastAsia" w:ascii="仿宋" w:hAnsi="仿宋" w:eastAsia="仿宋" w:cs="仿宋"/>
                <w:color w:val="auto"/>
                <w:kern w:val="0"/>
                <w:sz w:val="22"/>
                <w:szCs w:val="22"/>
                <w:highlight w:val="none"/>
                <w:lang w:bidi="ar"/>
              </w:rPr>
              <w:t>的投标价格得分</w:t>
            </w: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bidi="ar"/>
              </w:rPr>
              <w:t>投标报价得分＝（评标基准价/投标报价）×价格权重×100。</w:t>
            </w:r>
          </w:p>
        </w:tc>
        <w:tc>
          <w:tcPr>
            <w:tcW w:w="2059" w:type="dxa"/>
            <w:tcBorders>
              <w:top w:val="single" w:color="auto" w:sz="4" w:space="0"/>
              <w:left w:val="single" w:color="auto" w:sz="4" w:space="0"/>
              <w:bottom w:val="single" w:color="auto" w:sz="4" w:space="0"/>
              <w:right w:val="single" w:color="auto" w:sz="4" w:space="0"/>
            </w:tcBorders>
            <w:vAlign w:val="center"/>
          </w:tcPr>
          <w:p w14:paraId="2893B57F">
            <w:pPr>
              <w:widowControl/>
              <w:spacing w:line="360" w:lineRule="auto"/>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高于预算价为无效报价。</w:t>
            </w:r>
          </w:p>
        </w:tc>
      </w:tr>
      <w:tr w14:paraId="520D08D2">
        <w:tblPrEx>
          <w:tblCellMar>
            <w:top w:w="0" w:type="dxa"/>
            <w:left w:w="108" w:type="dxa"/>
            <w:bottom w:w="0" w:type="dxa"/>
            <w:right w:w="108" w:type="dxa"/>
          </w:tblCellMar>
        </w:tblPrEx>
        <w:trPr>
          <w:trHeight w:val="2600" w:hRule="atLeast"/>
          <w:jc w:val="center"/>
        </w:trPr>
        <w:tc>
          <w:tcPr>
            <w:tcW w:w="680" w:type="dxa"/>
            <w:vMerge w:val="restart"/>
            <w:tcBorders>
              <w:top w:val="single" w:color="auto" w:sz="4" w:space="0"/>
              <w:left w:val="single" w:color="auto" w:sz="4" w:space="0"/>
              <w:right w:val="single" w:color="auto" w:sz="4" w:space="0"/>
            </w:tcBorders>
            <w:vAlign w:val="center"/>
          </w:tcPr>
          <w:p w14:paraId="268AEEBA">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0E393CAC">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技术部分（</w:t>
            </w:r>
            <w:r>
              <w:rPr>
                <w:rFonts w:hint="eastAsia" w:ascii="仿宋" w:hAnsi="仿宋" w:eastAsia="仿宋" w:cs="仿宋"/>
                <w:color w:val="auto"/>
                <w:kern w:val="0"/>
                <w:sz w:val="22"/>
                <w:szCs w:val="22"/>
                <w:highlight w:val="none"/>
                <w:lang w:val="en-US" w:eastAsia="zh-CN" w:bidi="ar"/>
              </w:rPr>
              <w:t>60</w:t>
            </w:r>
            <w:r>
              <w:rPr>
                <w:rFonts w:hint="eastAsia" w:ascii="仿宋" w:hAnsi="仿宋" w:eastAsia="仿宋" w:cs="仿宋"/>
                <w:color w:val="auto"/>
                <w:kern w:val="0"/>
                <w:sz w:val="22"/>
                <w:szCs w:val="22"/>
                <w:highlight w:val="none"/>
                <w:lang w:bidi="ar"/>
              </w:rPr>
              <w:t>%）</w:t>
            </w:r>
          </w:p>
        </w:tc>
        <w:tc>
          <w:tcPr>
            <w:tcW w:w="1369" w:type="dxa"/>
            <w:tcBorders>
              <w:top w:val="single" w:color="auto" w:sz="4" w:space="0"/>
              <w:left w:val="single" w:color="auto" w:sz="4" w:space="0"/>
              <w:bottom w:val="single" w:color="auto" w:sz="4" w:space="0"/>
              <w:right w:val="single" w:color="auto" w:sz="4" w:space="0"/>
            </w:tcBorders>
            <w:vAlign w:val="center"/>
          </w:tcPr>
          <w:p w14:paraId="2AEE1A5A">
            <w:pPr>
              <w:widowControl/>
              <w:spacing w:line="360" w:lineRule="auto"/>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勘察纲要</w:t>
            </w:r>
          </w:p>
          <w:p w14:paraId="67862A18">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25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749B0867">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1.勘察范围、勘察内容，勘察依据、勘察工作目标，合理、准确、符合项目要求，优得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分，未提供不得分。</w:t>
            </w:r>
          </w:p>
          <w:p w14:paraId="14FCE2B5">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2.勘察机构设置和岗位职责，合理、准确、符合项目要求，优得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2745E82B">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3.勘察说明和勘察方案，合理、准确、符合项目要求，优得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5F74873">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4.勘察质量、进度、保密等保证措施，合理、准确、符合项目要求，优得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38B9EE8">
            <w:pPr>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5.勘察安全保证措施，合理、准确、符合项目要求，优得优得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tc>
        <w:tc>
          <w:tcPr>
            <w:tcW w:w="2059" w:type="dxa"/>
            <w:vMerge w:val="restart"/>
            <w:tcBorders>
              <w:top w:val="single" w:color="auto" w:sz="4" w:space="0"/>
              <w:left w:val="single" w:color="auto" w:sz="4" w:space="0"/>
              <w:bottom w:val="single" w:color="auto" w:sz="4" w:space="0"/>
              <w:right w:val="single" w:color="auto" w:sz="4" w:space="0"/>
            </w:tcBorders>
            <w:vAlign w:val="center"/>
          </w:tcPr>
          <w:p w14:paraId="57FA2049">
            <w:pPr>
              <w:spacing w:line="276" w:lineRule="auto"/>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val="en-US" w:eastAsia="zh-CN" w:bidi="ar"/>
              </w:rPr>
              <w:t>供应商提供相关技术方案，竞采小组各成员横向对比有效供应商的方案情况并进行评比打分。（格式自拟）</w:t>
            </w:r>
          </w:p>
        </w:tc>
      </w:tr>
      <w:tr w14:paraId="3C768164">
        <w:tblPrEx>
          <w:tblCellMar>
            <w:top w:w="0" w:type="dxa"/>
            <w:left w:w="108" w:type="dxa"/>
            <w:bottom w:w="0" w:type="dxa"/>
            <w:right w:w="108" w:type="dxa"/>
          </w:tblCellMar>
        </w:tblPrEx>
        <w:trPr>
          <w:trHeight w:val="1465" w:hRule="atLeast"/>
          <w:jc w:val="center"/>
        </w:trPr>
        <w:tc>
          <w:tcPr>
            <w:tcW w:w="680" w:type="dxa"/>
            <w:vMerge w:val="continue"/>
            <w:tcBorders>
              <w:left w:val="single" w:color="auto" w:sz="4" w:space="0"/>
              <w:right w:val="single" w:color="auto" w:sz="4" w:space="0"/>
            </w:tcBorders>
            <w:vAlign w:val="center"/>
          </w:tcPr>
          <w:p w14:paraId="24BC368B">
            <w:pPr>
              <w:widowControl/>
              <w:spacing w:line="360" w:lineRule="auto"/>
              <w:jc w:val="center"/>
              <w:textAlignment w:val="center"/>
              <w:rPr>
                <w:rFonts w:hint="eastAsia" w:ascii="仿宋" w:hAnsi="仿宋" w:eastAsia="仿宋" w:cs="仿宋"/>
                <w:color w:val="auto"/>
                <w:kern w:val="0"/>
                <w:sz w:val="22"/>
                <w:szCs w:val="22"/>
                <w:highlight w:val="none"/>
                <w:lang w:bidi="ar"/>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53194AA2">
            <w:pPr>
              <w:widowControl/>
              <w:spacing w:line="360" w:lineRule="auto"/>
              <w:jc w:val="left"/>
              <w:textAlignment w:val="center"/>
              <w:rPr>
                <w:rFonts w:hint="eastAsia" w:ascii="仿宋" w:hAnsi="仿宋" w:eastAsia="仿宋" w:cs="仿宋"/>
                <w:color w:val="auto"/>
                <w:kern w:val="0"/>
                <w:sz w:val="22"/>
                <w:szCs w:val="22"/>
                <w:highlight w:val="none"/>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2A9CD7AD">
            <w:pPr>
              <w:spacing w:line="360" w:lineRule="auto"/>
              <w:jc w:val="center"/>
              <w:textAlignment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设计方案</w:t>
            </w:r>
          </w:p>
          <w:p w14:paraId="4AD37441">
            <w:pPr>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35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5771839C">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1.设计范围、设计内容，合理、准确、符合项目要求，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52678CD8">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2.设计依据、设计工作目标，合理、准确、符合项目要求，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3930DDF5">
            <w:pPr>
              <w:snapToGrid w:val="0"/>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3.设计机构设置和岗位职责，合理、准确、符合项目要求，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3A85F01E">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4.设计方案，合理、准确、符合项目要求，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288B0196">
            <w:pPr>
              <w:snapToGrid w:val="0"/>
              <w:spacing w:line="276"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5.设计质量、进度、安全、保密等保证措施，合理、准确、符合项目要求，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043E5E71">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6.设计工作重点、难点分析，合理、准确、符合项目要求，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p w14:paraId="7464EEF7">
            <w:pPr>
              <w:snapToGrid w:val="0"/>
              <w:spacing w:line="276" w:lineRule="auto"/>
              <w:ind w:firstLine="440" w:firstLineChars="200"/>
              <w:jc w:val="left"/>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7.合理化建议，合理、准确、符合项目要求，</w:t>
            </w:r>
            <w:r>
              <w:rPr>
                <w:rFonts w:hint="eastAsia" w:ascii="仿宋" w:hAnsi="仿宋" w:eastAsia="仿宋" w:cs="仿宋"/>
                <w:color w:val="auto"/>
                <w:sz w:val="22"/>
                <w:szCs w:val="22"/>
                <w:highlight w:val="none"/>
              </w:rPr>
              <w:t>优得优得</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3.5</w:t>
            </w:r>
            <w:r>
              <w:rPr>
                <w:rFonts w:hint="eastAsia" w:ascii="仿宋" w:hAnsi="仿宋" w:eastAsia="仿宋" w:cs="仿宋"/>
                <w:color w:val="auto"/>
                <w:sz w:val="22"/>
                <w:szCs w:val="22"/>
                <w:highlight w:val="none"/>
              </w:rPr>
              <w:t>分，一般得</w:t>
            </w:r>
            <w:r>
              <w:rPr>
                <w:rFonts w:hint="eastAsia" w:ascii="仿宋" w:hAnsi="仿宋" w:eastAsia="仿宋" w:cs="仿宋"/>
                <w:color w:val="auto"/>
                <w:sz w:val="22"/>
                <w:szCs w:val="22"/>
                <w:highlight w:val="none"/>
                <w:lang w:val="en-US" w:eastAsia="zh-CN"/>
              </w:rPr>
              <w:t>3.4</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分，差得</w:t>
            </w: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0.5</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未提供不得分。</w:t>
            </w: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7A662E9E">
            <w:pPr>
              <w:snapToGrid w:val="0"/>
              <w:spacing w:line="276" w:lineRule="auto"/>
              <w:jc w:val="left"/>
              <w:textAlignment w:val="center"/>
              <w:rPr>
                <w:rFonts w:hint="eastAsia" w:ascii="仿宋" w:hAnsi="仿宋" w:eastAsia="仿宋" w:cs="仿宋"/>
                <w:color w:val="auto"/>
                <w:kern w:val="0"/>
                <w:sz w:val="22"/>
                <w:szCs w:val="22"/>
                <w:highlight w:val="none"/>
                <w:lang w:bidi="ar"/>
              </w:rPr>
            </w:pPr>
          </w:p>
        </w:tc>
      </w:tr>
      <w:tr w14:paraId="3A8931C2">
        <w:tblPrEx>
          <w:tblCellMar>
            <w:top w:w="0" w:type="dxa"/>
            <w:left w:w="108" w:type="dxa"/>
            <w:bottom w:w="0" w:type="dxa"/>
            <w:right w:w="108" w:type="dxa"/>
          </w:tblCellMar>
        </w:tblPrEx>
        <w:trPr>
          <w:trHeight w:val="1386" w:hRule="atLeast"/>
          <w:jc w:val="center"/>
        </w:trPr>
        <w:tc>
          <w:tcPr>
            <w:tcW w:w="680" w:type="dxa"/>
            <w:vMerge w:val="restart"/>
            <w:tcBorders>
              <w:top w:val="single" w:color="auto" w:sz="4" w:space="0"/>
              <w:left w:val="single" w:color="auto" w:sz="4" w:space="0"/>
              <w:bottom w:val="single" w:color="auto" w:sz="4" w:space="0"/>
              <w:right w:val="single" w:color="auto" w:sz="4" w:space="0"/>
            </w:tcBorders>
            <w:vAlign w:val="center"/>
          </w:tcPr>
          <w:p w14:paraId="42EC954F">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3</w:t>
            </w:r>
          </w:p>
        </w:tc>
        <w:tc>
          <w:tcPr>
            <w:tcW w:w="1150" w:type="dxa"/>
            <w:vMerge w:val="restart"/>
            <w:tcBorders>
              <w:top w:val="single" w:color="auto" w:sz="4" w:space="0"/>
              <w:left w:val="single" w:color="auto" w:sz="4" w:space="0"/>
              <w:bottom w:val="single" w:color="auto" w:sz="4" w:space="0"/>
              <w:right w:val="single" w:color="auto" w:sz="4" w:space="0"/>
            </w:tcBorders>
            <w:vAlign w:val="center"/>
          </w:tcPr>
          <w:p w14:paraId="00DD390C">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商务部分（10%）</w:t>
            </w:r>
          </w:p>
        </w:tc>
        <w:tc>
          <w:tcPr>
            <w:tcW w:w="1369" w:type="dxa"/>
            <w:tcBorders>
              <w:top w:val="single" w:color="auto" w:sz="4" w:space="0"/>
              <w:left w:val="single" w:color="auto" w:sz="4" w:space="0"/>
              <w:bottom w:val="single" w:color="auto" w:sz="4" w:space="0"/>
              <w:right w:val="single" w:color="auto" w:sz="4" w:space="0"/>
            </w:tcBorders>
            <w:vAlign w:val="center"/>
          </w:tcPr>
          <w:p w14:paraId="71DB55D4">
            <w:pPr>
              <w:widowControl/>
              <w:spacing w:line="360" w:lineRule="auto"/>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设计项目负责人</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kern w:val="0"/>
                <w:sz w:val="22"/>
                <w:szCs w:val="22"/>
                <w:highlight w:val="none"/>
                <w:lang w:val="en-US" w:eastAsia="zh-CN" w:bidi="ar"/>
              </w:rPr>
              <w:t>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7D87846D">
            <w:pPr>
              <w:widowControl/>
              <w:spacing w:line="360" w:lineRule="auto"/>
              <w:ind w:firstLine="440" w:firstLineChars="200"/>
              <w:jc w:val="left"/>
              <w:textAlignment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具有注册土木工程师（</w:t>
            </w:r>
            <w:r>
              <w:rPr>
                <w:rFonts w:hint="eastAsia" w:ascii="仿宋" w:hAnsi="仿宋" w:eastAsia="仿宋" w:cs="仿宋"/>
                <w:color w:val="auto"/>
                <w:sz w:val="22"/>
                <w:szCs w:val="22"/>
                <w:highlight w:val="none"/>
                <w:lang w:eastAsia="zh-CN"/>
              </w:rPr>
              <w:t>建筑</w:t>
            </w:r>
            <w:r>
              <w:rPr>
                <w:rFonts w:hint="eastAsia" w:ascii="仿宋" w:hAnsi="仿宋" w:eastAsia="仿宋" w:cs="仿宋"/>
                <w:color w:val="auto"/>
                <w:sz w:val="22"/>
                <w:szCs w:val="22"/>
                <w:highlight w:val="none"/>
              </w:rPr>
              <w:t>工程）注册证且同时具备工程类高级工程师技术职称得5分</w:t>
            </w:r>
            <w:r>
              <w:rPr>
                <w:rFonts w:hint="eastAsia" w:ascii="仿宋" w:hAnsi="仿宋" w:eastAsia="仿宋" w:cs="仿宋"/>
                <w:color w:val="auto"/>
                <w:sz w:val="22"/>
                <w:szCs w:val="22"/>
                <w:highlight w:val="none"/>
                <w:lang w:eastAsia="zh-CN"/>
              </w:rPr>
              <w:t>，本项最多得</w:t>
            </w:r>
            <w:r>
              <w:rPr>
                <w:rFonts w:hint="eastAsia" w:ascii="仿宋" w:hAnsi="仿宋" w:eastAsia="仿宋" w:cs="仿宋"/>
                <w:color w:val="auto"/>
                <w:sz w:val="22"/>
                <w:szCs w:val="22"/>
                <w:highlight w:val="none"/>
                <w:lang w:val="en-US" w:eastAsia="zh-CN"/>
              </w:rPr>
              <w:t>5分。</w:t>
            </w:r>
          </w:p>
        </w:tc>
        <w:tc>
          <w:tcPr>
            <w:tcW w:w="2059" w:type="dxa"/>
            <w:vMerge w:val="restart"/>
            <w:tcBorders>
              <w:top w:val="single" w:color="auto" w:sz="4" w:space="0"/>
              <w:left w:val="single" w:color="auto" w:sz="4" w:space="0"/>
              <w:bottom w:val="single" w:color="auto" w:sz="4" w:space="0"/>
              <w:right w:val="single" w:color="auto" w:sz="4" w:space="0"/>
            </w:tcBorders>
            <w:vAlign w:val="center"/>
          </w:tcPr>
          <w:p w14:paraId="0870EA0B">
            <w:pPr>
              <w:widowControl/>
              <w:spacing w:line="360" w:lineRule="auto"/>
              <w:jc w:val="left"/>
              <w:textAlignment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提供身份证、注册证、职称证、供应商为其缴纳的开标前近</w:t>
            </w:r>
            <w:r>
              <w:rPr>
                <w:rFonts w:hint="eastAsia" w:ascii="仿宋" w:hAnsi="仿宋" w:eastAsia="仿宋" w:cs="仿宋"/>
                <w:color w:val="auto"/>
                <w:sz w:val="22"/>
                <w:szCs w:val="22"/>
                <w:highlight w:val="none"/>
                <w:lang w:val="en-US" w:eastAsia="zh-CN"/>
              </w:rPr>
              <w:t>3个月连续养老保险的缴费证明</w:t>
            </w:r>
            <w:r>
              <w:rPr>
                <w:rFonts w:hint="eastAsia" w:ascii="仿宋" w:hAnsi="仿宋" w:eastAsia="仿宋" w:cs="仿宋"/>
                <w:color w:val="auto"/>
                <w:sz w:val="22"/>
                <w:szCs w:val="22"/>
                <w:highlight w:val="none"/>
                <w:lang w:eastAsia="zh-CN"/>
              </w:rPr>
              <w:t>复印件，并加盖供应商单位公章。</w:t>
            </w:r>
          </w:p>
        </w:tc>
      </w:tr>
      <w:tr w14:paraId="263BC171">
        <w:tblPrEx>
          <w:tblCellMar>
            <w:top w:w="0" w:type="dxa"/>
            <w:left w:w="108" w:type="dxa"/>
            <w:bottom w:w="0" w:type="dxa"/>
            <w:right w:w="108" w:type="dxa"/>
          </w:tblCellMar>
        </w:tblPrEx>
        <w:trPr>
          <w:trHeight w:val="1563" w:hRule="atLeast"/>
          <w:jc w:val="center"/>
        </w:trPr>
        <w:tc>
          <w:tcPr>
            <w:tcW w:w="680" w:type="dxa"/>
            <w:vMerge w:val="continue"/>
            <w:tcBorders>
              <w:top w:val="single" w:color="auto" w:sz="4" w:space="0"/>
              <w:left w:val="single" w:color="auto" w:sz="4" w:space="0"/>
              <w:bottom w:val="single" w:color="auto" w:sz="4" w:space="0"/>
              <w:right w:val="single" w:color="auto" w:sz="4" w:space="0"/>
            </w:tcBorders>
            <w:vAlign w:val="center"/>
          </w:tcPr>
          <w:p w14:paraId="4D143AFE">
            <w:pPr>
              <w:widowControl/>
              <w:spacing w:line="360" w:lineRule="auto"/>
              <w:jc w:val="center"/>
              <w:textAlignment w:val="center"/>
              <w:rPr>
                <w:rFonts w:hint="eastAsia" w:ascii="仿宋" w:hAnsi="仿宋" w:eastAsia="仿宋" w:cs="仿宋"/>
                <w:color w:val="auto"/>
                <w:kern w:val="0"/>
                <w:sz w:val="22"/>
                <w:szCs w:val="22"/>
                <w:highlight w:val="yellow"/>
                <w:lang w:bidi="ar"/>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11D9E379">
            <w:pPr>
              <w:widowControl/>
              <w:spacing w:line="360" w:lineRule="auto"/>
              <w:jc w:val="left"/>
              <w:textAlignment w:val="center"/>
              <w:rPr>
                <w:rFonts w:hint="eastAsia" w:ascii="仿宋" w:hAnsi="仿宋" w:eastAsia="仿宋" w:cs="仿宋"/>
                <w:color w:val="auto"/>
                <w:kern w:val="0"/>
                <w:sz w:val="22"/>
                <w:szCs w:val="22"/>
                <w:highlight w:val="yellow"/>
                <w:lang w:bidi="ar"/>
              </w:rPr>
            </w:pPr>
          </w:p>
        </w:tc>
        <w:tc>
          <w:tcPr>
            <w:tcW w:w="1369" w:type="dxa"/>
            <w:tcBorders>
              <w:top w:val="single" w:color="auto" w:sz="4" w:space="0"/>
              <w:left w:val="single" w:color="auto" w:sz="4" w:space="0"/>
              <w:bottom w:val="single" w:color="auto" w:sz="4" w:space="0"/>
              <w:right w:val="single" w:color="auto" w:sz="4" w:space="0"/>
            </w:tcBorders>
            <w:vAlign w:val="center"/>
          </w:tcPr>
          <w:p w14:paraId="4EF26DDA">
            <w:pPr>
              <w:widowControl/>
              <w:spacing w:line="360" w:lineRule="auto"/>
              <w:jc w:val="center"/>
              <w:textAlignment w:val="center"/>
              <w:rPr>
                <w:rFonts w:hint="eastAsia" w:ascii="仿宋" w:hAnsi="仿宋" w:eastAsia="仿宋" w:cs="仿宋"/>
                <w:color w:val="auto"/>
                <w:kern w:val="0"/>
                <w:sz w:val="22"/>
                <w:szCs w:val="22"/>
                <w:highlight w:val="none"/>
                <w:lang w:bidi="ar"/>
              </w:rPr>
            </w:pPr>
            <w:r>
              <w:rPr>
                <w:rFonts w:hint="eastAsia" w:ascii="仿宋" w:hAnsi="仿宋" w:eastAsia="仿宋" w:cs="仿宋"/>
                <w:color w:val="auto"/>
                <w:kern w:val="0"/>
                <w:sz w:val="22"/>
                <w:szCs w:val="22"/>
                <w:highlight w:val="none"/>
                <w:lang w:bidi="ar"/>
              </w:rPr>
              <w:t>勘察项目负责人</w:t>
            </w:r>
            <w:r>
              <w:rPr>
                <w:rFonts w:hint="eastAsia" w:ascii="仿宋" w:hAnsi="仿宋" w:eastAsia="仿宋" w:cs="仿宋"/>
                <w:color w:val="auto"/>
                <w:kern w:val="0"/>
                <w:sz w:val="22"/>
                <w:szCs w:val="22"/>
                <w:highlight w:val="none"/>
                <w:lang w:eastAsia="zh-CN" w:bidi="ar"/>
              </w:rPr>
              <w:t>（</w:t>
            </w:r>
            <w:r>
              <w:rPr>
                <w:rFonts w:hint="eastAsia" w:ascii="仿宋" w:hAnsi="仿宋" w:eastAsia="仿宋" w:cs="仿宋"/>
                <w:color w:val="auto"/>
                <w:kern w:val="0"/>
                <w:sz w:val="22"/>
                <w:szCs w:val="22"/>
                <w:highlight w:val="none"/>
                <w:lang w:val="en-US" w:eastAsia="zh-CN" w:bidi="ar"/>
              </w:rPr>
              <w:t>5</w:t>
            </w:r>
            <w:r>
              <w:rPr>
                <w:rFonts w:hint="eastAsia" w:ascii="仿宋" w:hAnsi="仿宋" w:eastAsia="仿宋" w:cs="仿宋"/>
                <w:color w:val="auto"/>
                <w:kern w:val="0"/>
                <w:sz w:val="22"/>
                <w:szCs w:val="22"/>
                <w:highlight w:val="none"/>
                <w:lang w:bidi="ar"/>
              </w:rPr>
              <w:t>分</w:t>
            </w:r>
            <w:r>
              <w:rPr>
                <w:rFonts w:hint="eastAsia" w:ascii="仿宋" w:hAnsi="仿宋" w:eastAsia="仿宋" w:cs="仿宋"/>
                <w:color w:val="auto"/>
                <w:kern w:val="0"/>
                <w:sz w:val="22"/>
                <w:szCs w:val="22"/>
                <w:highlight w:val="none"/>
                <w:lang w:eastAsia="zh-CN" w:bidi="ar"/>
              </w:rPr>
              <w:t>）</w:t>
            </w:r>
          </w:p>
        </w:tc>
        <w:tc>
          <w:tcPr>
            <w:tcW w:w="5039" w:type="dxa"/>
            <w:tcBorders>
              <w:top w:val="single" w:color="auto" w:sz="4" w:space="0"/>
              <w:left w:val="single" w:color="auto" w:sz="4" w:space="0"/>
              <w:bottom w:val="single" w:color="auto" w:sz="4" w:space="0"/>
              <w:right w:val="single" w:color="auto" w:sz="4" w:space="0"/>
            </w:tcBorders>
            <w:vAlign w:val="center"/>
          </w:tcPr>
          <w:p w14:paraId="297BAAB5">
            <w:pPr>
              <w:widowControl/>
              <w:spacing w:line="360" w:lineRule="auto"/>
              <w:ind w:firstLine="440" w:firstLineChars="200"/>
              <w:jc w:val="left"/>
              <w:textAlignment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具有注册土木工程师（岩土工程）注册证且同时具备工程类高级工程师技术职称得5分</w:t>
            </w:r>
            <w:r>
              <w:rPr>
                <w:rFonts w:hint="eastAsia" w:ascii="仿宋" w:hAnsi="仿宋" w:eastAsia="仿宋" w:cs="仿宋"/>
                <w:color w:val="auto"/>
                <w:sz w:val="22"/>
                <w:szCs w:val="22"/>
                <w:highlight w:val="none"/>
                <w:lang w:eastAsia="zh-CN"/>
              </w:rPr>
              <w:t>，本项最多得</w:t>
            </w:r>
            <w:r>
              <w:rPr>
                <w:rFonts w:hint="eastAsia" w:ascii="仿宋" w:hAnsi="仿宋" w:eastAsia="仿宋" w:cs="仿宋"/>
                <w:color w:val="auto"/>
                <w:sz w:val="22"/>
                <w:szCs w:val="22"/>
                <w:highlight w:val="none"/>
                <w:lang w:val="en-US" w:eastAsia="zh-CN"/>
              </w:rPr>
              <w:t>5分。</w:t>
            </w:r>
          </w:p>
        </w:tc>
        <w:tc>
          <w:tcPr>
            <w:tcW w:w="2059" w:type="dxa"/>
            <w:vMerge w:val="continue"/>
            <w:tcBorders>
              <w:top w:val="single" w:color="auto" w:sz="4" w:space="0"/>
              <w:left w:val="single" w:color="auto" w:sz="4" w:space="0"/>
              <w:bottom w:val="single" w:color="auto" w:sz="4" w:space="0"/>
              <w:right w:val="single" w:color="auto" w:sz="4" w:space="0"/>
            </w:tcBorders>
            <w:vAlign w:val="center"/>
          </w:tcPr>
          <w:p w14:paraId="0DF7646B">
            <w:pPr>
              <w:spacing w:line="360" w:lineRule="auto"/>
              <w:jc w:val="left"/>
              <w:rPr>
                <w:rFonts w:hint="eastAsia" w:ascii="仿宋" w:hAnsi="仿宋" w:eastAsia="仿宋" w:cs="仿宋"/>
                <w:color w:val="auto"/>
                <w:kern w:val="0"/>
                <w:sz w:val="22"/>
                <w:szCs w:val="22"/>
                <w:highlight w:val="yellow"/>
                <w:lang w:bidi="ar"/>
              </w:rPr>
            </w:pPr>
          </w:p>
        </w:tc>
      </w:tr>
    </w:tbl>
    <w:p w14:paraId="596EC3E1">
      <w:pPr>
        <w:snapToGrid w:val="0"/>
        <w:spacing w:line="38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AEB80AD">
      <w:pPr>
        <w:snapToGrid w:val="0"/>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审小组认为供应商的报价明显低于其他通过符合性审查供应商的报价，有可能影响产品质量或者不能诚信履约的，应当要求其在规定的期限内提供书面说明，必要时提交相关证明材料；供应商不能证明其报价合理性的，评审小组应当将其作为无效响应处理，有效供应商不足三家时，本次竞标无效，重新进行竞标。</w:t>
      </w:r>
    </w:p>
    <w:p w14:paraId="267FFD5D">
      <w:pPr>
        <w:widowControl/>
        <w:tabs>
          <w:tab w:val="left" w:pos="371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（二）有下列情况之一者竞争性比选文件无效：</w:t>
      </w:r>
    </w:p>
    <w:p w14:paraId="327F9A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响应文件未按比选文件要求签署、盖章的；</w:t>
      </w:r>
    </w:p>
    <w:p w14:paraId="517C25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不具备比选文件中规定的资格要求的；</w:t>
      </w:r>
    </w:p>
    <w:p w14:paraId="6593B2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报价超过比选文件中规定的预算金额或者最高限价的；</w:t>
      </w:r>
    </w:p>
    <w:p w14:paraId="7AF789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响应文件含有</w:t>
      </w:r>
      <w:r>
        <w:rPr>
          <w:rFonts w:hint="eastAsia" w:ascii="仿宋" w:hAnsi="仿宋" w:eastAsia="仿宋" w:cs="仿宋"/>
          <w:color w:val="auto"/>
          <w:sz w:val="24"/>
          <w:szCs w:val="24"/>
          <w:highlight w:val="none"/>
          <w:lang w:eastAsia="zh-CN"/>
        </w:rPr>
        <w:t>比选人</w:t>
      </w:r>
      <w:r>
        <w:rPr>
          <w:rFonts w:hint="eastAsia" w:ascii="仿宋" w:hAnsi="仿宋" w:eastAsia="仿宋" w:cs="仿宋"/>
          <w:color w:val="auto"/>
          <w:sz w:val="24"/>
          <w:szCs w:val="24"/>
          <w:highlight w:val="none"/>
        </w:rPr>
        <w:t>不能接受的附加条件的；</w:t>
      </w:r>
    </w:p>
    <w:p w14:paraId="5E2B89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5.供应商</w:t>
      </w:r>
      <w:r>
        <w:rPr>
          <w:rFonts w:hint="eastAsia" w:ascii="仿宋" w:hAnsi="仿宋" w:eastAsia="仿宋" w:cs="仿宋"/>
          <w:color w:val="auto"/>
          <w:sz w:val="24"/>
          <w:szCs w:val="24"/>
          <w:highlight w:val="none"/>
        </w:rPr>
        <w:t>串通投标的；</w:t>
      </w:r>
    </w:p>
    <w:p w14:paraId="24FACA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6.法律法规</w:t>
      </w:r>
      <w:r>
        <w:rPr>
          <w:rFonts w:hint="eastAsia" w:ascii="仿宋" w:hAnsi="仿宋" w:eastAsia="仿宋" w:cs="仿宋"/>
          <w:color w:val="auto"/>
          <w:sz w:val="24"/>
          <w:szCs w:val="24"/>
          <w:highlight w:val="none"/>
        </w:rPr>
        <w:t>和比选文件规定的其他无效情形。</w:t>
      </w:r>
    </w:p>
    <w:p w14:paraId="221FDAD4">
      <w:pPr>
        <w:widowControl/>
        <w:tabs>
          <w:tab w:val="left" w:pos="371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（三）如有下列情况之一为废标，比选人应当终止竞争性比选活动，发布项目终止公告并说明原因，重新开展比选活动：</w:t>
      </w:r>
    </w:p>
    <w:p w14:paraId="3162C5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出现影响比选公正的违法、违规行为的；</w:t>
      </w:r>
    </w:p>
    <w:p w14:paraId="5F8771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在比选过程中符合要求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p>
    <w:p w14:paraId="51C0BE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因重大变故，采购任务取消的。</w:t>
      </w:r>
      <w:bookmarkEnd w:id="56"/>
      <w:bookmarkEnd w:id="57"/>
      <w:bookmarkEnd w:id="58"/>
      <w:bookmarkStart w:id="59" w:name="_Toc102227313"/>
      <w:bookmarkStart w:id="60" w:name="_Toc3179"/>
    </w:p>
    <w:p w14:paraId="74EF2380">
      <w:pPr>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0A686C5">
      <w:pPr>
        <w:pStyle w:val="3"/>
        <w:spacing w:before="0" w:after="0" w:line="360" w:lineRule="auto"/>
        <w:jc w:val="center"/>
        <w:rPr>
          <w:rFonts w:hint="eastAsia" w:ascii="仿宋" w:hAnsi="仿宋" w:eastAsia="仿宋" w:cs="仿宋"/>
          <w:color w:val="auto"/>
          <w:sz w:val="24"/>
          <w:szCs w:val="24"/>
          <w:highlight w:val="none"/>
        </w:rPr>
      </w:pPr>
      <w:bookmarkStart w:id="61" w:name="_Toc212456864"/>
      <w:r>
        <w:rPr>
          <w:rFonts w:hint="eastAsia" w:ascii="仿宋" w:hAnsi="仿宋" w:eastAsia="仿宋" w:cs="仿宋"/>
          <w:bCs/>
          <w:color w:val="auto"/>
          <w:sz w:val="36"/>
          <w:szCs w:val="36"/>
          <w:highlight w:val="none"/>
        </w:rPr>
        <w:t>第五篇 竞争性比选须知</w:t>
      </w:r>
      <w:bookmarkEnd w:id="61"/>
    </w:p>
    <w:p w14:paraId="31F4D1E5">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一、竞争性比选文件</w:t>
      </w:r>
    </w:p>
    <w:p w14:paraId="066B7EB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1.竞争性比选文件由以下部分和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应按照“响应文件格式”规定的格式编写。应包括：</w:t>
      </w:r>
    </w:p>
    <w:p w14:paraId="472B7C02">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（1）经济部分；</w:t>
      </w:r>
    </w:p>
    <w:p w14:paraId="0BAFD4ED">
      <w:pPr>
        <w:pStyle w:val="11"/>
        <w:tabs>
          <w:tab w:val="left" w:pos="948"/>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w:t>
      </w:r>
    </w:p>
    <w:p w14:paraId="6982FC92">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（3）商务部分；</w:t>
      </w:r>
    </w:p>
    <w:p w14:paraId="0DF30C6D">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（4）资格条件及其他；</w:t>
      </w:r>
    </w:p>
    <w:p w14:paraId="10BF216E">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（5）其他应提供的资料</w:t>
      </w:r>
      <w:r>
        <w:rPr>
          <w:rFonts w:hint="eastAsia" w:ascii="仿宋" w:hAnsi="仿宋" w:eastAsia="仿宋" w:cs="仿宋"/>
          <w:color w:val="auto"/>
          <w:sz w:val="24"/>
          <w:szCs w:val="24"/>
          <w:highlight w:val="none"/>
          <w:lang w:eastAsia="zh-CN"/>
        </w:rPr>
        <w:t>；</w:t>
      </w:r>
    </w:p>
    <w:p w14:paraId="35F65A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2.报价要求</w:t>
      </w:r>
    </w:p>
    <w:p w14:paraId="3EA8F63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（1）应严格按照《竞争性比选文件格式》认真填写</w:t>
      </w:r>
      <w:r>
        <w:rPr>
          <w:rFonts w:hint="eastAsia" w:ascii="仿宋" w:hAnsi="仿宋" w:eastAsia="仿宋" w:cs="仿宋"/>
          <w:color w:val="auto"/>
          <w:sz w:val="24"/>
          <w:szCs w:val="24"/>
          <w:highlight w:val="none"/>
          <w:lang w:eastAsia="zh-CN"/>
        </w:rPr>
        <w:t>；</w:t>
      </w:r>
    </w:p>
    <w:p w14:paraId="34C4F8CC">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（2）本项目报价包含完成项目全部费用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自身原因造成漏报、少报皆由其自行承担责任，比选人不再补偿。</w:t>
      </w:r>
    </w:p>
    <w:p w14:paraId="60BBBBCB">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（3）本项目只接受一个方案报价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多个方案报价的将不予接受。</w:t>
      </w:r>
    </w:p>
    <w:p w14:paraId="12283CE4">
      <w:pPr>
        <w:pStyle w:val="11"/>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（4）竞争性比选</w:t>
      </w:r>
      <w:r>
        <w:rPr>
          <w:rFonts w:hint="eastAsia" w:ascii="仿宋" w:hAnsi="仿宋" w:eastAsia="仿宋" w:cs="仿宋"/>
          <w:color w:val="auto"/>
          <w:sz w:val="24"/>
          <w:szCs w:val="24"/>
          <w:highlight w:val="none"/>
          <w:lang w:eastAsia="zh-CN"/>
        </w:rPr>
        <w:t>文件《明细报价表》</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的单价</w:t>
      </w:r>
      <w:r>
        <w:rPr>
          <w:rFonts w:hint="eastAsia" w:ascii="仿宋" w:hAnsi="仿宋" w:eastAsia="仿宋" w:cs="仿宋"/>
          <w:color w:val="auto"/>
          <w:sz w:val="24"/>
          <w:szCs w:val="24"/>
          <w:highlight w:val="none"/>
        </w:rPr>
        <w:t>报价必须</w:t>
      </w:r>
      <w:r>
        <w:rPr>
          <w:rFonts w:hint="eastAsia" w:ascii="仿宋" w:hAnsi="仿宋" w:eastAsia="仿宋" w:cs="仿宋"/>
          <w:color w:val="auto"/>
          <w:sz w:val="24"/>
          <w:szCs w:val="24"/>
          <w:highlight w:val="none"/>
          <w:lang w:eastAsia="zh-CN"/>
        </w:rPr>
        <w:t>符合</w:t>
      </w:r>
      <w:r>
        <w:rPr>
          <w:rFonts w:hint="eastAsia" w:ascii="仿宋" w:hAnsi="仿宋" w:eastAsia="仿宋" w:cs="仿宋"/>
          <w:color w:val="auto"/>
          <w:sz w:val="24"/>
          <w:szCs w:val="24"/>
          <w:highlight w:val="none"/>
        </w:rPr>
        <w:t>竞争性比选文件要求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总价金额与按单价汇总金额必须保持一致。</w:t>
      </w:r>
    </w:p>
    <w:p w14:paraId="4ECC25CF">
      <w:pPr>
        <w:pStyle w:val="11"/>
        <w:spacing w:line="360" w:lineRule="auto"/>
        <w:ind w:left="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二、竞争性比选文件的份数和签署</w:t>
      </w:r>
    </w:p>
    <w:p w14:paraId="27E52A72">
      <w:pPr>
        <w:spacing w:line="360" w:lineRule="auto"/>
        <w:ind w:firstLine="480" w:firstLineChars="200"/>
        <w:rPr>
          <w:rFonts w:hint="eastAsia" w:ascii="仿宋" w:hAnsi="仿宋" w:eastAsia="仿宋" w:cs="仿宋"/>
          <w:color w:val="auto"/>
          <w:sz w:val="24"/>
          <w:szCs w:val="24"/>
          <w:highlight w:val="none"/>
        </w:rPr>
      </w:pPr>
      <w:bookmarkStart w:id="62" w:name="_Toc187655634"/>
      <w:bookmarkStart w:id="63" w:name="_Toc494374942"/>
      <w:r>
        <w:rPr>
          <w:rFonts w:hint="eastAsia" w:ascii="仿宋" w:hAnsi="仿宋" w:eastAsia="仿宋" w:cs="仿宋"/>
          <w:color w:val="auto"/>
          <w:sz w:val="24"/>
          <w:szCs w:val="24"/>
          <w:highlight w:val="none"/>
          <w:lang w:eastAsia="zh-CN"/>
        </w:rPr>
        <w:t>1.供应商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highlight w:val="none"/>
        </w:rPr>
        <w:t>行采家-电子竞采（www.gec123.com/xe/）平台上</w:t>
      </w:r>
      <w:r>
        <w:rPr>
          <w:rFonts w:hint="eastAsia" w:ascii="仿宋" w:hAnsi="仿宋" w:eastAsia="仿宋" w:cs="仿宋"/>
          <w:color w:val="auto"/>
          <w:sz w:val="24"/>
          <w:szCs w:val="24"/>
          <w:highlight w:val="none"/>
        </w:rPr>
        <w:t>须上传本项目的响应文件一份</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highlight w:val="none"/>
        </w:rPr>
        <w:t>行采家-电子竞采（www.gec123.com/xe/）平台上的报价必须与上传的响应文件中的报价一致，否则，按无效</w:t>
      </w:r>
      <w:r>
        <w:rPr>
          <w:rFonts w:hint="eastAsia" w:ascii="仿宋" w:hAnsi="仿宋" w:eastAsia="仿宋" w:cs="仿宋"/>
          <w:color w:val="auto"/>
          <w:sz w:val="24"/>
          <w:highlight w:val="none"/>
          <w:lang w:eastAsia="zh-CN"/>
        </w:rPr>
        <w:t>竞</w:t>
      </w:r>
      <w:r>
        <w:rPr>
          <w:rFonts w:hint="eastAsia" w:ascii="仿宋" w:hAnsi="仿宋" w:eastAsia="仿宋" w:cs="仿宋"/>
          <w:color w:val="auto"/>
          <w:sz w:val="24"/>
          <w:highlight w:val="none"/>
        </w:rPr>
        <w:t>标处理。</w:t>
      </w:r>
    </w:p>
    <w:p w14:paraId="712E10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2.供应商</w:t>
      </w:r>
      <w:r>
        <w:rPr>
          <w:rFonts w:hint="eastAsia" w:ascii="仿宋" w:hAnsi="仿宋" w:eastAsia="仿宋" w:cs="仿宋"/>
          <w:color w:val="auto"/>
          <w:sz w:val="24"/>
          <w:szCs w:val="24"/>
          <w:highlight w:val="none"/>
        </w:rPr>
        <w:t>的响应文件应按照比选文件要求制作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要求签字、盖章的地方必须按规定签字、盖章，并扫描成PDF格式电子文档上传至</w:t>
      </w:r>
      <w:r>
        <w:rPr>
          <w:rFonts w:hint="eastAsia" w:ascii="仿宋" w:hAnsi="仿宋" w:eastAsia="仿宋" w:cs="仿宋"/>
          <w:color w:val="auto"/>
          <w:sz w:val="24"/>
          <w:highlight w:val="none"/>
        </w:rPr>
        <w:t>行采家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电子竞采平台</w:t>
      </w:r>
      <w:r>
        <w:rPr>
          <w:rFonts w:hint="eastAsia" w:ascii="仿宋" w:hAnsi="仿宋" w:eastAsia="仿宋" w:cs="仿宋"/>
          <w:color w:val="auto"/>
          <w:sz w:val="24"/>
          <w:szCs w:val="24"/>
          <w:highlight w:val="none"/>
        </w:rPr>
        <w:t>，扫描件须清晰可辨，未按要求制作的文件按无效</w:t>
      </w:r>
      <w:r>
        <w:rPr>
          <w:rFonts w:hint="eastAsia" w:ascii="仿宋" w:hAnsi="仿宋" w:eastAsia="仿宋" w:cs="仿宋"/>
          <w:color w:val="auto"/>
          <w:sz w:val="24"/>
          <w:szCs w:val="24"/>
          <w:highlight w:val="none"/>
          <w:lang w:eastAsia="zh-CN"/>
        </w:rPr>
        <w:t>竞</w:t>
      </w:r>
      <w:r>
        <w:rPr>
          <w:rFonts w:hint="eastAsia" w:ascii="仿宋" w:hAnsi="仿宋" w:eastAsia="仿宋" w:cs="仿宋"/>
          <w:color w:val="auto"/>
          <w:sz w:val="24"/>
          <w:szCs w:val="24"/>
          <w:highlight w:val="none"/>
        </w:rPr>
        <w:t>标处理。</w:t>
      </w:r>
    </w:p>
    <w:p w14:paraId="3D157F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highlight w:val="none"/>
        </w:rPr>
        <w:t>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参与本项目的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除应按要求在行采家-电子竞采（www.gec123.com/xe/）平台上传响应文件外，还应当</w:t>
      </w:r>
      <w:r>
        <w:rPr>
          <w:rFonts w:hint="eastAsia" w:ascii="仿宋" w:hAnsi="仿宋" w:eastAsia="仿宋" w:cs="仿宋"/>
          <w:color w:val="auto"/>
          <w:sz w:val="24"/>
          <w:szCs w:val="24"/>
          <w:highlight w:val="none"/>
        </w:rPr>
        <w:t>线下递交响应文件纸质版一式两份，其中正本一份，副本一份，每套纸质响应文件须在封面清楚地标明“正本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副本”，副本应为正本的完整复印件，副本与正本不一致时以正本为准。</w:t>
      </w:r>
    </w:p>
    <w:p w14:paraId="3D2C6D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在响应文件正本中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比选文件第七篇“响应文件编制要求”格式中规定签字、盖章的地方必须按其规定签字、盖章。</w:t>
      </w:r>
    </w:p>
    <w:p w14:paraId="2804A3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响应文件应按照第七篇“响应文件编制要求”规定的目录顺序组织编写和装订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同时应编制完整的目录、页码。</w:t>
      </w:r>
    </w:p>
    <w:p w14:paraId="6309C0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以线下递交的纸质版响应文件作为评审依据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纸质版响应文件的总报价应与行采家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电子竞采平台上的总报价一致，否则，按无效</w:t>
      </w:r>
      <w:r>
        <w:rPr>
          <w:rFonts w:hint="eastAsia" w:ascii="仿宋" w:hAnsi="仿宋" w:eastAsia="仿宋" w:cs="仿宋"/>
          <w:color w:val="auto"/>
          <w:sz w:val="24"/>
          <w:highlight w:val="none"/>
          <w:lang w:eastAsia="zh-CN"/>
        </w:rPr>
        <w:t>竞</w:t>
      </w:r>
      <w:r>
        <w:rPr>
          <w:rFonts w:hint="eastAsia" w:ascii="仿宋" w:hAnsi="仿宋" w:eastAsia="仿宋" w:cs="仿宋"/>
          <w:color w:val="auto"/>
          <w:sz w:val="24"/>
          <w:highlight w:val="none"/>
        </w:rPr>
        <w:t>标处理。</w:t>
      </w:r>
    </w:p>
    <w:p w14:paraId="31044050">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三、签订合同</w:t>
      </w:r>
      <w:bookmarkEnd w:id="62"/>
      <w:bookmarkEnd w:id="63"/>
    </w:p>
    <w:p w14:paraId="6496E7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1.竞争性比选结束后，成交人应于取得成交通知书后30日内按要求与比选人签订书面合同。</w:t>
      </w:r>
    </w:p>
    <w:p w14:paraId="04C581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的响应文件及有效承诺文件等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均为签订合同的依据。</w:t>
      </w:r>
    </w:p>
    <w:p w14:paraId="7B811FA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放弃成交项目或在签订合同时擅自改变</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状态的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将取消其</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资格。</w:t>
      </w:r>
    </w:p>
    <w:p w14:paraId="3E302C05">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四、竞争性比选代理服务费</w:t>
      </w:r>
    </w:p>
    <w:p w14:paraId="0CE756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代理服务费实际金额以项目</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金额为取费基数，代理服务费标准为成交金额的1%，不足3000元按3000元计取，由</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在领取成交通知书时一次性支付。</w:t>
      </w:r>
    </w:p>
    <w:bookmarkEnd w:id="59"/>
    <w:bookmarkEnd w:id="60"/>
    <w:p w14:paraId="7154798C">
      <w:pPr>
        <w:spacing w:line="360" w:lineRule="auto"/>
        <w:ind w:firstLine="480" w:firstLineChars="200"/>
        <w:rPr>
          <w:rFonts w:hint="eastAsia" w:ascii="仿宋" w:hAnsi="仿宋" w:eastAsia="仿宋" w:cs="仿宋"/>
          <w:color w:val="auto"/>
          <w:sz w:val="24"/>
          <w:szCs w:val="24"/>
          <w:highlight w:val="none"/>
        </w:rPr>
      </w:pPr>
      <w:bookmarkStart w:id="64" w:name="_Toc342913395"/>
      <w:bookmarkStart w:id="65" w:name="_Toc29659"/>
      <w:bookmarkStart w:id="66" w:name="_Toc102227321"/>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重庆丰盾工程管理咨询有限公司</w:t>
      </w:r>
    </w:p>
    <w:p w14:paraId="3516E7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重庆农村商业银行股份有限公司大渡口支行八桥分理处</w:t>
      </w:r>
    </w:p>
    <w:p w14:paraId="59AD5C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lang w:val="en-US" w:eastAsia="zh-CN"/>
        </w:rPr>
        <w:t>0502020120010000708</w:t>
      </w:r>
    </w:p>
    <w:p w14:paraId="4FBDE1F7">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eastAsia="zh-CN"/>
        </w:rPr>
        <w:t>成交</w:t>
      </w:r>
      <w:r>
        <w:rPr>
          <w:rFonts w:hint="eastAsia" w:ascii="仿宋" w:hAnsi="仿宋" w:eastAsia="仿宋" w:cs="仿宋"/>
          <w:b/>
          <w:bCs/>
          <w:color w:val="auto"/>
          <w:sz w:val="24"/>
          <w:szCs w:val="24"/>
          <w:highlight w:val="none"/>
        </w:rPr>
        <w:t>通知</w:t>
      </w:r>
      <w:bookmarkEnd w:id="64"/>
      <w:bookmarkEnd w:id="65"/>
      <w:bookmarkEnd w:id="66"/>
    </w:p>
    <w:p w14:paraId="22D8C0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确定后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比选代理机构将在</w:t>
      </w:r>
      <w:r>
        <w:rPr>
          <w:rFonts w:hint="eastAsia" w:ascii="仿宋" w:hAnsi="仿宋" w:eastAsia="仿宋" w:cs="仿宋"/>
          <w:color w:val="auto"/>
          <w:sz w:val="24"/>
          <w:szCs w:val="24"/>
          <w:highlight w:val="none"/>
          <w:lang w:val="zh-TW"/>
        </w:rPr>
        <w:t>行采家（</w:t>
      </w:r>
      <w:r>
        <w:rPr>
          <w:rFonts w:hint="eastAsia" w:ascii="仿宋" w:hAnsi="仿宋" w:eastAsia="仿宋" w:cs="仿宋"/>
          <w:color w:val="auto"/>
          <w:sz w:val="24"/>
          <w:szCs w:val="24"/>
          <w:highlight w:val="none"/>
        </w:rPr>
        <w:t>www.gec123.com）发布成交结果公告。</w:t>
      </w:r>
    </w:p>
    <w:p w14:paraId="0A300D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比选代理机构将以书面形式发出《</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》一经发出即发生法律效力。</w:t>
      </w:r>
    </w:p>
    <w:p w14:paraId="50ADC84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成交通知书</w:t>
      </w:r>
      <w:r>
        <w:rPr>
          <w:rFonts w:hint="eastAsia" w:ascii="仿宋" w:hAnsi="仿宋" w:eastAsia="仿宋" w:cs="仿宋"/>
          <w:color w:val="auto"/>
          <w:sz w:val="24"/>
          <w:szCs w:val="24"/>
          <w:highlight w:val="none"/>
        </w:rPr>
        <w:t>》将作为签订合同的依据</w:t>
      </w:r>
      <w:r>
        <w:rPr>
          <w:rFonts w:hint="eastAsia" w:ascii="仿宋" w:hAnsi="仿宋" w:eastAsia="仿宋" w:cs="仿宋"/>
          <w:color w:val="auto"/>
          <w:sz w:val="24"/>
          <w:szCs w:val="24"/>
          <w:highlight w:val="none"/>
          <w:lang w:eastAsia="zh-CN"/>
        </w:rPr>
        <w:t>；</w:t>
      </w:r>
    </w:p>
    <w:p w14:paraId="367D280D">
      <w:pPr>
        <w:rPr>
          <w:rFonts w:hint="eastAsia" w:ascii="仿宋" w:hAnsi="仿宋" w:eastAsia="仿宋" w:cs="仿宋"/>
          <w:b/>
          <w:bCs/>
          <w:color w:val="auto"/>
          <w:sz w:val="36"/>
          <w:szCs w:val="36"/>
          <w:highlight w:val="none"/>
        </w:rPr>
      </w:pPr>
      <w:bookmarkStart w:id="67" w:name="_Hlt41879464"/>
      <w:bookmarkEnd w:id="67"/>
      <w:bookmarkStart w:id="68" w:name="_Toc95394204"/>
      <w:bookmarkStart w:id="69" w:name="_Toc15060"/>
      <w:bookmarkStart w:id="70" w:name="_Toc17238"/>
      <w:bookmarkStart w:id="71" w:name="_Toc28397"/>
      <w:r>
        <w:rPr>
          <w:rFonts w:hint="eastAsia" w:ascii="仿宋" w:hAnsi="仿宋" w:eastAsia="仿宋" w:cs="仿宋"/>
          <w:b/>
          <w:bCs/>
          <w:color w:val="auto"/>
          <w:sz w:val="36"/>
          <w:szCs w:val="36"/>
          <w:highlight w:val="none"/>
        </w:rPr>
        <w:br w:type="page"/>
      </w:r>
    </w:p>
    <w:p w14:paraId="31A49891">
      <w:pPr>
        <w:pStyle w:val="10"/>
        <w:rPr>
          <w:rFonts w:hint="eastAsia"/>
          <w:color w:val="auto"/>
          <w:highlight w:val="none"/>
        </w:rPr>
      </w:pPr>
    </w:p>
    <w:p w14:paraId="6207806F">
      <w:pPr>
        <w:pStyle w:val="3"/>
        <w:spacing w:before="0" w:after="0" w:line="360" w:lineRule="auto"/>
        <w:jc w:val="center"/>
        <w:rPr>
          <w:rFonts w:hint="eastAsia" w:ascii="仿宋" w:hAnsi="仿宋" w:eastAsia="仿宋" w:cs="仿宋"/>
          <w:bCs/>
          <w:color w:val="auto"/>
          <w:sz w:val="36"/>
          <w:szCs w:val="36"/>
          <w:highlight w:val="none"/>
        </w:rPr>
      </w:pPr>
      <w:bookmarkStart w:id="72" w:name="_Toc212456865"/>
      <w:r>
        <w:rPr>
          <w:rFonts w:hint="eastAsia" w:ascii="仿宋" w:hAnsi="仿宋" w:eastAsia="仿宋" w:cs="仿宋"/>
          <w:bCs/>
          <w:color w:val="auto"/>
          <w:sz w:val="36"/>
          <w:szCs w:val="36"/>
          <w:highlight w:val="none"/>
        </w:rPr>
        <w:t xml:space="preserve">第六篇 </w:t>
      </w:r>
      <w:bookmarkEnd w:id="68"/>
      <w:bookmarkEnd w:id="69"/>
      <w:r>
        <w:rPr>
          <w:rFonts w:hint="eastAsia" w:ascii="仿宋" w:hAnsi="仿宋" w:eastAsia="仿宋" w:cs="仿宋"/>
          <w:bCs/>
          <w:color w:val="auto"/>
          <w:sz w:val="36"/>
          <w:szCs w:val="36"/>
          <w:highlight w:val="none"/>
        </w:rPr>
        <w:t>合同格式</w:t>
      </w:r>
      <w:bookmarkEnd w:id="70"/>
      <w:r>
        <w:rPr>
          <w:rFonts w:hint="eastAsia" w:ascii="仿宋" w:hAnsi="仿宋" w:eastAsia="仿宋" w:cs="仿宋"/>
          <w:bCs/>
          <w:color w:val="auto"/>
          <w:sz w:val="36"/>
          <w:szCs w:val="36"/>
          <w:highlight w:val="none"/>
        </w:rPr>
        <w:t>自拟</w:t>
      </w:r>
      <w:bookmarkEnd w:id="72"/>
    </w:p>
    <w:p w14:paraId="66B6C985">
      <w:pPr>
        <w:pStyle w:val="3"/>
        <w:spacing w:before="0" w:after="0" w:line="360" w:lineRule="auto"/>
        <w:jc w:val="center"/>
        <w:rPr>
          <w:rFonts w:hint="eastAsia" w:ascii="仿宋" w:hAnsi="仿宋" w:eastAsia="仿宋" w:cs="仿宋"/>
          <w:b w:val="0"/>
          <w:color w:val="auto"/>
          <w:sz w:val="24"/>
          <w:szCs w:val="24"/>
          <w:highlight w:val="none"/>
        </w:rPr>
      </w:pPr>
    </w:p>
    <w:p w14:paraId="6D0505F2">
      <w:pPr>
        <w:pStyle w:val="3"/>
        <w:spacing w:before="0" w:after="0" w:line="360" w:lineRule="auto"/>
        <w:rPr>
          <w:rFonts w:hint="eastAsia" w:ascii="仿宋" w:hAnsi="仿宋" w:eastAsia="仿宋" w:cs="仿宋"/>
          <w:b w:val="0"/>
          <w:color w:val="auto"/>
          <w:sz w:val="24"/>
          <w:szCs w:val="24"/>
          <w:highlight w:val="none"/>
        </w:rPr>
      </w:pPr>
    </w:p>
    <w:p w14:paraId="1B6116FD">
      <w:pPr>
        <w:spacing w:line="360" w:lineRule="auto"/>
        <w:rPr>
          <w:rFonts w:hint="eastAsia" w:ascii="仿宋" w:hAnsi="仿宋" w:eastAsia="仿宋" w:cs="仿宋"/>
          <w:color w:val="auto"/>
          <w:sz w:val="24"/>
          <w:szCs w:val="24"/>
          <w:highlight w:val="none"/>
        </w:rPr>
      </w:pPr>
    </w:p>
    <w:p w14:paraId="54325E0A">
      <w:pPr>
        <w:pStyle w:val="3"/>
        <w:spacing w:before="0" w:after="0" w:line="360" w:lineRule="auto"/>
        <w:jc w:val="center"/>
        <w:rPr>
          <w:rFonts w:hint="eastAsia" w:ascii="仿宋" w:hAnsi="仿宋" w:eastAsia="仿宋" w:cs="仿宋"/>
          <w:b w:val="0"/>
          <w:color w:val="auto"/>
          <w:sz w:val="24"/>
          <w:szCs w:val="24"/>
          <w:highlight w:val="none"/>
        </w:rPr>
      </w:pPr>
    </w:p>
    <w:p w14:paraId="6FBB1B25">
      <w:pPr>
        <w:spacing w:line="360" w:lineRule="auto"/>
        <w:rPr>
          <w:rFonts w:hint="eastAsia" w:ascii="仿宋" w:hAnsi="仿宋" w:eastAsia="仿宋" w:cs="仿宋"/>
          <w:b/>
          <w:color w:val="auto"/>
          <w:sz w:val="24"/>
          <w:szCs w:val="24"/>
          <w:highlight w:val="none"/>
        </w:rPr>
      </w:pPr>
    </w:p>
    <w:p w14:paraId="4B21A769">
      <w:pPr>
        <w:pStyle w:val="4"/>
        <w:spacing w:line="360" w:lineRule="auto"/>
        <w:rPr>
          <w:rFonts w:hint="eastAsia" w:ascii="仿宋" w:hAnsi="仿宋" w:eastAsia="仿宋" w:cs="仿宋"/>
          <w:color w:val="auto"/>
          <w:sz w:val="24"/>
          <w:szCs w:val="24"/>
          <w:highlight w:val="none"/>
        </w:rPr>
      </w:pPr>
    </w:p>
    <w:p w14:paraId="5D9A78F1">
      <w:pPr>
        <w:spacing w:line="360" w:lineRule="auto"/>
        <w:rPr>
          <w:rFonts w:hint="eastAsia" w:ascii="仿宋" w:hAnsi="仿宋" w:eastAsia="仿宋" w:cs="仿宋"/>
          <w:color w:val="auto"/>
          <w:sz w:val="24"/>
          <w:szCs w:val="24"/>
          <w:highlight w:val="none"/>
        </w:rPr>
      </w:pPr>
    </w:p>
    <w:p w14:paraId="5C080F5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CA2AAD">
      <w:pPr>
        <w:spacing w:line="360" w:lineRule="auto"/>
        <w:rPr>
          <w:rFonts w:hint="eastAsia" w:ascii="仿宋" w:hAnsi="仿宋" w:eastAsia="仿宋" w:cs="仿宋"/>
          <w:color w:val="auto"/>
          <w:highlight w:val="none"/>
        </w:rPr>
      </w:pPr>
    </w:p>
    <w:bookmarkEnd w:id="71"/>
    <w:p w14:paraId="5B5AAC1D">
      <w:pPr>
        <w:pStyle w:val="3"/>
        <w:spacing w:before="0" w:after="0" w:line="360" w:lineRule="auto"/>
        <w:rPr>
          <w:rFonts w:hint="eastAsia" w:ascii="仿宋" w:hAnsi="仿宋" w:eastAsia="仿宋" w:cs="仿宋"/>
          <w:b w:val="0"/>
          <w:color w:val="auto"/>
          <w:sz w:val="30"/>
          <w:szCs w:val="30"/>
          <w:highlight w:val="none"/>
        </w:rPr>
      </w:pPr>
      <w:r>
        <w:rPr>
          <w:rFonts w:hint="eastAsia" w:ascii="仿宋" w:hAnsi="仿宋" w:eastAsia="仿宋" w:cs="仿宋"/>
          <w:color w:val="auto"/>
          <w:highlight w:val="none"/>
        </w:rPr>
        <w:t xml:space="preserve">        </w:t>
      </w:r>
      <w:r>
        <w:rPr>
          <w:rFonts w:hint="eastAsia" w:ascii="仿宋" w:hAnsi="仿宋" w:eastAsia="仿宋" w:cs="仿宋"/>
          <w:bCs/>
          <w:color w:val="auto"/>
          <w:sz w:val="36"/>
          <w:szCs w:val="36"/>
          <w:highlight w:val="none"/>
        </w:rPr>
        <w:t xml:space="preserve">   </w:t>
      </w:r>
      <w:bookmarkStart w:id="73" w:name="_Toc212456866"/>
      <w:r>
        <w:rPr>
          <w:rFonts w:hint="eastAsia" w:ascii="仿宋" w:hAnsi="仿宋" w:eastAsia="仿宋" w:cs="仿宋"/>
          <w:bCs/>
          <w:color w:val="auto"/>
          <w:sz w:val="36"/>
          <w:szCs w:val="36"/>
          <w:highlight w:val="none"/>
        </w:rPr>
        <w:t>第七篇 响应文件组成及要求格式</w:t>
      </w:r>
      <w:bookmarkEnd w:id="73"/>
    </w:p>
    <w:p w14:paraId="5683661D">
      <w:pPr>
        <w:spacing w:line="360" w:lineRule="auto"/>
        <w:ind w:firstLine="480" w:firstLineChars="200"/>
        <w:rPr>
          <w:rFonts w:hint="eastAsia" w:ascii="仿宋" w:hAnsi="仿宋" w:eastAsia="仿宋" w:cs="仿宋"/>
          <w:color w:val="auto"/>
          <w:sz w:val="24"/>
          <w:szCs w:val="24"/>
          <w:highlight w:val="none"/>
        </w:rPr>
      </w:pPr>
    </w:p>
    <w:p w14:paraId="64BAA1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14:paraId="43E22D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（一）竞争性比选函</w:t>
      </w:r>
    </w:p>
    <w:p w14:paraId="49F3BAA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（二）明细报价表（如有）</w:t>
      </w:r>
    </w:p>
    <w:p w14:paraId="58B098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F6BBB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73DD30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（二）技术方案</w:t>
      </w:r>
    </w:p>
    <w:p w14:paraId="480F55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6FB9A9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3D2425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商务资料（格式自拟）</w:t>
      </w:r>
    </w:p>
    <w:p w14:paraId="740BA5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0AC8110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（一）法人营业执照（副本）或事业单位法人证书（副本）复印件</w:t>
      </w:r>
    </w:p>
    <w:p w14:paraId="3423294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05EDB6C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9C03AE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3C43BE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（五）特定资格条件（格式自拟）</w:t>
      </w:r>
    </w:p>
    <w:p w14:paraId="3ECF963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CA3660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r>
        <w:rPr>
          <w:rFonts w:hint="eastAsia" w:ascii="仿宋" w:hAnsi="仿宋" w:eastAsia="仿宋" w:cs="仿宋"/>
          <w:color w:val="auto"/>
          <w:sz w:val="24"/>
          <w:szCs w:val="24"/>
          <w:highlight w:val="none"/>
          <w:lang w:eastAsia="zh-CN"/>
        </w:rPr>
        <w:t>如有，</w:t>
      </w:r>
      <w:r>
        <w:rPr>
          <w:rFonts w:hint="eastAsia" w:ascii="仿宋" w:hAnsi="仿宋" w:eastAsia="仿宋" w:cs="仿宋"/>
          <w:color w:val="auto"/>
          <w:sz w:val="24"/>
          <w:szCs w:val="24"/>
          <w:highlight w:val="none"/>
        </w:rPr>
        <w:t>自附）</w:t>
      </w:r>
    </w:p>
    <w:p w14:paraId="490F1B0C">
      <w:pPr>
        <w:spacing w:line="360" w:lineRule="auto"/>
        <w:ind w:firstLine="480" w:firstLineChars="200"/>
        <w:rPr>
          <w:rFonts w:hint="eastAsia" w:ascii="仿宋" w:hAnsi="仿宋" w:eastAsia="仿宋" w:cs="仿宋"/>
          <w:color w:val="auto"/>
          <w:sz w:val="24"/>
          <w:szCs w:val="24"/>
          <w:highlight w:val="none"/>
        </w:rPr>
      </w:pPr>
    </w:p>
    <w:p w14:paraId="6A38E6A0">
      <w:pPr>
        <w:spacing w:line="360" w:lineRule="auto"/>
        <w:rPr>
          <w:rFonts w:hint="eastAsia" w:ascii="仿宋" w:hAnsi="仿宋" w:eastAsia="仿宋" w:cs="仿宋"/>
          <w:color w:val="auto"/>
          <w:sz w:val="24"/>
          <w:szCs w:val="24"/>
          <w:highlight w:val="none"/>
        </w:rPr>
      </w:pPr>
    </w:p>
    <w:p w14:paraId="49374476">
      <w:pPr>
        <w:pStyle w:val="10"/>
        <w:rPr>
          <w:rFonts w:hint="eastAsia" w:ascii="仿宋" w:hAnsi="仿宋" w:eastAsia="仿宋" w:cs="仿宋"/>
          <w:color w:val="auto"/>
          <w:highlight w:val="none"/>
        </w:rPr>
      </w:pPr>
    </w:p>
    <w:p w14:paraId="73ED74BB">
      <w:pPr>
        <w:spacing w:line="360" w:lineRule="auto"/>
        <w:rPr>
          <w:rFonts w:hint="eastAsia" w:ascii="仿宋" w:hAnsi="仿宋" w:eastAsia="仿宋" w:cs="仿宋"/>
          <w:color w:val="auto"/>
          <w:sz w:val="24"/>
          <w:szCs w:val="24"/>
          <w:highlight w:val="none"/>
        </w:rPr>
      </w:pPr>
    </w:p>
    <w:p w14:paraId="49FB744C">
      <w:pPr>
        <w:spacing w:line="360" w:lineRule="auto"/>
        <w:rPr>
          <w:rFonts w:hint="eastAsia" w:ascii="仿宋" w:hAnsi="仿宋" w:eastAsia="仿宋" w:cs="仿宋"/>
          <w:color w:val="auto"/>
          <w:sz w:val="24"/>
          <w:szCs w:val="24"/>
          <w:highlight w:val="none"/>
        </w:rPr>
      </w:pPr>
    </w:p>
    <w:p w14:paraId="33D64E21">
      <w:pPr>
        <w:pStyle w:val="4"/>
        <w:spacing w:before="0" w:after="0" w:line="360" w:lineRule="auto"/>
        <w:rPr>
          <w:rFonts w:hint="eastAsia" w:ascii="仿宋" w:hAnsi="仿宋" w:eastAsia="仿宋" w:cs="仿宋"/>
          <w:color w:val="auto"/>
          <w:sz w:val="24"/>
          <w:szCs w:val="24"/>
          <w:highlight w:val="none"/>
        </w:rPr>
      </w:pPr>
      <w:bookmarkStart w:id="74" w:name="_Toc4000"/>
      <w:bookmarkStart w:id="75" w:name="_Toc313888360"/>
      <w:bookmarkStart w:id="76" w:name="_Toc12789073"/>
      <w:bookmarkStart w:id="77" w:name="_Toc283382454"/>
      <w:bookmarkStart w:id="78" w:name="_Toc342913419"/>
      <w:bookmarkStart w:id="79" w:name="_Toc313008356"/>
    </w:p>
    <w:p w14:paraId="2B124379">
      <w:pPr>
        <w:spacing w:line="360" w:lineRule="auto"/>
        <w:rPr>
          <w:rFonts w:hint="eastAsia" w:ascii="仿宋" w:hAnsi="仿宋" w:eastAsia="仿宋" w:cs="仿宋"/>
          <w:color w:val="auto"/>
          <w:sz w:val="24"/>
          <w:szCs w:val="24"/>
          <w:highlight w:val="none"/>
        </w:rPr>
      </w:pPr>
    </w:p>
    <w:p w14:paraId="5F3103CF">
      <w:pPr>
        <w:pStyle w:val="10"/>
        <w:rPr>
          <w:rFonts w:hint="eastAsia" w:ascii="仿宋" w:hAnsi="仿宋" w:eastAsia="仿宋" w:cs="仿宋"/>
          <w:color w:val="auto"/>
          <w:highlight w:val="none"/>
        </w:rPr>
      </w:pPr>
    </w:p>
    <w:p w14:paraId="73E64145">
      <w:pPr>
        <w:spacing w:line="360" w:lineRule="auto"/>
        <w:rPr>
          <w:rFonts w:hint="eastAsia" w:ascii="仿宋" w:hAnsi="仿宋" w:eastAsia="仿宋" w:cs="仿宋"/>
          <w:color w:val="auto"/>
          <w:sz w:val="24"/>
          <w:szCs w:val="24"/>
          <w:highlight w:val="none"/>
        </w:rPr>
      </w:pPr>
    </w:p>
    <w:p w14:paraId="7E282824">
      <w:pPr>
        <w:spacing w:line="360" w:lineRule="auto"/>
        <w:rPr>
          <w:rFonts w:hint="eastAsia" w:ascii="仿宋" w:hAnsi="仿宋" w:eastAsia="仿宋" w:cs="仿宋"/>
          <w:color w:val="auto"/>
          <w:highlight w:val="none"/>
        </w:rPr>
      </w:pPr>
    </w:p>
    <w:p w14:paraId="5A42E9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bookmarkEnd w:id="74"/>
      <w:bookmarkEnd w:id="75"/>
      <w:bookmarkEnd w:id="76"/>
      <w:bookmarkEnd w:id="77"/>
      <w:bookmarkEnd w:id="78"/>
      <w:bookmarkEnd w:id="79"/>
    </w:p>
    <w:p w14:paraId="1B0FDF14">
      <w:pPr>
        <w:snapToGrid w:val="0"/>
        <w:spacing w:before="120"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（一）竞争性比选函</w:t>
      </w:r>
    </w:p>
    <w:p w14:paraId="4B4EB77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37AF496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（比选人名称）</w:t>
      </w:r>
    </w:p>
    <w:p w14:paraId="5F086C4F">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我方已仔细研究了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（项目名称）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竞争性比选文件的全部内容，愿意以下列方式对勘察设计费进行报价</w:t>
      </w:r>
      <w:r>
        <w:rPr>
          <w:rFonts w:hint="eastAsia" w:ascii="仿宋" w:hAnsi="仿宋" w:eastAsia="仿宋" w:cs="仿宋"/>
          <w:color w:val="auto"/>
          <w:sz w:val="24"/>
          <w:szCs w:val="24"/>
          <w:highlight w:val="none"/>
          <w:lang w:eastAsia="zh-CN"/>
        </w:rPr>
        <w:t>：</w:t>
      </w:r>
    </w:p>
    <w:p w14:paraId="564DD2B2">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暂定投标总报价</w:t>
      </w: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其中：勘察费固定费率为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%，勘察费投标报价为人民币（大写）</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）；设计费固定费率为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%，设计费投标报价为人民币（大写）</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项目总负责人为：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服务期</w:t>
      </w:r>
      <w:r>
        <w:rPr>
          <w:rFonts w:hint="eastAsia" w:ascii="仿宋" w:hAnsi="仿宋" w:eastAsia="仿宋" w:cs="仿宋"/>
          <w:color w:val="auto"/>
          <w:sz w:val="24"/>
          <w:szCs w:val="24"/>
          <w:highlight w:val="none"/>
          <w:u w:val="single"/>
        </w:rPr>
        <w:t>满足比选文件要求</w:t>
      </w:r>
      <w:r>
        <w:rPr>
          <w:rFonts w:hint="eastAsia" w:ascii="仿宋" w:hAnsi="仿宋" w:eastAsia="仿宋" w:cs="仿宋"/>
          <w:color w:val="auto"/>
          <w:sz w:val="24"/>
          <w:szCs w:val="24"/>
          <w:highlight w:val="none"/>
        </w:rPr>
        <w:t>，按合同约定实施和完成承包工程，修补工程中的任何缺陷，质量要求</w:t>
      </w:r>
      <w:r>
        <w:rPr>
          <w:rFonts w:hint="eastAsia" w:ascii="仿宋" w:hAnsi="仿宋" w:eastAsia="仿宋" w:cs="仿宋"/>
          <w:color w:val="auto"/>
          <w:sz w:val="24"/>
          <w:szCs w:val="24"/>
          <w:highlight w:val="none"/>
          <w:u w:val="single"/>
        </w:rPr>
        <w:t>满足比选文件要求</w:t>
      </w:r>
      <w:r>
        <w:rPr>
          <w:rFonts w:hint="eastAsia" w:ascii="仿宋" w:hAnsi="仿宋" w:eastAsia="仿宋" w:cs="仿宋"/>
          <w:color w:val="auto"/>
          <w:sz w:val="24"/>
          <w:szCs w:val="24"/>
          <w:highlight w:val="none"/>
        </w:rPr>
        <w:t>。</w:t>
      </w:r>
    </w:p>
    <w:p w14:paraId="7FACD2BA">
      <w:pPr>
        <w:numPr>
          <w:ilvl w:val="0"/>
          <w:numId w:val="0"/>
        </w:numPr>
        <w:snapToGrid w:val="0"/>
        <w:spacing w:before="120"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我方就参加本次竞争性比选有关事项郑重声明如下：</w:t>
      </w:r>
    </w:p>
    <w:p w14:paraId="283C950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我方完全理解并接受该项目竞争性比选文件所有要求。</w:t>
      </w:r>
    </w:p>
    <w:p w14:paraId="473F4941">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我方提交的所有竞争性比选文件、资料都是准确和真实的，如有虚假或隐瞒，我方愿意承担一切法律责任。</w:t>
      </w:r>
    </w:p>
    <w:p w14:paraId="70AA876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我方承诺按照竞争性比选文件要求，按时足额缴纳比选保证金。</w:t>
      </w:r>
    </w:p>
    <w:p w14:paraId="164BB3E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我方按要求提交的竞争性比选文件为：竞争性比选文件正本1份，副本1份。</w:t>
      </w:r>
    </w:p>
    <w:p w14:paraId="26653DC6">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我方承诺：本次竞争性比选的有效期为90天。</w:t>
      </w:r>
    </w:p>
    <w:p w14:paraId="66A9E2B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如果我方成交，我方将履行各项要求以及我方竞争性比选文件的各项承诺，按《中华人民共和国民法典》及合同约定条款承担我方责任。</w:t>
      </w:r>
    </w:p>
    <w:p w14:paraId="7E53E24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我方理解，最低报价不是成交的唯一条件。</w:t>
      </w:r>
    </w:p>
    <w:p w14:paraId="6E9BFCB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p>
    <w:p w14:paraId="01693E5D">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p>
    <w:p w14:paraId="0D7729EA">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p>
    <w:p w14:paraId="57FB7BC5">
      <w:pPr>
        <w:tabs>
          <w:tab w:val="left" w:pos="6300"/>
        </w:tabs>
        <w:snapToGrid w:val="0"/>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9161BF5">
      <w:pPr>
        <w:tabs>
          <w:tab w:val="left" w:pos="6300"/>
        </w:tabs>
        <w:snapToGrid w:val="0"/>
        <w:spacing w:line="360" w:lineRule="auto"/>
        <w:ind w:firstLine="6480" w:firstLineChars="2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67EB29F">
      <w:pPr>
        <w:tabs>
          <w:tab w:val="left" w:pos="2895"/>
        </w:tabs>
        <w:spacing w:line="360" w:lineRule="auto"/>
        <w:rPr>
          <w:rFonts w:hint="eastAsia" w:ascii="仿宋" w:hAnsi="仿宋" w:eastAsia="仿宋" w:cs="仿宋"/>
          <w:color w:val="auto"/>
          <w:sz w:val="24"/>
          <w:szCs w:val="24"/>
          <w:highlight w:val="none"/>
        </w:rPr>
      </w:pPr>
    </w:p>
    <w:p w14:paraId="6D248A0A">
      <w:pPr>
        <w:tabs>
          <w:tab w:val="left" w:pos="2895"/>
        </w:tabs>
        <w:spacing w:line="360" w:lineRule="auto"/>
        <w:ind w:firstLine="480" w:firstLineChars="200"/>
        <w:rPr>
          <w:rFonts w:hint="eastAsia" w:ascii="仿宋" w:hAnsi="仿宋" w:eastAsia="仿宋" w:cs="仿宋"/>
          <w:color w:val="auto"/>
          <w:sz w:val="24"/>
          <w:szCs w:val="24"/>
          <w:highlight w:val="none"/>
        </w:rPr>
      </w:pPr>
    </w:p>
    <w:p w14:paraId="633E47C5">
      <w:pPr>
        <w:tabs>
          <w:tab w:val="left" w:pos="2895"/>
        </w:tabs>
        <w:spacing w:line="360" w:lineRule="auto"/>
        <w:ind w:firstLine="480" w:firstLineChars="200"/>
        <w:rPr>
          <w:rFonts w:hint="eastAsia" w:ascii="仿宋" w:hAnsi="仿宋" w:eastAsia="仿宋" w:cs="仿宋"/>
          <w:color w:val="auto"/>
          <w:sz w:val="24"/>
          <w:szCs w:val="24"/>
          <w:highlight w:val="none"/>
        </w:rPr>
      </w:pPr>
    </w:p>
    <w:p w14:paraId="00AD79F4">
      <w:pPr>
        <w:snapToGrid w:val="0"/>
        <w:spacing w:line="360" w:lineRule="auto"/>
        <w:rPr>
          <w:rFonts w:hint="eastAsia" w:ascii="仿宋" w:hAnsi="仿宋" w:eastAsia="仿宋" w:cs="仿宋"/>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45601992">
      <w:pPr>
        <w:snapToGrid w:val="0"/>
        <w:spacing w:before="120" w:beforeLines="50" w:line="360" w:lineRule="auto"/>
        <w:jc w:val="center"/>
        <w:rPr>
          <w:rFonts w:hint="eastAsia" w:ascii="仿宋" w:hAnsi="仿宋" w:eastAsia="仿宋" w:cs="仿宋"/>
          <w:b/>
          <w:bCs/>
          <w:color w:val="auto"/>
          <w:sz w:val="24"/>
          <w:szCs w:val="24"/>
          <w:highlight w:val="none"/>
          <w:lang w:eastAsia="zh-CN"/>
        </w:rPr>
      </w:pPr>
      <w:bookmarkStart w:id="80" w:name="_Toc23343"/>
      <w:bookmarkStart w:id="81" w:name="_Toc342913420"/>
      <w:bookmarkStart w:id="82" w:name="_Toc313008357"/>
      <w:bookmarkStart w:id="83" w:name="_Toc313888361"/>
      <w:r>
        <w:rPr>
          <w:rFonts w:hint="eastAsia" w:ascii="仿宋" w:hAnsi="仿宋" w:eastAsia="仿宋" w:cs="仿宋"/>
          <w:b/>
          <w:bCs/>
          <w:color w:val="auto"/>
          <w:sz w:val="24"/>
          <w:szCs w:val="24"/>
          <w:highlight w:val="none"/>
          <w:lang w:eastAsia="zh-CN"/>
        </w:rPr>
        <w:t>（二）明细报价表（如有）</w:t>
      </w:r>
    </w:p>
    <w:p w14:paraId="4EF776C7">
      <w:pPr>
        <w:rPr>
          <w:rFonts w:hint="eastAsia" w:ascii="仿宋" w:hAnsi="仿宋" w:eastAsia="仿宋" w:cs="仿宋"/>
          <w:color w:val="auto"/>
          <w:sz w:val="24"/>
          <w:szCs w:val="24"/>
          <w:highlight w:val="none"/>
          <w:lang w:eastAsia="zh-CN"/>
        </w:rPr>
      </w:pPr>
    </w:p>
    <w:p w14:paraId="3D874950">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格式自拟。</w:t>
      </w:r>
    </w:p>
    <w:p w14:paraId="75E1DA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6FA170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rPr>
        <w:t>部分</w:t>
      </w:r>
    </w:p>
    <w:p w14:paraId="3DA480DD">
      <w:pPr>
        <w:spacing w:line="360" w:lineRule="auto"/>
        <w:jc w:val="center"/>
        <w:rPr>
          <w:rFonts w:hint="eastAsia" w:ascii="仿宋" w:hAnsi="仿宋" w:eastAsia="仿宋" w:cs="仿宋"/>
          <w:color w:val="auto"/>
          <w:sz w:val="24"/>
          <w:szCs w:val="24"/>
          <w:highlight w:val="none"/>
        </w:rPr>
      </w:pPr>
    </w:p>
    <w:p w14:paraId="19294321">
      <w:pPr>
        <w:snapToGrid w:val="0"/>
        <w:spacing w:before="120" w:beforeLines="5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CN"/>
        </w:rPr>
        <w:t>技术</w:t>
      </w:r>
      <w:r>
        <w:rPr>
          <w:rFonts w:hint="eastAsia" w:ascii="仿宋" w:hAnsi="仿宋" w:eastAsia="仿宋" w:cs="仿宋"/>
          <w:b/>
          <w:bCs/>
          <w:color w:val="auto"/>
          <w:sz w:val="24"/>
          <w:szCs w:val="24"/>
          <w:highlight w:val="none"/>
        </w:rPr>
        <w:t>响应偏离表</w:t>
      </w:r>
    </w:p>
    <w:p w14:paraId="7AF34F97">
      <w:pPr>
        <w:pStyle w:val="14"/>
        <w:tabs>
          <w:tab w:val="left" w:pos="6300"/>
        </w:tabs>
        <w:snapToGrid w:val="0"/>
        <w:spacing w:line="360" w:lineRule="auto"/>
        <w:ind w:firstLine="480" w:firstLineChars="200"/>
        <w:rPr>
          <w:rFonts w:hint="eastAsia" w:ascii="仿宋" w:hAnsi="仿宋" w:eastAsia="仿宋" w:cs="仿宋"/>
          <w:color w:val="auto"/>
          <w:sz w:val="24"/>
          <w:highlight w:val="none"/>
        </w:rPr>
      </w:pPr>
    </w:p>
    <w:p w14:paraId="3064F4A4">
      <w:pPr>
        <w:pStyle w:val="14"/>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6E3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C053229">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967" w:type="dxa"/>
            <w:vAlign w:val="center"/>
          </w:tcPr>
          <w:p w14:paraId="57C5BEF3">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3081" w:type="dxa"/>
            <w:vAlign w:val="center"/>
          </w:tcPr>
          <w:p w14:paraId="27F81062">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2309" w:type="dxa"/>
            <w:vAlign w:val="center"/>
          </w:tcPr>
          <w:p w14:paraId="4CDB5D44">
            <w:pPr>
              <w:tabs>
                <w:tab w:val="left" w:pos="6300"/>
              </w:tabs>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14:paraId="3425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F88452">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C6D20A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1B677FF8">
            <w:pPr>
              <w:tabs>
                <w:tab w:val="left" w:pos="6300"/>
              </w:tabs>
              <w:snapToGrid w:val="0"/>
              <w:spacing w:line="360" w:lineRule="auto"/>
              <w:rPr>
                <w:rFonts w:hint="eastAsia" w:ascii="仿宋" w:hAnsi="仿宋" w:eastAsia="仿宋" w:cs="仿宋"/>
                <w:color w:val="auto"/>
                <w:sz w:val="21"/>
                <w:szCs w:val="21"/>
                <w:highlight w:val="none"/>
              </w:rPr>
            </w:pPr>
          </w:p>
        </w:tc>
        <w:tc>
          <w:tcPr>
            <w:tcW w:w="2309" w:type="dxa"/>
            <w:vAlign w:val="center"/>
          </w:tcPr>
          <w:p w14:paraId="6F31DE14">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326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6D073BC">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666746E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02DCF00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11A2C138">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3BC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46EB76">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21DEFBD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8B5AF9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7702082B">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13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F9EEDE">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D62EDE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30B294FC">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6E98D33C">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1DD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3277F6A">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0326204D">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1E20EF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58E86B38">
            <w:pPr>
              <w:tabs>
                <w:tab w:val="left" w:pos="6300"/>
              </w:tabs>
              <w:snapToGrid w:val="0"/>
              <w:spacing w:line="360" w:lineRule="auto"/>
              <w:jc w:val="center"/>
              <w:rPr>
                <w:rFonts w:hint="eastAsia" w:ascii="仿宋" w:hAnsi="仿宋" w:eastAsia="仿宋" w:cs="仿宋"/>
                <w:color w:val="auto"/>
                <w:sz w:val="21"/>
                <w:szCs w:val="21"/>
                <w:highlight w:val="none"/>
              </w:rPr>
            </w:pPr>
          </w:p>
        </w:tc>
      </w:tr>
      <w:tr w14:paraId="74E2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6AC28B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61A2E5E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9ABF5B4">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3F42CB40">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E78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1C94700">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547462F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5439C69D">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33EAF469">
            <w:pPr>
              <w:tabs>
                <w:tab w:val="left" w:pos="6300"/>
              </w:tabs>
              <w:snapToGrid w:val="0"/>
              <w:spacing w:line="360" w:lineRule="auto"/>
              <w:jc w:val="center"/>
              <w:rPr>
                <w:rFonts w:hint="eastAsia" w:ascii="仿宋" w:hAnsi="仿宋" w:eastAsia="仿宋" w:cs="仿宋"/>
                <w:color w:val="auto"/>
                <w:sz w:val="21"/>
                <w:szCs w:val="21"/>
                <w:highlight w:val="none"/>
              </w:rPr>
            </w:pPr>
          </w:p>
        </w:tc>
      </w:tr>
      <w:tr w14:paraId="1296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FA20C01">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7D48981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CD5FCC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4A9FC67C">
            <w:pPr>
              <w:tabs>
                <w:tab w:val="left" w:pos="6300"/>
              </w:tabs>
              <w:snapToGrid w:val="0"/>
              <w:spacing w:line="360" w:lineRule="auto"/>
              <w:jc w:val="center"/>
              <w:rPr>
                <w:rFonts w:hint="eastAsia" w:ascii="仿宋" w:hAnsi="仿宋" w:eastAsia="仿宋" w:cs="仿宋"/>
                <w:color w:val="auto"/>
                <w:sz w:val="21"/>
                <w:szCs w:val="21"/>
                <w:highlight w:val="none"/>
              </w:rPr>
            </w:pPr>
          </w:p>
        </w:tc>
      </w:tr>
      <w:tr w14:paraId="24D6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591E129">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09F2526F">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78E6DC9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26EB2640">
            <w:pPr>
              <w:tabs>
                <w:tab w:val="left" w:pos="6300"/>
              </w:tabs>
              <w:snapToGrid w:val="0"/>
              <w:spacing w:line="360" w:lineRule="auto"/>
              <w:jc w:val="center"/>
              <w:rPr>
                <w:rFonts w:hint="eastAsia" w:ascii="仿宋" w:hAnsi="仿宋" w:eastAsia="仿宋" w:cs="仿宋"/>
                <w:color w:val="auto"/>
                <w:sz w:val="21"/>
                <w:szCs w:val="21"/>
                <w:highlight w:val="none"/>
              </w:rPr>
            </w:pPr>
          </w:p>
        </w:tc>
      </w:tr>
      <w:tr w14:paraId="3810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AFAB555">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967" w:type="dxa"/>
            <w:vAlign w:val="center"/>
          </w:tcPr>
          <w:p w14:paraId="11F8B7BB">
            <w:pPr>
              <w:tabs>
                <w:tab w:val="left" w:pos="6300"/>
              </w:tabs>
              <w:snapToGrid w:val="0"/>
              <w:spacing w:line="360" w:lineRule="auto"/>
              <w:jc w:val="center"/>
              <w:rPr>
                <w:rFonts w:hint="eastAsia" w:ascii="仿宋" w:hAnsi="仿宋" w:eastAsia="仿宋" w:cs="仿宋"/>
                <w:color w:val="auto"/>
                <w:sz w:val="21"/>
                <w:szCs w:val="21"/>
                <w:highlight w:val="none"/>
              </w:rPr>
            </w:pPr>
          </w:p>
        </w:tc>
        <w:tc>
          <w:tcPr>
            <w:tcW w:w="3081" w:type="dxa"/>
            <w:vAlign w:val="center"/>
          </w:tcPr>
          <w:p w14:paraId="2158E693">
            <w:pPr>
              <w:tabs>
                <w:tab w:val="left" w:pos="6300"/>
              </w:tabs>
              <w:snapToGrid w:val="0"/>
              <w:spacing w:line="360" w:lineRule="auto"/>
              <w:jc w:val="center"/>
              <w:rPr>
                <w:rFonts w:hint="eastAsia" w:ascii="仿宋" w:hAnsi="仿宋" w:eastAsia="仿宋" w:cs="仿宋"/>
                <w:color w:val="auto"/>
                <w:sz w:val="21"/>
                <w:szCs w:val="21"/>
                <w:highlight w:val="none"/>
              </w:rPr>
            </w:pPr>
          </w:p>
        </w:tc>
        <w:tc>
          <w:tcPr>
            <w:tcW w:w="2309" w:type="dxa"/>
            <w:vAlign w:val="center"/>
          </w:tcPr>
          <w:p w14:paraId="49475458">
            <w:pPr>
              <w:tabs>
                <w:tab w:val="left" w:pos="6300"/>
              </w:tabs>
              <w:snapToGrid w:val="0"/>
              <w:spacing w:line="360" w:lineRule="auto"/>
              <w:jc w:val="center"/>
              <w:rPr>
                <w:rFonts w:hint="eastAsia" w:ascii="仿宋" w:hAnsi="仿宋" w:eastAsia="仿宋" w:cs="仿宋"/>
                <w:color w:val="auto"/>
                <w:sz w:val="21"/>
                <w:szCs w:val="21"/>
                <w:highlight w:val="none"/>
              </w:rPr>
            </w:pPr>
          </w:p>
        </w:tc>
      </w:tr>
    </w:tbl>
    <w:p w14:paraId="7FAA0065">
      <w:pPr>
        <w:spacing w:line="360" w:lineRule="auto"/>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                             法定代表人（或其授权代表）：</w:t>
      </w:r>
    </w:p>
    <w:p w14:paraId="0943DB4B">
      <w:pPr>
        <w:spacing w:line="360" w:lineRule="auto"/>
        <w:rPr>
          <w:rFonts w:hint="eastAsia" w:ascii="仿宋" w:hAnsi="仿宋" w:eastAsia="仿宋" w:cs="仿宋"/>
          <w:color w:val="auto"/>
          <w:sz w:val="24"/>
          <w:szCs w:val="28"/>
          <w:highlight w:val="none"/>
        </w:rPr>
      </w:pPr>
    </w:p>
    <w:p w14:paraId="77B468A6">
      <w:pPr>
        <w:spacing w:line="360" w:lineRule="auto"/>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公章）                               （签字或盖章）</w:t>
      </w:r>
    </w:p>
    <w:p w14:paraId="1BE463ED">
      <w:pPr>
        <w:tabs>
          <w:tab w:val="left" w:pos="6300"/>
        </w:tabs>
        <w:snapToGrid w:val="0"/>
        <w:spacing w:line="360" w:lineRule="auto"/>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198A2634">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61F4A570">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1.本表即为对本项目“第二篇  项目</w:t>
      </w:r>
      <w:r>
        <w:rPr>
          <w:rFonts w:hint="eastAsia" w:ascii="仿宋" w:hAnsi="仿宋" w:eastAsia="仿宋" w:cs="仿宋"/>
          <w:color w:val="auto"/>
          <w:sz w:val="24"/>
          <w:highlight w:val="none"/>
          <w:lang w:eastAsia="zh-CN"/>
        </w:rPr>
        <w:t>技术（质量）</w:t>
      </w:r>
      <w:r>
        <w:rPr>
          <w:rFonts w:hint="eastAsia" w:ascii="仿宋" w:hAnsi="仿宋" w:eastAsia="仿宋" w:cs="仿宋"/>
          <w:color w:val="auto"/>
          <w:sz w:val="24"/>
          <w:highlight w:val="none"/>
        </w:rPr>
        <w:t>需求”中所列条款进行比较和响应；</w:t>
      </w:r>
    </w:p>
    <w:p w14:paraId="6913ADD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14:paraId="680A797B">
      <w:pPr>
        <w:spacing w:line="360" w:lineRule="auto"/>
        <w:rPr>
          <w:rFonts w:hint="eastAsia" w:ascii="仿宋" w:hAnsi="仿宋" w:eastAsia="仿宋" w:cs="仿宋"/>
          <w:bCs/>
          <w:color w:val="auto"/>
          <w:sz w:val="24"/>
          <w:szCs w:val="24"/>
          <w:highlight w:val="none"/>
        </w:rPr>
      </w:pPr>
    </w:p>
    <w:p w14:paraId="0771FEB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服务</w:t>
      </w:r>
      <w:r>
        <w:rPr>
          <w:rFonts w:hint="eastAsia" w:ascii="仿宋" w:hAnsi="仿宋" w:eastAsia="仿宋" w:cs="仿宋"/>
          <w:b/>
          <w:bCs/>
          <w:color w:val="auto"/>
          <w:sz w:val="24"/>
          <w:szCs w:val="24"/>
          <w:highlight w:val="none"/>
        </w:rPr>
        <w:t>方案</w:t>
      </w:r>
    </w:p>
    <w:p w14:paraId="62EFF054">
      <w:pPr>
        <w:spacing w:line="360" w:lineRule="auto"/>
        <w:jc w:val="center"/>
        <w:rPr>
          <w:rFonts w:hint="eastAsia" w:ascii="仿宋" w:hAnsi="仿宋" w:eastAsia="仿宋" w:cs="仿宋"/>
          <w:bCs/>
          <w:color w:val="auto"/>
          <w:sz w:val="24"/>
          <w:szCs w:val="24"/>
          <w:highlight w:val="none"/>
        </w:rPr>
      </w:pPr>
    </w:p>
    <w:p w14:paraId="50D9D433">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格式自拟。</w:t>
      </w:r>
    </w:p>
    <w:p w14:paraId="0B64B6A5">
      <w:pPr>
        <w:spacing w:line="360" w:lineRule="auto"/>
        <w:rPr>
          <w:rFonts w:hint="eastAsia" w:ascii="仿宋" w:hAnsi="仿宋" w:eastAsia="仿宋" w:cs="仿宋"/>
          <w:color w:val="auto"/>
          <w:sz w:val="24"/>
          <w:szCs w:val="24"/>
          <w:highlight w:val="none"/>
        </w:rPr>
      </w:pPr>
    </w:p>
    <w:p w14:paraId="08929157">
      <w:pPr>
        <w:pStyle w:val="21"/>
        <w:rPr>
          <w:rFonts w:hint="eastAsia" w:ascii="仿宋" w:hAnsi="仿宋" w:eastAsia="仿宋" w:cs="仿宋"/>
          <w:color w:val="auto"/>
          <w:szCs w:val="24"/>
          <w:highlight w:val="none"/>
        </w:rPr>
      </w:pPr>
    </w:p>
    <w:p w14:paraId="28E958C1">
      <w:pPr>
        <w:spacing w:line="360" w:lineRule="auto"/>
        <w:rPr>
          <w:rFonts w:hint="eastAsia" w:ascii="仿宋" w:hAnsi="仿宋" w:eastAsia="仿宋" w:cs="仿宋"/>
          <w:color w:val="auto"/>
          <w:sz w:val="24"/>
          <w:szCs w:val="24"/>
          <w:highlight w:val="none"/>
        </w:rPr>
      </w:pPr>
    </w:p>
    <w:p w14:paraId="5B1504E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53963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bookmarkEnd w:id="80"/>
    </w:p>
    <w:p w14:paraId="75F5FE2A">
      <w:pPr>
        <w:spacing w:line="360" w:lineRule="auto"/>
        <w:jc w:val="center"/>
        <w:rPr>
          <w:rFonts w:hint="eastAsia" w:ascii="仿宋" w:hAnsi="仿宋" w:eastAsia="仿宋" w:cs="仿宋"/>
          <w:b/>
          <w:bCs/>
          <w:color w:val="auto"/>
          <w:sz w:val="24"/>
          <w:szCs w:val="24"/>
          <w:highlight w:val="none"/>
        </w:rPr>
      </w:pPr>
    </w:p>
    <w:p w14:paraId="23C3144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（一）商务响应偏离表</w:t>
      </w:r>
    </w:p>
    <w:p w14:paraId="4D463017">
      <w:pPr>
        <w:snapToGrid w:val="0"/>
        <w:spacing w:line="360" w:lineRule="auto"/>
        <w:ind w:firstLine="465"/>
        <w:rPr>
          <w:rFonts w:hint="eastAsia" w:ascii="仿宋" w:hAnsi="仿宋" w:eastAsia="仿宋" w:cs="仿宋"/>
          <w:color w:val="auto"/>
          <w:sz w:val="24"/>
          <w:szCs w:val="24"/>
          <w:highlight w:val="none"/>
        </w:rPr>
      </w:pPr>
    </w:p>
    <w:p w14:paraId="336BC9D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对于竞争性比选文件的商务要求，如有任何偏离请如实填写下表：</w:t>
      </w:r>
    </w:p>
    <w:tbl>
      <w:tblPr>
        <w:tblStyle w:val="2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E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459B9B6">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650E5162">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项目商务需求</w:t>
            </w:r>
          </w:p>
        </w:tc>
        <w:tc>
          <w:tcPr>
            <w:tcW w:w="2434" w:type="dxa"/>
            <w:vAlign w:val="center"/>
          </w:tcPr>
          <w:p w14:paraId="25857783">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74CC28F8">
            <w:p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01DE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336EE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0236094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44606218">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66E01E7A">
            <w:pPr>
              <w:tabs>
                <w:tab w:val="left" w:pos="6300"/>
              </w:tabs>
              <w:snapToGrid w:val="0"/>
              <w:spacing w:line="360" w:lineRule="auto"/>
              <w:jc w:val="center"/>
              <w:rPr>
                <w:rFonts w:hint="eastAsia" w:ascii="仿宋" w:hAnsi="仿宋" w:eastAsia="仿宋" w:cs="仿宋"/>
                <w:color w:val="auto"/>
                <w:sz w:val="24"/>
                <w:szCs w:val="24"/>
                <w:highlight w:val="none"/>
              </w:rPr>
            </w:pPr>
          </w:p>
        </w:tc>
      </w:tr>
      <w:tr w14:paraId="7160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18F3DC">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3E65DBA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2A9A8B00">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2EE346BB">
            <w:pPr>
              <w:tabs>
                <w:tab w:val="left" w:pos="6300"/>
              </w:tabs>
              <w:snapToGrid w:val="0"/>
              <w:spacing w:line="360" w:lineRule="auto"/>
              <w:jc w:val="center"/>
              <w:rPr>
                <w:rFonts w:hint="eastAsia" w:ascii="仿宋" w:hAnsi="仿宋" w:eastAsia="仿宋" w:cs="仿宋"/>
                <w:color w:val="auto"/>
                <w:sz w:val="24"/>
                <w:szCs w:val="24"/>
                <w:highlight w:val="none"/>
              </w:rPr>
            </w:pPr>
          </w:p>
        </w:tc>
      </w:tr>
      <w:tr w14:paraId="4999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5C68DD">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6F295B0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68F4FEA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7B51166A">
            <w:pPr>
              <w:tabs>
                <w:tab w:val="left" w:pos="6300"/>
              </w:tabs>
              <w:snapToGrid w:val="0"/>
              <w:spacing w:line="360" w:lineRule="auto"/>
              <w:jc w:val="center"/>
              <w:rPr>
                <w:rFonts w:hint="eastAsia" w:ascii="仿宋" w:hAnsi="仿宋" w:eastAsia="仿宋" w:cs="仿宋"/>
                <w:color w:val="auto"/>
                <w:sz w:val="24"/>
                <w:szCs w:val="24"/>
                <w:highlight w:val="none"/>
              </w:rPr>
            </w:pPr>
          </w:p>
        </w:tc>
      </w:tr>
      <w:tr w14:paraId="6EC1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5151C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14B45775">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434B7FF0">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4A677964">
            <w:pPr>
              <w:tabs>
                <w:tab w:val="left" w:pos="6300"/>
              </w:tabs>
              <w:snapToGrid w:val="0"/>
              <w:spacing w:line="360" w:lineRule="auto"/>
              <w:jc w:val="center"/>
              <w:rPr>
                <w:rFonts w:hint="eastAsia" w:ascii="仿宋" w:hAnsi="仿宋" w:eastAsia="仿宋" w:cs="仿宋"/>
                <w:color w:val="auto"/>
                <w:sz w:val="24"/>
                <w:szCs w:val="24"/>
                <w:highlight w:val="none"/>
              </w:rPr>
            </w:pPr>
          </w:p>
        </w:tc>
      </w:tr>
      <w:tr w14:paraId="111C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B2936A">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5FC7B58E">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5897232F">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7C021FD4">
            <w:pPr>
              <w:tabs>
                <w:tab w:val="left" w:pos="6300"/>
              </w:tabs>
              <w:snapToGrid w:val="0"/>
              <w:spacing w:line="360" w:lineRule="auto"/>
              <w:jc w:val="center"/>
              <w:rPr>
                <w:rFonts w:hint="eastAsia" w:ascii="仿宋" w:hAnsi="仿宋" w:eastAsia="仿宋" w:cs="仿宋"/>
                <w:color w:val="auto"/>
                <w:sz w:val="24"/>
                <w:szCs w:val="24"/>
                <w:highlight w:val="none"/>
              </w:rPr>
            </w:pPr>
          </w:p>
        </w:tc>
      </w:tr>
      <w:tr w14:paraId="4110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B52A91">
            <w:pPr>
              <w:tabs>
                <w:tab w:val="left" w:pos="6300"/>
              </w:tabs>
              <w:snapToGrid w:val="0"/>
              <w:spacing w:line="360" w:lineRule="auto"/>
              <w:jc w:val="center"/>
              <w:rPr>
                <w:rFonts w:hint="eastAsia" w:ascii="仿宋" w:hAnsi="仿宋" w:eastAsia="仿宋" w:cs="仿宋"/>
                <w:color w:val="auto"/>
                <w:sz w:val="24"/>
                <w:szCs w:val="24"/>
                <w:highlight w:val="none"/>
              </w:rPr>
            </w:pPr>
          </w:p>
        </w:tc>
        <w:tc>
          <w:tcPr>
            <w:tcW w:w="3179" w:type="dxa"/>
            <w:vAlign w:val="center"/>
          </w:tcPr>
          <w:p w14:paraId="76FC7C3B">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434" w:type="dxa"/>
            <w:vAlign w:val="center"/>
          </w:tcPr>
          <w:p w14:paraId="6EBA1F53">
            <w:pPr>
              <w:tabs>
                <w:tab w:val="left" w:pos="6300"/>
              </w:tabs>
              <w:snapToGrid w:val="0"/>
              <w:spacing w:line="360" w:lineRule="auto"/>
              <w:jc w:val="center"/>
              <w:rPr>
                <w:rFonts w:hint="eastAsia" w:ascii="仿宋" w:hAnsi="仿宋" w:eastAsia="仿宋" w:cs="仿宋"/>
                <w:color w:val="auto"/>
                <w:sz w:val="24"/>
                <w:szCs w:val="24"/>
                <w:highlight w:val="none"/>
              </w:rPr>
            </w:pPr>
          </w:p>
        </w:tc>
        <w:tc>
          <w:tcPr>
            <w:tcW w:w="2355" w:type="dxa"/>
            <w:vAlign w:val="center"/>
          </w:tcPr>
          <w:p w14:paraId="319D15E3">
            <w:pPr>
              <w:tabs>
                <w:tab w:val="left" w:pos="6300"/>
              </w:tabs>
              <w:snapToGrid w:val="0"/>
              <w:spacing w:line="360" w:lineRule="auto"/>
              <w:jc w:val="center"/>
              <w:rPr>
                <w:rFonts w:hint="eastAsia" w:ascii="仿宋" w:hAnsi="仿宋" w:eastAsia="仿宋" w:cs="仿宋"/>
                <w:color w:val="auto"/>
                <w:sz w:val="24"/>
                <w:szCs w:val="24"/>
                <w:highlight w:val="none"/>
              </w:rPr>
            </w:pPr>
          </w:p>
        </w:tc>
      </w:tr>
    </w:tbl>
    <w:p w14:paraId="2A03970C">
      <w:pPr>
        <w:snapToGrid w:val="0"/>
        <w:spacing w:line="360" w:lineRule="auto"/>
        <w:ind w:firstLine="465"/>
        <w:rPr>
          <w:rFonts w:hint="eastAsia" w:ascii="仿宋" w:hAnsi="仿宋" w:eastAsia="仿宋" w:cs="仿宋"/>
          <w:color w:val="auto"/>
          <w:sz w:val="24"/>
          <w:szCs w:val="24"/>
          <w:highlight w:val="none"/>
        </w:rPr>
      </w:pPr>
    </w:p>
    <w:p w14:paraId="5361098B">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法定代表人授权代表：</w:t>
      </w:r>
    </w:p>
    <w:p w14:paraId="32239DA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FF872D6">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685966F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ED0F9F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448202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本表即为对本项目“第三篇 项目商务需求”中所列服务要求进行比较和响应；</w:t>
      </w:r>
    </w:p>
    <w:p w14:paraId="3C4E837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该表可扩展。</w:t>
      </w:r>
    </w:p>
    <w:p w14:paraId="6B92ECCA">
      <w:pPr>
        <w:spacing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eastAsia="zh-CN"/>
        </w:rPr>
        <w:t>其他</w:t>
      </w:r>
      <w:r>
        <w:rPr>
          <w:rFonts w:hint="eastAsia" w:ascii="仿宋" w:hAnsi="仿宋" w:eastAsia="仿宋" w:cs="仿宋"/>
          <w:b/>
          <w:bCs/>
          <w:color w:val="auto"/>
          <w:sz w:val="24"/>
          <w:szCs w:val="24"/>
          <w:highlight w:val="none"/>
        </w:rPr>
        <w:t>商务资料（格式自拟）</w:t>
      </w:r>
    </w:p>
    <w:bookmarkEnd w:id="81"/>
    <w:bookmarkEnd w:id="82"/>
    <w:bookmarkEnd w:id="83"/>
    <w:p w14:paraId="00A3E570">
      <w:pPr>
        <w:snapToGrid w:val="0"/>
        <w:spacing w:line="360" w:lineRule="auto"/>
        <w:jc w:val="center"/>
        <w:rPr>
          <w:rFonts w:hint="eastAsia" w:ascii="仿宋" w:hAnsi="仿宋" w:eastAsia="仿宋" w:cs="仿宋"/>
          <w:color w:val="auto"/>
          <w:sz w:val="24"/>
          <w:szCs w:val="24"/>
          <w:highlight w:val="none"/>
        </w:rPr>
      </w:pPr>
    </w:p>
    <w:p w14:paraId="3EC4FF59">
      <w:pPr>
        <w:snapToGrid w:val="0"/>
        <w:spacing w:line="360" w:lineRule="auto"/>
        <w:rPr>
          <w:rFonts w:hint="eastAsia" w:ascii="仿宋" w:hAnsi="仿宋" w:eastAsia="仿宋" w:cs="仿宋"/>
          <w:color w:val="auto"/>
          <w:sz w:val="24"/>
          <w:szCs w:val="24"/>
          <w:highlight w:val="none"/>
        </w:rPr>
      </w:pPr>
    </w:p>
    <w:p w14:paraId="1FC5F370">
      <w:pPr>
        <w:snapToGrid w:val="0"/>
        <w:spacing w:line="360" w:lineRule="auto"/>
        <w:rPr>
          <w:rFonts w:hint="eastAsia" w:ascii="仿宋" w:hAnsi="仿宋" w:eastAsia="仿宋" w:cs="仿宋"/>
          <w:color w:val="auto"/>
          <w:sz w:val="24"/>
          <w:szCs w:val="24"/>
          <w:highlight w:val="none"/>
        </w:rPr>
      </w:pPr>
    </w:p>
    <w:p w14:paraId="1EAEA5B4">
      <w:pPr>
        <w:snapToGrid w:val="0"/>
        <w:spacing w:line="360" w:lineRule="auto"/>
        <w:rPr>
          <w:rFonts w:hint="eastAsia" w:ascii="仿宋" w:hAnsi="仿宋" w:eastAsia="仿宋" w:cs="仿宋"/>
          <w:color w:val="auto"/>
          <w:sz w:val="24"/>
          <w:szCs w:val="24"/>
          <w:highlight w:val="none"/>
        </w:rPr>
      </w:pPr>
    </w:p>
    <w:p w14:paraId="7255785C">
      <w:pPr>
        <w:snapToGrid w:val="0"/>
        <w:spacing w:line="360" w:lineRule="auto"/>
        <w:jc w:val="center"/>
        <w:rPr>
          <w:rFonts w:hint="eastAsia" w:ascii="仿宋" w:hAnsi="仿宋" w:eastAsia="仿宋" w:cs="仿宋"/>
          <w:color w:val="auto"/>
          <w:sz w:val="24"/>
          <w:szCs w:val="24"/>
          <w:highlight w:val="none"/>
        </w:rPr>
      </w:pPr>
    </w:p>
    <w:p w14:paraId="5CCF953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4" w:name="_Toc342913421"/>
      <w:bookmarkStart w:id="85" w:name="_Toc313008358"/>
      <w:bookmarkStart w:id="86" w:name="_Toc313888362"/>
    </w:p>
    <w:p w14:paraId="3F2904A2">
      <w:pPr>
        <w:spacing w:line="360" w:lineRule="auto"/>
        <w:rPr>
          <w:rFonts w:hint="eastAsia" w:ascii="仿宋" w:hAnsi="仿宋" w:eastAsia="仿宋" w:cs="仿宋"/>
          <w:color w:val="auto"/>
          <w:sz w:val="24"/>
          <w:szCs w:val="24"/>
          <w:highlight w:val="none"/>
        </w:rPr>
      </w:pPr>
      <w:bookmarkStart w:id="87" w:name="_Toc22714"/>
      <w:r>
        <w:rPr>
          <w:rFonts w:hint="eastAsia" w:ascii="仿宋" w:hAnsi="仿宋" w:eastAsia="仿宋" w:cs="仿宋"/>
          <w:color w:val="auto"/>
          <w:sz w:val="24"/>
          <w:szCs w:val="24"/>
          <w:highlight w:val="none"/>
        </w:rPr>
        <w:t>四、</w:t>
      </w:r>
      <w:bookmarkEnd w:id="84"/>
      <w:bookmarkEnd w:id="85"/>
      <w:bookmarkEnd w:id="86"/>
      <w:bookmarkStart w:id="88" w:name="_Toc283382459"/>
      <w:r>
        <w:rPr>
          <w:rFonts w:hint="eastAsia" w:ascii="仿宋" w:hAnsi="仿宋" w:eastAsia="仿宋" w:cs="仿宋"/>
          <w:color w:val="auto"/>
          <w:sz w:val="24"/>
          <w:szCs w:val="24"/>
          <w:highlight w:val="none"/>
        </w:rPr>
        <w:t>资格条件及其他</w:t>
      </w:r>
      <w:bookmarkEnd w:id="87"/>
    </w:p>
    <w:p w14:paraId="1A715DE2">
      <w:pPr>
        <w:tabs>
          <w:tab w:val="left" w:pos="6300"/>
        </w:tabs>
        <w:snapToGrid w:val="0"/>
        <w:spacing w:line="360" w:lineRule="auto"/>
        <w:ind w:firstLine="57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（一）法人营业执照（副本）或事业单位法人证书（副本）复印件</w:t>
      </w:r>
    </w:p>
    <w:p w14:paraId="7BB18B25">
      <w:pPr>
        <w:tabs>
          <w:tab w:val="left" w:pos="6300"/>
        </w:tabs>
        <w:snapToGrid w:val="0"/>
        <w:spacing w:line="360" w:lineRule="auto"/>
        <w:ind w:firstLine="570"/>
        <w:rPr>
          <w:rFonts w:hint="eastAsia" w:ascii="仿宋" w:hAnsi="仿宋" w:eastAsia="仿宋" w:cs="仿宋"/>
          <w:color w:val="auto"/>
          <w:sz w:val="24"/>
          <w:szCs w:val="24"/>
          <w:highlight w:val="none"/>
        </w:rPr>
      </w:pPr>
    </w:p>
    <w:p w14:paraId="15D588D5">
      <w:pPr>
        <w:tabs>
          <w:tab w:val="left" w:pos="6300"/>
        </w:tabs>
        <w:snapToGrid w:val="0"/>
        <w:spacing w:line="360" w:lineRule="auto"/>
        <w:ind w:firstLine="570"/>
        <w:rPr>
          <w:rFonts w:hint="eastAsia" w:ascii="仿宋" w:hAnsi="仿宋" w:eastAsia="仿宋" w:cs="仿宋"/>
          <w:color w:val="auto"/>
          <w:sz w:val="24"/>
          <w:szCs w:val="24"/>
          <w:highlight w:val="none"/>
        </w:rPr>
      </w:pPr>
    </w:p>
    <w:p w14:paraId="57D5958E">
      <w:pPr>
        <w:tabs>
          <w:tab w:val="left" w:pos="6300"/>
        </w:tabs>
        <w:snapToGrid w:val="0"/>
        <w:spacing w:line="360" w:lineRule="auto"/>
        <w:ind w:firstLine="570"/>
        <w:rPr>
          <w:rFonts w:hint="eastAsia" w:ascii="仿宋" w:hAnsi="仿宋" w:eastAsia="仿宋" w:cs="仿宋"/>
          <w:color w:val="auto"/>
          <w:sz w:val="24"/>
          <w:szCs w:val="24"/>
          <w:highlight w:val="none"/>
        </w:rPr>
      </w:pPr>
    </w:p>
    <w:p w14:paraId="548D8C05">
      <w:pPr>
        <w:widowControl/>
        <w:spacing w:line="360" w:lineRule="auto"/>
        <w:ind w:firstLine="482" w:firstLineChars="20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（二）法定代表人身份证明书（格式）</w:t>
      </w:r>
    </w:p>
    <w:p w14:paraId="785DA186">
      <w:pPr>
        <w:tabs>
          <w:tab w:val="left" w:pos="6300"/>
        </w:tabs>
        <w:snapToGrid w:val="0"/>
        <w:spacing w:line="360" w:lineRule="auto"/>
        <w:ind w:firstLine="570"/>
        <w:rPr>
          <w:rFonts w:hint="eastAsia" w:ascii="仿宋" w:hAnsi="仿宋" w:eastAsia="仿宋" w:cs="仿宋"/>
          <w:color w:val="auto"/>
          <w:sz w:val="24"/>
          <w:szCs w:val="24"/>
          <w:highlight w:val="none"/>
        </w:rPr>
      </w:pPr>
    </w:p>
    <w:p w14:paraId="4DBC3A5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126435ED">
      <w:pPr>
        <w:tabs>
          <w:tab w:val="left" w:pos="6300"/>
        </w:tabs>
        <w:snapToGrid w:val="0"/>
        <w:spacing w:line="360" w:lineRule="auto"/>
        <w:ind w:firstLine="570"/>
        <w:rPr>
          <w:rFonts w:hint="eastAsia" w:ascii="仿宋" w:hAnsi="仿宋" w:eastAsia="仿宋" w:cs="仿宋"/>
          <w:color w:val="auto"/>
          <w:sz w:val="24"/>
          <w:szCs w:val="24"/>
          <w:highlight w:val="none"/>
        </w:rPr>
      </w:pPr>
    </w:p>
    <w:p w14:paraId="167CBA0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6858F75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的法定代表人。</w:t>
      </w:r>
    </w:p>
    <w:p w14:paraId="482DF02F">
      <w:pPr>
        <w:tabs>
          <w:tab w:val="left" w:pos="6300"/>
        </w:tabs>
        <w:snapToGrid w:val="0"/>
        <w:spacing w:line="360" w:lineRule="auto"/>
        <w:ind w:firstLine="570"/>
        <w:rPr>
          <w:rFonts w:hint="eastAsia" w:ascii="仿宋" w:hAnsi="仿宋" w:eastAsia="仿宋" w:cs="仿宋"/>
          <w:color w:val="auto"/>
          <w:sz w:val="24"/>
          <w:szCs w:val="24"/>
          <w:highlight w:val="none"/>
        </w:rPr>
      </w:pPr>
    </w:p>
    <w:p w14:paraId="76A4F80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E6D7DBD">
      <w:pPr>
        <w:tabs>
          <w:tab w:val="left" w:pos="6300"/>
        </w:tabs>
        <w:snapToGrid w:val="0"/>
        <w:spacing w:line="360" w:lineRule="auto"/>
        <w:ind w:firstLine="570"/>
        <w:rPr>
          <w:rFonts w:hint="eastAsia" w:ascii="仿宋" w:hAnsi="仿宋" w:eastAsia="仿宋" w:cs="仿宋"/>
          <w:color w:val="auto"/>
          <w:sz w:val="24"/>
          <w:szCs w:val="24"/>
          <w:highlight w:val="none"/>
        </w:rPr>
      </w:pPr>
    </w:p>
    <w:p w14:paraId="52CF7266">
      <w:pPr>
        <w:tabs>
          <w:tab w:val="left" w:pos="6300"/>
        </w:tabs>
        <w:snapToGrid w:val="0"/>
        <w:spacing w:line="360" w:lineRule="auto"/>
        <w:ind w:firstLine="570"/>
        <w:rPr>
          <w:rFonts w:hint="eastAsia" w:ascii="仿宋" w:hAnsi="仿宋" w:eastAsia="仿宋" w:cs="仿宋"/>
          <w:color w:val="auto"/>
          <w:sz w:val="24"/>
          <w:szCs w:val="24"/>
          <w:highlight w:val="none"/>
        </w:rPr>
      </w:pPr>
    </w:p>
    <w:p w14:paraId="19AAACBA">
      <w:pPr>
        <w:tabs>
          <w:tab w:val="left" w:pos="6300"/>
        </w:tabs>
        <w:snapToGrid w:val="0"/>
        <w:spacing w:line="360" w:lineRule="auto"/>
        <w:ind w:firstLine="570"/>
        <w:rPr>
          <w:rFonts w:hint="eastAsia" w:ascii="仿宋" w:hAnsi="仿宋" w:eastAsia="仿宋" w:cs="仿宋"/>
          <w:color w:val="auto"/>
          <w:sz w:val="24"/>
          <w:szCs w:val="24"/>
          <w:highlight w:val="none"/>
        </w:rPr>
      </w:pPr>
    </w:p>
    <w:p w14:paraId="3AE59A3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9A2D34F">
      <w:pPr>
        <w:tabs>
          <w:tab w:val="left" w:pos="6300"/>
        </w:tabs>
        <w:snapToGrid w:val="0"/>
        <w:spacing w:line="360" w:lineRule="auto"/>
        <w:ind w:firstLine="570"/>
        <w:rPr>
          <w:rFonts w:hint="eastAsia" w:ascii="仿宋" w:hAnsi="仿宋" w:eastAsia="仿宋" w:cs="仿宋"/>
          <w:color w:val="auto"/>
          <w:sz w:val="24"/>
          <w:szCs w:val="24"/>
          <w:highlight w:val="none"/>
        </w:rPr>
      </w:pPr>
    </w:p>
    <w:p w14:paraId="1B05E88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155CD71">
      <w:pPr>
        <w:tabs>
          <w:tab w:val="left" w:pos="6300"/>
        </w:tabs>
        <w:snapToGrid w:val="0"/>
        <w:spacing w:line="360" w:lineRule="auto"/>
        <w:ind w:firstLine="570"/>
        <w:rPr>
          <w:rFonts w:hint="eastAsia" w:ascii="仿宋" w:hAnsi="仿宋" w:eastAsia="仿宋" w:cs="仿宋"/>
          <w:color w:val="auto"/>
          <w:sz w:val="24"/>
          <w:szCs w:val="24"/>
          <w:highlight w:val="none"/>
        </w:rPr>
      </w:pPr>
    </w:p>
    <w:p w14:paraId="2C7ADCA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7C2978A7">
      <w:pPr>
        <w:tabs>
          <w:tab w:val="left" w:pos="6300"/>
        </w:tabs>
        <w:snapToGrid w:val="0"/>
        <w:spacing w:line="360" w:lineRule="auto"/>
        <w:ind w:firstLine="570"/>
        <w:rPr>
          <w:rFonts w:hint="eastAsia" w:ascii="仿宋" w:hAnsi="仿宋" w:eastAsia="仿宋" w:cs="仿宋"/>
          <w:color w:val="auto"/>
          <w:sz w:val="24"/>
          <w:szCs w:val="24"/>
          <w:highlight w:val="none"/>
        </w:rPr>
      </w:pPr>
    </w:p>
    <w:p w14:paraId="75D08F2D">
      <w:pPr>
        <w:tabs>
          <w:tab w:val="left" w:pos="6300"/>
        </w:tabs>
        <w:snapToGrid w:val="0"/>
        <w:spacing w:line="360" w:lineRule="auto"/>
        <w:ind w:firstLine="570"/>
        <w:rPr>
          <w:rFonts w:hint="eastAsia" w:ascii="仿宋" w:hAnsi="仿宋" w:eastAsia="仿宋" w:cs="仿宋"/>
          <w:color w:val="auto"/>
          <w:sz w:val="24"/>
          <w:szCs w:val="24"/>
          <w:highlight w:val="none"/>
        </w:rPr>
      </w:pPr>
    </w:p>
    <w:p w14:paraId="1A627ABC">
      <w:pPr>
        <w:tabs>
          <w:tab w:val="left" w:pos="6300"/>
        </w:tabs>
        <w:snapToGrid w:val="0"/>
        <w:spacing w:line="360" w:lineRule="auto"/>
        <w:ind w:firstLine="570"/>
        <w:rPr>
          <w:rFonts w:hint="eastAsia" w:ascii="仿宋" w:hAnsi="仿宋" w:eastAsia="仿宋" w:cs="仿宋"/>
          <w:color w:val="auto"/>
          <w:sz w:val="24"/>
          <w:szCs w:val="24"/>
          <w:highlight w:val="none"/>
        </w:rPr>
      </w:pPr>
    </w:p>
    <w:p w14:paraId="3115A88B">
      <w:pPr>
        <w:tabs>
          <w:tab w:val="left" w:pos="6300"/>
        </w:tabs>
        <w:snapToGrid w:val="0"/>
        <w:spacing w:line="360" w:lineRule="auto"/>
        <w:ind w:firstLine="570"/>
        <w:rPr>
          <w:rFonts w:hint="eastAsia" w:ascii="仿宋" w:hAnsi="仿宋" w:eastAsia="仿宋" w:cs="仿宋"/>
          <w:color w:val="auto"/>
          <w:sz w:val="24"/>
          <w:szCs w:val="24"/>
          <w:highlight w:val="none"/>
        </w:rPr>
      </w:pPr>
    </w:p>
    <w:p w14:paraId="64A007EA">
      <w:pPr>
        <w:tabs>
          <w:tab w:val="left" w:pos="6300"/>
        </w:tabs>
        <w:snapToGrid w:val="0"/>
        <w:spacing w:line="360" w:lineRule="auto"/>
        <w:ind w:firstLine="570"/>
        <w:rPr>
          <w:rFonts w:hint="eastAsia" w:ascii="仿宋" w:hAnsi="仿宋" w:eastAsia="仿宋" w:cs="仿宋"/>
          <w:color w:val="auto"/>
          <w:sz w:val="24"/>
          <w:szCs w:val="24"/>
          <w:highlight w:val="none"/>
        </w:rPr>
      </w:pPr>
    </w:p>
    <w:p w14:paraId="34340331">
      <w:pPr>
        <w:tabs>
          <w:tab w:val="left" w:pos="6300"/>
        </w:tabs>
        <w:snapToGrid w:val="0"/>
        <w:spacing w:line="360" w:lineRule="auto"/>
        <w:ind w:firstLine="570"/>
        <w:rPr>
          <w:rFonts w:hint="eastAsia" w:ascii="仿宋" w:hAnsi="仿宋" w:eastAsia="仿宋" w:cs="仿宋"/>
          <w:color w:val="auto"/>
          <w:sz w:val="24"/>
          <w:szCs w:val="24"/>
          <w:highlight w:val="none"/>
        </w:rPr>
      </w:pPr>
    </w:p>
    <w:p w14:paraId="67235C18">
      <w:pPr>
        <w:tabs>
          <w:tab w:val="left" w:pos="6300"/>
        </w:tabs>
        <w:snapToGrid w:val="0"/>
        <w:spacing w:line="360" w:lineRule="auto"/>
        <w:ind w:firstLine="57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（三）法定代表人授权委托书（格式）</w:t>
      </w:r>
    </w:p>
    <w:p w14:paraId="6B4693A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7C15A8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p>
    <w:p w14:paraId="16E9C962">
      <w:pPr>
        <w:tabs>
          <w:tab w:val="left" w:pos="6300"/>
        </w:tabs>
        <w:snapToGrid w:val="0"/>
        <w:spacing w:line="360" w:lineRule="auto"/>
        <w:ind w:firstLine="570"/>
        <w:rPr>
          <w:rFonts w:hint="eastAsia" w:ascii="仿宋" w:hAnsi="仿宋" w:eastAsia="仿宋" w:cs="仿宋"/>
          <w:color w:val="auto"/>
          <w:sz w:val="24"/>
          <w:szCs w:val="24"/>
          <w:highlight w:val="none"/>
        </w:rPr>
      </w:pPr>
    </w:p>
    <w:p w14:paraId="32F56CC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2E6E224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（被授权人姓名及身份证代码）代表我单位全权办理上述项目的磋商、签约等具体工作，并签署全部有关文件、协议及合同。</w:t>
      </w:r>
    </w:p>
    <w:p w14:paraId="3D5C2C3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0945FE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撤销授权的书面通知以前，本授权书一直有效。被授权人在授权书有效期内签署的所有文件不因授权的撤销</w:t>
      </w:r>
      <w:r>
        <w:rPr>
          <w:rFonts w:hint="eastAsia" w:ascii="仿宋" w:hAnsi="仿宋" w:eastAsia="仿宋" w:cs="仿宋"/>
          <w:color w:val="auto"/>
          <w:sz w:val="24"/>
          <w:szCs w:val="24"/>
          <w:highlight w:val="none"/>
        </w:rPr>
        <w:t>而失效。</w:t>
      </w:r>
    </w:p>
    <w:p w14:paraId="70FB543B">
      <w:pPr>
        <w:tabs>
          <w:tab w:val="left" w:pos="6300"/>
        </w:tabs>
        <w:snapToGrid w:val="0"/>
        <w:spacing w:line="360" w:lineRule="auto"/>
        <w:ind w:firstLine="570"/>
        <w:rPr>
          <w:rFonts w:hint="eastAsia" w:ascii="仿宋" w:hAnsi="仿宋" w:eastAsia="仿宋" w:cs="仿宋"/>
          <w:color w:val="auto"/>
          <w:sz w:val="24"/>
          <w:szCs w:val="24"/>
          <w:highlight w:val="none"/>
        </w:rPr>
      </w:pPr>
    </w:p>
    <w:p w14:paraId="6DB7F279">
      <w:pPr>
        <w:tabs>
          <w:tab w:val="left" w:pos="6300"/>
        </w:tabs>
        <w:snapToGrid w:val="0"/>
        <w:spacing w:line="360" w:lineRule="auto"/>
        <w:ind w:firstLine="570"/>
        <w:rPr>
          <w:rFonts w:hint="eastAsia" w:ascii="仿宋" w:hAnsi="仿宋" w:eastAsia="仿宋" w:cs="仿宋"/>
          <w:color w:val="auto"/>
          <w:sz w:val="24"/>
          <w:szCs w:val="24"/>
          <w:highlight w:val="none"/>
        </w:rPr>
      </w:pPr>
    </w:p>
    <w:p w14:paraId="7CCD015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6579EA7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52AB316C">
      <w:pPr>
        <w:tabs>
          <w:tab w:val="left" w:pos="6300"/>
        </w:tabs>
        <w:snapToGrid w:val="0"/>
        <w:spacing w:line="360" w:lineRule="auto"/>
        <w:ind w:firstLine="570"/>
        <w:rPr>
          <w:rFonts w:hint="eastAsia" w:ascii="仿宋" w:hAnsi="仿宋" w:eastAsia="仿宋" w:cs="仿宋"/>
          <w:color w:val="auto"/>
          <w:sz w:val="24"/>
          <w:szCs w:val="24"/>
          <w:highlight w:val="none"/>
        </w:rPr>
      </w:pPr>
    </w:p>
    <w:p w14:paraId="1AD239CD">
      <w:pPr>
        <w:tabs>
          <w:tab w:val="left" w:pos="6300"/>
        </w:tabs>
        <w:snapToGrid w:val="0"/>
        <w:spacing w:line="360" w:lineRule="auto"/>
        <w:ind w:firstLine="570"/>
        <w:rPr>
          <w:rFonts w:hint="eastAsia" w:ascii="仿宋" w:hAnsi="仿宋" w:eastAsia="仿宋" w:cs="仿宋"/>
          <w:color w:val="auto"/>
          <w:sz w:val="24"/>
          <w:szCs w:val="24"/>
          <w:highlight w:val="none"/>
        </w:rPr>
      </w:pPr>
    </w:p>
    <w:p w14:paraId="2AB52C9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5C259A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0EAC5AA">
      <w:pPr>
        <w:tabs>
          <w:tab w:val="left" w:pos="6300"/>
        </w:tabs>
        <w:snapToGrid w:val="0"/>
        <w:spacing w:line="360" w:lineRule="auto"/>
        <w:ind w:firstLine="570"/>
        <w:rPr>
          <w:rFonts w:hint="eastAsia" w:ascii="仿宋" w:hAnsi="仿宋" w:eastAsia="仿宋" w:cs="仿宋"/>
          <w:color w:val="auto"/>
          <w:sz w:val="24"/>
          <w:szCs w:val="24"/>
          <w:highlight w:val="none"/>
        </w:rPr>
      </w:pPr>
    </w:p>
    <w:p w14:paraId="7C90413E">
      <w:pPr>
        <w:tabs>
          <w:tab w:val="left" w:pos="6300"/>
        </w:tabs>
        <w:snapToGrid w:val="0"/>
        <w:spacing w:line="360" w:lineRule="auto"/>
        <w:ind w:firstLine="570"/>
        <w:rPr>
          <w:rFonts w:hint="eastAsia" w:ascii="仿宋" w:hAnsi="仿宋" w:eastAsia="仿宋" w:cs="仿宋"/>
          <w:color w:val="auto"/>
          <w:sz w:val="24"/>
          <w:szCs w:val="24"/>
          <w:highlight w:val="none"/>
        </w:rPr>
      </w:pPr>
    </w:p>
    <w:p w14:paraId="6416E9EF">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8880ED0">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297B66A">
      <w:pPr>
        <w:numPr>
          <w:ilvl w:val="255"/>
          <w:numId w:val="0"/>
        </w:numPr>
        <w:tabs>
          <w:tab w:val="left" w:pos="6300"/>
        </w:tabs>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b/>
          <w:bCs/>
          <w:color w:val="auto"/>
          <w:sz w:val="24"/>
          <w:szCs w:val="24"/>
          <w:highlight w:val="none"/>
        </w:rPr>
        <w:t>（四）基本资格条件承诺函</w:t>
      </w:r>
    </w:p>
    <w:p w14:paraId="12C324AE">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（代理机构名称）：</w:t>
      </w:r>
    </w:p>
    <w:p w14:paraId="710D52A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05ED638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1E40E0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w:t>
      </w:r>
      <w:r>
        <w:rPr>
          <w:rFonts w:hint="eastAsia" w:ascii="仿宋" w:hAnsi="仿宋" w:eastAsia="仿宋" w:cs="仿宋"/>
          <w:color w:val="auto"/>
          <w:sz w:val="24"/>
          <w:szCs w:val="24"/>
          <w:highlight w:val="none"/>
          <w:lang w:eastAsia="zh-CN"/>
        </w:rPr>
        <w:t>列入</w:t>
      </w:r>
      <w:r>
        <w:rPr>
          <w:rFonts w:hint="eastAsia" w:ascii="仿宋" w:hAnsi="仿宋" w:eastAsia="仿宋" w:cs="仿宋"/>
          <w:color w:val="auto"/>
          <w:sz w:val="24"/>
          <w:szCs w:val="24"/>
          <w:highlight w:val="none"/>
        </w:rPr>
        <w:t>信用中国网站（www.creditchina.gov.cn）“失信被执行人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重大税收违法案件当事人名单”中，也未列入中国政府采购网（www.ccgp.gov.cn）“政府采购严重违法失信行为记录名单”中。</w:t>
      </w:r>
    </w:p>
    <w:p w14:paraId="25996A1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3.我方在采购项目评审（评标）环节结束后，随时接受比选人、比选代理机构的检查验证，配合提供相关证明材料，证明符合《中华人民共和国政府采购法》规定的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3DAC4F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C5051D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AA34027">
      <w:pPr>
        <w:tabs>
          <w:tab w:val="left" w:pos="6300"/>
        </w:tabs>
        <w:snapToGrid w:val="0"/>
        <w:spacing w:line="360" w:lineRule="auto"/>
        <w:ind w:firstLine="570"/>
        <w:rPr>
          <w:rFonts w:hint="eastAsia" w:ascii="仿宋" w:hAnsi="仿宋" w:eastAsia="仿宋" w:cs="仿宋"/>
          <w:color w:val="auto"/>
          <w:sz w:val="24"/>
          <w:szCs w:val="24"/>
          <w:highlight w:val="none"/>
        </w:rPr>
      </w:pPr>
    </w:p>
    <w:p w14:paraId="12FDA75B">
      <w:pPr>
        <w:tabs>
          <w:tab w:val="left" w:pos="6300"/>
        </w:tabs>
        <w:snapToGrid w:val="0"/>
        <w:spacing w:line="360" w:lineRule="auto"/>
        <w:ind w:firstLine="57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168F00A">
      <w:pPr>
        <w:tabs>
          <w:tab w:val="left" w:pos="6300"/>
        </w:tabs>
        <w:snapToGrid w:val="0"/>
        <w:spacing w:line="360" w:lineRule="auto"/>
        <w:ind w:right="168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B466280">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412002EE">
      <w:pPr>
        <w:numPr>
          <w:ilvl w:val="255"/>
          <w:numId w:val="0"/>
        </w:numPr>
        <w:tabs>
          <w:tab w:val="left" w:pos="6300"/>
        </w:tabs>
        <w:snapToGrid w:val="0"/>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（五）特定资格条件</w:t>
      </w:r>
    </w:p>
    <w:p w14:paraId="4BF61A54">
      <w:pPr>
        <w:numPr>
          <w:ilvl w:val="255"/>
          <w:numId w:val="0"/>
        </w:numPr>
        <w:tabs>
          <w:tab w:val="left" w:pos="6300"/>
        </w:tabs>
        <w:snapToGrid w:val="0"/>
        <w:spacing w:line="360" w:lineRule="auto"/>
        <w:jc w:val="center"/>
        <w:rPr>
          <w:rFonts w:hint="eastAsia" w:ascii="仿宋" w:hAnsi="仿宋" w:eastAsia="仿宋" w:cs="仿宋"/>
          <w:color w:val="auto"/>
          <w:sz w:val="21"/>
          <w:szCs w:val="21"/>
          <w:highlight w:val="none"/>
        </w:rPr>
      </w:pPr>
    </w:p>
    <w:p w14:paraId="02F04545">
      <w:pPr>
        <w:numPr>
          <w:ilvl w:val="255"/>
          <w:numId w:val="0"/>
        </w:numPr>
        <w:tabs>
          <w:tab w:val="left" w:pos="6300"/>
        </w:tabs>
        <w:snapToGrid w:val="0"/>
        <w:spacing w:line="360" w:lineRule="auto"/>
        <w:rPr>
          <w:rFonts w:hint="eastAsia" w:ascii="仿宋" w:hAnsi="仿宋" w:eastAsia="仿宋" w:cs="仿宋"/>
          <w:color w:val="auto"/>
          <w:sz w:val="24"/>
          <w:szCs w:val="24"/>
          <w:highlight w:val="none"/>
        </w:rPr>
      </w:pPr>
    </w:p>
    <w:p w14:paraId="617C6EFE">
      <w:pPr>
        <w:spacing w:line="360" w:lineRule="auto"/>
        <w:rPr>
          <w:rFonts w:hint="eastAsia" w:ascii="仿宋" w:hAnsi="仿宋" w:eastAsia="仿宋" w:cs="仿宋"/>
          <w:color w:val="auto"/>
          <w:sz w:val="24"/>
          <w:szCs w:val="24"/>
          <w:highlight w:val="none"/>
        </w:rPr>
      </w:pPr>
    </w:p>
    <w:p w14:paraId="027CC516">
      <w:pPr>
        <w:spacing w:line="360" w:lineRule="auto"/>
        <w:rPr>
          <w:rFonts w:hint="eastAsia" w:ascii="仿宋" w:hAnsi="仿宋" w:eastAsia="仿宋" w:cs="仿宋"/>
          <w:color w:val="auto"/>
          <w:sz w:val="24"/>
          <w:szCs w:val="24"/>
          <w:highlight w:val="none"/>
        </w:rPr>
      </w:pPr>
    </w:p>
    <w:p w14:paraId="57793729">
      <w:pPr>
        <w:spacing w:line="360" w:lineRule="auto"/>
        <w:rPr>
          <w:rFonts w:hint="eastAsia" w:ascii="仿宋" w:hAnsi="仿宋" w:eastAsia="仿宋" w:cs="仿宋"/>
          <w:color w:val="auto"/>
          <w:sz w:val="24"/>
          <w:szCs w:val="24"/>
          <w:highlight w:val="none"/>
        </w:rPr>
      </w:pPr>
    </w:p>
    <w:p w14:paraId="1A9178E7">
      <w:pPr>
        <w:spacing w:line="360" w:lineRule="auto"/>
        <w:rPr>
          <w:rFonts w:hint="eastAsia" w:ascii="仿宋" w:hAnsi="仿宋" w:eastAsia="仿宋" w:cs="仿宋"/>
          <w:color w:val="auto"/>
          <w:sz w:val="24"/>
          <w:szCs w:val="24"/>
          <w:highlight w:val="none"/>
        </w:rPr>
      </w:pPr>
    </w:p>
    <w:p w14:paraId="52D964C1">
      <w:pPr>
        <w:spacing w:line="360" w:lineRule="auto"/>
        <w:rPr>
          <w:rFonts w:hint="eastAsia" w:ascii="仿宋" w:hAnsi="仿宋" w:eastAsia="仿宋" w:cs="仿宋"/>
          <w:color w:val="auto"/>
          <w:sz w:val="24"/>
          <w:szCs w:val="24"/>
          <w:highlight w:val="none"/>
        </w:rPr>
      </w:pPr>
    </w:p>
    <w:p w14:paraId="45C89B4E">
      <w:pPr>
        <w:spacing w:line="360" w:lineRule="auto"/>
        <w:rPr>
          <w:rFonts w:hint="eastAsia" w:ascii="仿宋" w:hAnsi="仿宋" w:eastAsia="仿宋" w:cs="仿宋"/>
          <w:color w:val="auto"/>
          <w:sz w:val="24"/>
          <w:szCs w:val="24"/>
          <w:highlight w:val="none"/>
        </w:rPr>
      </w:pPr>
    </w:p>
    <w:p w14:paraId="4712695A">
      <w:pPr>
        <w:spacing w:line="360" w:lineRule="auto"/>
        <w:rPr>
          <w:rFonts w:hint="eastAsia" w:ascii="仿宋" w:hAnsi="仿宋" w:eastAsia="仿宋" w:cs="仿宋"/>
          <w:color w:val="auto"/>
          <w:sz w:val="24"/>
          <w:szCs w:val="24"/>
          <w:highlight w:val="none"/>
        </w:rPr>
      </w:pPr>
    </w:p>
    <w:p w14:paraId="455C509C">
      <w:pPr>
        <w:spacing w:line="360" w:lineRule="auto"/>
        <w:rPr>
          <w:rFonts w:hint="eastAsia" w:ascii="仿宋" w:hAnsi="仿宋" w:eastAsia="仿宋" w:cs="仿宋"/>
          <w:color w:val="auto"/>
          <w:sz w:val="24"/>
          <w:szCs w:val="24"/>
          <w:highlight w:val="none"/>
        </w:rPr>
      </w:pPr>
    </w:p>
    <w:p w14:paraId="64556FB1">
      <w:pPr>
        <w:spacing w:line="360" w:lineRule="auto"/>
        <w:rPr>
          <w:rFonts w:hint="eastAsia" w:ascii="仿宋" w:hAnsi="仿宋" w:eastAsia="仿宋" w:cs="仿宋"/>
          <w:color w:val="auto"/>
          <w:sz w:val="24"/>
          <w:szCs w:val="24"/>
          <w:highlight w:val="none"/>
        </w:rPr>
      </w:pPr>
    </w:p>
    <w:p w14:paraId="7C737CE7">
      <w:pPr>
        <w:spacing w:line="360" w:lineRule="auto"/>
        <w:rPr>
          <w:rFonts w:hint="eastAsia" w:ascii="仿宋" w:hAnsi="仿宋" w:eastAsia="仿宋" w:cs="仿宋"/>
          <w:color w:val="auto"/>
          <w:sz w:val="24"/>
          <w:szCs w:val="24"/>
          <w:highlight w:val="none"/>
        </w:rPr>
      </w:pPr>
    </w:p>
    <w:p w14:paraId="38A72152">
      <w:pPr>
        <w:spacing w:line="360" w:lineRule="auto"/>
        <w:rPr>
          <w:rFonts w:hint="eastAsia" w:ascii="仿宋" w:hAnsi="仿宋" w:eastAsia="仿宋" w:cs="仿宋"/>
          <w:color w:val="auto"/>
          <w:sz w:val="24"/>
          <w:szCs w:val="24"/>
          <w:highlight w:val="none"/>
        </w:rPr>
      </w:pPr>
    </w:p>
    <w:p w14:paraId="77EABF0E">
      <w:pPr>
        <w:spacing w:line="360" w:lineRule="auto"/>
        <w:rPr>
          <w:rFonts w:hint="eastAsia" w:ascii="仿宋" w:hAnsi="仿宋" w:eastAsia="仿宋" w:cs="仿宋"/>
          <w:color w:val="auto"/>
          <w:sz w:val="24"/>
          <w:szCs w:val="24"/>
          <w:highlight w:val="none"/>
        </w:rPr>
      </w:pPr>
    </w:p>
    <w:p w14:paraId="54BBA70A">
      <w:pPr>
        <w:spacing w:line="360" w:lineRule="auto"/>
        <w:rPr>
          <w:rFonts w:hint="eastAsia" w:ascii="仿宋" w:hAnsi="仿宋" w:eastAsia="仿宋" w:cs="仿宋"/>
          <w:color w:val="auto"/>
          <w:sz w:val="24"/>
          <w:szCs w:val="24"/>
          <w:highlight w:val="none"/>
        </w:rPr>
      </w:pPr>
    </w:p>
    <w:p w14:paraId="755D2236">
      <w:pPr>
        <w:spacing w:line="360" w:lineRule="auto"/>
        <w:rPr>
          <w:rFonts w:hint="eastAsia" w:ascii="仿宋" w:hAnsi="仿宋" w:eastAsia="仿宋" w:cs="仿宋"/>
          <w:color w:val="auto"/>
          <w:sz w:val="24"/>
          <w:szCs w:val="24"/>
          <w:highlight w:val="none"/>
        </w:rPr>
      </w:pPr>
    </w:p>
    <w:p w14:paraId="5680E49B">
      <w:pPr>
        <w:spacing w:line="360" w:lineRule="auto"/>
        <w:rPr>
          <w:rFonts w:hint="eastAsia" w:ascii="仿宋" w:hAnsi="仿宋" w:eastAsia="仿宋" w:cs="仿宋"/>
          <w:color w:val="auto"/>
          <w:sz w:val="24"/>
          <w:szCs w:val="24"/>
          <w:highlight w:val="none"/>
        </w:rPr>
      </w:pPr>
    </w:p>
    <w:p w14:paraId="5E56AF04">
      <w:pPr>
        <w:spacing w:line="360" w:lineRule="auto"/>
        <w:rPr>
          <w:rFonts w:hint="eastAsia" w:ascii="仿宋" w:hAnsi="仿宋" w:eastAsia="仿宋" w:cs="仿宋"/>
          <w:color w:val="auto"/>
          <w:sz w:val="24"/>
          <w:szCs w:val="24"/>
          <w:highlight w:val="none"/>
        </w:rPr>
      </w:pPr>
    </w:p>
    <w:p w14:paraId="741BDC95">
      <w:pPr>
        <w:spacing w:line="360" w:lineRule="auto"/>
        <w:rPr>
          <w:rFonts w:hint="eastAsia" w:ascii="仿宋" w:hAnsi="仿宋" w:eastAsia="仿宋" w:cs="仿宋"/>
          <w:color w:val="auto"/>
          <w:sz w:val="24"/>
          <w:szCs w:val="24"/>
          <w:highlight w:val="none"/>
        </w:rPr>
      </w:pPr>
    </w:p>
    <w:p w14:paraId="26A4656D">
      <w:pPr>
        <w:spacing w:line="360" w:lineRule="auto"/>
        <w:rPr>
          <w:rFonts w:hint="eastAsia" w:ascii="仿宋" w:hAnsi="仿宋" w:eastAsia="仿宋" w:cs="仿宋"/>
          <w:color w:val="auto"/>
          <w:sz w:val="24"/>
          <w:szCs w:val="24"/>
          <w:highlight w:val="none"/>
        </w:rPr>
      </w:pPr>
    </w:p>
    <w:p w14:paraId="623DA1C7">
      <w:pPr>
        <w:spacing w:line="360" w:lineRule="auto"/>
        <w:rPr>
          <w:rFonts w:hint="eastAsia" w:ascii="仿宋" w:hAnsi="仿宋" w:eastAsia="仿宋" w:cs="仿宋"/>
          <w:color w:val="auto"/>
          <w:sz w:val="24"/>
          <w:szCs w:val="24"/>
          <w:highlight w:val="none"/>
        </w:rPr>
      </w:pPr>
    </w:p>
    <w:p w14:paraId="06991C7C">
      <w:pPr>
        <w:spacing w:line="360" w:lineRule="auto"/>
        <w:rPr>
          <w:rFonts w:hint="eastAsia" w:ascii="仿宋" w:hAnsi="仿宋" w:eastAsia="仿宋" w:cs="仿宋"/>
          <w:color w:val="auto"/>
          <w:sz w:val="24"/>
          <w:szCs w:val="24"/>
          <w:highlight w:val="none"/>
        </w:rPr>
      </w:pPr>
    </w:p>
    <w:p w14:paraId="7B437A38">
      <w:pPr>
        <w:spacing w:line="360" w:lineRule="auto"/>
        <w:rPr>
          <w:rFonts w:hint="eastAsia" w:ascii="仿宋" w:hAnsi="仿宋" w:eastAsia="仿宋" w:cs="仿宋"/>
          <w:color w:val="auto"/>
          <w:sz w:val="24"/>
          <w:szCs w:val="24"/>
          <w:highlight w:val="none"/>
        </w:rPr>
      </w:pPr>
    </w:p>
    <w:p w14:paraId="11DC0C4A">
      <w:pPr>
        <w:spacing w:line="360" w:lineRule="auto"/>
        <w:rPr>
          <w:rFonts w:hint="eastAsia" w:ascii="仿宋" w:hAnsi="仿宋" w:eastAsia="仿宋" w:cs="仿宋"/>
          <w:color w:val="auto"/>
          <w:sz w:val="24"/>
          <w:szCs w:val="24"/>
          <w:highlight w:val="none"/>
        </w:rPr>
      </w:pPr>
    </w:p>
    <w:p w14:paraId="19FAFC4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bookmarkEnd w:id="88"/>
      <w:bookmarkStart w:id="89" w:name="_Toc313888363"/>
      <w:bookmarkStart w:id="90" w:name="_Toc342913422"/>
      <w:bookmarkStart w:id="91" w:name="_Toc313008359"/>
      <w:bookmarkStart w:id="92" w:name="_Toc17382"/>
      <w:r>
        <w:rPr>
          <w:rFonts w:hint="eastAsia" w:ascii="仿宋" w:hAnsi="仿宋" w:eastAsia="仿宋" w:cs="仿宋"/>
          <w:color w:val="auto"/>
          <w:sz w:val="24"/>
          <w:szCs w:val="24"/>
          <w:highlight w:val="none"/>
        </w:rPr>
        <w:t>五、</w:t>
      </w:r>
      <w:bookmarkEnd w:id="89"/>
      <w:bookmarkEnd w:id="90"/>
      <w:bookmarkEnd w:id="91"/>
      <w:bookmarkStart w:id="93" w:name="_Toc14422"/>
      <w:r>
        <w:rPr>
          <w:rFonts w:hint="eastAsia" w:ascii="仿宋" w:hAnsi="仿宋" w:eastAsia="仿宋" w:cs="仿宋"/>
          <w:color w:val="auto"/>
          <w:sz w:val="24"/>
          <w:szCs w:val="24"/>
          <w:highlight w:val="none"/>
        </w:rPr>
        <w:t>其他应提供的材料</w:t>
      </w:r>
      <w:bookmarkEnd w:id="92"/>
    </w:p>
    <w:bookmarkEnd w:id="93"/>
    <w:p w14:paraId="79B8E3E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r>
        <w:rPr>
          <w:rFonts w:hint="eastAsia" w:ascii="仿宋" w:hAnsi="仿宋" w:eastAsia="仿宋" w:cs="仿宋"/>
          <w:color w:val="auto"/>
          <w:sz w:val="24"/>
          <w:szCs w:val="24"/>
          <w:highlight w:val="none"/>
          <w:lang w:eastAsia="zh-CN"/>
        </w:rPr>
        <w:t>（如有，自附）</w:t>
      </w:r>
    </w:p>
    <w:p w14:paraId="5DBA3D68">
      <w:pPr>
        <w:snapToGrid w:val="0"/>
        <w:spacing w:line="360" w:lineRule="auto"/>
        <w:rPr>
          <w:rFonts w:hint="eastAsia" w:ascii="仿宋" w:hAnsi="仿宋" w:eastAsia="仿宋" w:cs="仿宋"/>
          <w:color w:val="auto"/>
          <w:sz w:val="24"/>
          <w:szCs w:val="24"/>
          <w:highlight w:val="none"/>
        </w:rPr>
      </w:pPr>
    </w:p>
    <w:p w14:paraId="3C814BC0">
      <w:pPr>
        <w:snapToGrid w:val="0"/>
        <w:spacing w:line="360" w:lineRule="auto"/>
        <w:rPr>
          <w:rFonts w:hint="eastAsia" w:ascii="仿宋" w:hAnsi="仿宋" w:eastAsia="仿宋" w:cs="仿宋"/>
          <w:color w:val="auto"/>
          <w:sz w:val="24"/>
          <w:szCs w:val="24"/>
          <w:highlight w:val="none"/>
        </w:rPr>
      </w:pPr>
    </w:p>
    <w:p w14:paraId="2FEBD991">
      <w:pPr>
        <w:pStyle w:val="10"/>
        <w:rPr>
          <w:rFonts w:hint="eastAsia" w:ascii="仿宋" w:hAnsi="仿宋" w:eastAsia="仿宋" w:cs="仿宋"/>
          <w:color w:val="auto"/>
          <w:highlight w:val="none"/>
        </w:rPr>
      </w:pPr>
    </w:p>
    <w:p w14:paraId="05CFEAD3">
      <w:pPr>
        <w:spacing w:line="360" w:lineRule="auto"/>
        <w:rPr>
          <w:rFonts w:hint="eastAsia" w:ascii="仿宋" w:hAnsi="仿宋" w:eastAsia="仿宋" w:cs="仿宋"/>
          <w:color w:val="auto"/>
          <w:sz w:val="24"/>
          <w:szCs w:val="24"/>
          <w:highlight w:val="none"/>
        </w:rPr>
      </w:pPr>
    </w:p>
    <w:p w14:paraId="63D5CF35">
      <w:pPr>
        <w:pStyle w:val="10"/>
        <w:rPr>
          <w:rFonts w:hint="eastAsia" w:ascii="仿宋" w:hAnsi="仿宋" w:eastAsia="仿宋" w:cs="仿宋"/>
          <w:color w:val="auto"/>
          <w:highlight w:val="none"/>
        </w:rPr>
      </w:pPr>
    </w:p>
    <w:p w14:paraId="68C7CE7A">
      <w:pPr>
        <w:spacing w:line="360" w:lineRule="auto"/>
        <w:rPr>
          <w:rFonts w:hint="eastAsia" w:ascii="仿宋" w:hAnsi="仿宋" w:eastAsia="仿宋" w:cs="仿宋"/>
          <w:color w:val="auto"/>
          <w:sz w:val="24"/>
          <w:szCs w:val="24"/>
          <w:highlight w:val="none"/>
        </w:rPr>
      </w:pPr>
    </w:p>
    <w:p w14:paraId="4DC341AF">
      <w:pPr>
        <w:pStyle w:val="10"/>
        <w:rPr>
          <w:rFonts w:hint="eastAsia" w:ascii="仿宋" w:hAnsi="仿宋" w:eastAsia="仿宋" w:cs="仿宋"/>
          <w:color w:val="auto"/>
          <w:highlight w:val="none"/>
        </w:rPr>
      </w:pPr>
    </w:p>
    <w:p w14:paraId="385C3D50">
      <w:pPr>
        <w:spacing w:line="360" w:lineRule="auto"/>
        <w:rPr>
          <w:rFonts w:hint="eastAsia" w:ascii="仿宋" w:hAnsi="仿宋" w:eastAsia="仿宋" w:cs="仿宋"/>
          <w:color w:val="auto"/>
          <w:sz w:val="24"/>
          <w:szCs w:val="24"/>
          <w:highlight w:val="none"/>
        </w:rPr>
      </w:pPr>
    </w:p>
    <w:p w14:paraId="404AE044">
      <w:pPr>
        <w:pStyle w:val="10"/>
        <w:rPr>
          <w:rFonts w:hint="eastAsia" w:ascii="仿宋" w:hAnsi="仿宋" w:eastAsia="仿宋" w:cs="仿宋"/>
          <w:color w:val="auto"/>
          <w:highlight w:val="none"/>
        </w:rPr>
      </w:pPr>
    </w:p>
    <w:p w14:paraId="5CF5811A">
      <w:pPr>
        <w:spacing w:line="360" w:lineRule="auto"/>
        <w:rPr>
          <w:rFonts w:hint="eastAsia" w:ascii="仿宋" w:hAnsi="仿宋" w:eastAsia="仿宋" w:cs="仿宋"/>
          <w:color w:val="auto"/>
          <w:sz w:val="24"/>
          <w:szCs w:val="24"/>
          <w:highlight w:val="none"/>
        </w:rPr>
      </w:pPr>
    </w:p>
    <w:p w14:paraId="742883C1">
      <w:pPr>
        <w:pStyle w:val="10"/>
        <w:rPr>
          <w:rFonts w:hint="eastAsia" w:ascii="仿宋" w:hAnsi="仿宋" w:eastAsia="仿宋" w:cs="仿宋"/>
          <w:color w:val="auto"/>
          <w:highlight w:val="none"/>
        </w:rPr>
      </w:pPr>
    </w:p>
    <w:p w14:paraId="7A1C3770">
      <w:pPr>
        <w:spacing w:line="360" w:lineRule="auto"/>
        <w:rPr>
          <w:rFonts w:hint="eastAsia" w:ascii="仿宋" w:hAnsi="仿宋" w:eastAsia="仿宋" w:cs="仿宋"/>
          <w:color w:val="auto"/>
          <w:sz w:val="24"/>
          <w:szCs w:val="24"/>
          <w:highlight w:val="none"/>
        </w:rPr>
      </w:pPr>
    </w:p>
    <w:p w14:paraId="0A7520E8">
      <w:pPr>
        <w:pStyle w:val="10"/>
        <w:rPr>
          <w:rFonts w:hint="eastAsia" w:ascii="仿宋" w:hAnsi="仿宋" w:eastAsia="仿宋" w:cs="仿宋"/>
          <w:color w:val="auto"/>
          <w:highlight w:val="none"/>
        </w:rPr>
      </w:pPr>
    </w:p>
    <w:p w14:paraId="05DE7980">
      <w:pPr>
        <w:spacing w:line="360" w:lineRule="auto"/>
        <w:rPr>
          <w:rFonts w:hint="eastAsia" w:ascii="仿宋" w:hAnsi="仿宋" w:eastAsia="仿宋" w:cs="仿宋"/>
          <w:color w:val="auto"/>
          <w:sz w:val="24"/>
          <w:szCs w:val="24"/>
          <w:highlight w:val="none"/>
        </w:rPr>
      </w:pPr>
    </w:p>
    <w:p w14:paraId="3AA11D8B">
      <w:pPr>
        <w:pStyle w:val="10"/>
        <w:rPr>
          <w:rFonts w:hint="eastAsia" w:ascii="仿宋" w:hAnsi="仿宋" w:eastAsia="仿宋" w:cs="仿宋"/>
          <w:color w:val="auto"/>
          <w:highlight w:val="none"/>
        </w:rPr>
      </w:pPr>
    </w:p>
    <w:p w14:paraId="67B1273D">
      <w:pPr>
        <w:spacing w:line="360" w:lineRule="auto"/>
        <w:rPr>
          <w:rFonts w:hint="eastAsia" w:ascii="仿宋" w:hAnsi="仿宋" w:eastAsia="仿宋" w:cs="仿宋"/>
          <w:color w:val="auto"/>
          <w:sz w:val="24"/>
          <w:szCs w:val="24"/>
          <w:highlight w:val="none"/>
        </w:rPr>
      </w:pPr>
    </w:p>
    <w:p w14:paraId="5D3FD1DB">
      <w:pPr>
        <w:pStyle w:val="10"/>
        <w:rPr>
          <w:rFonts w:hint="eastAsia" w:ascii="仿宋" w:hAnsi="仿宋" w:eastAsia="仿宋" w:cs="仿宋"/>
          <w:color w:val="auto"/>
          <w:highlight w:val="none"/>
        </w:rPr>
      </w:pPr>
    </w:p>
    <w:p w14:paraId="6AEAA8AD">
      <w:pPr>
        <w:spacing w:line="360" w:lineRule="auto"/>
        <w:rPr>
          <w:rFonts w:hint="eastAsia" w:ascii="仿宋" w:hAnsi="仿宋" w:eastAsia="仿宋" w:cs="仿宋"/>
          <w:color w:val="auto"/>
          <w:highlight w:val="none"/>
        </w:rPr>
      </w:pPr>
    </w:p>
    <w:p w14:paraId="7D0D9D0E">
      <w:pPr>
        <w:snapToGrid w:val="0"/>
        <w:spacing w:line="360" w:lineRule="auto"/>
        <w:rPr>
          <w:rFonts w:hint="eastAsia" w:ascii="仿宋" w:hAnsi="仿宋" w:eastAsia="仿宋" w:cs="仿宋"/>
          <w:color w:val="auto"/>
          <w:sz w:val="24"/>
          <w:szCs w:val="24"/>
          <w:highlight w:val="none"/>
        </w:rPr>
      </w:pPr>
    </w:p>
    <w:p w14:paraId="60AF3741">
      <w:pPr>
        <w:snapToGrid w:val="0"/>
        <w:spacing w:line="360" w:lineRule="auto"/>
        <w:rPr>
          <w:rFonts w:hint="eastAsia" w:ascii="仿宋" w:hAnsi="仿宋" w:eastAsia="仿宋" w:cs="仿宋"/>
          <w:color w:val="auto"/>
          <w:sz w:val="24"/>
          <w:szCs w:val="24"/>
          <w:highlight w:val="none"/>
        </w:rPr>
      </w:pPr>
    </w:p>
    <w:p w14:paraId="7B8E41BF">
      <w:pPr>
        <w:snapToGrid w:val="0"/>
        <w:spacing w:line="360" w:lineRule="auto"/>
        <w:rPr>
          <w:rFonts w:hint="eastAsia" w:ascii="仿宋" w:hAnsi="仿宋" w:eastAsia="仿宋" w:cs="仿宋"/>
          <w:color w:val="auto"/>
          <w:sz w:val="24"/>
          <w:szCs w:val="24"/>
          <w:highlight w:val="none"/>
        </w:rPr>
      </w:pPr>
    </w:p>
    <w:p w14:paraId="53490B36">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62E274D2">
      <w:pPr>
        <w:pStyle w:val="10"/>
        <w:rPr>
          <w:rFonts w:hint="eastAsia" w:ascii="仿宋" w:hAnsi="仿宋" w:eastAsia="仿宋" w:cs="仿宋"/>
          <w:color w:val="auto"/>
          <w:highlight w:val="none"/>
        </w:rPr>
      </w:pPr>
    </w:p>
    <w:p w14:paraId="1BE44EDD">
      <w:pPr>
        <w:spacing w:line="360" w:lineRule="auto"/>
        <w:rPr>
          <w:rFonts w:hint="eastAsia" w:ascii="仿宋" w:hAnsi="仿宋" w:eastAsia="仿宋" w:cs="仿宋"/>
          <w:color w:val="auto"/>
          <w:sz w:val="24"/>
          <w:szCs w:val="24"/>
          <w:highlight w:val="none"/>
        </w:rPr>
      </w:pPr>
    </w:p>
    <w:p w14:paraId="0C40D6BB">
      <w:pPr>
        <w:pStyle w:val="10"/>
        <w:rPr>
          <w:rFonts w:hint="eastAsia" w:ascii="仿宋" w:hAnsi="仿宋" w:eastAsia="仿宋" w:cs="仿宋"/>
          <w:color w:val="auto"/>
          <w:highlight w:val="none"/>
        </w:rPr>
      </w:pPr>
    </w:p>
    <w:p w14:paraId="02DA7A43">
      <w:pPr>
        <w:rPr>
          <w:rFonts w:hint="eastAsia" w:cs="宋体"/>
          <w:b/>
          <w:bCs/>
          <w:color w:val="auto"/>
          <w:szCs w:val="28"/>
          <w:highlight w:val="none"/>
        </w:rPr>
      </w:pPr>
      <w:r>
        <w:rPr>
          <w:rFonts w:hint="eastAsia" w:cs="宋体"/>
          <w:b/>
          <w:bCs/>
          <w:color w:val="auto"/>
          <w:szCs w:val="28"/>
          <w:highlight w:val="none"/>
        </w:rPr>
        <w:br w:type="page"/>
      </w:r>
    </w:p>
    <w:p w14:paraId="40C90DC3">
      <w:pPr>
        <w:spacing w:line="360" w:lineRule="auto"/>
        <w:rPr>
          <w:rFonts w:cs="宋体"/>
          <w:b/>
          <w:bCs/>
          <w:color w:val="auto"/>
          <w:szCs w:val="28"/>
          <w:highlight w:val="none"/>
        </w:rPr>
      </w:pPr>
      <w:r>
        <w:rPr>
          <w:rFonts w:hint="eastAsia" w:cs="宋体"/>
          <w:b/>
          <w:bCs/>
          <w:color w:val="auto"/>
          <w:szCs w:val="28"/>
          <w:highlight w:val="none"/>
        </w:rPr>
        <w:t>附件1：</w:t>
      </w:r>
    </w:p>
    <w:p w14:paraId="5FB4C07A">
      <w:pPr>
        <w:spacing w:line="360" w:lineRule="auto"/>
        <w:jc w:val="center"/>
        <w:rPr>
          <w:rFonts w:cs="宋体"/>
          <w:b/>
          <w:bCs/>
          <w:color w:val="auto"/>
          <w:sz w:val="44"/>
          <w:szCs w:val="44"/>
          <w:highlight w:val="none"/>
        </w:rPr>
      </w:pPr>
      <w:r>
        <w:rPr>
          <w:rFonts w:hint="eastAsia" w:cs="宋体"/>
          <w:b/>
          <w:bCs/>
          <w:color w:val="auto"/>
          <w:sz w:val="44"/>
          <w:szCs w:val="44"/>
          <w:highlight w:val="none"/>
        </w:rPr>
        <w:t>报名登记表</w:t>
      </w:r>
    </w:p>
    <w:p w14:paraId="4DC1D375">
      <w:pPr>
        <w:pStyle w:val="10"/>
        <w:rPr>
          <w:rFonts w:cs="宋体"/>
          <w:color w:val="auto"/>
          <w:highlight w:val="none"/>
        </w:rPr>
      </w:pPr>
    </w:p>
    <w:tbl>
      <w:tblPr>
        <w:tblStyle w:val="23"/>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20AF9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644B61DE">
            <w:pPr>
              <w:spacing w:line="360" w:lineRule="auto"/>
              <w:jc w:val="center"/>
              <w:rPr>
                <w:rFonts w:cs="宋体"/>
                <w:b/>
                <w:bCs/>
                <w:color w:val="auto"/>
                <w:sz w:val="30"/>
                <w:szCs w:val="30"/>
                <w:highlight w:val="none"/>
              </w:rPr>
            </w:pPr>
            <w:r>
              <w:rPr>
                <w:rFonts w:hint="eastAsia" w:cs="宋体"/>
                <w:b/>
                <w:bCs/>
                <w:color w:val="auto"/>
                <w:sz w:val="30"/>
                <w:szCs w:val="30"/>
                <w:highlight w:val="none"/>
              </w:rPr>
              <w:t>项目名称</w:t>
            </w:r>
          </w:p>
        </w:tc>
        <w:tc>
          <w:tcPr>
            <w:tcW w:w="6553" w:type="dxa"/>
            <w:gridSpan w:val="3"/>
            <w:vAlign w:val="center"/>
          </w:tcPr>
          <w:p w14:paraId="2E437925">
            <w:pPr>
              <w:spacing w:line="360" w:lineRule="auto"/>
              <w:outlineLvl w:val="0"/>
              <w:rPr>
                <w:rFonts w:cs="宋体"/>
                <w:color w:val="auto"/>
                <w:sz w:val="32"/>
                <w:highlight w:val="none"/>
              </w:rPr>
            </w:pPr>
          </w:p>
        </w:tc>
      </w:tr>
      <w:tr w14:paraId="04EF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1694288E">
            <w:pPr>
              <w:spacing w:line="360" w:lineRule="auto"/>
              <w:jc w:val="center"/>
              <w:rPr>
                <w:rFonts w:cs="宋体"/>
                <w:b/>
                <w:bCs/>
                <w:color w:val="auto"/>
                <w:sz w:val="30"/>
                <w:szCs w:val="30"/>
                <w:highlight w:val="none"/>
              </w:rPr>
            </w:pPr>
            <w:r>
              <w:rPr>
                <w:rFonts w:hint="eastAsia" w:cs="宋体"/>
                <w:b/>
                <w:bCs/>
                <w:color w:val="auto"/>
                <w:sz w:val="30"/>
                <w:szCs w:val="30"/>
                <w:highlight w:val="none"/>
              </w:rPr>
              <w:t>供应商名称</w:t>
            </w:r>
          </w:p>
        </w:tc>
        <w:tc>
          <w:tcPr>
            <w:tcW w:w="6553" w:type="dxa"/>
            <w:gridSpan w:val="3"/>
            <w:vAlign w:val="bottom"/>
          </w:tcPr>
          <w:p w14:paraId="5EEE891A">
            <w:pPr>
              <w:spacing w:line="360" w:lineRule="auto"/>
              <w:jc w:val="right"/>
              <w:rPr>
                <w:rFonts w:cs="宋体"/>
                <w:color w:val="auto"/>
                <w:sz w:val="30"/>
                <w:szCs w:val="30"/>
                <w:highlight w:val="none"/>
              </w:rPr>
            </w:pPr>
          </w:p>
        </w:tc>
      </w:tr>
      <w:tr w14:paraId="62008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A608FD8">
            <w:pPr>
              <w:spacing w:line="360" w:lineRule="auto"/>
              <w:jc w:val="center"/>
              <w:rPr>
                <w:rFonts w:cs="宋体"/>
                <w:b/>
                <w:bCs/>
                <w:color w:val="auto"/>
                <w:sz w:val="30"/>
                <w:szCs w:val="30"/>
                <w:highlight w:val="none"/>
              </w:rPr>
            </w:pPr>
            <w:r>
              <w:rPr>
                <w:rFonts w:hint="eastAsia" w:cs="宋体"/>
                <w:b/>
                <w:bCs/>
                <w:color w:val="auto"/>
                <w:sz w:val="30"/>
                <w:szCs w:val="30"/>
                <w:highlight w:val="none"/>
              </w:rPr>
              <w:t>联系人</w:t>
            </w:r>
          </w:p>
        </w:tc>
        <w:tc>
          <w:tcPr>
            <w:tcW w:w="2127" w:type="dxa"/>
            <w:vAlign w:val="center"/>
          </w:tcPr>
          <w:p w14:paraId="0D7D97BF">
            <w:pPr>
              <w:spacing w:line="360" w:lineRule="auto"/>
              <w:jc w:val="left"/>
              <w:rPr>
                <w:rFonts w:cs="宋体"/>
                <w:color w:val="auto"/>
                <w:sz w:val="30"/>
                <w:szCs w:val="30"/>
                <w:highlight w:val="none"/>
              </w:rPr>
            </w:pPr>
          </w:p>
        </w:tc>
        <w:tc>
          <w:tcPr>
            <w:tcW w:w="926" w:type="dxa"/>
            <w:vAlign w:val="center"/>
          </w:tcPr>
          <w:p w14:paraId="6D128C02">
            <w:pPr>
              <w:spacing w:line="360" w:lineRule="auto"/>
              <w:jc w:val="left"/>
              <w:rPr>
                <w:rFonts w:cs="宋体"/>
                <w:color w:val="auto"/>
                <w:sz w:val="30"/>
                <w:szCs w:val="30"/>
                <w:highlight w:val="none"/>
              </w:rPr>
            </w:pPr>
            <w:r>
              <w:rPr>
                <w:rFonts w:hint="eastAsia" w:cs="宋体"/>
                <w:b/>
                <w:bCs/>
                <w:color w:val="auto"/>
                <w:sz w:val="30"/>
                <w:szCs w:val="30"/>
                <w:highlight w:val="none"/>
              </w:rPr>
              <w:t>手机</w:t>
            </w:r>
          </w:p>
        </w:tc>
        <w:tc>
          <w:tcPr>
            <w:tcW w:w="3500" w:type="dxa"/>
            <w:vAlign w:val="center"/>
          </w:tcPr>
          <w:p w14:paraId="5F5F08CE">
            <w:pPr>
              <w:spacing w:line="360" w:lineRule="auto"/>
              <w:jc w:val="left"/>
              <w:rPr>
                <w:rFonts w:cs="宋体"/>
                <w:color w:val="auto"/>
                <w:sz w:val="30"/>
                <w:szCs w:val="30"/>
                <w:highlight w:val="none"/>
              </w:rPr>
            </w:pPr>
          </w:p>
        </w:tc>
      </w:tr>
      <w:tr w14:paraId="6E65B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842B2A6">
            <w:pPr>
              <w:spacing w:line="360" w:lineRule="auto"/>
              <w:jc w:val="center"/>
              <w:rPr>
                <w:rFonts w:cs="宋体"/>
                <w:b/>
                <w:bCs/>
                <w:color w:val="auto"/>
                <w:sz w:val="30"/>
                <w:szCs w:val="30"/>
                <w:highlight w:val="none"/>
              </w:rPr>
            </w:pPr>
            <w:r>
              <w:rPr>
                <w:rFonts w:hint="eastAsia" w:cs="宋体"/>
                <w:b/>
                <w:bCs/>
                <w:color w:val="auto"/>
                <w:sz w:val="30"/>
                <w:szCs w:val="30"/>
                <w:highlight w:val="none"/>
              </w:rPr>
              <w:t>办公电话</w:t>
            </w:r>
          </w:p>
        </w:tc>
        <w:tc>
          <w:tcPr>
            <w:tcW w:w="2127" w:type="dxa"/>
            <w:vAlign w:val="center"/>
          </w:tcPr>
          <w:p w14:paraId="0FB172C0">
            <w:pPr>
              <w:spacing w:line="360" w:lineRule="auto"/>
              <w:jc w:val="left"/>
              <w:rPr>
                <w:rFonts w:cs="宋体"/>
                <w:color w:val="auto"/>
                <w:sz w:val="30"/>
                <w:szCs w:val="30"/>
                <w:highlight w:val="none"/>
              </w:rPr>
            </w:pPr>
          </w:p>
        </w:tc>
        <w:tc>
          <w:tcPr>
            <w:tcW w:w="926" w:type="dxa"/>
            <w:vAlign w:val="center"/>
          </w:tcPr>
          <w:p w14:paraId="1019B243">
            <w:pPr>
              <w:spacing w:line="360" w:lineRule="auto"/>
              <w:jc w:val="left"/>
              <w:rPr>
                <w:rFonts w:cs="宋体"/>
                <w:color w:val="auto"/>
                <w:sz w:val="30"/>
                <w:szCs w:val="30"/>
                <w:highlight w:val="none"/>
              </w:rPr>
            </w:pPr>
            <w:r>
              <w:rPr>
                <w:rFonts w:hint="eastAsia" w:cs="宋体"/>
                <w:b/>
                <w:bCs/>
                <w:color w:val="auto"/>
                <w:sz w:val="30"/>
                <w:szCs w:val="30"/>
                <w:highlight w:val="none"/>
              </w:rPr>
              <w:t>传真</w:t>
            </w:r>
          </w:p>
        </w:tc>
        <w:tc>
          <w:tcPr>
            <w:tcW w:w="3500" w:type="dxa"/>
            <w:vAlign w:val="center"/>
          </w:tcPr>
          <w:p w14:paraId="270D4ADC">
            <w:pPr>
              <w:spacing w:line="360" w:lineRule="auto"/>
              <w:jc w:val="left"/>
              <w:rPr>
                <w:rFonts w:cs="宋体"/>
                <w:color w:val="auto"/>
                <w:sz w:val="30"/>
                <w:szCs w:val="30"/>
                <w:highlight w:val="none"/>
              </w:rPr>
            </w:pPr>
          </w:p>
        </w:tc>
      </w:tr>
      <w:tr w14:paraId="7D443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86C785B">
            <w:pPr>
              <w:spacing w:line="360" w:lineRule="auto"/>
              <w:jc w:val="center"/>
              <w:rPr>
                <w:rFonts w:cs="宋体"/>
                <w:b/>
                <w:bCs/>
                <w:color w:val="auto"/>
                <w:sz w:val="30"/>
                <w:szCs w:val="30"/>
                <w:highlight w:val="none"/>
              </w:rPr>
            </w:pPr>
            <w:r>
              <w:rPr>
                <w:rFonts w:hint="eastAsia" w:cs="宋体"/>
                <w:b/>
                <w:bCs/>
                <w:color w:val="auto"/>
                <w:sz w:val="30"/>
                <w:szCs w:val="30"/>
                <w:highlight w:val="none"/>
              </w:rPr>
              <w:t>E-mail</w:t>
            </w:r>
          </w:p>
        </w:tc>
        <w:tc>
          <w:tcPr>
            <w:tcW w:w="6553" w:type="dxa"/>
            <w:gridSpan w:val="3"/>
            <w:vAlign w:val="center"/>
          </w:tcPr>
          <w:p w14:paraId="11FC9A8C">
            <w:pPr>
              <w:spacing w:line="360" w:lineRule="auto"/>
              <w:jc w:val="left"/>
              <w:rPr>
                <w:rFonts w:cs="宋体"/>
                <w:color w:val="auto"/>
                <w:sz w:val="30"/>
                <w:szCs w:val="30"/>
                <w:highlight w:val="none"/>
              </w:rPr>
            </w:pPr>
          </w:p>
        </w:tc>
      </w:tr>
      <w:tr w14:paraId="74EAA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4045CF68">
            <w:pPr>
              <w:spacing w:line="360" w:lineRule="auto"/>
              <w:jc w:val="center"/>
              <w:rPr>
                <w:rFonts w:cs="宋体"/>
                <w:b/>
                <w:bCs/>
                <w:color w:val="auto"/>
                <w:sz w:val="30"/>
                <w:szCs w:val="30"/>
                <w:highlight w:val="none"/>
              </w:rPr>
            </w:pPr>
            <w:r>
              <w:rPr>
                <w:rFonts w:hint="eastAsia" w:cs="宋体"/>
                <w:b/>
                <w:bCs/>
                <w:color w:val="auto"/>
                <w:sz w:val="30"/>
                <w:szCs w:val="30"/>
                <w:highlight w:val="none"/>
              </w:rPr>
              <w:t>单位地址</w:t>
            </w:r>
          </w:p>
        </w:tc>
        <w:tc>
          <w:tcPr>
            <w:tcW w:w="6553" w:type="dxa"/>
            <w:gridSpan w:val="3"/>
            <w:vAlign w:val="center"/>
          </w:tcPr>
          <w:p w14:paraId="5AE3E391">
            <w:pPr>
              <w:spacing w:line="360" w:lineRule="auto"/>
              <w:jc w:val="left"/>
              <w:rPr>
                <w:rFonts w:cs="宋体"/>
                <w:color w:val="auto"/>
                <w:sz w:val="30"/>
                <w:szCs w:val="30"/>
                <w:highlight w:val="none"/>
              </w:rPr>
            </w:pPr>
          </w:p>
        </w:tc>
      </w:tr>
      <w:tr w14:paraId="2B447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7B45F4F">
            <w:pPr>
              <w:spacing w:line="360" w:lineRule="auto"/>
              <w:jc w:val="center"/>
              <w:rPr>
                <w:rFonts w:cs="宋体"/>
                <w:b/>
                <w:bCs/>
                <w:color w:val="auto"/>
                <w:sz w:val="30"/>
                <w:szCs w:val="30"/>
                <w:highlight w:val="none"/>
              </w:rPr>
            </w:pPr>
            <w:r>
              <w:rPr>
                <w:rFonts w:hint="eastAsia" w:cs="宋体"/>
                <w:b/>
                <w:bCs/>
                <w:color w:val="auto"/>
                <w:sz w:val="30"/>
                <w:szCs w:val="30"/>
                <w:highlight w:val="none"/>
              </w:rPr>
              <w:t>报名时间</w:t>
            </w:r>
          </w:p>
        </w:tc>
        <w:tc>
          <w:tcPr>
            <w:tcW w:w="6553" w:type="dxa"/>
            <w:gridSpan w:val="3"/>
            <w:vAlign w:val="center"/>
          </w:tcPr>
          <w:p w14:paraId="5CA4EC87">
            <w:pPr>
              <w:spacing w:line="360" w:lineRule="auto"/>
              <w:jc w:val="center"/>
              <w:rPr>
                <w:rFonts w:cs="宋体"/>
                <w:color w:val="auto"/>
                <w:sz w:val="30"/>
                <w:szCs w:val="30"/>
                <w:highlight w:val="none"/>
              </w:rPr>
            </w:pPr>
            <w:r>
              <w:rPr>
                <w:rFonts w:hint="eastAsia" w:cs="宋体"/>
                <w:color w:val="auto"/>
                <w:sz w:val="30"/>
                <w:szCs w:val="30"/>
                <w:highlight w:val="none"/>
              </w:rPr>
              <w:t>年  月  日</w:t>
            </w:r>
          </w:p>
        </w:tc>
      </w:tr>
      <w:tr w14:paraId="52634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4893974A">
            <w:pPr>
              <w:spacing w:line="360" w:lineRule="auto"/>
              <w:jc w:val="center"/>
              <w:rPr>
                <w:rFonts w:cs="宋体"/>
                <w:b/>
                <w:bCs/>
                <w:color w:val="auto"/>
                <w:sz w:val="30"/>
                <w:szCs w:val="30"/>
                <w:highlight w:val="none"/>
              </w:rPr>
            </w:pPr>
            <w:r>
              <w:rPr>
                <w:rFonts w:hint="eastAsia" w:cs="宋体"/>
                <w:b/>
                <w:bCs/>
                <w:color w:val="auto"/>
                <w:sz w:val="30"/>
                <w:szCs w:val="30"/>
                <w:highlight w:val="none"/>
              </w:rPr>
              <w:t>备注</w:t>
            </w:r>
          </w:p>
        </w:tc>
        <w:tc>
          <w:tcPr>
            <w:tcW w:w="6553" w:type="dxa"/>
            <w:gridSpan w:val="3"/>
            <w:vAlign w:val="center"/>
          </w:tcPr>
          <w:p w14:paraId="7D38D5D0">
            <w:pPr>
              <w:spacing w:line="360" w:lineRule="auto"/>
              <w:rPr>
                <w:rFonts w:cs="宋体"/>
                <w:color w:val="auto"/>
                <w:sz w:val="30"/>
                <w:szCs w:val="30"/>
                <w:highlight w:val="none"/>
              </w:rPr>
            </w:pPr>
          </w:p>
        </w:tc>
      </w:tr>
    </w:tbl>
    <w:p w14:paraId="43903DFC">
      <w:pPr>
        <w:pStyle w:val="22"/>
        <w:spacing w:after="0"/>
        <w:ind w:left="0" w:leftChars="0" w:firstLine="0" w:firstLineChars="0"/>
        <w:rPr>
          <w:color w:val="auto"/>
          <w:highlight w:val="none"/>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17BD">
    <w:pPr>
      <w:pStyle w:val="16"/>
      <w:framePr w:wrap="around" w:vAnchor="text" w:hAnchor="margin" w:xAlign="center" w:y="1"/>
      <w:rPr>
        <w:rStyle w:val="26"/>
      </w:rPr>
    </w:pPr>
    <w:r>
      <w:fldChar w:fldCharType="begin"/>
    </w:r>
    <w:r>
      <w:rPr>
        <w:rStyle w:val="26"/>
      </w:rPr>
      <w:instrText xml:space="preserve">PAGE  </w:instrText>
    </w:r>
    <w:r>
      <w:fldChar w:fldCharType="end"/>
    </w:r>
  </w:p>
  <w:p w14:paraId="27585A1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68D">
    <w:pPr>
      <w:pStyle w:val="16"/>
      <w:framePr w:wrap="around" w:vAnchor="text" w:hAnchor="margin" w:xAlign="center" w:y="1"/>
      <w:rPr>
        <w:rStyle w:val="26"/>
      </w:rPr>
    </w:pPr>
  </w:p>
  <w:p w14:paraId="1535A182">
    <w:pPr>
      <w:pStyle w:val="1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FE1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1DD5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6C58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76C589">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68DC">
    <w:pPr>
      <w:pStyle w:val="16"/>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4C1A">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3E4C1A">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3B5F">
    <w:pPr>
      <w:pStyle w:val="16"/>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A61F">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43A61F">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CBBD">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4A3B">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18EF">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8076">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jRkYTMwYmNiODQzYTk0YzBlYTRiNGNhMjIzNTgifQ=="/>
    <w:docVar w:name="KSO_WPS_MARK_KEY" w:val="ae7f2e78-329b-4e83-b6d7-1ba7da2baa2b"/>
  </w:docVars>
  <w:rsids>
    <w:rsidRoot w:val="00DE37C1"/>
    <w:rsid w:val="0020474A"/>
    <w:rsid w:val="002630BB"/>
    <w:rsid w:val="003D31B1"/>
    <w:rsid w:val="00556D58"/>
    <w:rsid w:val="006A2456"/>
    <w:rsid w:val="00707143"/>
    <w:rsid w:val="0077550F"/>
    <w:rsid w:val="0084762E"/>
    <w:rsid w:val="008D4DD3"/>
    <w:rsid w:val="00967449"/>
    <w:rsid w:val="00983381"/>
    <w:rsid w:val="009D6C6A"/>
    <w:rsid w:val="009F1084"/>
    <w:rsid w:val="00A1223C"/>
    <w:rsid w:val="00A45A16"/>
    <w:rsid w:val="00B60744"/>
    <w:rsid w:val="00C22E40"/>
    <w:rsid w:val="00D76C23"/>
    <w:rsid w:val="00D92F4C"/>
    <w:rsid w:val="00DE37C1"/>
    <w:rsid w:val="00E15959"/>
    <w:rsid w:val="00E35688"/>
    <w:rsid w:val="00E84D52"/>
    <w:rsid w:val="00EC6B83"/>
    <w:rsid w:val="00F56A77"/>
    <w:rsid w:val="012F41F1"/>
    <w:rsid w:val="012F6103"/>
    <w:rsid w:val="013272FF"/>
    <w:rsid w:val="01431A4A"/>
    <w:rsid w:val="014A5E3A"/>
    <w:rsid w:val="01EF1655"/>
    <w:rsid w:val="01F04195"/>
    <w:rsid w:val="01F3521E"/>
    <w:rsid w:val="021B4775"/>
    <w:rsid w:val="02326BF8"/>
    <w:rsid w:val="027C26A8"/>
    <w:rsid w:val="029307AF"/>
    <w:rsid w:val="02ED6112"/>
    <w:rsid w:val="03195D8B"/>
    <w:rsid w:val="03394864"/>
    <w:rsid w:val="037043B3"/>
    <w:rsid w:val="0381685A"/>
    <w:rsid w:val="03B87D0C"/>
    <w:rsid w:val="0462561C"/>
    <w:rsid w:val="04DF1A8A"/>
    <w:rsid w:val="054D4DC8"/>
    <w:rsid w:val="058A586A"/>
    <w:rsid w:val="05AA02EA"/>
    <w:rsid w:val="05DA4D17"/>
    <w:rsid w:val="05F538A6"/>
    <w:rsid w:val="060A7835"/>
    <w:rsid w:val="062D2DB0"/>
    <w:rsid w:val="063522A9"/>
    <w:rsid w:val="065D710A"/>
    <w:rsid w:val="066761DB"/>
    <w:rsid w:val="0679558E"/>
    <w:rsid w:val="06BB464C"/>
    <w:rsid w:val="07056370"/>
    <w:rsid w:val="07596FA7"/>
    <w:rsid w:val="076A24D2"/>
    <w:rsid w:val="07805F5A"/>
    <w:rsid w:val="07A05557"/>
    <w:rsid w:val="07A6016F"/>
    <w:rsid w:val="07B23486"/>
    <w:rsid w:val="07DB7FCF"/>
    <w:rsid w:val="080E7433"/>
    <w:rsid w:val="087370B9"/>
    <w:rsid w:val="08D137DE"/>
    <w:rsid w:val="08D37B58"/>
    <w:rsid w:val="097F383C"/>
    <w:rsid w:val="099B4049"/>
    <w:rsid w:val="09B008F2"/>
    <w:rsid w:val="09E50EE4"/>
    <w:rsid w:val="09FB794B"/>
    <w:rsid w:val="0A3A4A1B"/>
    <w:rsid w:val="0A79028B"/>
    <w:rsid w:val="0B1F43F1"/>
    <w:rsid w:val="0B5750F6"/>
    <w:rsid w:val="0B667BA2"/>
    <w:rsid w:val="0BEA7692"/>
    <w:rsid w:val="0C0D512F"/>
    <w:rsid w:val="0C2D48D2"/>
    <w:rsid w:val="0C686033"/>
    <w:rsid w:val="0C7038B9"/>
    <w:rsid w:val="0CC25F19"/>
    <w:rsid w:val="0CE42333"/>
    <w:rsid w:val="0D2A3059"/>
    <w:rsid w:val="0D497D3C"/>
    <w:rsid w:val="0DDF1BCC"/>
    <w:rsid w:val="0E1408A9"/>
    <w:rsid w:val="0E4C6904"/>
    <w:rsid w:val="0E625C06"/>
    <w:rsid w:val="0EAD3DD2"/>
    <w:rsid w:val="0EBC6041"/>
    <w:rsid w:val="0EC81817"/>
    <w:rsid w:val="0EFB6A2E"/>
    <w:rsid w:val="0F112086"/>
    <w:rsid w:val="0F174030"/>
    <w:rsid w:val="0F294CCE"/>
    <w:rsid w:val="0F784FB5"/>
    <w:rsid w:val="0F7E0E3A"/>
    <w:rsid w:val="0F9D0EBF"/>
    <w:rsid w:val="0FE52636"/>
    <w:rsid w:val="1008458B"/>
    <w:rsid w:val="1071032D"/>
    <w:rsid w:val="10DB0743"/>
    <w:rsid w:val="10DB5135"/>
    <w:rsid w:val="11032FA4"/>
    <w:rsid w:val="114C66F9"/>
    <w:rsid w:val="11736044"/>
    <w:rsid w:val="11877731"/>
    <w:rsid w:val="11906B68"/>
    <w:rsid w:val="11941A34"/>
    <w:rsid w:val="11A6405B"/>
    <w:rsid w:val="11D93D15"/>
    <w:rsid w:val="11E132E5"/>
    <w:rsid w:val="11E24317"/>
    <w:rsid w:val="11E27FC8"/>
    <w:rsid w:val="11E608FC"/>
    <w:rsid w:val="11F97BB6"/>
    <w:rsid w:val="1255782F"/>
    <w:rsid w:val="12A54313"/>
    <w:rsid w:val="12C34799"/>
    <w:rsid w:val="12FE1C75"/>
    <w:rsid w:val="1317177A"/>
    <w:rsid w:val="133015AF"/>
    <w:rsid w:val="13641A07"/>
    <w:rsid w:val="138F28CD"/>
    <w:rsid w:val="13B363E0"/>
    <w:rsid w:val="14060EC2"/>
    <w:rsid w:val="143C2A55"/>
    <w:rsid w:val="144103EB"/>
    <w:rsid w:val="14467430"/>
    <w:rsid w:val="14C33176"/>
    <w:rsid w:val="14D40957"/>
    <w:rsid w:val="156C2EC6"/>
    <w:rsid w:val="15DD5B72"/>
    <w:rsid w:val="16027CCE"/>
    <w:rsid w:val="1647748F"/>
    <w:rsid w:val="164B3423"/>
    <w:rsid w:val="16766361"/>
    <w:rsid w:val="16E00639"/>
    <w:rsid w:val="17074DA9"/>
    <w:rsid w:val="173C16A0"/>
    <w:rsid w:val="177C760C"/>
    <w:rsid w:val="178415CC"/>
    <w:rsid w:val="17860945"/>
    <w:rsid w:val="17880B36"/>
    <w:rsid w:val="17D3242F"/>
    <w:rsid w:val="17D57060"/>
    <w:rsid w:val="180E000F"/>
    <w:rsid w:val="18700794"/>
    <w:rsid w:val="18807586"/>
    <w:rsid w:val="18AB3826"/>
    <w:rsid w:val="19CF7EC7"/>
    <w:rsid w:val="19D16051"/>
    <w:rsid w:val="1A28414D"/>
    <w:rsid w:val="1A5B6360"/>
    <w:rsid w:val="1A604FC3"/>
    <w:rsid w:val="1A6920CA"/>
    <w:rsid w:val="1AA145EF"/>
    <w:rsid w:val="1AA94BBC"/>
    <w:rsid w:val="1B1C0EEA"/>
    <w:rsid w:val="1B851185"/>
    <w:rsid w:val="1BC82E20"/>
    <w:rsid w:val="1BDD4B1E"/>
    <w:rsid w:val="1C3404B6"/>
    <w:rsid w:val="1C4677D1"/>
    <w:rsid w:val="1C626254"/>
    <w:rsid w:val="1CC25AC1"/>
    <w:rsid w:val="1CC63804"/>
    <w:rsid w:val="1D2B00E1"/>
    <w:rsid w:val="1EA72374"/>
    <w:rsid w:val="1F232EE6"/>
    <w:rsid w:val="1F5E5E20"/>
    <w:rsid w:val="1F6130FF"/>
    <w:rsid w:val="1F7A3063"/>
    <w:rsid w:val="1F8964CB"/>
    <w:rsid w:val="1F8F4381"/>
    <w:rsid w:val="1FB37EBC"/>
    <w:rsid w:val="1FB7BC63"/>
    <w:rsid w:val="1FD56461"/>
    <w:rsid w:val="1FEA3CB7"/>
    <w:rsid w:val="208B6A9A"/>
    <w:rsid w:val="20B625D5"/>
    <w:rsid w:val="20BD4F1E"/>
    <w:rsid w:val="21091F11"/>
    <w:rsid w:val="210C7C53"/>
    <w:rsid w:val="211A2370"/>
    <w:rsid w:val="214B077B"/>
    <w:rsid w:val="21541C0B"/>
    <w:rsid w:val="21B15E28"/>
    <w:rsid w:val="21C812FD"/>
    <w:rsid w:val="21D93760"/>
    <w:rsid w:val="21E12E8E"/>
    <w:rsid w:val="21EA541A"/>
    <w:rsid w:val="220F17A9"/>
    <w:rsid w:val="22123047"/>
    <w:rsid w:val="22841985"/>
    <w:rsid w:val="228B144E"/>
    <w:rsid w:val="23946A34"/>
    <w:rsid w:val="23B96627"/>
    <w:rsid w:val="23E17175"/>
    <w:rsid w:val="24250100"/>
    <w:rsid w:val="24741D97"/>
    <w:rsid w:val="24897E53"/>
    <w:rsid w:val="24964EB6"/>
    <w:rsid w:val="24B623B0"/>
    <w:rsid w:val="24DF5229"/>
    <w:rsid w:val="25146B3E"/>
    <w:rsid w:val="252307EC"/>
    <w:rsid w:val="253C4B19"/>
    <w:rsid w:val="25415537"/>
    <w:rsid w:val="256419ED"/>
    <w:rsid w:val="25720575"/>
    <w:rsid w:val="25A50E12"/>
    <w:rsid w:val="25A641D2"/>
    <w:rsid w:val="26542953"/>
    <w:rsid w:val="26555BF8"/>
    <w:rsid w:val="265C6F87"/>
    <w:rsid w:val="26926505"/>
    <w:rsid w:val="26926F40"/>
    <w:rsid w:val="26B82D72"/>
    <w:rsid w:val="274325AD"/>
    <w:rsid w:val="274C0DA9"/>
    <w:rsid w:val="27517586"/>
    <w:rsid w:val="27802801"/>
    <w:rsid w:val="279938C3"/>
    <w:rsid w:val="280170F7"/>
    <w:rsid w:val="284F02AF"/>
    <w:rsid w:val="28603B8E"/>
    <w:rsid w:val="286914E7"/>
    <w:rsid w:val="28C80903"/>
    <w:rsid w:val="28F64893"/>
    <w:rsid w:val="292808AA"/>
    <w:rsid w:val="2936586D"/>
    <w:rsid w:val="29407CBA"/>
    <w:rsid w:val="29437AAE"/>
    <w:rsid w:val="29575FD4"/>
    <w:rsid w:val="296E14AB"/>
    <w:rsid w:val="299F1664"/>
    <w:rsid w:val="29E33C4C"/>
    <w:rsid w:val="29F37894"/>
    <w:rsid w:val="29FF46D5"/>
    <w:rsid w:val="2A1650B8"/>
    <w:rsid w:val="2A306760"/>
    <w:rsid w:val="2A620046"/>
    <w:rsid w:val="2A8C0AF7"/>
    <w:rsid w:val="2B2C517A"/>
    <w:rsid w:val="2B3B53BD"/>
    <w:rsid w:val="2B4F70BA"/>
    <w:rsid w:val="2B6C75E4"/>
    <w:rsid w:val="2B7B1C5D"/>
    <w:rsid w:val="2BD670F1"/>
    <w:rsid w:val="2C02237E"/>
    <w:rsid w:val="2C4209CD"/>
    <w:rsid w:val="2C994A91"/>
    <w:rsid w:val="2CA1389A"/>
    <w:rsid w:val="2CB25DE5"/>
    <w:rsid w:val="2CC55886"/>
    <w:rsid w:val="2D0F08AF"/>
    <w:rsid w:val="2D6B7920"/>
    <w:rsid w:val="2D90221F"/>
    <w:rsid w:val="2DAA4A7C"/>
    <w:rsid w:val="2DC1677B"/>
    <w:rsid w:val="2DC56E97"/>
    <w:rsid w:val="2E101350"/>
    <w:rsid w:val="2E290660"/>
    <w:rsid w:val="2E2C36E3"/>
    <w:rsid w:val="2E407DAE"/>
    <w:rsid w:val="2EBE13EC"/>
    <w:rsid w:val="2EBF4557"/>
    <w:rsid w:val="2EDC2A13"/>
    <w:rsid w:val="2EEE2746"/>
    <w:rsid w:val="2F1157A3"/>
    <w:rsid w:val="2F6A33C8"/>
    <w:rsid w:val="2F71140A"/>
    <w:rsid w:val="2FEE584E"/>
    <w:rsid w:val="302D2C8B"/>
    <w:rsid w:val="304E7940"/>
    <w:rsid w:val="306F7AC8"/>
    <w:rsid w:val="30C21BA5"/>
    <w:rsid w:val="30DE5F50"/>
    <w:rsid w:val="312410FB"/>
    <w:rsid w:val="318D26EA"/>
    <w:rsid w:val="31E6672B"/>
    <w:rsid w:val="31F74B6B"/>
    <w:rsid w:val="31F91C49"/>
    <w:rsid w:val="321B7CF6"/>
    <w:rsid w:val="322222E5"/>
    <w:rsid w:val="32432DA9"/>
    <w:rsid w:val="335C6052"/>
    <w:rsid w:val="33BA4B66"/>
    <w:rsid w:val="33F76C3A"/>
    <w:rsid w:val="341812A8"/>
    <w:rsid w:val="34196405"/>
    <w:rsid w:val="341F7DC5"/>
    <w:rsid w:val="348921E8"/>
    <w:rsid w:val="349D3772"/>
    <w:rsid w:val="34B65AF7"/>
    <w:rsid w:val="34C401D1"/>
    <w:rsid w:val="34CE54F3"/>
    <w:rsid w:val="34FF40F3"/>
    <w:rsid w:val="353B5A19"/>
    <w:rsid w:val="356E07AA"/>
    <w:rsid w:val="3587043B"/>
    <w:rsid w:val="359749F4"/>
    <w:rsid w:val="359A444C"/>
    <w:rsid w:val="35A42F7D"/>
    <w:rsid w:val="35A95619"/>
    <w:rsid w:val="362D624A"/>
    <w:rsid w:val="3664077B"/>
    <w:rsid w:val="374455F9"/>
    <w:rsid w:val="37767142"/>
    <w:rsid w:val="37C91FA2"/>
    <w:rsid w:val="37D03331"/>
    <w:rsid w:val="37D86CD6"/>
    <w:rsid w:val="37F54F43"/>
    <w:rsid w:val="384D4981"/>
    <w:rsid w:val="3880411B"/>
    <w:rsid w:val="38925624"/>
    <w:rsid w:val="38E057F5"/>
    <w:rsid w:val="38F31085"/>
    <w:rsid w:val="390C5683"/>
    <w:rsid w:val="39767E42"/>
    <w:rsid w:val="398443D3"/>
    <w:rsid w:val="39965EB4"/>
    <w:rsid w:val="399B3A08"/>
    <w:rsid w:val="39A24A37"/>
    <w:rsid w:val="39AB528F"/>
    <w:rsid w:val="39BB2F4A"/>
    <w:rsid w:val="3A0B4AF4"/>
    <w:rsid w:val="3A3D1DBA"/>
    <w:rsid w:val="3A4F49E1"/>
    <w:rsid w:val="3A7E1E9F"/>
    <w:rsid w:val="3A9E14C4"/>
    <w:rsid w:val="3B2C087E"/>
    <w:rsid w:val="3B675D5A"/>
    <w:rsid w:val="3B881FA8"/>
    <w:rsid w:val="3B9038B0"/>
    <w:rsid w:val="3BF53366"/>
    <w:rsid w:val="3BF55114"/>
    <w:rsid w:val="3C0E352E"/>
    <w:rsid w:val="3C2B4FD9"/>
    <w:rsid w:val="3C74012C"/>
    <w:rsid w:val="3CE014D0"/>
    <w:rsid w:val="3CF4186F"/>
    <w:rsid w:val="3D3B0AFE"/>
    <w:rsid w:val="3D536596"/>
    <w:rsid w:val="3D934228"/>
    <w:rsid w:val="3DE512E1"/>
    <w:rsid w:val="3DF04F1E"/>
    <w:rsid w:val="3E247F32"/>
    <w:rsid w:val="3E535EDB"/>
    <w:rsid w:val="3E572D08"/>
    <w:rsid w:val="3E8A248B"/>
    <w:rsid w:val="3EC835F3"/>
    <w:rsid w:val="3F621F36"/>
    <w:rsid w:val="3F6E5909"/>
    <w:rsid w:val="3FC306F2"/>
    <w:rsid w:val="3FDA6469"/>
    <w:rsid w:val="402B37FA"/>
    <w:rsid w:val="4032362F"/>
    <w:rsid w:val="40324CDF"/>
    <w:rsid w:val="403372C3"/>
    <w:rsid w:val="403B495B"/>
    <w:rsid w:val="405E5001"/>
    <w:rsid w:val="4061546E"/>
    <w:rsid w:val="40881662"/>
    <w:rsid w:val="40C33A32"/>
    <w:rsid w:val="40CD48B1"/>
    <w:rsid w:val="40DE6ABE"/>
    <w:rsid w:val="40E44F98"/>
    <w:rsid w:val="40FB2E45"/>
    <w:rsid w:val="41401527"/>
    <w:rsid w:val="41BC33F0"/>
    <w:rsid w:val="422C5BEA"/>
    <w:rsid w:val="425132C0"/>
    <w:rsid w:val="42B6199F"/>
    <w:rsid w:val="42D53EF1"/>
    <w:rsid w:val="42E303BC"/>
    <w:rsid w:val="43440DFD"/>
    <w:rsid w:val="43757435"/>
    <w:rsid w:val="43B6162D"/>
    <w:rsid w:val="43B63F40"/>
    <w:rsid w:val="43BB52AD"/>
    <w:rsid w:val="43E20674"/>
    <w:rsid w:val="4428289D"/>
    <w:rsid w:val="44354C47"/>
    <w:rsid w:val="443A225E"/>
    <w:rsid w:val="44564BBE"/>
    <w:rsid w:val="449245CB"/>
    <w:rsid w:val="44AB4F09"/>
    <w:rsid w:val="44B35E38"/>
    <w:rsid w:val="44CD0401"/>
    <w:rsid w:val="44CE021A"/>
    <w:rsid w:val="44DD0E3B"/>
    <w:rsid w:val="44E628AB"/>
    <w:rsid w:val="45053792"/>
    <w:rsid w:val="45AD6A5F"/>
    <w:rsid w:val="45E0026B"/>
    <w:rsid w:val="461711E9"/>
    <w:rsid w:val="461D44BB"/>
    <w:rsid w:val="46481C0C"/>
    <w:rsid w:val="465E2571"/>
    <w:rsid w:val="46D71FE6"/>
    <w:rsid w:val="46EE4FD8"/>
    <w:rsid w:val="47525B10"/>
    <w:rsid w:val="47A80166"/>
    <w:rsid w:val="47B642F1"/>
    <w:rsid w:val="48B9705B"/>
    <w:rsid w:val="48DD58AD"/>
    <w:rsid w:val="491C5E9B"/>
    <w:rsid w:val="4948541D"/>
    <w:rsid w:val="494B0E8C"/>
    <w:rsid w:val="49B900C8"/>
    <w:rsid w:val="49C45812"/>
    <w:rsid w:val="49D071C0"/>
    <w:rsid w:val="49F45CAD"/>
    <w:rsid w:val="4A266DE0"/>
    <w:rsid w:val="4A273284"/>
    <w:rsid w:val="4A602244"/>
    <w:rsid w:val="4AE602E8"/>
    <w:rsid w:val="4B67093E"/>
    <w:rsid w:val="4B7E6777"/>
    <w:rsid w:val="4BB63C32"/>
    <w:rsid w:val="4BBC6EDA"/>
    <w:rsid w:val="4C357ECC"/>
    <w:rsid w:val="4C3F4509"/>
    <w:rsid w:val="4C671669"/>
    <w:rsid w:val="4C754E2E"/>
    <w:rsid w:val="4CA15AAF"/>
    <w:rsid w:val="4D98513B"/>
    <w:rsid w:val="4DDA0513"/>
    <w:rsid w:val="4E7C6A3B"/>
    <w:rsid w:val="4E8C52F1"/>
    <w:rsid w:val="4EE71234"/>
    <w:rsid w:val="4EE73CA9"/>
    <w:rsid w:val="4F1968A3"/>
    <w:rsid w:val="4F5368C9"/>
    <w:rsid w:val="4F6F6D4E"/>
    <w:rsid w:val="50281B04"/>
    <w:rsid w:val="502D0EC8"/>
    <w:rsid w:val="50377F99"/>
    <w:rsid w:val="50950331"/>
    <w:rsid w:val="509A54D3"/>
    <w:rsid w:val="50CD4459"/>
    <w:rsid w:val="519F37DD"/>
    <w:rsid w:val="51CB317A"/>
    <w:rsid w:val="51DA01C8"/>
    <w:rsid w:val="52730B24"/>
    <w:rsid w:val="52AC5858"/>
    <w:rsid w:val="52B513BE"/>
    <w:rsid w:val="52BC6534"/>
    <w:rsid w:val="52D970E6"/>
    <w:rsid w:val="52FE306B"/>
    <w:rsid w:val="53063BD2"/>
    <w:rsid w:val="530F2B07"/>
    <w:rsid w:val="533468C5"/>
    <w:rsid w:val="533738C6"/>
    <w:rsid w:val="54041F40"/>
    <w:rsid w:val="54324514"/>
    <w:rsid w:val="549F7BBD"/>
    <w:rsid w:val="54C51BDB"/>
    <w:rsid w:val="54DF0F84"/>
    <w:rsid w:val="54F67A7F"/>
    <w:rsid w:val="55211CC3"/>
    <w:rsid w:val="555E7D76"/>
    <w:rsid w:val="55A973EF"/>
    <w:rsid w:val="56170651"/>
    <w:rsid w:val="561A5A4B"/>
    <w:rsid w:val="56206DD9"/>
    <w:rsid w:val="56AA4E2B"/>
    <w:rsid w:val="57F845B6"/>
    <w:rsid w:val="587D6765"/>
    <w:rsid w:val="58AA2A71"/>
    <w:rsid w:val="58B03946"/>
    <w:rsid w:val="58BD40DD"/>
    <w:rsid w:val="58DB569C"/>
    <w:rsid w:val="58E95BA9"/>
    <w:rsid w:val="59A10231"/>
    <w:rsid w:val="59A55F73"/>
    <w:rsid w:val="59B85EB7"/>
    <w:rsid w:val="59E03FFA"/>
    <w:rsid w:val="59E24AD2"/>
    <w:rsid w:val="5A4B4932"/>
    <w:rsid w:val="5B4D2552"/>
    <w:rsid w:val="5BB17AC3"/>
    <w:rsid w:val="5BD41E0C"/>
    <w:rsid w:val="5C977B6B"/>
    <w:rsid w:val="5CBA3AE4"/>
    <w:rsid w:val="5CC20BEA"/>
    <w:rsid w:val="5CDE093E"/>
    <w:rsid w:val="5D202704"/>
    <w:rsid w:val="5D881E34"/>
    <w:rsid w:val="5DBE5856"/>
    <w:rsid w:val="5DC0337C"/>
    <w:rsid w:val="5DD40BD5"/>
    <w:rsid w:val="5E2A2EEB"/>
    <w:rsid w:val="5E604B5F"/>
    <w:rsid w:val="5E79177D"/>
    <w:rsid w:val="5E862EF1"/>
    <w:rsid w:val="5EA8586B"/>
    <w:rsid w:val="5EB1475B"/>
    <w:rsid w:val="5F0276EF"/>
    <w:rsid w:val="5F1D6AE7"/>
    <w:rsid w:val="5F272D34"/>
    <w:rsid w:val="5F8D65FE"/>
    <w:rsid w:val="5F97700E"/>
    <w:rsid w:val="5FBA7123"/>
    <w:rsid w:val="5FC67B1C"/>
    <w:rsid w:val="602162ED"/>
    <w:rsid w:val="607D013A"/>
    <w:rsid w:val="609B59DA"/>
    <w:rsid w:val="60A7597A"/>
    <w:rsid w:val="60F90189"/>
    <w:rsid w:val="60FB0B6F"/>
    <w:rsid w:val="61407309"/>
    <w:rsid w:val="61426602"/>
    <w:rsid w:val="617E68C8"/>
    <w:rsid w:val="61900F2E"/>
    <w:rsid w:val="619012B7"/>
    <w:rsid w:val="61BD688C"/>
    <w:rsid w:val="61D45648"/>
    <w:rsid w:val="61ED04B8"/>
    <w:rsid w:val="62047667"/>
    <w:rsid w:val="622E4BE8"/>
    <w:rsid w:val="627067FE"/>
    <w:rsid w:val="629E1DBB"/>
    <w:rsid w:val="62BB05B6"/>
    <w:rsid w:val="63201BFB"/>
    <w:rsid w:val="633F11E7"/>
    <w:rsid w:val="63657284"/>
    <w:rsid w:val="63ED0E5B"/>
    <w:rsid w:val="6401024A"/>
    <w:rsid w:val="647C5F72"/>
    <w:rsid w:val="64C836F2"/>
    <w:rsid w:val="64DD1A09"/>
    <w:rsid w:val="651144BD"/>
    <w:rsid w:val="655A032C"/>
    <w:rsid w:val="655C366B"/>
    <w:rsid w:val="6589505D"/>
    <w:rsid w:val="658D6624"/>
    <w:rsid w:val="65B602EE"/>
    <w:rsid w:val="661C5CDB"/>
    <w:rsid w:val="66477683"/>
    <w:rsid w:val="669F7B80"/>
    <w:rsid w:val="66CD4D5B"/>
    <w:rsid w:val="66D954AE"/>
    <w:rsid w:val="66E857CE"/>
    <w:rsid w:val="66F66060"/>
    <w:rsid w:val="672C4271"/>
    <w:rsid w:val="67474DCB"/>
    <w:rsid w:val="675D0320"/>
    <w:rsid w:val="67CA3195"/>
    <w:rsid w:val="67DF79B4"/>
    <w:rsid w:val="681244FC"/>
    <w:rsid w:val="69054339"/>
    <w:rsid w:val="691724F7"/>
    <w:rsid w:val="697F6A71"/>
    <w:rsid w:val="69DD1C68"/>
    <w:rsid w:val="6A5407DE"/>
    <w:rsid w:val="6AEA7D05"/>
    <w:rsid w:val="6B112ACC"/>
    <w:rsid w:val="6B182A49"/>
    <w:rsid w:val="6BA51E03"/>
    <w:rsid w:val="6C134FBF"/>
    <w:rsid w:val="6CBF4A63"/>
    <w:rsid w:val="6CDF31BB"/>
    <w:rsid w:val="6D0668D1"/>
    <w:rsid w:val="6D325918"/>
    <w:rsid w:val="6D6F5E2D"/>
    <w:rsid w:val="6E057E62"/>
    <w:rsid w:val="6E9F0D8B"/>
    <w:rsid w:val="6EDF562C"/>
    <w:rsid w:val="6F1133F5"/>
    <w:rsid w:val="6F232584"/>
    <w:rsid w:val="6FA5610B"/>
    <w:rsid w:val="6FB554E9"/>
    <w:rsid w:val="6FF9271D"/>
    <w:rsid w:val="703B063E"/>
    <w:rsid w:val="70B825D8"/>
    <w:rsid w:val="718C5A98"/>
    <w:rsid w:val="72741A44"/>
    <w:rsid w:val="72815AC1"/>
    <w:rsid w:val="7298446F"/>
    <w:rsid w:val="730D6A0C"/>
    <w:rsid w:val="731A4E85"/>
    <w:rsid w:val="73510915"/>
    <w:rsid w:val="736305DA"/>
    <w:rsid w:val="73705DF6"/>
    <w:rsid w:val="739509AF"/>
    <w:rsid w:val="739C1D3D"/>
    <w:rsid w:val="73B2330F"/>
    <w:rsid w:val="73E47712"/>
    <w:rsid w:val="73F73418"/>
    <w:rsid w:val="744F6DB0"/>
    <w:rsid w:val="74A72748"/>
    <w:rsid w:val="74C61B91"/>
    <w:rsid w:val="75137DDD"/>
    <w:rsid w:val="752B5127"/>
    <w:rsid w:val="75902BAF"/>
    <w:rsid w:val="7590379C"/>
    <w:rsid w:val="7590476C"/>
    <w:rsid w:val="76180C4D"/>
    <w:rsid w:val="7682521B"/>
    <w:rsid w:val="76E81657"/>
    <w:rsid w:val="76F44B9E"/>
    <w:rsid w:val="770025E3"/>
    <w:rsid w:val="77250B48"/>
    <w:rsid w:val="7769092B"/>
    <w:rsid w:val="7796047E"/>
    <w:rsid w:val="77C12216"/>
    <w:rsid w:val="77F27C02"/>
    <w:rsid w:val="77F6BD59"/>
    <w:rsid w:val="78B75E9C"/>
    <w:rsid w:val="79977220"/>
    <w:rsid w:val="79C45B4A"/>
    <w:rsid w:val="7A7668D3"/>
    <w:rsid w:val="7A9C74EF"/>
    <w:rsid w:val="7AAC3A88"/>
    <w:rsid w:val="7B0C77A9"/>
    <w:rsid w:val="7B551150"/>
    <w:rsid w:val="7BE97AEA"/>
    <w:rsid w:val="7C574325"/>
    <w:rsid w:val="7CEE0A08"/>
    <w:rsid w:val="7CF41F7C"/>
    <w:rsid w:val="7D2863F0"/>
    <w:rsid w:val="7D311748"/>
    <w:rsid w:val="7D9F1F50"/>
    <w:rsid w:val="7DFD7613"/>
    <w:rsid w:val="7E105F0A"/>
    <w:rsid w:val="7E484F9C"/>
    <w:rsid w:val="7E4A456A"/>
    <w:rsid w:val="7EAC3247"/>
    <w:rsid w:val="7ECA59B1"/>
    <w:rsid w:val="7F6449AF"/>
    <w:rsid w:val="7FAF4BA7"/>
    <w:rsid w:val="7FD03CCE"/>
    <w:rsid w:val="7FEC7BA9"/>
    <w:rsid w:val="AF5EBA96"/>
    <w:rsid w:val="E7DF1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keepLines/>
      <w:spacing w:line="440" w:lineRule="exact"/>
      <w:outlineLvl w:val="0"/>
    </w:pPr>
    <w:rPr>
      <w:kern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adjustRightInd w:val="0"/>
      <w:snapToGrid w:val="0"/>
      <w:spacing w:line="360" w:lineRule="auto"/>
      <w:ind w:left="100" w:leftChars="400" w:hanging="200" w:hangingChars="200"/>
    </w:p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9">
    <w:name w:val="annotation text"/>
    <w:basedOn w:val="1"/>
    <w:qFormat/>
    <w:uiPriority w:val="0"/>
    <w:pPr>
      <w:jc w:val="left"/>
    </w:pPr>
  </w:style>
  <w:style w:type="paragraph" w:styleId="10">
    <w:name w:val="Body Text"/>
    <w:basedOn w:val="1"/>
    <w:next w:val="1"/>
    <w:qFormat/>
    <w:uiPriority w:val="99"/>
    <w:pPr>
      <w:spacing w:after="120" w:line="360" w:lineRule="auto"/>
    </w:pPr>
    <w:rPr>
      <w:sz w:val="24"/>
      <w:szCs w:val="24"/>
    </w:r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pPr>
      <w:spacing w:line="180" w:lineRule="auto"/>
      <w:jc w:val="center"/>
    </w:pPr>
    <w:rPr>
      <w:sz w:val="30"/>
    </w:rPr>
  </w:style>
  <w:style w:type="paragraph" w:styleId="19">
    <w:name w:val="Body Text Indent 3"/>
    <w:basedOn w:val="1"/>
    <w:qFormat/>
    <w:uiPriority w:val="0"/>
    <w:pPr>
      <w:spacing w:after="120"/>
      <w:ind w:left="420" w:leftChars="200"/>
    </w:pPr>
    <w:rPr>
      <w:rFonts w:ascii="Calibri" w:hAnsi="Calibri"/>
      <w:sz w:val="16"/>
      <w:szCs w:val="16"/>
    </w:rPr>
  </w:style>
  <w:style w:type="paragraph" w:styleId="20">
    <w:name w:val="toc 2"/>
    <w:basedOn w:val="1"/>
    <w:next w:val="1"/>
    <w:qFormat/>
    <w:uiPriority w:val="39"/>
    <w:pPr>
      <w:ind w:left="420" w:leftChars="200"/>
    </w:pPr>
  </w:style>
  <w:style w:type="paragraph" w:styleId="21">
    <w:name w:val="Body Text First Indent"/>
    <w:basedOn w:val="1"/>
    <w:next w:val="6"/>
    <w:qFormat/>
    <w:uiPriority w:val="0"/>
    <w:pPr>
      <w:spacing w:line="360" w:lineRule="auto"/>
      <w:ind w:firstLine="420"/>
    </w:pPr>
    <w:rPr>
      <w:rFonts w:ascii="宋体" w:hAnsi="宋体"/>
      <w:sz w:val="24"/>
    </w:rPr>
  </w:style>
  <w:style w:type="paragraph" w:styleId="22">
    <w:name w:val="Body Text First Indent 2"/>
    <w:basedOn w:val="11"/>
    <w:qFormat/>
    <w:uiPriority w:val="0"/>
    <w:pPr>
      <w:spacing w:after="120" w:line="240" w:lineRule="auto"/>
      <w:ind w:left="420" w:leftChars="200"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color w:val="0000FF"/>
      <w:u w:val="single"/>
    </w:rPr>
  </w:style>
  <w:style w:type="paragraph" w:customStyle="1" w:styleId="28">
    <w:name w:val="图例"/>
    <w:basedOn w:val="1"/>
    <w:qFormat/>
    <w:uiPriority w:val="0"/>
    <w:pPr>
      <w:spacing w:before="120" w:after="120" w:line="360" w:lineRule="auto"/>
      <w:jc w:val="center"/>
    </w:pPr>
    <w:rPr>
      <w:rFonts w:eastAsia="仿宋_GB2312"/>
      <w:b/>
      <w:sz w:val="24"/>
    </w:rPr>
  </w:style>
  <w:style w:type="character" w:customStyle="1" w:styleId="29">
    <w:name w:val="NormalCharacter"/>
    <w:qFormat/>
    <w:uiPriority w:val="0"/>
  </w:style>
  <w:style w:type="character" w:customStyle="1" w:styleId="30">
    <w:name w:val="15"/>
    <w:basedOn w:val="25"/>
    <w:qFormat/>
    <w:uiPriority w:val="0"/>
    <w:rPr>
      <w:rFonts w:hint="default" w:ascii="Calibri" w:hAnsi="Calibri" w:cs="Calibri"/>
    </w:rPr>
  </w:style>
  <w:style w:type="character" w:customStyle="1" w:styleId="31">
    <w:name w:val="10"/>
    <w:basedOn w:val="25"/>
    <w:qFormat/>
    <w:uiPriority w:val="0"/>
    <w:rPr>
      <w:rFonts w:hint="default" w:ascii="Calibri" w:hAnsi="Calibri" w:cs="Calibri"/>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1207f08c-ddd4-4b50-b00f-ae15d7e87180</errorID>
      <errorWord>（</errorWord>
      <group>L1_Punc</group>
      <groupName>标点问题</groupName>
      <ability>L2_Punc</ability>
      <abilityName>标点符号检查</abilityName>
      <candidateList/>
      <explain>同一形式括号套用。</explain>
      <paraID>2E2ECED0</paraID>
      <start>13</start>
      <end>14</end>
      <status>ignored</status>
      <modifiedWord/>
      <trackRevisions>false</trackRevisions>
    </reviewItem>
    <reviewItem>
      <errorID>66902c98-3f15-4305-9fce-11214d62be6f</errorID>
      <errorWord>）</errorWord>
      <group>L1_Punc</group>
      <groupName>标点问题</groupName>
      <ability>L2_Punc</ability>
      <abilityName>标点符号检查</abilityName>
      <candidateList/>
      <explain>同一形式括号套用。</explain>
      <paraID>2E2ECED0</paraID>
      <start>16</start>
      <end>17</end>
      <status>ignored</status>
      <modifiedWord/>
      <trackRevisions>false</trackRevisions>
    </reviewItem>
    <reviewItem>
      <errorID>07fb6433-ca73-41da-adea-b80a41fd2721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292F73B1</paraID>
      <start>91</start>
      <end>92</end>
      <status>ignored</status>
      <modifiedWord/>
      <trackRevisions>false</trackRevisions>
    </reviewItem>
    <reviewItem>
      <errorID>3f81e4ff-49df-472c-a674-5b49594b8df8</errorID>
      <errorWord>；</errorWord>
      <group>L1_Punc</group>
      <groupName>标点问题</groupName>
      <ability>L2_Punc</ability>
      <abilityName>标点符号检查</abilityName>
      <candidateList>
        <item>，</item>
      </candidateList>
      <explain/>
      <paraID>11037707</paraID>
      <start>24</start>
      <end>25</end>
      <status>modified</status>
      <modifiedWord>，</modifiedWord>
      <trackRevisions>false</trackRevisions>
    </reviewItem>
    <reviewItem>
      <errorID>c2f23a3b-7f3d-49de-84d8-9b687e019761</errorID>
      <errorWord>；</errorWord>
      <group>L1_Punc</group>
      <groupName>标点问题</groupName>
      <ability>L2_Punc</ability>
      <abilityName>标点符号检查</abilityName>
      <candidateList>
        <item>，</item>
      </candidateList>
      <explain/>
      <paraID>4CFA0C2D</paraID>
      <start>28</start>
      <end>29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7ce6c-b05b-4c2d-9518-1bfa2517dd33}">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10498</Words>
  <Characters>11208</Characters>
  <Lines>594</Lines>
  <Paragraphs>480</Paragraphs>
  <TotalTime>1</TotalTime>
  <ScaleCrop>false</ScaleCrop>
  <LinksUpToDate>false</LinksUpToDate>
  <CharactersWithSpaces>11402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2025-10-28T02:32:00Z</dcterms:created>
  <dc:creator>谢海樱</dc:creator>
  <cp:lastModifiedBy>董</cp:lastModifiedBy>
  <cp:lastPrinted>2025-11-10T03:38:00Z</cp:lastPrinted>
  <dcterms:modified xsi:type="dcterms:W3CDTF">2026-04-15T06:57:06Z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2251D8973CC64629AB731B11A3EE5C7A_13</vt:lpwstr>
  </property>
  <property fmtid="{D5CDD505-2E9C-101B-9397-08002B2CF9AE}" pid="4" name="KSOTemplateDocerSaveRecord">
    <vt:lpwstr>eyJoZGlkIjoiNzc1Zjk0MjM5ZTdmZGNjYzU0ODdkMGYzMTE1ZjM5ZjciLCJ1c2VySWQiOiIxNTU0MDgzMDU1In0=</vt:lpwstr>
  </property>
</Properties>
</file>