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4F53">
      <w:pPr>
        <w:spacing w:line="360" w:lineRule="auto"/>
        <w:jc w:val="center"/>
        <w:outlineLvl w:val="9"/>
        <w:rPr>
          <w:rFonts w:hint="eastAsia" w:ascii="宋体" w:hAnsi="宋体" w:eastAsia="宋体" w:cs="宋体"/>
          <w:color w:val="000000" w:themeColor="text1"/>
          <w:sz w:val="36"/>
          <w:szCs w:val="21"/>
          <w:highlight w:val="none"/>
          <w14:textFill>
            <w14:solidFill>
              <w14:schemeClr w14:val="tx1"/>
            </w14:solidFill>
          </w14:textFill>
        </w:rPr>
      </w:pPr>
      <w:bookmarkStart w:id="0" w:name="_Toc152042286"/>
      <w:bookmarkStart w:id="1" w:name="_Toc144974478"/>
    </w:p>
    <w:p w14:paraId="2B4A744C">
      <w:pPr>
        <w:spacing w:line="360" w:lineRule="auto"/>
        <w:jc w:val="center"/>
        <w:outlineLvl w:val="9"/>
        <w:rPr>
          <w:rFonts w:hint="eastAsia" w:ascii="宋体" w:hAnsi="宋体" w:eastAsia="宋体" w:cs="宋体"/>
          <w:b/>
          <w:bCs/>
          <w:color w:val="000000" w:themeColor="text1"/>
          <w:sz w:val="40"/>
          <w:szCs w:val="22"/>
          <w:highlight w:val="none"/>
          <w:lang w:eastAsia="zh-CN"/>
          <w14:textFill>
            <w14:solidFill>
              <w14:schemeClr w14:val="tx1"/>
            </w14:solidFill>
          </w14:textFill>
        </w:rPr>
      </w:pPr>
      <w:r>
        <w:rPr>
          <w:rFonts w:hint="eastAsia" w:ascii="宋体" w:hAnsi="宋体" w:eastAsia="宋体" w:cs="宋体"/>
          <w:b/>
          <w:bCs/>
          <w:color w:val="000000" w:themeColor="text1"/>
          <w:sz w:val="40"/>
          <w:szCs w:val="22"/>
          <w:highlight w:val="none"/>
          <w14:textFill>
            <w14:solidFill>
              <w14:schemeClr w14:val="tx1"/>
            </w14:solidFill>
          </w14:textFill>
        </w:rPr>
        <w:t>项目名称</w:t>
      </w:r>
      <w:r>
        <w:rPr>
          <w:rFonts w:hint="eastAsia" w:ascii="宋体" w:hAnsi="宋体" w:eastAsia="宋体" w:cs="宋体"/>
          <w:b/>
          <w:bCs/>
          <w:color w:val="000000" w:themeColor="text1"/>
          <w:sz w:val="40"/>
          <w:szCs w:val="22"/>
          <w:highlight w:val="none"/>
          <w:lang w:eastAsia="zh-CN"/>
          <w14:textFill>
            <w14:solidFill>
              <w14:schemeClr w14:val="tx1"/>
            </w14:solidFill>
          </w14:textFill>
        </w:rPr>
        <w:t>：曾家镇龙台社区美丽新城休闲空间打造</w:t>
      </w:r>
    </w:p>
    <w:p w14:paraId="627AE130">
      <w:pPr>
        <w:spacing w:line="360" w:lineRule="auto"/>
        <w:outlineLvl w:val="9"/>
        <w:rPr>
          <w:rFonts w:hint="eastAsia" w:ascii="宋体" w:hAnsi="宋体" w:eastAsia="宋体" w:cs="宋体"/>
          <w:b/>
          <w:color w:val="000000" w:themeColor="text1"/>
          <w:sz w:val="84"/>
          <w:szCs w:val="84"/>
          <w:highlight w:val="none"/>
          <w14:textFill>
            <w14:solidFill>
              <w14:schemeClr w14:val="tx1"/>
            </w14:solidFill>
          </w14:textFill>
        </w:rPr>
      </w:pPr>
    </w:p>
    <w:p w14:paraId="5BBE75C1">
      <w:pPr>
        <w:spacing w:line="600" w:lineRule="exact"/>
        <w:jc w:val="both"/>
        <w:outlineLvl w:val="9"/>
        <w:rPr>
          <w:rFonts w:hint="eastAsia" w:ascii="宋体" w:hAnsi="宋体" w:eastAsia="宋体" w:cs="宋体"/>
          <w:color w:val="000000" w:themeColor="text1"/>
          <w:sz w:val="52"/>
          <w:highlight w:val="none"/>
          <w14:textFill>
            <w14:solidFill>
              <w14:schemeClr w14:val="tx1"/>
            </w14:solidFill>
          </w14:textFill>
        </w:rPr>
      </w:pPr>
    </w:p>
    <w:p w14:paraId="1B4A1936">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0BBEA6F9">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1A4A7CC5">
      <w:pPr>
        <w:outlineLvl w:val="9"/>
        <w:rPr>
          <w:rFonts w:hint="eastAsia" w:ascii="宋体" w:hAnsi="宋体" w:eastAsia="宋体" w:cs="宋体"/>
          <w:color w:val="000000" w:themeColor="text1"/>
          <w:sz w:val="52"/>
          <w:highlight w:val="none"/>
          <w14:textFill>
            <w14:solidFill>
              <w14:schemeClr w14:val="tx1"/>
            </w14:solidFill>
          </w14:textFill>
        </w:rPr>
      </w:pPr>
    </w:p>
    <w:p w14:paraId="266237C4">
      <w:pPr>
        <w:jc w:val="center"/>
        <w:outlineLvl w:val="9"/>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b/>
          <w:bCs/>
          <w:color w:val="000000" w:themeColor="text1"/>
          <w:spacing w:val="80"/>
          <w:sz w:val="112"/>
          <w:szCs w:val="112"/>
          <w:highlight w:val="none"/>
          <w14:textFill>
            <w14:solidFill>
              <w14:schemeClr w14:val="tx1"/>
            </w14:solidFill>
          </w14:textFill>
        </w:rPr>
        <w:t>竞争性比选文件</w:t>
      </w:r>
    </w:p>
    <w:p w14:paraId="0011BE88">
      <w:pPr>
        <w:pStyle w:val="7"/>
        <w:spacing w:line="500" w:lineRule="exact"/>
        <w:ind w:left="0"/>
        <w:outlineLvl w:val="9"/>
        <w:rPr>
          <w:rFonts w:hint="eastAsia" w:ascii="宋体" w:hAnsi="宋体" w:eastAsia="宋体" w:cs="宋体"/>
          <w:b/>
          <w:color w:val="000000" w:themeColor="text1"/>
          <w:sz w:val="36"/>
          <w:szCs w:val="21"/>
          <w:highlight w:val="none"/>
          <w14:textFill>
            <w14:solidFill>
              <w14:schemeClr w14:val="tx1"/>
            </w14:solidFill>
          </w14:textFill>
        </w:rPr>
      </w:pPr>
    </w:p>
    <w:p w14:paraId="2BD218F9">
      <w:pPr>
        <w:pStyle w:val="7"/>
        <w:spacing w:line="500" w:lineRule="exact"/>
        <w:ind w:firstLine="176" w:firstLineChars="44"/>
        <w:outlineLvl w:val="9"/>
        <w:rPr>
          <w:rFonts w:hint="eastAsia" w:ascii="宋体" w:hAnsi="宋体" w:eastAsia="宋体" w:cs="宋体"/>
          <w:color w:val="000000" w:themeColor="text1"/>
          <w:sz w:val="40"/>
          <w:szCs w:val="22"/>
          <w:highlight w:val="none"/>
          <w14:textFill>
            <w14:solidFill>
              <w14:schemeClr w14:val="tx1"/>
            </w14:solidFill>
          </w14:textFill>
        </w:rPr>
      </w:pPr>
      <w:r>
        <w:rPr>
          <w:rFonts w:hint="eastAsia" w:ascii="宋体" w:hAnsi="宋体" w:eastAsia="宋体" w:cs="宋体"/>
          <w:color w:val="000000" w:themeColor="text1"/>
          <w:sz w:val="40"/>
          <w:szCs w:val="22"/>
          <w:highlight w:val="none"/>
          <w14:textFill>
            <w14:solidFill>
              <w14:schemeClr w14:val="tx1"/>
            </w14:solidFill>
          </w14:textFill>
        </w:rPr>
        <w:t xml:space="preserve"> </w:t>
      </w:r>
    </w:p>
    <w:p w14:paraId="55CDDE9B">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466E676">
      <w:pPr>
        <w:pStyle w:val="7"/>
        <w:spacing w:line="500" w:lineRule="exact"/>
        <w:ind w:left="0" w:leftChars="0" w:firstLine="0" w:firstLineChars="0"/>
        <w:outlineLvl w:val="9"/>
        <w:rPr>
          <w:rFonts w:hint="eastAsia" w:ascii="宋体" w:hAnsi="宋体" w:eastAsia="宋体" w:cs="宋体"/>
          <w:color w:val="000000" w:themeColor="text1"/>
          <w:sz w:val="32"/>
          <w:highlight w:val="none"/>
          <w14:textFill>
            <w14:solidFill>
              <w14:schemeClr w14:val="tx1"/>
            </w14:solidFill>
          </w14:textFill>
        </w:rPr>
      </w:pPr>
    </w:p>
    <w:p w14:paraId="2F67BF24">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79ADDFA">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56ECAE5F">
      <w:pPr>
        <w:pStyle w:val="7"/>
        <w:spacing w:line="500" w:lineRule="exact"/>
        <w:ind w:left="0"/>
        <w:outlineLvl w:val="9"/>
        <w:rPr>
          <w:rFonts w:hint="eastAsia" w:ascii="宋体" w:hAnsi="宋体" w:eastAsia="宋体" w:cs="宋体"/>
          <w:color w:val="000000" w:themeColor="text1"/>
          <w:sz w:val="32"/>
          <w:highlight w:val="none"/>
          <w14:textFill>
            <w14:solidFill>
              <w14:schemeClr w14:val="tx1"/>
            </w14:solidFill>
          </w14:textFill>
        </w:rPr>
      </w:pPr>
    </w:p>
    <w:p w14:paraId="40A9A025">
      <w:pPr>
        <w:spacing w:line="500" w:lineRule="exact"/>
        <w:outlineLvl w:val="9"/>
        <w:rPr>
          <w:rFonts w:hint="eastAsia" w:ascii="宋体" w:hAnsi="宋体" w:eastAsia="宋体" w:cs="宋体"/>
          <w:b/>
          <w:color w:val="000000" w:themeColor="text1"/>
          <w:sz w:val="32"/>
          <w:highlight w:val="none"/>
          <w14:textFill>
            <w14:solidFill>
              <w14:schemeClr w14:val="tx1"/>
            </w14:solidFill>
          </w14:textFill>
        </w:rPr>
      </w:pPr>
    </w:p>
    <w:p w14:paraId="6455C9A8">
      <w:pPr>
        <w:pStyle w:val="7"/>
        <w:spacing w:line="360" w:lineRule="auto"/>
        <w:ind w:left="0" w:leftChars="0" w:firstLine="1084" w:firstLineChars="300"/>
        <w:outlineLvl w:val="9"/>
        <w:rPr>
          <w:rFonts w:hint="eastAsia" w:ascii="宋体" w:hAnsi="宋体" w:eastAsia="宋体" w:cs="宋体"/>
          <w:b/>
          <w:bCs/>
          <w:color w:val="000000"/>
          <w:sz w:val="36"/>
          <w:szCs w:val="21"/>
          <w:highlight w:val="none"/>
          <w:lang w:eastAsia="zh-CN"/>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人：</w:t>
      </w:r>
      <w:r>
        <w:rPr>
          <w:rFonts w:hint="eastAsia" w:ascii="宋体" w:hAnsi="宋体" w:eastAsia="宋体" w:cs="宋体"/>
          <w:b/>
          <w:bCs/>
          <w:color w:val="000000"/>
          <w:sz w:val="36"/>
          <w:szCs w:val="21"/>
          <w:highlight w:val="none"/>
          <w:lang w:eastAsia="zh-CN"/>
        </w:rPr>
        <w:t xml:space="preserve">重庆高新区曾家镇爱家物业服务中心 </w:t>
      </w:r>
    </w:p>
    <w:p w14:paraId="4EA31468">
      <w:pPr>
        <w:pStyle w:val="7"/>
        <w:spacing w:line="360" w:lineRule="auto"/>
        <w:ind w:left="0" w:leftChars="0" w:firstLine="1084" w:firstLineChars="3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代理机构：</w:t>
      </w:r>
      <w:r>
        <w:rPr>
          <w:rFonts w:hint="eastAsia" w:ascii="宋体" w:hAnsi="宋体" w:eastAsia="宋体" w:cs="宋体"/>
          <w:b/>
          <w:bCs/>
          <w:color w:val="000000"/>
          <w:sz w:val="36"/>
          <w:szCs w:val="21"/>
          <w:highlight w:val="none"/>
          <w:lang w:eastAsia="zh-CN"/>
        </w:rPr>
        <w:t>深圳群伦项目管理有限公司</w:t>
      </w:r>
    </w:p>
    <w:p w14:paraId="7805A184">
      <w:pPr>
        <w:pStyle w:val="7"/>
        <w:spacing w:line="360" w:lineRule="auto"/>
        <w:ind w:firstLine="2530" w:firstLineChars="7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rPr>
        <w:t>二○二</w:t>
      </w:r>
      <w:r>
        <w:rPr>
          <w:rFonts w:hint="eastAsia" w:ascii="宋体" w:hAnsi="宋体" w:eastAsia="宋体" w:cs="宋体"/>
          <w:b/>
          <w:bCs/>
          <w:color w:val="000000"/>
          <w:sz w:val="36"/>
          <w:szCs w:val="21"/>
          <w:highlight w:val="none"/>
          <w:lang w:val="en-US" w:eastAsia="zh-CN"/>
        </w:rPr>
        <w:t>五</w:t>
      </w:r>
      <w:r>
        <w:rPr>
          <w:rFonts w:hint="eastAsia" w:ascii="宋体" w:hAnsi="宋体" w:eastAsia="宋体" w:cs="宋体"/>
          <w:b/>
          <w:bCs/>
          <w:color w:val="000000"/>
          <w:sz w:val="36"/>
          <w:szCs w:val="21"/>
          <w:highlight w:val="none"/>
        </w:rPr>
        <w:t>年</w:t>
      </w:r>
      <w:r>
        <w:rPr>
          <w:rFonts w:hint="eastAsia" w:ascii="宋体" w:hAnsi="宋体" w:eastAsia="宋体" w:cs="宋体"/>
          <w:b/>
          <w:bCs/>
          <w:color w:val="000000"/>
          <w:sz w:val="36"/>
          <w:szCs w:val="21"/>
          <w:highlight w:val="none"/>
          <w:lang w:val="en-US" w:eastAsia="zh-CN"/>
        </w:rPr>
        <w:t>六</w:t>
      </w:r>
      <w:r>
        <w:rPr>
          <w:rFonts w:hint="eastAsia" w:ascii="宋体" w:hAnsi="宋体" w:eastAsia="宋体" w:cs="宋体"/>
          <w:b/>
          <w:bCs/>
          <w:color w:val="000000"/>
          <w:sz w:val="36"/>
          <w:szCs w:val="21"/>
          <w:highlight w:val="none"/>
        </w:rPr>
        <w:t>月</w:t>
      </w:r>
    </w:p>
    <w:p w14:paraId="20519297">
      <w:pPr>
        <w:pStyle w:val="7"/>
        <w:spacing w:line="500" w:lineRule="exact"/>
        <w:ind w:left="420" w:firstLine="1124" w:firstLineChars="350"/>
        <w:outlineLvl w:val="9"/>
        <w:rPr>
          <w:rFonts w:hint="eastAsia" w:ascii="宋体" w:hAnsi="宋体" w:eastAsia="宋体" w:cs="宋体"/>
          <w:b/>
          <w:bCs/>
          <w:color w:val="000000" w:themeColor="text1"/>
          <w:sz w:val="32"/>
          <w:highlight w:val="none"/>
          <w14:textFill>
            <w14:solidFill>
              <w14:schemeClr w14:val="tx1"/>
            </w14:solidFill>
          </w14:textFill>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p>
    <w:p w14:paraId="034FAAE1">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bookmarkEnd w:id="0"/>
      <w:bookmarkEnd w:id="1"/>
    </w:p>
    <w:sdt>
      <w:sdtPr>
        <w:rPr>
          <w:rFonts w:hint="eastAsia" w:ascii="宋体" w:hAnsi="宋体" w:eastAsia="宋体" w:cs="宋体"/>
          <w:color w:val="000000" w:themeColor="text1"/>
          <w:highlight w:val="none"/>
          <w14:textFill>
            <w14:solidFill>
              <w14:schemeClr w14:val="tx1"/>
            </w14:solidFill>
          </w14:textFill>
        </w:rPr>
        <w:id w:val="147470722"/>
        <w15:color w:val="DBDBDB"/>
        <w:docPartObj>
          <w:docPartGallery w:val="Table of Contents"/>
          <w:docPartUnique/>
        </w:docPartObj>
      </w:sdtPr>
      <w:sdtEndPr>
        <w:rPr>
          <w:rFonts w:hint="eastAsia" w:ascii="宋体" w:hAnsi="宋体" w:eastAsia="宋体" w:cs="宋体"/>
          <w:color w:val="000000" w:themeColor="text1"/>
          <w:highlight w:val="none"/>
          <w14:textFill>
            <w14:solidFill>
              <w14:schemeClr w14:val="tx1"/>
            </w14:solidFill>
          </w14:textFill>
        </w:rPr>
      </w:sdtEndPr>
      <w:sdtContent>
        <w:p w14:paraId="2807B930">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 w:name="_Toc152045511"/>
          <w:bookmarkStart w:id="3" w:name="_Toc152042287"/>
          <w:bookmarkStart w:id="4" w:name="_Toc144974479"/>
        </w:p>
        <w:p w14:paraId="6F9364F9">
          <w:pPr>
            <w:pStyle w:val="46"/>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"1-1"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"_Toc2526"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_Toc2526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D180923">
          <w:pPr>
            <w:pStyle w:val="46"/>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"_Toc9404"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第二章 竞标人须知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D0FCF66">
          <w:pPr>
            <w:pStyle w:val="46"/>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"_Toc27642"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第三章 评标办法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bCs/>
              <w:snapToGrid w:val="0"/>
              <w:color w:val="000000" w:themeColor="text1"/>
              <w:sz w:val="28"/>
              <w:szCs w:val="28"/>
              <w:highlight w:val="none"/>
              <w:lang w:val="en-US" w:eastAsia="zh-CN"/>
              <w14:textFill>
                <w14:solidFill>
                  <w14:schemeClr w14:val="tx1"/>
                </w14:solidFill>
              </w14:textFill>
            </w:rPr>
            <w:t>综合评分法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2CB2F3B9">
          <w:pPr>
            <w:pStyle w:val="46"/>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"_Toc19013"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p w14:paraId="476DF582">
          <w:pPr>
            <w:pStyle w:val="46"/>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"_Toc13841"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工程量清单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p w14:paraId="32965B02">
          <w:pPr>
            <w:pStyle w:val="46"/>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"_Toc1807"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图纸及相关资料</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p>
        <w:p w14:paraId="3C518012">
          <w:pPr>
            <w:pStyle w:val="46"/>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"_Toc7584"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 技术标准和要求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4738BA24">
          <w:pPr>
            <w:pStyle w:val="46"/>
            <w:tabs>
              <w:tab w:val="right" w:leader="dot" w:pos="9070"/>
            </w:tabs>
            <w:spacing w:line="48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"_Toc10560"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第八章 竞标文件格式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1A5FECC6">
          <w:pPr>
            <w:pStyle w:val="14"/>
            <w:tabs>
              <w:tab w:val="right" w:leader="dot" w:pos="9060"/>
            </w:tabs>
            <w:spacing w:line="360" w:lineRule="auto"/>
            <w:rPr>
              <w:rFonts w:hint="eastAsia" w:ascii="宋体" w:hAnsi="宋体" w:eastAsia="宋体" w:cs="宋体"/>
              <w:color w:val="000000" w:themeColor="text1"/>
              <w:highlight w:val="none"/>
              <w14:textFill>
                <w14:solidFill>
                  <w14:schemeClr w14:val="tx1"/>
                </w14:solidFill>
              </w14:textFill>
            </w:rPr>
            <w:sectPr>
              <w:headerReference r:id="rId7" w:type="default"/>
              <w:footerReference r:id="rId8" w:type="default"/>
              <w:pgSz w:w="11906" w:h="16838"/>
              <w:pgMar w:top="1247" w:right="1418" w:bottom="1247" w:left="1418" w:header="851" w:footer="992" w:gutter="0"/>
              <w:pgNumType w:start="1"/>
              <w:cols w:space="720" w:num="1"/>
              <w:docGrid w:type="lines" w:linePitch="312" w:charSpace="0"/>
            </w:sectPr>
          </w:pPr>
          <w:r>
            <w:rPr>
              <w:rFonts w:hint="eastAsia" w:ascii="宋体" w:hAnsi="宋体" w:eastAsia="宋体" w:cs="宋体"/>
              <w:color w:val="000000" w:themeColor="text1"/>
              <w:sz w:val="21"/>
              <w:szCs w:val="21"/>
              <w:highlight w:val="none"/>
              <w14:textFill>
                <w14:solidFill>
                  <w14:schemeClr w14:val="tx1"/>
                </w14:solidFill>
              </w14:textFill>
            </w:rPr>
            <w:fldChar w:fldCharType="end"/>
          </w:r>
        </w:p>
      </w:sdtContent>
    </w:sdt>
    <w:bookmarkEnd w:id="2"/>
    <w:bookmarkEnd w:id="3"/>
    <w:bookmarkEnd w:id="4"/>
    <w:p w14:paraId="3D416C58">
      <w:pPr>
        <w:pStyle w:val="2"/>
        <w:spacing w:before="120" w:after="12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5" w:name="_Toc2526"/>
      <w:r>
        <w:rPr>
          <w:rFonts w:hint="eastAsia" w:ascii="宋体" w:hAnsi="宋体" w:eastAsia="宋体" w:cs="宋体"/>
          <w:b/>
          <w:bCs/>
          <w:color w:val="000000" w:themeColor="text1"/>
          <w:sz w:val="36"/>
          <w:szCs w:val="36"/>
          <w:highlight w:val="none"/>
          <w14:textFill>
            <w14:solidFill>
              <w14:schemeClr w14:val="tx1"/>
            </w14:solidFill>
          </w14:textFill>
        </w:rPr>
        <w:t>第一章 竞争性比选公告</w:t>
      </w:r>
      <w:bookmarkEnd w:id="5"/>
    </w:p>
    <w:p w14:paraId="7FC96BD6">
      <w:pPr>
        <w:pStyle w:val="3"/>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6" w:name="_Toc27119"/>
      <w:bookmarkStart w:id="7" w:name="_Toc389633547"/>
      <w:bookmarkStart w:id="8" w:name="_Toc31647"/>
      <w:bookmarkStart w:id="9" w:name="_Toc357417612"/>
      <w:bookmarkStart w:id="10" w:name="_Toc152045527"/>
      <w:bookmarkStart w:id="11" w:name="_Toc144974495"/>
      <w:bookmarkStart w:id="12" w:name="_Toc389633554"/>
      <w:bookmarkStart w:id="13" w:name="_Toc152042303"/>
      <w: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t xml:space="preserve"> 曾家镇龙台社区美丽新城休闲空间打造项目</w:t>
      </w:r>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竞争性</w:t>
      </w:r>
      <w:r>
        <w:rPr>
          <w:rFonts w:hint="eastAsia" w:ascii="宋体" w:hAnsi="宋体" w:eastAsia="宋体" w:cs="宋体"/>
          <w:b/>
          <w:bCs/>
          <w:color w:val="000000" w:themeColor="text1"/>
          <w:kern w:val="44"/>
          <w:sz w:val="32"/>
          <w:szCs w:val="32"/>
          <w:highlight w:val="none"/>
          <w14:textFill>
            <w14:solidFill>
              <w14:schemeClr w14:val="tx1"/>
            </w14:solidFill>
          </w14:textFill>
        </w:rPr>
        <w:t>比选公告</w:t>
      </w:r>
    </w:p>
    <w:p w14:paraId="45823CCA">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1．竞争性比选条件</w:t>
      </w:r>
      <w:bookmarkEnd w:id="6"/>
      <w:bookmarkEnd w:id="7"/>
      <w:bookmarkEnd w:id="8"/>
      <w:bookmarkEnd w:id="9"/>
    </w:p>
    <w:p w14:paraId="3BDA3CE4">
      <w:pPr>
        <w:pStyle w:val="3"/>
        <w:spacing w:line="360" w:lineRule="auto"/>
        <w:ind w:firstLine="522" w:firstLineChars="249"/>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4" w:name="_Toc25601"/>
      <w:bookmarkStart w:id="15" w:name="_Toc357417613"/>
      <w:bookmarkStart w:id="16" w:name="_Toc26920"/>
      <w:bookmarkStart w:id="17" w:name="_Toc389633548"/>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本比选项目</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曾家镇龙台社区美丽新城休闲空间打造项目</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已由</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 xml:space="preserve">重庆高新区曾家镇爱家物业服务中心 </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批准建设，项目业主（比选人）为</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 xml:space="preserve">重庆高新区曾家镇爱家物业服务中心 </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,建设资金来源为</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民非资金</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，项目已具备招标条件，现对该项目</w:t>
      </w:r>
      <w:r>
        <w:rPr>
          <w:rFonts w:hint="eastAsia" w:ascii="宋体" w:hAnsi="宋体" w:eastAsia="宋体" w:cs="宋体"/>
          <w:b w:val="0"/>
          <w:bCs w:val="0"/>
          <w:snapToGrid w:val="0"/>
          <w:color w:val="000000" w:themeColor="text1"/>
          <w:kern w:val="0"/>
          <w:sz w:val="21"/>
          <w:szCs w:val="21"/>
          <w:highlight w:val="none"/>
          <w:u w:val="none"/>
          <w14:textFill>
            <w14:solidFill>
              <w14:schemeClr w14:val="tx1"/>
            </w14:solidFill>
          </w14:textFill>
        </w:rPr>
        <w:t>施工</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进行公开竞争性比选招标，欢迎符合条件的竞标人参与竞标。</w:t>
      </w:r>
    </w:p>
    <w:p w14:paraId="01537200">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2．项目概况与比选范围</w:t>
      </w:r>
      <w:bookmarkEnd w:id="14"/>
      <w:bookmarkEnd w:id="15"/>
      <w:bookmarkEnd w:id="16"/>
      <w:bookmarkEnd w:id="17"/>
    </w:p>
    <w:p w14:paraId="466703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bookmarkStart w:id="18" w:name="_Toc12349"/>
      <w:bookmarkStart w:id="19" w:name="_Toc357417614"/>
      <w:bookmarkStart w:id="20" w:name="_Toc389633549"/>
      <w:bookmarkStart w:id="21" w:name="_Toc5662"/>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2.1项目名称：</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曾家镇龙台社区美丽新城休闲空间打造项目</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545F3E8C">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2.2建设地点：</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重庆市沙坪坝区兴旺路33号</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p>
    <w:p w14:paraId="7DBA5F75">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2.3建设规模及内容：</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本项目主要对</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重庆市沙坪坝区兴旺路33号</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进行改造</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0BA64F37">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2.4比选范围：</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具体施工内容以工程量清单和实际完成的工程内容为准</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98D25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2.5计划工期：</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60日历天。缺陷责任期24个月</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2ADDAA9">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3．竞标人资格</w:t>
      </w:r>
      <w:bookmarkEnd w:id="18"/>
      <w:bookmarkEnd w:id="19"/>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0"/>
      <w:bookmarkEnd w:id="21"/>
    </w:p>
    <w:p w14:paraId="6B05BC3A">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 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人须具备以下条件:</w:t>
      </w:r>
    </w:p>
    <w:p w14:paraId="0F300AE9">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3.1.1本次比选要求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人须具备的资质条件: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具备建设行政主管部门颁发的有效的</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建筑工程施工总承包叁级及以上资质或建筑装修装饰工程专业承包贰级及以上资质</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B8FA837">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竞标人须</w:t>
      </w:r>
      <w:r>
        <w:rPr>
          <w:rFonts w:hint="eastAsia" w:ascii="宋体" w:hAnsi="宋体" w:eastAsia="宋体" w:cs="宋体"/>
          <w:snapToGrid w:val="0"/>
          <w:color w:val="000000" w:themeColor="text1"/>
          <w:kern w:val="0"/>
          <w:szCs w:val="21"/>
          <w:highlight w:val="none"/>
          <w14:textFill>
            <w14:solidFill>
              <w14:schemeClr w14:val="tx1"/>
            </w14:solidFill>
          </w14:textFill>
        </w:rPr>
        <w:t>在人员、设备、资金等方面具有相应的施工能力。</w:t>
      </w:r>
    </w:p>
    <w:p w14:paraId="72888040">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3.1.3详见比选文件第二章竞标人须知前附表第</w:t>
      </w: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条内容。</w:t>
      </w:r>
    </w:p>
    <w:p w14:paraId="3EE51079">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本次竞争性比选不接受联合体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p>
    <w:p w14:paraId="3C6FC8F6">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资格审查方式：资格后审。</w:t>
      </w:r>
    </w:p>
    <w:p w14:paraId="2654991F">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 w:name="_Toc23270"/>
      <w:bookmarkStart w:id="23" w:name="_Toc341529879"/>
      <w:bookmarkStart w:id="24" w:name="_Toc277082539"/>
      <w:bookmarkStart w:id="25" w:name="_Toc224103302"/>
      <w:bookmarkStart w:id="26" w:name="_Toc200359430"/>
      <w:bookmarkStart w:id="27" w:name="_Toc357623639"/>
      <w:bookmarkStart w:id="28" w:name="_Toc200359241"/>
      <w:bookmarkStart w:id="29" w:name="_Toc287607731"/>
      <w:bookmarkStart w:id="30" w:name="_Toc26363"/>
      <w:bookmarkStart w:id="31" w:name="_Toc25530"/>
      <w:r>
        <w:rPr>
          <w:rFonts w:hint="eastAsia" w:ascii="宋体" w:hAnsi="宋体" w:eastAsia="宋体" w:cs="宋体"/>
          <w:snapToGrid w:val="0"/>
          <w:color w:val="000000" w:themeColor="text1"/>
          <w:sz w:val="21"/>
          <w:szCs w:val="21"/>
          <w:highlight w:val="none"/>
          <w14:textFill>
            <w14:solidFill>
              <w14:schemeClr w14:val="tx1"/>
            </w14:solidFill>
          </w14:textFill>
        </w:rPr>
        <w:t>4.竞争性比选文件的获取</w:t>
      </w:r>
      <w:bookmarkEnd w:id="22"/>
      <w:bookmarkEnd w:id="23"/>
      <w:bookmarkEnd w:id="24"/>
      <w:bookmarkEnd w:id="25"/>
      <w:bookmarkEnd w:id="26"/>
      <w:bookmarkEnd w:id="27"/>
      <w:bookmarkEnd w:id="28"/>
      <w:bookmarkEnd w:id="29"/>
      <w:bookmarkEnd w:id="30"/>
      <w:bookmarkEnd w:id="31"/>
    </w:p>
    <w:p w14:paraId="50E95E47">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32" w:name="_Toc224103303"/>
      <w:bookmarkStart w:id="33" w:name="_Toc341529880"/>
      <w:bookmarkStart w:id="34" w:name="_Toc32763"/>
      <w:bookmarkStart w:id="35" w:name="_Toc200359431"/>
      <w:bookmarkStart w:id="36" w:name="_Toc357623640"/>
      <w:bookmarkStart w:id="37" w:name="_Toc277082540"/>
      <w:bookmarkStart w:id="38" w:name="_Toc9786"/>
      <w:bookmarkStart w:id="39" w:name="_Toc287607732"/>
      <w:bookmarkStart w:id="40" w:name="_Toc12570"/>
      <w:bookmarkStart w:id="41" w:name="_Toc200359242"/>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4.1凡有意参加比选的竞标人，请在</w:t>
      </w:r>
      <w:r>
        <w:rPr>
          <w:rFonts w:hint="eastAsia" w:ascii="宋体" w:hAnsi="宋体" w:eastAsia="宋体" w:cs="宋体"/>
          <w:b/>
          <w:color w:val="000000" w:themeColor="text1"/>
          <w:sz w:val="21"/>
          <w:szCs w:val="21"/>
          <w:highlight w:val="non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网上下载或到比选代理机构处领取本项目相关资料，无论竞标人下载或领取与否，均视为已知晓所有比选实质性要求内容。</w:t>
      </w:r>
    </w:p>
    <w:p w14:paraId="41E82BD6">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4.2凡有意参加比选的竞标人，请在2025年06月05日起至2025年06月08日18时00分止邮件报名。竞标人须将盖公章的《比选文件发售登记表》（格式详见附件）扫描件、比选文件购买费缴费截图传至2875634341@qq.com，并在邮件中注明所购买比选文件的项目名称、竞标人名称、联系人、联系电话等相关信息。在以上规定时间内报名和购买了比选文件的竞标人，其竞标文件才被接收。</w:t>
      </w:r>
    </w:p>
    <w:p w14:paraId="4480EE23">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4.3 比选文件费（即标书费）：人民币500元/份，售后不退。</w:t>
      </w:r>
    </w:p>
    <w:p w14:paraId="74E63973">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5.竞标文件的递交</w:t>
      </w:r>
      <w:bookmarkEnd w:id="32"/>
      <w:bookmarkEnd w:id="33"/>
      <w:bookmarkEnd w:id="34"/>
      <w:bookmarkEnd w:id="35"/>
      <w:bookmarkEnd w:id="36"/>
      <w:bookmarkEnd w:id="37"/>
      <w:bookmarkEnd w:id="38"/>
      <w:bookmarkEnd w:id="39"/>
      <w:bookmarkEnd w:id="40"/>
      <w:bookmarkEnd w:id="41"/>
    </w:p>
    <w:p w14:paraId="4DB76005">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42" w:name="_Toc287607733"/>
      <w:bookmarkStart w:id="43" w:name="_Toc23721"/>
      <w:bookmarkStart w:id="44" w:name="_Toc20453"/>
      <w:bookmarkStart w:id="45" w:name="_Toc224103304"/>
      <w:bookmarkStart w:id="46" w:name="_Toc277082541"/>
      <w:bookmarkStart w:id="47" w:name="_Toc357623641"/>
      <w:bookmarkStart w:id="48" w:name="_Toc15404"/>
      <w:bookmarkStart w:id="49" w:name="_Toc341529881"/>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5.1递交纸质/线上竞标文件的时间为北京时间：2025年06月09日09时00分起至14时00分止，地点为：重庆市渝北区龙溪街道红锦大道61号重庆教育考试院家属楼8-3。  </w:t>
      </w:r>
    </w:p>
    <w:p w14:paraId="783DCAF9">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5.2竞标文件递交的截止时间（比选截止时间，下同）为北京时间：2025年06月09日14时00分。</w:t>
      </w:r>
    </w:p>
    <w:p w14:paraId="5C428869">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5.3 逾期送达的或者未送达指定地点的竞标文件，或未在代理公司报名缴费并购买比选文件的竞标文件，比选人不予受理。</w:t>
      </w:r>
    </w:p>
    <w:p w14:paraId="36134B07">
      <w:pPr>
        <w:spacing w:line="360" w:lineRule="auto"/>
        <w:ind w:firstLine="420" w:firstLineChars="200"/>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5.4按本项目规定的时间在“行采家（https://www.gec123.com）”进行网上报价，</w:t>
      </w:r>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并在规定的时间内上传响应文件电子文档</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。未在规定时间内报价和上传响应文件电子文档的供应商不具备竞标资格。</w:t>
      </w:r>
    </w:p>
    <w:p w14:paraId="60235F57">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6.发布媒体</w:t>
      </w:r>
    </w:p>
    <w:p w14:paraId="6EF045E2">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本次比选公告在</w:t>
      </w:r>
      <w:r>
        <w:rPr>
          <w:rFonts w:hint="eastAsia" w:ascii="宋体" w:hAnsi="宋体" w:eastAsia="宋体" w:cs="宋体"/>
          <w:b/>
          <w:color w:val="000000" w:themeColor="text1"/>
          <w:sz w:val="21"/>
          <w:szCs w:val="21"/>
          <w:highlight w:val="non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网上发布</w:t>
      </w:r>
      <w:r>
        <w:rPr>
          <w:rFonts w:hint="eastAsia" w:ascii="宋体" w:hAnsi="宋体" w:eastAsia="宋体" w:cs="宋体"/>
          <w:snapToGrid w:val="0"/>
          <w:color w:val="000000" w:themeColor="text1"/>
          <w:kern w:val="0"/>
          <w:szCs w:val="21"/>
          <w:highlight w:val="none"/>
          <w14:textFill>
            <w14:solidFill>
              <w14:schemeClr w14:val="tx1"/>
            </w14:solidFill>
          </w14:textFill>
        </w:rPr>
        <w:t>。</w:t>
      </w:r>
    </w:p>
    <w:bookmarkEnd w:id="42"/>
    <w:bookmarkEnd w:id="43"/>
    <w:bookmarkEnd w:id="44"/>
    <w:bookmarkEnd w:id="45"/>
    <w:bookmarkEnd w:id="46"/>
    <w:bookmarkEnd w:id="47"/>
    <w:bookmarkEnd w:id="48"/>
    <w:bookmarkEnd w:id="49"/>
    <w:p w14:paraId="7A7DF210">
      <w:pPr>
        <w:pStyle w:val="3"/>
        <w:spacing w:line="360" w:lineRule="auto"/>
        <w:ind w:firstLine="211" w:firstLineChars="1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p>
    <w:p w14:paraId="203E8FB1">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（一）比选人：重庆高新区曾家镇爱家物业服务中心 </w:t>
      </w:r>
    </w:p>
    <w:p w14:paraId="0196F748">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联系人：周小瑜</w:t>
      </w:r>
    </w:p>
    <w:p w14:paraId="3DC78180">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话：15310907793</w:t>
      </w:r>
    </w:p>
    <w:p w14:paraId="7179040B">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址：重庆市沙坪坝区兴旺路33号</w:t>
      </w:r>
    </w:p>
    <w:p w14:paraId="2AC272C7">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（二）比选代理机构：深圳群伦项目管理有限公司 </w:t>
      </w:r>
    </w:p>
    <w:p w14:paraId="38D893B2">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联系人：张老师  </w:t>
      </w:r>
    </w:p>
    <w:p w14:paraId="65D41BCD">
      <w:pPr>
        <w:snapToGrid w:val="0"/>
        <w:spacing w:line="360" w:lineRule="auto"/>
        <w:ind w:firstLine="1050" w:firstLineChars="5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话：18483226152</w:t>
      </w:r>
    </w:p>
    <w:p w14:paraId="38F0528B">
      <w:pPr>
        <w:ind w:firstLine="1050" w:firstLineChars="500"/>
        <w:rPr>
          <w:rFonts w:hint="eastAsia" w:ascii="宋体" w:hAnsi="宋体" w:eastAsia="宋体" w:cs="宋体"/>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址：重庆市渝北区龙溪街道红锦大道61号重庆教育考试院家属楼8-3</w:t>
      </w:r>
    </w:p>
    <w:p w14:paraId="4A817F32">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p>
    <w:p w14:paraId="453E2F25">
      <w:pPr>
        <w:spacing w:line="240" w:lineRule="auto"/>
        <w:jc w:val="both"/>
        <w:rPr>
          <w:rFonts w:hint="eastAsia" w:ascii="宋体" w:hAnsi="宋体" w:eastAsia="宋体" w:cs="宋体"/>
          <w:color w:val="000000" w:themeColor="text1"/>
          <w:highlight w:val="none"/>
          <w:lang w:val="en-US" w:eastAsia="zh-CN"/>
          <w14:textFill>
            <w14:solidFill>
              <w14:schemeClr w14:val="tx1"/>
            </w14:solidFill>
          </w14:textFill>
        </w:rPr>
      </w:pPr>
      <w:bookmarkStart w:id="434" w:name="_GoBack"/>
      <w:bookmarkEnd w:id="434"/>
      <w:bookmarkStart w:id="50" w:name="_Toc6747"/>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p>
    <w:p w14:paraId="254CF04D">
      <w:pPr>
        <w:spacing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比选</w:t>
      </w:r>
      <w:r>
        <w:rPr>
          <w:rFonts w:hint="eastAsia" w:ascii="宋体" w:hAnsi="宋体" w:eastAsia="宋体" w:cs="宋体"/>
          <w:b/>
          <w:bCs/>
          <w:color w:val="000000" w:themeColor="text1"/>
          <w:sz w:val="40"/>
          <w:szCs w:val="40"/>
          <w:highlight w:val="none"/>
          <w14:textFill>
            <w14:solidFill>
              <w14:schemeClr w14:val="tx1"/>
            </w14:solidFill>
          </w14:textFill>
        </w:rPr>
        <w:t>文件</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发售</w:t>
      </w:r>
      <w:r>
        <w:rPr>
          <w:rFonts w:hint="eastAsia" w:ascii="宋体" w:hAnsi="宋体" w:eastAsia="宋体" w:cs="宋体"/>
          <w:b/>
          <w:bCs/>
          <w:color w:val="000000" w:themeColor="text1"/>
          <w:sz w:val="40"/>
          <w:szCs w:val="40"/>
          <w:highlight w:val="none"/>
          <w14:textFill>
            <w14:solidFill>
              <w14:schemeClr w14:val="tx1"/>
            </w14:solidFill>
          </w14:textFill>
        </w:rPr>
        <w:t>登记表</w:t>
      </w:r>
    </w:p>
    <w:tbl>
      <w:tblPr>
        <w:tblStyle w:val="18"/>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46B8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26" w:type="dxa"/>
            <w:noWrap w:val="0"/>
            <w:vAlign w:val="center"/>
          </w:tcPr>
          <w:p w14:paraId="3E34C398">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51" w:name="_Toc9404"/>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7445" w:type="dxa"/>
            <w:noWrap w:val="0"/>
            <w:vAlign w:val="center"/>
          </w:tcPr>
          <w:p w14:paraId="25F23B0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曾家镇龙台社区美丽新城休闲空间打造项目</w:t>
            </w:r>
          </w:p>
        </w:tc>
      </w:tr>
      <w:tr w14:paraId="0E77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0BFC56D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竞标人</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445" w:type="dxa"/>
            <w:noWrap w:val="0"/>
            <w:vAlign w:val="center"/>
          </w:tcPr>
          <w:p w14:paraId="22CAD42C">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（盖章）</w:t>
            </w:r>
          </w:p>
        </w:tc>
      </w:tr>
      <w:tr w14:paraId="5FBD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42DB8B5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7445" w:type="dxa"/>
            <w:noWrap w:val="0"/>
            <w:vAlign w:val="center"/>
          </w:tcPr>
          <w:p w14:paraId="6EAACC7F">
            <w:pPr>
              <w:jc w:val="center"/>
              <w:rPr>
                <w:rFonts w:hint="eastAsia" w:ascii="宋体" w:hAnsi="宋体" w:eastAsia="宋体" w:cs="宋体"/>
                <w:color w:val="000000" w:themeColor="text1"/>
                <w:szCs w:val="28"/>
                <w:highlight w:val="none"/>
                <w14:textFill>
                  <w14:solidFill>
                    <w14:schemeClr w14:val="tx1"/>
                  </w14:solidFill>
                </w14:textFill>
              </w:rPr>
            </w:pPr>
          </w:p>
        </w:tc>
      </w:tr>
      <w:tr w14:paraId="35EB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5E851B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c>
          <w:tcPr>
            <w:tcW w:w="7445" w:type="dxa"/>
            <w:noWrap w:val="0"/>
            <w:vAlign w:val="center"/>
          </w:tcPr>
          <w:p w14:paraId="7398F410">
            <w:pPr>
              <w:jc w:val="center"/>
              <w:rPr>
                <w:rFonts w:hint="eastAsia" w:ascii="宋体" w:hAnsi="宋体" w:eastAsia="宋体" w:cs="宋体"/>
                <w:color w:val="000000" w:themeColor="text1"/>
                <w:szCs w:val="28"/>
                <w:highlight w:val="none"/>
                <w14:textFill>
                  <w14:solidFill>
                    <w14:schemeClr w14:val="tx1"/>
                  </w14:solidFill>
                </w14:textFill>
              </w:rPr>
            </w:pPr>
          </w:p>
        </w:tc>
      </w:tr>
      <w:tr w14:paraId="6D26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48DB9F3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办公电话</w:t>
            </w:r>
          </w:p>
        </w:tc>
        <w:tc>
          <w:tcPr>
            <w:tcW w:w="7445" w:type="dxa"/>
            <w:noWrap w:val="0"/>
            <w:vAlign w:val="center"/>
          </w:tcPr>
          <w:p w14:paraId="7DB84298">
            <w:pPr>
              <w:jc w:val="center"/>
              <w:rPr>
                <w:rFonts w:hint="eastAsia" w:ascii="宋体" w:hAnsi="宋体" w:eastAsia="宋体" w:cs="宋体"/>
                <w:color w:val="000000" w:themeColor="text1"/>
                <w:szCs w:val="28"/>
                <w:highlight w:val="none"/>
                <w14:textFill>
                  <w14:solidFill>
                    <w14:schemeClr w14:val="tx1"/>
                  </w14:solidFill>
                </w14:textFill>
              </w:rPr>
            </w:pPr>
          </w:p>
        </w:tc>
      </w:tr>
      <w:tr w14:paraId="020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7952FC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7445" w:type="dxa"/>
            <w:noWrap w:val="0"/>
            <w:vAlign w:val="center"/>
          </w:tcPr>
          <w:p w14:paraId="73E0DA88">
            <w:pPr>
              <w:jc w:val="center"/>
              <w:rPr>
                <w:rFonts w:hint="eastAsia" w:ascii="宋体" w:hAnsi="宋体" w:eastAsia="宋体" w:cs="宋体"/>
                <w:color w:val="000000" w:themeColor="text1"/>
                <w:szCs w:val="28"/>
                <w:highlight w:val="none"/>
                <w14:textFill>
                  <w14:solidFill>
                    <w14:schemeClr w14:val="tx1"/>
                  </w14:solidFill>
                </w14:textFill>
              </w:rPr>
            </w:pPr>
          </w:p>
        </w:tc>
      </w:tr>
      <w:tr w14:paraId="22EF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2A73345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E-mail</w:t>
            </w:r>
          </w:p>
        </w:tc>
        <w:tc>
          <w:tcPr>
            <w:tcW w:w="7445" w:type="dxa"/>
            <w:noWrap w:val="0"/>
            <w:vAlign w:val="center"/>
          </w:tcPr>
          <w:p w14:paraId="1C60471D">
            <w:pPr>
              <w:jc w:val="center"/>
              <w:rPr>
                <w:rFonts w:hint="eastAsia" w:ascii="宋体" w:hAnsi="宋体" w:eastAsia="宋体" w:cs="宋体"/>
                <w:color w:val="000000" w:themeColor="text1"/>
                <w:szCs w:val="28"/>
                <w:highlight w:val="none"/>
                <w14:textFill>
                  <w14:solidFill>
                    <w14:schemeClr w14:val="tx1"/>
                  </w14:solidFill>
                </w14:textFill>
              </w:rPr>
            </w:pPr>
          </w:p>
        </w:tc>
      </w:tr>
      <w:tr w14:paraId="3117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26" w:type="dxa"/>
            <w:noWrap w:val="0"/>
            <w:vAlign w:val="center"/>
          </w:tcPr>
          <w:p w14:paraId="28CD6BB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7445" w:type="dxa"/>
            <w:noWrap w:val="0"/>
            <w:vAlign w:val="center"/>
          </w:tcPr>
          <w:p w14:paraId="125656C9">
            <w:pPr>
              <w:jc w:val="center"/>
              <w:rPr>
                <w:rFonts w:hint="eastAsia" w:ascii="宋体" w:hAnsi="宋体" w:eastAsia="宋体" w:cs="宋体"/>
                <w:color w:val="000000" w:themeColor="text1"/>
                <w:szCs w:val="28"/>
                <w:highlight w:val="none"/>
                <w14:textFill>
                  <w14:solidFill>
                    <w14:schemeClr w14:val="tx1"/>
                  </w14:solidFill>
                </w14:textFill>
              </w:rPr>
            </w:pPr>
          </w:p>
        </w:tc>
      </w:tr>
      <w:tr w14:paraId="5EA0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1F32B09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报名时间</w:t>
            </w:r>
          </w:p>
        </w:tc>
        <w:tc>
          <w:tcPr>
            <w:tcW w:w="7445" w:type="dxa"/>
            <w:noWrap w:val="0"/>
            <w:vAlign w:val="center"/>
          </w:tcPr>
          <w:p w14:paraId="009914E5">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r w14:paraId="24BF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015B1023">
            <w:pPr>
              <w:jc w:val="left"/>
              <w:rPr>
                <w:rFonts w:hint="default" w:ascii="宋体" w:hAnsi="宋体" w:eastAsia="宋体" w:cs="宋体"/>
                <w:b/>
                <w:bCs/>
                <w:color w:val="000000" w:themeColor="text1"/>
                <w:sz w:val="20"/>
                <w:highlight w:val="none"/>
                <w:lang w:val="en-US"/>
                <w14:textFill>
                  <w14:solidFill>
                    <w14:schemeClr w14:val="tx1"/>
                  </w14:solidFill>
                </w14:textFill>
              </w:rPr>
            </w:pPr>
            <w:r>
              <w:rPr>
                <w:rFonts w:hint="eastAsia" w:ascii="宋体" w:hAnsi="宋体" w:eastAsia="宋体" w:cs="宋体"/>
                <w:b/>
                <w:bCs/>
                <w:color w:val="000000" w:themeColor="text1"/>
                <w:sz w:val="20"/>
                <w:highlight w:val="none"/>
                <w:lang w:val="en-US" w:eastAsia="zh-CN"/>
                <w14:textFill>
                  <w14:solidFill>
                    <w14:schemeClr w14:val="tx1"/>
                  </w14:solidFill>
                </w14:textFill>
              </w:rPr>
              <w:t>竞标人</w:t>
            </w:r>
            <w:r>
              <w:rPr>
                <w:rFonts w:hint="eastAsia" w:ascii="宋体" w:hAnsi="宋体" w:eastAsia="宋体" w:cs="宋体"/>
                <w:b/>
                <w:bCs/>
                <w:color w:val="000000" w:themeColor="text1"/>
                <w:sz w:val="20"/>
                <w:highlight w:val="none"/>
                <w14:textFill>
                  <w14:solidFill>
                    <w14:schemeClr w14:val="tx1"/>
                  </w14:solidFill>
                </w14:textFill>
              </w:rPr>
              <w:t>扫以下收款码支付</w:t>
            </w:r>
            <w:r>
              <w:rPr>
                <w:rFonts w:hint="eastAsia" w:ascii="宋体" w:hAnsi="宋体" w:eastAsia="宋体" w:cs="宋体"/>
                <w:b/>
                <w:bCs/>
                <w:color w:val="000000" w:themeColor="text1"/>
                <w:sz w:val="20"/>
                <w:highlight w:val="none"/>
                <w:lang w:val="en-US" w:eastAsia="zh-CN"/>
                <w14:textFill>
                  <w14:solidFill>
                    <w14:schemeClr w14:val="tx1"/>
                  </w14:solidFill>
                </w14:textFill>
              </w:rPr>
              <w:t>比选文件费（即标书费）</w:t>
            </w:r>
            <w:r>
              <w:rPr>
                <w:rFonts w:hint="eastAsia" w:ascii="宋体" w:hAnsi="宋体" w:eastAsia="宋体" w:cs="宋体"/>
                <w:b/>
                <w:bCs/>
                <w:color w:val="000000" w:themeColor="text1"/>
                <w:sz w:val="20"/>
                <w:highlight w:val="none"/>
                <w14:textFill>
                  <w14:solidFill>
                    <w14:schemeClr w14:val="tx1"/>
                  </w14:solidFill>
                </w14:textFill>
              </w:rPr>
              <w:t>，支付时须备注：单位名称（可简写）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+龙台社区休闲空间</w:t>
            </w:r>
          </w:p>
          <w:p w14:paraId="63071499">
            <w:pPr>
              <w:pStyle w:val="1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3340735" cy="3638550"/>
                  <wp:effectExtent l="0" t="0" r="12065" b="3810"/>
                  <wp:docPr id="4" name="图片 4" descr="微信图片_2024111211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2115724"/>
                          <pic:cNvPicPr>
                            <a:picLocks noChangeAspect="1"/>
                          </pic:cNvPicPr>
                        </pic:nvPicPr>
                        <pic:blipFill>
                          <a:blip r:embed="rId16"/>
                          <a:stretch>
                            <a:fillRect/>
                          </a:stretch>
                        </pic:blipFill>
                        <pic:spPr>
                          <a:xfrm>
                            <a:off x="0" y="0"/>
                            <a:ext cx="3340735" cy="3638550"/>
                          </a:xfrm>
                          <a:prstGeom prst="rect">
                            <a:avLst/>
                          </a:prstGeom>
                        </pic:spPr>
                      </pic:pic>
                    </a:graphicData>
                  </a:graphic>
                </wp:inline>
              </w:drawing>
            </w:r>
          </w:p>
        </w:tc>
      </w:tr>
    </w:tbl>
    <w:p w14:paraId="3F9E9F45">
      <w:pPr>
        <w:pStyle w:val="2"/>
        <w:spacing w:before="120" w:after="1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第二章 竞标人须知</w:t>
      </w:r>
      <w:bookmarkEnd w:id="10"/>
      <w:bookmarkEnd w:id="11"/>
      <w:bookmarkEnd w:id="12"/>
      <w:bookmarkEnd w:id="13"/>
      <w:bookmarkEnd w:id="50"/>
      <w:bookmarkEnd w:id="51"/>
    </w:p>
    <w:p w14:paraId="476DC6A3">
      <w:pPr>
        <w:spacing w:before="120" w:after="120"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52" w:name="_Toc16993"/>
      <w:bookmarkStart w:id="53" w:name="_Toc152045528"/>
      <w:bookmarkStart w:id="54" w:name="_Toc11382"/>
      <w:bookmarkStart w:id="55" w:name="_Toc31049"/>
      <w:bookmarkStart w:id="56" w:name="_Toc152042304"/>
      <w:bookmarkStart w:id="57" w:name="_Toc15264"/>
      <w:bookmarkStart w:id="58" w:name="_Toc144974496"/>
      <w:bookmarkStart w:id="59" w:name="_Toc389633555"/>
      <w:bookmarkStart w:id="60" w:name="_Toc366155503"/>
      <w:r>
        <w:rPr>
          <w:rFonts w:hint="eastAsia" w:ascii="宋体" w:hAnsi="宋体" w:eastAsia="宋体" w:cs="宋体"/>
          <w:b/>
          <w:bCs/>
          <w:color w:val="000000" w:themeColor="text1"/>
          <w:sz w:val="28"/>
          <w:szCs w:val="28"/>
          <w:highlight w:val="none"/>
          <w14:textFill>
            <w14:solidFill>
              <w14:schemeClr w14:val="tx1"/>
            </w14:solidFill>
          </w14:textFill>
        </w:rPr>
        <w:t>竞标人须知前附表</w:t>
      </w:r>
      <w:bookmarkEnd w:id="52"/>
      <w:bookmarkEnd w:id="53"/>
      <w:bookmarkEnd w:id="54"/>
      <w:bookmarkEnd w:id="55"/>
      <w:bookmarkEnd w:id="56"/>
      <w:bookmarkEnd w:id="57"/>
      <w:bookmarkEnd w:id="58"/>
      <w:bookmarkEnd w:id="59"/>
      <w:bookmarkEnd w:id="60"/>
    </w:p>
    <w:tbl>
      <w:tblPr>
        <w:tblStyle w:val="18"/>
        <w:tblW w:w="10179" w:type="dxa"/>
        <w:tblInd w:w="-431" w:type="dxa"/>
        <w:tblLayout w:type="fixed"/>
        <w:tblCellMar>
          <w:top w:w="0" w:type="dxa"/>
          <w:left w:w="108" w:type="dxa"/>
          <w:bottom w:w="0" w:type="dxa"/>
          <w:right w:w="108" w:type="dxa"/>
        </w:tblCellMar>
      </w:tblPr>
      <w:tblGrid>
        <w:gridCol w:w="1080"/>
        <w:gridCol w:w="2437"/>
        <w:gridCol w:w="6662"/>
      </w:tblGrid>
      <w:tr w14:paraId="56142B15">
        <w:tblPrEx>
          <w:tblCellMar>
            <w:top w:w="0" w:type="dxa"/>
            <w:left w:w="108" w:type="dxa"/>
            <w:bottom w:w="0" w:type="dxa"/>
            <w:right w:w="108" w:type="dxa"/>
          </w:tblCellMar>
        </w:tblPrEx>
        <w:trPr>
          <w:trHeight w:val="443" w:hRule="atLeast"/>
          <w:tblHeader/>
        </w:trPr>
        <w:tc>
          <w:tcPr>
            <w:tcW w:w="1080" w:type="dxa"/>
            <w:tcBorders>
              <w:top w:val="single" w:color="auto" w:sz="4" w:space="0"/>
              <w:left w:val="single" w:color="auto" w:sz="4" w:space="0"/>
              <w:bottom w:val="single" w:color="auto" w:sz="4" w:space="0"/>
              <w:right w:val="single" w:color="auto" w:sz="4" w:space="0"/>
            </w:tcBorders>
            <w:vAlign w:val="center"/>
          </w:tcPr>
          <w:p w14:paraId="64D8DA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2437" w:type="dxa"/>
            <w:tcBorders>
              <w:top w:val="single" w:color="auto" w:sz="4" w:space="0"/>
              <w:left w:val="single" w:color="auto" w:sz="4" w:space="0"/>
              <w:bottom w:val="single" w:color="auto" w:sz="4" w:space="0"/>
              <w:right w:val="single" w:color="auto" w:sz="4" w:space="0"/>
            </w:tcBorders>
            <w:vAlign w:val="center"/>
          </w:tcPr>
          <w:p w14:paraId="1A588F5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  款  名  称</w:t>
            </w:r>
          </w:p>
        </w:tc>
        <w:tc>
          <w:tcPr>
            <w:tcW w:w="6662" w:type="dxa"/>
            <w:tcBorders>
              <w:top w:val="single" w:color="auto" w:sz="4" w:space="0"/>
              <w:left w:val="single" w:color="auto" w:sz="4" w:space="0"/>
              <w:bottom w:val="single" w:color="auto" w:sz="4" w:space="0"/>
              <w:right w:val="single" w:color="auto" w:sz="4" w:space="0"/>
            </w:tcBorders>
            <w:vAlign w:val="center"/>
          </w:tcPr>
          <w:p w14:paraId="659B540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编  列  内  容</w:t>
            </w:r>
          </w:p>
        </w:tc>
      </w:tr>
      <w:tr w14:paraId="1C092C61">
        <w:tblPrEx>
          <w:tblCellMar>
            <w:top w:w="0" w:type="dxa"/>
            <w:left w:w="108" w:type="dxa"/>
            <w:bottom w:w="0" w:type="dxa"/>
            <w:right w:w="108" w:type="dxa"/>
          </w:tblCellMar>
        </w:tblPrEx>
        <w:trPr>
          <w:trHeight w:val="1269" w:hRule="atLeast"/>
        </w:trPr>
        <w:tc>
          <w:tcPr>
            <w:tcW w:w="1080" w:type="dxa"/>
            <w:tcBorders>
              <w:top w:val="single" w:color="auto" w:sz="4" w:space="0"/>
              <w:left w:val="single" w:color="auto" w:sz="4" w:space="0"/>
              <w:bottom w:val="single" w:color="auto" w:sz="4" w:space="0"/>
              <w:right w:val="single" w:color="auto" w:sz="4" w:space="0"/>
            </w:tcBorders>
            <w:vAlign w:val="center"/>
          </w:tcPr>
          <w:p w14:paraId="0CFAFA4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612CE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比选人</w:t>
            </w:r>
          </w:p>
        </w:tc>
        <w:tc>
          <w:tcPr>
            <w:tcW w:w="6662" w:type="dxa"/>
            <w:tcBorders>
              <w:top w:val="single" w:color="auto" w:sz="4" w:space="0"/>
              <w:left w:val="single" w:color="auto" w:sz="4" w:space="0"/>
              <w:bottom w:val="single" w:color="auto" w:sz="4" w:space="0"/>
              <w:right w:val="single" w:color="auto" w:sz="4" w:space="0"/>
            </w:tcBorders>
            <w:vAlign w:val="center"/>
          </w:tcPr>
          <w:p w14:paraId="704F49D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比选人：重庆高新区曾家镇爱家物业服务中心 </w:t>
            </w:r>
          </w:p>
          <w:p w14:paraId="5EA3CBB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联系人：周小瑜</w:t>
            </w:r>
          </w:p>
          <w:p w14:paraId="6A239970">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话：15310907793</w:t>
            </w:r>
          </w:p>
          <w:p w14:paraId="5A2578C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址：重庆市沙坪坝区兴旺路33号</w:t>
            </w:r>
          </w:p>
        </w:tc>
      </w:tr>
      <w:tr w14:paraId="243CBA41">
        <w:tblPrEx>
          <w:tblCellMar>
            <w:top w:w="0" w:type="dxa"/>
            <w:left w:w="108" w:type="dxa"/>
            <w:bottom w:w="0" w:type="dxa"/>
            <w:right w:w="108" w:type="dxa"/>
          </w:tblCellMar>
        </w:tblPrEx>
        <w:trPr>
          <w:trHeight w:val="1215" w:hRule="atLeast"/>
        </w:trPr>
        <w:tc>
          <w:tcPr>
            <w:tcW w:w="1080" w:type="dxa"/>
            <w:tcBorders>
              <w:top w:val="single" w:color="auto" w:sz="4" w:space="0"/>
              <w:left w:val="single" w:color="auto" w:sz="4" w:space="0"/>
              <w:bottom w:val="single" w:color="auto" w:sz="4" w:space="0"/>
              <w:right w:val="single" w:color="auto" w:sz="4" w:space="0"/>
            </w:tcBorders>
            <w:vAlign w:val="center"/>
          </w:tcPr>
          <w:p w14:paraId="4754DC7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w:t>
            </w:r>
          </w:p>
        </w:tc>
        <w:tc>
          <w:tcPr>
            <w:tcW w:w="2437" w:type="dxa"/>
            <w:tcBorders>
              <w:top w:val="single" w:color="auto" w:sz="4" w:space="0"/>
              <w:left w:val="single" w:color="auto" w:sz="4" w:space="0"/>
              <w:bottom w:val="single" w:color="auto" w:sz="4" w:space="0"/>
              <w:right w:val="single" w:color="auto" w:sz="4" w:space="0"/>
            </w:tcBorders>
            <w:vAlign w:val="center"/>
          </w:tcPr>
          <w:p w14:paraId="77D79C4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比选代理机构</w:t>
            </w:r>
          </w:p>
        </w:tc>
        <w:tc>
          <w:tcPr>
            <w:tcW w:w="6662" w:type="dxa"/>
            <w:tcBorders>
              <w:top w:val="single" w:color="auto" w:sz="4" w:space="0"/>
              <w:left w:val="single" w:color="auto" w:sz="4" w:space="0"/>
              <w:bottom w:val="single" w:color="auto" w:sz="4" w:space="0"/>
              <w:right w:val="single" w:color="auto" w:sz="4" w:space="0"/>
            </w:tcBorders>
            <w:vAlign w:val="center"/>
          </w:tcPr>
          <w:p w14:paraId="343897E7">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比选代理机构：深圳群伦项目管理有限公司 </w:t>
            </w:r>
          </w:p>
          <w:p w14:paraId="213ACE4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联系人：张老师 </w:t>
            </w:r>
          </w:p>
          <w:p w14:paraId="1A961A2F">
            <w:pPr>
              <w:keepNext w:val="0"/>
              <w:keepLines w:val="0"/>
              <w:pageBreakBefore w:val="0"/>
              <w:kinsoku/>
              <w:wordWrap/>
              <w:overflowPunct/>
              <w:topLinePunct w:val="0"/>
              <w:bidi w:val="0"/>
              <w:spacing w:line="240" w:lineRule="auto"/>
              <w:ind w:left="0" w:leftChars="0" w:firstLine="420" w:firstLineChars="200"/>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话：18483226152</w:t>
            </w:r>
          </w:p>
          <w:p w14:paraId="60F1989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地  址：重庆市江北区建新东路88号金融街融景中心A座25-7 </w:t>
            </w:r>
          </w:p>
        </w:tc>
      </w:tr>
      <w:tr w14:paraId="36C23F70">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621BAD0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w:t>
            </w:r>
          </w:p>
        </w:tc>
        <w:tc>
          <w:tcPr>
            <w:tcW w:w="2437" w:type="dxa"/>
            <w:tcBorders>
              <w:top w:val="single" w:color="auto" w:sz="4" w:space="0"/>
              <w:left w:val="single" w:color="auto" w:sz="4" w:space="0"/>
              <w:bottom w:val="single" w:color="auto" w:sz="4" w:space="0"/>
              <w:right w:val="single" w:color="auto" w:sz="4" w:space="0"/>
            </w:tcBorders>
            <w:vAlign w:val="center"/>
          </w:tcPr>
          <w:p w14:paraId="295A29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333B9BB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曾家镇龙台社区美丽新城休闲空间打造项目</w:t>
            </w:r>
          </w:p>
        </w:tc>
      </w:tr>
      <w:tr w14:paraId="22815F52">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429D4A7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2437" w:type="dxa"/>
            <w:tcBorders>
              <w:top w:val="single" w:color="auto" w:sz="4" w:space="0"/>
              <w:left w:val="single" w:color="auto" w:sz="4" w:space="0"/>
              <w:bottom w:val="single" w:color="auto" w:sz="4" w:space="0"/>
              <w:right w:val="single" w:color="auto" w:sz="4" w:space="0"/>
            </w:tcBorders>
            <w:vAlign w:val="center"/>
          </w:tcPr>
          <w:p w14:paraId="19FD2B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p>
        </w:tc>
        <w:tc>
          <w:tcPr>
            <w:tcW w:w="6662" w:type="dxa"/>
            <w:tcBorders>
              <w:top w:val="single" w:color="auto" w:sz="4" w:space="0"/>
              <w:left w:val="single" w:color="auto" w:sz="4" w:space="0"/>
              <w:bottom w:val="single" w:color="auto" w:sz="4" w:space="0"/>
              <w:right w:val="single" w:color="auto" w:sz="4" w:space="0"/>
            </w:tcBorders>
            <w:vAlign w:val="center"/>
          </w:tcPr>
          <w:p w14:paraId="12ADE07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重庆市沙坪坝区兴旺路33号</w:t>
            </w:r>
          </w:p>
        </w:tc>
      </w:tr>
      <w:tr w14:paraId="4529C949">
        <w:tblPrEx>
          <w:tblCellMar>
            <w:top w:w="0" w:type="dxa"/>
            <w:left w:w="108" w:type="dxa"/>
            <w:bottom w:w="0" w:type="dxa"/>
            <w:right w:w="108" w:type="dxa"/>
          </w:tblCellMar>
        </w:tblPrEx>
        <w:trPr>
          <w:trHeight w:val="227" w:hRule="atLeast"/>
        </w:trPr>
        <w:tc>
          <w:tcPr>
            <w:tcW w:w="1080" w:type="dxa"/>
            <w:tcBorders>
              <w:top w:val="single" w:color="auto" w:sz="4" w:space="0"/>
              <w:left w:val="single" w:color="auto" w:sz="4" w:space="0"/>
              <w:bottom w:val="single" w:color="auto" w:sz="4" w:space="0"/>
              <w:right w:val="single" w:color="auto" w:sz="4" w:space="0"/>
            </w:tcBorders>
            <w:vAlign w:val="center"/>
          </w:tcPr>
          <w:p w14:paraId="1E90385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1.2.1 </w:t>
            </w:r>
          </w:p>
        </w:tc>
        <w:tc>
          <w:tcPr>
            <w:tcW w:w="2437" w:type="dxa"/>
            <w:tcBorders>
              <w:top w:val="single" w:color="auto" w:sz="4" w:space="0"/>
              <w:left w:val="single" w:color="auto" w:sz="4" w:space="0"/>
              <w:bottom w:val="single" w:color="auto" w:sz="4" w:space="0"/>
              <w:right w:val="single" w:color="auto" w:sz="4" w:space="0"/>
            </w:tcBorders>
            <w:vAlign w:val="center"/>
          </w:tcPr>
          <w:p w14:paraId="56FED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26C99F0C">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民非资金</w:t>
            </w:r>
          </w:p>
        </w:tc>
      </w:tr>
      <w:tr w14:paraId="261FD16E">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7108F0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1.2.2 </w:t>
            </w:r>
          </w:p>
        </w:tc>
        <w:tc>
          <w:tcPr>
            <w:tcW w:w="2437" w:type="dxa"/>
            <w:tcBorders>
              <w:top w:val="single" w:color="auto" w:sz="4" w:space="0"/>
              <w:left w:val="single" w:color="auto" w:sz="4" w:space="0"/>
              <w:bottom w:val="single" w:color="auto" w:sz="4" w:space="0"/>
              <w:right w:val="single" w:color="auto" w:sz="4" w:space="0"/>
            </w:tcBorders>
            <w:vAlign w:val="center"/>
          </w:tcPr>
          <w:p w14:paraId="463F086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出资比例</w:t>
            </w:r>
          </w:p>
        </w:tc>
        <w:tc>
          <w:tcPr>
            <w:tcW w:w="6662" w:type="dxa"/>
            <w:tcBorders>
              <w:top w:val="single" w:color="auto" w:sz="4" w:space="0"/>
              <w:left w:val="single" w:color="auto" w:sz="4" w:space="0"/>
              <w:bottom w:val="single" w:color="auto" w:sz="4" w:space="0"/>
              <w:right w:val="single" w:color="auto" w:sz="4" w:space="0"/>
            </w:tcBorders>
            <w:vAlign w:val="center"/>
          </w:tcPr>
          <w:p w14:paraId="2D249CC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100%</w:t>
            </w:r>
          </w:p>
        </w:tc>
      </w:tr>
      <w:tr w14:paraId="3F8E43EA">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513DD1E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1.2.3 </w:t>
            </w:r>
          </w:p>
        </w:tc>
        <w:tc>
          <w:tcPr>
            <w:tcW w:w="2437" w:type="dxa"/>
            <w:tcBorders>
              <w:top w:val="single" w:color="auto" w:sz="4" w:space="0"/>
              <w:left w:val="single" w:color="auto" w:sz="4" w:space="0"/>
              <w:bottom w:val="single" w:color="auto" w:sz="4" w:space="0"/>
              <w:right w:val="single" w:color="auto" w:sz="4" w:space="0"/>
            </w:tcBorders>
            <w:vAlign w:val="center"/>
          </w:tcPr>
          <w:p w14:paraId="39835B0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资金落实情况</w:t>
            </w:r>
          </w:p>
        </w:tc>
        <w:tc>
          <w:tcPr>
            <w:tcW w:w="6662" w:type="dxa"/>
            <w:tcBorders>
              <w:top w:val="single" w:color="auto" w:sz="4" w:space="0"/>
              <w:left w:val="single" w:color="auto" w:sz="4" w:space="0"/>
              <w:bottom w:val="single" w:color="auto" w:sz="4" w:space="0"/>
              <w:right w:val="single" w:color="auto" w:sz="4" w:space="0"/>
            </w:tcBorders>
            <w:vAlign w:val="center"/>
          </w:tcPr>
          <w:p w14:paraId="12E7B937">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已落实</w:t>
            </w:r>
          </w:p>
        </w:tc>
      </w:tr>
      <w:tr w14:paraId="5CFFAAA2">
        <w:tblPrEx>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B533F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2437" w:type="dxa"/>
            <w:tcBorders>
              <w:top w:val="single" w:color="auto" w:sz="4" w:space="0"/>
              <w:left w:val="single" w:color="auto" w:sz="4" w:space="0"/>
              <w:bottom w:val="single" w:color="auto" w:sz="4" w:space="0"/>
              <w:right w:val="single" w:color="auto" w:sz="4" w:space="0"/>
            </w:tcBorders>
            <w:vAlign w:val="center"/>
          </w:tcPr>
          <w:p w14:paraId="16E52AA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比选范围</w:t>
            </w:r>
          </w:p>
        </w:tc>
        <w:tc>
          <w:tcPr>
            <w:tcW w:w="6662" w:type="dxa"/>
            <w:tcBorders>
              <w:top w:val="single" w:color="auto" w:sz="4" w:space="0"/>
              <w:left w:val="single" w:color="auto" w:sz="4" w:space="0"/>
              <w:bottom w:val="single" w:color="auto" w:sz="4" w:space="0"/>
              <w:right w:val="single" w:color="auto" w:sz="4" w:space="0"/>
            </w:tcBorders>
            <w:vAlign w:val="center"/>
          </w:tcPr>
          <w:p w14:paraId="313F8BD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具体实施内容以工程量清单和实际完成的工程内容为准。</w:t>
            </w:r>
          </w:p>
        </w:tc>
      </w:tr>
      <w:tr w14:paraId="47105F5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F06A7B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2437" w:type="dxa"/>
            <w:tcBorders>
              <w:top w:val="single" w:color="auto" w:sz="4" w:space="0"/>
              <w:left w:val="single" w:color="auto" w:sz="4" w:space="0"/>
              <w:bottom w:val="single" w:color="auto" w:sz="4" w:space="0"/>
              <w:right w:val="single" w:color="auto" w:sz="4" w:space="0"/>
            </w:tcBorders>
            <w:vAlign w:val="center"/>
          </w:tcPr>
          <w:p w14:paraId="6DF6A8A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计划工期</w:t>
            </w:r>
          </w:p>
          <w:p w14:paraId="1CEE51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p>
        </w:tc>
        <w:tc>
          <w:tcPr>
            <w:tcW w:w="6662" w:type="dxa"/>
            <w:tcBorders>
              <w:top w:val="single" w:color="auto" w:sz="4" w:space="0"/>
              <w:left w:val="single" w:color="auto" w:sz="4" w:space="0"/>
              <w:bottom w:val="single" w:color="auto" w:sz="4" w:space="0"/>
              <w:right w:val="single" w:color="auto" w:sz="4" w:space="0"/>
            </w:tcBorders>
            <w:vAlign w:val="center"/>
          </w:tcPr>
          <w:p w14:paraId="4FEE240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计划工期：60日历天</w:t>
            </w:r>
          </w:p>
          <w:p w14:paraId="029A28DB">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缺陷责任期：24个月</w:t>
            </w:r>
          </w:p>
        </w:tc>
      </w:tr>
      <w:tr w14:paraId="740CE0A3">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F137E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2437" w:type="dxa"/>
            <w:tcBorders>
              <w:top w:val="single" w:color="auto" w:sz="4" w:space="0"/>
              <w:left w:val="single" w:color="auto" w:sz="4" w:space="0"/>
              <w:bottom w:val="single" w:color="auto" w:sz="4" w:space="0"/>
              <w:right w:val="single" w:color="auto" w:sz="4" w:space="0"/>
            </w:tcBorders>
            <w:vAlign w:val="center"/>
          </w:tcPr>
          <w:p w14:paraId="0297714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09EB7E7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达到国家现行有关施工质量验收规范要求,并达到合格标准。</w:t>
            </w:r>
          </w:p>
        </w:tc>
      </w:tr>
      <w:tr w14:paraId="014D76C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C052FE1">
            <w:pPr>
              <w:snapToGrid w:val="0"/>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4804FA9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竞标人</w:t>
            </w:r>
            <w:r>
              <w:rPr>
                <w:rFonts w:hint="eastAsia" w:ascii="宋体" w:hAnsi="宋体" w:eastAsia="宋体" w:cs="宋体"/>
                <w:snapToGrid w:val="0"/>
                <w:color w:val="000000" w:themeColor="text1"/>
                <w:kern w:val="0"/>
                <w:szCs w:val="21"/>
                <w:highlight w:val="none"/>
                <w14:textFill>
                  <w14:solidFill>
                    <w14:schemeClr w14:val="tx1"/>
                  </w14:solidFill>
                </w14:textFill>
              </w:rPr>
              <w:t>营业执照</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w:t>
            </w:r>
          </w:p>
        </w:tc>
        <w:tc>
          <w:tcPr>
            <w:tcW w:w="6662" w:type="dxa"/>
            <w:tcBorders>
              <w:top w:val="single" w:color="auto" w:sz="4" w:space="0"/>
              <w:left w:val="single" w:color="auto" w:sz="4" w:space="0"/>
              <w:bottom w:val="single" w:color="auto" w:sz="4" w:space="0"/>
              <w:right w:val="single" w:color="auto" w:sz="4" w:space="0"/>
            </w:tcBorders>
            <w:vAlign w:val="center"/>
          </w:tcPr>
          <w:p w14:paraId="39C26C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本工程施工比选实行资格后审，竞标人应具备以下资格条件：</w:t>
            </w:r>
          </w:p>
          <w:p w14:paraId="247B01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1. 营业执照</w:t>
            </w:r>
          </w:p>
          <w:p w14:paraId="7A08B7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竞标人须在竞标文件资格审查部分提供有效的带二维码标识的营业执照</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副本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292373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2.资质条件</w:t>
            </w:r>
          </w:p>
          <w:p w14:paraId="26999C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竞标人须在竞标文件资格审查部分提供建设行政主管部门颁发的有效的建筑工程施工总承包叁级及以上资质或建筑装修装饰工程专业承包贰级及以上资质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证书</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42127C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安全生产许可</w:t>
            </w:r>
          </w:p>
          <w:p w14:paraId="58729F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竞标人须在竞标文件资格审查部分提供有效的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具备建设行政主管部门颁发的安全生产许可证复印件。</w:t>
            </w:r>
          </w:p>
          <w:p w14:paraId="21ADBA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p w14:paraId="643BAE6B">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竞标人</w:t>
            </w:r>
            <w:r>
              <w:rPr>
                <w:rFonts w:hint="eastAsia" w:ascii="宋体" w:hAnsi="宋体" w:eastAsia="宋体" w:cs="宋体"/>
                <w:color w:val="000000" w:themeColor="text1"/>
                <w:highlight w:val="none"/>
                <w14:textFill>
                  <w14:solidFill>
                    <w14:schemeClr w14:val="tx1"/>
                  </w14:solidFill>
                </w14:textFill>
              </w:rPr>
              <w:t>自行承诺不得存在下列情形之一</w:t>
            </w:r>
            <w:r>
              <w:rPr>
                <w:rFonts w:hint="eastAsia" w:ascii="宋体" w:hAnsi="宋体" w:eastAsia="宋体" w:cs="宋体"/>
                <w:color w:val="000000" w:themeColor="text1"/>
                <w:highlight w:val="none"/>
                <w:lang w:eastAsia="zh-CN"/>
                <w14:textFill>
                  <w14:solidFill>
                    <w14:schemeClr w14:val="tx1"/>
                  </w14:solidFill>
                </w14:textFill>
              </w:rPr>
              <w:t>（竞标人</w:t>
            </w:r>
            <w:r>
              <w:rPr>
                <w:rFonts w:hint="eastAsia" w:ascii="宋体" w:hAnsi="宋体" w:eastAsia="宋体" w:cs="宋体"/>
                <w:color w:val="000000" w:themeColor="text1"/>
                <w:highlight w:val="none"/>
                <w14:textFill>
                  <w14:solidFill>
                    <w14:schemeClr w14:val="tx1"/>
                  </w14:solidFill>
                </w14:textFill>
              </w:rPr>
              <w:t>须在</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文件提供承诺</w:t>
            </w:r>
            <w:r>
              <w:rPr>
                <w:rFonts w:hint="eastAsia" w:ascii="宋体" w:hAnsi="宋体" w:eastAsia="宋体" w:cs="宋体"/>
                <w:color w:val="000000" w:themeColor="text1"/>
                <w:highlight w:val="none"/>
                <w:lang w:val="en-US" w:eastAsia="zh-CN"/>
                <w14:textFill>
                  <w14:solidFill>
                    <w14:schemeClr w14:val="tx1"/>
                  </w14:solidFill>
                </w14:textFill>
              </w:rPr>
              <w:t>书</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格式自拟</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336ABFBD">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1C86749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5A586261">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09DF2A59">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4AC521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5EA628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项目经理资格要求</w:t>
            </w:r>
          </w:p>
          <w:p w14:paraId="3547CC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人拟派的项目经理必须已在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人本单位注册并应具有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建筑工程专业贰级及以上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注册建造师执业资格，应为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人本单位人员，拟派项目经理中标后不得随意更换。</w:t>
            </w:r>
          </w:p>
          <w:p w14:paraId="10B35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（提供项目经理的建造师注册证、身份证，加盖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6B87D0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 其他要求</w:t>
            </w:r>
          </w:p>
          <w:p w14:paraId="219396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（1）主要管理人员</w:t>
            </w:r>
          </w:p>
          <w:p w14:paraId="2FB860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其中标资格，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造成损失的，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人依法承担违约赔偿责任。</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人须自行提供承诺函（格式自拟），加盖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30DF8C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）技术负责人</w:t>
            </w:r>
          </w:p>
          <w:p w14:paraId="2E8C7A4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人拟派的技术负责人应具有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类</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中级及以上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工程师职称证，应为本单位人员，拟派技术负责人中标后不得随意更换。</w:t>
            </w:r>
          </w:p>
          <w:p w14:paraId="144584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（提供技术负责人的职称证、身份证，加盖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36A5E17D">
            <w:pPr>
              <w:autoSpaceDE w:val="0"/>
              <w:autoSpaceDN w:val="0"/>
              <w:adjustRightInd w:val="0"/>
              <w:snapToGrid w:val="0"/>
              <w:spacing w:line="240" w:lineRule="auto"/>
              <w:ind w:firstLine="417" w:firstLineChars="198"/>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w:t>
            </w:r>
          </w:p>
          <w:p w14:paraId="1D50F46A">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14:textFill>
                  <w14:solidFill>
                    <w14:schemeClr w14:val="tx1"/>
                  </w14:solidFill>
                </w14:textFill>
              </w:rPr>
              <w:t>竞标人提供的所有复印件均须加盖竞标人公章（鲜章）。所提供的材料必须在有效期内，如有一项未提供或所提供的证件不在有效期内，在资格性审查时将视其为不合格，按废标处理。</w:t>
            </w:r>
          </w:p>
          <w:p w14:paraId="3ACB7172">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若发现竞标人资料存在虚假不实，比选人将有权随时取消其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或中标资格，没收保证金并追究其相应的法律责任。</w:t>
            </w:r>
          </w:p>
          <w:p w14:paraId="7AE77FFF">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3.竞标人</w:t>
            </w:r>
            <w:r>
              <w:rPr>
                <w:rFonts w:hint="eastAsia" w:ascii="宋体" w:hAnsi="宋体" w:eastAsia="宋体" w:cs="宋体"/>
                <w:snapToGrid w:val="0"/>
                <w:color w:val="000000" w:themeColor="text1"/>
                <w:kern w:val="0"/>
                <w:szCs w:val="21"/>
                <w:highlight w:val="none"/>
                <w14:textFill>
                  <w14:solidFill>
                    <w14:schemeClr w14:val="tx1"/>
                  </w14:solidFill>
                </w14:textFill>
              </w:rPr>
              <w:t>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后和在合同履行过程中,未经</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选人同意，不得擅自更改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文件中所报项目</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经理</w:t>
            </w:r>
            <w:r>
              <w:rPr>
                <w:rFonts w:hint="eastAsia" w:ascii="宋体" w:hAnsi="宋体" w:eastAsia="宋体" w:cs="宋体"/>
                <w:snapToGrid w:val="0"/>
                <w:color w:val="000000" w:themeColor="text1"/>
                <w:kern w:val="0"/>
                <w:szCs w:val="21"/>
                <w:highlight w:val="none"/>
                <w14:textFill>
                  <w14:solidFill>
                    <w14:schemeClr w14:val="tx1"/>
                  </w14:solidFill>
                </w14:textFill>
              </w:rPr>
              <w:t>，否则，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选人有权取消中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资格，已经签定合同的，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人有权终止并取消合同，给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人造成的损失的，还应当对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人予以赔偿。</w:t>
            </w:r>
          </w:p>
        </w:tc>
      </w:tr>
      <w:tr w14:paraId="674A5653">
        <w:tblPrEx>
          <w:tblCellMar>
            <w:top w:w="0" w:type="dxa"/>
            <w:left w:w="108" w:type="dxa"/>
            <w:bottom w:w="0" w:type="dxa"/>
            <w:right w:w="108" w:type="dxa"/>
          </w:tblCellMar>
        </w:tblPrEx>
        <w:trPr>
          <w:trHeight w:val="515" w:hRule="atLeast"/>
        </w:trPr>
        <w:tc>
          <w:tcPr>
            <w:tcW w:w="1080" w:type="dxa"/>
            <w:tcBorders>
              <w:top w:val="single" w:color="auto" w:sz="4" w:space="0"/>
              <w:left w:val="single" w:color="auto" w:sz="4" w:space="0"/>
              <w:bottom w:val="single" w:color="auto" w:sz="4" w:space="0"/>
              <w:right w:val="single" w:color="auto" w:sz="4" w:space="0"/>
            </w:tcBorders>
            <w:vAlign w:val="center"/>
          </w:tcPr>
          <w:p w14:paraId="0F9199A4">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1.4.2</w:t>
            </w:r>
          </w:p>
        </w:tc>
        <w:tc>
          <w:tcPr>
            <w:tcW w:w="2437" w:type="dxa"/>
            <w:tcBorders>
              <w:top w:val="single" w:color="auto" w:sz="4" w:space="0"/>
              <w:left w:val="single" w:color="auto" w:sz="4" w:space="0"/>
              <w:bottom w:val="single" w:color="auto" w:sz="4" w:space="0"/>
              <w:right w:val="single" w:color="auto" w:sz="4" w:space="0"/>
            </w:tcBorders>
            <w:vAlign w:val="center"/>
          </w:tcPr>
          <w:p w14:paraId="17947EA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p>
        </w:tc>
        <w:tc>
          <w:tcPr>
            <w:tcW w:w="6662" w:type="dxa"/>
            <w:tcBorders>
              <w:top w:val="single" w:color="auto" w:sz="4" w:space="0"/>
              <w:left w:val="single" w:color="auto" w:sz="4" w:space="0"/>
              <w:bottom w:val="single" w:color="auto" w:sz="4" w:space="0"/>
              <w:right w:val="single" w:color="auto" w:sz="4" w:space="0"/>
            </w:tcBorders>
            <w:vAlign w:val="center"/>
          </w:tcPr>
          <w:p w14:paraId="5976F838">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p>
        </w:tc>
      </w:tr>
      <w:tr w14:paraId="27D78BD8">
        <w:tblPrEx>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14:paraId="2AB7570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1.9.1</w:t>
            </w:r>
          </w:p>
        </w:tc>
        <w:tc>
          <w:tcPr>
            <w:tcW w:w="2437" w:type="dxa"/>
            <w:tcBorders>
              <w:top w:val="single" w:color="auto" w:sz="4" w:space="0"/>
              <w:left w:val="single" w:color="auto" w:sz="4" w:space="0"/>
              <w:bottom w:val="single" w:color="auto" w:sz="4" w:space="0"/>
              <w:right w:val="single" w:color="auto" w:sz="4" w:space="0"/>
            </w:tcBorders>
            <w:vAlign w:val="center"/>
          </w:tcPr>
          <w:p w14:paraId="59E777F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14:paraId="5FAA86E3">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自行踏勘</w:t>
            </w:r>
          </w:p>
        </w:tc>
      </w:tr>
      <w:tr w14:paraId="6ED0F539">
        <w:tblPrEx>
          <w:tblCellMar>
            <w:top w:w="0" w:type="dxa"/>
            <w:left w:w="108" w:type="dxa"/>
            <w:bottom w:w="0" w:type="dxa"/>
            <w:right w:w="108" w:type="dxa"/>
          </w:tblCellMar>
        </w:tblPrEx>
        <w:trPr>
          <w:trHeight w:val="486" w:hRule="atLeast"/>
        </w:trPr>
        <w:tc>
          <w:tcPr>
            <w:tcW w:w="1080" w:type="dxa"/>
            <w:tcBorders>
              <w:top w:val="single" w:color="auto" w:sz="4" w:space="0"/>
              <w:left w:val="single" w:color="auto" w:sz="4" w:space="0"/>
              <w:bottom w:val="single" w:color="auto" w:sz="4" w:space="0"/>
              <w:right w:val="single" w:color="auto" w:sz="4" w:space="0"/>
            </w:tcBorders>
            <w:vAlign w:val="center"/>
          </w:tcPr>
          <w:p w14:paraId="604BAF0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1.10.1</w:t>
            </w:r>
          </w:p>
        </w:tc>
        <w:tc>
          <w:tcPr>
            <w:tcW w:w="2437" w:type="dxa"/>
            <w:tcBorders>
              <w:top w:val="single" w:color="auto" w:sz="4" w:space="0"/>
              <w:left w:val="single" w:color="auto" w:sz="4" w:space="0"/>
              <w:bottom w:val="single" w:color="auto" w:sz="4" w:space="0"/>
              <w:right w:val="single" w:color="auto" w:sz="4" w:space="0"/>
            </w:tcBorders>
            <w:vAlign w:val="center"/>
          </w:tcPr>
          <w:p w14:paraId="568A6F2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竞标预备会</w:t>
            </w:r>
          </w:p>
        </w:tc>
        <w:tc>
          <w:tcPr>
            <w:tcW w:w="6662" w:type="dxa"/>
            <w:tcBorders>
              <w:top w:val="single" w:color="auto" w:sz="4" w:space="0"/>
              <w:left w:val="single" w:color="auto" w:sz="4" w:space="0"/>
              <w:bottom w:val="single" w:color="auto" w:sz="4" w:space="0"/>
              <w:right w:val="single" w:color="auto" w:sz="4" w:space="0"/>
            </w:tcBorders>
            <w:vAlign w:val="center"/>
          </w:tcPr>
          <w:p w14:paraId="4B18F21C">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061D71AD">
        <w:tblPrEx>
          <w:tblCellMar>
            <w:top w:w="0" w:type="dxa"/>
            <w:left w:w="108" w:type="dxa"/>
            <w:bottom w:w="0" w:type="dxa"/>
            <w:right w:w="108" w:type="dxa"/>
          </w:tblCellMar>
        </w:tblPrEx>
        <w:trPr>
          <w:trHeight w:val="496" w:hRule="atLeast"/>
        </w:trPr>
        <w:tc>
          <w:tcPr>
            <w:tcW w:w="1080" w:type="dxa"/>
            <w:tcBorders>
              <w:top w:val="single" w:color="auto" w:sz="4" w:space="0"/>
              <w:left w:val="single" w:color="auto" w:sz="4" w:space="0"/>
              <w:bottom w:val="single" w:color="auto" w:sz="4" w:space="0"/>
              <w:right w:val="single" w:color="auto" w:sz="4" w:space="0"/>
            </w:tcBorders>
            <w:vAlign w:val="center"/>
          </w:tcPr>
          <w:p w14:paraId="2C7CB247">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630856A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62" w:type="dxa"/>
            <w:tcBorders>
              <w:top w:val="single" w:color="auto" w:sz="4" w:space="0"/>
              <w:left w:val="single" w:color="auto" w:sz="4" w:space="0"/>
              <w:bottom w:val="single" w:color="auto" w:sz="4" w:space="0"/>
              <w:right w:val="single" w:color="auto" w:sz="4" w:space="0"/>
            </w:tcBorders>
            <w:vAlign w:val="center"/>
          </w:tcPr>
          <w:p w14:paraId="3F77F787">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7A72DEF8">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526C02F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2437" w:type="dxa"/>
            <w:tcBorders>
              <w:top w:val="single" w:color="auto" w:sz="4" w:space="0"/>
              <w:left w:val="single" w:color="auto" w:sz="4" w:space="0"/>
              <w:bottom w:val="single" w:color="auto" w:sz="4" w:space="0"/>
              <w:right w:val="single" w:color="auto" w:sz="4" w:space="0"/>
            </w:tcBorders>
            <w:vAlign w:val="center"/>
          </w:tcPr>
          <w:p w14:paraId="4947F42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662" w:type="dxa"/>
            <w:tcBorders>
              <w:top w:val="single" w:color="auto" w:sz="4" w:space="0"/>
              <w:left w:val="single" w:color="auto" w:sz="4" w:space="0"/>
              <w:bottom w:val="single" w:color="auto" w:sz="4" w:space="0"/>
              <w:right w:val="single" w:color="auto" w:sz="4" w:space="0"/>
            </w:tcBorders>
            <w:vAlign w:val="center"/>
          </w:tcPr>
          <w:p w14:paraId="280AC99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人发出的澄清及修改</w:t>
            </w:r>
          </w:p>
        </w:tc>
      </w:tr>
      <w:tr w14:paraId="6452D29F">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28F8CE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2.2.1</w:t>
            </w:r>
          </w:p>
        </w:tc>
        <w:tc>
          <w:tcPr>
            <w:tcW w:w="2437" w:type="dxa"/>
            <w:tcBorders>
              <w:top w:val="single" w:color="auto" w:sz="4" w:space="0"/>
              <w:left w:val="single" w:color="auto" w:sz="4" w:space="0"/>
              <w:bottom w:val="single" w:color="auto" w:sz="4" w:space="0"/>
              <w:right w:val="single" w:color="auto" w:sz="4" w:space="0"/>
            </w:tcBorders>
            <w:vAlign w:val="center"/>
          </w:tcPr>
          <w:p w14:paraId="457DE05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提出疑问的截止时间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7473A7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竞标人在收到比选文件后，应仔细检查比选文件的所有内容，如有文字表述不清，以及存在错、碰、漏、缺、概念模糊和有可能出现歧义或理解上的偏差的内容等应在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06</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分前</w:t>
            </w:r>
            <w:r>
              <w:rPr>
                <w:rFonts w:hint="eastAsia" w:ascii="宋体" w:hAnsi="宋体" w:eastAsia="宋体" w:cs="宋体"/>
                <w:snapToGrid w:val="0"/>
                <w:color w:val="000000" w:themeColor="text1"/>
                <w:kern w:val="0"/>
                <w:highlight w:val="none"/>
                <w14:textFill>
                  <w14:solidFill>
                    <w14:schemeClr w14:val="tx1"/>
                  </w14:solidFill>
                </w14:textFill>
              </w:rPr>
              <w:t>以书面形式将问题递交至比选代理机构。</w:t>
            </w:r>
          </w:p>
        </w:tc>
      </w:tr>
      <w:tr w14:paraId="3AA8A3AE">
        <w:tblPrEx>
          <w:tblCellMar>
            <w:top w:w="0" w:type="dxa"/>
            <w:left w:w="108" w:type="dxa"/>
            <w:bottom w:w="0" w:type="dxa"/>
            <w:right w:w="108" w:type="dxa"/>
          </w:tblCellMar>
        </w:tblPrEx>
        <w:trPr>
          <w:trHeight w:val="698"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73D73F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2.2.2</w:t>
            </w:r>
          </w:p>
        </w:tc>
        <w:tc>
          <w:tcPr>
            <w:tcW w:w="2437" w:type="dxa"/>
            <w:tcBorders>
              <w:top w:val="single" w:color="auto" w:sz="4" w:space="0"/>
              <w:left w:val="single" w:color="auto" w:sz="4" w:space="0"/>
              <w:bottom w:val="single" w:color="auto" w:sz="4" w:space="0"/>
              <w:right w:val="single" w:color="auto" w:sz="4" w:space="0"/>
            </w:tcBorders>
            <w:vAlign w:val="center"/>
          </w:tcPr>
          <w:p w14:paraId="675E2E4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澄清的截止时间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1F8C381">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06</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lang w:val="en-US" w:eastAsia="zh-CN"/>
                <w14:textFill>
                  <w14:solidFill>
                    <w14:schemeClr w14:val="tx1"/>
                  </w14:solidFill>
                </w14:textFill>
              </w:rPr>
              <w:t>08</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前</w:t>
            </w:r>
            <w:r>
              <w:rPr>
                <w:rFonts w:hint="eastAsia" w:ascii="宋体" w:hAnsi="宋体" w:eastAsia="宋体" w:cs="宋体"/>
                <w:color w:val="000000" w:themeColor="text1"/>
                <w:kern w:val="0"/>
                <w:szCs w:val="21"/>
                <w:highlight w:val="none"/>
                <w14:textFill>
                  <w14:solidFill>
                    <w14:schemeClr w14:val="tx1"/>
                  </w14:solidFill>
                </w14:textFill>
              </w:rPr>
              <w:t>在“行采家”平台（https://www.gec123.com）发布澄清。</w:t>
            </w:r>
          </w:p>
        </w:tc>
      </w:tr>
      <w:tr w14:paraId="0FCB02FA">
        <w:tblPrEx>
          <w:tblCellMar>
            <w:top w:w="0" w:type="dxa"/>
            <w:left w:w="108" w:type="dxa"/>
            <w:bottom w:w="0" w:type="dxa"/>
            <w:right w:w="108" w:type="dxa"/>
          </w:tblCellMar>
        </w:tblPrEx>
        <w:trPr>
          <w:trHeight w:val="69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0A551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37" w:type="dxa"/>
            <w:tcBorders>
              <w:top w:val="single" w:color="auto" w:sz="4" w:space="0"/>
              <w:left w:val="single" w:color="auto" w:sz="4" w:space="0"/>
              <w:bottom w:val="single" w:color="auto" w:sz="4" w:space="0"/>
              <w:right w:val="single" w:color="auto" w:sz="4" w:space="0"/>
            </w:tcBorders>
            <w:vAlign w:val="center"/>
          </w:tcPr>
          <w:p w14:paraId="5BB7775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3644BD70">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竞争性比选公告</w:t>
            </w:r>
          </w:p>
        </w:tc>
      </w:tr>
      <w:tr w14:paraId="3E49BAD4">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E98C33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2.2.3</w:t>
            </w:r>
          </w:p>
        </w:tc>
        <w:tc>
          <w:tcPr>
            <w:tcW w:w="2437" w:type="dxa"/>
            <w:tcBorders>
              <w:top w:val="single" w:color="auto" w:sz="4" w:space="0"/>
              <w:left w:val="single" w:color="auto" w:sz="4" w:space="0"/>
              <w:bottom w:val="single" w:color="auto" w:sz="4" w:space="0"/>
              <w:right w:val="single" w:color="auto" w:sz="4" w:space="0"/>
            </w:tcBorders>
            <w:vAlign w:val="center"/>
          </w:tcPr>
          <w:p w14:paraId="02B87BC0">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进行修改的时间</w:t>
            </w:r>
          </w:p>
        </w:tc>
        <w:tc>
          <w:tcPr>
            <w:tcW w:w="6662" w:type="dxa"/>
            <w:tcBorders>
              <w:top w:val="single" w:color="auto" w:sz="4" w:space="0"/>
              <w:left w:val="single" w:color="auto" w:sz="4" w:space="0"/>
              <w:bottom w:val="single" w:color="auto" w:sz="4" w:space="0"/>
              <w:right w:val="single" w:color="auto" w:sz="4" w:space="0"/>
            </w:tcBorders>
            <w:vAlign w:val="center"/>
          </w:tcPr>
          <w:p w14:paraId="6AE135A3">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修改内容可能影响</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编制的，须在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日前发布，发布时间至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日的，须相应延后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r>
      <w:tr w14:paraId="35EC48C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AAC1C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p>
        </w:tc>
        <w:tc>
          <w:tcPr>
            <w:tcW w:w="2437" w:type="dxa"/>
            <w:tcBorders>
              <w:top w:val="single" w:color="auto" w:sz="4" w:space="0"/>
              <w:left w:val="single" w:color="auto" w:sz="4" w:space="0"/>
              <w:bottom w:val="single" w:color="auto" w:sz="4" w:space="0"/>
              <w:right w:val="single" w:color="auto" w:sz="4" w:space="0"/>
            </w:tcBorders>
            <w:vAlign w:val="center"/>
          </w:tcPr>
          <w:p w14:paraId="44ABA8B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竞标报价</w:t>
            </w:r>
          </w:p>
        </w:tc>
        <w:tc>
          <w:tcPr>
            <w:tcW w:w="6662" w:type="dxa"/>
            <w:tcBorders>
              <w:top w:val="single" w:color="auto" w:sz="4" w:space="0"/>
              <w:left w:val="single" w:color="auto" w:sz="4" w:space="0"/>
              <w:bottom w:val="single" w:color="auto" w:sz="4" w:space="0"/>
              <w:right w:val="single" w:color="auto" w:sz="4" w:space="0"/>
            </w:tcBorders>
            <w:vAlign w:val="center"/>
          </w:tcPr>
          <w:p w14:paraId="231AD516">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竞</w:t>
            </w:r>
            <w:r>
              <w:rPr>
                <w:rFonts w:hint="eastAsia" w:ascii="宋体" w:hAnsi="宋体" w:eastAsia="宋体" w:cs="宋体"/>
                <w:color w:val="000000" w:themeColor="text1"/>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sz w:val="21"/>
                <w:szCs w:val="21"/>
                <w:highlight w:val="none"/>
                <w:lang w:eastAsia="zh-CN"/>
                <w14:textFill>
                  <w14:solidFill>
                    <w14:schemeClr w14:val="tx1"/>
                  </w14:solidFill>
                </w14:textFill>
              </w:rPr>
              <w:t>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w:t>
            </w:r>
            <w:r>
              <w:rPr>
                <w:rFonts w:hint="eastAsia" w:ascii="宋体" w:hAnsi="宋体" w:eastAsia="宋体" w:cs="宋体"/>
                <w:color w:val="000000" w:themeColor="text1"/>
                <w:szCs w:val="21"/>
                <w:highlight w:val="none"/>
                <w:lang w:val="en-US" w:eastAsia="zh-CN"/>
                <w14:textFill>
                  <w14:solidFill>
                    <w14:schemeClr w14:val="tx1"/>
                  </w14:solidFill>
                </w14:textFill>
              </w:rPr>
              <w:t>暂列金额</w:t>
            </w:r>
            <w:r>
              <w:rPr>
                <w:rFonts w:hint="eastAsia" w:ascii="宋体" w:hAnsi="宋体" w:eastAsia="宋体" w:cs="宋体"/>
                <w:color w:val="000000" w:themeColor="text1"/>
                <w:sz w:val="21"/>
                <w:szCs w:val="21"/>
                <w:highlight w:val="none"/>
                <w14:textFill>
                  <w14:solidFill>
                    <w14:schemeClr w14:val="tx1"/>
                  </w14:solidFill>
                </w14:textFill>
              </w:rPr>
              <w:t>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ascii="宋体" w:hAnsi="宋体" w:eastAsia="宋体" w:cs="宋体"/>
                <w:color w:val="000000" w:themeColor="text1"/>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否决竞标</w:t>
            </w:r>
            <w:r>
              <w:rPr>
                <w:rFonts w:hint="eastAsia" w:ascii="宋体" w:hAnsi="宋体" w:eastAsia="宋体" w:cs="宋体"/>
                <w:color w:val="000000" w:themeColor="text1"/>
                <w:sz w:val="21"/>
                <w:szCs w:val="21"/>
                <w:highlight w:val="none"/>
                <w14:textFill>
                  <w14:solidFill>
                    <w14:schemeClr w14:val="tx1"/>
                  </w14:solidFill>
                </w14:textFill>
              </w:rPr>
              <w:t>处理。</w:t>
            </w:r>
            <w:r>
              <w:rPr>
                <w:rFonts w:hint="eastAsia" w:ascii="宋体" w:hAnsi="宋体" w:eastAsia="宋体" w:cs="宋体"/>
                <w:color w:val="000000" w:themeColor="text1"/>
                <w:szCs w:val="21"/>
                <w:highlight w:val="none"/>
                <w:lang w:val="en-US" w:eastAsia="zh-CN"/>
                <w14:textFill>
                  <w14:solidFill>
                    <w14:schemeClr w14:val="tx1"/>
                  </w14:solidFill>
                </w14:textFill>
              </w:rPr>
              <w:t>其余</w:t>
            </w:r>
            <w:r>
              <w:rPr>
                <w:rFonts w:hint="eastAsia" w:ascii="宋体" w:hAnsi="宋体" w:eastAsia="宋体" w:cs="宋体"/>
                <w:color w:val="000000" w:themeColor="text1"/>
                <w:szCs w:val="21"/>
                <w:highlight w:val="none"/>
                <w14:textFill>
                  <w14:solidFill>
                    <w14:schemeClr w14:val="tx1"/>
                  </w14:solidFill>
                </w14:textFill>
              </w:rPr>
              <w:t>采用工程量清单计价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工程量清单采用综合单价计价。</w:t>
            </w:r>
          </w:p>
          <w:p w14:paraId="1CD599F9">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val="zh-CN" w:eastAsia="zh-CN"/>
                <w14:textFill>
                  <w14:solidFill>
                    <w14:schemeClr w14:val="tx1"/>
                  </w14:solidFill>
                </w14:textFill>
              </w:rPr>
              <w:t>《重庆市房屋建筑与装饰工程计价定额2018》、《重庆市通用安装工程计价定额2018》、《重庆市市政工程计价定额2018》、《重庆市园林绿化工程计价定额2018》、《重庆市装配式建筑工程计价定额》、《重庆市绿色建筑工程计价定额2018》、《工程量清单项目计量规范（2013-重庆）》及其相关配套文件</w:t>
            </w:r>
            <w:r>
              <w:rPr>
                <w:rFonts w:hint="eastAsia" w:ascii="宋体" w:hAnsi="宋体" w:eastAsia="宋体" w:cs="宋体"/>
                <w:color w:val="000000" w:themeColor="text1"/>
                <w:szCs w:val="21"/>
                <w:highlight w:val="none"/>
                <w14:textFill>
                  <w14:solidFill>
                    <w14:schemeClr w14:val="tx1"/>
                  </w14:solidFill>
                </w14:textFill>
              </w:rPr>
              <w:t>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应按本须知、《重庆市城乡建设委员会关于适用增值税新税率调整建设工程计价依据的通知》（渝建〔2019〕143号）和第五章“工程量清单”的要求填写相应清单表格。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竞标报价</w:t>
            </w:r>
            <w:r>
              <w:rPr>
                <w:rFonts w:hint="eastAsia" w:ascii="宋体" w:hAnsi="宋体" w:eastAsia="宋体" w:cs="宋体"/>
                <w:color w:val="000000" w:themeColor="text1"/>
                <w:szCs w:val="21"/>
                <w:highlight w:val="none"/>
                <w14:textFill>
                  <w14:solidFill>
                    <w14:schemeClr w14:val="tx1"/>
                  </w14:solidFill>
                </w14:textFill>
              </w:rPr>
              <w:t>应是本章</w:t>
            </w:r>
            <w:r>
              <w:rPr>
                <w:rFonts w:hint="eastAsia" w:ascii="宋体" w:hAnsi="宋体" w:eastAsia="宋体" w:cs="宋体"/>
                <w:color w:val="000000" w:themeColor="text1"/>
                <w:szCs w:val="21"/>
                <w:highlight w:val="none"/>
                <w:lang w:eastAsia="zh-CN"/>
                <w14:textFill>
                  <w14:solidFill>
                    <w14:schemeClr w14:val="tx1"/>
                  </w14:solidFill>
                </w14:textFill>
              </w:rPr>
              <w:t>竞标人须知</w:t>
            </w:r>
            <w:r>
              <w:rPr>
                <w:rFonts w:hint="eastAsia" w:ascii="宋体" w:hAnsi="宋体" w:eastAsia="宋体" w:cs="宋体"/>
                <w:color w:val="000000" w:themeColor="text1"/>
                <w:szCs w:val="21"/>
                <w:highlight w:val="none"/>
                <w14:textFill>
                  <w14:solidFill>
                    <w14:schemeClr w14:val="tx1"/>
                  </w14:solidFill>
                </w14:textFill>
              </w:rPr>
              <w:t>前附表1.</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项中所述的本工程合同段</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内的全部工程的</w:t>
            </w:r>
            <w:r>
              <w:rPr>
                <w:rFonts w:hint="eastAsia" w:ascii="宋体" w:hAnsi="宋体" w:eastAsia="宋体" w:cs="宋体"/>
                <w:color w:val="000000" w:themeColor="text1"/>
                <w:szCs w:val="21"/>
                <w:highlight w:val="none"/>
                <w:lang w:eastAsia="zh-CN"/>
                <w14:textFill>
                  <w14:solidFill>
                    <w14:schemeClr w14:val="tx1"/>
                  </w14:solidFill>
                </w14:textFill>
              </w:rPr>
              <w:t>竞标报价</w:t>
            </w:r>
            <w:r>
              <w:rPr>
                <w:rFonts w:hint="eastAsia" w:ascii="宋体" w:hAnsi="宋体" w:eastAsia="宋体" w:cs="宋体"/>
                <w:color w:val="000000" w:themeColor="text1"/>
                <w:szCs w:val="21"/>
                <w:highlight w:val="none"/>
                <w14:textFill>
                  <w14:solidFill>
                    <w14:schemeClr w14:val="tx1"/>
                  </w14:solidFill>
                </w14:textFill>
              </w:rPr>
              <w:t>，并以</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在工程量清单中提出的单价或总价为依据。</w:t>
            </w:r>
          </w:p>
          <w:p w14:paraId="4BCFFCE8">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应认真填写工程量清单中所列的本合同各工程子目的单价或总价。</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没有填入单价或总价的工程子目，</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将认为该子目的价款已包括在工程量清单其他子目的单价和总价中。</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必须按</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工程量清单填报价格。项目编码、项目名称、项目特征、计量单位、工程量必须与</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工程量清单一致。</w:t>
            </w:r>
          </w:p>
          <w:p w14:paraId="32CA22F0">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竞标函</w:t>
            </w:r>
            <w:r>
              <w:rPr>
                <w:rFonts w:hint="eastAsia" w:ascii="宋体" w:hAnsi="宋体" w:eastAsia="宋体" w:cs="宋体"/>
                <w:color w:val="000000" w:themeColor="text1"/>
                <w:szCs w:val="21"/>
                <w:highlight w:val="none"/>
                <w14:textFill>
                  <w14:solidFill>
                    <w14:schemeClr w14:val="tx1"/>
                  </w14:solidFill>
                </w14:textFill>
              </w:rPr>
              <w:t>中的总报价必须与已标价工程量清单总报价一致。</w:t>
            </w:r>
          </w:p>
          <w:p w14:paraId="012E1B0B">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5.增值税计税方法由</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依据国家税法规定选择：</w:t>
            </w:r>
          </w:p>
          <w:p w14:paraId="60FB65E6">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r>
              <w:rPr>
                <w:rFonts w:hint="eastAsia" w:ascii="宋体" w:hAnsi="宋体" w:eastAsia="宋体" w:cs="宋体"/>
                <w:color w:val="000000" w:themeColor="text1"/>
                <w:szCs w:val="21"/>
                <w:highlight w:val="none"/>
                <w:lang w:eastAsia="zh-CN"/>
                <w14:textFill>
                  <w14:solidFill>
                    <w14:schemeClr w14:val="tx1"/>
                  </w14:solidFill>
                </w14:textFill>
              </w:rPr>
              <w:t>。</w:t>
            </w:r>
          </w:p>
          <w:p w14:paraId="0D949808">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在工程量清单中所列出的价格（包括暂列金额、暂估价等），</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不得修改。</w:t>
            </w:r>
          </w:p>
          <w:p w14:paraId="0CCF2C60">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本工程</w:t>
            </w:r>
            <w:r>
              <w:rPr>
                <w:rFonts w:hint="eastAsia" w:ascii="宋体" w:hAnsi="宋体" w:eastAsia="宋体" w:cs="宋体"/>
                <w:b/>
                <w:bCs/>
                <w:color w:val="000000" w:themeColor="text1"/>
                <w:sz w:val="21"/>
                <w:szCs w:val="21"/>
                <w:highlight w:val="none"/>
                <w:lang w:eastAsia="zh-CN"/>
                <w14:textFill>
                  <w14:solidFill>
                    <w14:schemeClr w14:val="tx1"/>
                  </w14:solidFill>
                </w14:textFill>
              </w:rPr>
              <w:t>比选</w:t>
            </w:r>
            <w:r>
              <w:rPr>
                <w:rFonts w:hint="eastAsia" w:ascii="宋体" w:hAnsi="宋体" w:eastAsia="宋体" w:cs="宋体"/>
                <w:b/>
                <w:bCs/>
                <w:color w:val="000000" w:themeColor="text1"/>
                <w:sz w:val="21"/>
                <w:szCs w:val="21"/>
                <w:highlight w:val="none"/>
                <w14:textFill>
                  <w14:solidFill>
                    <w14:schemeClr w14:val="tx1"/>
                  </w14:solidFill>
                </w14:textFill>
              </w:rPr>
              <w:t>将设置</w:t>
            </w:r>
            <w:r>
              <w:rPr>
                <w:rFonts w:hint="eastAsia" w:ascii="宋体" w:hAnsi="宋体" w:eastAsia="宋体" w:cs="宋体"/>
                <w:b/>
                <w:bCs/>
                <w:color w:val="000000" w:themeColor="text1"/>
                <w:sz w:val="21"/>
                <w:szCs w:val="21"/>
                <w:highlight w:val="none"/>
                <w:lang w:eastAsia="zh-CN"/>
                <w14:textFill>
                  <w14:solidFill>
                    <w14:schemeClr w14:val="tx1"/>
                  </w14:solidFill>
                </w14:textFill>
              </w:rPr>
              <w:t>竞标总报价</w:t>
            </w:r>
            <w:r>
              <w:rPr>
                <w:rFonts w:hint="eastAsia" w:ascii="宋体" w:hAnsi="宋体" w:eastAsia="宋体" w:cs="宋体"/>
                <w:b/>
                <w:bCs/>
                <w:color w:val="000000" w:themeColor="text1"/>
                <w:sz w:val="21"/>
                <w:szCs w:val="21"/>
                <w:highlight w:val="none"/>
                <w14:textFill>
                  <w14:solidFill>
                    <w14:schemeClr w14:val="tx1"/>
                  </w14:solidFill>
                </w14:textFill>
              </w:rPr>
              <w:t>最高限价，最高限价为</w:t>
            </w:r>
            <w:r>
              <w:rPr>
                <w:rFonts w:hint="eastAsia" w:ascii="宋体" w:hAnsi="宋体" w:eastAsia="宋体" w:cs="宋体"/>
                <w:b/>
                <w:bCs/>
                <w:snapToGrid w:val="0"/>
                <w:color w:val="000000" w:themeColor="text1"/>
                <w:kern w:val="0"/>
                <w:sz w:val="21"/>
                <w:szCs w:val="21"/>
                <w:highlight w:val="none"/>
                <w:u w:val="single"/>
                <w:shd w:val="clear" w:fill="FFFFFF" w:themeFill="background1"/>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492225.77</w:t>
            </w:r>
            <w:r>
              <w:rPr>
                <w:rFonts w:hint="eastAsia" w:ascii="宋体" w:hAnsi="宋体" w:eastAsia="宋体" w:cs="宋体"/>
                <w:b/>
                <w:bCs/>
                <w:color w:val="000000" w:themeColor="text1"/>
                <w:sz w:val="21"/>
                <w:szCs w:val="21"/>
                <w:highlight w:val="none"/>
                <w:u w:val="single"/>
                <w:lang w:val="zh-CN" w:eastAsia="zh-CN"/>
                <w14:textFill>
                  <w14:solidFill>
                    <w14:schemeClr w14:val="tx1"/>
                  </w14:solidFill>
                </w14:textFill>
              </w:rPr>
              <w:t>元（大写：</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肆拾玖万贰仟贰佰贰拾伍元柒角柒分</w:t>
            </w:r>
            <w:r>
              <w:rPr>
                <w:rFonts w:hint="eastAsia" w:ascii="宋体" w:hAnsi="宋体" w:eastAsia="宋体" w:cs="宋体"/>
                <w:b/>
                <w:bCs/>
                <w:color w:val="000000" w:themeColor="text1"/>
                <w:sz w:val="21"/>
                <w:szCs w:val="21"/>
                <w:highlight w:val="none"/>
                <w:u w:val="single"/>
                <w:lang w:val="zh-CN" w:eastAsia="zh-CN"/>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，安全文明施工费</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暂列金额11586.07元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竞标人</w:t>
            </w:r>
            <w:r>
              <w:rPr>
                <w:rFonts w:hint="eastAsia" w:ascii="宋体" w:hAnsi="宋体" w:eastAsia="宋体" w:cs="宋体"/>
                <w:b/>
                <w:bCs/>
                <w:color w:val="000000" w:themeColor="text1"/>
                <w:sz w:val="21"/>
                <w:szCs w:val="21"/>
                <w:highlight w:val="none"/>
                <w14:textFill>
                  <w14:solidFill>
                    <w14:schemeClr w14:val="tx1"/>
                  </w14:solidFill>
                </w14:textFill>
              </w:rPr>
              <w:t>的</w:t>
            </w:r>
            <w:r>
              <w:rPr>
                <w:rFonts w:hint="eastAsia" w:ascii="宋体" w:hAnsi="宋体" w:eastAsia="宋体" w:cs="宋体"/>
                <w:b/>
                <w:bCs/>
                <w:color w:val="000000" w:themeColor="text1"/>
                <w:sz w:val="21"/>
                <w:szCs w:val="21"/>
                <w:highlight w:val="none"/>
                <w:lang w:eastAsia="zh-CN"/>
                <w14:textFill>
                  <w14:solidFill>
                    <w14:schemeClr w14:val="tx1"/>
                  </w14:solidFill>
                </w14:textFill>
              </w:rPr>
              <w:t>竞标总报价</w:t>
            </w:r>
            <w:r>
              <w:rPr>
                <w:rFonts w:hint="eastAsia" w:ascii="宋体" w:hAnsi="宋体" w:eastAsia="宋体" w:cs="宋体"/>
                <w:b/>
                <w:bCs/>
                <w:color w:val="000000" w:themeColor="text1"/>
                <w:sz w:val="21"/>
                <w:szCs w:val="21"/>
                <w:highlight w:val="none"/>
                <w14:textFill>
                  <w14:solidFill>
                    <w14:schemeClr w14:val="tx1"/>
                  </w14:solidFill>
                </w14:textFill>
              </w:rPr>
              <w:t>不得超过其最高限价，</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
                <w:bCs/>
                <w:color w:val="000000" w:themeColor="text1"/>
                <w:szCs w:val="21"/>
                <w:highlight w:val="none"/>
                <w:lang w:eastAsia="zh-CN"/>
                <w14:textFill>
                  <w14:solidFill>
                    <w14:schemeClr w14:val="tx1"/>
                  </w14:solidFill>
                </w14:textFill>
              </w:rPr>
              <w:t>竞标人</w:t>
            </w:r>
            <w:r>
              <w:rPr>
                <w:rFonts w:hint="eastAsia" w:ascii="宋体" w:hAnsi="宋体" w:eastAsia="宋体" w:cs="宋体"/>
                <w:b/>
                <w:bCs/>
                <w:color w:val="000000" w:themeColor="text1"/>
                <w:szCs w:val="21"/>
                <w:highlight w:val="none"/>
                <w14:textFill>
                  <w14:solidFill>
                    <w14:schemeClr w14:val="tx1"/>
                  </w14:solidFill>
                </w14:textFill>
              </w:rPr>
              <w:t>的每项工程量清单综合单价报价</w:t>
            </w:r>
            <w:r>
              <w:rPr>
                <w:rFonts w:hint="eastAsia" w:ascii="宋体" w:hAnsi="宋体" w:eastAsia="宋体" w:cs="宋体"/>
                <w:b/>
                <w:bCs/>
                <w:color w:val="000000" w:themeColor="text1"/>
                <w:szCs w:val="21"/>
                <w:highlight w:val="none"/>
                <w:lang w:val="en-US" w:eastAsia="zh-CN"/>
                <w14:textFill>
                  <w14:solidFill>
                    <w14:schemeClr w14:val="tx1"/>
                  </w14:solidFill>
                </w14:textFill>
              </w:rPr>
              <w:t>均</w:t>
            </w:r>
            <w:r>
              <w:rPr>
                <w:rFonts w:hint="eastAsia" w:ascii="宋体" w:hAnsi="宋体" w:eastAsia="宋体" w:cs="宋体"/>
                <w:b/>
                <w:bCs/>
                <w:color w:val="000000" w:themeColor="text1"/>
                <w:szCs w:val="21"/>
                <w:highlight w:val="none"/>
                <w14:textFill>
                  <w14:solidFill>
                    <w14:schemeClr w14:val="tx1"/>
                  </w14:solidFill>
                </w14:textFill>
              </w:rPr>
              <w:t>不得超过其对应清单综合单价最高限价。</w:t>
            </w:r>
            <w:r>
              <w:rPr>
                <w:rFonts w:hint="eastAsia" w:ascii="宋体" w:hAnsi="宋体" w:eastAsia="宋体" w:cs="宋体"/>
                <w:b/>
                <w:bCs/>
                <w:color w:val="000000" w:themeColor="text1"/>
                <w:sz w:val="21"/>
                <w:szCs w:val="21"/>
                <w:highlight w:val="none"/>
                <w14:textFill>
                  <w14:solidFill>
                    <w14:schemeClr w14:val="tx1"/>
                  </w14:solidFill>
                </w14:textFill>
              </w:rPr>
              <w:t>否则由</w:t>
            </w:r>
            <w:r>
              <w:rPr>
                <w:rFonts w:hint="eastAsia" w:ascii="宋体" w:hAnsi="宋体" w:eastAsia="宋体" w:cs="宋体"/>
                <w:b/>
                <w:bCs/>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b/>
                <w:bCs/>
                <w:color w:val="000000" w:themeColor="text1"/>
                <w:sz w:val="21"/>
                <w:szCs w:val="21"/>
                <w:highlight w:val="none"/>
                <w14:textFill>
                  <w14:solidFill>
                    <w14:schemeClr w14:val="tx1"/>
                  </w14:solidFill>
                </w14:textFill>
              </w:rPr>
              <w:t>作</w:t>
            </w:r>
            <w:r>
              <w:rPr>
                <w:rFonts w:hint="eastAsia" w:ascii="宋体" w:hAnsi="宋体" w:eastAsia="宋体" w:cs="宋体"/>
                <w:b/>
                <w:bCs/>
                <w:color w:val="000000" w:themeColor="text1"/>
                <w:sz w:val="21"/>
                <w:szCs w:val="21"/>
                <w:highlight w:val="none"/>
                <w:lang w:eastAsia="zh-CN"/>
                <w14:textFill>
                  <w14:solidFill>
                    <w14:schemeClr w14:val="tx1"/>
                  </w14:solidFill>
                </w14:textFill>
              </w:rPr>
              <w:t>否决竞标</w:t>
            </w:r>
            <w:r>
              <w:rPr>
                <w:rFonts w:hint="eastAsia" w:ascii="宋体" w:hAnsi="宋体" w:eastAsia="宋体" w:cs="宋体"/>
                <w:b/>
                <w:bCs/>
                <w:color w:val="000000" w:themeColor="text1"/>
                <w:sz w:val="21"/>
                <w:szCs w:val="21"/>
                <w:highlight w:val="none"/>
                <w14:textFill>
                  <w14:solidFill>
                    <w14:schemeClr w14:val="tx1"/>
                  </w14:solidFill>
                </w14:textFill>
              </w:rPr>
              <w:t>处理。</w:t>
            </w:r>
          </w:p>
          <w:p w14:paraId="0A237C4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中标后，比选人</w:t>
            </w:r>
            <w:r>
              <w:rPr>
                <w:rFonts w:hint="eastAsia" w:ascii="宋体" w:hAnsi="宋体" w:eastAsia="宋体" w:cs="宋体"/>
                <w:color w:val="000000" w:themeColor="text1"/>
                <w:szCs w:val="21"/>
                <w:highlight w:val="none"/>
                <w14:textFill>
                  <w14:solidFill>
                    <w14:schemeClr w14:val="tx1"/>
                  </w14:solidFill>
                </w14:textFill>
              </w:rPr>
              <w:t>若发现中标人的工程量清单综合单价报价超过</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时给出的工程量清单综合单价最高限价的，在工程结算时</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将以发出的工程量清单综合单价最高限价为基础，按照中标人的中标总报价与本工程的总价最高限价的下浮比例进行同比例下调，中标人必须无条件接受，否则按中标人违约处理。</w:t>
            </w:r>
          </w:p>
          <w:p w14:paraId="2DB7FB3F">
            <w:pPr>
              <w:pStyle w:val="6"/>
              <w:keepNext w:val="0"/>
              <w:keepLines w:val="0"/>
              <w:pageBreakBefore w:val="0"/>
              <w:kinsoku/>
              <w:wordWrap/>
              <w:overflowPunct/>
              <w:topLinePunct w:val="0"/>
              <w:bidi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.安全文明施工费：</w:t>
            </w:r>
          </w:p>
          <w:p w14:paraId="13B6F8C2">
            <w:pPr>
              <w:pStyle w:val="6"/>
              <w:keepNext w:val="0"/>
              <w:keepLines w:val="0"/>
              <w:pageBreakBefore w:val="0"/>
              <w:tabs>
                <w:tab w:val="left" w:pos="546"/>
                <w:tab w:val="left" w:pos="711"/>
              </w:tabs>
              <w:kinsoku/>
              <w:wordWrap/>
              <w:overflowPunct/>
              <w:topLinePunct w:val="0"/>
              <w:bidi w:val="0"/>
              <w:snapToGrid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.1根据</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eastAsia="宋体" w:cs="宋体"/>
                <w:kern w:val="0"/>
                <w:szCs w:val="28"/>
              </w:rPr>
              <w:t>重庆市建设工程安全文明施工费计取及使用管理规定》渝建管〔2024〕38号文件中</w:t>
            </w:r>
            <w:r>
              <w:rPr>
                <w:rFonts w:hint="eastAsia" w:ascii="宋体" w:hAnsi="宋体" w:eastAsia="宋体" w:cs="宋体"/>
                <w:color w:val="000000" w:themeColor="text1"/>
                <w:szCs w:val="21"/>
                <w:highlight w:val="none"/>
                <w14:textFill>
                  <w14:solidFill>
                    <w14:schemeClr w14:val="tx1"/>
                  </w14:solidFill>
                </w14:textFill>
              </w:rPr>
              <w:t>，安全文明施工费由安全施工费、文明施工费、环境保护费及临时设施费组成。</w:t>
            </w:r>
          </w:p>
          <w:p w14:paraId="2ACA2D0C">
            <w:pPr>
              <w:pStyle w:val="43"/>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.2本工程安全文明施工费由</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根据《建设工程工程量清单计价规范》（GB50500-2013）、《重庆市建设工程工程量清单计价规则》（CQJJGZ-2013）、重庆市建设工程安全文明施工费计取及使用管理规定》渝建管〔2024〕38号文件中、《重庆市建设工程费用定额》（CQFYDE-2018）、《重庆市城乡建设委员会关于适用增值税新税率调整建设工程计价依据的通知》（渝建〔2019〕143号）的相关规定和费用标准单列计算，安全文明施工费为暂定金额，与最高限价一起公布。《</w:t>
            </w:r>
            <w:r>
              <w:rPr>
                <w:rFonts w:hint="eastAsia" w:ascii="宋体" w:hAnsi="宋体" w:eastAsia="宋体" w:cs="宋体"/>
                <w:color w:val="000000" w:themeColor="text1"/>
                <w:sz w:val="21"/>
                <w:szCs w:val="21"/>
                <w:highlight w:val="none"/>
                <w:lang w:eastAsia="zh-CN"/>
                <w14:textFill>
                  <w14:solidFill>
                    <w14:schemeClr w14:val="tx1"/>
                  </w14:solidFill>
                </w14:textFill>
              </w:rPr>
              <w:t>竞标函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》及工程量清单报价中的安全文明施工费必须按照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ascii="宋体" w:hAnsi="宋体" w:eastAsia="宋体" w:cs="宋体"/>
                <w:color w:val="000000" w:themeColor="text1"/>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否决竞标</w:t>
            </w:r>
            <w:r>
              <w:rPr>
                <w:rFonts w:hint="eastAsia" w:ascii="宋体" w:hAnsi="宋体" w:eastAsia="宋体" w:cs="宋体"/>
                <w:color w:val="000000" w:themeColor="text1"/>
                <w:sz w:val="21"/>
                <w:szCs w:val="21"/>
                <w:highlight w:val="none"/>
                <w14:textFill>
                  <w14:solidFill>
                    <w14:schemeClr w14:val="tx1"/>
                  </w14:solidFill>
                </w14:textFill>
              </w:rPr>
              <w:t>处理。</w:t>
            </w:r>
          </w:p>
          <w:p w14:paraId="3BD8C3C7">
            <w:pPr>
              <w:pStyle w:val="43"/>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本项目人工价格优先采用2024年第</w:t>
            </w:r>
            <w:r>
              <w:rPr>
                <w:rFonts w:hint="eastAsia" w:eastAsia="宋体" w:cs="宋体"/>
                <w:color w:val="000000" w:themeColor="text1"/>
                <w:sz w:val="21"/>
                <w:szCs w:val="21"/>
                <w:highlight w:val="none"/>
                <w:lang w:val="en-US" w:eastAsia="zh-CN"/>
                <w14:textFill>
                  <w14:solidFill>
                    <w14:schemeClr w14:val="tx1"/>
                  </w14:solidFill>
                </w14:textFill>
              </w:rPr>
              <w:t>二季</w:t>
            </w:r>
            <w:r>
              <w:rPr>
                <w:rFonts w:hint="eastAsia" w:ascii="宋体" w:hAnsi="宋体" w:eastAsia="宋体" w:cs="宋体"/>
                <w:color w:val="000000" w:themeColor="text1"/>
                <w:sz w:val="21"/>
                <w:szCs w:val="21"/>
                <w:highlight w:val="none"/>
                <w:lang w:val="zh-CN" w:eastAsia="zh-CN"/>
                <w14:textFill>
                  <w14:solidFill>
                    <w14:schemeClr w14:val="tx1"/>
                  </w14:solidFill>
                </w14:textFill>
              </w:rPr>
              <w:t>度重庆市主城区2018定额人工信息价</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17F3B51">
            <w:pPr>
              <w:pStyle w:val="43"/>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本项目材料价格优先采用2024年第</w:t>
            </w:r>
            <w:r>
              <w:rPr>
                <w:rFonts w:hint="eastAsia" w:eastAsia="宋体" w:cs="宋体"/>
                <w:color w:val="000000" w:themeColor="text1"/>
                <w:sz w:val="21"/>
                <w:szCs w:val="21"/>
                <w:highlight w:val="none"/>
                <w:lang w:val="en-US" w:eastAsia="zh-CN"/>
                <w14:textFill>
                  <w14:solidFill>
                    <w14:schemeClr w14:val="tx1"/>
                  </w14:solidFill>
                </w14:textFill>
              </w:rPr>
              <w:t>8月</w:t>
            </w:r>
            <w:r>
              <w:rPr>
                <w:rFonts w:hint="eastAsia" w:ascii="宋体" w:hAnsi="宋体" w:eastAsia="宋体" w:cs="宋体"/>
                <w:color w:val="000000" w:themeColor="text1"/>
                <w:sz w:val="21"/>
                <w:szCs w:val="21"/>
                <w:highlight w:val="none"/>
                <w:lang w:val="zh-CN" w:eastAsia="zh-CN"/>
                <w14:textFill>
                  <w14:solidFill>
                    <w14:schemeClr w14:val="tx1"/>
                  </w14:solidFill>
                </w14:textFill>
              </w:rPr>
              <w:t>重庆市主城区信息价，部分无信息价的采用重庆市重庆专业测定价、核价网询价及市场询价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DCDF07">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工程由</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文件、合同条件、工程量清单、施工现场实际情况、国家技术和经济规范及标准、工程量清单按</w:t>
            </w:r>
            <w:r>
              <w:rPr>
                <w:rFonts w:hint="eastAsia" w:ascii="宋体" w:hAnsi="宋体" w:eastAsia="宋体" w:cs="宋体"/>
                <w:color w:val="000000" w:themeColor="text1"/>
                <w:szCs w:val="21"/>
                <w:highlight w:val="none"/>
                <w:lang w:val="zh-CN" w:eastAsia="zh-CN"/>
                <w14:textFill>
                  <w14:solidFill>
                    <w14:schemeClr w14:val="tx1"/>
                  </w14:solidFill>
                </w14:textFill>
              </w:rPr>
              <w:t>《重庆市房屋建筑与装饰工程计价定额2018》、《重庆市通用安装工程计价定额2018》、《重庆市市政工程计价定额2018》、《重庆市园林绿化工程计价定额2018》、《重庆市装配式建筑工程计价定额》、《重庆市绿色建筑工程计价定额2018》、《工程量清单项目计量规范（2013-重庆）》及其相关配套文件</w:t>
            </w:r>
            <w:r>
              <w:rPr>
                <w:rFonts w:hint="eastAsia" w:ascii="宋体" w:hAnsi="宋体" w:eastAsia="宋体" w:cs="宋体"/>
                <w:color w:val="000000" w:themeColor="text1"/>
                <w:szCs w:val="21"/>
                <w:highlight w:val="none"/>
                <w14:textFill>
                  <w14:solidFill>
                    <w14:schemeClr w14:val="tx1"/>
                  </w14:solidFill>
                </w14:textFill>
              </w:rPr>
              <w:t>的规定，由</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结合自身实力、市场行情自主合理报价。</w:t>
            </w:r>
            <w:r>
              <w:rPr>
                <w:rFonts w:hint="eastAsia" w:ascii="宋体" w:hAnsi="宋体" w:eastAsia="宋体" w:cs="宋体"/>
                <w:color w:val="000000" w:themeColor="text1"/>
                <w:szCs w:val="21"/>
                <w:highlight w:val="none"/>
                <w:lang w:eastAsia="zh-CN"/>
                <w14:textFill>
                  <w14:solidFill>
                    <w14:schemeClr w14:val="tx1"/>
                  </w14:solidFill>
                </w14:textFill>
              </w:rPr>
              <w:t>竞标报价</w:t>
            </w:r>
            <w:r>
              <w:rPr>
                <w:rFonts w:hint="eastAsia" w:ascii="宋体" w:hAnsi="宋体" w:eastAsia="宋体" w:cs="宋体"/>
                <w:color w:val="000000" w:themeColor="text1"/>
                <w:szCs w:val="21"/>
                <w:highlight w:val="none"/>
                <w14:textFill>
                  <w14:solidFill>
                    <w14:schemeClr w14:val="tx1"/>
                  </w14:solidFill>
                </w14:textFill>
              </w:rPr>
              <w:t>应包括完成</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内工程项目的人工费、材料费、施工机具使用费、企业管理费、利润、风险费用、措施费、其他项目费、规费、安全文明施工费、税金等所有费用。</w:t>
            </w:r>
          </w:p>
        </w:tc>
      </w:tr>
      <w:tr w14:paraId="33234955">
        <w:tblPrEx>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vAlign w:val="center"/>
          </w:tcPr>
          <w:p w14:paraId="194041E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3.3.1</w:t>
            </w:r>
          </w:p>
        </w:tc>
        <w:tc>
          <w:tcPr>
            <w:tcW w:w="2437" w:type="dxa"/>
            <w:tcBorders>
              <w:top w:val="single" w:color="auto" w:sz="4" w:space="0"/>
              <w:left w:val="single" w:color="auto" w:sz="4" w:space="0"/>
              <w:bottom w:val="single" w:color="auto" w:sz="4" w:space="0"/>
              <w:right w:val="single" w:color="auto" w:sz="4" w:space="0"/>
            </w:tcBorders>
            <w:vAlign w:val="center"/>
          </w:tcPr>
          <w:p w14:paraId="1C40DFE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szCs w:val="21"/>
                <w:highlight w:val="none"/>
                <w14:textFill>
                  <w14:solidFill>
                    <w14:schemeClr w14:val="tx1"/>
                  </w14:solidFill>
                </w14:textFill>
              </w:rPr>
              <w:t>有效期</w:t>
            </w:r>
          </w:p>
        </w:tc>
        <w:tc>
          <w:tcPr>
            <w:tcW w:w="6662" w:type="dxa"/>
            <w:tcBorders>
              <w:top w:val="single" w:color="auto" w:sz="4" w:space="0"/>
              <w:left w:val="single" w:color="auto" w:sz="4" w:space="0"/>
              <w:bottom w:val="single" w:color="auto" w:sz="4" w:space="0"/>
              <w:right w:val="single" w:color="auto" w:sz="4" w:space="0"/>
            </w:tcBorders>
            <w:vAlign w:val="center"/>
          </w:tcPr>
          <w:p w14:paraId="0C5CA01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90日历天（从提交竞标文件截止日起计算）</w:t>
            </w:r>
          </w:p>
        </w:tc>
      </w:tr>
      <w:tr w14:paraId="4E576E96">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82D962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p>
        </w:tc>
        <w:tc>
          <w:tcPr>
            <w:tcW w:w="2437" w:type="dxa"/>
            <w:tcBorders>
              <w:top w:val="single" w:color="auto" w:sz="4" w:space="0"/>
              <w:left w:val="single" w:color="auto" w:sz="4" w:space="0"/>
              <w:bottom w:val="single" w:color="auto" w:sz="4" w:space="0"/>
              <w:right w:val="single" w:color="auto" w:sz="4" w:space="0"/>
            </w:tcBorders>
            <w:vAlign w:val="center"/>
          </w:tcPr>
          <w:p w14:paraId="16CB5A3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szCs w:val="21"/>
                <w:highlight w:val="none"/>
                <w14:textFill>
                  <w14:solidFill>
                    <w14:schemeClr w14:val="tx1"/>
                  </w14:solidFill>
                </w14:textFill>
              </w:rPr>
              <w:t>保证金</w:t>
            </w:r>
          </w:p>
        </w:tc>
        <w:tc>
          <w:tcPr>
            <w:tcW w:w="6662" w:type="dxa"/>
            <w:tcBorders>
              <w:top w:val="single" w:color="auto" w:sz="4" w:space="0"/>
              <w:left w:val="single" w:color="auto" w:sz="4" w:space="0"/>
              <w:bottom w:val="single" w:color="auto" w:sz="4" w:space="0"/>
              <w:right w:val="single" w:color="auto" w:sz="4" w:space="0"/>
            </w:tcBorders>
            <w:vAlign w:val="center"/>
          </w:tcPr>
          <w:p w14:paraId="0D392AE8">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b/>
                <w:bCs/>
                <w:color w:val="000000" w:themeColor="text1"/>
                <w:sz w:val="21"/>
                <w:szCs w:val="21"/>
                <w:highlight w:val="none"/>
                <w14:textFill>
                  <w14:solidFill>
                    <w14:schemeClr w14:val="tx1"/>
                  </w14:solidFill>
                </w14:textFill>
              </w:rPr>
              <w:t>递交</w:t>
            </w:r>
          </w:p>
          <w:p w14:paraId="77D2CD8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竞标保证金的</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6000.00元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的到账截止时间同递交</w:t>
            </w:r>
            <w:r>
              <w:rPr>
                <w:rFonts w:hint="eastAsia" w:ascii="宋体" w:hAnsi="宋体" w:eastAsia="宋体" w:cs="宋体"/>
                <w:color w:val="000000" w:themeColor="text1"/>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交纳形式及要求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w:t>
            </w:r>
          </w:p>
          <w:p w14:paraId="6C38D04A">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以现金形式随</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一同递交。</w:t>
            </w:r>
          </w:p>
          <w:p w14:paraId="3643D17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装入各</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自备的信封中，信封上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注明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曾家镇龙台社区美丽新城休闲空间打造项目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竞标保证金陆仟</w:t>
            </w:r>
            <w:r>
              <w:rPr>
                <w:rFonts w:hint="eastAsia" w:ascii="宋体" w:hAnsi="宋体" w:eastAsia="宋体" w:cs="宋体"/>
                <w:color w:val="000000" w:themeColor="text1"/>
                <w:sz w:val="21"/>
                <w:szCs w:val="21"/>
                <w:highlight w:val="none"/>
                <w14:textFill>
                  <w14:solidFill>
                    <w14:schemeClr w14:val="tx1"/>
                  </w14:solidFill>
                </w14:textFill>
              </w:rPr>
              <w:t>元整”及</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单位名称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，封口处加盖</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单位公章。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密封后随</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一同递交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w:t>
            </w:r>
          </w:p>
          <w:p w14:paraId="49BD232F">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未按上述要求提交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的当场退还其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w:t>
            </w:r>
          </w:p>
          <w:p w14:paraId="5356F21B">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有效期与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有效期一致。</w:t>
            </w:r>
          </w:p>
          <w:p w14:paraId="0EE2914E">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b/>
                <w:bCs/>
                <w:color w:val="000000" w:themeColor="text1"/>
                <w:sz w:val="21"/>
                <w:szCs w:val="21"/>
                <w:highlight w:val="none"/>
                <w14:textFill>
                  <w14:solidFill>
                    <w14:schemeClr w14:val="tx1"/>
                  </w14:solidFill>
                </w14:textFill>
              </w:rPr>
              <w:t>退还方式</w:t>
            </w:r>
          </w:p>
          <w:p w14:paraId="615847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通知书发放后五个工作日内按来款渠道直接退还。</w:t>
            </w:r>
          </w:p>
          <w:p w14:paraId="30F6DC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人签订合同后五个工作日内按来款渠道直接退还。</w:t>
            </w:r>
          </w:p>
        </w:tc>
      </w:tr>
      <w:tr w14:paraId="0466819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E0B64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3.6</w:t>
            </w:r>
          </w:p>
        </w:tc>
        <w:tc>
          <w:tcPr>
            <w:tcW w:w="2437" w:type="dxa"/>
            <w:tcBorders>
              <w:top w:val="single" w:color="auto" w:sz="4" w:space="0"/>
              <w:left w:val="single" w:color="auto" w:sz="4" w:space="0"/>
              <w:bottom w:val="single" w:color="auto" w:sz="4" w:space="0"/>
              <w:right w:val="single" w:color="auto" w:sz="4" w:space="0"/>
            </w:tcBorders>
            <w:vAlign w:val="center"/>
          </w:tcPr>
          <w:p w14:paraId="76CDD89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是否允许递交备选</w:t>
            </w: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szCs w:val="21"/>
                <w:highlight w:val="none"/>
                <w14:textFill>
                  <w14:solidFill>
                    <w14:schemeClr w14:val="tx1"/>
                  </w14:solidFill>
                </w14:textFill>
              </w:rPr>
              <w:t>方案</w:t>
            </w:r>
          </w:p>
        </w:tc>
        <w:tc>
          <w:tcPr>
            <w:tcW w:w="6662" w:type="dxa"/>
            <w:tcBorders>
              <w:top w:val="single" w:color="auto" w:sz="4" w:space="0"/>
              <w:left w:val="single" w:color="auto" w:sz="4" w:space="0"/>
              <w:bottom w:val="single" w:color="auto" w:sz="4" w:space="0"/>
              <w:right w:val="single" w:color="auto" w:sz="4" w:space="0"/>
            </w:tcBorders>
            <w:vAlign w:val="center"/>
          </w:tcPr>
          <w:p w14:paraId="69DD81B7">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01A98E1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FCC0B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3.7.1</w:t>
            </w:r>
          </w:p>
        </w:tc>
        <w:tc>
          <w:tcPr>
            <w:tcW w:w="2437" w:type="dxa"/>
            <w:tcBorders>
              <w:top w:val="single" w:color="auto" w:sz="4" w:space="0"/>
              <w:left w:val="single" w:color="auto" w:sz="4" w:space="0"/>
              <w:bottom w:val="single" w:color="auto" w:sz="4" w:space="0"/>
              <w:right w:val="single" w:color="auto" w:sz="4" w:space="0"/>
            </w:tcBorders>
            <w:vAlign w:val="center"/>
          </w:tcPr>
          <w:p w14:paraId="2F7C372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竞标文件</w:t>
            </w:r>
            <w:r>
              <w:rPr>
                <w:rFonts w:hint="eastAsia" w:ascii="宋体" w:hAnsi="宋体" w:eastAsia="宋体" w:cs="宋体"/>
                <w:color w:val="000000" w:themeColor="text1"/>
                <w:szCs w:val="21"/>
                <w:highlight w:val="none"/>
                <w14:textFill>
                  <w14:solidFill>
                    <w14:schemeClr w14:val="tx1"/>
                  </w14:solidFill>
                </w14:textFill>
              </w:rPr>
              <w:t>格式要求</w:t>
            </w:r>
          </w:p>
        </w:tc>
        <w:tc>
          <w:tcPr>
            <w:tcW w:w="6662" w:type="dxa"/>
            <w:tcBorders>
              <w:top w:val="single" w:color="auto" w:sz="4" w:space="0"/>
              <w:left w:val="single" w:color="auto" w:sz="4" w:space="0"/>
              <w:bottom w:val="single" w:color="auto" w:sz="4" w:space="0"/>
              <w:right w:val="single" w:color="auto" w:sz="4" w:space="0"/>
            </w:tcBorders>
            <w:vAlign w:val="center"/>
          </w:tcPr>
          <w:p w14:paraId="3ECFC419">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编制</w:t>
            </w:r>
            <w:r>
              <w:rPr>
                <w:rFonts w:hint="eastAsia" w:ascii="宋体" w:hAnsi="宋体" w:eastAsia="宋体" w:cs="宋体"/>
                <w:color w:val="000000" w:themeColor="text1"/>
                <w:szCs w:val="21"/>
                <w:highlight w:val="none"/>
                <w:lang w:eastAsia="zh-CN"/>
                <w14:textFill>
                  <w14:solidFill>
                    <w14:schemeClr w14:val="tx1"/>
                  </w14:solidFill>
                </w14:textFill>
              </w:rPr>
              <w:t>竞标文件</w:t>
            </w:r>
            <w:r>
              <w:rPr>
                <w:rFonts w:hint="eastAsia" w:ascii="宋体" w:hAnsi="宋体" w:eastAsia="宋体" w:cs="宋体"/>
                <w:color w:val="000000" w:themeColor="text1"/>
                <w:szCs w:val="21"/>
                <w:highlight w:val="none"/>
                <w14:textFill>
                  <w14:solidFill>
                    <w14:schemeClr w14:val="tx1"/>
                  </w14:solidFill>
                </w14:textFill>
              </w:rPr>
              <w:t>时不得对第八章“</w:t>
            </w:r>
            <w:r>
              <w:rPr>
                <w:rFonts w:hint="eastAsia" w:ascii="宋体" w:hAnsi="宋体" w:eastAsia="宋体" w:cs="宋体"/>
                <w:color w:val="000000" w:themeColor="text1"/>
                <w:szCs w:val="21"/>
                <w:highlight w:val="none"/>
                <w:lang w:eastAsia="zh-CN"/>
                <w14:textFill>
                  <w14:solidFill>
                    <w14:schemeClr w14:val="tx1"/>
                  </w14:solidFill>
                </w14:textFill>
              </w:rPr>
              <w:t>竞标文件</w:t>
            </w:r>
            <w:r>
              <w:rPr>
                <w:rFonts w:hint="eastAsia" w:ascii="宋体" w:hAnsi="宋体" w:eastAsia="宋体" w:cs="宋体"/>
                <w:color w:val="000000" w:themeColor="text1"/>
                <w:szCs w:val="21"/>
                <w:highlight w:val="none"/>
                <w14:textFill>
                  <w14:solidFill>
                    <w14:schemeClr w14:val="tx1"/>
                  </w14:solidFill>
                </w14:textFill>
              </w:rPr>
              <w:t>格式”的相应要素作实质性修改，否则由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5F3B10">
        <w:tblPrEx>
          <w:tblCellMar>
            <w:top w:w="0" w:type="dxa"/>
            <w:left w:w="108" w:type="dxa"/>
            <w:bottom w:w="0" w:type="dxa"/>
            <w:right w:w="108" w:type="dxa"/>
          </w:tblCellMar>
        </w:tblPrEx>
        <w:trPr>
          <w:trHeight w:val="606" w:hRule="atLeast"/>
        </w:trPr>
        <w:tc>
          <w:tcPr>
            <w:tcW w:w="1080" w:type="dxa"/>
            <w:tcBorders>
              <w:top w:val="single" w:color="auto" w:sz="4" w:space="0"/>
              <w:left w:val="single" w:color="auto" w:sz="4" w:space="0"/>
              <w:bottom w:val="single" w:color="auto" w:sz="4" w:space="0"/>
              <w:right w:val="single" w:color="auto" w:sz="4" w:space="0"/>
            </w:tcBorders>
            <w:vAlign w:val="center"/>
          </w:tcPr>
          <w:p w14:paraId="4FF61A0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3.7.3</w:t>
            </w:r>
          </w:p>
        </w:tc>
        <w:tc>
          <w:tcPr>
            <w:tcW w:w="2437" w:type="dxa"/>
            <w:tcBorders>
              <w:top w:val="single" w:color="auto" w:sz="4" w:space="0"/>
              <w:left w:val="single" w:color="auto" w:sz="4" w:space="0"/>
              <w:bottom w:val="single" w:color="auto" w:sz="4" w:space="0"/>
              <w:right w:val="single" w:color="auto" w:sz="4" w:space="0"/>
            </w:tcBorders>
            <w:vAlign w:val="center"/>
          </w:tcPr>
          <w:p w14:paraId="02641149">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签字或盖章要求</w:t>
            </w:r>
          </w:p>
        </w:tc>
        <w:tc>
          <w:tcPr>
            <w:tcW w:w="6662" w:type="dxa"/>
            <w:tcBorders>
              <w:top w:val="single" w:color="auto" w:sz="4" w:space="0"/>
              <w:left w:val="single" w:color="auto" w:sz="4" w:space="0"/>
              <w:bottom w:val="single" w:color="auto" w:sz="4" w:space="0"/>
              <w:right w:val="single" w:color="auto" w:sz="4" w:space="0"/>
            </w:tcBorders>
            <w:vAlign w:val="center"/>
          </w:tcPr>
          <w:p w14:paraId="3FAB772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竞标文件应用不褪色的材料书写或打印，并由竞标人的法定代表人或其委托代理人在比选文件规定的位置按比选文件要求签字或盖章、盖单位法人章。委托代理人签字的，竞标文件应附法定代表人签署的授权委托书。竞标文件应尽量避免涂改、行间插字或删除。如果出现上述情况，改动之处应加盖单位法人章或由竞标人的法定代表人或其授权的代理人签字确认。未按上述规定执行的，交由评审委员会作否决竞标处理。</w:t>
            </w:r>
          </w:p>
          <w:p w14:paraId="126D5F2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未按上述规定执行的，交由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lang w:val="en-US" w:eastAsia="zh-CN"/>
                <w14:textFill>
                  <w14:solidFill>
                    <w14:schemeClr w14:val="tx1"/>
                  </w14:solidFill>
                </w14:textFill>
              </w:rPr>
              <w:t>作否决竞标处理。</w:t>
            </w:r>
          </w:p>
        </w:tc>
      </w:tr>
      <w:tr w14:paraId="2240084A">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49B1D27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3.7.4</w:t>
            </w:r>
          </w:p>
        </w:tc>
        <w:tc>
          <w:tcPr>
            <w:tcW w:w="2437" w:type="dxa"/>
            <w:tcBorders>
              <w:top w:val="single" w:color="auto" w:sz="4" w:space="0"/>
              <w:left w:val="single" w:color="auto" w:sz="4" w:space="0"/>
              <w:bottom w:val="single" w:color="auto" w:sz="4" w:space="0"/>
              <w:right w:val="single" w:color="auto" w:sz="4" w:space="0"/>
            </w:tcBorders>
            <w:vAlign w:val="center"/>
          </w:tcPr>
          <w:p w14:paraId="5220A3E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竞标文件份数</w:t>
            </w:r>
          </w:p>
        </w:tc>
        <w:tc>
          <w:tcPr>
            <w:tcW w:w="6662" w:type="dxa"/>
            <w:tcBorders>
              <w:top w:val="single" w:color="auto" w:sz="4" w:space="0"/>
              <w:left w:val="single" w:color="auto" w:sz="4" w:space="0"/>
              <w:bottom w:val="single" w:color="auto" w:sz="4" w:space="0"/>
              <w:right w:val="single" w:color="auto" w:sz="4" w:space="0"/>
            </w:tcBorders>
            <w:vAlign w:val="center"/>
          </w:tcPr>
          <w:p w14:paraId="45F95580">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竞标文件正本1份</w:t>
            </w:r>
            <w:r>
              <w:rPr>
                <w:rFonts w:hint="eastAsia" w:ascii="宋体" w:hAnsi="宋体" w:eastAsia="宋体" w:cs="宋体"/>
                <w:color w:val="000000"/>
                <w:sz w:val="21"/>
                <w:szCs w:val="21"/>
                <w:highlight w:val="none"/>
              </w:rPr>
              <w:t>，副本</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份，电子文档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份（电子文档内容应为</w:t>
            </w: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sz w:val="21"/>
                <w:szCs w:val="21"/>
                <w:highlight w:val="none"/>
              </w:rPr>
              <w:t>文件正本</w:t>
            </w:r>
            <w:r>
              <w:rPr>
                <w:rFonts w:hint="eastAsia" w:ascii="宋体" w:hAnsi="宋体" w:eastAsia="宋体" w:cs="宋体"/>
                <w:color w:val="000000"/>
                <w:sz w:val="21"/>
                <w:szCs w:val="21"/>
                <w:highlight w:val="none"/>
                <w:lang w:val="en-US" w:eastAsia="zh-CN"/>
              </w:rPr>
              <w:t>word</w:t>
            </w:r>
            <w:r>
              <w:rPr>
                <w:rFonts w:hint="eastAsia" w:ascii="宋体" w:hAnsi="宋体" w:eastAsia="宋体" w:cs="宋体"/>
                <w:color w:val="000000"/>
                <w:sz w:val="21"/>
                <w:szCs w:val="21"/>
                <w:highlight w:val="none"/>
              </w:rPr>
              <w:t>版和全套签字盖章完善的正本PDF扫描件</w:t>
            </w:r>
            <w:r>
              <w:rPr>
                <w:rFonts w:hint="eastAsia" w:ascii="宋体" w:hAnsi="宋体" w:eastAsia="宋体" w:cs="宋体"/>
                <w:color w:val="000000" w:themeColor="text1"/>
                <w:szCs w:val="21"/>
                <w:highlight w:val="none"/>
                <w:lang w:val="en-US" w:eastAsia="zh-CN"/>
                <w14:textFill>
                  <w14:solidFill>
                    <w14:schemeClr w14:val="tx1"/>
                  </w14:solidFill>
                </w14:textFill>
              </w:rPr>
              <w:t>和已标价工程量清单Excel格式</w:t>
            </w:r>
            <w:r>
              <w:rPr>
                <w:rFonts w:hint="eastAsia" w:ascii="宋体" w:hAnsi="宋体" w:eastAsia="宋体" w:cs="宋体"/>
                <w:color w:val="000000"/>
                <w:sz w:val="21"/>
                <w:szCs w:val="21"/>
                <w:highlight w:val="none"/>
              </w:rPr>
              <w:t>，推荐采用U盘为电子文档载体）；副本可为正本的复印件，应与正本一致，如出现不一致情况以正本为准。</w:t>
            </w:r>
          </w:p>
          <w:p w14:paraId="60C57938">
            <w:pPr>
              <w:keepNext w:val="0"/>
              <w:keepLines w:val="0"/>
              <w:pageBreakBefore w:val="0"/>
              <w:tabs>
                <w:tab w:val="left" w:pos="546"/>
                <w:tab w:val="left" w:pos="711"/>
              </w:tabs>
              <w:kinsoku/>
              <w:wordWrap/>
              <w:overflowPunct/>
              <w:topLinePunct w:val="0"/>
              <w:bidi w:val="0"/>
              <w:snapToGrid w:val="0"/>
              <w:spacing w:line="240" w:lineRule="auto"/>
              <w:ind w:firstLine="42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注：当副本和正本不一致时，以正本为准，已标价工程量清单综合单价分析表无须装订入竞标文件纸质版中，但必须刻入U盘中。</w:t>
            </w:r>
          </w:p>
        </w:tc>
      </w:tr>
      <w:tr w14:paraId="108D4AF6">
        <w:tblPrEx>
          <w:tblCellMar>
            <w:top w:w="0" w:type="dxa"/>
            <w:left w:w="108" w:type="dxa"/>
            <w:bottom w:w="0" w:type="dxa"/>
            <w:right w:w="108" w:type="dxa"/>
          </w:tblCellMar>
        </w:tblPrEx>
        <w:trPr>
          <w:trHeight w:val="193" w:hRule="atLeast"/>
        </w:trPr>
        <w:tc>
          <w:tcPr>
            <w:tcW w:w="1080" w:type="dxa"/>
            <w:tcBorders>
              <w:top w:val="single" w:color="auto" w:sz="4" w:space="0"/>
              <w:left w:val="single" w:color="auto" w:sz="4" w:space="0"/>
              <w:bottom w:val="single" w:color="auto" w:sz="4" w:space="0"/>
              <w:right w:val="single" w:color="auto" w:sz="4" w:space="0"/>
            </w:tcBorders>
            <w:vAlign w:val="center"/>
          </w:tcPr>
          <w:p w14:paraId="5FBE5FB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3.7.5</w:t>
            </w:r>
          </w:p>
        </w:tc>
        <w:tc>
          <w:tcPr>
            <w:tcW w:w="2437" w:type="dxa"/>
            <w:tcBorders>
              <w:top w:val="single" w:color="auto" w:sz="4" w:space="0"/>
              <w:left w:val="single" w:color="auto" w:sz="4" w:space="0"/>
              <w:bottom w:val="single" w:color="auto" w:sz="4" w:space="0"/>
              <w:right w:val="single" w:color="auto" w:sz="4" w:space="0"/>
            </w:tcBorders>
            <w:vAlign w:val="center"/>
          </w:tcPr>
          <w:p w14:paraId="349BF57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662" w:type="dxa"/>
            <w:tcBorders>
              <w:top w:val="single" w:color="auto" w:sz="4" w:space="0"/>
              <w:left w:val="single" w:color="auto" w:sz="4" w:space="0"/>
              <w:bottom w:val="single" w:color="auto" w:sz="4" w:space="0"/>
              <w:right w:val="single" w:color="auto" w:sz="4" w:space="0"/>
            </w:tcBorders>
            <w:vAlign w:val="center"/>
          </w:tcPr>
          <w:p w14:paraId="6A3DFDA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1、本工程竞标人应将</w:t>
            </w:r>
            <w:r>
              <w:rPr>
                <w:rFonts w:hint="eastAsia" w:ascii="宋体" w:hAnsi="宋体" w:eastAsia="宋体" w:cs="宋体"/>
                <w:color w:val="000000" w:themeColor="text1"/>
                <w:szCs w:val="21"/>
                <w:highlight w:val="none"/>
                <w:lang w:eastAsia="zh-CN"/>
                <w14:textFill>
                  <w14:solidFill>
                    <w14:schemeClr w14:val="tx1"/>
                  </w14:solidFill>
                </w14:textFill>
              </w:rPr>
              <w:t>竞标文件</w:t>
            </w:r>
            <w:r>
              <w:rPr>
                <w:rFonts w:hint="eastAsia" w:ascii="宋体" w:hAnsi="宋体" w:eastAsia="宋体" w:cs="宋体"/>
                <w:color w:val="000000" w:themeColor="text1"/>
                <w:szCs w:val="21"/>
                <w:highlight w:val="none"/>
                <w14:textFill>
                  <w14:solidFill>
                    <w14:schemeClr w14:val="tx1"/>
                  </w14:solidFill>
                </w14:textFill>
              </w:rPr>
              <w:t>装订成册。</w:t>
            </w:r>
          </w:p>
          <w:p w14:paraId="72DE2C4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竞标文件</w:t>
            </w:r>
            <w:r>
              <w:rPr>
                <w:rFonts w:hint="eastAsia" w:ascii="宋体" w:hAnsi="宋体" w:eastAsia="宋体" w:cs="宋体"/>
                <w:color w:val="000000" w:themeColor="text1"/>
                <w:szCs w:val="21"/>
                <w:highlight w:val="none"/>
                <w14:textFill>
                  <w14:solidFill>
                    <w14:schemeClr w14:val="tx1"/>
                  </w14:solidFill>
                </w14:textFill>
              </w:rPr>
              <w:t>的装订要求：</w:t>
            </w:r>
          </w:p>
          <w:p w14:paraId="0861512E">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应按照第八章规定格式装订成册，并应编制目录。</w:t>
            </w:r>
          </w:p>
          <w:p w14:paraId="119433AB">
            <w:pPr>
              <w:pStyle w:val="17"/>
              <w:keepNext w:val="0"/>
              <w:keepLines w:val="0"/>
              <w:pageBreakBefore w:val="0"/>
              <w:kinsoku/>
              <w:wordWrap/>
              <w:overflowPunct/>
              <w:topLinePunct w:val="0"/>
              <w:bidi w:val="0"/>
              <w:spacing w:after="0" w:line="240" w:lineRule="auto"/>
              <w:ind w:firstLine="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竞标文件必须装订成册。所有竞标文件不论任何方式进行装订，必须竞标文件装订牢固，否则，比选人对由于竞标文件装订松散而造成的丢失或其他后果不承担任何责任。</w:t>
            </w:r>
          </w:p>
        </w:tc>
      </w:tr>
      <w:tr w14:paraId="1A9283E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4C286E9">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4.1.1</w:t>
            </w:r>
          </w:p>
        </w:tc>
        <w:tc>
          <w:tcPr>
            <w:tcW w:w="2437" w:type="dxa"/>
            <w:tcBorders>
              <w:top w:val="single" w:color="auto" w:sz="4" w:space="0"/>
              <w:left w:val="single" w:color="auto" w:sz="4" w:space="0"/>
              <w:bottom w:val="single" w:color="auto" w:sz="4" w:space="0"/>
              <w:right w:val="single" w:color="auto" w:sz="4" w:space="0"/>
            </w:tcBorders>
            <w:vAlign w:val="center"/>
          </w:tcPr>
          <w:p w14:paraId="7815CEF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竞标文件的密封</w:t>
            </w:r>
          </w:p>
        </w:tc>
        <w:tc>
          <w:tcPr>
            <w:tcW w:w="6662" w:type="dxa"/>
            <w:tcBorders>
              <w:top w:val="single" w:color="auto" w:sz="4" w:space="0"/>
              <w:left w:val="single" w:color="auto" w:sz="4" w:space="0"/>
              <w:bottom w:val="single" w:color="auto" w:sz="4" w:space="0"/>
              <w:right w:val="single" w:color="auto" w:sz="4" w:space="0"/>
            </w:tcBorders>
            <w:vAlign w:val="center"/>
          </w:tcPr>
          <w:p w14:paraId="2E8ECFF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装入</w:t>
            </w:r>
            <w:r>
              <w:rPr>
                <w:rFonts w:hint="eastAsia" w:ascii="宋体" w:hAnsi="宋体" w:eastAsia="宋体" w:cs="宋体"/>
                <w:color w:val="000000" w:themeColor="text1"/>
                <w:kern w:val="0"/>
                <w:szCs w:val="21"/>
                <w:highlight w:val="none"/>
                <w:lang w:val="en-US" w:eastAsia="zh-CN"/>
                <w14:textFill>
                  <w14:solidFill>
                    <w14:schemeClr w14:val="tx1"/>
                  </w14:solidFill>
                </w14:textFill>
              </w:rPr>
              <w:t>自备</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”袋中，密封并在袋上密封处加盖竞标人单位公章，同时“竞标文件”袋应按本表第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r>
              <w:rPr>
                <w:rFonts w:hint="eastAsia" w:ascii="宋体" w:hAnsi="宋体" w:eastAsia="宋体" w:cs="宋体"/>
                <w:color w:val="000000" w:themeColor="text1"/>
                <w:kern w:val="0"/>
                <w:szCs w:val="21"/>
                <w:highlight w:val="none"/>
                <w14:textFill>
                  <w14:solidFill>
                    <w14:schemeClr w14:val="tx1"/>
                  </w14:solidFill>
                </w14:textFill>
              </w:rPr>
              <w:t>项的规定写明相应内容。</w:t>
            </w:r>
          </w:p>
          <w:p w14:paraId="2966582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.如果竞标文件没有按上述规定密封，该竞标文件将在竞标会现场当众予以退回。</w:t>
            </w:r>
          </w:p>
          <w:p w14:paraId="35888F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注：“竞标文件”袋无法全部装下</w:t>
            </w:r>
            <w:r>
              <w:rPr>
                <w:rFonts w:hint="eastAsia" w:ascii="宋体" w:hAnsi="宋体" w:eastAsia="宋体" w:cs="宋体"/>
                <w:color w:val="000000" w:themeColor="text1"/>
                <w:kern w:val="0"/>
                <w:highlight w:val="none"/>
                <w14:textFill>
                  <w14:solidFill>
                    <w14:schemeClr w14:val="tx1"/>
                  </w14:solidFill>
                </w14:textFill>
              </w:rPr>
              <w:t>竞标文件</w:t>
            </w:r>
            <w:r>
              <w:rPr>
                <w:rFonts w:hint="eastAsia" w:ascii="宋体" w:hAnsi="宋体" w:eastAsia="宋体" w:cs="宋体"/>
                <w:color w:val="000000" w:themeColor="text1"/>
                <w:szCs w:val="21"/>
                <w:highlight w:val="none"/>
                <w14:textFill>
                  <w14:solidFill>
                    <w14:schemeClr w14:val="tx1"/>
                  </w14:solidFill>
                </w14:textFill>
              </w:rPr>
              <w:t>，可以增加相同的“竞标文件”袋。</w:t>
            </w:r>
          </w:p>
        </w:tc>
      </w:tr>
      <w:tr w14:paraId="0A8402E5">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14:paraId="168655B0">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p>
        </w:tc>
        <w:tc>
          <w:tcPr>
            <w:tcW w:w="2437" w:type="dxa"/>
            <w:tcBorders>
              <w:top w:val="single" w:color="auto" w:sz="4" w:space="0"/>
              <w:left w:val="single" w:color="auto" w:sz="4" w:space="0"/>
              <w:bottom w:val="single" w:color="auto" w:sz="4" w:space="0"/>
              <w:right w:val="single" w:color="auto" w:sz="4" w:space="0"/>
            </w:tcBorders>
            <w:vAlign w:val="center"/>
          </w:tcPr>
          <w:p w14:paraId="6AC9DB2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封套上写明</w:t>
            </w:r>
          </w:p>
        </w:tc>
        <w:tc>
          <w:tcPr>
            <w:tcW w:w="6662" w:type="dxa"/>
            <w:tcBorders>
              <w:top w:val="single" w:color="auto" w:sz="4" w:space="0"/>
              <w:left w:val="single" w:color="auto" w:sz="4" w:space="0"/>
              <w:bottom w:val="single" w:color="auto" w:sz="4" w:space="0"/>
              <w:right w:val="single" w:color="auto" w:sz="4" w:space="0"/>
            </w:tcBorders>
            <w:vAlign w:val="center"/>
          </w:tcPr>
          <w:p w14:paraId="516EB9C8">
            <w:pPr>
              <w:pStyle w:val="39"/>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自备</w:t>
            </w:r>
            <w:r>
              <w:rPr>
                <w:rFonts w:hint="eastAsia" w:ascii="宋体" w:hAnsi="宋体" w:eastAsia="宋体" w:cs="宋体"/>
                <w:color w:val="000000" w:themeColor="text1"/>
                <w:sz w:val="21"/>
                <w:szCs w:val="21"/>
                <w:highlight w:val="none"/>
                <w14:textFill>
                  <w14:solidFill>
                    <w14:schemeClr w14:val="tx1"/>
                  </w14:solidFill>
                </w14:textFill>
              </w:rPr>
              <w:t>“竞标文件” 袋封套上写明如下内容：</w:t>
            </w:r>
          </w:p>
          <w:p w14:paraId="26F059F7">
            <w:pPr>
              <w:keepNext w:val="0"/>
              <w:keepLines w:val="0"/>
              <w:pageBreakBefore w:val="0"/>
              <w:widowControl/>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比选人名称：</w:t>
            </w:r>
            <w:r>
              <w:rPr>
                <w:rFonts w:hint="eastAsia" w:ascii="宋体" w:hAnsi="宋体" w:eastAsia="宋体" w:cs="宋体"/>
                <w:color w:val="000000" w:themeColor="text1"/>
                <w:szCs w:val="21"/>
                <w:highlight w:val="none"/>
                <w:u w:val="single"/>
                <w:lang w:val="zh-CN" w:eastAsia="zh-CN"/>
                <w14:textFill>
                  <w14:solidFill>
                    <w14:schemeClr w14:val="tx1"/>
                  </w14:solidFill>
                </w14:textFill>
              </w:rPr>
              <w:t xml:space="preserve">重庆高新区曾家镇爱家物业服务中心 </w:t>
            </w:r>
            <w:r>
              <w:rPr>
                <w:rFonts w:hint="eastAsia" w:ascii="宋体" w:hAnsi="宋体" w:eastAsia="宋体" w:cs="宋体"/>
                <w:color w:val="000000" w:themeColor="text1"/>
                <w:szCs w:val="21"/>
                <w:highlight w:val="none"/>
                <w14:textFill>
                  <w14:solidFill>
                    <w14:schemeClr w14:val="tx1"/>
                  </w14:solidFill>
                </w14:textFill>
              </w:rPr>
              <w:t xml:space="preserve"> </w:t>
            </w:r>
          </w:p>
          <w:p w14:paraId="29FB6352">
            <w:pPr>
              <w:pStyle w:val="39"/>
              <w:keepNext w:val="0"/>
              <w:keepLines w:val="0"/>
              <w:pageBreakBefore w:val="0"/>
              <w:kinsoku/>
              <w:wordWrap/>
              <w:overflowPunct/>
              <w:topLinePunct w:val="0"/>
              <w:bidi w:val="0"/>
              <w:spacing w:line="240" w:lineRule="auto"/>
              <w:ind w:firstLine="1260" w:firstLineChars="60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（项目名称）</w:t>
            </w:r>
          </w:p>
          <w:p w14:paraId="6778041B">
            <w:pPr>
              <w:pStyle w:val="39"/>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竞标人</w:t>
            </w:r>
            <w:r>
              <w:rPr>
                <w:rFonts w:hint="eastAsia" w:ascii="宋体" w:hAnsi="宋体" w:eastAsia="宋体" w:cs="宋体"/>
                <w:color w:val="000000" w:themeColor="text1"/>
                <w:sz w:val="21"/>
                <w:szCs w:val="21"/>
                <w:highlight w:val="none"/>
                <w:lang w:val="zh-CN"/>
                <w14:textFill>
                  <w14:solidFill>
                    <w14:schemeClr w14:val="tx1"/>
                  </w14:solidFill>
                </w14:textFill>
              </w:rPr>
              <w:t>名称：</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（加盖单位公章） </w:t>
            </w:r>
          </w:p>
          <w:p w14:paraId="1E0B832A">
            <w:pPr>
              <w:pStyle w:val="39"/>
              <w:keepNext w:val="0"/>
              <w:keepLines w:val="0"/>
              <w:pageBreakBefore w:val="0"/>
              <w:kinsoku/>
              <w:wordWrap/>
              <w:overflowPunct/>
              <w:topLinePunct w:val="0"/>
              <w:bidi w:val="0"/>
              <w:spacing w:line="240" w:lineRule="auto"/>
              <w:ind w:firstLine="1687" w:firstLineChars="7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竞标</w:t>
            </w:r>
            <w:r>
              <w:rPr>
                <w:rFonts w:hint="eastAsia" w:ascii="宋体" w:hAnsi="宋体" w:eastAsia="宋体" w:cs="宋体"/>
                <w:b/>
                <w:bCs/>
                <w:color w:val="000000" w:themeColor="text1"/>
                <w:highlight w:val="none"/>
                <w:lang w:val="zh-CN"/>
                <w14:textFill>
                  <w14:solidFill>
                    <w14:schemeClr w14:val="tx1"/>
                  </w14:solidFill>
                </w14:textFill>
              </w:rPr>
              <w:t>文件”</w:t>
            </w:r>
          </w:p>
          <w:p w14:paraId="0F8E359C">
            <w:pPr>
              <w:pStyle w:val="39"/>
              <w:keepNext w:val="0"/>
              <w:keepLines w:val="0"/>
              <w:pageBreakBefore w:val="0"/>
              <w:kinsoku/>
              <w:wordWrap/>
              <w:overflowPunct/>
              <w:topLinePunct w:val="0"/>
              <w:bidi w:val="0"/>
              <w:spacing w:line="240" w:lineRule="auto"/>
              <w:ind w:firstLine="843" w:firstLineChars="3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在</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年  月   日  </w:t>
            </w:r>
            <w:r>
              <w:rPr>
                <w:rFonts w:hint="eastAsia" w:ascii="宋体" w:hAnsi="宋体" w:eastAsia="宋体" w:cs="宋体"/>
                <w:b/>
                <w:bCs/>
                <w:color w:val="000000" w:themeColor="text1"/>
                <w:szCs w:val="21"/>
                <w:highlight w:val="none"/>
                <w:u w:val="none"/>
                <w14:textFill>
                  <w14:solidFill>
                    <w14:schemeClr w14:val="tx1"/>
                  </w14:solidFill>
                </w14:textFill>
              </w:rPr>
              <w:t>时</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none"/>
                <w14:textFill>
                  <w14:solidFill>
                    <w14:schemeClr w14:val="tx1"/>
                  </w14:solidFill>
                </w14:textFill>
              </w:rPr>
              <w:t>分</w:t>
            </w:r>
            <w:r>
              <w:rPr>
                <w:rFonts w:hint="eastAsia" w:ascii="宋体" w:hAnsi="宋体" w:eastAsia="宋体" w:cs="宋体"/>
                <w:b/>
                <w:bCs/>
                <w:color w:val="000000" w:themeColor="text1"/>
                <w:szCs w:val="21"/>
                <w:highlight w:val="none"/>
                <w14:textFill>
                  <w14:solidFill>
                    <w14:schemeClr w14:val="tx1"/>
                  </w14:solidFill>
                </w14:textFill>
              </w:rPr>
              <w:t>前不得开启</w:t>
            </w:r>
          </w:p>
        </w:tc>
      </w:tr>
      <w:tr w14:paraId="714185D4">
        <w:tblPrEx>
          <w:tblCellMar>
            <w:top w:w="0" w:type="dxa"/>
            <w:left w:w="108" w:type="dxa"/>
            <w:bottom w:w="0" w:type="dxa"/>
            <w:right w:w="108" w:type="dxa"/>
          </w:tblCellMar>
        </w:tblPrEx>
        <w:trPr>
          <w:trHeight w:val="412" w:hRule="atLeast"/>
        </w:trPr>
        <w:tc>
          <w:tcPr>
            <w:tcW w:w="1080" w:type="dxa"/>
            <w:tcBorders>
              <w:top w:val="single" w:color="auto" w:sz="4" w:space="0"/>
              <w:left w:val="single" w:color="auto" w:sz="4" w:space="0"/>
              <w:bottom w:val="single" w:color="auto" w:sz="4" w:space="0"/>
              <w:right w:val="single" w:color="auto" w:sz="4" w:space="0"/>
            </w:tcBorders>
            <w:vAlign w:val="center"/>
          </w:tcPr>
          <w:p w14:paraId="0D9B9E91">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4.2.2</w:t>
            </w:r>
          </w:p>
        </w:tc>
        <w:tc>
          <w:tcPr>
            <w:tcW w:w="2437" w:type="dxa"/>
            <w:tcBorders>
              <w:top w:val="single" w:color="auto" w:sz="4" w:space="0"/>
              <w:left w:val="single" w:color="auto" w:sz="4" w:space="0"/>
              <w:bottom w:val="single" w:color="auto" w:sz="4" w:space="0"/>
              <w:right w:val="single" w:color="auto" w:sz="4" w:space="0"/>
            </w:tcBorders>
            <w:vAlign w:val="center"/>
          </w:tcPr>
          <w:p w14:paraId="3DAD92E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递交竞标文件地点</w:t>
            </w:r>
          </w:p>
        </w:tc>
        <w:tc>
          <w:tcPr>
            <w:tcW w:w="6662" w:type="dxa"/>
            <w:tcBorders>
              <w:top w:val="single" w:color="auto" w:sz="4" w:space="0"/>
              <w:left w:val="single" w:color="auto" w:sz="4" w:space="0"/>
              <w:bottom w:val="single" w:color="auto" w:sz="4" w:space="0"/>
              <w:right w:val="single" w:color="auto" w:sz="4" w:space="0"/>
            </w:tcBorders>
            <w:vAlign w:val="center"/>
          </w:tcPr>
          <w:p w14:paraId="6D14045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重庆市渝北区龙溪街道红锦大道61号重庆教育考试院家属楼8-3</w:t>
            </w:r>
          </w:p>
        </w:tc>
      </w:tr>
      <w:tr w14:paraId="53C96584">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14:paraId="16C13772">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w:t>
            </w:r>
          </w:p>
        </w:tc>
        <w:tc>
          <w:tcPr>
            <w:tcW w:w="2437" w:type="dxa"/>
            <w:tcBorders>
              <w:top w:val="single" w:color="auto" w:sz="4" w:space="0"/>
              <w:left w:val="single" w:color="auto" w:sz="4" w:space="0"/>
              <w:bottom w:val="single" w:color="auto" w:sz="4" w:space="0"/>
              <w:right w:val="single" w:color="auto" w:sz="4" w:space="0"/>
            </w:tcBorders>
            <w:vAlign w:val="center"/>
          </w:tcPr>
          <w:p w14:paraId="4E9C2F8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是否退还竞标文件</w:t>
            </w:r>
          </w:p>
        </w:tc>
        <w:tc>
          <w:tcPr>
            <w:tcW w:w="6662" w:type="dxa"/>
            <w:tcBorders>
              <w:top w:val="single" w:color="auto" w:sz="4" w:space="0"/>
              <w:left w:val="single" w:color="auto" w:sz="4" w:space="0"/>
              <w:bottom w:val="single" w:color="auto" w:sz="4" w:space="0"/>
              <w:right w:val="single" w:color="auto" w:sz="4" w:space="0"/>
            </w:tcBorders>
            <w:vAlign w:val="center"/>
          </w:tcPr>
          <w:p w14:paraId="1BC9F4F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w:t>
            </w:r>
          </w:p>
        </w:tc>
      </w:tr>
      <w:tr w14:paraId="31D521A9">
        <w:tblPrEx>
          <w:tblCellMar>
            <w:top w:w="0" w:type="dxa"/>
            <w:left w:w="108" w:type="dxa"/>
            <w:bottom w:w="0" w:type="dxa"/>
            <w:right w:w="108" w:type="dxa"/>
          </w:tblCellMar>
        </w:tblPrEx>
        <w:trPr>
          <w:trHeight w:val="616" w:hRule="atLeast"/>
        </w:trPr>
        <w:tc>
          <w:tcPr>
            <w:tcW w:w="1080" w:type="dxa"/>
            <w:tcBorders>
              <w:top w:val="single" w:color="auto" w:sz="4" w:space="0"/>
              <w:left w:val="single" w:color="auto" w:sz="4" w:space="0"/>
              <w:bottom w:val="single" w:color="auto" w:sz="4" w:space="0"/>
              <w:right w:val="single" w:color="auto" w:sz="4" w:space="0"/>
            </w:tcBorders>
            <w:vAlign w:val="center"/>
          </w:tcPr>
          <w:p w14:paraId="51541CE4">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5.1</w:t>
            </w:r>
          </w:p>
        </w:tc>
        <w:tc>
          <w:tcPr>
            <w:tcW w:w="2437" w:type="dxa"/>
            <w:tcBorders>
              <w:top w:val="single" w:color="auto" w:sz="4" w:space="0"/>
              <w:left w:val="single" w:color="auto" w:sz="4" w:space="0"/>
              <w:bottom w:val="single" w:color="auto" w:sz="4" w:space="0"/>
              <w:right w:val="single" w:color="auto" w:sz="4" w:space="0"/>
            </w:tcBorders>
            <w:vAlign w:val="center"/>
          </w:tcPr>
          <w:p w14:paraId="3B8D86D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6662" w:type="dxa"/>
            <w:tcBorders>
              <w:top w:val="single" w:color="auto" w:sz="4" w:space="0"/>
              <w:left w:val="single" w:color="auto" w:sz="4" w:space="0"/>
              <w:bottom w:val="single" w:color="auto" w:sz="4" w:space="0"/>
              <w:right w:val="single" w:color="auto" w:sz="4" w:space="0"/>
            </w:tcBorders>
            <w:vAlign w:val="center"/>
          </w:tcPr>
          <w:p w14:paraId="370CA79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开标时间：同比选截止时间</w:t>
            </w:r>
          </w:p>
          <w:p w14:paraId="4B3F744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000000" w:themeColor="text1"/>
                <w:kern w:val="0"/>
                <w:szCs w:val="21"/>
                <w:highlight w:val="none"/>
                <w:lang w:eastAsia="zh-CN"/>
                <w14:textFill>
                  <w14:solidFill>
                    <w14:schemeClr w14:val="tx1"/>
                  </w14:solidFill>
                </w14:textFill>
              </w:rPr>
              <w:t>重庆市渝北区龙溪街道红锦大道61号重庆教育考试院家属楼8-3</w:t>
            </w:r>
          </w:p>
        </w:tc>
      </w:tr>
      <w:tr w14:paraId="6957D7B1">
        <w:tblPrEx>
          <w:tblCellMar>
            <w:top w:w="0" w:type="dxa"/>
            <w:left w:w="108" w:type="dxa"/>
            <w:bottom w:w="0" w:type="dxa"/>
            <w:right w:w="108" w:type="dxa"/>
          </w:tblCellMar>
        </w:tblPrEx>
        <w:trPr>
          <w:trHeight w:val="475" w:hRule="atLeast"/>
        </w:trPr>
        <w:tc>
          <w:tcPr>
            <w:tcW w:w="1080" w:type="dxa"/>
            <w:tcBorders>
              <w:top w:val="single" w:color="auto" w:sz="4" w:space="0"/>
              <w:left w:val="single" w:color="auto" w:sz="4" w:space="0"/>
              <w:bottom w:val="single" w:color="auto" w:sz="4" w:space="0"/>
              <w:right w:val="single" w:color="auto" w:sz="4" w:space="0"/>
            </w:tcBorders>
            <w:vAlign w:val="center"/>
          </w:tcPr>
          <w:p w14:paraId="241D536A">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5.2</w:t>
            </w:r>
          </w:p>
        </w:tc>
        <w:tc>
          <w:tcPr>
            <w:tcW w:w="2437" w:type="dxa"/>
            <w:tcBorders>
              <w:top w:val="single" w:color="auto" w:sz="4" w:space="0"/>
              <w:left w:val="single" w:color="auto" w:sz="4" w:space="0"/>
              <w:bottom w:val="single" w:color="auto" w:sz="4" w:space="0"/>
              <w:right w:val="single" w:color="auto" w:sz="4" w:space="0"/>
            </w:tcBorders>
            <w:vAlign w:val="center"/>
          </w:tcPr>
          <w:p w14:paraId="6B29815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szCs w:val="21"/>
                <w:highlight w:val="none"/>
                <w14:textFill>
                  <w14:solidFill>
                    <w14:schemeClr w14:val="tx1"/>
                  </w14:solidFill>
                </w14:textFill>
              </w:rPr>
              <w:t>程序</w:t>
            </w:r>
          </w:p>
        </w:tc>
        <w:tc>
          <w:tcPr>
            <w:tcW w:w="6662" w:type="dxa"/>
            <w:tcBorders>
              <w:top w:val="single" w:color="auto" w:sz="4" w:space="0"/>
              <w:left w:val="single" w:color="auto" w:sz="4" w:space="0"/>
              <w:bottom w:val="single" w:color="auto" w:sz="4" w:space="0"/>
              <w:right w:val="single" w:color="auto" w:sz="4" w:space="0"/>
            </w:tcBorders>
            <w:vAlign w:val="center"/>
          </w:tcPr>
          <w:p w14:paraId="2BCE9F0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主持人按下列程序进行开标：</w:t>
            </w:r>
          </w:p>
          <w:p w14:paraId="6C22B83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(1）宣布</w:t>
            </w: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纪律；</w:t>
            </w:r>
          </w:p>
          <w:p w14:paraId="3A39B6A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(2）宣布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人、唱标人、记录人、监标人等有关人员姓名；</w:t>
            </w:r>
          </w:p>
          <w:p w14:paraId="69FE0DF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(3）公布在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截止时间前递交竞标文件的竞标人名称，并点名确认竞标人是否派人到场；</w:t>
            </w:r>
          </w:p>
          <w:p w14:paraId="7983896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(4）核验参加</w:t>
            </w: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会议的竞标人的身份</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及竞标保证金缴纳情况</w:t>
            </w:r>
            <w:r>
              <w:rPr>
                <w:rFonts w:hint="eastAsia" w:ascii="宋体" w:hAnsi="宋体" w:eastAsia="宋体" w:cs="宋体"/>
                <w:color w:val="000000" w:themeColor="text1"/>
                <w:kern w:val="0"/>
                <w:szCs w:val="21"/>
                <w:highlight w:val="none"/>
                <w14:textFill>
                  <w14:solidFill>
                    <w14:schemeClr w14:val="tx1"/>
                  </w14:solidFill>
                </w14:textFill>
              </w:rPr>
              <w:t>。</w:t>
            </w:r>
          </w:p>
          <w:p w14:paraId="2137938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(5）密封情况检查：竞标人或者其推选的代表检查竞标文件的密封情况并确认。</w:t>
            </w:r>
          </w:p>
          <w:p w14:paraId="4D62BCA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(6）公布最高限价；</w:t>
            </w:r>
          </w:p>
          <w:p w14:paraId="40A7D3DE">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(7）开启竞标文件顺序：随机开启；</w:t>
            </w:r>
          </w:p>
          <w:p w14:paraId="2E47A3CF">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(8）开启竞标文件大袋、公布竞标人名称、竞标报价、质量目标、工期及其他内容，并记录在案；</w:t>
            </w:r>
          </w:p>
          <w:p w14:paraId="357AD49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（9）竞标人代表、比选人代表、监标人、记录人等有关人员在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记录上签字确认；</w:t>
            </w:r>
          </w:p>
          <w:p w14:paraId="0E8DA88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结束。</w:t>
            </w:r>
          </w:p>
        </w:tc>
      </w:tr>
      <w:tr w14:paraId="34E0422A">
        <w:tblPrEx>
          <w:tblCellMar>
            <w:top w:w="0" w:type="dxa"/>
            <w:left w:w="108" w:type="dxa"/>
            <w:bottom w:w="0" w:type="dxa"/>
            <w:right w:w="108" w:type="dxa"/>
          </w:tblCellMar>
        </w:tblPrEx>
        <w:trPr>
          <w:trHeight w:val="851" w:hRule="atLeast"/>
        </w:trPr>
        <w:tc>
          <w:tcPr>
            <w:tcW w:w="1080" w:type="dxa"/>
            <w:tcBorders>
              <w:top w:val="single" w:color="auto" w:sz="4" w:space="0"/>
              <w:left w:val="single" w:color="auto" w:sz="4" w:space="0"/>
              <w:bottom w:val="single" w:color="auto" w:sz="4" w:space="0"/>
              <w:right w:val="single" w:color="auto" w:sz="4" w:space="0"/>
            </w:tcBorders>
            <w:vAlign w:val="center"/>
          </w:tcPr>
          <w:p w14:paraId="1596454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2437" w:type="dxa"/>
            <w:tcBorders>
              <w:top w:val="single" w:color="auto" w:sz="4" w:space="0"/>
              <w:left w:val="single" w:color="auto" w:sz="4" w:space="0"/>
              <w:bottom w:val="single" w:color="auto" w:sz="4" w:space="0"/>
              <w:right w:val="single" w:color="auto" w:sz="4" w:space="0"/>
            </w:tcBorders>
            <w:vAlign w:val="center"/>
          </w:tcPr>
          <w:p w14:paraId="42DF75A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评审委员会的组建</w:t>
            </w:r>
          </w:p>
        </w:tc>
        <w:tc>
          <w:tcPr>
            <w:tcW w:w="6662" w:type="dxa"/>
            <w:tcBorders>
              <w:top w:val="single" w:color="auto" w:sz="4" w:space="0"/>
              <w:left w:val="single" w:color="auto" w:sz="4" w:space="0"/>
              <w:bottom w:val="single" w:color="auto" w:sz="4" w:space="0"/>
              <w:right w:val="single" w:color="auto" w:sz="4" w:space="0"/>
            </w:tcBorders>
            <w:vAlign w:val="center"/>
          </w:tcPr>
          <w:p w14:paraId="2868679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14:textFill>
                  <w14:solidFill>
                    <w14:schemeClr w14:val="tx1"/>
                  </w14:solidFill>
                </w14:textFill>
              </w:rPr>
              <w:t>构成：3人</w:t>
            </w:r>
          </w:p>
          <w:p w14:paraId="10EDC12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lang w:val="en-US" w:eastAsia="zh-CN"/>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确定方式：由比选人依法组建。</w:t>
            </w:r>
          </w:p>
        </w:tc>
      </w:tr>
      <w:tr w14:paraId="0E541141">
        <w:tblPrEx>
          <w:tblCellMar>
            <w:top w:w="0" w:type="dxa"/>
            <w:left w:w="108" w:type="dxa"/>
            <w:bottom w:w="0" w:type="dxa"/>
            <w:right w:w="108" w:type="dxa"/>
          </w:tblCellMar>
        </w:tblPrEx>
        <w:trPr>
          <w:trHeight w:val="786" w:hRule="atLeast"/>
        </w:trPr>
        <w:tc>
          <w:tcPr>
            <w:tcW w:w="1080" w:type="dxa"/>
            <w:tcBorders>
              <w:top w:val="single" w:color="auto" w:sz="4" w:space="0"/>
              <w:left w:val="single" w:color="auto" w:sz="4" w:space="0"/>
              <w:right w:val="single" w:color="auto" w:sz="4" w:space="0"/>
            </w:tcBorders>
            <w:vAlign w:val="center"/>
          </w:tcPr>
          <w:p w14:paraId="2038665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7.1</w:t>
            </w:r>
          </w:p>
        </w:tc>
        <w:tc>
          <w:tcPr>
            <w:tcW w:w="2437" w:type="dxa"/>
            <w:tcBorders>
              <w:top w:val="single" w:color="auto" w:sz="4" w:space="0"/>
              <w:left w:val="single" w:color="auto" w:sz="4" w:space="0"/>
              <w:bottom w:val="single" w:color="auto" w:sz="4" w:space="0"/>
              <w:right w:val="single" w:color="auto" w:sz="4" w:space="0"/>
            </w:tcBorders>
            <w:vAlign w:val="center"/>
          </w:tcPr>
          <w:p w14:paraId="2A7F518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是否授权评审委员会确定中标人</w:t>
            </w:r>
          </w:p>
        </w:tc>
        <w:tc>
          <w:tcPr>
            <w:tcW w:w="6662" w:type="dxa"/>
            <w:tcBorders>
              <w:top w:val="single" w:color="auto" w:sz="4" w:space="0"/>
              <w:left w:val="single" w:color="auto" w:sz="4" w:space="0"/>
              <w:bottom w:val="single" w:color="auto" w:sz="4" w:space="0"/>
              <w:right w:val="single" w:color="auto" w:sz="4" w:space="0"/>
            </w:tcBorders>
            <w:vAlign w:val="center"/>
          </w:tcPr>
          <w:p w14:paraId="500D48C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否，推荐经评审综合得分由高到低排名前三名为中选候选人。</w:t>
            </w:r>
          </w:p>
        </w:tc>
      </w:tr>
      <w:tr w14:paraId="33CE403C">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right w:val="single" w:color="auto" w:sz="4" w:space="0"/>
            </w:tcBorders>
            <w:vAlign w:val="center"/>
          </w:tcPr>
          <w:p w14:paraId="65DEBD0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7.3.1</w:t>
            </w:r>
          </w:p>
        </w:tc>
        <w:tc>
          <w:tcPr>
            <w:tcW w:w="2437" w:type="dxa"/>
            <w:tcBorders>
              <w:top w:val="single" w:color="auto" w:sz="4" w:space="0"/>
              <w:left w:val="single" w:color="auto" w:sz="4" w:space="0"/>
              <w:bottom w:val="single" w:color="auto" w:sz="4" w:space="0"/>
              <w:right w:val="single" w:color="auto" w:sz="4" w:space="0"/>
            </w:tcBorders>
            <w:vAlign w:val="center"/>
          </w:tcPr>
          <w:p w14:paraId="5C6BDD1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履约担保</w:t>
            </w:r>
          </w:p>
        </w:tc>
        <w:tc>
          <w:tcPr>
            <w:tcW w:w="6662" w:type="dxa"/>
            <w:tcBorders>
              <w:top w:val="single" w:color="auto" w:sz="4" w:space="0"/>
              <w:left w:val="single" w:color="auto" w:sz="4" w:space="0"/>
              <w:bottom w:val="single" w:color="auto" w:sz="4" w:space="0"/>
              <w:right w:val="single" w:color="auto" w:sz="4" w:space="0"/>
            </w:tcBorders>
            <w:vAlign w:val="center"/>
          </w:tcPr>
          <w:p w14:paraId="36032F7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中标人</w:t>
            </w:r>
            <w:r>
              <w:rPr>
                <w:rFonts w:hint="eastAsia" w:ascii="宋体" w:hAnsi="宋体" w:eastAsia="宋体" w:cs="宋体"/>
                <w:color w:val="000000" w:themeColor="text1"/>
                <w:kern w:val="0"/>
                <w:highlight w:val="none"/>
                <w:lang w:val="en-US" w:eastAsia="zh-CN"/>
                <w14:textFill>
                  <w14:solidFill>
                    <w14:schemeClr w14:val="tx1"/>
                  </w14:solidFill>
                </w14:textFill>
              </w:rPr>
              <w:t>与比选人</w:t>
            </w:r>
            <w:r>
              <w:rPr>
                <w:rFonts w:hint="eastAsia" w:ascii="宋体" w:hAnsi="宋体" w:eastAsia="宋体" w:cs="宋体"/>
                <w:color w:val="000000" w:themeColor="text1"/>
                <w:kern w:val="0"/>
                <w:highlight w:val="none"/>
                <w14:textFill>
                  <w14:solidFill>
                    <w14:schemeClr w14:val="tx1"/>
                  </w14:solidFill>
                </w14:textFill>
              </w:rPr>
              <w:t>签订合同</w:t>
            </w:r>
            <w:r>
              <w:rPr>
                <w:rFonts w:hint="eastAsia" w:ascii="宋体" w:hAnsi="宋体" w:eastAsia="宋体" w:cs="宋体"/>
                <w:color w:val="000000" w:themeColor="text1"/>
                <w:kern w:val="0"/>
                <w:highlight w:val="none"/>
                <w:lang w:val="en-US" w:eastAsia="zh-CN"/>
                <w14:textFill>
                  <w14:solidFill>
                    <w14:schemeClr w14:val="tx1"/>
                  </w14:solidFill>
                </w14:textFill>
              </w:rPr>
              <w:t>时约定</w:t>
            </w:r>
            <w:r>
              <w:rPr>
                <w:rFonts w:hint="eastAsia" w:ascii="宋体" w:hAnsi="宋体" w:eastAsia="宋体" w:cs="宋体"/>
                <w:color w:val="000000" w:themeColor="text1"/>
                <w:kern w:val="0"/>
                <w:highlight w:val="none"/>
                <w14:textFill>
                  <w14:solidFill>
                    <w14:schemeClr w14:val="tx1"/>
                  </w14:solidFill>
                </w14:textFill>
              </w:rPr>
              <w:t>。</w:t>
            </w:r>
          </w:p>
        </w:tc>
      </w:tr>
      <w:tr w14:paraId="03D2AE59">
        <w:tblPrEx>
          <w:tblCellMar>
            <w:top w:w="0" w:type="dxa"/>
            <w:left w:w="108" w:type="dxa"/>
            <w:bottom w:w="0" w:type="dxa"/>
            <w:right w:w="108" w:type="dxa"/>
          </w:tblCellMar>
        </w:tblPrEx>
        <w:trPr>
          <w:trHeight w:val="623" w:hRule="exact"/>
        </w:trPr>
        <w:tc>
          <w:tcPr>
            <w:tcW w:w="1080" w:type="dxa"/>
            <w:tcBorders>
              <w:top w:val="single" w:color="auto" w:sz="4" w:space="0"/>
              <w:left w:val="single" w:color="auto" w:sz="4" w:space="0"/>
              <w:bottom w:val="single" w:color="auto" w:sz="4" w:space="0"/>
              <w:right w:val="single" w:color="auto" w:sz="4" w:space="0"/>
            </w:tcBorders>
            <w:vAlign w:val="center"/>
          </w:tcPr>
          <w:p w14:paraId="2F311F3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8.1</w:t>
            </w:r>
          </w:p>
        </w:tc>
        <w:tc>
          <w:tcPr>
            <w:tcW w:w="2437" w:type="dxa"/>
            <w:tcBorders>
              <w:top w:val="single" w:color="auto" w:sz="4" w:space="0"/>
              <w:left w:val="single" w:color="auto" w:sz="4" w:space="0"/>
              <w:bottom w:val="single" w:color="auto" w:sz="4" w:space="0"/>
              <w:right w:val="single" w:color="auto" w:sz="4" w:space="0"/>
            </w:tcBorders>
            <w:vAlign w:val="center"/>
          </w:tcPr>
          <w:p w14:paraId="6B7E1DD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重新</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lang w:eastAsia="zh-CN"/>
                <w14:textFill>
                  <w14:solidFill>
                    <w14:schemeClr w14:val="tx1"/>
                  </w14:solidFill>
                </w14:textFill>
              </w:rPr>
              <w:t>的情形</w:t>
            </w:r>
          </w:p>
        </w:tc>
        <w:tc>
          <w:tcPr>
            <w:tcW w:w="6662" w:type="dxa"/>
            <w:tcBorders>
              <w:top w:val="single" w:color="auto" w:sz="4" w:space="0"/>
              <w:left w:val="single" w:color="auto" w:sz="4" w:space="0"/>
              <w:bottom w:val="single" w:color="auto" w:sz="4" w:space="0"/>
              <w:right w:val="single" w:color="auto" w:sz="4" w:space="0"/>
            </w:tcBorders>
            <w:vAlign w:val="center"/>
          </w:tcPr>
          <w:p w14:paraId="67FC974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按竞标人须知第8.1（1）执行；</w:t>
            </w:r>
          </w:p>
        </w:tc>
      </w:tr>
      <w:tr w14:paraId="76B7DB63">
        <w:tblPrEx>
          <w:tblCellMar>
            <w:top w:w="0" w:type="dxa"/>
            <w:left w:w="108" w:type="dxa"/>
            <w:bottom w:w="0" w:type="dxa"/>
            <w:right w:w="108" w:type="dxa"/>
          </w:tblCellMar>
        </w:tblPrEx>
        <w:trPr>
          <w:trHeight w:val="492" w:hRule="atLeast"/>
        </w:trPr>
        <w:tc>
          <w:tcPr>
            <w:tcW w:w="1080" w:type="dxa"/>
            <w:tcBorders>
              <w:top w:val="single" w:color="auto" w:sz="4" w:space="0"/>
              <w:left w:val="single" w:color="auto" w:sz="4" w:space="0"/>
              <w:bottom w:val="single" w:color="auto" w:sz="4" w:space="0"/>
              <w:right w:val="single" w:color="auto" w:sz="4" w:space="0"/>
            </w:tcBorders>
            <w:vAlign w:val="center"/>
          </w:tcPr>
          <w:p w14:paraId="0782C4B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10</w:t>
            </w:r>
          </w:p>
        </w:tc>
        <w:tc>
          <w:tcPr>
            <w:tcW w:w="9099" w:type="dxa"/>
            <w:gridSpan w:val="2"/>
            <w:tcBorders>
              <w:top w:val="single" w:color="auto" w:sz="4" w:space="0"/>
              <w:left w:val="single" w:color="auto" w:sz="4" w:space="0"/>
              <w:bottom w:val="single" w:color="auto" w:sz="4" w:space="0"/>
              <w:right w:val="single" w:color="auto" w:sz="4" w:space="0"/>
            </w:tcBorders>
            <w:vAlign w:val="center"/>
          </w:tcPr>
          <w:p w14:paraId="299BED2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需要补充的其他内容</w:t>
            </w:r>
          </w:p>
        </w:tc>
      </w:tr>
      <w:tr w14:paraId="72A783CB">
        <w:tblPrEx>
          <w:tblCellMar>
            <w:top w:w="0" w:type="dxa"/>
            <w:left w:w="108" w:type="dxa"/>
            <w:bottom w:w="0" w:type="dxa"/>
            <w:right w:w="108" w:type="dxa"/>
          </w:tblCellMar>
        </w:tblPrEx>
        <w:trPr>
          <w:trHeight w:val="21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5236C5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2437" w:type="dxa"/>
            <w:tcBorders>
              <w:top w:val="single" w:color="auto" w:sz="4" w:space="0"/>
              <w:left w:val="single" w:color="auto" w:sz="4" w:space="0"/>
              <w:bottom w:val="single" w:color="auto" w:sz="4" w:space="0"/>
              <w:right w:val="single" w:color="auto" w:sz="4" w:space="0"/>
            </w:tcBorders>
            <w:vAlign w:val="center"/>
          </w:tcPr>
          <w:p w14:paraId="0E2ED5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参加开标会的</w:t>
            </w:r>
          </w:p>
          <w:p w14:paraId="29F2E5C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人员要求</w:t>
            </w:r>
          </w:p>
        </w:tc>
        <w:tc>
          <w:tcPr>
            <w:tcW w:w="6662" w:type="dxa"/>
            <w:tcBorders>
              <w:top w:val="single" w:color="auto" w:sz="4" w:space="0"/>
              <w:left w:val="single" w:color="auto" w:sz="4" w:space="0"/>
              <w:bottom w:val="single" w:color="auto" w:sz="4" w:space="0"/>
              <w:right w:val="single" w:color="auto" w:sz="4" w:space="0"/>
            </w:tcBorders>
            <w:vAlign w:val="center"/>
          </w:tcPr>
          <w:p w14:paraId="3163028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1.参加开标会的人员必须是：</w:t>
            </w:r>
            <w:r>
              <w:rPr>
                <w:rFonts w:hint="eastAsia" w:ascii="宋体" w:hAnsi="宋体" w:eastAsia="宋体" w:cs="宋体"/>
                <w:color w:val="000000" w:themeColor="text1"/>
                <w:szCs w:val="21"/>
                <w:highlight w:val="none"/>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的法定代表人（手持本人身份证原件、法定代表人身份证明原件）或委托代理人（手持本人身份证原件、法定代表人身份证明、授权委托书原件）；</w:t>
            </w:r>
          </w:p>
          <w:p w14:paraId="5768D04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委托代理</w:t>
            </w:r>
            <w:r>
              <w:rPr>
                <w:rFonts w:hint="eastAsia" w:ascii="宋体" w:hAnsi="宋体" w:eastAsia="宋体" w:cs="宋体"/>
                <w:color w:val="000000" w:themeColor="text1"/>
                <w:kern w:val="0"/>
                <w:szCs w:val="21"/>
                <w:highlight w:val="none"/>
                <w14:textFill>
                  <w14:solidFill>
                    <w14:schemeClr w14:val="tx1"/>
                  </w14:solidFill>
                </w14:textFill>
              </w:rPr>
              <w:t>人身份证明及授权委托书格式详见竞标文件格式；</w:t>
            </w:r>
          </w:p>
          <w:p w14:paraId="67D3CFFD">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3.不满足上述要求，</w:t>
            </w:r>
            <w:r>
              <w:rPr>
                <w:rFonts w:hint="eastAsia" w:ascii="宋体" w:hAnsi="宋体" w:eastAsia="宋体" w:cs="宋体"/>
                <w:b/>
                <w:color w:val="000000" w:themeColor="text1"/>
                <w:kern w:val="0"/>
                <w:szCs w:val="21"/>
                <w:highlight w:val="none"/>
                <w14:textFill>
                  <w14:solidFill>
                    <w14:schemeClr w14:val="tx1"/>
                  </w14:solidFill>
                </w14:textFill>
              </w:rPr>
              <w:t>则该竞标人的竞标文件将不被开启或按废标处理</w:t>
            </w:r>
            <w:r>
              <w:rPr>
                <w:rFonts w:hint="eastAsia" w:ascii="宋体" w:hAnsi="宋体" w:eastAsia="宋体" w:cs="宋体"/>
                <w:b/>
                <w:color w:val="000000" w:themeColor="text1"/>
                <w:kern w:val="0"/>
                <w:szCs w:val="21"/>
                <w:highlight w:val="none"/>
                <w:lang w:eastAsia="zh-CN"/>
                <w14:textFill>
                  <w14:solidFill>
                    <w14:schemeClr w14:val="tx1"/>
                  </w14:solidFill>
                </w14:textFill>
              </w:rPr>
              <w:t>。</w:t>
            </w:r>
          </w:p>
        </w:tc>
      </w:tr>
      <w:tr w14:paraId="5DD8AC25">
        <w:tblPrEx>
          <w:tblCellMar>
            <w:top w:w="0" w:type="dxa"/>
            <w:left w:w="108" w:type="dxa"/>
            <w:bottom w:w="0" w:type="dxa"/>
            <w:right w:w="108" w:type="dxa"/>
          </w:tblCellMar>
        </w:tblPrEx>
        <w:trPr>
          <w:trHeight w:val="580" w:hRule="atLeast"/>
        </w:trPr>
        <w:tc>
          <w:tcPr>
            <w:tcW w:w="1080" w:type="dxa"/>
            <w:tcBorders>
              <w:top w:val="single" w:color="auto" w:sz="4" w:space="0"/>
              <w:left w:val="single" w:color="auto" w:sz="4" w:space="0"/>
              <w:bottom w:val="single" w:color="auto" w:sz="4" w:space="0"/>
              <w:right w:val="single" w:color="auto" w:sz="4" w:space="0"/>
            </w:tcBorders>
            <w:vAlign w:val="center"/>
          </w:tcPr>
          <w:p w14:paraId="3C4387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2</w:t>
            </w:r>
          </w:p>
        </w:tc>
        <w:tc>
          <w:tcPr>
            <w:tcW w:w="2437" w:type="dxa"/>
            <w:tcBorders>
              <w:top w:val="single" w:color="auto" w:sz="4" w:space="0"/>
              <w:left w:val="single" w:color="auto" w:sz="4" w:space="0"/>
              <w:bottom w:val="single" w:color="auto" w:sz="4" w:space="0"/>
              <w:right w:val="single" w:color="auto" w:sz="4" w:space="0"/>
            </w:tcBorders>
            <w:vAlign w:val="center"/>
          </w:tcPr>
          <w:p w14:paraId="4E4C9129">
            <w:pPr>
              <w:keepNext w:val="0"/>
              <w:keepLines w:val="0"/>
              <w:pageBreakBefore w:val="0"/>
              <w:kinsoku/>
              <w:wordWrap/>
              <w:overflowPunct/>
              <w:topLinePunct w:val="0"/>
              <w:bidi w:val="0"/>
              <w:spacing w:line="240" w:lineRule="auto"/>
              <w:ind w:firstLine="58" w:firstLineChars="28"/>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059E182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w:t>
            </w:r>
            <w:r>
              <w:rPr>
                <w:rFonts w:hint="eastAsia" w:ascii="宋体" w:hAnsi="宋体" w:eastAsia="宋体" w:cs="宋体"/>
                <w:color w:val="000000" w:themeColor="text1"/>
                <w:szCs w:val="21"/>
                <w:highlight w:val="none"/>
                <w:lang w:val="en-US" w:eastAsia="zh-CN"/>
                <w14:textFill>
                  <w14:solidFill>
                    <w14:schemeClr w14:val="tx1"/>
                  </w14:solidFill>
                </w14:textFill>
              </w:rPr>
              <w:t>为人民币6000元（大写：陆仟元整）</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由</w:t>
            </w:r>
            <w:r>
              <w:rPr>
                <w:rFonts w:hint="eastAsia" w:ascii="宋体" w:hAnsi="宋体" w:eastAsia="宋体" w:cs="宋体"/>
                <w:color w:val="000000" w:themeColor="text1"/>
                <w:szCs w:val="21"/>
                <w:highlight w:val="none"/>
                <w:lang w:val="en-US" w:eastAsia="zh-CN"/>
                <w14:textFill>
                  <w14:solidFill>
                    <w14:schemeClr w14:val="tx1"/>
                  </w14:solidFill>
                </w14:textFill>
              </w:rPr>
              <w:t>中标人在领取中标通知书时一次性向比选代理机构现金缴纳。</w:t>
            </w:r>
          </w:p>
        </w:tc>
      </w:tr>
    </w:tbl>
    <w:p w14:paraId="44E36FD7">
      <w:pPr>
        <w:rPr>
          <w:rFonts w:hint="eastAsia" w:ascii="宋体" w:hAnsi="宋体" w:eastAsia="宋体" w:cs="宋体"/>
          <w:snapToGrid w:val="0"/>
          <w:color w:val="000000" w:themeColor="text1"/>
          <w:szCs w:val="21"/>
          <w:highlight w:val="none"/>
          <w14:textFill>
            <w14:solidFill>
              <w14:schemeClr w14:val="tx1"/>
            </w14:solidFill>
          </w14:textFill>
        </w:rPr>
      </w:pPr>
      <w:bookmarkStart w:id="61" w:name="_Toc29848"/>
      <w:bookmarkStart w:id="62" w:name="_Toc9688"/>
      <w:bookmarkStart w:id="63" w:name="_Toc29492"/>
      <w:bookmarkStart w:id="64" w:name="_Toc358902125"/>
    </w:p>
    <w:p w14:paraId="37B002C2">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5" w:name="_Toc389633556"/>
      <w:bookmarkStart w:id="66" w:name="_Toc24876"/>
      <w:r>
        <w:rPr>
          <w:rFonts w:hint="eastAsia" w:ascii="宋体" w:hAnsi="宋体" w:eastAsia="宋体" w:cs="宋体"/>
          <w:snapToGrid w:val="0"/>
          <w:color w:val="000000" w:themeColor="text1"/>
          <w:sz w:val="21"/>
          <w:szCs w:val="21"/>
          <w:highlight w:val="none"/>
          <w14:textFill>
            <w14:solidFill>
              <w14:schemeClr w14:val="tx1"/>
            </w14:solidFill>
          </w14:textFill>
        </w:rPr>
        <w:br w:type="page"/>
      </w:r>
    </w:p>
    <w:p w14:paraId="65D614E2">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1"/>
      <w:bookmarkEnd w:id="62"/>
      <w:bookmarkEnd w:id="63"/>
      <w:bookmarkEnd w:id="64"/>
      <w:bookmarkEnd w:id="65"/>
      <w:bookmarkEnd w:id="66"/>
    </w:p>
    <w:p w14:paraId="735D841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7" w:name="_Toc8211"/>
      <w:bookmarkStart w:id="68" w:name="_Toc389633557"/>
      <w:bookmarkStart w:id="69" w:name="_Toc6542"/>
      <w:bookmarkStart w:id="70" w:name="_Toc22689"/>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67"/>
      <w:bookmarkEnd w:id="68"/>
      <w:bookmarkEnd w:id="69"/>
      <w:bookmarkEnd w:id="70"/>
    </w:p>
    <w:p w14:paraId="5323E199">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根据《中华人民共和国招标投标法》等有关法律、法规和规章的规定，本比选项目已具备比选条件，现对本项目进行竞争性比选。</w:t>
      </w:r>
    </w:p>
    <w:p w14:paraId="2AB7773D">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1.1.2  本项目比选人：见竞标人须知前附表。</w:t>
      </w:r>
    </w:p>
    <w:p w14:paraId="6005B50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1.1.3  本项目比选代理机构：见竞标人须知前附表。</w:t>
      </w:r>
    </w:p>
    <w:p w14:paraId="1EE3E576">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1.1.4  本项目名称：见竞标人须知前附表。</w:t>
      </w:r>
    </w:p>
    <w:p w14:paraId="40BACE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1.1.5  本项目建设地点：见竞标人须知前附表。</w:t>
      </w:r>
    </w:p>
    <w:p w14:paraId="2E84B2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1" w:name="_Toc2728"/>
      <w:bookmarkStart w:id="72" w:name="_Toc389633558"/>
      <w:bookmarkStart w:id="73" w:name="_Toc15694"/>
      <w:bookmarkStart w:id="74" w:name="_Toc12200"/>
      <w:r>
        <w:rPr>
          <w:rFonts w:hint="eastAsia" w:ascii="宋体" w:hAnsi="宋体" w:eastAsia="宋体" w:cs="宋体"/>
          <w:snapToGrid w:val="0"/>
          <w:color w:val="000000" w:themeColor="text1"/>
          <w:sz w:val="21"/>
          <w:szCs w:val="21"/>
          <w:highlight w:val="none"/>
          <w14:textFill>
            <w14:solidFill>
              <w14:schemeClr w14:val="tx1"/>
            </w14:solidFill>
          </w14:textFill>
        </w:rPr>
        <w:t>1.2  资金来源和落实情况</w:t>
      </w:r>
      <w:bookmarkEnd w:id="71"/>
      <w:bookmarkEnd w:id="72"/>
      <w:bookmarkEnd w:id="73"/>
      <w:bookmarkEnd w:id="74"/>
    </w:p>
    <w:p w14:paraId="3D1B652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1.2.1  本比选项目的资金来源：见竞标人须知前附表。</w:t>
      </w:r>
    </w:p>
    <w:p w14:paraId="2DC6F1D4">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1.2.2  本比选项目的出资比例：见竞标人须知前附表。</w:t>
      </w:r>
    </w:p>
    <w:p w14:paraId="719C7AF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1.2.3  本比选项目的资金落实情况：见竞标人须知前附表。</w:t>
      </w:r>
    </w:p>
    <w:p w14:paraId="234D841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5" w:name="_Toc19272"/>
      <w:bookmarkStart w:id="76" w:name="_Toc9756"/>
      <w:bookmarkStart w:id="77" w:name="_Toc12193"/>
      <w:bookmarkStart w:id="78" w:name="_Toc389633559"/>
      <w:r>
        <w:rPr>
          <w:rFonts w:hint="eastAsia" w:ascii="宋体" w:hAnsi="宋体" w:eastAsia="宋体" w:cs="宋体"/>
          <w:snapToGrid w:val="0"/>
          <w:color w:val="000000" w:themeColor="text1"/>
          <w:sz w:val="21"/>
          <w:szCs w:val="21"/>
          <w:highlight w:val="none"/>
          <w14:textFill>
            <w14:solidFill>
              <w14:schemeClr w14:val="tx1"/>
            </w14:solidFill>
          </w14:textFill>
        </w:rPr>
        <w:t>1.3  比选范围、计划工期和质量要求</w:t>
      </w:r>
      <w:bookmarkEnd w:id="75"/>
      <w:bookmarkEnd w:id="76"/>
      <w:bookmarkEnd w:id="77"/>
      <w:bookmarkEnd w:id="78"/>
    </w:p>
    <w:p w14:paraId="7422B4A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1.3.1  本次比选范围：见竞标人须知前附表。</w:t>
      </w:r>
    </w:p>
    <w:p w14:paraId="08C6E56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1.3.2  本项目的计划工期：见竞标人须知前附表。</w:t>
      </w:r>
    </w:p>
    <w:p w14:paraId="5799800B">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1.3.3  本项目的质量要求：见竞标人须知前附表。</w:t>
      </w:r>
    </w:p>
    <w:p w14:paraId="233574D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9" w:name="_Toc22521"/>
      <w:bookmarkStart w:id="80" w:name="_Toc253"/>
      <w:bookmarkStart w:id="81" w:name="_Toc389633560"/>
      <w:bookmarkStart w:id="82" w:name="_Toc26168"/>
      <w:r>
        <w:rPr>
          <w:rFonts w:hint="eastAsia" w:ascii="宋体" w:hAnsi="宋体" w:eastAsia="宋体" w:cs="宋体"/>
          <w:snapToGrid w:val="0"/>
          <w:color w:val="000000" w:themeColor="text1"/>
          <w:sz w:val="21"/>
          <w:szCs w:val="21"/>
          <w:highlight w:val="none"/>
          <w14:textFill>
            <w14:solidFill>
              <w14:schemeClr w14:val="tx1"/>
            </w14:solidFill>
          </w14:textFill>
        </w:rPr>
        <w:t>1.4  竞标人资格要求</w:t>
      </w:r>
      <w:bookmarkEnd w:id="79"/>
      <w:bookmarkEnd w:id="80"/>
      <w:bookmarkEnd w:id="81"/>
      <w:bookmarkEnd w:id="82"/>
    </w:p>
    <w:p w14:paraId="3AEEF81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1.4.1 竞标人应具备承担本项目施工的资质条件、能力和信誉。</w:t>
      </w:r>
    </w:p>
    <w:p w14:paraId="277F3F4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营业执照、资质条件、安全生产许可</w:t>
      </w:r>
      <w:r>
        <w:rPr>
          <w:rFonts w:hint="eastAsia" w:ascii="宋体" w:hAnsi="宋体" w:eastAsia="宋体" w:cs="宋体"/>
          <w:snapToGrid w:val="0"/>
          <w:color w:val="000000" w:themeColor="text1"/>
          <w:kern w:val="0"/>
          <w:szCs w:val="21"/>
          <w:highlight w:val="none"/>
          <w14:textFill>
            <w14:solidFill>
              <w14:schemeClr w14:val="tx1"/>
            </w14:solidFill>
          </w14:textFill>
        </w:rPr>
        <w:t>：见竞标人须知前附表；</w:t>
      </w:r>
    </w:p>
    <w:p w14:paraId="537A942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资格情况要求：见竞标人须知前附表；</w:t>
      </w:r>
    </w:p>
    <w:p w14:paraId="6516780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）其他要求：见竞标人须知前附表。</w:t>
      </w:r>
    </w:p>
    <w:p w14:paraId="2F04892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1.4.2  本工程比选人不接受联合体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9D2AFE">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1.4.3  竞标人不得存在下列情形之一：</w:t>
      </w:r>
    </w:p>
    <w:p w14:paraId="79C01E9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（1）与比选人存在利害关系可能影响比选公正性的法人、其他组织或者个人；</w:t>
      </w:r>
    </w:p>
    <w:p w14:paraId="7876CC9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1A12C7B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（3）为本标段的监理人；</w:t>
      </w:r>
    </w:p>
    <w:p w14:paraId="42B359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（4）为本标段的代建人；</w:t>
      </w:r>
    </w:p>
    <w:p w14:paraId="1B2F7B8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（5）为本标段提供比选代理服务的；</w:t>
      </w:r>
    </w:p>
    <w:p w14:paraId="0AC10A98">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（6）与本标段的监理人或代建人或比选代理机构同为一个法定代表人的；</w:t>
      </w:r>
    </w:p>
    <w:p w14:paraId="7178FA4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（7）与本标段的监理人或代建人或比选代理机构相互控股或参股的；</w:t>
      </w:r>
    </w:p>
    <w:p w14:paraId="2BE64B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（8）与本标段的监理人或代建人或比选代理机构相互任职或工作的；</w:t>
      </w:r>
    </w:p>
    <w:p w14:paraId="06340C5D">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（9）被责令停业的；</w:t>
      </w:r>
    </w:p>
    <w:p w14:paraId="4B45EBA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（10）被暂停或取消</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资格的；</w:t>
      </w:r>
    </w:p>
    <w:p w14:paraId="7975FD0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（11）财产被接管或冻结的；</w:t>
      </w:r>
    </w:p>
    <w:p w14:paraId="4D7E85C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FB99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3" w:name="_Toc4673"/>
      <w:bookmarkStart w:id="84" w:name="_Toc389633561"/>
      <w:bookmarkStart w:id="85" w:name="_Toc5926"/>
      <w:bookmarkStart w:id="86" w:name="_Toc14276"/>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83"/>
      <w:bookmarkEnd w:id="84"/>
      <w:bookmarkEnd w:id="85"/>
      <w:bookmarkEnd w:id="86"/>
    </w:p>
    <w:p w14:paraId="324769BF">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竞标人准备和参加</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活动发生的费用自理。</w:t>
      </w:r>
    </w:p>
    <w:p w14:paraId="29D6D13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7" w:name="_Toc389633562"/>
      <w:bookmarkStart w:id="88" w:name="_Toc4046"/>
      <w:bookmarkStart w:id="89" w:name="_Toc30013"/>
      <w:bookmarkStart w:id="90" w:name="_Toc24081"/>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87"/>
      <w:bookmarkEnd w:id="88"/>
      <w:bookmarkEnd w:id="89"/>
      <w:bookmarkEnd w:id="90"/>
    </w:p>
    <w:p w14:paraId="2B21107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参与比选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活动的各方应对比选文件和竞标文件中的商业和技术等秘密保密，违者应对由此造成的后果承担法律责任。</w:t>
      </w:r>
    </w:p>
    <w:p w14:paraId="38599A6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1" w:name="_Toc21104"/>
      <w:bookmarkStart w:id="92" w:name="_Toc23487"/>
      <w:bookmarkStart w:id="93" w:name="_Toc389633563"/>
      <w:bookmarkStart w:id="94" w:name="_Toc8041"/>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91"/>
      <w:bookmarkEnd w:id="92"/>
      <w:bookmarkEnd w:id="93"/>
      <w:bookmarkEnd w:id="94"/>
    </w:p>
    <w:p w14:paraId="68920EE5">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除专用术语外，与比选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有关的语言均使用中文。必要时专用术语应附有中文注释。</w:t>
      </w:r>
    </w:p>
    <w:p w14:paraId="3526232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5" w:name="_Toc24624"/>
      <w:bookmarkStart w:id="96" w:name="_Toc28358"/>
      <w:bookmarkStart w:id="97" w:name="_Toc13840"/>
      <w:bookmarkStart w:id="98" w:name="_Toc389633564"/>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95"/>
      <w:bookmarkEnd w:id="96"/>
      <w:bookmarkEnd w:id="97"/>
      <w:bookmarkEnd w:id="98"/>
    </w:p>
    <w:p w14:paraId="272CA98D">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所有计量均采用中华人民共和国法定计量单位。</w:t>
      </w:r>
    </w:p>
    <w:p w14:paraId="74300FD1">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9" w:name="_Toc389633565"/>
      <w:bookmarkStart w:id="100" w:name="_Toc12406"/>
      <w:bookmarkStart w:id="101" w:name="_Toc11456"/>
      <w:bookmarkStart w:id="102" w:name="_Toc1397"/>
      <w:r>
        <w:rPr>
          <w:rFonts w:hint="eastAsia" w:ascii="宋体" w:hAnsi="宋体" w:eastAsia="宋体" w:cs="宋体"/>
          <w:snapToGrid w:val="0"/>
          <w:color w:val="000000" w:themeColor="text1"/>
          <w:sz w:val="21"/>
          <w:szCs w:val="21"/>
          <w:highlight w:val="none"/>
          <w14:textFill>
            <w14:solidFill>
              <w14:schemeClr w14:val="tx1"/>
            </w14:solidFill>
          </w14:textFill>
        </w:rPr>
        <w:t>1.9  踏勘现场</w:t>
      </w:r>
      <w:bookmarkEnd w:id="99"/>
      <w:bookmarkEnd w:id="100"/>
      <w:bookmarkEnd w:id="101"/>
      <w:bookmarkEnd w:id="102"/>
    </w:p>
    <w:p w14:paraId="3DBEE2A0">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自行查勘。</w:t>
      </w:r>
    </w:p>
    <w:p w14:paraId="601A1E8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3" w:name="_Toc389633566"/>
      <w:bookmarkStart w:id="104" w:name="_Toc16730"/>
      <w:bookmarkStart w:id="105" w:name="_Toc19620"/>
      <w:bookmarkStart w:id="106" w:name="_Toc13892"/>
      <w:r>
        <w:rPr>
          <w:rFonts w:hint="eastAsia" w:ascii="宋体" w:hAnsi="宋体" w:eastAsia="宋体" w:cs="宋体"/>
          <w:snapToGrid w:val="0"/>
          <w:color w:val="000000" w:themeColor="text1"/>
          <w:sz w:val="21"/>
          <w:szCs w:val="21"/>
          <w:highlight w:val="none"/>
          <w14:textFill>
            <w14:solidFill>
              <w14:schemeClr w14:val="tx1"/>
            </w14:solidFill>
          </w14:textFill>
        </w:rPr>
        <w:t xml:space="preserve">1.10  </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sz w:val="21"/>
          <w:szCs w:val="21"/>
          <w:highlight w:val="none"/>
          <w14:textFill>
            <w14:solidFill>
              <w14:schemeClr w14:val="tx1"/>
            </w14:solidFill>
          </w14:textFill>
        </w:rPr>
        <w:t>预备会</w:t>
      </w:r>
      <w:bookmarkEnd w:id="103"/>
      <w:bookmarkEnd w:id="104"/>
      <w:bookmarkEnd w:id="105"/>
      <w:bookmarkEnd w:id="106"/>
    </w:p>
    <w:p w14:paraId="7C7D285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比选人不召开</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预备会。</w:t>
      </w:r>
    </w:p>
    <w:p w14:paraId="48B13CC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7" w:name="_Toc15575"/>
      <w:bookmarkStart w:id="108" w:name="_Toc9320"/>
      <w:bookmarkStart w:id="109" w:name="_Toc389633567"/>
      <w:bookmarkStart w:id="110" w:name="_Toc31669"/>
      <w:r>
        <w:rPr>
          <w:rFonts w:hint="eastAsia" w:ascii="宋体" w:hAnsi="宋体" w:eastAsia="宋体" w:cs="宋体"/>
          <w:snapToGrid w:val="0"/>
          <w:color w:val="000000" w:themeColor="text1"/>
          <w:sz w:val="21"/>
          <w:szCs w:val="21"/>
          <w:highlight w:val="none"/>
          <w14:textFill>
            <w14:solidFill>
              <w14:schemeClr w14:val="tx1"/>
            </w14:solidFill>
          </w14:textFill>
        </w:rPr>
        <w:t>1.11  分包</w:t>
      </w:r>
      <w:bookmarkEnd w:id="107"/>
      <w:bookmarkEnd w:id="108"/>
      <w:bookmarkEnd w:id="109"/>
      <w:bookmarkEnd w:id="110"/>
    </w:p>
    <w:p w14:paraId="33675579">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不允许</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p w14:paraId="49F3F81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11" w:name="_Toc389633568"/>
      <w:bookmarkStart w:id="112" w:name="_Toc26096"/>
      <w:bookmarkStart w:id="113" w:name="_Toc27877"/>
      <w:bookmarkStart w:id="114" w:name="_Toc16502"/>
      <w:r>
        <w:rPr>
          <w:rFonts w:hint="eastAsia" w:ascii="宋体" w:hAnsi="宋体" w:eastAsia="宋体" w:cs="宋体"/>
          <w:snapToGrid w:val="0"/>
          <w:color w:val="000000" w:themeColor="text1"/>
          <w:sz w:val="21"/>
          <w:szCs w:val="21"/>
          <w:highlight w:val="none"/>
          <w14:textFill>
            <w14:solidFill>
              <w14:schemeClr w14:val="tx1"/>
            </w14:solidFill>
          </w14:textFill>
        </w:rPr>
        <w:t>1.12  偏离</w:t>
      </w:r>
      <w:bookmarkEnd w:id="111"/>
      <w:bookmarkEnd w:id="112"/>
      <w:bookmarkEnd w:id="113"/>
      <w:bookmarkEnd w:id="114"/>
    </w:p>
    <w:p w14:paraId="2DEA12B8">
      <w:pPr>
        <w:pStyle w:val="3"/>
        <w:spacing w:line="240" w:lineRule="auto"/>
        <w:ind w:firstLine="308" w:firstLineChars="147"/>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pPr>
      <w:bookmarkStart w:id="115" w:name="_Toc26118"/>
      <w:bookmarkStart w:id="116" w:name="_Toc389633569"/>
      <w:bookmarkStart w:id="117" w:name="_Toc424"/>
      <w:bookmarkStart w:id="118" w:name="_Toc7405"/>
      <w:bookmarkStart w:id="119" w:name="_Toc358902126"/>
      <w:bookmarkStart w:id="120" w:name="_Toc10611"/>
      <w:r>
        <w:rPr>
          <w:rFonts w:hint="eastAsia" w:ascii="宋体" w:hAnsi="宋体" w:eastAsia="宋体" w:cs="宋体"/>
          <w:b w:val="0"/>
          <w:snapToGrid w:val="0"/>
          <w:color w:val="000000" w:themeColor="text1"/>
          <w:sz w:val="21"/>
          <w:szCs w:val="21"/>
          <w:highlight w:val="none"/>
          <w14:textFill>
            <w14:solidFill>
              <w14:schemeClr w14:val="tx1"/>
            </w14:solidFill>
          </w14:textFill>
        </w:rPr>
        <w:t>不允许偏离</w:t>
      </w:r>
      <w:bookmarkEnd w:id="115"/>
      <w:bookmarkEnd w:id="116"/>
      <w:bookmarkEnd w:id="117"/>
      <w:bookmarkEnd w:id="118"/>
      <w:bookmarkEnd w:id="119"/>
      <w:bookmarkEnd w:id="120"/>
      <w:r>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t>。</w:t>
      </w:r>
    </w:p>
    <w:p w14:paraId="096B3A36">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1" w:name="_Toc26365"/>
      <w:bookmarkStart w:id="122" w:name="_Toc2437"/>
      <w:bookmarkStart w:id="123" w:name="_Toc32009"/>
      <w:bookmarkStart w:id="124" w:name="_Toc27750"/>
      <w:bookmarkStart w:id="125" w:name="_Toc358902127"/>
      <w:bookmarkStart w:id="126" w:name="_Toc389633570"/>
      <w:r>
        <w:rPr>
          <w:rFonts w:hint="eastAsia" w:ascii="宋体" w:hAnsi="宋体" w:eastAsia="宋体" w:cs="宋体"/>
          <w:snapToGrid w:val="0"/>
          <w:color w:val="000000" w:themeColor="text1"/>
          <w:sz w:val="21"/>
          <w:szCs w:val="21"/>
          <w:highlight w:val="none"/>
          <w14:textFill>
            <w14:solidFill>
              <w14:schemeClr w14:val="tx1"/>
            </w14:solidFill>
          </w14:textFill>
        </w:rPr>
        <w:t>2.  比选文件</w:t>
      </w:r>
      <w:bookmarkEnd w:id="121"/>
      <w:bookmarkEnd w:id="122"/>
      <w:bookmarkEnd w:id="123"/>
      <w:bookmarkEnd w:id="124"/>
      <w:bookmarkEnd w:id="125"/>
      <w:bookmarkEnd w:id="126"/>
    </w:p>
    <w:p w14:paraId="50EC345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7" w:name="_Toc389633571"/>
      <w:bookmarkStart w:id="128" w:name="_Toc574"/>
      <w:bookmarkStart w:id="129" w:name="_Toc30511"/>
      <w:bookmarkStart w:id="130" w:name="_Toc10671"/>
      <w:r>
        <w:rPr>
          <w:rFonts w:hint="eastAsia" w:ascii="宋体" w:hAnsi="宋体" w:eastAsia="宋体" w:cs="宋体"/>
          <w:snapToGrid w:val="0"/>
          <w:color w:val="000000" w:themeColor="text1"/>
          <w:sz w:val="21"/>
          <w:szCs w:val="21"/>
          <w:highlight w:val="none"/>
          <w14:textFill>
            <w14:solidFill>
              <w14:schemeClr w14:val="tx1"/>
            </w14:solidFill>
          </w14:textFill>
        </w:rPr>
        <w:t>2.1  比选文件的组成</w:t>
      </w:r>
      <w:bookmarkEnd w:id="127"/>
      <w:bookmarkEnd w:id="128"/>
      <w:bookmarkEnd w:id="129"/>
      <w:bookmarkEnd w:id="130"/>
    </w:p>
    <w:p w14:paraId="6A40919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本比选文件包括：</w:t>
      </w:r>
    </w:p>
    <w:p w14:paraId="58445BEF">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（1）比选公告；</w:t>
      </w:r>
    </w:p>
    <w:p w14:paraId="7ECC64E4">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（2）竞标人须知；</w:t>
      </w:r>
    </w:p>
    <w:p w14:paraId="66FE0A6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（3）评标办法；</w:t>
      </w:r>
    </w:p>
    <w:p w14:paraId="708E1D6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（4）合同条款及格式；</w:t>
      </w:r>
    </w:p>
    <w:p w14:paraId="70DB95D1">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（5）工程量清单；</w:t>
      </w:r>
    </w:p>
    <w:p w14:paraId="5A62BCC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6</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图纸及相关资料</w:t>
      </w:r>
    </w:p>
    <w:p w14:paraId="1DB54859">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7</w:t>
      </w:r>
      <w:r>
        <w:rPr>
          <w:rFonts w:hint="eastAsia" w:ascii="宋体" w:hAnsi="宋体" w:eastAsia="宋体" w:cs="宋体"/>
          <w:bCs/>
          <w:snapToGrid w:val="0"/>
          <w:color w:val="000000" w:themeColor="text1"/>
          <w:szCs w:val="21"/>
          <w:highlight w:val="none"/>
          <w14:textFill>
            <w14:solidFill>
              <w14:schemeClr w14:val="tx1"/>
            </w14:solidFill>
          </w14:textFill>
        </w:rPr>
        <w:t>）技术标准和要求</w:t>
      </w:r>
    </w:p>
    <w:p w14:paraId="150C350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8</w:t>
      </w:r>
      <w:r>
        <w:rPr>
          <w:rFonts w:hint="eastAsia" w:ascii="宋体" w:hAnsi="宋体" w:eastAsia="宋体" w:cs="宋体"/>
          <w:bCs/>
          <w:snapToGrid w:val="0"/>
          <w:color w:val="000000" w:themeColor="text1"/>
          <w:szCs w:val="21"/>
          <w:highlight w:val="none"/>
          <w14:textFill>
            <w14:solidFill>
              <w14:schemeClr w14:val="tx1"/>
            </w14:solidFill>
          </w14:textFill>
        </w:rPr>
        <w:t>）竞标文件格式；</w:t>
      </w:r>
    </w:p>
    <w:p w14:paraId="2CE00522">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9</w:t>
      </w:r>
      <w:r>
        <w:rPr>
          <w:rFonts w:hint="eastAsia" w:ascii="宋体" w:hAnsi="宋体" w:eastAsia="宋体" w:cs="宋体"/>
          <w:bCs/>
          <w:snapToGrid w:val="0"/>
          <w:color w:val="000000" w:themeColor="text1"/>
          <w:szCs w:val="21"/>
          <w:highlight w:val="none"/>
          <w14:textFill>
            <w14:solidFill>
              <w14:schemeClr w14:val="tx1"/>
            </w14:solidFill>
          </w14:textFill>
        </w:rPr>
        <w:t>）竞标人须知前附表规定的其他材料。</w:t>
      </w:r>
    </w:p>
    <w:p w14:paraId="5EE1A6E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对比选文件所作的澄清、修改，构成比选文件的组成部分。</w:t>
      </w:r>
    </w:p>
    <w:p w14:paraId="19D065F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31" w:name="_Toc24465"/>
      <w:bookmarkStart w:id="132" w:name="_Toc10127"/>
      <w:bookmarkStart w:id="133" w:name="_Toc389633572"/>
      <w:bookmarkStart w:id="134" w:name="_Toc5050"/>
      <w:r>
        <w:rPr>
          <w:rFonts w:hint="eastAsia" w:ascii="宋体" w:hAnsi="宋体" w:eastAsia="宋体" w:cs="宋体"/>
          <w:snapToGrid w:val="0"/>
          <w:color w:val="000000" w:themeColor="text1"/>
          <w:sz w:val="21"/>
          <w:szCs w:val="21"/>
          <w:highlight w:val="none"/>
          <w14:textFill>
            <w14:solidFill>
              <w14:schemeClr w14:val="tx1"/>
            </w14:solidFill>
          </w14:textFill>
        </w:rPr>
        <w:t>2.2  比选文件的澄清</w:t>
      </w:r>
      <w:bookmarkEnd w:id="131"/>
      <w:bookmarkEnd w:id="132"/>
      <w:bookmarkEnd w:id="133"/>
      <w:bookmarkEnd w:id="134"/>
    </w:p>
    <w:p w14:paraId="63BFCF67">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2.2.1  竞标人应仔细阅读和检查比选文件的全部内容</w:t>
      </w:r>
      <w:r>
        <w:rPr>
          <w:rFonts w:hint="eastAsia" w:ascii="宋体" w:hAnsi="宋体" w:eastAsia="宋体" w:cs="宋体"/>
          <w:snapToGrid w:val="0"/>
          <w:color w:val="000000" w:themeColor="text1"/>
          <w:kern w:val="0"/>
          <w:highlight w:val="none"/>
          <w14:textFill>
            <w14:solidFill>
              <w14:schemeClr w14:val="tx1"/>
            </w14:solidFill>
          </w14:textFill>
        </w:rPr>
        <w:t>如有疑问，应在竞标人须知前附表规定的时间前以书面的形式将提出的问题递交至比选代理机构，要求比选人对比选文件予以澄清。</w:t>
      </w:r>
    </w:p>
    <w:p w14:paraId="6C512A18">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2.2.2  比选文件的澄清将于竞标人须知前附表规定的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截止时间3天前</w:t>
      </w:r>
      <w:bookmarkStart w:id="135" w:name="_Toc24731"/>
      <w:bookmarkStart w:id="136" w:name="_Toc23985"/>
      <w:bookmarkStart w:id="137" w:name="_Toc12104"/>
      <w:r>
        <w:rPr>
          <w:rFonts w:hint="eastAsia" w:ascii="宋体" w:hAnsi="宋体" w:eastAsia="宋体" w:cs="宋体"/>
          <w:snapToGrid w:val="0"/>
          <w:color w:val="000000" w:themeColor="text1"/>
          <w:kern w:val="0"/>
          <w:szCs w:val="21"/>
          <w:highlight w:val="none"/>
          <w14:textFill>
            <w14:solidFill>
              <w14:schemeClr w14:val="tx1"/>
            </w14:solidFill>
          </w14:textFill>
        </w:rPr>
        <w:t>发布但不指明澄清问题的来源。不管领取与否都视为竞标人全部知晓有关比选过程和事宜。该澄清内容为比选文件的组成部分。</w:t>
      </w:r>
    </w:p>
    <w:p w14:paraId="67063DDC">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2.2.3  竞标人自行在招标代理公司领取比选人对比选文件的澄清，无论竞标人是否</w:t>
      </w:r>
      <w:r>
        <w:rPr>
          <w:rFonts w:hint="eastAsia" w:ascii="宋体" w:hAnsi="宋体" w:eastAsia="宋体" w:cs="宋体"/>
          <w:snapToGrid w:val="0"/>
          <w:color w:val="000000" w:themeColor="text1"/>
          <w:kern w:val="0"/>
          <w:highlight w:val="none"/>
          <w14:textFill>
            <w14:solidFill>
              <w14:schemeClr w14:val="tx1"/>
            </w14:solidFill>
          </w14:textFill>
        </w:rPr>
        <w:t>领取</w:t>
      </w:r>
      <w:r>
        <w:rPr>
          <w:rFonts w:hint="eastAsia" w:ascii="宋体" w:hAnsi="宋体" w:eastAsia="宋体" w:cs="宋体"/>
          <w:snapToGrid w:val="0"/>
          <w:color w:val="000000" w:themeColor="text1"/>
          <w:kern w:val="0"/>
          <w:szCs w:val="21"/>
          <w:highlight w:val="none"/>
          <w14:textFill>
            <w14:solidFill>
              <w14:schemeClr w14:val="tx1"/>
            </w14:solidFill>
          </w14:textFill>
        </w:rPr>
        <w:t>，均视为已知晓比选人所修改的</w:t>
      </w:r>
      <w:r>
        <w:rPr>
          <w:rFonts w:hint="eastAsia" w:ascii="宋体" w:hAnsi="宋体" w:eastAsia="宋体" w:cs="宋体"/>
          <w:snapToGrid w:val="0"/>
          <w:color w:val="000000" w:themeColor="text1"/>
          <w:kern w:val="0"/>
          <w:highlight w:val="none"/>
          <w14:textFill>
            <w14:solidFill>
              <w14:schemeClr w14:val="tx1"/>
            </w14:solidFill>
          </w14:textFill>
        </w:rPr>
        <w:t>相关内容。</w:t>
      </w:r>
    </w:p>
    <w:p w14:paraId="37823C1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2.3  比选文件的修改</w:t>
      </w:r>
      <w:bookmarkEnd w:id="135"/>
      <w:bookmarkEnd w:id="136"/>
      <w:bookmarkEnd w:id="137"/>
    </w:p>
    <w:p w14:paraId="59CD00C4">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2.3.1  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截止时间3天前，比选人可以对比选文件做出修改。如果修改比选文件的时间距</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截止时间不足3天，相应延长</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止时间。</w:t>
      </w:r>
    </w:p>
    <w:p w14:paraId="40D3EC85">
      <w:pPr>
        <w:pageBreakBefore w:val="0"/>
        <w:widowControl w:val="0"/>
        <w:kinsoku/>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2.3.2  </w:t>
      </w:r>
      <w:r>
        <w:rPr>
          <w:rFonts w:hint="eastAsia" w:ascii="宋体" w:hAnsi="宋体" w:eastAsia="宋体" w:cs="宋体"/>
          <w:snapToGrid w:val="0"/>
          <w:color w:val="000000" w:themeColor="text1"/>
          <w:kern w:val="0"/>
          <w:highlight w:val="none"/>
          <w14:textFill>
            <w14:solidFill>
              <w14:schemeClr w14:val="tx1"/>
            </w14:solidFill>
          </w14:textFill>
        </w:rPr>
        <w:t>竞标人自行在</w:t>
      </w:r>
      <w:r>
        <w:rPr>
          <w:rFonts w:hint="eastAsia" w:ascii="宋体" w:hAnsi="宋体" w:eastAsia="宋体" w:cs="宋体"/>
          <w:snapToGrid w:val="0"/>
          <w:color w:val="000000" w:themeColor="text1"/>
          <w:kern w:val="0"/>
          <w:szCs w:val="21"/>
          <w:highlight w:val="none"/>
          <w14:textFill>
            <w14:solidFill>
              <w14:schemeClr w14:val="tx1"/>
            </w14:solidFill>
          </w14:textFill>
        </w:rPr>
        <w:t>招标代理公司领取</w:t>
      </w:r>
      <w:r>
        <w:rPr>
          <w:rFonts w:hint="eastAsia" w:ascii="宋体" w:hAnsi="宋体" w:eastAsia="宋体" w:cs="宋体"/>
          <w:snapToGrid w:val="0"/>
          <w:color w:val="000000" w:themeColor="text1"/>
          <w:kern w:val="0"/>
          <w:highlight w:val="none"/>
          <w14:textFill>
            <w14:solidFill>
              <w14:schemeClr w14:val="tx1"/>
            </w14:solidFill>
          </w14:textFill>
        </w:rPr>
        <w:t>比选人对文件做出的修改内容，无论竞标人是否领取，均视为已知晓比选人所修改的相关内容。</w:t>
      </w:r>
    </w:p>
    <w:p w14:paraId="73E59AD1">
      <w:pPr>
        <w:pStyle w:val="3"/>
        <w:pageBreakBefore w:val="0"/>
        <w:widowControl w:val="0"/>
        <w:kinsoku/>
        <w:overflowPunct/>
        <w:topLinePunct w:val="0"/>
        <w:autoSpaceDE/>
        <w:autoSpaceDN/>
        <w:bidi w:val="0"/>
        <w:adjustRightInd/>
        <w:spacing w:line="240"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38" w:name="_Toc18142"/>
      <w:bookmarkStart w:id="139" w:name="_Toc18998"/>
      <w:bookmarkStart w:id="140" w:name="_Toc32445"/>
      <w:bookmarkStart w:id="141" w:name="_Toc358902128"/>
      <w:bookmarkStart w:id="142" w:name="_Toc389633573"/>
      <w:bookmarkStart w:id="143" w:name="_Toc26797"/>
      <w:r>
        <w:rPr>
          <w:rFonts w:hint="eastAsia" w:ascii="宋体" w:hAnsi="宋体" w:eastAsia="宋体" w:cs="宋体"/>
          <w:snapToGrid w:val="0"/>
          <w:color w:val="000000" w:themeColor="text1"/>
          <w:sz w:val="21"/>
          <w:szCs w:val="21"/>
          <w:highlight w:val="none"/>
          <w14:textFill>
            <w14:solidFill>
              <w14:schemeClr w14:val="tx1"/>
            </w14:solidFill>
          </w14:textFill>
        </w:rPr>
        <w:t xml:space="preserve">3.  </w:t>
      </w:r>
      <w:bookmarkEnd w:id="138"/>
      <w:bookmarkEnd w:id="139"/>
      <w:bookmarkEnd w:id="140"/>
      <w:bookmarkEnd w:id="141"/>
      <w:bookmarkEnd w:id="142"/>
      <w:bookmarkEnd w:id="143"/>
      <w:r>
        <w:rPr>
          <w:rFonts w:hint="eastAsia" w:ascii="宋体" w:hAnsi="宋体" w:eastAsia="宋体" w:cs="宋体"/>
          <w:snapToGrid w:val="0"/>
          <w:color w:val="000000" w:themeColor="text1"/>
          <w:sz w:val="21"/>
          <w:szCs w:val="21"/>
          <w:highlight w:val="none"/>
          <w14:textFill>
            <w14:solidFill>
              <w14:schemeClr w14:val="tx1"/>
            </w14:solidFill>
          </w14:textFill>
        </w:rPr>
        <w:t>竞标文件</w:t>
      </w:r>
    </w:p>
    <w:p w14:paraId="177E5161">
      <w:pPr>
        <w:pStyle w:val="4"/>
        <w:pageBreakBefore w:val="0"/>
        <w:widowControl w:val="0"/>
        <w:kinsoku/>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44" w:name="_Toc2285"/>
      <w:bookmarkStart w:id="145" w:name="_Toc9102"/>
      <w:bookmarkStart w:id="146" w:name="_Toc389633574"/>
      <w:bookmarkStart w:id="147" w:name="_Toc5220"/>
      <w:r>
        <w:rPr>
          <w:rFonts w:hint="eastAsia" w:ascii="宋体" w:hAnsi="宋体" w:eastAsia="宋体" w:cs="宋体"/>
          <w:snapToGrid w:val="0"/>
          <w:color w:val="000000" w:themeColor="text1"/>
          <w:sz w:val="21"/>
          <w:szCs w:val="21"/>
          <w:highlight w:val="none"/>
          <w14:textFill>
            <w14:solidFill>
              <w14:schemeClr w14:val="tx1"/>
            </w14:solidFill>
          </w14:textFill>
        </w:rPr>
        <w:t>3.1  竞标文件的组成</w:t>
      </w:r>
      <w:bookmarkEnd w:id="144"/>
      <w:bookmarkEnd w:id="145"/>
      <w:bookmarkEnd w:id="146"/>
      <w:bookmarkEnd w:id="147"/>
    </w:p>
    <w:p w14:paraId="0C4CC598">
      <w:pPr>
        <w:wordWrap w:val="0"/>
        <w:spacing w:line="240" w:lineRule="auto"/>
        <w:ind w:firstLine="472" w:firstLineChars="22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3.1.1 竞标文件应包括下列内容：</w:t>
      </w:r>
    </w:p>
    <w:p w14:paraId="1EF3E5F9">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bookmarkStart w:id="148" w:name="_Toc15201"/>
      <w:bookmarkStart w:id="149" w:name="_Toc15493"/>
      <w:bookmarkStart w:id="150" w:name="_Toc389633575"/>
      <w:bookmarkStart w:id="151" w:name="_Toc31060"/>
      <w:r>
        <w:rPr>
          <w:rFonts w:hint="eastAsia" w:ascii="宋体" w:hAnsi="宋体" w:eastAsia="宋体" w:cs="宋体"/>
          <w:color w:val="000000" w:themeColor="text1"/>
          <w:szCs w:val="21"/>
          <w:highlight w:val="none"/>
          <w:lang w:val="en-US" w:eastAsia="zh-CN"/>
          <w14:textFill>
            <w14:solidFill>
              <w14:schemeClr w14:val="tx1"/>
            </w14:solidFill>
          </w14:textFill>
        </w:rPr>
        <w:t>一、竞标函</w:t>
      </w:r>
    </w:p>
    <w:p w14:paraId="4C42A4BA">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二、法定代表人身份证明及授权委托书</w:t>
      </w:r>
    </w:p>
    <w:p w14:paraId="0874F09F">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三、竞标人基本情况表</w:t>
      </w:r>
    </w:p>
    <w:p w14:paraId="29496154">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四、竞标截止日竞标资格情况</w:t>
      </w:r>
    </w:p>
    <w:p w14:paraId="4C92B83D">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五、项目管理机构组成表</w:t>
      </w:r>
    </w:p>
    <w:p w14:paraId="1BAAD0C0">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六、已标价工程量清单</w:t>
      </w:r>
    </w:p>
    <w:p w14:paraId="641E8A56">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七、技术方案</w:t>
      </w:r>
    </w:p>
    <w:p w14:paraId="7777458C">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八、其他资料</w:t>
      </w:r>
    </w:p>
    <w:p w14:paraId="4A3DED1D">
      <w:pPr>
        <w:pStyle w:val="4"/>
        <w:pageBreakBefore w:val="0"/>
        <w:widowControl w:val="0"/>
        <w:kinsoku/>
        <w:overflowPunct/>
        <w:topLinePunct w:val="0"/>
        <w:bidi w:val="0"/>
        <w:snapToGrid w:val="0"/>
        <w:spacing w:line="240" w:lineRule="auto"/>
        <w:ind w:firstLine="103" w:firstLineChars="49"/>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 xml:space="preserve">3.2  </w:t>
      </w:r>
      <w:bookmarkEnd w:id="148"/>
      <w:bookmarkEnd w:id="149"/>
      <w:bookmarkEnd w:id="150"/>
      <w:bookmarkEnd w:id="151"/>
      <w:r>
        <w:rPr>
          <w:rFonts w:hint="eastAsia" w:ascii="宋体" w:hAnsi="宋体" w:eastAsia="宋体" w:cs="宋体"/>
          <w:snapToGrid w:val="0"/>
          <w:color w:val="000000" w:themeColor="text1"/>
          <w:sz w:val="21"/>
          <w:szCs w:val="21"/>
          <w:highlight w:val="none"/>
          <w14:textFill>
            <w14:solidFill>
              <w14:schemeClr w14:val="tx1"/>
            </w14:solidFill>
          </w14:textFill>
        </w:rPr>
        <w:t>竞标报价</w:t>
      </w:r>
    </w:p>
    <w:p w14:paraId="2F04B158">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bookmarkStart w:id="152" w:name="_Toc16618"/>
      <w:bookmarkStart w:id="153" w:name="_Toc3134"/>
      <w:bookmarkStart w:id="154" w:name="_Toc26632"/>
      <w:r>
        <w:rPr>
          <w:rFonts w:hint="eastAsia" w:ascii="宋体" w:hAnsi="宋体" w:eastAsia="宋体" w:cs="宋体"/>
          <w:color w:val="000000" w:themeColor="text1"/>
          <w:szCs w:val="21"/>
          <w:highlight w:val="none"/>
          <w14:textFill>
            <w14:solidFill>
              <w14:schemeClr w14:val="tx1"/>
            </w14:solidFill>
          </w14:textFill>
        </w:rPr>
        <w:t>3.2.1 竞标人应按第二章“竞标人须知”和第五章“工程量清单”的要求填写相应表格。</w:t>
      </w:r>
    </w:p>
    <w:p w14:paraId="5211ED9B">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3.2.2 竞标人在</w:t>
      </w:r>
      <w:r>
        <w:rPr>
          <w:rFonts w:hint="eastAsia" w:ascii="宋体" w:hAnsi="宋体" w:eastAsia="宋体" w:cs="宋体"/>
          <w:color w:val="000000" w:themeColor="text1"/>
          <w:szCs w:val="21"/>
          <w:highlight w:val="none"/>
          <w:lang w:eastAsia="zh-CN"/>
          <w14:textFill>
            <w14:solidFill>
              <w14:schemeClr w14:val="tx1"/>
            </w14:solidFill>
          </w14:textFill>
        </w:rPr>
        <w:t>竞标</w:t>
      </w:r>
      <w:r>
        <w:rPr>
          <w:rFonts w:hint="eastAsia" w:ascii="宋体" w:hAnsi="宋体" w:eastAsia="宋体" w:cs="宋体"/>
          <w:color w:val="000000" w:themeColor="text1"/>
          <w:szCs w:val="21"/>
          <w:highlight w:val="none"/>
          <w14:textFill>
            <w14:solidFill>
              <w14:schemeClr w14:val="tx1"/>
            </w14:solidFill>
          </w14:textFill>
        </w:rPr>
        <w:t>截止时间前修改竞标函中的竞标总报价，应同时修改第五章“工程量清单”中的相应报价。此修改须符合本章第4.3款的有关要求。</w:t>
      </w:r>
    </w:p>
    <w:p w14:paraId="0231A60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5" w:name="_Toc389633576"/>
      <w:r>
        <w:rPr>
          <w:rFonts w:hint="eastAsia" w:ascii="宋体" w:hAnsi="宋体" w:eastAsia="宋体" w:cs="宋体"/>
          <w:snapToGrid w:val="0"/>
          <w:color w:val="000000" w:themeColor="text1"/>
          <w:sz w:val="21"/>
          <w:szCs w:val="21"/>
          <w:highlight w:val="none"/>
          <w14:textFill>
            <w14:solidFill>
              <w14:schemeClr w14:val="tx1"/>
            </w14:solidFill>
          </w14:textFill>
        </w:rPr>
        <w:t xml:space="preserve">3.3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sz w:val="21"/>
          <w:szCs w:val="21"/>
          <w:highlight w:val="none"/>
          <w14:textFill>
            <w14:solidFill>
              <w14:schemeClr w14:val="tx1"/>
            </w14:solidFill>
          </w14:textFill>
        </w:rPr>
        <w:t>有效期</w:t>
      </w:r>
      <w:bookmarkEnd w:id="152"/>
      <w:bookmarkEnd w:id="153"/>
      <w:bookmarkEnd w:id="154"/>
      <w:bookmarkEnd w:id="155"/>
    </w:p>
    <w:p w14:paraId="044EED18">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3.3.1  在竞标人须知前附表规定的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有效期内，竞标人不得要求撤销或修改其竞标文件。</w:t>
      </w:r>
    </w:p>
    <w:p w14:paraId="3013F64D">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3.3.2  出现特殊情况需要延长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有效期的，比选人以书面形式通知所有竞标人延长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有效期。竞标人同意延长的，不得要求或被允许修改或撤销其竞标文件；竞标人拒绝延长的，其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失效。</w:t>
      </w:r>
    </w:p>
    <w:p w14:paraId="492B8B90">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6" w:name="_Toc19343"/>
      <w:bookmarkStart w:id="157" w:name="_Toc5673"/>
      <w:bookmarkStart w:id="158" w:name="_Toc27085"/>
      <w:bookmarkStart w:id="159" w:name="_Toc389633577"/>
      <w:r>
        <w:rPr>
          <w:rFonts w:hint="eastAsia" w:ascii="宋体" w:hAnsi="宋体" w:eastAsia="宋体" w:cs="宋体"/>
          <w:snapToGrid w:val="0"/>
          <w:color w:val="000000" w:themeColor="text1"/>
          <w:sz w:val="21"/>
          <w:szCs w:val="21"/>
          <w:highlight w:val="none"/>
          <w14:textFill>
            <w14:solidFill>
              <w14:schemeClr w14:val="tx1"/>
            </w14:solidFill>
          </w14:textFill>
        </w:rPr>
        <w:t xml:space="preserve">3.4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sz w:val="21"/>
          <w:szCs w:val="21"/>
          <w:highlight w:val="none"/>
          <w14:textFill>
            <w14:solidFill>
              <w14:schemeClr w14:val="tx1"/>
            </w14:solidFill>
          </w14:textFill>
        </w:rPr>
        <w:t>保证金</w:t>
      </w:r>
      <w:bookmarkEnd w:id="156"/>
      <w:bookmarkEnd w:id="157"/>
      <w:bookmarkEnd w:id="158"/>
      <w:bookmarkEnd w:id="159"/>
    </w:p>
    <w:p w14:paraId="1D39DFC7">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见竞标人须知前附表</w:t>
      </w:r>
    </w:p>
    <w:p w14:paraId="0A1DD5C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0" w:name="_Toc14720"/>
      <w:bookmarkStart w:id="161" w:name="_Toc29265"/>
      <w:bookmarkStart w:id="162" w:name="_Toc21020"/>
      <w:bookmarkStart w:id="163" w:name="_Toc389633578"/>
      <w:r>
        <w:rPr>
          <w:rFonts w:hint="eastAsia" w:ascii="宋体" w:hAnsi="宋体" w:eastAsia="宋体" w:cs="宋体"/>
          <w:snapToGrid w:val="0"/>
          <w:color w:val="000000" w:themeColor="text1"/>
          <w:sz w:val="21"/>
          <w:szCs w:val="21"/>
          <w:highlight w:val="none"/>
          <w14:textFill>
            <w14:solidFill>
              <w14:schemeClr w14:val="tx1"/>
            </w14:solidFill>
          </w14:textFill>
        </w:rPr>
        <w:t>3.5  资格审查资料</w:t>
      </w:r>
      <w:bookmarkEnd w:id="160"/>
      <w:bookmarkEnd w:id="161"/>
      <w:bookmarkEnd w:id="162"/>
      <w:bookmarkEnd w:id="163"/>
    </w:p>
    <w:p w14:paraId="224A0606">
      <w:pPr>
        <w:pStyle w:val="4"/>
        <w:snapToGrid w:val="0"/>
        <w:spacing w:line="240" w:lineRule="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64" w:name="_Toc501"/>
      <w:bookmarkStart w:id="165" w:name="_Toc389633579"/>
      <w:bookmarkStart w:id="166" w:name="_Toc143"/>
      <w:bookmarkStart w:id="167" w:name="_Toc28617"/>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 xml:space="preserve">    见竞标人须知前附表</w:t>
      </w:r>
    </w:p>
    <w:p w14:paraId="208CA05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3.6  备选</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sz w:val="21"/>
          <w:szCs w:val="21"/>
          <w:highlight w:val="none"/>
          <w14:textFill>
            <w14:solidFill>
              <w14:schemeClr w14:val="tx1"/>
            </w14:solidFill>
          </w14:textFill>
        </w:rPr>
        <w:t>方案</w:t>
      </w:r>
      <w:bookmarkEnd w:id="164"/>
      <w:bookmarkEnd w:id="165"/>
      <w:bookmarkEnd w:id="166"/>
      <w:bookmarkEnd w:id="167"/>
    </w:p>
    <w:p w14:paraId="35F1CFD2">
      <w:pPr>
        <w:pStyle w:val="4"/>
        <w:snapToGrid w:val="0"/>
        <w:spacing w:line="240" w:lineRule="auto"/>
        <w:rPr>
          <w:rFonts w:hint="eastAsia" w:ascii="宋体" w:hAnsi="宋体" w:eastAsia="宋体" w:cs="宋体"/>
          <w:b w:val="0"/>
          <w:bCs w:val="0"/>
          <w:snapToGrid w:val="0"/>
          <w:color w:val="000000" w:themeColor="text1"/>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 xml:space="preserve">    比选人不接受竞标人的备选</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竞标</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方案。</w:t>
      </w:r>
    </w:p>
    <w:p w14:paraId="4239670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8" w:name="_Toc17161"/>
      <w:bookmarkStart w:id="169" w:name="_Toc12171"/>
      <w:bookmarkStart w:id="170" w:name="_Toc31849"/>
      <w:bookmarkStart w:id="171" w:name="_Toc389633580"/>
      <w:r>
        <w:rPr>
          <w:rFonts w:hint="eastAsia" w:ascii="宋体" w:hAnsi="宋体" w:eastAsia="宋体" w:cs="宋体"/>
          <w:snapToGrid w:val="0"/>
          <w:color w:val="000000" w:themeColor="text1"/>
          <w:sz w:val="21"/>
          <w:szCs w:val="21"/>
          <w:highlight w:val="none"/>
          <w14:textFill>
            <w14:solidFill>
              <w14:schemeClr w14:val="tx1"/>
            </w14:solidFill>
          </w14:textFill>
        </w:rPr>
        <w:t>3.7  竞标文件的编制</w:t>
      </w:r>
      <w:bookmarkEnd w:id="168"/>
      <w:bookmarkEnd w:id="169"/>
      <w:bookmarkEnd w:id="170"/>
      <w:bookmarkEnd w:id="171"/>
    </w:p>
    <w:p w14:paraId="635018AA">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3.7.1 </w:t>
      </w:r>
      <w:r>
        <w:rPr>
          <w:rFonts w:hint="eastAsia" w:ascii="宋体" w:hAnsi="宋体" w:eastAsia="宋体" w:cs="宋体"/>
          <w:snapToGrid w:val="0"/>
          <w:color w:val="000000" w:themeColor="text1"/>
          <w:kern w:val="0"/>
          <w:highlight w:val="none"/>
          <w14:textFill>
            <w14:solidFill>
              <w14:schemeClr w14:val="tx1"/>
            </w14:solidFill>
          </w14:textFill>
        </w:rPr>
        <w:t>竞标文件应按第八章“竞标文件格式”进行编写，如有必要，可以增加附页，作为竞标文件的组成部分。其中，竞标函附录在满足比选文件实质性要求的基础上，可以提出比比选文件要求更有利于比选人的承诺。</w:t>
      </w:r>
    </w:p>
    <w:p w14:paraId="65D6C025">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3.7.2 </w:t>
      </w:r>
      <w:r>
        <w:rPr>
          <w:rFonts w:hint="eastAsia" w:ascii="宋体" w:hAnsi="宋体" w:eastAsia="宋体" w:cs="宋体"/>
          <w:snapToGrid w:val="0"/>
          <w:color w:val="000000" w:themeColor="text1"/>
          <w:kern w:val="0"/>
          <w:highlight w:val="none"/>
          <w14:textFill>
            <w14:solidFill>
              <w14:schemeClr w14:val="tx1"/>
            </w14:solidFill>
          </w14:textFill>
        </w:rPr>
        <w:t>竞标文件应当对比选文件有关工期、质量要求、比选范围、</w:t>
      </w:r>
      <w:r>
        <w:rPr>
          <w:rFonts w:hint="eastAsia" w:ascii="宋体" w:hAnsi="宋体" w:eastAsia="宋体" w:cs="宋体"/>
          <w:snapToGrid w:val="0"/>
          <w:color w:val="000000" w:themeColor="text1"/>
          <w:kern w:val="0"/>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highlight w:val="none"/>
          <w14:textFill>
            <w14:solidFill>
              <w14:schemeClr w14:val="tx1"/>
            </w14:solidFill>
          </w14:textFill>
        </w:rPr>
        <w:t>有效期、</w:t>
      </w:r>
      <w:r>
        <w:rPr>
          <w:rFonts w:hint="eastAsia" w:ascii="宋体" w:hAnsi="宋体" w:eastAsia="宋体" w:cs="宋体"/>
          <w:color w:val="000000" w:themeColor="text1"/>
          <w:kern w:val="0"/>
          <w:highlight w:val="none"/>
          <w14:textFill>
            <w14:solidFill>
              <w14:schemeClr w14:val="tx1"/>
            </w14:solidFill>
          </w14:textFill>
        </w:rPr>
        <w:t>技术标准和要求</w:t>
      </w:r>
      <w:r>
        <w:rPr>
          <w:rFonts w:hint="eastAsia" w:ascii="宋体" w:hAnsi="宋体" w:eastAsia="宋体" w:cs="宋体"/>
          <w:snapToGrid w:val="0"/>
          <w:color w:val="000000" w:themeColor="text1"/>
          <w:kern w:val="0"/>
          <w:szCs w:val="21"/>
          <w:highlight w:val="none"/>
          <w14:textFill>
            <w14:solidFill>
              <w14:schemeClr w14:val="tx1"/>
            </w14:solidFill>
          </w14:textFill>
        </w:rPr>
        <w:t>等实质性内容做出响应。</w:t>
      </w:r>
    </w:p>
    <w:p w14:paraId="376441FB">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3.7.3 竞标文件应用不褪色的材料书写或打印，并由竞标人的法定代表人或其委托代理</w:t>
      </w:r>
      <w:r>
        <w:rPr>
          <w:rFonts w:hint="eastAsia" w:ascii="宋体" w:hAnsi="宋体" w:eastAsia="宋体" w:cs="宋体"/>
          <w:snapToGrid w:val="0"/>
          <w:color w:val="000000" w:themeColor="text1"/>
          <w:kern w:val="0"/>
          <w:szCs w:val="21"/>
          <w:highlight w:val="none"/>
          <w14:textFill>
            <w14:solidFill>
              <w14:schemeClr w14:val="tx1"/>
            </w14:solidFill>
          </w14:textFill>
        </w:rPr>
        <w:t>人按比选文件规定格式签字、盖单位公章。委托代理人签字的，竞标文件应附法定代表人签署的授权委托书。竞标文件应尽量避免涂改、行间插字或删除。如果出现上述情况，改动之处应加盖单位公章或由竞标人的法定代表人或其授权的代理人签字确认。（签字和盖章的要求见竞标人须知前附表）</w:t>
      </w:r>
    </w:p>
    <w:p w14:paraId="597221CC">
      <w:pPr>
        <w:autoSpaceDE w:val="0"/>
        <w:autoSpaceDN w:val="0"/>
        <w:adjustRightInd w:val="0"/>
        <w:snapToGrid w:val="0"/>
        <w:spacing w:line="240" w:lineRule="auto"/>
        <w:ind w:right="-164" w:firstLine="426"/>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3.7.4</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竞标文件正本一份，副本份数见竞标人须知前附表。正本和副本的封面上应清楚地标记“正本”或“副本”的字样。当副本和正本不一致时，以正本为准。</w:t>
      </w:r>
    </w:p>
    <w:p w14:paraId="1D9E0136">
      <w:pPr>
        <w:autoSpaceDE w:val="0"/>
        <w:autoSpaceDN w:val="0"/>
        <w:adjustRightInd w:val="0"/>
        <w:snapToGrid w:val="0"/>
        <w:spacing w:before="10" w:line="240" w:lineRule="auto"/>
        <w:ind w:right="-109" w:firstLine="426"/>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3.7.5  竞标文件的正本与副本应分别装订成册，并编制目录，具体装订要求见竞标人须知前附表规定。</w:t>
      </w:r>
    </w:p>
    <w:p w14:paraId="52CEDBE9">
      <w:pPr>
        <w:autoSpaceDE w:val="0"/>
        <w:autoSpaceDN w:val="0"/>
        <w:adjustRightInd w:val="0"/>
        <w:snapToGrid w:val="0"/>
        <w:spacing w:line="240" w:lineRule="auto"/>
        <w:jc w:val="left"/>
        <w:rPr>
          <w:rFonts w:hint="eastAsia" w:ascii="宋体" w:hAnsi="宋体" w:eastAsia="宋体" w:cs="宋体"/>
          <w:b/>
          <w:snapToGrid w:val="0"/>
          <w:color w:val="000000" w:themeColor="text1"/>
          <w:szCs w:val="21"/>
          <w:highlight w:val="none"/>
          <w:lang w:eastAsia="zh-CN"/>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 xml:space="preserve">4.  </w:t>
      </w:r>
      <w:r>
        <w:rPr>
          <w:rFonts w:hint="eastAsia" w:ascii="宋体" w:hAnsi="宋体" w:eastAsia="宋体" w:cs="宋体"/>
          <w:b/>
          <w:snapToGrid w:val="0"/>
          <w:color w:val="000000" w:themeColor="text1"/>
          <w:szCs w:val="21"/>
          <w:highlight w:val="none"/>
          <w:lang w:eastAsia="zh-CN"/>
          <w14:textFill>
            <w14:solidFill>
              <w14:schemeClr w14:val="tx1"/>
            </w14:solidFill>
          </w14:textFill>
        </w:rPr>
        <w:t>竞标</w:t>
      </w:r>
    </w:p>
    <w:p w14:paraId="0EA5DFD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2" w:name="_Toc24483"/>
      <w:bookmarkStart w:id="173" w:name="_Toc389633581"/>
      <w:bookmarkStart w:id="174" w:name="_Toc11554"/>
      <w:bookmarkStart w:id="175" w:name="_Toc10508"/>
      <w:r>
        <w:rPr>
          <w:rFonts w:hint="eastAsia" w:ascii="宋体" w:hAnsi="宋体" w:eastAsia="宋体" w:cs="宋体"/>
          <w:snapToGrid w:val="0"/>
          <w:color w:val="000000" w:themeColor="text1"/>
          <w:sz w:val="21"/>
          <w:szCs w:val="21"/>
          <w:highlight w:val="none"/>
          <w14:textFill>
            <w14:solidFill>
              <w14:schemeClr w14:val="tx1"/>
            </w14:solidFill>
          </w14:textFill>
        </w:rPr>
        <w:t>4.1  竞标文件的密封和标记</w:t>
      </w:r>
      <w:bookmarkEnd w:id="172"/>
      <w:bookmarkEnd w:id="173"/>
      <w:bookmarkEnd w:id="174"/>
      <w:bookmarkEnd w:id="175"/>
    </w:p>
    <w:p w14:paraId="3F259033">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4.1.1  竞标文件的正本与副本密封见竞标人须知前附表。</w:t>
      </w:r>
    </w:p>
    <w:p w14:paraId="35DBF37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4.1.2  竞标文件的封套上应写明的内容见竞标人须知前附表。</w:t>
      </w:r>
    </w:p>
    <w:p w14:paraId="7FF5AE21">
      <w:pPr>
        <w:autoSpaceDE w:val="0"/>
        <w:autoSpaceDN w:val="0"/>
        <w:adjustRightInd w:val="0"/>
        <w:snapToGrid w:val="0"/>
        <w:spacing w:line="240" w:lineRule="auto"/>
        <w:ind w:left="13" w:leftChars="6" w:firstLine="344" w:firstLineChars="164"/>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4.1.3  未按本章第 4.1.1 项或第 4.1.2 项要求密封和加写标记的竞标文件，比选人不予受理。</w:t>
      </w:r>
    </w:p>
    <w:p w14:paraId="5366E45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6" w:name="_Toc18107"/>
      <w:bookmarkStart w:id="177" w:name="_Toc31670"/>
      <w:bookmarkStart w:id="178" w:name="_Toc18758"/>
      <w:bookmarkStart w:id="179" w:name="_Toc389633582"/>
      <w:r>
        <w:rPr>
          <w:rFonts w:hint="eastAsia" w:ascii="宋体" w:hAnsi="宋体" w:eastAsia="宋体" w:cs="宋体"/>
          <w:snapToGrid w:val="0"/>
          <w:color w:val="000000" w:themeColor="text1"/>
          <w:sz w:val="21"/>
          <w:szCs w:val="21"/>
          <w:highlight w:val="none"/>
          <w14:textFill>
            <w14:solidFill>
              <w14:schemeClr w14:val="tx1"/>
            </w14:solidFill>
          </w14:textFill>
        </w:rPr>
        <w:t>4.2  竞标文件的递交</w:t>
      </w:r>
      <w:bookmarkEnd w:id="176"/>
      <w:bookmarkEnd w:id="177"/>
      <w:bookmarkEnd w:id="178"/>
      <w:bookmarkEnd w:id="179"/>
    </w:p>
    <w:p w14:paraId="364E608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4.2.1  竞标人应在本章第 2.2.2 项规定的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截止时间前递交竞标文件。</w:t>
      </w:r>
    </w:p>
    <w:p w14:paraId="78C0749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4.2.2  竞标人递交竞标文件的地点：见竞标人须知前附表。</w:t>
      </w:r>
    </w:p>
    <w:p w14:paraId="2F58FC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4.2.3  除竞标人须知前附表另有规定外，竞标人所递交的竞标文件不予退还。</w:t>
      </w:r>
    </w:p>
    <w:p w14:paraId="738A2F9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4.2.4  比选人收到竞标文件后，向竞标人出具签收凭证。</w:t>
      </w:r>
    </w:p>
    <w:p w14:paraId="789A578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4.2.5  逾期送达的或者未送达指定地点的竞标文件，比选人不予受理。</w:t>
      </w:r>
    </w:p>
    <w:p w14:paraId="6570224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0" w:name="_Toc29465"/>
      <w:bookmarkStart w:id="181" w:name="_Toc32321"/>
      <w:bookmarkStart w:id="182" w:name="_Toc13915"/>
      <w:bookmarkStart w:id="183" w:name="_Toc389633583"/>
      <w:r>
        <w:rPr>
          <w:rFonts w:hint="eastAsia" w:ascii="宋体" w:hAnsi="宋体" w:eastAsia="宋体" w:cs="宋体"/>
          <w:snapToGrid w:val="0"/>
          <w:color w:val="000000" w:themeColor="text1"/>
          <w:sz w:val="21"/>
          <w:szCs w:val="21"/>
          <w:highlight w:val="none"/>
          <w14:textFill>
            <w14:solidFill>
              <w14:schemeClr w14:val="tx1"/>
            </w14:solidFill>
          </w14:textFill>
        </w:rPr>
        <w:t>4.3  竞标文件的修改与撤回</w:t>
      </w:r>
      <w:bookmarkEnd w:id="180"/>
      <w:bookmarkEnd w:id="181"/>
      <w:bookmarkEnd w:id="182"/>
      <w:bookmarkEnd w:id="183"/>
    </w:p>
    <w:p w14:paraId="44E3988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4.3.1  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截止时间前，竞标人可以修改或撤回已递交的竞标文件，但应以书面形式通知比选人。</w:t>
      </w:r>
    </w:p>
    <w:p w14:paraId="21FD8D44">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4.3.2  竞标人修改或撤回已递交竞标文件的书面通知应按照本章第3.7.3项的要求签字或盖章。比选人收到书面通知后，向竞标人出具签收凭证。</w:t>
      </w:r>
    </w:p>
    <w:p w14:paraId="252F36B1">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4.3.3  修改的内容为竞标文件的组成部分。修改的竞标文件应按照本章第3条、第4条规定进行编制、密封、标记和递交，并标明“修改”字样。</w:t>
      </w:r>
    </w:p>
    <w:p w14:paraId="115BD6B3">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4" w:name="_Toc13089"/>
      <w:bookmarkStart w:id="185" w:name="_Toc14609"/>
      <w:bookmarkStart w:id="186" w:name="_Toc358902129"/>
      <w:bookmarkStart w:id="187" w:name="_Toc31842"/>
      <w:bookmarkStart w:id="188" w:name="_Toc389633584"/>
      <w:bookmarkStart w:id="189" w:name="_Toc30734"/>
      <w:r>
        <w:rPr>
          <w:rFonts w:hint="eastAsia" w:ascii="宋体" w:hAnsi="宋体" w:eastAsia="宋体" w:cs="宋体"/>
          <w:snapToGrid w:val="0"/>
          <w:color w:val="000000" w:themeColor="text1"/>
          <w:sz w:val="21"/>
          <w:szCs w:val="21"/>
          <w:highlight w:val="none"/>
          <w14:textFill>
            <w14:solidFill>
              <w14:schemeClr w14:val="tx1"/>
            </w14:solidFill>
          </w14:textFill>
        </w:rPr>
        <w:t>5.  开标</w:t>
      </w:r>
      <w:bookmarkEnd w:id="184"/>
      <w:bookmarkEnd w:id="185"/>
      <w:bookmarkEnd w:id="186"/>
      <w:bookmarkEnd w:id="187"/>
      <w:bookmarkEnd w:id="188"/>
      <w:bookmarkEnd w:id="189"/>
    </w:p>
    <w:p w14:paraId="3280542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0" w:name="_Toc389633585"/>
      <w:bookmarkStart w:id="191" w:name="_Toc10443"/>
      <w:bookmarkStart w:id="192" w:name="_Toc32257"/>
      <w:bookmarkStart w:id="193" w:name="_Toc22922"/>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190"/>
      <w:bookmarkEnd w:id="191"/>
      <w:bookmarkEnd w:id="192"/>
      <w:bookmarkEnd w:id="193"/>
    </w:p>
    <w:p w14:paraId="1CBBD3E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比选人在竞标人须知前附表规定的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截止时间（开标时间）和竞标人须知前附表规定的地点公开开标，并邀请所有竞标人的法定代表人或其委托代理人准时参加。</w:t>
      </w:r>
    </w:p>
    <w:p w14:paraId="14C176F4">
      <w:pPr>
        <w:autoSpaceDE w:val="0"/>
        <w:autoSpaceDN w:val="0"/>
        <w:adjustRightInd w:val="0"/>
        <w:snapToGrid w:val="0"/>
        <w:spacing w:line="240" w:lineRule="auto"/>
        <w:ind w:firstLine="422" w:firstLineChars="200"/>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5.2  开标程序</w:t>
      </w:r>
    </w:p>
    <w:p w14:paraId="12BD204C">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详见竞标人须知前附表。</w:t>
      </w:r>
    </w:p>
    <w:p w14:paraId="789F6C62">
      <w:pPr>
        <w:autoSpaceDE w:val="0"/>
        <w:autoSpaceDN w:val="0"/>
        <w:adjustRightInd w:val="0"/>
        <w:snapToGrid w:val="0"/>
        <w:spacing w:line="240" w:lineRule="auto"/>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6.  评标</w:t>
      </w:r>
    </w:p>
    <w:p w14:paraId="47BEE4CB">
      <w:pPr>
        <w:pStyle w:val="4"/>
        <w:snapToGrid w:val="0"/>
        <w:spacing w:line="240" w:lineRule="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94" w:name="_Toc10960"/>
      <w:bookmarkStart w:id="195" w:name="_Toc22285"/>
      <w:bookmarkStart w:id="196" w:name="_Toc389633586"/>
      <w:bookmarkStart w:id="197" w:name="_Toc27429"/>
      <w:r>
        <w:rPr>
          <w:rFonts w:hint="eastAsia" w:ascii="宋体" w:hAnsi="宋体" w:eastAsia="宋体" w:cs="宋体"/>
          <w:snapToGrid w:val="0"/>
          <w:color w:val="000000" w:themeColor="text1"/>
          <w:sz w:val="21"/>
          <w:szCs w:val="21"/>
          <w:highlight w:val="none"/>
          <w14:textFill>
            <w14:solidFill>
              <w14:schemeClr w14:val="tx1"/>
            </w14:solidFill>
          </w14:textFill>
        </w:rPr>
        <w:t xml:space="preserve">6.1  </w:t>
      </w:r>
      <w:bookmarkEnd w:id="194"/>
      <w:bookmarkEnd w:id="195"/>
      <w:bookmarkEnd w:id="196"/>
      <w:bookmarkEnd w:id="197"/>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p>
    <w:p w14:paraId="74E1EA8C">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6.1.1  评标由比选人依法组建的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负责。</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由有关技术、经济等方面的专家组成。</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成员人数以及技术、经济等方面专家的确定方式见竞标人须知前附表。</w:t>
      </w:r>
    </w:p>
    <w:p w14:paraId="76540E9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6.1.2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成员有下列情形之一的，应当回避：</w:t>
      </w:r>
    </w:p>
    <w:p w14:paraId="64D6682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（1）比选人或竞标人的主要负责人的近亲属；</w:t>
      </w:r>
    </w:p>
    <w:p w14:paraId="28A216BA">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（2）项目主管部门或者行政监督部门的人员；</w:t>
      </w:r>
    </w:p>
    <w:p w14:paraId="7EE83C2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（3）与竞标人有经济利益关系，可能影响对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公正评审的；</w:t>
      </w:r>
    </w:p>
    <w:p w14:paraId="2A21307D">
      <w:pPr>
        <w:autoSpaceDE w:val="0"/>
        <w:autoSpaceDN w:val="0"/>
        <w:adjustRightInd w:val="0"/>
        <w:snapToGrid w:val="0"/>
        <w:spacing w:line="240" w:lineRule="auto"/>
        <w:ind w:firstLine="363" w:firstLineChars="173"/>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（4）曾因在比选、评标以及其他与比选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有关活动中从事违法行为而受过行政处罚或刑事处罚的。</w:t>
      </w:r>
    </w:p>
    <w:p w14:paraId="22B3CC9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8" w:name="_Toc28317"/>
      <w:bookmarkStart w:id="199" w:name="_Toc11887"/>
      <w:bookmarkStart w:id="200" w:name="_Toc25850"/>
      <w:bookmarkStart w:id="201" w:name="_Toc389633587"/>
      <w:r>
        <w:rPr>
          <w:rFonts w:hint="eastAsia" w:ascii="宋体" w:hAnsi="宋体" w:eastAsia="宋体" w:cs="宋体"/>
          <w:snapToGrid w:val="0"/>
          <w:color w:val="000000" w:themeColor="text1"/>
          <w:sz w:val="21"/>
          <w:szCs w:val="21"/>
          <w:highlight w:val="none"/>
          <w14:textFill>
            <w14:solidFill>
              <w14:schemeClr w14:val="tx1"/>
            </w14:solidFill>
          </w14:textFill>
        </w:rPr>
        <w:t>6.2  评标原则</w:t>
      </w:r>
      <w:bookmarkEnd w:id="198"/>
      <w:bookmarkEnd w:id="199"/>
      <w:bookmarkEnd w:id="200"/>
      <w:bookmarkEnd w:id="201"/>
    </w:p>
    <w:p w14:paraId="120E4581">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4FBD94E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2" w:name="_Toc28001"/>
      <w:bookmarkStart w:id="203" w:name="_Toc389633588"/>
      <w:bookmarkStart w:id="204" w:name="_Toc19783"/>
      <w:bookmarkStart w:id="205" w:name="_Toc24007"/>
      <w:r>
        <w:rPr>
          <w:rFonts w:hint="eastAsia" w:ascii="宋体" w:hAnsi="宋体" w:eastAsia="宋体" w:cs="宋体"/>
          <w:snapToGrid w:val="0"/>
          <w:color w:val="000000" w:themeColor="text1"/>
          <w:sz w:val="21"/>
          <w:szCs w:val="21"/>
          <w:highlight w:val="none"/>
          <w14:textFill>
            <w14:solidFill>
              <w14:schemeClr w14:val="tx1"/>
            </w14:solidFill>
          </w14:textFill>
        </w:rPr>
        <w:t>6.3  评标</w:t>
      </w:r>
      <w:bookmarkEnd w:id="202"/>
      <w:bookmarkEnd w:id="203"/>
      <w:bookmarkEnd w:id="204"/>
      <w:bookmarkEnd w:id="205"/>
    </w:p>
    <w:p w14:paraId="57C831E7">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按照第三章“评标办法”规定的方法、评审因素、标准和程序对竞标文件进行评审。第三章“评标办法”没有规定的方法、评审因素和标准，不作为评标依据。</w:t>
      </w:r>
    </w:p>
    <w:p w14:paraId="0F90E3E4">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6" w:name="_Toc389633589"/>
      <w:bookmarkStart w:id="207" w:name="_Toc24546"/>
      <w:bookmarkStart w:id="208" w:name="_Toc358902130"/>
      <w:bookmarkStart w:id="209" w:name="_Toc70"/>
      <w:bookmarkStart w:id="210" w:name="_Toc23373"/>
      <w:bookmarkStart w:id="211" w:name="_Toc1425"/>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06"/>
      <w:bookmarkEnd w:id="207"/>
      <w:bookmarkEnd w:id="208"/>
      <w:bookmarkEnd w:id="209"/>
      <w:bookmarkEnd w:id="210"/>
      <w:bookmarkEnd w:id="211"/>
    </w:p>
    <w:p w14:paraId="2AED28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2" w:name="_Toc10710"/>
      <w:bookmarkStart w:id="213" w:name="_Toc389633590"/>
      <w:bookmarkStart w:id="214" w:name="_Toc21191"/>
      <w:bookmarkStart w:id="215" w:name="_Toc436"/>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12"/>
      <w:bookmarkEnd w:id="213"/>
      <w:bookmarkEnd w:id="214"/>
      <w:bookmarkEnd w:id="215"/>
    </w:p>
    <w:p w14:paraId="68E1661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7.1.1比选人依据</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推荐的中标候选人确定中标人，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推荐中标候选人的人数见竞标人须知前附表。</w:t>
      </w:r>
    </w:p>
    <w:p w14:paraId="6B027DE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7.1.2排名第一的中标候选人放弃中标、或因不可抗力不能履行合同、或未依据比选文件在规定的期限内提交履约保证金的，或者被查实存在影响中标结果的违法行为等情形，不符合中标条件的，比选人可以按照</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提出的中标候选人名单排序依次确定其他中标候选人为中标人，也可以重新比选。排名第一的中标候选人放弃中标后，排名第二或第三的中标候选人按次序被确定为中标人的，其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价格高于第一中标候选人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价格的，须以第一中标候选人的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价格低于第一中标人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价格的，以其实际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w:t>
      </w:r>
    </w:p>
    <w:p w14:paraId="665334E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6" w:name="_Toc20347"/>
      <w:bookmarkStart w:id="217" w:name="_Toc11436"/>
      <w:bookmarkStart w:id="218" w:name="_Toc13195"/>
      <w:bookmarkStart w:id="219" w:name="_Toc389633591"/>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216"/>
      <w:bookmarkEnd w:id="217"/>
      <w:bookmarkEnd w:id="218"/>
      <w:bookmarkEnd w:id="219"/>
    </w:p>
    <w:p w14:paraId="1F25BDF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bookmarkStart w:id="220" w:name="_Toc6316"/>
      <w:bookmarkStart w:id="221" w:name="_Toc17711"/>
      <w:bookmarkStart w:id="222" w:name="_Toc5774"/>
      <w:r>
        <w:rPr>
          <w:rFonts w:hint="eastAsia" w:ascii="宋体" w:hAnsi="宋体" w:eastAsia="宋体" w:cs="宋体"/>
          <w:snapToGrid w:val="0"/>
          <w:color w:val="000000" w:themeColor="text1"/>
          <w:kern w:val="0"/>
          <w:szCs w:val="21"/>
          <w:highlight w:val="none"/>
          <w14:textFill>
            <w14:solidFill>
              <w14:schemeClr w14:val="tx1"/>
            </w14:solidFill>
          </w14:textFill>
        </w:rPr>
        <w:t>在本章第 3.3 款规定的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有效期内，比选人以书面形式向中标人发出中标通知书。</w:t>
      </w:r>
    </w:p>
    <w:p w14:paraId="26467C0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3" w:name="_Toc389633592"/>
      <w:r>
        <w:rPr>
          <w:rFonts w:hint="eastAsia" w:ascii="宋体" w:hAnsi="宋体" w:eastAsia="宋体" w:cs="宋体"/>
          <w:snapToGrid w:val="0"/>
          <w:color w:val="000000" w:themeColor="text1"/>
          <w:sz w:val="21"/>
          <w:szCs w:val="21"/>
          <w:highlight w:val="none"/>
          <w14:textFill>
            <w14:solidFill>
              <w14:schemeClr w14:val="tx1"/>
            </w14:solidFill>
          </w14:textFill>
        </w:rPr>
        <w:t>7.3  履约担保</w:t>
      </w:r>
      <w:bookmarkEnd w:id="220"/>
      <w:bookmarkEnd w:id="221"/>
      <w:bookmarkEnd w:id="222"/>
      <w:bookmarkEnd w:id="223"/>
    </w:p>
    <w:p w14:paraId="472A7CD7">
      <w:pPr>
        <w:autoSpaceDE w:val="0"/>
        <w:autoSpaceDN w:val="0"/>
        <w:adjustRightInd w:val="0"/>
        <w:snapToGrid w:val="0"/>
        <w:spacing w:line="24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7.3.1  </w:t>
      </w:r>
      <w:r>
        <w:rPr>
          <w:rFonts w:hint="eastAsia" w:ascii="宋体" w:hAnsi="宋体" w:eastAsia="宋体" w:cs="宋体"/>
          <w:color w:val="000000" w:themeColor="text1"/>
          <w:kern w:val="0"/>
          <w:szCs w:val="21"/>
          <w:highlight w:val="none"/>
          <w14:textFill>
            <w14:solidFill>
              <w14:schemeClr w14:val="tx1"/>
            </w14:solidFill>
          </w14:textFill>
        </w:rPr>
        <w:t>中标人收到中标通知书后3日内，中标人应向比选人提交本须知前附表第7.3.1项规定金额的履约担保。</w:t>
      </w:r>
    </w:p>
    <w:p w14:paraId="1871B336">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7.3.2  中标人不能按本章第 7.3.1 项要求提交履约担保的，视为放弃中标，给比选人造成的损失的，中标人还应当予以赔偿。</w:t>
      </w:r>
    </w:p>
    <w:p w14:paraId="05B73A0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4" w:name="_Toc5011"/>
      <w:bookmarkStart w:id="225" w:name="_Toc27488"/>
      <w:bookmarkStart w:id="226" w:name="_Toc529"/>
      <w:bookmarkStart w:id="227" w:name="_Toc389633593"/>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224"/>
      <w:bookmarkEnd w:id="225"/>
      <w:bookmarkEnd w:id="226"/>
      <w:bookmarkEnd w:id="227"/>
    </w:p>
    <w:p w14:paraId="38CEB97B">
      <w:pPr>
        <w:autoSpaceDE w:val="0"/>
        <w:autoSpaceDN w:val="0"/>
        <w:adjustRightInd w:val="0"/>
        <w:spacing w:before="65" w:line="240" w:lineRule="auto"/>
        <w:ind w:left="120" w:right="198"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7.4.1 比选人和中标人应当自中标通知书发出之日起30天内，根据比选文件和中标人的竞标文件</w:t>
      </w:r>
      <w:r>
        <w:rPr>
          <w:rFonts w:hint="eastAsia" w:ascii="宋体" w:hAnsi="宋体" w:eastAsia="宋体" w:cs="宋体"/>
          <w:color w:val="000000" w:themeColor="text1"/>
          <w:kern w:val="0"/>
          <w:szCs w:val="21"/>
          <w:highlight w:val="none"/>
          <w14:textFill>
            <w14:solidFill>
              <w14:schemeClr w14:val="tx1"/>
            </w14:solidFill>
          </w14:textFill>
        </w:rPr>
        <w:t>订立书面合同</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中标人无正当理由拒签合同的</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比选人取消其中标资格</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给比选人造成的损失的</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中标人还应当予以赔偿。</w:t>
      </w:r>
    </w:p>
    <w:p w14:paraId="6B993725">
      <w:pPr>
        <w:autoSpaceDE w:val="0"/>
        <w:autoSpaceDN w:val="0"/>
        <w:adjustRightInd w:val="0"/>
        <w:spacing w:before="3" w:line="240" w:lineRule="auto"/>
        <w:ind w:left="120" w:right="-9"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 发出中标通知书</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无</w:t>
      </w:r>
      <w:r>
        <w:rPr>
          <w:rFonts w:hint="eastAsia" w:ascii="宋体" w:hAnsi="宋体" w:eastAsia="宋体" w:cs="宋体"/>
          <w:color w:val="000000" w:themeColor="text1"/>
          <w:kern w:val="0"/>
          <w:szCs w:val="21"/>
          <w:highlight w:val="none"/>
          <w14:textFill>
            <w14:solidFill>
              <w14:schemeClr w14:val="tx1"/>
            </w14:solidFill>
          </w14:textFill>
        </w:rPr>
        <w:t>正当理由</w:t>
      </w:r>
      <w:r>
        <w:rPr>
          <w:rFonts w:hint="eastAsia" w:ascii="宋体" w:hAnsi="宋体" w:eastAsia="宋体" w:cs="宋体"/>
          <w:color w:val="000000" w:themeColor="text1"/>
          <w:szCs w:val="21"/>
          <w:highlight w:val="none"/>
          <w14:textFill>
            <w14:solidFill>
              <w14:schemeClr w14:val="tx1"/>
            </w14:solidFill>
          </w14:textFill>
        </w:rPr>
        <w:t>拒</w:t>
      </w:r>
      <w:r>
        <w:rPr>
          <w:rFonts w:hint="eastAsia" w:ascii="宋体" w:hAnsi="宋体" w:eastAsia="宋体" w:cs="宋体"/>
          <w:color w:val="000000" w:themeColor="text1"/>
          <w:kern w:val="0"/>
          <w:szCs w:val="21"/>
          <w:highlight w:val="none"/>
          <w14:textFill>
            <w14:solidFill>
              <w14:schemeClr w14:val="tx1"/>
            </w14:solidFill>
          </w14:textFill>
        </w:rPr>
        <w:t>签合同，给中标人造成损失的，还应当赔偿损失。</w:t>
      </w:r>
    </w:p>
    <w:p w14:paraId="40D11645">
      <w:pPr>
        <w:pStyle w:val="3"/>
        <w:tabs>
          <w:tab w:val="left" w:pos="7350"/>
        </w:tabs>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8" w:name="_Toc389633594"/>
      <w:bookmarkStart w:id="229" w:name="_Toc781"/>
      <w:bookmarkStart w:id="230" w:name="_Toc358902131"/>
      <w:bookmarkStart w:id="231" w:name="_Toc25564"/>
      <w:bookmarkStart w:id="232" w:name="_Toc29710"/>
      <w:bookmarkStart w:id="233" w:name="_Toc24244"/>
      <w:r>
        <w:rPr>
          <w:rFonts w:hint="eastAsia" w:ascii="宋体" w:hAnsi="宋体" w:eastAsia="宋体" w:cs="宋体"/>
          <w:snapToGrid w:val="0"/>
          <w:color w:val="000000" w:themeColor="text1"/>
          <w:sz w:val="21"/>
          <w:szCs w:val="21"/>
          <w:highlight w:val="none"/>
          <w14:textFill>
            <w14:solidFill>
              <w14:schemeClr w14:val="tx1"/>
            </w14:solidFill>
          </w14:textFill>
        </w:rPr>
        <w:t>8.  重新比选和不再</w:t>
      </w:r>
      <w:bookmarkEnd w:id="228"/>
      <w:bookmarkEnd w:id="229"/>
      <w:bookmarkEnd w:id="230"/>
      <w:bookmarkEnd w:id="231"/>
      <w:bookmarkEnd w:id="232"/>
      <w:r>
        <w:rPr>
          <w:rFonts w:hint="eastAsia" w:ascii="宋体" w:hAnsi="宋体" w:eastAsia="宋体" w:cs="宋体"/>
          <w:snapToGrid w:val="0"/>
          <w:color w:val="000000" w:themeColor="text1"/>
          <w:sz w:val="21"/>
          <w:szCs w:val="21"/>
          <w:highlight w:val="none"/>
          <w14:textFill>
            <w14:solidFill>
              <w14:schemeClr w14:val="tx1"/>
            </w14:solidFill>
          </w14:textFill>
        </w:rPr>
        <w:t>比选</w:t>
      </w:r>
      <w:bookmarkEnd w:id="233"/>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117E215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4" w:name="_Toc30290"/>
      <w:bookmarkStart w:id="235" w:name="_Toc30043"/>
      <w:bookmarkStart w:id="236" w:name="_Toc29182"/>
      <w:bookmarkStart w:id="237" w:name="_Toc389633595"/>
      <w:r>
        <w:rPr>
          <w:rFonts w:hint="eastAsia" w:ascii="宋体" w:hAnsi="宋体" w:eastAsia="宋体" w:cs="宋体"/>
          <w:snapToGrid w:val="0"/>
          <w:color w:val="000000" w:themeColor="text1"/>
          <w:sz w:val="21"/>
          <w:szCs w:val="21"/>
          <w:highlight w:val="none"/>
          <w14:textFill>
            <w14:solidFill>
              <w14:schemeClr w14:val="tx1"/>
            </w14:solidFill>
          </w14:textFill>
        </w:rPr>
        <w:t>8.1  重新</w:t>
      </w:r>
      <w:bookmarkEnd w:id="234"/>
      <w:bookmarkEnd w:id="235"/>
      <w:bookmarkEnd w:id="236"/>
      <w:bookmarkEnd w:id="237"/>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0A4CDA8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有下列情形之一的，比选人将重新比选：</w:t>
      </w:r>
    </w:p>
    <w:p w14:paraId="31D83CD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截止时间止，竞标人少于 3 个的；</w:t>
      </w:r>
    </w:p>
    <w:p w14:paraId="7E267F5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（2）经</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评审后否决所有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的；</w:t>
      </w:r>
    </w:p>
    <w:p w14:paraId="5B3501F9">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8" w:name="_Toc23091"/>
      <w:bookmarkStart w:id="239" w:name="_Toc8740"/>
      <w:bookmarkStart w:id="240" w:name="_Toc14375"/>
      <w:bookmarkStart w:id="241" w:name="_Toc389633596"/>
      <w:r>
        <w:rPr>
          <w:rFonts w:hint="eastAsia" w:ascii="宋体" w:hAnsi="宋体" w:eastAsia="宋体" w:cs="宋体"/>
          <w:snapToGrid w:val="0"/>
          <w:color w:val="000000" w:themeColor="text1"/>
          <w:sz w:val="21"/>
          <w:szCs w:val="21"/>
          <w:highlight w:val="none"/>
          <w14:textFill>
            <w14:solidFill>
              <w14:schemeClr w14:val="tx1"/>
            </w14:solidFill>
          </w14:textFill>
        </w:rPr>
        <w:t>8.2  二次比选和不再</w:t>
      </w:r>
      <w:bookmarkEnd w:id="238"/>
      <w:bookmarkEnd w:id="239"/>
      <w:bookmarkEnd w:id="240"/>
      <w:bookmarkEnd w:id="241"/>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73D1594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重新比选时竞标人仍少于3个，按法定程序开标和评标，确定中标人。经评审无合格竞标人，属于必须审批或核准的工程建设项目，经原审批或核准部门批准后不再进行比选。</w:t>
      </w:r>
    </w:p>
    <w:p w14:paraId="7F920D4E">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2" w:name="_Toc12351"/>
      <w:bookmarkStart w:id="243" w:name="_Toc389633597"/>
      <w:bookmarkStart w:id="244" w:name="_Toc8814"/>
      <w:bookmarkStart w:id="245" w:name="_Toc20186"/>
      <w:bookmarkStart w:id="246" w:name="_Toc358902132"/>
      <w:bookmarkStart w:id="247" w:name="_Toc5820"/>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242"/>
      <w:bookmarkEnd w:id="243"/>
      <w:bookmarkEnd w:id="244"/>
      <w:bookmarkEnd w:id="245"/>
      <w:bookmarkEnd w:id="246"/>
      <w:bookmarkEnd w:id="247"/>
    </w:p>
    <w:p w14:paraId="650D1F9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8" w:name="_Toc24492"/>
      <w:bookmarkStart w:id="249" w:name="_Toc10077"/>
      <w:bookmarkStart w:id="250" w:name="_Toc389633598"/>
      <w:bookmarkStart w:id="251" w:name="_Toc5099"/>
      <w:r>
        <w:rPr>
          <w:rFonts w:hint="eastAsia" w:ascii="宋体" w:hAnsi="宋体" w:eastAsia="宋体" w:cs="宋体"/>
          <w:snapToGrid w:val="0"/>
          <w:color w:val="000000" w:themeColor="text1"/>
          <w:sz w:val="21"/>
          <w:szCs w:val="21"/>
          <w:highlight w:val="none"/>
          <w14:textFill>
            <w14:solidFill>
              <w14:schemeClr w14:val="tx1"/>
            </w14:solidFill>
          </w14:textFill>
        </w:rPr>
        <w:t>9.1  对比选人的纪律要求</w:t>
      </w:r>
      <w:bookmarkEnd w:id="248"/>
      <w:bookmarkEnd w:id="249"/>
      <w:bookmarkEnd w:id="250"/>
      <w:bookmarkEnd w:id="251"/>
    </w:p>
    <w:p w14:paraId="46CB2BFE">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比选人不得泄漏比选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活动中应当保密的情况和资料，不得与竞标人串通损害国家利益、社会公共利益或者他人合法权益。</w:t>
      </w:r>
    </w:p>
    <w:p w14:paraId="1EAD68ED">
      <w:pPr>
        <w:autoSpaceDE w:val="0"/>
        <w:autoSpaceDN w:val="0"/>
        <w:adjustRightInd w:val="0"/>
        <w:snapToGrid w:val="0"/>
        <w:spacing w:line="240" w:lineRule="auto"/>
        <w:ind w:firstLine="42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有下列情形之一的，属于比选人与竞标人串通</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w:t>
      </w:r>
    </w:p>
    <w:p w14:paraId="6D14FA6A">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（1）比选人在开标前开启竞标文件并将有关信息泄露给其他竞标人;</w:t>
      </w:r>
    </w:p>
    <w:p w14:paraId="546AFAFF">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（2）比选人直接或者间接向竞标人泄露标底、</w:t>
      </w:r>
      <w:r>
        <w:rPr>
          <w:rFonts w:hint="eastAsia" w:ascii="宋体" w:hAnsi="宋体" w:eastAsia="宋体" w:cs="宋体"/>
          <w:color w:val="000000" w:themeColor="text1"/>
          <w:highlight w:val="none"/>
          <w:lang w:eastAsia="zh-CN"/>
          <w14:textFill>
            <w14:solidFill>
              <w14:schemeClr w14:val="tx1"/>
            </w14:solidFill>
          </w14:textFill>
        </w:rPr>
        <w:t>评审委员会</w:t>
      </w:r>
      <w:r>
        <w:rPr>
          <w:rFonts w:hint="eastAsia" w:ascii="宋体" w:hAnsi="宋体" w:eastAsia="宋体" w:cs="宋体"/>
          <w:color w:val="000000" w:themeColor="text1"/>
          <w:highlight w:val="none"/>
          <w14:textFill>
            <w14:solidFill>
              <w14:schemeClr w14:val="tx1"/>
            </w14:solidFill>
          </w14:textFill>
        </w:rPr>
        <w:t>成员等信息；</w:t>
      </w:r>
    </w:p>
    <w:p w14:paraId="40D21F41">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（3）比选人明示或者暗示竞标人压低或者抬高竞标报价；</w:t>
      </w:r>
    </w:p>
    <w:p w14:paraId="71316167">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（4）比选人授意竞标人撤换、修改竞标文件；</w:t>
      </w:r>
    </w:p>
    <w:p w14:paraId="10CD0CD3">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（5）比选人明示或者暗示竞标人为特定竞标人中标提供方便；</w:t>
      </w:r>
    </w:p>
    <w:p w14:paraId="7C68B158">
      <w:pPr>
        <w:autoSpaceDE w:val="0"/>
        <w:autoSpaceDN w:val="0"/>
        <w:adjustRightInd w:val="0"/>
        <w:snapToGrid w:val="0"/>
        <w:spacing w:line="240" w:lineRule="auto"/>
        <w:ind w:left="0" w:leftChars="-200" w:hanging="420" w:hanging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（6）比选人与竞标人为谋求特定竞标人中标而采取的其他串通行为。</w:t>
      </w:r>
    </w:p>
    <w:p w14:paraId="5299545E">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2" w:name="_Toc389633599"/>
      <w:bookmarkStart w:id="253" w:name="_Toc30183"/>
      <w:bookmarkStart w:id="254" w:name="_Toc22747"/>
      <w:bookmarkStart w:id="255" w:name="_Toc7965"/>
      <w:r>
        <w:rPr>
          <w:rFonts w:hint="eastAsia" w:ascii="宋体" w:hAnsi="宋体" w:eastAsia="宋体" w:cs="宋体"/>
          <w:snapToGrid w:val="0"/>
          <w:color w:val="000000" w:themeColor="text1"/>
          <w:sz w:val="21"/>
          <w:szCs w:val="21"/>
          <w:highlight w:val="none"/>
          <w14:textFill>
            <w14:solidFill>
              <w14:schemeClr w14:val="tx1"/>
            </w14:solidFill>
          </w14:textFill>
        </w:rPr>
        <w:t>9.2  对竞标人的纪律及</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52"/>
      <w:bookmarkEnd w:id="253"/>
      <w:bookmarkEnd w:id="254"/>
      <w:bookmarkEnd w:id="255"/>
    </w:p>
    <w:p w14:paraId="464B814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竞标人不得相互串通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或者与比选人串通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，不得向比选人或者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成员行贿谋取中标，不得以他人名义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或者以其他方式弄虚作假骗取中标；竞标人不得以任何方式干扰、影响评标工作。</w:t>
      </w:r>
    </w:p>
    <w:p w14:paraId="292D53B8">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有下列情形之一的，属于竞标人相互串通</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w:t>
      </w:r>
    </w:p>
    <w:p w14:paraId="1408F5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（1）竞标人之间协商竞标报价等竞标文件的实质性内容；</w:t>
      </w:r>
    </w:p>
    <w:p w14:paraId="1DA7E91A">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（2）竞标人之间约定中标人；</w:t>
      </w:r>
    </w:p>
    <w:p w14:paraId="283FD303">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（3）竞标人之间约定部分竞标人放弃</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或者中标；</w:t>
      </w:r>
    </w:p>
    <w:p w14:paraId="120F700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（4）属于同一集团、协会、商会等组织成员的竞标人按照该组织要求协同</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w:t>
      </w:r>
    </w:p>
    <w:p w14:paraId="41315CA9">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（5）竞标人之间为谋取中标或者排斥特定竞标人而采取的其他联合行动。</w:t>
      </w:r>
    </w:p>
    <w:p w14:paraId="181DA230">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有下列情形之一的，视为竞标人相互串通</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w:t>
      </w:r>
    </w:p>
    <w:p w14:paraId="10319AC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（1）不同竞标人的竞标文件由同一单位或者个人编制；</w:t>
      </w:r>
    </w:p>
    <w:p w14:paraId="4F0B53B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（2）不同竞标人委托同一单位或者个人办理</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事宜；</w:t>
      </w:r>
    </w:p>
    <w:p w14:paraId="4CF37E8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（3）不同竞标人的竞标文件载明的项目管理成员为同一人；</w:t>
      </w:r>
    </w:p>
    <w:p w14:paraId="014C3CA7">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（4）不同竞标人的竞标文件异常一致或者竞标报价呈规律性差异；</w:t>
      </w:r>
    </w:p>
    <w:p w14:paraId="496E765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（5）不同竞标人的竞标文件相互混装；</w:t>
      </w:r>
    </w:p>
    <w:p w14:paraId="013D007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（6）不同竞标人的</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保证金从同一单位或者个人的账户转出。</w:t>
      </w:r>
    </w:p>
    <w:p w14:paraId="554CAC41">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firstLine="840" w:firstLineChars="4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使用通过受让或者租借等方式获取的资格、资质证书</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的，属于以他人名义</w:t>
      </w:r>
      <w:r>
        <w:rPr>
          <w:rFonts w:hint="eastAsia" w:ascii="宋体" w:hAnsi="宋体" w:eastAsia="宋体" w:cs="宋体"/>
          <w:color w:val="000000" w:themeColor="text1"/>
          <w:highlight w:val="none"/>
          <w:lang w:eastAsia="zh-CN"/>
          <w14:textFill>
            <w14:solidFill>
              <w14:schemeClr w14:val="tx1"/>
            </w14:solidFill>
          </w14:textFill>
        </w:rPr>
        <w:t>竞标</w:t>
      </w:r>
      <w:r>
        <w:rPr>
          <w:rFonts w:hint="eastAsia" w:ascii="宋体" w:hAnsi="宋体" w:eastAsia="宋体" w:cs="宋体"/>
          <w:color w:val="000000" w:themeColor="text1"/>
          <w:highlight w:val="none"/>
          <w14:textFill>
            <w14:solidFill>
              <w14:schemeClr w14:val="tx1"/>
            </w14:solidFill>
          </w14:textFill>
        </w:rPr>
        <w:t>。</w:t>
      </w:r>
    </w:p>
    <w:p w14:paraId="5969DEDB">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竞标人有下列情形之一的，属于以其他方式弄虚作假的行为：</w:t>
      </w:r>
    </w:p>
    <w:p w14:paraId="10C444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（一）使用伪造、变造的许可证件；</w:t>
      </w:r>
    </w:p>
    <w:p w14:paraId="1EFA774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（二）提供虚假的财务状况或者业绩；</w:t>
      </w:r>
    </w:p>
    <w:p w14:paraId="45B2374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（三）提供虚假的项目负责人或者主要技术人员简历、劳动关系证明；</w:t>
      </w:r>
    </w:p>
    <w:p w14:paraId="4CF6ED6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（四）提供虚假的信用状况；</w:t>
      </w:r>
    </w:p>
    <w:p w14:paraId="298715F3">
      <w:pPr>
        <w:autoSpaceDE w:val="0"/>
        <w:autoSpaceDN w:val="0"/>
        <w:adjustRightInd w:val="0"/>
        <w:snapToGrid w:val="0"/>
        <w:spacing w:line="240" w:lineRule="auto"/>
        <w:ind w:left="0" w:leftChars="-200" w:hanging="420" w:hanging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（五）其他弄虚作假的行为。</w:t>
      </w:r>
    </w:p>
    <w:p w14:paraId="2746EA77">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6" w:name="_Toc22743"/>
      <w:bookmarkStart w:id="257" w:name="_Toc1512"/>
      <w:bookmarkStart w:id="258" w:name="_Toc5722"/>
      <w:bookmarkStart w:id="259" w:name="_Toc389633600"/>
      <w:r>
        <w:rPr>
          <w:rFonts w:hint="eastAsia" w:ascii="宋体" w:hAnsi="宋体" w:eastAsia="宋体" w:cs="宋体"/>
          <w:snapToGrid w:val="0"/>
          <w:color w:val="000000" w:themeColor="text1"/>
          <w:sz w:val="21"/>
          <w:szCs w:val="21"/>
          <w:highlight w:val="none"/>
          <w14:textFill>
            <w14:solidFill>
              <w14:schemeClr w14:val="tx1"/>
            </w14:solidFill>
          </w14:textFill>
        </w:rPr>
        <w:t>9.3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sz w:val="21"/>
          <w:szCs w:val="21"/>
          <w:highlight w:val="none"/>
          <w14:textFill>
            <w14:solidFill>
              <w14:schemeClr w14:val="tx1"/>
            </w14:solidFill>
          </w14:textFill>
        </w:rPr>
        <w:t>成员的纪律要求</w:t>
      </w:r>
      <w:bookmarkEnd w:id="256"/>
      <w:bookmarkEnd w:id="257"/>
      <w:bookmarkEnd w:id="258"/>
      <w:bookmarkEnd w:id="259"/>
    </w:p>
    <w:p w14:paraId="2249210F">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成员不得收受他人的财物或者其他好处，不得向他人透漏对竞标文件的评审和比较、中标候选人的推荐情况以及评标有关的其他情况。在评标活动中，</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成员不得擅离职守，影响评标程序正常进行，不得使用第三章“评标办法”没有规定的评审因素和标准进行评标。</w:t>
      </w:r>
    </w:p>
    <w:p w14:paraId="22CF199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0" w:name="_Toc5117"/>
      <w:bookmarkStart w:id="261" w:name="_Toc389633601"/>
      <w:bookmarkStart w:id="262" w:name="_Toc20600"/>
      <w:bookmarkStart w:id="263" w:name="_Toc600"/>
      <w:r>
        <w:rPr>
          <w:rFonts w:hint="eastAsia" w:ascii="宋体" w:hAnsi="宋体" w:eastAsia="宋体" w:cs="宋体"/>
          <w:snapToGrid w:val="0"/>
          <w:color w:val="000000" w:themeColor="text1"/>
          <w:sz w:val="21"/>
          <w:szCs w:val="21"/>
          <w:highlight w:val="none"/>
          <w14:textFill>
            <w14:solidFill>
              <w14:schemeClr w14:val="tx1"/>
            </w14:solidFill>
          </w14:textFill>
        </w:rPr>
        <w:t>9.4 对与评标活动有关的工作人员的纪律要求</w:t>
      </w:r>
      <w:bookmarkEnd w:id="260"/>
      <w:bookmarkEnd w:id="261"/>
      <w:bookmarkEnd w:id="262"/>
      <w:bookmarkEnd w:id="263"/>
    </w:p>
    <w:p w14:paraId="22BF92B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14:paraId="40B192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4" w:name="_Toc5189"/>
      <w:bookmarkStart w:id="265" w:name="_Toc389633602"/>
      <w:bookmarkStart w:id="266" w:name="_Toc27072"/>
      <w:bookmarkStart w:id="267" w:name="_Toc10130"/>
      <w:r>
        <w:rPr>
          <w:rFonts w:hint="eastAsia" w:ascii="宋体" w:hAnsi="宋体" w:eastAsia="宋体" w:cs="宋体"/>
          <w:snapToGrid w:val="0"/>
          <w:color w:val="000000" w:themeColor="text1"/>
          <w:sz w:val="21"/>
          <w:szCs w:val="21"/>
          <w:highlight w:val="none"/>
          <w14:textFill>
            <w14:solidFill>
              <w14:schemeClr w14:val="tx1"/>
            </w14:solidFill>
          </w14:textFill>
        </w:rPr>
        <w:t>9.5 投诉</w:t>
      </w:r>
      <w:bookmarkEnd w:id="264"/>
      <w:bookmarkEnd w:id="265"/>
      <w:bookmarkEnd w:id="266"/>
      <w:bookmarkEnd w:id="267"/>
    </w:p>
    <w:p w14:paraId="18DFEC7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竞标人和其他利害关系人认为本次比选活动违反法律、法规和规章规定的，有权向有关行政监督部门投诉。</w:t>
      </w:r>
    </w:p>
    <w:p w14:paraId="1192615C">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8" w:name="_Toc358902133"/>
      <w:bookmarkStart w:id="269" w:name="_Toc389633603"/>
      <w:bookmarkStart w:id="270" w:name="_Toc2827"/>
      <w:bookmarkStart w:id="271" w:name="_Toc32735"/>
      <w:bookmarkStart w:id="272" w:name="_Toc4044"/>
      <w:bookmarkStart w:id="273" w:name="_Toc21632"/>
      <w:r>
        <w:rPr>
          <w:rFonts w:hint="eastAsia" w:ascii="宋体" w:hAnsi="宋体" w:eastAsia="宋体" w:cs="宋体"/>
          <w:snapToGrid w:val="0"/>
          <w:color w:val="000000" w:themeColor="text1"/>
          <w:sz w:val="21"/>
          <w:szCs w:val="21"/>
          <w:highlight w:val="none"/>
          <w14:textFill>
            <w14:solidFill>
              <w14:schemeClr w14:val="tx1"/>
            </w14:solidFill>
          </w14:textFill>
        </w:rPr>
        <w:t>10 需要补充的其他内容</w:t>
      </w:r>
      <w:bookmarkEnd w:id="268"/>
      <w:bookmarkEnd w:id="269"/>
      <w:bookmarkEnd w:id="270"/>
      <w:bookmarkEnd w:id="271"/>
      <w:bookmarkEnd w:id="272"/>
      <w:bookmarkEnd w:id="273"/>
    </w:p>
    <w:p w14:paraId="0047943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需要补充的其他内容：见竞标人须知前附表。</w:t>
      </w:r>
    </w:p>
    <w:p w14:paraId="31F23C14">
      <w:pPr>
        <w:autoSpaceDE w:val="0"/>
        <w:autoSpaceDN w:val="0"/>
        <w:adjustRightInd w:val="0"/>
        <w:snapToGrid w:val="0"/>
        <w:spacing w:line="360" w:lineRule="auto"/>
        <w:jc w:val="center"/>
        <w:outlineLvl w:val="0"/>
        <w:rPr>
          <w:rFonts w:hint="eastAsia" w:ascii="宋体" w:hAnsi="宋体" w:eastAsia="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br w:type="page"/>
      </w:r>
      <w:bookmarkStart w:id="274" w:name="_Toc27642"/>
      <w:bookmarkStart w:id="275" w:name="_Toc389633604"/>
      <w:bookmarkStart w:id="276" w:name="_Toc144974565"/>
      <w:bookmarkStart w:id="277" w:name="_Toc152042375"/>
      <w:bookmarkStart w:id="278" w:name="_Toc152045598"/>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kern w:val="0"/>
          <w:sz w:val="32"/>
          <w:szCs w:val="32"/>
          <w:highlight w:val="none"/>
          <w14:textFill>
            <w14:solidFill>
              <w14:schemeClr w14:val="tx1"/>
            </w14:solidFill>
          </w14:textFill>
        </w:rPr>
        <w:t>评标办法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r>
        <w:rPr>
          <w:rFonts w:hint="eastAsia" w:ascii="宋体" w:hAnsi="宋体" w:eastAsia="宋体" w:cs="宋体"/>
          <w:b/>
          <w:bCs/>
          <w:snapToGrid w:val="0"/>
          <w:color w:val="000000" w:themeColor="text1"/>
          <w:kern w:val="0"/>
          <w:sz w:val="32"/>
          <w:szCs w:val="32"/>
          <w:highlight w:val="none"/>
          <w:lang w:val="en-US" w:eastAsia="zh-CN"/>
          <w14:textFill>
            <w14:solidFill>
              <w14:schemeClr w14:val="tx1"/>
            </w14:solidFill>
          </w14:textFill>
        </w:rPr>
        <w:t>综合评分法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bookmarkEnd w:id="274"/>
      <w:bookmarkEnd w:id="275"/>
    </w:p>
    <w:p w14:paraId="403EAA4A">
      <w:pPr>
        <w:autoSpaceDE w:val="0"/>
        <w:autoSpaceDN w:val="0"/>
        <w:adjustRightInd w:val="0"/>
        <w:snapToGrid w:val="0"/>
        <w:spacing w:line="360" w:lineRule="auto"/>
        <w:ind w:firstLine="420"/>
        <w:jc w:val="center"/>
        <w:rPr>
          <w:rFonts w:hint="eastAsia" w:ascii="宋体" w:hAnsi="宋体" w:eastAsia="宋体" w:cs="宋体"/>
          <w:b/>
          <w:bCs/>
          <w:snapToGrid w:val="0"/>
          <w:color w:val="000000" w:themeColor="text1"/>
          <w:kern w:val="0"/>
          <w:szCs w:val="21"/>
          <w:highlight w:val="none"/>
          <w14:textFill>
            <w14:solidFill>
              <w14:schemeClr w14:val="tx1"/>
            </w14:solidFill>
          </w14:textFill>
        </w:rPr>
      </w:pPr>
      <w:bookmarkStart w:id="279" w:name="_Toc224103371"/>
      <w:bookmarkStart w:id="280" w:name="_Toc389633605"/>
      <w:bookmarkStart w:id="281" w:name="_Toc357417629"/>
      <w:bookmarkStart w:id="282" w:name="_Toc17584"/>
      <w:bookmarkStart w:id="283" w:name="_Toc287607800"/>
      <w:bookmarkStart w:id="284" w:name="_Toc23783"/>
      <w:bookmarkStart w:id="285" w:name="_Toc22137"/>
      <w:bookmarkStart w:id="286" w:name="_Toc277082606"/>
      <w:bookmarkStart w:id="287" w:name="_Toc287620739"/>
      <w:r>
        <w:rPr>
          <w:rFonts w:hint="eastAsia" w:ascii="宋体" w:hAnsi="宋体" w:eastAsia="宋体" w:cs="宋体"/>
          <w:b/>
          <w:bCs/>
          <w:color w:val="000000" w:themeColor="text1"/>
          <w:highlight w:val="none"/>
          <w14:textFill>
            <w14:solidFill>
              <w14:schemeClr w14:val="tx1"/>
            </w14:solidFill>
          </w14:textFill>
        </w:rPr>
        <w:t>评标办法前附表</w:t>
      </w:r>
      <w:bookmarkEnd w:id="279"/>
      <w:bookmarkEnd w:id="280"/>
      <w:bookmarkEnd w:id="281"/>
      <w:bookmarkEnd w:id="282"/>
      <w:bookmarkEnd w:id="283"/>
      <w:bookmarkEnd w:id="284"/>
      <w:bookmarkEnd w:id="285"/>
      <w:bookmarkEnd w:id="286"/>
      <w:bookmarkEnd w:id="287"/>
    </w:p>
    <w:bookmarkEnd w:id="276"/>
    <w:bookmarkEnd w:id="277"/>
    <w:bookmarkEnd w:id="278"/>
    <w:p w14:paraId="4D51EA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288" w:name="_Toc13210726"/>
      <w:r>
        <w:rPr>
          <w:rFonts w:hint="eastAsia" w:ascii="宋体" w:hAnsi="宋体" w:eastAsia="宋体" w:cs="宋体"/>
          <w:color w:val="000000" w:themeColor="text1"/>
          <w:highlight w:val="none"/>
          <w14:textFill>
            <w14:solidFill>
              <w14:schemeClr w14:val="tx1"/>
            </w14:solidFill>
          </w14:textFill>
        </w:rPr>
        <w:t>评标办法前附表中的评审内容必须和竞</w:t>
      </w:r>
      <w:r>
        <w:rPr>
          <w:rFonts w:hint="eastAsia" w:ascii="宋体" w:hAnsi="宋体" w:eastAsia="宋体" w:cs="宋体"/>
          <w:color w:val="000000" w:themeColor="text1"/>
          <w:highlight w:val="none"/>
          <w:lang w:val="en-US" w:eastAsia="zh-CN"/>
          <w14:textFill>
            <w14:solidFill>
              <w14:schemeClr w14:val="tx1"/>
            </w14:solidFill>
          </w14:textFill>
        </w:rPr>
        <w:t>标</w:t>
      </w:r>
      <w:r>
        <w:rPr>
          <w:rFonts w:hint="eastAsia" w:ascii="宋体" w:hAnsi="宋体" w:eastAsia="宋体" w:cs="宋体"/>
          <w:color w:val="000000" w:themeColor="text1"/>
          <w:highlight w:val="none"/>
          <w14:textFill>
            <w14:solidFill>
              <w14:schemeClr w14:val="tx1"/>
            </w14:solidFill>
          </w14:textFill>
        </w:rPr>
        <w:t>人须知前附表中的对应内容一致，若竞</w:t>
      </w:r>
      <w:r>
        <w:rPr>
          <w:rFonts w:hint="eastAsia" w:ascii="宋体" w:hAnsi="宋体" w:eastAsia="宋体" w:cs="宋体"/>
          <w:color w:val="000000" w:themeColor="text1"/>
          <w:highlight w:val="none"/>
          <w:lang w:val="en-US" w:eastAsia="zh-CN"/>
          <w14:textFill>
            <w14:solidFill>
              <w14:schemeClr w14:val="tx1"/>
            </w14:solidFill>
          </w14:textFill>
        </w:rPr>
        <w:t>标</w:t>
      </w:r>
      <w:r>
        <w:rPr>
          <w:rFonts w:hint="eastAsia" w:ascii="宋体" w:hAnsi="宋体" w:eastAsia="宋体" w:cs="宋体"/>
          <w:color w:val="000000" w:themeColor="text1"/>
          <w:highlight w:val="none"/>
          <w14:textFill>
            <w14:solidFill>
              <w14:schemeClr w14:val="tx1"/>
            </w14:solidFill>
          </w14:textFill>
        </w:rPr>
        <w:t>人须知前附表中未作要求的内容，不得列入评标办法前附表作为评定依据。</w:t>
      </w:r>
      <w:bookmarkEnd w:id="288"/>
    </w:p>
    <w:tbl>
      <w:tblPr>
        <w:tblStyle w:val="18"/>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29"/>
        <w:gridCol w:w="1186"/>
        <w:gridCol w:w="1483"/>
        <w:gridCol w:w="2388"/>
        <w:gridCol w:w="3403"/>
      </w:tblGrid>
      <w:tr w14:paraId="100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5E13B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4BF869E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6184979">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评审因素与评审标准</w:t>
            </w:r>
          </w:p>
        </w:tc>
      </w:tr>
      <w:tr w14:paraId="41B6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2C07617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743B301">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评标办法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CCACA93">
            <w:pPr>
              <w:keepNext w:val="0"/>
              <w:keepLines w:val="0"/>
              <w:pageBreakBefore w:val="0"/>
              <w:widowControl/>
              <w:kinsoku/>
              <w:wordWrap/>
              <w:overflowPunct/>
              <w:topLinePunct w:val="0"/>
              <w:bidi w:val="0"/>
              <w:spacing w:line="240" w:lineRule="auto"/>
              <w:ind w:firstLine="436" w:firstLineChars="200"/>
              <w:jc w:val="left"/>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本次评标采用综合评分法，若出现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pacing w:val="4"/>
                <w:kern w:val="0"/>
                <w:sz w:val="21"/>
                <w:szCs w:val="21"/>
                <w:highlight w:val="none"/>
                <w14:textFill>
                  <w14:solidFill>
                    <w14:schemeClr w14:val="tx1"/>
                  </w14:solidFill>
                </w14:textFill>
              </w:rPr>
              <w:t>综合评分相等时，</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14:textFill>
                  <w14:solidFill>
                    <w14:schemeClr w14:val="tx1"/>
                  </w14:solidFill>
                </w14:textFill>
              </w:rPr>
              <w:t>依次按照以下优先顺序推荐中标候选人：以评标价低的优先；若出现评标价相同的，由</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lang w:val="en-US" w:eastAsia="zh-CN"/>
                <w14:textFill>
                  <w14:solidFill>
                    <w14:schemeClr w14:val="tx1"/>
                  </w14:solidFill>
                </w14:textFill>
              </w:rPr>
              <w:t>随机</w:t>
            </w:r>
            <w:r>
              <w:rPr>
                <w:rFonts w:hint="eastAsia" w:ascii="宋体" w:hAnsi="宋体" w:eastAsia="宋体" w:cs="宋体"/>
                <w:color w:val="000000" w:themeColor="text1"/>
                <w:spacing w:val="4"/>
                <w:kern w:val="0"/>
                <w:sz w:val="21"/>
                <w:szCs w:val="21"/>
                <w:highlight w:val="none"/>
                <w14:textFill>
                  <w14:solidFill>
                    <w14:schemeClr w14:val="tx1"/>
                  </w14:solidFill>
                </w14:textFill>
              </w:rPr>
              <w:t>抽签确定排序。</w:t>
            </w:r>
          </w:p>
        </w:tc>
      </w:tr>
      <w:tr w14:paraId="63AC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3DFE8C9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w:t>
            </w:r>
          </w:p>
        </w:tc>
        <w:tc>
          <w:tcPr>
            <w:tcW w:w="629" w:type="dxa"/>
            <w:vMerge w:val="restart"/>
            <w:tcBorders>
              <w:top w:val="single" w:color="auto" w:sz="4" w:space="0"/>
              <w:left w:val="single" w:color="auto" w:sz="4" w:space="0"/>
              <w:right w:val="single" w:color="auto" w:sz="4" w:space="0"/>
            </w:tcBorders>
            <w:noWrap w:val="0"/>
            <w:vAlign w:val="center"/>
          </w:tcPr>
          <w:p w14:paraId="79AF8FE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w:t>
            </w:r>
          </w:p>
          <w:p w14:paraId="08D5E4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格</w:t>
            </w:r>
          </w:p>
          <w:p w14:paraId="161838E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8712F2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2E04A0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6B4FC20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3F0443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0CF6408">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246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68FA255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E6FC05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63E9872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资质条件</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5D896D4">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4E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3" w:type="dxa"/>
            <w:vMerge w:val="continue"/>
            <w:tcBorders>
              <w:left w:val="single" w:color="auto" w:sz="4" w:space="0"/>
              <w:right w:val="single" w:color="auto" w:sz="4" w:space="0"/>
            </w:tcBorders>
            <w:noWrap w:val="0"/>
            <w:vAlign w:val="center"/>
          </w:tcPr>
          <w:p w14:paraId="7BAFEC3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264BB4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B91EDC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安全生产许可</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799DC0">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38F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7FE7FA8B">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18FE9C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AFDA77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项目经理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10015A">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5B1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076C1D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BD79C8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A44356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AD543B7">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5C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3" w:type="dxa"/>
            <w:vMerge w:val="continue"/>
            <w:tcBorders>
              <w:left w:val="single" w:color="auto" w:sz="4" w:space="0"/>
              <w:right w:val="single" w:color="auto" w:sz="4" w:space="0"/>
            </w:tcBorders>
            <w:noWrap w:val="0"/>
            <w:vAlign w:val="center"/>
          </w:tcPr>
          <w:p w14:paraId="64FF51D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2ED29B3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7CCE15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C9AC8D">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0FD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restart"/>
            <w:tcBorders>
              <w:left w:val="single" w:color="auto" w:sz="4" w:space="0"/>
              <w:right w:val="single" w:color="auto" w:sz="4" w:space="0"/>
            </w:tcBorders>
            <w:noWrap w:val="0"/>
            <w:vAlign w:val="center"/>
          </w:tcPr>
          <w:p w14:paraId="477237D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w:t>
            </w:r>
          </w:p>
        </w:tc>
        <w:tc>
          <w:tcPr>
            <w:tcW w:w="629" w:type="dxa"/>
            <w:vMerge w:val="restart"/>
            <w:tcBorders>
              <w:left w:val="single" w:color="auto" w:sz="4" w:space="0"/>
              <w:right w:val="single" w:color="auto" w:sz="4" w:space="0"/>
            </w:tcBorders>
            <w:noWrap w:val="0"/>
            <w:vAlign w:val="center"/>
          </w:tcPr>
          <w:p w14:paraId="3512C9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w:t>
            </w:r>
          </w:p>
          <w:p w14:paraId="41638A7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式</w:t>
            </w:r>
          </w:p>
          <w:p w14:paraId="5AEC308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D36E9E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77029FA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55D5CAF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1C4D9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B3E85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与营业执照、资质证书、安全生产许可证一致。</w:t>
            </w:r>
          </w:p>
        </w:tc>
      </w:tr>
      <w:tr w14:paraId="5A6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1D6809B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E4F8527">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0C98A0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函签字盖章</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5B54E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有法定代表人或其委托代理人签字（或盖章）、加盖单位法人章。</w:t>
            </w:r>
          </w:p>
        </w:tc>
      </w:tr>
      <w:tr w14:paraId="5899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3" w:type="dxa"/>
            <w:vMerge w:val="continue"/>
            <w:tcBorders>
              <w:left w:val="single" w:color="auto" w:sz="4" w:space="0"/>
              <w:right w:val="single" w:color="auto" w:sz="4" w:space="0"/>
            </w:tcBorders>
            <w:noWrap w:val="0"/>
            <w:vAlign w:val="center"/>
          </w:tcPr>
          <w:p w14:paraId="392EC8B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BB9628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CE539F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 w:val="21"/>
                <w:szCs w:val="21"/>
                <w:highlight w:val="none"/>
                <w14:textFill>
                  <w14:solidFill>
                    <w14:schemeClr w14:val="tx1"/>
                  </w14:solidFill>
                </w14:textFill>
              </w:rPr>
              <w:t>格式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21CB2D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符合第八章“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 w:val="21"/>
                <w:szCs w:val="21"/>
                <w:highlight w:val="none"/>
                <w14:textFill>
                  <w14:solidFill>
                    <w14:schemeClr w14:val="tx1"/>
                  </w14:solidFill>
                </w14:textFill>
              </w:rPr>
              <w:t>格式”的要求。</w:t>
            </w:r>
          </w:p>
        </w:tc>
      </w:tr>
      <w:tr w14:paraId="721D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09EAFF0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5019310">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E14F22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报价唯一</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81078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只能有一个有效报价，在比选文件没有规定的情况下，不得提交选择性报价。</w:t>
            </w:r>
          </w:p>
        </w:tc>
      </w:tr>
      <w:tr w14:paraId="0BB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69B45D9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FEC13B4">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A38A01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 w:val="21"/>
                <w:szCs w:val="21"/>
                <w:highlight w:val="none"/>
                <w14:textFill>
                  <w14:solidFill>
                    <w14:schemeClr w14:val="tx1"/>
                  </w14:solidFill>
                </w14:textFill>
              </w:rPr>
              <w:t>的签署</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5E533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 w:val="21"/>
                <w:szCs w:val="21"/>
                <w:highlight w:val="none"/>
                <w14:textFill>
                  <w14:solidFill>
                    <w14:schemeClr w14:val="tx1"/>
                  </w14:solidFill>
                </w14:textFill>
              </w:rPr>
              <w:t>上法定代表人或其委托代理人的签字（或盖章）齐全。</w:t>
            </w:r>
          </w:p>
        </w:tc>
      </w:tr>
      <w:tr w14:paraId="03B3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228F17D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07019B2D">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8DF881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72C20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法定代表人的委托代理人有法定代表人签署的授权委托书。</w:t>
            </w:r>
          </w:p>
        </w:tc>
      </w:tr>
      <w:tr w14:paraId="7E2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restart"/>
            <w:tcBorders>
              <w:left w:val="single" w:color="auto" w:sz="4" w:space="0"/>
              <w:right w:val="single" w:color="auto" w:sz="4" w:space="0"/>
            </w:tcBorders>
            <w:noWrap w:val="0"/>
            <w:vAlign w:val="center"/>
          </w:tcPr>
          <w:p w14:paraId="67C26AC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629" w:type="dxa"/>
            <w:vMerge w:val="restart"/>
            <w:tcBorders>
              <w:left w:val="single" w:color="auto" w:sz="4" w:space="0"/>
              <w:right w:val="single" w:color="auto" w:sz="4" w:space="0"/>
            </w:tcBorders>
            <w:noWrap w:val="0"/>
            <w:vAlign w:val="center"/>
          </w:tcPr>
          <w:p w14:paraId="1944A44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w:t>
            </w:r>
          </w:p>
          <w:p w14:paraId="4F99012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w:t>
            </w:r>
          </w:p>
          <w:p w14:paraId="691F803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性</w:t>
            </w:r>
          </w:p>
          <w:p w14:paraId="499EFAE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7275133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13990E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096BC18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9633D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竞</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kern w:val="0"/>
                <w:sz w:val="21"/>
                <w:szCs w:val="21"/>
                <w:highlight w:val="none"/>
                <w14:textFill>
                  <w14:solidFill>
                    <w14:schemeClr w14:val="tx1"/>
                  </w14:solidFill>
                </w14:textFill>
              </w:rPr>
              <w:t>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84159E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1.竞</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kern w:val="0"/>
                <w:sz w:val="21"/>
                <w:szCs w:val="21"/>
                <w:highlight w:val="none"/>
                <w14:textFill>
                  <w14:solidFill>
                    <w14:schemeClr w14:val="tx1"/>
                  </w14:solidFill>
                </w14:textFill>
              </w:rPr>
              <w:t>总报价不得高于比选人公布的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总报价最高限价。</w:t>
            </w:r>
          </w:p>
          <w:p w14:paraId="40D1C90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总报价不得低于成本：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的报价明显低于其他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报价，使得其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报价可能低于其个别成本的，应当要求该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做出书面说明并提供相应的证明材料。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不能合理说明或者不能提供相应证明材料的，由</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认定该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以低于成本报价竞标，其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作否决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处理。</w:t>
            </w:r>
          </w:p>
        </w:tc>
      </w:tr>
      <w:tr w14:paraId="3F5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6AEE9A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64BB7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5BA538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暂定金额</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B0478E9">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 w:val="21"/>
                <w:szCs w:val="21"/>
                <w:highlight w:val="none"/>
                <w14:textFill>
                  <w14:solidFill>
                    <w14:schemeClr w14:val="tx1"/>
                  </w14:solidFill>
                </w14:textFill>
              </w:rPr>
              <w:t>给定的金额填报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3E8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92B445E">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701B6E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6CCA4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竞</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kern w:val="0"/>
                <w:sz w:val="21"/>
                <w:szCs w:val="21"/>
                <w:highlight w:val="none"/>
                <w14:textFill>
                  <w14:solidFill>
                    <w14:schemeClr w14:val="tx1"/>
                  </w14:solidFill>
                </w14:textFill>
              </w:rPr>
              <w:t>内容</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2840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须知”第1.3.1项规定</w:t>
            </w:r>
          </w:p>
        </w:tc>
      </w:tr>
      <w:tr w14:paraId="46D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4FAAB93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F6D9F75">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00BE5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kern w:val="0"/>
                <w:sz w:val="21"/>
                <w:szCs w:val="21"/>
                <w:highlight w:val="none"/>
                <w14:textFill>
                  <w14:solidFill>
                    <w14:schemeClr w14:val="tx1"/>
                  </w14:solidFill>
                </w14:textFill>
              </w:rPr>
              <w:t>工期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2184F5">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须知”第1.3.2项规定</w:t>
            </w:r>
          </w:p>
        </w:tc>
      </w:tr>
      <w:tr w14:paraId="6A1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76B04B9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63E31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04D6E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工程质量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57CC8A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须知”第1.3.3项规定</w:t>
            </w:r>
          </w:p>
        </w:tc>
      </w:tr>
      <w:tr w14:paraId="4355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743C57A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D49DD1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5CA3AC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有效期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60F95C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须知”第3.3.1项规定</w:t>
            </w:r>
          </w:p>
        </w:tc>
      </w:tr>
      <w:tr w14:paraId="581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25DAE14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4EF7273">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AEA5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保证金</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B32C2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须知前附表第3.4款规定</w:t>
            </w:r>
          </w:p>
        </w:tc>
      </w:tr>
      <w:tr w14:paraId="63B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D34132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4C1C7C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285B7F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03D950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符合第四章“合同条款及格式”规定，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 w:val="21"/>
                <w:szCs w:val="21"/>
                <w:highlight w:val="none"/>
                <w14:textFill>
                  <w14:solidFill>
                    <w14:schemeClr w14:val="tx1"/>
                  </w14:solidFill>
                </w14:textFill>
              </w:rPr>
              <w:t>不应附有比选人不能接受的条件。</w:t>
            </w:r>
          </w:p>
        </w:tc>
      </w:tr>
      <w:tr w14:paraId="633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7B2AC83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25F6A7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F7E10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已标价工程量清单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06F9F9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1.符合第五章“工程量清单”给出的范围及数量。</w:t>
            </w:r>
          </w:p>
          <w:p w14:paraId="018BE4F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2.比选文件中规定工程量清单不允许修改的内容不得修改。</w:t>
            </w:r>
          </w:p>
        </w:tc>
      </w:tr>
      <w:tr w14:paraId="749D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3" w:type="dxa"/>
            <w:vMerge w:val="continue"/>
            <w:tcBorders>
              <w:left w:val="single" w:color="auto" w:sz="4" w:space="0"/>
              <w:right w:val="single" w:color="auto" w:sz="4" w:space="0"/>
            </w:tcBorders>
            <w:noWrap w:val="0"/>
            <w:vAlign w:val="center"/>
          </w:tcPr>
          <w:p w14:paraId="18968F6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9291F10">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202D5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报价算术错误修正</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805F00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符合第三章3.评标程序第3.1.3项规定。</w:t>
            </w:r>
          </w:p>
        </w:tc>
      </w:tr>
      <w:tr w14:paraId="070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68FF98D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5B87889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F9C64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DBE015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须知”第1.4.3项规定。</w:t>
            </w:r>
          </w:p>
          <w:p w14:paraId="06B85A6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本次投标不得有串通投标、弄虚作假等其他违反招投标相关法律、法规行为。</w:t>
            </w:r>
          </w:p>
          <w:p w14:paraId="1184D19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要求澄清、说明或补正。</w:t>
            </w:r>
          </w:p>
        </w:tc>
      </w:tr>
      <w:tr w14:paraId="6B7C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955BA8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F451E2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分值构成（总分 100 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939876">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w:t>
            </w:r>
          </w:p>
          <w:p w14:paraId="1AEC084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总报价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60分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5B3E4C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9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restart"/>
            <w:tcBorders>
              <w:left w:val="single" w:color="auto" w:sz="4" w:space="0"/>
              <w:right w:val="single" w:color="auto" w:sz="4" w:space="0"/>
            </w:tcBorders>
            <w:noWrap w:val="0"/>
            <w:vAlign w:val="center"/>
          </w:tcPr>
          <w:p w14:paraId="2BFC815F">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629" w:type="dxa"/>
            <w:vMerge w:val="restart"/>
            <w:tcBorders>
              <w:left w:val="single" w:color="auto" w:sz="4" w:space="0"/>
              <w:right w:val="single" w:color="auto" w:sz="4" w:space="0"/>
            </w:tcBorders>
            <w:noWrap w:val="0"/>
            <w:vAlign w:val="center"/>
          </w:tcPr>
          <w:p w14:paraId="13B2851B">
            <w:pPr>
              <w:keepNext w:val="0"/>
              <w:keepLines w:val="0"/>
              <w:pageBreakBefore w:val="0"/>
              <w:widowControl/>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D536D1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832BB4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分，编制要点:施工方法、技术、工艺和机械选择、主要材料、设备供应及技术措施安全可靠、科学合理，符合实际，利于施工，具备一定的操作性。</w:t>
            </w:r>
          </w:p>
        </w:tc>
      </w:tr>
      <w:tr w14:paraId="45C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vMerge w:val="continue"/>
            <w:tcBorders>
              <w:left w:val="single" w:color="auto" w:sz="4" w:space="0"/>
              <w:right w:val="single" w:color="auto" w:sz="4" w:space="0"/>
            </w:tcBorders>
            <w:noWrap w:val="0"/>
            <w:vAlign w:val="center"/>
          </w:tcPr>
          <w:p w14:paraId="0FD4441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54080C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124B0D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781433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分，编制要点:施工机械及施工力量的合理配置，保证在规定工期内保质保量的完成施工目标。</w:t>
            </w:r>
          </w:p>
        </w:tc>
      </w:tr>
      <w:tr w14:paraId="223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93" w:type="dxa"/>
            <w:vMerge w:val="continue"/>
            <w:tcBorders>
              <w:left w:val="single" w:color="auto" w:sz="4" w:space="0"/>
              <w:right w:val="single" w:color="auto" w:sz="4" w:space="0"/>
            </w:tcBorders>
            <w:noWrap w:val="0"/>
            <w:vAlign w:val="center"/>
          </w:tcPr>
          <w:p w14:paraId="4731E7FB">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30B1E0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9CC724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CCA69C">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分，编制要点：工程质量管理体系健全、质量目标明确、制定了质量管理监督工作程序和管理职能要素分配、对抓好工程质量、半成品质量有严格的质量监督控制措施且质量管理体系总体思路清晰。</w:t>
            </w:r>
          </w:p>
        </w:tc>
      </w:tr>
      <w:tr w14:paraId="220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93" w:type="dxa"/>
            <w:vMerge w:val="continue"/>
            <w:tcBorders>
              <w:left w:val="single" w:color="auto" w:sz="4" w:space="0"/>
              <w:right w:val="single" w:color="auto" w:sz="4" w:space="0"/>
            </w:tcBorders>
            <w:noWrap w:val="0"/>
            <w:vAlign w:val="center"/>
          </w:tcPr>
          <w:p w14:paraId="2A27E4CC">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022E17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B90975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74D62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编制要点：建立安全管理体系、专职安全监督机构，具备齐全完整的、可操作的项目安全生产管理制度。施工安全措施、劳动保护措施、场容场貌、工地卫生、文明建设的管理办法符合现行的安全管理规范及要求，可作为现场安全管理的依据。</w:t>
            </w:r>
          </w:p>
        </w:tc>
      </w:tr>
      <w:tr w14:paraId="735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vMerge w:val="continue"/>
            <w:tcBorders>
              <w:left w:val="single" w:color="auto" w:sz="4" w:space="0"/>
              <w:right w:val="single" w:color="auto" w:sz="4" w:space="0"/>
            </w:tcBorders>
            <w:noWrap w:val="0"/>
            <w:vAlign w:val="center"/>
          </w:tcPr>
          <w:p w14:paraId="0F8DF7D3">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EB74B89">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F3E75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62E553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分，编制要点：建立文明施工管理体系，可操作的项目文明施工管理制度。</w:t>
            </w:r>
          </w:p>
        </w:tc>
      </w:tr>
      <w:tr w14:paraId="633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continue"/>
            <w:tcBorders>
              <w:left w:val="single" w:color="auto" w:sz="4" w:space="0"/>
              <w:right w:val="single" w:color="auto" w:sz="4" w:space="0"/>
            </w:tcBorders>
            <w:noWrap w:val="0"/>
            <w:vAlign w:val="center"/>
          </w:tcPr>
          <w:p w14:paraId="2DEEE085">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21BD6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181FC0">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3E1581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分，编制要点：工程进度计划编制合理、可行，关键线路和节点具有清晰、准确、完整、可操作行强的特点，工期保证措施可靠，控制措施得力。</w:t>
            </w:r>
          </w:p>
        </w:tc>
      </w:tr>
      <w:tr w14:paraId="4C10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879303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2.2.3</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3431CD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评标基准价计算方法</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93429F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2D33D3D6">
            <w:pPr>
              <w:keepNext w:val="0"/>
              <w:keepLines w:val="0"/>
              <w:pageBreakBefore w:val="0"/>
              <w:kinsoku/>
              <w:wordWrap/>
              <w:overflowPunct/>
              <w:topLinePunct w:val="0"/>
              <w:bidi w:val="0"/>
              <w:snapToGrid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所有通过初步评审合格的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总报</w:t>
            </w:r>
            <w:r>
              <w:rPr>
                <w:rFonts w:hint="eastAsia" w:ascii="宋体" w:hAnsi="宋体" w:eastAsia="宋体" w:cs="宋体"/>
                <w:color w:val="000000" w:themeColor="text1"/>
                <w:kern w:val="0"/>
                <w:sz w:val="21"/>
                <w:szCs w:val="21"/>
                <w:highlight w:val="none"/>
                <w14:textFill>
                  <w14:solidFill>
                    <w14:schemeClr w14:val="tx1"/>
                  </w14:solidFill>
                </w14:textFill>
              </w:rPr>
              <w:t>价中去掉六分之一（不能整除的按小数点前整数取整，不足六家报价则不去掉）的最低价和相同家数的最高价后的算术平均值。</w:t>
            </w:r>
          </w:p>
          <w:p w14:paraId="5407425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p w14:paraId="6064C2A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在评标基准价计算完成后（除计算错误外），在后续的评审中不得再对其做出调整。</w:t>
            </w:r>
          </w:p>
        </w:tc>
      </w:tr>
      <w:tr w14:paraId="41E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596D229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E8B64E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偏差率的计算</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53649F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总报价的偏差率计算公式</w:t>
            </w:r>
          </w:p>
          <w:p w14:paraId="3771217C">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14:textFill>
                  <w14:solidFill>
                    <w14:schemeClr w14:val="tx1"/>
                  </w14:solidFill>
                </w14:textFill>
              </w:rPr>
              <w:t>报价一评标基准价）／评标基准价</w:t>
            </w:r>
          </w:p>
          <w:p w14:paraId="428057A0">
            <w:pPr>
              <w:keepNext w:val="0"/>
              <w:keepLines w:val="0"/>
              <w:pageBreakBefore w:val="0"/>
              <w:kinsoku/>
              <w:wordWrap/>
              <w:overflowPunct/>
              <w:topLinePunct w:val="0"/>
              <w:bidi w:val="0"/>
              <w:spacing w:line="240" w:lineRule="auto"/>
              <w:ind w:firstLine="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偏差率计算保留小数点后两位，小数点后第三位“四舍五入”。</w:t>
            </w:r>
          </w:p>
        </w:tc>
      </w:tr>
      <w:tr w14:paraId="7C6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A6A251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298" w:type="dxa"/>
            <w:gridSpan w:val="3"/>
            <w:tcBorders>
              <w:top w:val="single" w:color="auto" w:sz="4" w:space="0"/>
              <w:left w:val="single" w:color="auto" w:sz="4" w:space="0"/>
              <w:bottom w:val="single" w:color="auto" w:sz="4" w:space="0"/>
              <w:right w:val="single" w:color="auto" w:sz="4" w:space="0"/>
            </w:tcBorders>
            <w:noWrap w:val="0"/>
            <w:vAlign w:val="center"/>
          </w:tcPr>
          <w:p w14:paraId="3B3516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评标程序</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68DD66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1.按本章评标办法第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.1款进行初步评审。</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认定为无效的</w:t>
            </w:r>
            <w:r>
              <w:rPr>
                <w:rFonts w:hint="eastAsia" w:ascii="宋体" w:hAnsi="宋体" w:eastAsia="宋体" w:cs="宋体"/>
                <w:color w:val="000000" w:themeColor="text1"/>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的不再进行后续评审。</w:t>
            </w:r>
          </w:p>
          <w:p w14:paraId="2451FB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2.对初步评审合格的</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按照本章第2.2.3项及计算方法计算评标基准价，并按本附表第3.2.1（2）目规定的评分方法对</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总报价进行评分。</w:t>
            </w:r>
          </w:p>
          <w:p w14:paraId="2DF0FF8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3.按本章评标办法前附表第2.2.2项及第3.2.1（1）目的规定对技术方案进行评审。</w:t>
            </w:r>
          </w:p>
          <w:p w14:paraId="01312BC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4.对技术方案、</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总报价得分进行汇总，确定得分由高至低前三名</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为中标候选人。</w:t>
            </w:r>
          </w:p>
          <w:p w14:paraId="43AE183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5.因</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作否决</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处理导致有效</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不足三个的，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应当否决所有</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。但是有效</w:t>
            </w: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的经济、技术等指标仍然具有市场竞争力，能够满足比选文件要求的，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可以继续评标并确定中标候选人。</w:t>
            </w:r>
          </w:p>
        </w:tc>
      </w:tr>
      <w:tr w14:paraId="2D3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06CB31B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p>
          <w:p w14:paraId="6BAB4D1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298" w:type="dxa"/>
            <w:gridSpan w:val="3"/>
            <w:vMerge w:val="restart"/>
            <w:tcBorders>
              <w:top w:val="single" w:color="auto" w:sz="4" w:space="0"/>
              <w:left w:val="single" w:color="auto" w:sz="4" w:space="0"/>
              <w:right w:val="single" w:color="auto" w:sz="4" w:space="0"/>
            </w:tcBorders>
            <w:noWrap w:val="0"/>
            <w:vAlign w:val="center"/>
          </w:tcPr>
          <w:p w14:paraId="2F8EA0C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4"/>
                <w:sz w:val="21"/>
                <w:szCs w:val="21"/>
                <w:highlight w:val="none"/>
                <w14:textFill>
                  <w14:solidFill>
                    <w14:schemeClr w14:val="tx1"/>
                  </w14:solidFill>
                </w14:textFill>
              </w:rPr>
              <w:t>（A）</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3316A0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技术方案部分形式要求</w:t>
            </w:r>
          </w:p>
        </w:tc>
        <w:tc>
          <w:tcPr>
            <w:tcW w:w="3403" w:type="dxa"/>
            <w:tcBorders>
              <w:top w:val="single" w:color="auto" w:sz="4" w:space="0"/>
              <w:left w:val="single" w:color="auto" w:sz="4" w:space="0"/>
              <w:right w:val="single" w:color="auto" w:sz="4" w:space="0"/>
            </w:tcBorders>
            <w:noWrap w:val="0"/>
            <w:vAlign w:val="center"/>
          </w:tcPr>
          <w:p w14:paraId="0DCE74D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竞争性比选文件对技术方案</w:t>
            </w:r>
            <w:r>
              <w:rPr>
                <w:rFonts w:hint="eastAsia" w:ascii="宋体" w:hAnsi="宋体" w:eastAsia="宋体" w:cs="宋体"/>
                <w:color w:val="000000" w:themeColor="text1"/>
                <w:sz w:val="21"/>
                <w:szCs w:val="21"/>
                <w:highlight w:val="none"/>
                <w14:textFill>
                  <w14:solidFill>
                    <w14:schemeClr w14:val="tx1"/>
                  </w14:solidFill>
                </w14:textFill>
              </w:rPr>
              <w:t>要求的，技术方案得0分。</w:t>
            </w:r>
          </w:p>
        </w:tc>
      </w:tr>
      <w:tr w14:paraId="7CF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3" w:type="dxa"/>
            <w:vMerge w:val="continue"/>
            <w:tcBorders>
              <w:left w:val="single" w:color="auto" w:sz="4" w:space="0"/>
              <w:right w:val="single" w:color="auto" w:sz="4" w:space="0"/>
            </w:tcBorders>
            <w:noWrap w:val="0"/>
            <w:vAlign w:val="center"/>
          </w:tcPr>
          <w:p w14:paraId="673FC44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FAC93F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CA35E5">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3403" w:type="dxa"/>
            <w:vMerge w:val="restart"/>
            <w:tcBorders>
              <w:left w:val="single" w:color="auto" w:sz="4" w:space="0"/>
              <w:right w:val="single" w:color="auto" w:sz="4" w:space="0"/>
            </w:tcBorders>
            <w:noWrap w:val="0"/>
            <w:vAlign w:val="center"/>
          </w:tcPr>
          <w:p w14:paraId="1FFC3D4A">
            <w:pPr>
              <w:keepNext w:val="0"/>
              <w:keepLines w:val="0"/>
              <w:pageBreakBefore w:val="0"/>
              <w:kinsoku/>
              <w:wordWrap/>
              <w:overflowPunct/>
              <w:topLinePunct w:val="0"/>
              <w:autoSpaceDE w:val="0"/>
              <w:autoSpaceDN w:val="0"/>
              <w:bidi w:val="0"/>
              <w:adjustRightInd w:val="0"/>
              <w:snapToGrid w:val="0"/>
              <w:spacing w:line="240" w:lineRule="auto"/>
              <w:ind w:left="0" w:leftChars="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按2.2.2项各评审因素设定的分值评分。</w:t>
            </w:r>
          </w:p>
          <w:p w14:paraId="41892CE7">
            <w:pPr>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17F1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3" w:type="dxa"/>
            <w:vMerge w:val="continue"/>
            <w:tcBorders>
              <w:left w:val="single" w:color="auto" w:sz="4" w:space="0"/>
              <w:right w:val="single" w:color="auto" w:sz="4" w:space="0"/>
            </w:tcBorders>
            <w:noWrap w:val="0"/>
            <w:vAlign w:val="center"/>
          </w:tcPr>
          <w:p w14:paraId="4E5862B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5389747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B21F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3403" w:type="dxa"/>
            <w:vMerge w:val="continue"/>
            <w:tcBorders>
              <w:left w:val="single" w:color="auto" w:sz="4" w:space="0"/>
              <w:right w:val="single" w:color="auto" w:sz="4" w:space="0"/>
            </w:tcBorders>
            <w:noWrap w:val="0"/>
            <w:vAlign w:val="top"/>
          </w:tcPr>
          <w:p w14:paraId="10D4A2BE">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C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 w:type="dxa"/>
            <w:vMerge w:val="continue"/>
            <w:tcBorders>
              <w:left w:val="single" w:color="auto" w:sz="4" w:space="0"/>
              <w:right w:val="single" w:color="auto" w:sz="4" w:space="0"/>
            </w:tcBorders>
            <w:noWrap w:val="0"/>
            <w:vAlign w:val="center"/>
          </w:tcPr>
          <w:p w14:paraId="7404356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604E9EF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808BEAD">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3403" w:type="dxa"/>
            <w:vMerge w:val="continue"/>
            <w:tcBorders>
              <w:left w:val="single" w:color="auto" w:sz="4" w:space="0"/>
              <w:right w:val="single" w:color="auto" w:sz="4" w:space="0"/>
            </w:tcBorders>
            <w:noWrap w:val="0"/>
            <w:vAlign w:val="top"/>
          </w:tcPr>
          <w:p w14:paraId="095B815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51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Merge w:val="continue"/>
            <w:tcBorders>
              <w:left w:val="single" w:color="auto" w:sz="4" w:space="0"/>
              <w:right w:val="single" w:color="auto" w:sz="4" w:space="0"/>
            </w:tcBorders>
            <w:noWrap w:val="0"/>
            <w:vAlign w:val="center"/>
          </w:tcPr>
          <w:p w14:paraId="2CA4AC3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3C2304F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A26123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3403" w:type="dxa"/>
            <w:vMerge w:val="continue"/>
            <w:tcBorders>
              <w:left w:val="single" w:color="auto" w:sz="4" w:space="0"/>
              <w:right w:val="single" w:color="auto" w:sz="4" w:space="0"/>
            </w:tcBorders>
            <w:noWrap w:val="0"/>
            <w:vAlign w:val="top"/>
          </w:tcPr>
          <w:p w14:paraId="7AC8F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66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vMerge w:val="continue"/>
            <w:tcBorders>
              <w:left w:val="single" w:color="auto" w:sz="4" w:space="0"/>
              <w:right w:val="single" w:color="auto" w:sz="4" w:space="0"/>
            </w:tcBorders>
            <w:noWrap w:val="0"/>
            <w:vAlign w:val="center"/>
          </w:tcPr>
          <w:p w14:paraId="515B02F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3B0C40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F9C2CEB">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3403" w:type="dxa"/>
            <w:vMerge w:val="continue"/>
            <w:tcBorders>
              <w:left w:val="single" w:color="auto" w:sz="4" w:space="0"/>
              <w:right w:val="single" w:color="auto" w:sz="4" w:space="0"/>
            </w:tcBorders>
            <w:noWrap w:val="0"/>
            <w:vAlign w:val="top"/>
          </w:tcPr>
          <w:p w14:paraId="1974D7A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65B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074D9D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2C52AE6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C265EB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3403" w:type="dxa"/>
            <w:vMerge w:val="continue"/>
            <w:tcBorders>
              <w:left w:val="single" w:color="auto" w:sz="4" w:space="0"/>
              <w:right w:val="single" w:color="auto" w:sz="4" w:space="0"/>
            </w:tcBorders>
            <w:noWrap w:val="0"/>
            <w:vAlign w:val="top"/>
          </w:tcPr>
          <w:p w14:paraId="29FBA5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2B5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93" w:type="dxa"/>
            <w:tcBorders>
              <w:left w:val="single" w:color="auto" w:sz="4" w:space="0"/>
              <w:bottom w:val="single" w:color="auto" w:sz="4" w:space="0"/>
              <w:right w:val="single" w:color="auto" w:sz="4" w:space="0"/>
            </w:tcBorders>
            <w:noWrap w:val="0"/>
            <w:vAlign w:val="center"/>
          </w:tcPr>
          <w:p w14:paraId="6740C351">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3.2.1（2）</w:t>
            </w:r>
          </w:p>
        </w:tc>
        <w:tc>
          <w:tcPr>
            <w:tcW w:w="3298" w:type="dxa"/>
            <w:gridSpan w:val="3"/>
            <w:tcBorders>
              <w:left w:val="single" w:color="auto" w:sz="4" w:space="0"/>
              <w:bottom w:val="single" w:color="auto" w:sz="4" w:space="0"/>
              <w:right w:val="single" w:color="auto" w:sz="4" w:space="0"/>
            </w:tcBorders>
            <w:noWrap w:val="0"/>
            <w:vAlign w:val="center"/>
          </w:tcPr>
          <w:p w14:paraId="0CA5269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总</w:t>
            </w:r>
            <w:r>
              <w:rPr>
                <w:rFonts w:hint="eastAsia" w:ascii="宋体" w:hAnsi="宋体" w:eastAsia="宋体" w:cs="宋体"/>
                <w:color w:val="000000" w:themeColor="text1"/>
                <w:sz w:val="21"/>
                <w:szCs w:val="21"/>
                <w:highlight w:val="none"/>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（B）</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C1142B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总报价</w:t>
            </w:r>
          </w:p>
        </w:tc>
        <w:tc>
          <w:tcPr>
            <w:tcW w:w="3403" w:type="dxa"/>
            <w:tcBorders>
              <w:left w:val="single" w:color="auto" w:sz="4" w:space="0"/>
              <w:bottom w:val="single" w:color="auto" w:sz="4" w:space="0"/>
              <w:right w:val="single" w:color="auto" w:sz="4" w:space="0"/>
            </w:tcBorders>
            <w:noWrap w:val="0"/>
            <w:vAlign w:val="top"/>
          </w:tcPr>
          <w:p w14:paraId="2E940883">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14:textFill>
                  <w14:solidFill>
                    <w14:schemeClr w14:val="tx1"/>
                  </w14:solidFill>
                </w14:textFill>
              </w:rPr>
              <w:t>总报价按</w:t>
            </w:r>
            <w:r>
              <w:rPr>
                <w:rFonts w:hint="eastAsia" w:ascii="宋体" w:hAnsi="宋体" w:eastAsia="宋体" w:cs="宋体"/>
                <w:bCs/>
                <w:color w:val="000000" w:themeColor="text1"/>
                <w:sz w:val="21"/>
                <w:szCs w:val="21"/>
                <w:highlight w:val="none"/>
                <w14:textFill>
                  <w14:solidFill>
                    <w14:schemeClr w14:val="tx1"/>
                  </w14:solidFill>
                </w14:textFill>
              </w:rPr>
              <w:t>本附表2.2.1规定分值的满分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60分</w:t>
            </w:r>
            <w:r>
              <w:rPr>
                <w:rFonts w:hint="eastAsia" w:ascii="宋体" w:hAnsi="宋体" w:eastAsia="宋体" w:cs="宋体"/>
                <w:color w:val="000000" w:themeColor="text1"/>
                <w:sz w:val="21"/>
                <w:szCs w:val="21"/>
                <w:highlight w:val="none"/>
                <w14:textFill>
                  <w14:solidFill>
                    <w14:schemeClr w14:val="tx1"/>
                  </w14:solidFill>
                </w14:textFill>
              </w:rPr>
              <w:t>。在此基础上，</w:t>
            </w:r>
            <w:r>
              <w:rPr>
                <w:rFonts w:hint="eastAsia" w:ascii="宋体" w:hAnsi="宋体" w:eastAsia="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总报价与评标准基价相比，每增加1%扣</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0.2</w:t>
            </w:r>
            <w:r>
              <w:rPr>
                <w:rFonts w:hint="eastAsia" w:ascii="宋体" w:hAnsi="宋体" w:eastAsia="宋体" w:cs="宋体"/>
                <w:color w:val="000000" w:themeColor="text1"/>
                <w:sz w:val="21"/>
                <w:szCs w:val="21"/>
                <w:highlight w:val="none"/>
                <w14:textFill>
                  <w14:solidFill>
                    <w14:schemeClr w14:val="tx1"/>
                  </w14:solidFill>
                </w14:textFill>
              </w:rPr>
              <w:t>分，每减少1%扣</w:t>
            </w:r>
            <w:r>
              <w:rPr>
                <w:rFonts w:hint="eastAsia" w:ascii="宋体" w:hAnsi="宋体" w:eastAsia="宋体" w:cs="宋体"/>
                <w:color w:val="000000" w:themeColor="text1"/>
                <w:sz w:val="21"/>
                <w:szCs w:val="21"/>
                <w:highlight w:val="none"/>
                <w:u w:val="single"/>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32C0E3B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按插入法计算得分。</w:t>
            </w:r>
          </w:p>
          <w:p w14:paraId="756DB7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389F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2FA974E">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3298" w:type="dxa"/>
            <w:gridSpan w:val="3"/>
            <w:tcBorders>
              <w:left w:val="single" w:color="auto" w:sz="4" w:space="0"/>
              <w:bottom w:val="single" w:color="auto" w:sz="4" w:space="0"/>
              <w:right w:val="single" w:color="auto" w:sz="4" w:space="0"/>
            </w:tcBorders>
            <w:noWrap w:val="0"/>
            <w:vAlign w:val="center"/>
          </w:tcPr>
          <w:p w14:paraId="09BAEE1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C</w:t>
            </w:r>
            <w:r>
              <w:rPr>
                <w:rFonts w:hint="eastAsia" w:ascii="宋体" w:hAnsi="宋体" w:eastAsia="宋体" w:cs="宋体"/>
                <w:color w:val="000000" w:themeColor="text1"/>
                <w:spacing w:val="-8"/>
                <w:sz w:val="21"/>
                <w:szCs w:val="21"/>
                <w:highlight w:val="none"/>
                <w14:textFill>
                  <w14:solidFill>
                    <w14:schemeClr w14:val="tx1"/>
                  </w14:solidFill>
                </w14:textFill>
              </w:rPr>
              <w:t>）</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8025D7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tc>
        <w:tc>
          <w:tcPr>
            <w:tcW w:w="3403" w:type="dxa"/>
            <w:tcBorders>
              <w:left w:val="single" w:color="auto" w:sz="4" w:space="0"/>
              <w:bottom w:val="single" w:color="auto" w:sz="4" w:space="0"/>
              <w:right w:val="single" w:color="auto" w:sz="4" w:space="0"/>
            </w:tcBorders>
            <w:noWrap w:val="0"/>
            <w:vAlign w:val="top"/>
          </w:tcPr>
          <w:p w14:paraId="7345F1F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提供一个2021年1月1日起至比选截止日止（以合同签订时间为准）的类似项目业绩得2.5分，最高得10分。</w:t>
            </w:r>
          </w:p>
          <w:p w14:paraId="081C908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须在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文件中提供业绩的合同协议书（至少包含合同首页、合同项目基本信息页、合同金额页、合同签字盖章页）。</w:t>
            </w:r>
          </w:p>
        </w:tc>
      </w:tr>
      <w:tr w14:paraId="2BA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F54511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p>
        </w:tc>
        <w:tc>
          <w:tcPr>
            <w:tcW w:w="5686" w:type="dxa"/>
            <w:gridSpan w:val="4"/>
            <w:tcBorders>
              <w:left w:val="single" w:color="auto" w:sz="4" w:space="0"/>
              <w:bottom w:val="single" w:color="auto" w:sz="4" w:space="0"/>
              <w:right w:val="single" w:color="auto" w:sz="4" w:space="0"/>
            </w:tcBorders>
            <w:noWrap w:val="0"/>
            <w:vAlign w:val="center"/>
          </w:tcPr>
          <w:p w14:paraId="7758C8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得分</w:t>
            </w:r>
          </w:p>
        </w:tc>
        <w:tc>
          <w:tcPr>
            <w:tcW w:w="3403" w:type="dxa"/>
            <w:tcBorders>
              <w:left w:val="single" w:color="auto" w:sz="4" w:space="0"/>
              <w:bottom w:val="single" w:color="auto" w:sz="4" w:space="0"/>
              <w:right w:val="single" w:color="auto" w:sz="4" w:space="0"/>
            </w:tcBorders>
            <w:noWrap w:val="0"/>
            <w:vAlign w:val="center"/>
          </w:tcPr>
          <w:p w14:paraId="4E8758A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得分=A+B</w:t>
            </w:r>
            <w:r>
              <w:rPr>
                <w:rFonts w:hint="eastAsia" w:ascii="宋体" w:hAnsi="宋体" w:eastAsia="宋体" w:cs="宋体"/>
                <w:color w:val="000000" w:themeColor="text1"/>
                <w:sz w:val="21"/>
                <w:szCs w:val="21"/>
                <w:highlight w:val="none"/>
                <w:lang w:val="en-US" w:eastAsia="zh-CN"/>
                <w14:textFill>
                  <w14:solidFill>
                    <w14:schemeClr w14:val="tx1"/>
                  </w14:solidFill>
                </w14:textFill>
              </w:rPr>
              <w:t>+C</w:t>
            </w:r>
          </w:p>
        </w:tc>
      </w:tr>
    </w:tbl>
    <w:p w14:paraId="7CF63F47">
      <w:pPr>
        <w:pStyle w:val="3"/>
        <w:spacing w:line="360" w:lineRule="auto"/>
        <w:rPr>
          <w:rFonts w:hint="eastAsia" w:ascii="宋体" w:hAnsi="宋体" w:eastAsia="宋体" w:cs="宋体"/>
          <w:b w:val="0"/>
          <w:snapToGrid w:val="0"/>
          <w:color w:val="000000" w:themeColor="text1"/>
          <w:highlight w:val="none"/>
          <w14:textFill>
            <w14:solidFill>
              <w14:schemeClr w14:val="tx1"/>
            </w14:solidFill>
          </w14:textFill>
        </w:rPr>
      </w:pPr>
      <w:r>
        <w:rPr>
          <w:rFonts w:hint="eastAsia" w:ascii="宋体" w:hAnsi="宋体" w:eastAsia="宋体" w:cs="宋体"/>
          <w:bCs w:val="0"/>
          <w:snapToGrid w:val="0"/>
          <w:color w:val="000000" w:themeColor="text1"/>
          <w:highlight w:val="none"/>
          <w14:textFill>
            <w14:solidFill>
              <w14:schemeClr w14:val="tx1"/>
            </w14:solidFill>
          </w14:textFill>
        </w:rPr>
        <w:br w:type="page"/>
      </w:r>
      <w:bookmarkStart w:id="289" w:name="_Toc47779860"/>
      <w:bookmarkStart w:id="290" w:name="_Toc28688"/>
      <w:bookmarkStart w:id="291" w:name="_Toc10340"/>
      <w:r>
        <w:rPr>
          <w:rFonts w:hint="eastAsia" w:ascii="宋体" w:hAnsi="宋体" w:eastAsia="宋体" w:cs="宋体"/>
          <w:color w:val="000000" w:themeColor="text1"/>
          <w:sz w:val="28"/>
          <w:szCs w:val="28"/>
          <w:highlight w:val="none"/>
          <w14:textFill>
            <w14:solidFill>
              <w14:schemeClr w14:val="tx1"/>
            </w14:solidFill>
          </w14:textFill>
        </w:rPr>
        <w:t>1. 评标方法</w:t>
      </w:r>
      <w:bookmarkEnd w:id="289"/>
      <w:bookmarkEnd w:id="290"/>
      <w:bookmarkEnd w:id="291"/>
    </w:p>
    <w:p w14:paraId="1508FA82">
      <w:pPr>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本次评标采用综合评分法</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 xml:space="preserve">按照本章第 </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款</w:t>
      </w:r>
      <w:r>
        <w:rPr>
          <w:rFonts w:hint="eastAsia" w:ascii="宋体" w:hAnsi="宋体" w:eastAsia="宋体" w:cs="宋体"/>
          <w:color w:val="000000" w:themeColor="text1"/>
          <w:spacing w:val="-1"/>
          <w:kern w:val="0"/>
          <w:szCs w:val="21"/>
          <w:highlight w:val="none"/>
          <w14:textFill>
            <w14:solidFill>
              <w14:schemeClr w14:val="tx1"/>
            </w14:solidFill>
          </w14:textFill>
        </w:rPr>
        <w:t>规</w:t>
      </w:r>
      <w:r>
        <w:rPr>
          <w:rFonts w:hint="eastAsia" w:ascii="宋体" w:hAnsi="宋体" w:eastAsia="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eastAsia="宋体" w:cs="宋体"/>
          <w:color w:val="000000" w:themeColor="text1"/>
          <w:spacing w:val="-20"/>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或根据比选人授权直接确定中标人，若出现</w:t>
      </w:r>
      <w:r>
        <w:rPr>
          <w:rFonts w:hint="eastAsia" w:ascii="宋体" w:hAnsi="宋体" w:eastAsia="宋体" w:cs="宋体"/>
          <w:color w:val="000000" w:themeColor="text1"/>
          <w:kern w:val="0"/>
          <w:szCs w:val="21"/>
          <w:highlight w:val="none"/>
          <w:lang w:eastAsia="zh-CN"/>
          <w14:textFill>
            <w14:solidFill>
              <w14:schemeClr w14:val="tx1"/>
            </w14:solidFill>
          </w14:textFill>
        </w:rPr>
        <w:t>竞标人竞标</w:t>
      </w:r>
      <w:r>
        <w:rPr>
          <w:rFonts w:hint="eastAsia" w:ascii="宋体" w:hAnsi="宋体" w:eastAsia="宋体" w:cs="宋体"/>
          <w:color w:val="000000" w:themeColor="text1"/>
          <w:kern w:val="0"/>
          <w:szCs w:val="21"/>
          <w:highlight w:val="none"/>
          <w14:textFill>
            <w14:solidFill>
              <w14:schemeClr w14:val="tx1"/>
            </w14:solidFill>
          </w14:textFill>
        </w:rPr>
        <w:t>报价相同的，以评标办法前附表约定的原则确定排序</w:t>
      </w:r>
      <w:r>
        <w:rPr>
          <w:rFonts w:hint="eastAsia" w:ascii="宋体" w:hAnsi="宋体" w:eastAsia="宋体" w:cs="宋体"/>
          <w:color w:val="000000" w:themeColor="text1"/>
          <w:spacing w:val="-31"/>
          <w:kern w:val="0"/>
          <w:szCs w:val="21"/>
          <w:highlight w:val="none"/>
          <w14:textFill>
            <w14:solidFill>
              <w14:schemeClr w14:val="tx1"/>
            </w14:solidFill>
          </w14:textFill>
        </w:rPr>
        <w:t>。</w:t>
      </w:r>
    </w:p>
    <w:p w14:paraId="48A7E6F0">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92" w:name="_Toc19235"/>
      <w:bookmarkStart w:id="293" w:name="_Toc47779861"/>
      <w:bookmarkStart w:id="294" w:name="_Toc430530501"/>
      <w:bookmarkStart w:id="295" w:name="_Toc33106453"/>
      <w:bookmarkStart w:id="296" w:name="_Toc509218777"/>
      <w:bookmarkStart w:id="297" w:name="_Toc19610"/>
      <w:bookmarkStart w:id="298" w:name="_Toc277082619"/>
      <w:bookmarkStart w:id="299" w:name="_Toc287607813"/>
      <w:bookmarkStart w:id="300" w:name="_Toc224103385"/>
      <w:bookmarkStart w:id="301" w:name="_Toc200513199"/>
      <w:bookmarkStart w:id="302" w:name="_Toc287620752"/>
      <w:r>
        <w:rPr>
          <w:rFonts w:hint="eastAsia" w:ascii="宋体" w:hAnsi="宋体" w:eastAsia="宋体" w:cs="宋体"/>
          <w:color w:val="000000" w:themeColor="text1"/>
          <w:sz w:val="28"/>
          <w:szCs w:val="28"/>
          <w:highlight w:val="none"/>
          <w14:textFill>
            <w14:solidFill>
              <w14:schemeClr w14:val="tx1"/>
            </w14:solidFill>
          </w14:textFill>
        </w:rPr>
        <w:t>2. 评审标准</w:t>
      </w:r>
      <w:bookmarkEnd w:id="292"/>
      <w:bookmarkEnd w:id="293"/>
      <w:bookmarkEnd w:id="294"/>
      <w:bookmarkEnd w:id="295"/>
      <w:bookmarkEnd w:id="296"/>
      <w:bookmarkEnd w:id="297"/>
      <w:bookmarkEnd w:id="298"/>
      <w:bookmarkEnd w:id="299"/>
      <w:bookmarkEnd w:id="300"/>
      <w:bookmarkEnd w:id="301"/>
      <w:bookmarkEnd w:id="302"/>
    </w:p>
    <w:p w14:paraId="39FC172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03" w:name="_Toc47779862"/>
      <w:bookmarkStart w:id="304" w:name="_Toc509218778"/>
      <w:bookmarkStart w:id="305" w:name="_Toc25986"/>
      <w:bookmarkStart w:id="306" w:name="_Toc224103386"/>
      <w:bookmarkStart w:id="307" w:name="_Toc33106454"/>
      <w:bookmarkStart w:id="308" w:name="_Toc277082620"/>
      <w:bookmarkStart w:id="309" w:name="_Toc2438"/>
      <w:bookmarkStart w:id="310" w:name="_Toc200513200"/>
      <w:bookmarkStart w:id="311" w:name="_Toc287620753"/>
      <w:bookmarkStart w:id="312" w:name="_Toc430530502"/>
      <w:bookmarkStart w:id="313" w:name="_Toc287607814"/>
      <w:r>
        <w:rPr>
          <w:rFonts w:hint="eastAsia" w:ascii="宋体" w:hAnsi="宋体" w:eastAsia="宋体" w:cs="宋体"/>
          <w:color w:val="000000" w:themeColor="text1"/>
          <w:sz w:val="21"/>
          <w:szCs w:val="21"/>
          <w:highlight w:val="none"/>
          <w14:textFill>
            <w14:solidFill>
              <w14:schemeClr w14:val="tx1"/>
            </w14:solidFill>
          </w14:textFill>
        </w:rPr>
        <w:t>2.1 初步评审标准</w:t>
      </w:r>
      <w:bookmarkEnd w:id="303"/>
      <w:bookmarkEnd w:id="304"/>
      <w:bookmarkEnd w:id="305"/>
      <w:bookmarkEnd w:id="306"/>
      <w:bookmarkEnd w:id="307"/>
      <w:bookmarkEnd w:id="308"/>
      <w:bookmarkEnd w:id="309"/>
      <w:bookmarkEnd w:id="310"/>
      <w:bookmarkEnd w:id="311"/>
      <w:bookmarkEnd w:id="312"/>
      <w:bookmarkEnd w:id="313"/>
    </w:p>
    <w:p w14:paraId="69FD1076">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 资格评审标准：见评标办法前附表。</w:t>
      </w:r>
    </w:p>
    <w:p w14:paraId="3157E493">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 形式评审标准：见评标办法前附表。</w:t>
      </w:r>
    </w:p>
    <w:p w14:paraId="38783729">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 响应性评审标准：见评标办法前附表。</w:t>
      </w:r>
    </w:p>
    <w:p w14:paraId="11FDCD0C">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14" w:name="_Toc287607815"/>
      <w:bookmarkStart w:id="315" w:name="_Toc509218779"/>
      <w:bookmarkStart w:id="316" w:name="_Toc32222"/>
      <w:bookmarkStart w:id="317" w:name="_Toc21048"/>
      <w:bookmarkStart w:id="318" w:name="_Toc47779863"/>
      <w:bookmarkStart w:id="319" w:name="_Toc277082621"/>
      <w:bookmarkStart w:id="320" w:name="_Toc430530503"/>
      <w:bookmarkStart w:id="321" w:name="_Toc224103387"/>
      <w:bookmarkStart w:id="322" w:name="_Toc200513201"/>
      <w:bookmarkStart w:id="323" w:name="_Toc33106455"/>
      <w:bookmarkStart w:id="324" w:name="_Toc287620754"/>
      <w:r>
        <w:rPr>
          <w:rFonts w:hint="eastAsia" w:ascii="宋体" w:hAnsi="宋体" w:eastAsia="宋体" w:cs="宋体"/>
          <w:color w:val="000000" w:themeColor="text1"/>
          <w:sz w:val="21"/>
          <w:szCs w:val="21"/>
          <w:highlight w:val="none"/>
          <w14:textFill>
            <w14:solidFill>
              <w14:schemeClr w14:val="tx1"/>
            </w14:solidFill>
          </w14:textFill>
        </w:rPr>
        <w:t>2.2 分值构成与评分标准</w:t>
      </w:r>
      <w:bookmarkEnd w:id="314"/>
      <w:bookmarkEnd w:id="315"/>
      <w:bookmarkEnd w:id="316"/>
      <w:bookmarkEnd w:id="317"/>
      <w:bookmarkEnd w:id="318"/>
      <w:bookmarkEnd w:id="319"/>
      <w:bookmarkEnd w:id="320"/>
      <w:bookmarkEnd w:id="321"/>
      <w:bookmarkEnd w:id="322"/>
      <w:bookmarkEnd w:id="323"/>
      <w:bookmarkEnd w:id="324"/>
    </w:p>
    <w:p w14:paraId="76BEFFE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分值构成</w:t>
      </w:r>
    </w:p>
    <w:p w14:paraId="020803B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（1）技术方案：见评标办法前附表；</w:t>
      </w:r>
    </w:p>
    <w:p w14:paraId="1F71870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总报价：见评标办法前附表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ABFCBA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326A98F">
      <w:pPr>
        <w:autoSpaceDE w:val="0"/>
        <w:autoSpaceDN w:val="0"/>
        <w:adjustRightInd w:val="0"/>
        <w:snapToGrid w:val="0"/>
        <w:spacing w:line="360" w:lineRule="auto"/>
        <w:ind w:firstLine="525" w:firstLine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 技术方案评分标准：见评标办法前附表。</w:t>
      </w:r>
    </w:p>
    <w:p w14:paraId="1C7AE9F8">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 评标基准价计算方法：见评标办法前附表。</w:t>
      </w:r>
    </w:p>
    <w:p w14:paraId="3860F7ED">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报价的偏差率计算和允许偏差范围</w:t>
      </w:r>
    </w:p>
    <w:p w14:paraId="0D9D68D4">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报价的偏差率计算公式：见评标办法前附表；</w:t>
      </w:r>
    </w:p>
    <w:p w14:paraId="63FD354F">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报价的允许偏差范围：见评标办法前附表。</w:t>
      </w:r>
    </w:p>
    <w:p w14:paraId="3797D859">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25" w:name="_Toc509218780"/>
      <w:bookmarkStart w:id="326" w:name="_Toc21637"/>
      <w:bookmarkStart w:id="327" w:name="_Toc200513202"/>
      <w:bookmarkStart w:id="328" w:name="_Toc224103388"/>
      <w:bookmarkStart w:id="329" w:name="_Toc28798"/>
      <w:bookmarkStart w:id="330" w:name="_Toc33106456"/>
      <w:bookmarkStart w:id="331" w:name="_Toc430530504"/>
      <w:bookmarkStart w:id="332" w:name="_Toc47779864"/>
      <w:bookmarkStart w:id="333" w:name="_Toc287607816"/>
      <w:bookmarkStart w:id="334" w:name="_Toc277082622"/>
      <w:bookmarkStart w:id="335" w:name="_Toc287620755"/>
      <w:r>
        <w:rPr>
          <w:rFonts w:hint="eastAsia" w:ascii="宋体" w:hAnsi="宋体" w:eastAsia="宋体" w:cs="宋体"/>
          <w:color w:val="000000" w:themeColor="text1"/>
          <w:sz w:val="28"/>
          <w:szCs w:val="28"/>
          <w:highlight w:val="none"/>
          <w14:textFill>
            <w14:solidFill>
              <w14:schemeClr w14:val="tx1"/>
            </w14:solidFill>
          </w14:textFill>
        </w:rPr>
        <w:t>3. 评标程序</w:t>
      </w:r>
      <w:bookmarkEnd w:id="325"/>
      <w:bookmarkEnd w:id="326"/>
      <w:bookmarkEnd w:id="327"/>
      <w:bookmarkEnd w:id="328"/>
      <w:bookmarkEnd w:id="329"/>
      <w:bookmarkEnd w:id="330"/>
      <w:bookmarkEnd w:id="331"/>
      <w:bookmarkEnd w:id="332"/>
      <w:bookmarkEnd w:id="333"/>
      <w:bookmarkEnd w:id="334"/>
      <w:bookmarkEnd w:id="335"/>
    </w:p>
    <w:p w14:paraId="0F4A1280">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36" w:name="_Toc33106457"/>
      <w:bookmarkStart w:id="337" w:name="_Toc509218781"/>
      <w:bookmarkStart w:id="338" w:name="_Toc200513203"/>
      <w:bookmarkStart w:id="339" w:name="_Toc277082623"/>
      <w:bookmarkStart w:id="340" w:name="_Toc287620756"/>
      <w:bookmarkStart w:id="341" w:name="_Toc224103389"/>
      <w:bookmarkStart w:id="342" w:name="_Toc287607817"/>
      <w:bookmarkStart w:id="343" w:name="_Toc16544"/>
      <w:bookmarkStart w:id="344" w:name="_Toc430530505"/>
      <w:bookmarkStart w:id="345" w:name="_Toc47779865"/>
      <w:r>
        <w:rPr>
          <w:rFonts w:hint="eastAsia" w:ascii="宋体" w:hAnsi="宋体" w:eastAsia="宋体" w:cs="宋体"/>
          <w:color w:val="000000" w:themeColor="text1"/>
          <w:sz w:val="21"/>
          <w:szCs w:val="21"/>
          <w:highlight w:val="none"/>
          <w14:textFill>
            <w14:solidFill>
              <w14:schemeClr w14:val="tx1"/>
            </w14:solidFill>
          </w14:textFill>
        </w:rPr>
        <w:t>3.1 初步评审</w:t>
      </w:r>
      <w:bookmarkEnd w:id="336"/>
      <w:bookmarkEnd w:id="337"/>
      <w:bookmarkEnd w:id="338"/>
      <w:bookmarkEnd w:id="339"/>
      <w:bookmarkEnd w:id="340"/>
      <w:bookmarkEnd w:id="341"/>
      <w:bookmarkEnd w:id="342"/>
      <w:bookmarkEnd w:id="343"/>
      <w:bookmarkEnd w:id="344"/>
      <w:bookmarkEnd w:id="345"/>
    </w:p>
    <w:p w14:paraId="6D1ABE7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依据本章第 2.1 款规定的标准对</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进行初步评审。有一项不符合评审标准的，作否决</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处理。</w:t>
      </w:r>
    </w:p>
    <w:p w14:paraId="1070451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作否决</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处理：</w:t>
      </w:r>
    </w:p>
    <w:p w14:paraId="38AB2455">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项规定的任何一种情形的；</w:t>
      </w:r>
    </w:p>
    <w:p w14:paraId="74A6D05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或弄虚作假或有其他违法行为的；</w:t>
      </w:r>
    </w:p>
    <w:p w14:paraId="019FD98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）不按</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要求澄清、说明或补正的；</w:t>
      </w:r>
    </w:p>
    <w:p w14:paraId="5B9C547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3.1.3  </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报价有算术错误的，</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按以下原则对</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报价进行修正，修正的价格经</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书面确认后具有约束力。</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不接受修正价格的，其</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作否决</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处理。</w:t>
      </w:r>
    </w:p>
    <w:p w14:paraId="256CC78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中的大写金额与小写金额不一致的，以大写金额为准；</w:t>
      </w:r>
    </w:p>
    <w:p w14:paraId="39E5664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函中的总报价与已标价工程量清单总报价不一致，且工程量清单总报价与依据单价、工程数量、分部分项工程合价计算出的结果不一致的，由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处理。</w:t>
      </w:r>
    </w:p>
    <w:p w14:paraId="7C26FDA2">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46" w:name="_Toc47779866"/>
      <w:bookmarkStart w:id="347" w:name="_Toc287607818"/>
      <w:bookmarkStart w:id="348" w:name="_Toc430530506"/>
      <w:bookmarkStart w:id="349" w:name="_Toc224103390"/>
      <w:bookmarkStart w:id="350" w:name="_Toc277082624"/>
      <w:bookmarkStart w:id="351" w:name="_Toc22072"/>
      <w:bookmarkStart w:id="352" w:name="_Toc287620757"/>
      <w:bookmarkStart w:id="353" w:name="_Toc200513204"/>
      <w:bookmarkStart w:id="354" w:name="_Toc509218782"/>
      <w:bookmarkStart w:id="355" w:name="_Toc33106458"/>
      <w:bookmarkStart w:id="356" w:name="_Toc19126"/>
      <w:r>
        <w:rPr>
          <w:rFonts w:hint="eastAsia" w:ascii="宋体" w:hAnsi="宋体" w:eastAsia="宋体" w:cs="宋体"/>
          <w:color w:val="000000" w:themeColor="text1"/>
          <w:sz w:val="21"/>
          <w:szCs w:val="21"/>
          <w:highlight w:val="none"/>
          <w14:textFill>
            <w14:solidFill>
              <w14:schemeClr w14:val="tx1"/>
            </w14:solidFill>
          </w14:textFill>
        </w:rPr>
        <w:t>3.2 详细评审</w:t>
      </w:r>
      <w:bookmarkEnd w:id="346"/>
      <w:bookmarkEnd w:id="347"/>
      <w:bookmarkEnd w:id="348"/>
      <w:bookmarkEnd w:id="349"/>
      <w:bookmarkEnd w:id="350"/>
      <w:bookmarkEnd w:id="351"/>
      <w:bookmarkEnd w:id="352"/>
      <w:bookmarkEnd w:id="353"/>
      <w:bookmarkEnd w:id="354"/>
      <w:bookmarkEnd w:id="355"/>
      <w:bookmarkEnd w:id="356"/>
    </w:p>
    <w:p w14:paraId="31C1559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按本章第2.2款规定的量化因素和分值进行打分，并计算出综合评估得分。</w:t>
      </w:r>
    </w:p>
    <w:p w14:paraId="7B6283A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（1）按本章第3.2.1（1）目规定的评审因素和分值对技术方案计算出得分A（所有评委打分中取算术平均值为该</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技术方案得分）。</w:t>
      </w:r>
    </w:p>
    <w:p w14:paraId="7F5BE08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（2）按本章第3.2.1（2）目规定的评审因素和分值对</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总报价计算出得分B。</w:t>
      </w:r>
    </w:p>
    <w:p w14:paraId="59298CB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按本章第3.2.1（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）目规定的评审因素和分值对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计算出得分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p>
    <w:p w14:paraId="0008165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3.2.2  评分分值计算保留小数点后两位，小数点后第三位“四舍五入”。</w:t>
      </w:r>
    </w:p>
    <w:p w14:paraId="2B14A0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3.2.3  </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得分=A+B</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14:textFill>
            <w14:solidFill>
              <w14:schemeClr w14:val="tx1"/>
            </w14:solidFill>
          </w14:textFill>
        </w:rPr>
        <w:t>。</w:t>
      </w:r>
    </w:p>
    <w:p w14:paraId="2209373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57" w:name="_Toc277082625"/>
      <w:bookmarkStart w:id="358" w:name="_Toc224103391"/>
      <w:bookmarkStart w:id="359" w:name="_Toc47779867"/>
      <w:bookmarkStart w:id="360" w:name="_Toc287607819"/>
      <w:bookmarkStart w:id="361" w:name="_Toc509218783"/>
      <w:bookmarkStart w:id="362" w:name="_Toc430530507"/>
      <w:bookmarkStart w:id="363" w:name="_Toc287620758"/>
      <w:bookmarkStart w:id="364" w:name="_Toc200513205"/>
      <w:bookmarkStart w:id="365" w:name="_Toc2802"/>
      <w:bookmarkStart w:id="366" w:name="_Toc33106459"/>
      <w:r>
        <w:rPr>
          <w:rFonts w:hint="eastAsia" w:ascii="宋体" w:hAnsi="宋体" w:eastAsia="宋体" w:cs="宋体"/>
          <w:color w:val="000000" w:themeColor="text1"/>
          <w:sz w:val="21"/>
          <w:szCs w:val="21"/>
          <w:highlight w:val="none"/>
          <w14:textFill>
            <w14:solidFill>
              <w14:schemeClr w14:val="tx1"/>
            </w14:solidFill>
          </w14:textFill>
        </w:rPr>
        <w:t xml:space="preserve">3.3 </w:t>
      </w:r>
      <w:r>
        <w:rPr>
          <w:rFonts w:hint="eastAsia" w:ascii="宋体" w:hAnsi="宋体" w:eastAsia="宋体" w:cs="宋体"/>
          <w:color w:val="000000" w:themeColor="text1"/>
          <w:sz w:val="21"/>
          <w:szCs w:val="21"/>
          <w:highlight w:val="none"/>
          <w:lang w:eastAsia="zh-CN"/>
          <w14:textFill>
            <w14:solidFill>
              <w14:schemeClr w14:val="tx1"/>
            </w14:solidFill>
          </w14:textFill>
        </w:rPr>
        <w:t>竞标文件</w:t>
      </w:r>
      <w:r>
        <w:rPr>
          <w:rFonts w:hint="eastAsia" w:ascii="宋体" w:hAnsi="宋体" w:eastAsia="宋体" w:cs="宋体"/>
          <w:color w:val="000000" w:themeColor="text1"/>
          <w:sz w:val="21"/>
          <w:szCs w:val="21"/>
          <w:highlight w:val="none"/>
          <w14:textFill>
            <w14:solidFill>
              <w14:schemeClr w14:val="tx1"/>
            </w14:solidFill>
          </w14:textFill>
        </w:rPr>
        <w:t>的澄清和补正</w:t>
      </w:r>
      <w:bookmarkEnd w:id="357"/>
      <w:bookmarkEnd w:id="358"/>
      <w:bookmarkEnd w:id="359"/>
      <w:bookmarkEnd w:id="360"/>
      <w:bookmarkEnd w:id="361"/>
      <w:bookmarkEnd w:id="362"/>
      <w:bookmarkEnd w:id="363"/>
      <w:bookmarkEnd w:id="364"/>
      <w:bookmarkEnd w:id="365"/>
      <w:bookmarkEnd w:id="366"/>
    </w:p>
    <w:p w14:paraId="197CCC2E">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在评标过程中，</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对所提交</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中不明确的内容进行书面澄清或说明，或者对细微偏差进行补正。</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不接受</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主动提出的澄清、说明或补正。</w:t>
      </w:r>
    </w:p>
    <w:p w14:paraId="537FBB1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澄清、说明和补正不得改变</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的实质性内容（算术性错误修正的除外）。</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的书面澄清、说明和补正属于</w:t>
      </w:r>
      <w:r>
        <w:rPr>
          <w:rFonts w:hint="eastAsia" w:ascii="宋体" w:hAnsi="宋体" w:eastAsia="宋体" w:cs="宋体"/>
          <w:color w:val="000000" w:themeColor="text1"/>
          <w:kern w:val="0"/>
          <w:szCs w:val="21"/>
          <w:highlight w:val="none"/>
          <w:lang w:eastAsia="zh-CN"/>
          <w14:textFill>
            <w14:solidFill>
              <w14:schemeClr w14:val="tx1"/>
            </w14:solidFill>
          </w14:textFill>
        </w:rPr>
        <w:t>竞标文件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32FD8A8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3.3.3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进一步澄清、说明或补正，直至满足</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的要求。</w:t>
      </w:r>
    </w:p>
    <w:p w14:paraId="580070F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67" w:name="_Toc287607820"/>
      <w:bookmarkStart w:id="368" w:name="_Toc430530508"/>
      <w:bookmarkStart w:id="369" w:name="_Toc224103392"/>
      <w:bookmarkStart w:id="370" w:name="_Toc4536"/>
      <w:bookmarkStart w:id="371" w:name="_Toc33106460"/>
      <w:bookmarkStart w:id="372" w:name="_Toc509218784"/>
      <w:bookmarkStart w:id="373" w:name="_Toc200513206"/>
      <w:bookmarkStart w:id="374" w:name="_Toc47779868"/>
      <w:bookmarkStart w:id="375" w:name="_Toc277082626"/>
      <w:bookmarkStart w:id="376" w:name="_Toc287620759"/>
      <w:bookmarkStart w:id="377" w:name="_Toc11794"/>
      <w:r>
        <w:rPr>
          <w:rFonts w:hint="eastAsia" w:ascii="宋体" w:hAnsi="宋体" w:eastAsia="宋体" w:cs="宋体"/>
          <w:color w:val="000000" w:themeColor="text1"/>
          <w:sz w:val="21"/>
          <w:szCs w:val="21"/>
          <w:highlight w:val="none"/>
          <w14:textFill>
            <w14:solidFill>
              <w14:schemeClr w14:val="tx1"/>
            </w14:solidFill>
          </w14:textFill>
        </w:rPr>
        <w:t>3.4 评标结果</w:t>
      </w:r>
      <w:bookmarkEnd w:id="367"/>
      <w:bookmarkEnd w:id="368"/>
      <w:bookmarkEnd w:id="369"/>
      <w:bookmarkEnd w:id="370"/>
      <w:bookmarkEnd w:id="371"/>
      <w:bookmarkEnd w:id="372"/>
      <w:bookmarkEnd w:id="373"/>
      <w:bookmarkEnd w:id="374"/>
      <w:bookmarkEnd w:id="375"/>
      <w:bookmarkEnd w:id="376"/>
      <w:bookmarkEnd w:id="377"/>
    </w:p>
    <w:p w14:paraId="7D6CDCC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 除第二章“</w:t>
      </w:r>
      <w:r>
        <w:rPr>
          <w:rFonts w:hint="eastAsia" w:ascii="宋体" w:hAnsi="宋体" w:eastAsia="宋体" w:cs="宋体"/>
          <w:color w:val="000000" w:themeColor="text1"/>
          <w:kern w:val="0"/>
          <w:szCs w:val="21"/>
          <w:highlight w:val="none"/>
          <w:lang w:eastAsia="zh-CN"/>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须知”前附表授权直接确定中标人外，</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按照得分由高到低的顺序推荐中标候选人。</w:t>
      </w:r>
    </w:p>
    <w:p w14:paraId="72CCB9E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3.4.2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完成评标后，应当向比选人提交书面评标报告。</w:t>
      </w:r>
    </w:p>
    <w:p w14:paraId="7B67F0ED">
      <w:pPr>
        <w:pStyle w:val="12"/>
        <w:spacing w:line="360" w:lineRule="auto"/>
        <w:rPr>
          <w:rFonts w:hint="eastAsia" w:ascii="宋体" w:hAnsi="宋体" w:eastAsia="宋体" w:cs="宋体"/>
          <w:b/>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br w:type="page"/>
      </w:r>
      <w:r>
        <w:rPr>
          <w:rFonts w:hint="eastAsia" w:ascii="宋体" w:hAnsi="宋体" w:eastAsia="宋体" w:cs="宋体"/>
          <w:b/>
          <w:color w:val="000000" w:themeColor="text1"/>
          <w:sz w:val="28"/>
          <w:szCs w:val="28"/>
          <w:highlight w:val="none"/>
          <w:u w:val="none"/>
          <w:lang w:eastAsia="zh-CN"/>
          <w14:textFill>
            <w14:solidFill>
              <w14:schemeClr w14:val="tx1"/>
            </w14:solidFill>
          </w14:textFill>
        </w:rPr>
        <w:t>附件A：综合评分法否决竞标情况一览表</w:t>
      </w:r>
    </w:p>
    <w:p w14:paraId="133E6B81">
      <w:pPr>
        <w:pStyle w:val="12"/>
        <w:spacing w:line="360" w:lineRule="auto"/>
        <w:ind w:firstLine="420" w:firstLineChars="2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一览表中竞标人有下列情形之一的，其竞标作否决竞标处理，否决竞标条件之外的评审委员会不得判为重大偏差。</w:t>
      </w:r>
    </w:p>
    <w:tbl>
      <w:tblPr>
        <w:tblStyle w:val="18"/>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377"/>
        <w:gridCol w:w="6855"/>
      </w:tblGrid>
      <w:tr w14:paraId="47FDB4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8C6C298">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bookmarkStart w:id="378" w:name="_Toc144974577"/>
            <w:bookmarkStart w:id="379" w:name="_Toc152042387"/>
            <w:bookmarkStart w:id="380" w:name="_Toc152045609"/>
            <w:bookmarkStart w:id="381" w:name="_Toc6587"/>
            <w:bookmarkStart w:id="382" w:name="_Toc389633614"/>
            <w:bookmarkStart w:id="383" w:name="_Toc19013"/>
            <w:r>
              <w:rPr>
                <w:rFonts w:hint="eastAsia" w:ascii="宋体" w:hAnsi="宋体" w:eastAsia="宋体" w:cs="宋体"/>
                <w:b/>
                <w:color w:val="000000" w:themeColor="text1"/>
                <w:szCs w:val="21"/>
                <w:highlight w:val="none"/>
                <w14:textFill>
                  <w14:solidFill>
                    <w14:schemeClr w14:val="tx1"/>
                  </w14:solidFill>
                </w14:textFill>
              </w:rPr>
              <w:t>章节号</w:t>
            </w:r>
          </w:p>
        </w:tc>
        <w:tc>
          <w:tcPr>
            <w:tcW w:w="1377" w:type="dxa"/>
            <w:vAlign w:val="center"/>
          </w:tcPr>
          <w:p w14:paraId="420DA605">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条款名称</w:t>
            </w:r>
          </w:p>
        </w:tc>
        <w:tc>
          <w:tcPr>
            <w:tcW w:w="6855" w:type="dxa"/>
            <w:vAlign w:val="center"/>
          </w:tcPr>
          <w:p w14:paraId="14F7ADCB">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否决投标条件</w:t>
            </w:r>
          </w:p>
        </w:tc>
      </w:tr>
      <w:tr w14:paraId="38ECD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ACDCF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05C655C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资格评审</w:t>
            </w:r>
          </w:p>
        </w:tc>
        <w:tc>
          <w:tcPr>
            <w:tcW w:w="6855" w:type="dxa"/>
            <w:vAlign w:val="center"/>
          </w:tcPr>
          <w:p w14:paraId="1A1BE60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的资质条件、营业执照及安全生产条件须满足</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2483C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CCD312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36EEDB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27DF2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的财务须满足</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24F50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7EB68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72D485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50A43D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A-3</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的业绩须满足</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3568F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FC227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0EB125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9B35B0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A-4</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的投标截止日投标资格情况须满足</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4C3A5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AB83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E8FA4F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1E051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A-5</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的项目经理资格须满足</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F245B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743AD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1DA71D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78BE24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A-6</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的其他要求须满足</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B0BD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EAC37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4AE4BB1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形式评审</w:t>
            </w:r>
          </w:p>
        </w:tc>
        <w:tc>
          <w:tcPr>
            <w:tcW w:w="6855" w:type="dxa"/>
          </w:tcPr>
          <w:p w14:paraId="7FB8BAF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名称必须与营业执照、资质证书、安全生产许可证一致，依法变更名称的应提交相应证明材料，否则由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500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C9517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9A325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2EF207B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投标函格式规定签名、盖章的位置有法定代表人或其委托代理人签名（或盖章）、加盖单位法人章，否则由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4ABFD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4A161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36E7EA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380B0A1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投标文件格式符合第二章“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须知”第3.7款的要求，否则由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642A0AF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编制投标文件时不得对第八章“投标文件格式”的相应要素作实质性修改，否则由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3EAB1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62A1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07A5AE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62D8F51F">
            <w:pPr>
              <w:autoSpaceDE w:val="0"/>
              <w:autoSpaceDN w:val="0"/>
              <w:adjustRightInd w:val="0"/>
              <w:snapToGrid w:val="0"/>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投标文件份数符合第二章“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须知”第3.7.4项的规定，</w:t>
            </w:r>
            <w:r>
              <w:rPr>
                <w:rFonts w:hint="eastAsia" w:ascii="宋体" w:hAnsi="宋体" w:eastAsia="宋体" w:cs="宋体"/>
                <w:color w:val="000000" w:themeColor="text1"/>
                <w:kern w:val="0"/>
                <w:szCs w:val="21"/>
                <w:highlight w:val="none"/>
                <w14:textFill>
                  <w14:solidFill>
                    <w14:schemeClr w14:val="tx1"/>
                  </w14:solidFill>
                </w14:textFill>
              </w:rPr>
              <w:t>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0160D7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AC0EF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97873C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17E67C9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只能有一个有效报价。在</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没有规定的情况下，不得提交选择性报价，否则由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3794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1EE1E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FEC3F7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08658A3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第八章 投标文件格式要求法定代表人或其委托代理人签名（或盖章）的须齐全。</w:t>
            </w:r>
          </w:p>
        </w:tc>
      </w:tr>
      <w:tr w14:paraId="68AF84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E964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D37E9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4C6C9F7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为其缴纳的养老保险证明材料，否则由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8610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CB7AE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78389B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响应性评审</w:t>
            </w:r>
          </w:p>
        </w:tc>
        <w:tc>
          <w:tcPr>
            <w:tcW w:w="6855" w:type="dxa"/>
            <w:vAlign w:val="center"/>
          </w:tcPr>
          <w:p w14:paraId="5C4034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投标总报价必须与已标价工程量清单总报价一致，否则由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096A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FF71B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669BC9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189A5D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投标总报价不得高于招标人公布的投标总报价最高限价，否则由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921F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9507D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D37EF3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070D803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给定的金额填报，否则由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329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876D4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B5DDC9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311B5B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投标内容符合第二章“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须知”第1.3.1项规定，否则由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934B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6DDDE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899F8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ADF4F5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t>工期符合第二章“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须知”第1.3.2项规定，否则由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C08F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D24F9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4B1C9F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297243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工程质量符合第二章“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须知”第1.3.3项规定，否则由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342EE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9F034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24CD4D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72BBE85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投标有效期符合第二章“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须知”第3.3.1项规定，否则由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DDC0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F9243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841895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B6728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须知前附表第3.4款的规定递交投标保证金，并作为其投标文件的组成部分，否则由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7C26F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7D774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046170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9820DC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符合第四章“合同条款及格式”规定，投标文件不应附有招标人不能接受的条件，否则由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作否决投标处理。（由</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承诺，承诺书格式详见第八章投标文件格式。）</w:t>
            </w:r>
          </w:p>
        </w:tc>
      </w:tr>
      <w:tr w14:paraId="673F1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2FF8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E7EF3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F9430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符合第七章“技术标准和要求”规定。否则由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作否决投标处理（如有）。（由</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承诺，承诺书格式详见第八章投标文件格式。）</w:t>
            </w:r>
          </w:p>
        </w:tc>
      </w:tr>
      <w:tr w14:paraId="498A7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69F4B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5F217A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E25079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提供的关于已标价工程量清单的承诺符合</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AA06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42983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C5B672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17484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投标报价有算术错误的，按照第三章“评标办法”第3.1.3项规定执行，否则由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E7982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CDA39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B4F034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C825EB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有以下情形之一的，其投标文件由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7120BB2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1.第二章“</w:t>
            </w:r>
            <w:r>
              <w:rPr>
                <w:rFonts w:hint="eastAsia" w:ascii="宋体" w:hAnsi="宋体" w:eastAsia="宋体" w:cs="宋体"/>
                <w:color w:val="000000" w:themeColor="text1"/>
                <w:szCs w:val="21"/>
                <w:highlight w:val="none"/>
                <w:lang w:eastAsia="zh-CN"/>
                <w14:textFill>
                  <w14:solidFill>
                    <w14:schemeClr w14:val="tx1"/>
                  </w14:solidFill>
                </w14:textFill>
              </w:rPr>
              <w:t>竞标人</w:t>
            </w:r>
            <w:r>
              <w:rPr>
                <w:rFonts w:hint="eastAsia" w:ascii="宋体" w:hAnsi="宋体" w:eastAsia="宋体" w:cs="宋体"/>
                <w:color w:val="000000" w:themeColor="text1"/>
                <w:szCs w:val="21"/>
                <w:highlight w:val="none"/>
                <w14:textFill>
                  <w14:solidFill>
                    <w14:schemeClr w14:val="tx1"/>
                  </w14:solidFill>
                </w14:textFill>
              </w:rPr>
              <w:t>须知”第1.4.3项规定的任何一种情形的；</w:t>
            </w:r>
          </w:p>
          <w:p w14:paraId="32FDBDB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2.本次投标有串通投标、弄虚作假等违反招投标相关法律、法规的行为的；</w:t>
            </w:r>
          </w:p>
          <w:p w14:paraId="0701215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3.拒绝按</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要求澄清、说明或补正的。</w:t>
            </w:r>
          </w:p>
        </w:tc>
      </w:tr>
    </w:tbl>
    <w:p w14:paraId="61A51DEE">
      <w:pPr>
        <w:spacing w:before="120" w:after="120" w:line="360" w:lineRule="auto"/>
        <w:jc w:val="center"/>
        <w:outlineLvl w:val="9"/>
        <w:rPr>
          <w:rFonts w:hint="eastAsia" w:ascii="宋体" w:hAnsi="宋体" w:eastAsia="宋体" w:cs="宋体"/>
          <w:color w:val="000000" w:themeColor="text1"/>
          <w:sz w:val="32"/>
          <w:highlight w:val="none"/>
          <w14:textFill>
            <w14:solidFill>
              <w14:schemeClr w14:val="tx1"/>
            </w14:solidFill>
          </w14:textFill>
        </w:rPr>
      </w:pPr>
    </w:p>
    <w:p w14:paraId="11B72714">
      <w:pPr>
        <w:pStyle w:val="6"/>
        <w:outlineLvl w:val="9"/>
        <w:rPr>
          <w:rFonts w:hint="eastAsia" w:ascii="宋体" w:hAnsi="宋体" w:eastAsia="宋体" w:cs="宋体"/>
          <w:color w:val="000000" w:themeColor="text1"/>
          <w:highlight w:val="none"/>
          <w14:textFill>
            <w14:solidFill>
              <w14:schemeClr w14:val="tx1"/>
            </w14:solidFill>
          </w14:textFill>
        </w:rPr>
      </w:pPr>
    </w:p>
    <w:p w14:paraId="2220F03F">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第四章 合同条款及格式</w:t>
      </w:r>
      <w:bookmarkEnd w:id="378"/>
      <w:bookmarkEnd w:id="379"/>
      <w:bookmarkEnd w:id="380"/>
      <w:bookmarkEnd w:id="381"/>
      <w:bookmarkEnd w:id="382"/>
      <w:bookmarkEnd w:id="383"/>
    </w:p>
    <w:p w14:paraId="3F4DAA71">
      <w:pPr>
        <w:spacing w:line="360" w:lineRule="auto"/>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由比选人和中标人另行商定</w:t>
      </w:r>
      <w:r>
        <w:rPr>
          <w:rFonts w:hint="eastAsia" w:ascii="宋体" w:hAnsi="宋体" w:eastAsia="宋体" w:cs="宋体"/>
          <w:color w:val="000000" w:themeColor="text1"/>
          <w:highlight w:val="none"/>
          <w:lang w:eastAsia="zh-CN"/>
          <w14:textFill>
            <w14:solidFill>
              <w14:schemeClr w14:val="tx1"/>
            </w14:solidFill>
          </w14:textFill>
        </w:rPr>
        <w:t>）</w:t>
      </w:r>
      <w:bookmarkStart w:id="384" w:name="_Toc424558369"/>
      <w:bookmarkStart w:id="385" w:name="_Toc152045768"/>
      <w:bookmarkStart w:id="386" w:name="_Toc424558729"/>
      <w:bookmarkStart w:id="387" w:name="_Toc467164257"/>
      <w:bookmarkStart w:id="388" w:name="_Toc152042547"/>
      <w:bookmarkStart w:id="389" w:name="_Toc240180916"/>
      <w:bookmarkStart w:id="390" w:name="_Toc424558368"/>
      <w:bookmarkStart w:id="391" w:name="_Toc144974827"/>
      <w:bookmarkStart w:id="392" w:name="_Toc509390696"/>
      <w:bookmarkStart w:id="393" w:name="_Toc335223532"/>
      <w:bookmarkStart w:id="394" w:name="_Toc424558728"/>
      <w:bookmarkStart w:id="395" w:name="_Toc240180917"/>
      <w:bookmarkStart w:id="396" w:name="_Toc509390697"/>
      <w:bookmarkStart w:id="397" w:name="_Toc335223531"/>
      <w:bookmarkStart w:id="398" w:name="_Toc467164258"/>
      <w:bookmarkStart w:id="399" w:name="_Toc389633691"/>
      <w:bookmarkStart w:id="400" w:name="_Toc1133"/>
    </w:p>
    <w:p w14:paraId="5FE2E518">
      <w:pPr>
        <w:spacing w:line="360" w:lineRule="auto"/>
        <w:jc w:val="righ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br w:type="page"/>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33623538">
      <w:pPr>
        <w:pStyle w:val="2"/>
        <w:jc w:val="center"/>
        <w:rPr>
          <w:rFonts w:hint="eastAsia" w:ascii="宋体" w:hAnsi="宋体" w:eastAsia="宋体" w:cs="宋体"/>
          <w:bCs w:val="0"/>
          <w:color w:val="000000" w:themeColor="text1"/>
          <w:sz w:val="32"/>
          <w:szCs w:val="32"/>
          <w:highlight w:val="none"/>
          <w:lang w:val="en-US" w:eastAsia="zh-CN"/>
          <w14:textFill>
            <w14:solidFill>
              <w14:schemeClr w14:val="tx1"/>
            </w14:solidFill>
          </w14:textFill>
        </w:rPr>
      </w:pPr>
      <w:bookmarkStart w:id="401" w:name="_Toc13841"/>
      <w:r>
        <w:rPr>
          <w:rFonts w:hint="eastAsia" w:ascii="宋体" w:hAnsi="宋体" w:eastAsia="宋体" w:cs="宋体"/>
          <w:bCs w:val="0"/>
          <w:color w:val="000000" w:themeColor="text1"/>
          <w:sz w:val="32"/>
          <w:szCs w:val="32"/>
          <w:highlight w:val="none"/>
          <w14:textFill>
            <w14:solidFill>
              <w14:schemeClr w14:val="tx1"/>
            </w14:solidFill>
          </w14:textFill>
        </w:rPr>
        <w:t>第五章   工程量清单</w:t>
      </w:r>
      <w:bookmarkEnd w:id="399"/>
      <w:bookmarkEnd w:id="400"/>
      <w:bookmarkEnd w:id="401"/>
    </w:p>
    <w:p w14:paraId="27327D86">
      <w:pPr>
        <w:wordWrap w:val="0"/>
        <w:snapToGrid w:val="0"/>
        <w:spacing w:line="360" w:lineRule="auto"/>
        <w:ind w:left="476" w:firstLine="3780" w:firstLineChars="1800"/>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399494B">
      <w:pPr>
        <w:wordWrap w:val="0"/>
        <w:snapToGrid w:val="0"/>
        <w:spacing w:line="360" w:lineRule="auto"/>
        <w:ind w:left="4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EA3CDFE">
      <w:pPr>
        <w:pStyle w:val="2"/>
        <w:keepNext w:val="0"/>
        <w:keepLines w:val="0"/>
        <w:numPr>
          <w:ilvl w:val="0"/>
          <w:numId w:val="1"/>
        </w:numPr>
        <w:tabs>
          <w:tab w:val="left" w:pos="0"/>
          <w:tab w:val="clear" w:pos="1440"/>
        </w:tabs>
        <w:wordWrap w:val="0"/>
        <w:autoSpaceDE w:val="0"/>
        <w:autoSpaceDN w:val="0"/>
        <w:adjustRightInd w:val="0"/>
        <w:snapToGrid w:val="0"/>
        <w:spacing w:line="360" w:lineRule="auto"/>
        <w:ind w:left="0" w:firstLine="0"/>
        <w:jc w:val="center"/>
        <w:rPr>
          <w:rFonts w:hint="eastAsia" w:ascii="宋体" w:hAnsi="宋体" w:eastAsia="宋体" w:cs="宋体"/>
          <w:bCs w:val="0"/>
          <w:color w:val="000000" w:themeColor="text1"/>
          <w:kern w:val="0"/>
          <w:sz w:val="32"/>
          <w:szCs w:val="32"/>
          <w:highlight w:val="none"/>
          <w14:textFill>
            <w14:solidFill>
              <w14:schemeClr w14:val="tx1"/>
            </w14:solidFill>
          </w14:textFill>
        </w:rPr>
      </w:pPr>
      <w:bookmarkStart w:id="402" w:name="_Toc389633694"/>
      <w:bookmarkStart w:id="403" w:name="_Toc22798"/>
      <w:bookmarkStart w:id="404" w:name="_Toc1807"/>
      <w:bookmarkStart w:id="405" w:name="_Toc144974854"/>
      <w:bookmarkStart w:id="406" w:name="_Toc152042574"/>
      <w:bookmarkStart w:id="407" w:name="_Toc152045785"/>
      <w:r>
        <w:rPr>
          <w:rFonts w:hint="eastAsia" w:ascii="宋体" w:hAnsi="宋体" w:eastAsia="宋体" w:cs="宋体"/>
          <w:bCs w:val="0"/>
          <w:color w:val="000000" w:themeColor="text1"/>
          <w:kern w:val="0"/>
          <w:sz w:val="32"/>
          <w:szCs w:val="32"/>
          <w:highlight w:val="none"/>
          <w14:textFill>
            <w14:solidFill>
              <w14:schemeClr w14:val="tx1"/>
            </w14:solidFill>
          </w14:textFill>
        </w:rPr>
        <w:t>图纸及相关资料</w:t>
      </w:r>
      <w:bookmarkEnd w:id="402"/>
      <w:bookmarkEnd w:id="403"/>
      <w:bookmarkEnd w:id="404"/>
    </w:p>
    <w:p w14:paraId="0AA001EE">
      <w:pPr>
        <w:wordWrap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4C940E5">
      <w:pPr>
        <w:wordWrap w:val="0"/>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415749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08" w:name="_Toc23249"/>
      <w:bookmarkStart w:id="409" w:name="_Toc24136"/>
      <w:bookmarkStart w:id="410" w:name="_Toc389633695"/>
      <w:bookmarkStart w:id="411" w:name="_Toc7584"/>
      <w:r>
        <w:rPr>
          <w:rFonts w:hint="eastAsia" w:ascii="宋体" w:hAnsi="宋体" w:eastAsia="宋体" w:cs="宋体"/>
          <w:color w:val="000000" w:themeColor="text1"/>
          <w:sz w:val="32"/>
          <w:highlight w:val="none"/>
          <w14:textFill>
            <w14:solidFill>
              <w14:schemeClr w14:val="tx1"/>
            </w14:solidFill>
          </w14:textFill>
        </w:rPr>
        <w:t>第七章  技术标准和要求</w:t>
      </w:r>
      <w:bookmarkEnd w:id="405"/>
      <w:bookmarkEnd w:id="406"/>
      <w:bookmarkEnd w:id="407"/>
      <w:bookmarkEnd w:id="408"/>
      <w:bookmarkEnd w:id="409"/>
      <w:bookmarkEnd w:id="410"/>
      <w:bookmarkEnd w:id="411"/>
    </w:p>
    <w:p w14:paraId="59F4CD8A">
      <w:pPr>
        <w:tabs>
          <w:tab w:val="left" w:pos="132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412" w:name="_Toc152042575"/>
      <w:bookmarkStart w:id="413" w:name="_Toc144974855"/>
      <w:bookmarkStart w:id="414" w:name="_Toc152045786"/>
      <w:r>
        <w:rPr>
          <w:rFonts w:hint="eastAsia" w:ascii="宋体" w:hAnsi="宋体" w:eastAsia="宋体" w:cs="宋体"/>
          <w:color w:val="000000" w:themeColor="text1"/>
          <w:szCs w:val="21"/>
          <w:highlight w:val="none"/>
          <w14:textFill>
            <w14:solidFill>
              <w14:schemeClr w14:val="tx1"/>
            </w14:solidFill>
          </w14:textFill>
        </w:rPr>
        <w:t>达到国家现行有关施工质量验收规范要求,并达到合格标准。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br w:type="page"/>
      </w:r>
    </w:p>
    <w:p w14:paraId="440B84E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15" w:name="_Toc389633696"/>
      <w:bookmarkStart w:id="416" w:name="_Toc24229"/>
      <w:bookmarkStart w:id="417" w:name="_Toc14133"/>
      <w:bookmarkStart w:id="418" w:name="_Toc10560"/>
      <w:r>
        <w:rPr>
          <w:rFonts w:hint="eastAsia" w:ascii="宋体" w:hAnsi="宋体" w:eastAsia="宋体" w:cs="宋体"/>
          <w:color w:val="000000" w:themeColor="text1"/>
          <w:sz w:val="32"/>
          <w:highlight w:val="none"/>
          <w14:textFill>
            <w14:solidFill>
              <w14:schemeClr w14:val="tx1"/>
            </w14:solidFill>
          </w14:textFill>
        </w:rPr>
        <w:t>第八章  竞标文件格式</w:t>
      </w:r>
      <w:bookmarkEnd w:id="412"/>
      <w:bookmarkEnd w:id="413"/>
      <w:bookmarkEnd w:id="414"/>
      <w:bookmarkEnd w:id="415"/>
      <w:bookmarkEnd w:id="416"/>
      <w:bookmarkEnd w:id="417"/>
      <w:bookmarkEnd w:id="418"/>
    </w:p>
    <w:p w14:paraId="5405CB1E">
      <w:pPr>
        <w:spacing w:line="360" w:lineRule="auto"/>
        <w:rPr>
          <w:rFonts w:hint="eastAsia" w:ascii="宋体" w:hAnsi="宋体" w:eastAsia="宋体" w:cs="宋体"/>
          <w:color w:val="000000" w:themeColor="text1"/>
          <w:highlight w:val="none"/>
          <w14:textFill>
            <w14:solidFill>
              <w14:schemeClr w14:val="tx1"/>
            </w14:solidFill>
          </w14:textFill>
        </w:rPr>
      </w:pPr>
    </w:p>
    <w:p w14:paraId="1934822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32F258C">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2"/>
          <w:highlight w:val="none"/>
          <w:lang w:eastAsia="zh-CN"/>
          <w14:textFill>
            <w14:solidFill>
              <w14:schemeClr w14:val="tx1"/>
            </w14:solidFill>
          </w14:textFill>
        </w:rPr>
        <w:t xml:space="preserve"> 曾家镇龙台社区美丽新城休闲空间打造项目</w:t>
      </w:r>
    </w:p>
    <w:p w14:paraId="5F1CBC9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362385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2F9DF6A">
      <w:pPr>
        <w:pStyle w:val="6"/>
        <w:rPr>
          <w:rFonts w:hint="eastAsia" w:ascii="宋体" w:hAnsi="宋体" w:eastAsia="宋体" w:cs="宋体"/>
          <w:color w:val="000000" w:themeColor="text1"/>
          <w:kern w:val="0"/>
          <w:sz w:val="44"/>
          <w:szCs w:val="44"/>
          <w:highlight w:val="none"/>
          <w14:textFill>
            <w14:solidFill>
              <w14:schemeClr w14:val="tx1"/>
            </w14:solidFill>
          </w14:textFill>
        </w:rPr>
      </w:pPr>
    </w:p>
    <w:p w14:paraId="35B794DF">
      <w:pPr>
        <w:rPr>
          <w:rFonts w:hint="eastAsia" w:ascii="宋体" w:hAnsi="宋体" w:eastAsia="宋体" w:cs="宋体"/>
          <w:color w:val="000000" w:themeColor="text1"/>
          <w:kern w:val="0"/>
          <w:sz w:val="44"/>
          <w:szCs w:val="44"/>
          <w:highlight w:val="none"/>
          <w14:textFill>
            <w14:solidFill>
              <w14:schemeClr w14:val="tx1"/>
            </w14:solidFill>
          </w14:textFill>
        </w:rPr>
      </w:pPr>
    </w:p>
    <w:p w14:paraId="3059B5B0">
      <w:pPr>
        <w:rPr>
          <w:rFonts w:hint="eastAsia" w:ascii="宋体" w:hAnsi="宋体" w:eastAsia="宋体" w:cs="宋体"/>
          <w:color w:val="000000" w:themeColor="text1"/>
          <w:highlight w:val="none"/>
          <w14:textFill>
            <w14:solidFill>
              <w14:schemeClr w14:val="tx1"/>
            </w14:solidFill>
          </w14:textFill>
        </w:rPr>
      </w:pPr>
    </w:p>
    <w:p w14:paraId="2B3973D9">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14:textFill>
            <w14:solidFill>
              <w14:schemeClr w14:val="tx1"/>
            </w14:solidFill>
          </w14:textFill>
        </w:rPr>
        <w:t>竞  标  文  件</w:t>
      </w:r>
    </w:p>
    <w:p w14:paraId="3D0B081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042D04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6656A8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25C10B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668C03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97CB535">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AE854D4">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31ACF0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4FB951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E856AB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0A1F67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D7AE7F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5E13DF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98921C">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w w:val="99"/>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14:textFill>
            <w14:solidFill>
              <w14:schemeClr w14:val="tx1"/>
            </w14:solidFill>
          </w14:textFill>
        </w:rPr>
        <w:t>竞标人</w:t>
      </w:r>
      <w:r>
        <w:rPr>
          <w:rFonts w:hint="eastAsia" w:ascii="宋体" w:hAnsi="宋体" w:eastAsia="宋体" w:cs="宋体"/>
          <w:b/>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（盖单位公章）</w:t>
      </w:r>
    </w:p>
    <w:p w14:paraId="70A20A7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（签字）</w:t>
      </w:r>
    </w:p>
    <w:p w14:paraId="0386B2A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年</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月</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日</w:t>
      </w:r>
    </w:p>
    <w:p w14:paraId="75356186">
      <w:pPr>
        <w:autoSpaceDE w:val="0"/>
        <w:autoSpaceDN w:val="0"/>
        <w:adjustRightInd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目     录</w:t>
      </w:r>
    </w:p>
    <w:p w14:paraId="0F2966FA">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033E0D27">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一、竞标函</w:t>
      </w:r>
    </w:p>
    <w:p w14:paraId="47D4A71D">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二、法定代表人身份证明及授权委托书</w:t>
      </w:r>
    </w:p>
    <w:p w14:paraId="23D0CAC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三、竞标人基本情况表</w:t>
      </w:r>
    </w:p>
    <w:p w14:paraId="18D3B31C">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四、竞标截止日竞标资格情况</w:t>
      </w:r>
    </w:p>
    <w:p w14:paraId="7CFCCD8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五、项目管理机构组成表</w:t>
      </w:r>
    </w:p>
    <w:p w14:paraId="0A8A6D3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六、已标价工程量清单</w:t>
      </w:r>
    </w:p>
    <w:p w14:paraId="52CEDC7F">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七、技术方案</w:t>
      </w:r>
    </w:p>
    <w:p w14:paraId="29B0E810">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八、其他资料</w:t>
      </w:r>
    </w:p>
    <w:p w14:paraId="131EE4B2">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48A1F934">
      <w:pPr>
        <w:autoSpaceDE w:val="0"/>
        <w:autoSpaceDN w:val="0"/>
        <w:adjustRightInd w:val="0"/>
        <w:snapToGri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7B14D59">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B23AA0">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2BC083">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64129AD5">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596FE520">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213E138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4CEF209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61B76677">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5AB21DBA">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A21E5F3">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7FCB6B0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ECDCAC4">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2E6459E0">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15D16401">
      <w:pPr>
        <w:outlineLvl w:val="9"/>
        <w:rPr>
          <w:rFonts w:hint="eastAsia" w:ascii="宋体" w:hAnsi="宋体" w:eastAsia="宋体" w:cs="宋体"/>
          <w:color w:val="000000" w:themeColor="text1"/>
          <w:highlight w:val="none"/>
          <w14:textFill>
            <w14:solidFill>
              <w14:schemeClr w14:val="tx1"/>
            </w14:solidFill>
          </w14:textFill>
        </w:rPr>
      </w:pPr>
    </w:p>
    <w:p w14:paraId="103ACC46">
      <w:pPr>
        <w:outlineLvl w:val="9"/>
        <w:rPr>
          <w:rFonts w:hint="eastAsia" w:ascii="宋体" w:hAnsi="宋体" w:eastAsia="宋体" w:cs="宋体"/>
          <w:color w:val="000000" w:themeColor="text1"/>
          <w:highlight w:val="none"/>
          <w14:textFill>
            <w14:solidFill>
              <w14:schemeClr w14:val="tx1"/>
            </w14:solidFill>
          </w14:textFill>
        </w:rPr>
      </w:pPr>
    </w:p>
    <w:p w14:paraId="25915BC1">
      <w:pPr>
        <w:outlineLvl w:val="9"/>
        <w:rPr>
          <w:rFonts w:hint="eastAsia" w:ascii="宋体" w:hAnsi="宋体" w:eastAsia="宋体" w:cs="宋体"/>
          <w:color w:val="000000" w:themeColor="text1"/>
          <w:highlight w:val="none"/>
          <w14:textFill>
            <w14:solidFill>
              <w14:schemeClr w14:val="tx1"/>
            </w14:solidFill>
          </w14:textFill>
        </w:rPr>
      </w:pPr>
    </w:p>
    <w:p w14:paraId="65D68D0A">
      <w:pPr>
        <w:pStyle w:val="6"/>
        <w:rPr>
          <w:rFonts w:hint="eastAsia" w:ascii="宋体" w:hAnsi="宋体" w:eastAsia="宋体" w:cs="宋体"/>
          <w:color w:val="000000" w:themeColor="text1"/>
          <w:highlight w:val="none"/>
          <w14:textFill>
            <w14:solidFill>
              <w14:schemeClr w14:val="tx1"/>
            </w14:solidFill>
          </w14:textFill>
        </w:rPr>
      </w:pPr>
    </w:p>
    <w:p w14:paraId="1848A470">
      <w:pPr>
        <w:outlineLvl w:val="9"/>
        <w:rPr>
          <w:rFonts w:hint="eastAsia" w:ascii="宋体" w:hAnsi="宋体" w:eastAsia="宋体" w:cs="宋体"/>
          <w:color w:val="000000" w:themeColor="text1"/>
          <w:highlight w:val="none"/>
          <w14:textFill>
            <w14:solidFill>
              <w14:schemeClr w14:val="tx1"/>
            </w14:solidFill>
          </w14:textFill>
        </w:rPr>
      </w:pPr>
    </w:p>
    <w:p w14:paraId="0F92813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3C8AE3F3">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一、竞标函</w:t>
      </w:r>
    </w:p>
    <w:p w14:paraId="4A84D833">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p>
    <w:p w14:paraId="3EA4095C">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重庆高新区曾家镇爱家物业服务中心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51C5051">
      <w:pPr>
        <w:tabs>
          <w:tab w:val="left" w:pos="2760"/>
          <w:tab w:val="left" w:pos="3945"/>
          <w:tab w:val="left" w:pos="4920"/>
          <w:tab w:val="left" w:pos="6945"/>
          <w:tab w:val="left" w:pos="7770"/>
        </w:tabs>
        <w:autoSpaceDE w:val="0"/>
        <w:autoSpaceDN w:val="0"/>
        <w:adjustRightInd w:val="0"/>
        <w:spacing w:line="360" w:lineRule="auto"/>
        <w:ind w:left="120" w:leftChars="57" w:right="94"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1．我方已仔细研究了</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曾家镇龙台社区美丽新城休闲空间打造项目（</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项目名称</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施工比选文件的全部内容，愿意以人民币（大写）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）的竞标总报价，安全文明施工费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暂列金额</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技术负责人：</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，按合同约定实施和完成承包工程，修补工程中的任何缺陷，工程质量达到</w:t>
      </w:r>
      <w:r>
        <w:rPr>
          <w:rFonts w:hint="eastAsia" w:ascii="宋体" w:hAnsi="宋体" w:eastAsia="宋体" w:cs="宋体"/>
          <w:snapToGrid w:val="0"/>
          <w:color w:val="000000" w:themeColor="text1"/>
          <w:kern w:val="0"/>
          <w:highlight w:val="none"/>
          <w:u w:val="single"/>
          <w14:textFill>
            <w14:solidFill>
              <w14:schemeClr w14:val="tx1"/>
            </w14:solidFill>
          </w14:textFill>
        </w:rPr>
        <w:t>达到国家现行有关施工质量验收规范要求,并达到合格标准</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CB08ED">
      <w:pPr>
        <w:autoSpaceDE w:val="0"/>
        <w:autoSpaceDN w:val="0"/>
        <w:adjustRightInd w:val="0"/>
        <w:spacing w:before="15"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2．我方承诺在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竞标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有效期内不修改、撤销竞标文件。</w:t>
      </w:r>
    </w:p>
    <w:p w14:paraId="3EEB62A5">
      <w:pPr>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3．如我方中标：</w:t>
      </w:r>
    </w:p>
    <w:p w14:paraId="04A7F19E">
      <w:pPr>
        <w:autoSpaceDE w:val="0"/>
        <w:autoSpaceDN w:val="0"/>
        <w:adjustRightInd w:val="0"/>
        <w:spacing w:line="360" w:lineRule="auto"/>
        <w:ind w:left="838" w:right="-8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691D4C7F">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（2）我方承诺按照比选文件规定向你方递交履约担保。</w:t>
      </w:r>
    </w:p>
    <w:p w14:paraId="75311880">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（3）我方承诺在合同约定的期限内完成并移交全部合同工程。</w:t>
      </w:r>
    </w:p>
    <w:p w14:paraId="0603A489">
      <w:pPr>
        <w:autoSpaceDE w:val="0"/>
        <w:autoSpaceDN w:val="0"/>
        <w:adjustRightInd w:val="0"/>
        <w:spacing w:line="360" w:lineRule="auto"/>
        <w:ind w:left="120" w:right="-9"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4．我方在此声明，所递交的竞标文件及有关资料内容完整、真实和准确，且不存在第二章“竞标人须知”第 1.4.3 项规定的任何一种情形。</w:t>
      </w:r>
    </w:p>
    <w:p w14:paraId="3D3321AF">
      <w:pPr>
        <w:tabs>
          <w:tab w:val="left" w:pos="4940"/>
        </w:tabs>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14:textFill>
            <w14:solidFill>
              <w14:schemeClr w14:val="tx1"/>
            </w14:solidFill>
          </w14:textFill>
        </w:rPr>
        <w:t>（其他补充说明）。</w:t>
      </w:r>
    </w:p>
    <w:p w14:paraId="1A3645B8">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竞标人：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1828FCB5">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FB1098D">
      <w:pPr>
        <w:tabs>
          <w:tab w:val="left" w:pos="7035"/>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p>
    <w:p w14:paraId="30F66C12">
      <w:pPr>
        <w:tabs>
          <w:tab w:val="left" w:pos="8300"/>
        </w:tabs>
        <w:autoSpaceDE w:val="0"/>
        <w:autoSpaceDN w:val="0"/>
        <w:adjustRightInd w:val="0"/>
        <w:spacing w:before="1"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网址：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　　　　　　　　　　　　　　　　　　　　</w:t>
      </w:r>
    </w:p>
    <w:p w14:paraId="132A3E28">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7AD4915D">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传真：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6F9A4ED4">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邮政编码：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w:t>
      </w:r>
    </w:p>
    <w:p w14:paraId="0F318F1F">
      <w:pPr>
        <w:autoSpaceDE w:val="0"/>
        <w:autoSpaceDN w:val="0"/>
        <w:adjustRightInd w:val="0"/>
        <w:spacing w:before="14"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EA2E587">
      <w:pPr>
        <w:tabs>
          <w:tab w:val="left" w:pos="6000"/>
          <w:tab w:val="left" w:pos="7040"/>
          <w:tab w:val="left" w:pos="8100"/>
        </w:tabs>
        <w:autoSpaceDE w:val="0"/>
        <w:autoSpaceDN w:val="0"/>
        <w:adjustRightInd w:val="0"/>
        <w:spacing w:line="360" w:lineRule="auto"/>
        <w:ind w:right="-20" w:firstLine="4924" w:firstLineChars="2345"/>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52C8B76F">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223BDE73">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6C656450">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6C38A5">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3F95F053">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523388">
      <w:pPr>
        <w:pStyle w:val="4"/>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419" w:name="_Toc22406"/>
      <w:bookmarkStart w:id="420" w:name="_Toc389633700"/>
      <w:r>
        <w:rPr>
          <w:rFonts w:hint="eastAsia" w:ascii="宋体" w:hAnsi="宋体" w:eastAsia="宋体" w:cs="宋体"/>
          <w:color w:val="000000" w:themeColor="text1"/>
          <w:sz w:val="30"/>
          <w:szCs w:val="30"/>
          <w:highlight w:val="none"/>
          <w:lang w:val="en-US" w:eastAsia="zh-CN"/>
          <w14:textFill>
            <w14:solidFill>
              <w14:schemeClr w14:val="tx1"/>
            </w14:solidFill>
          </w14:textFill>
        </w:rPr>
        <w:t>二</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法定代表人身份证明及授权委托书</w:t>
      </w:r>
      <w:bookmarkEnd w:id="419"/>
      <w:bookmarkEnd w:id="420"/>
    </w:p>
    <w:p w14:paraId="27BC798C">
      <w:pP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法定代表人身份证明</w:t>
      </w:r>
    </w:p>
    <w:p w14:paraId="21F45926">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竞标人名称：</w:t>
      </w:r>
      <w:r>
        <w:rPr>
          <w:rFonts w:hint="eastAsia" w:ascii="宋体" w:hAnsi="宋体" w:eastAsia="宋体" w:cs="宋体"/>
          <w:color w:val="000000" w:themeColor="text1"/>
          <w:kern w:val="0"/>
          <w:szCs w:val="21"/>
          <w:highlight w:val="none"/>
          <w:u w:val="single"/>
          <w14:textFill>
            <w14:solidFill>
              <w14:schemeClr w14:val="tx1"/>
            </w14:solidFill>
          </w14:textFill>
        </w:rPr>
        <w:tab/>
      </w:r>
    </w:p>
    <w:p w14:paraId="5350EE8B">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4F96E4E">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color w:val="000000" w:themeColor="text1"/>
          <w:kern w:val="0"/>
          <w:szCs w:val="21"/>
          <w:highlight w:val="none"/>
          <w:u w:val="single"/>
          <w14:textFill>
            <w14:solidFill>
              <w14:schemeClr w14:val="tx1"/>
            </w14:solidFill>
          </w14:textFill>
        </w:rPr>
        <w:tab/>
      </w:r>
    </w:p>
    <w:p w14:paraId="27894F2D">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BEB0BA9">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14:textFill>
            <w14:solidFill>
              <w14:schemeClr w14:val="tx1"/>
            </w14:solidFill>
          </w14:textFill>
        </w:rPr>
        <w:tab/>
      </w:r>
    </w:p>
    <w:p w14:paraId="5AE15053">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071B3C4">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月</w:t>
      </w:r>
      <w:r>
        <w:rPr>
          <w:rFonts w:hint="eastAsia" w:ascii="宋体" w:hAnsi="宋体" w:eastAsia="宋体" w:cs="宋体"/>
          <w:color w:val="000000" w:themeColor="text1"/>
          <w:spacing w:val="-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500C3199">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27027A3F">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color w:val="000000" w:themeColor="text1"/>
          <w:kern w:val="0"/>
          <w:szCs w:val="21"/>
          <w:highlight w:val="none"/>
          <w:u w:val="single"/>
          <w14:textFill>
            <w14:solidFill>
              <w14:schemeClr w14:val="tx1"/>
            </w14:solidFill>
          </w14:textFill>
        </w:rPr>
        <w:tab/>
      </w:r>
    </w:p>
    <w:p w14:paraId="0A5F8AC5">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689063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14:textFill>
            <w14:solidFill>
              <w14:schemeClr w14:val="tx1"/>
            </w14:solidFill>
          </w14:textFill>
        </w:rPr>
        <w:tab/>
      </w:r>
    </w:p>
    <w:p w14:paraId="23BD7C1B">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107ECD7">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（竞标人名称）的法定代表人。</w:t>
      </w:r>
    </w:p>
    <w:p w14:paraId="1FF27851">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6761E356">
      <w:pPr>
        <w:autoSpaceDE w:val="0"/>
        <w:autoSpaceDN w:val="0"/>
        <w:adjustRightInd w:val="0"/>
        <w:snapToGrid w:val="0"/>
        <w:spacing w:line="36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tbl>
      <w:tblPr>
        <w:tblStyle w:val="18"/>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222C41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7F892D32">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附法定代表人身份证（第二代）复印件处（头像面）</w:t>
            </w:r>
          </w:p>
        </w:tc>
        <w:tc>
          <w:tcPr>
            <w:tcW w:w="3967" w:type="dxa"/>
          </w:tcPr>
          <w:p w14:paraId="1E0DC8E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附法定代表人身份证（第二代）复印件处（有效期面）</w:t>
            </w:r>
          </w:p>
        </w:tc>
      </w:tr>
    </w:tbl>
    <w:p w14:paraId="6C7515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18E2F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1E9E5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10BBF8">
      <w:pPr>
        <w:tabs>
          <w:tab w:val="left" w:pos="5460"/>
        </w:tabs>
        <w:autoSpaceDE w:val="0"/>
        <w:autoSpaceDN w:val="0"/>
        <w:adjustRightInd w:val="0"/>
        <w:snapToGrid w:val="0"/>
        <w:spacing w:line="360" w:lineRule="auto"/>
        <w:ind w:firstLine="2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竞标人：</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盖单位公章）</w:t>
      </w:r>
    </w:p>
    <w:p w14:paraId="481DE98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19E1E20">
      <w:pPr>
        <w:tabs>
          <w:tab w:val="left" w:pos="4935"/>
          <w:tab w:val="left" w:pos="5460"/>
          <w:tab w:val="left" w:pos="6400"/>
        </w:tabs>
        <w:autoSpaceDE w:val="0"/>
        <w:autoSpaceDN w:val="0"/>
        <w:adjustRightInd w:val="0"/>
        <w:snapToGrid w:val="0"/>
        <w:spacing w:line="360" w:lineRule="auto"/>
        <w:ind w:firstLine="5408" w:firstLineChars="26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 xml:space="preserve">年 </w:t>
      </w:r>
      <w:r>
        <w:rPr>
          <w:rFonts w:hint="eastAsia" w:ascii="宋体" w:hAnsi="宋体" w:eastAsia="宋体" w:cs="宋体"/>
          <w:color w:val="000000" w:themeColor="text1"/>
          <w:kern w:val="0"/>
          <w:szCs w:val="21"/>
          <w:highlight w:val="none"/>
          <w14:textFill>
            <w14:solidFill>
              <w14:schemeClr w14:val="tx1"/>
            </w14:solidFill>
          </w14:textFill>
        </w:rPr>
        <w:t>月  日</w:t>
      </w:r>
    </w:p>
    <w:p w14:paraId="4F000AD6">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B7C812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7C9B1AB3">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注：法定代表人身份证明需按上述格式填写完整，不可缺少内容。在此基础上增加内容的不影响其有效性。</w:t>
      </w:r>
    </w:p>
    <w:p w14:paraId="241C36B6">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5D26865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14:paraId="186532C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361" w:bottom="1140" w:left="1361" w:header="851" w:footer="992" w:gutter="0"/>
          <w:cols w:space="720" w:num="1"/>
          <w:docGrid w:type="lines" w:linePitch="312" w:charSpace="0"/>
        </w:sectPr>
      </w:pPr>
    </w:p>
    <w:p w14:paraId="7F41397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授权委托书 </w:t>
      </w:r>
    </w:p>
    <w:p w14:paraId="265BDE4A">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1EF1E8A3">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D04BCC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竞标人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（项</w:t>
      </w:r>
      <w:r>
        <w:rPr>
          <w:rFonts w:hint="eastAsia" w:ascii="宋体" w:hAnsi="宋体" w:eastAsia="宋体" w:cs="宋体"/>
          <w:color w:val="000000" w:themeColor="text1"/>
          <w:spacing w:val="-1"/>
          <w:kern w:val="0"/>
          <w:szCs w:val="21"/>
          <w:highlight w:val="none"/>
          <w14:textFill>
            <w14:solidFill>
              <w14:schemeClr w14:val="tx1"/>
            </w14:solidFill>
          </w14:textFill>
        </w:rPr>
        <w:t>目</w:t>
      </w:r>
      <w:r>
        <w:rPr>
          <w:rFonts w:hint="eastAsia" w:ascii="宋体" w:hAnsi="宋体" w:eastAsia="宋体" w:cs="宋体"/>
          <w:color w:val="000000" w:themeColor="text1"/>
          <w:kern w:val="0"/>
          <w:szCs w:val="21"/>
          <w:highlight w:val="none"/>
          <w14:textFill>
            <w14:solidFill>
              <w14:schemeClr w14:val="tx1"/>
            </w14:solidFill>
          </w14:textFill>
        </w:rPr>
        <w:t>名称）施工竞标文件、签订合同和处理有关事宜，其法律后果由我方承担。</w:t>
      </w:r>
    </w:p>
    <w:p w14:paraId="2E3A6F5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6723392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40BBBD2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附：法定代表人身份证明。</w:t>
      </w:r>
    </w:p>
    <w:p w14:paraId="14B0B666">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78A1B63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7ABEF46">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竞标人：</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w:t>
      </w:r>
      <w:r>
        <w:rPr>
          <w:rFonts w:hint="eastAsia" w:ascii="宋体" w:hAnsi="宋体" w:eastAsia="宋体" w:cs="宋体"/>
          <w:color w:val="000000" w:themeColor="text1"/>
          <w:kern w:val="0"/>
          <w:szCs w:val="21"/>
          <w:highlight w:val="none"/>
          <w14:textFill>
            <w14:solidFill>
              <w14:schemeClr w14:val="tx1"/>
            </w14:solidFill>
          </w14:textFill>
        </w:rPr>
        <w:t>单位公章）</w:t>
      </w:r>
    </w:p>
    <w:p w14:paraId="6BBA52C5">
      <w:pPr>
        <w:tabs>
          <w:tab w:val="left" w:pos="630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（签字）</w:t>
      </w:r>
    </w:p>
    <w:p w14:paraId="77C36652">
      <w:pPr>
        <w:tabs>
          <w:tab w:val="left" w:pos="526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1BA0B208">
      <w:pPr>
        <w:tabs>
          <w:tab w:val="left" w:pos="672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（签</w:t>
      </w:r>
      <w:r>
        <w:rPr>
          <w:rFonts w:hint="eastAsia" w:ascii="宋体" w:hAnsi="宋体" w:eastAsia="宋体" w:cs="宋体"/>
          <w:color w:val="000000" w:themeColor="text1"/>
          <w:spacing w:val="-1"/>
          <w:kern w:val="0"/>
          <w:szCs w:val="21"/>
          <w:highlight w:val="none"/>
          <w14:textFill>
            <w14:solidFill>
              <w14:schemeClr w14:val="tx1"/>
            </w14:solidFill>
          </w14:textFill>
        </w:rPr>
        <w:t>字</w:t>
      </w:r>
      <w:r>
        <w:rPr>
          <w:rFonts w:hint="eastAsia" w:ascii="宋体" w:hAnsi="宋体" w:eastAsia="宋体" w:cs="宋体"/>
          <w:color w:val="000000" w:themeColor="text1"/>
          <w:kern w:val="0"/>
          <w:szCs w:val="21"/>
          <w:highlight w:val="none"/>
          <w14:textFill>
            <w14:solidFill>
              <w14:schemeClr w14:val="tx1"/>
            </w14:solidFill>
          </w14:textFill>
        </w:rPr>
        <w:t>）</w:t>
      </w:r>
    </w:p>
    <w:p w14:paraId="0584849B">
      <w:pPr>
        <w:tabs>
          <w:tab w:val="left" w:pos="6825"/>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color w:val="000000" w:themeColor="text1"/>
          <w:kern w:val="0"/>
          <w:szCs w:val="21"/>
          <w:highlight w:val="none"/>
          <w:u w:val="single"/>
          <w14:textFill>
            <w14:solidFill>
              <w14:schemeClr w14:val="tx1"/>
            </w14:solidFill>
          </w14:textFill>
        </w:rPr>
        <w:tab/>
      </w:r>
    </w:p>
    <w:p w14:paraId="2F353F28">
      <w:pPr>
        <w:autoSpaceDE w:val="0"/>
        <w:autoSpaceDN w:val="0"/>
        <w:adjustRightInd w:val="0"/>
        <w:snapToGrid w:val="0"/>
        <w:spacing w:line="360" w:lineRule="auto"/>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0E626CE2">
      <w:pPr>
        <w:tabs>
          <w:tab w:val="left" w:pos="4005"/>
          <w:tab w:val="left" w:pos="4100"/>
          <w:tab w:val="left" w:pos="5040"/>
        </w:tabs>
        <w:autoSpaceDE w:val="0"/>
        <w:autoSpaceDN w:val="0"/>
        <w:adjustRightInd w:val="0"/>
        <w:snapToGrid w:val="0"/>
        <w:spacing w:line="360" w:lineRule="auto"/>
        <w:ind w:firstLine="2205" w:firstLineChars="105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年</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日</w:t>
      </w:r>
    </w:p>
    <w:p w14:paraId="569185F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99AB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bl>
      <w:tblPr>
        <w:tblStyle w:val="18"/>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674F7C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56A67EF3">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附委托代理人身份证（第二代）复印件处（头像面）</w:t>
            </w:r>
          </w:p>
        </w:tc>
        <w:tc>
          <w:tcPr>
            <w:tcW w:w="3967" w:type="dxa"/>
          </w:tcPr>
          <w:p w14:paraId="07E1B76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附委托代理人身份证（第二代）复印件处（有效期面）</w:t>
            </w:r>
          </w:p>
        </w:tc>
      </w:tr>
    </w:tbl>
    <w:p w14:paraId="7C2992A8">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6FAD3855">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235585</wp:posOffset>
                </wp:positionV>
                <wp:extent cx="2867025" cy="0"/>
                <wp:effectExtent l="0" t="0" r="0" b="0"/>
                <wp:wrapNone/>
                <wp:docPr id="5"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55pt;height:0pt;width:225.75pt;z-index:251661312;mso-width-relative:page;mso-height-relative:page;" filled="f" stroked="t" coordsize="21600,21600" o:gfxdata="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resxtgAAAAJAQAADwAAAAAAAAABACAAAAAi&#10;AAAAZHJzL2Rvd25yZXYueG1sUEsBAhQAFAAAAAgAh07iQHbud8nRAQAAzQMAAA4AAAAAAAAAAQAg&#10;AAAAJwEAAGRycy9lMm9Eb2MueG1sUEsFBgAAAAAGAAYAWQEAAGoFAAAAAA==&#10;">
                <v:fill on="f" focussize="0,0"/>
                <v:stroke weight="0.25pt" color="#000000" joinstyle="round"/>
                <v:imagedata o:title=""/>
                <o:lock v:ext="edit" aspectratio="f"/>
              </v:line>
            </w:pict>
          </mc:Fallback>
        </mc:AlternateContent>
      </w:r>
    </w:p>
    <w:p w14:paraId="19D37CC7">
      <w:pPr>
        <w:tabs>
          <w:tab w:val="left" w:pos="5760"/>
        </w:tabs>
        <w:autoSpaceDE w:val="0"/>
        <w:autoSpaceDN w:val="0"/>
        <w:adjustRightInd w:val="0"/>
        <w:spacing w:line="360" w:lineRule="auto"/>
        <w:ind w:left="735" w:right="11" w:hanging="735" w:hangingChars="3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活动及签署文件的除提供法定代表人身份证明外还须提供授权委托书。</w:t>
      </w:r>
    </w:p>
    <w:p w14:paraId="44FBDFD7">
      <w:pPr>
        <w:tabs>
          <w:tab w:val="left" w:pos="5760"/>
        </w:tabs>
        <w:autoSpaceDE w:val="0"/>
        <w:autoSpaceDN w:val="0"/>
        <w:adjustRightInd w:val="0"/>
        <w:spacing w:line="360" w:lineRule="auto"/>
        <w:ind w:left="820" w:leftChars="253" w:right="11" w:hanging="289" w:hangingChars="13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2、法定代表人身份证明及授权委托书原件装入竞标文件一并递交，另外需准备一份在开标现场出具。</w:t>
      </w:r>
    </w:p>
    <w:p w14:paraId="61117532">
      <w:pPr>
        <w:jc w:val="right"/>
        <w:rPr>
          <w:rFonts w:hint="eastAsia" w:ascii="宋体" w:hAnsi="宋体" w:eastAsia="宋体" w:cs="宋体"/>
          <w:color w:val="000000" w:themeColor="text1"/>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02D44621">
      <w:pPr>
        <w:pStyle w:val="4"/>
        <w:numPr>
          <w:ilvl w:val="0"/>
          <w:numId w:val="0"/>
        </w:numPr>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三、竞标人基本情况表</w:t>
      </w:r>
    </w:p>
    <w:tbl>
      <w:tblPr>
        <w:tblStyle w:val="18"/>
        <w:tblpPr w:leftFromText="180" w:rightFromText="180" w:vertAnchor="page" w:horzAnchor="margin" w:tblpXSpec="center" w:tblpY="2148"/>
        <w:tblW w:w="9160" w:type="dxa"/>
        <w:jc w:val="center"/>
        <w:tblLayout w:type="fixed"/>
        <w:tblCellMar>
          <w:top w:w="0" w:type="dxa"/>
          <w:left w:w="0" w:type="dxa"/>
          <w:bottom w:w="0" w:type="dxa"/>
          <w:right w:w="0" w:type="dxa"/>
        </w:tblCellMar>
      </w:tblPr>
      <w:tblGrid>
        <w:gridCol w:w="1846"/>
        <w:gridCol w:w="960"/>
        <w:gridCol w:w="1018"/>
        <w:gridCol w:w="898"/>
        <w:gridCol w:w="448"/>
        <w:gridCol w:w="102"/>
        <w:gridCol w:w="1383"/>
        <w:gridCol w:w="525"/>
        <w:gridCol w:w="918"/>
        <w:gridCol w:w="1062"/>
      </w:tblGrid>
      <w:tr w14:paraId="06FEA2AB">
        <w:tblPrEx>
          <w:tblCellMar>
            <w:top w:w="0" w:type="dxa"/>
            <w:left w:w="0" w:type="dxa"/>
            <w:bottom w:w="0" w:type="dxa"/>
            <w:right w:w="0" w:type="dxa"/>
          </w:tblCellMar>
        </w:tblPrEx>
        <w:trPr>
          <w:trHeight w:val="87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897172F">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竞标</w:t>
            </w:r>
            <w:r>
              <w:rPr>
                <w:rFonts w:hint="eastAsia" w:ascii="宋体" w:hAnsi="宋体" w:eastAsia="宋体" w:cs="宋体"/>
                <w:color w:val="000000" w:themeColor="text1"/>
                <w:kern w:val="0"/>
                <w:szCs w:val="21"/>
                <w:highlight w:val="none"/>
                <w14:textFill>
                  <w14:solidFill>
                    <w14:schemeClr w14:val="tx1"/>
                  </w14:solidFill>
                </w14:textFill>
              </w:rPr>
              <w:t>人</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3BDDA03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EBCDEE">
        <w:tblPrEx>
          <w:tblCellMar>
            <w:top w:w="0" w:type="dxa"/>
            <w:left w:w="0" w:type="dxa"/>
            <w:bottom w:w="0" w:type="dxa"/>
            <w:right w:w="0" w:type="dxa"/>
          </w:tblCellMar>
        </w:tblPrEx>
        <w:trPr>
          <w:trHeight w:val="85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5F19A52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426" w:type="dxa"/>
            <w:gridSpan w:val="5"/>
            <w:tcBorders>
              <w:top w:val="single" w:color="000000" w:sz="4" w:space="0"/>
              <w:left w:val="single" w:color="000000" w:sz="4" w:space="0"/>
              <w:bottom w:val="single" w:color="000000" w:sz="4" w:space="0"/>
              <w:right w:val="single" w:color="000000" w:sz="4" w:space="0"/>
            </w:tcBorders>
            <w:vAlign w:val="center"/>
          </w:tcPr>
          <w:p w14:paraId="2FB694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0B64CB5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6EE635C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E3708EB">
        <w:tblPrEx>
          <w:tblCellMar>
            <w:top w:w="0" w:type="dxa"/>
            <w:left w:w="0" w:type="dxa"/>
            <w:bottom w:w="0" w:type="dxa"/>
            <w:right w:w="0" w:type="dxa"/>
          </w:tblCellMar>
        </w:tblPrEx>
        <w:trPr>
          <w:cantSplit/>
          <w:trHeight w:val="690" w:hRule="exact"/>
          <w:jc w:val="center"/>
        </w:trPr>
        <w:tc>
          <w:tcPr>
            <w:tcW w:w="1846" w:type="dxa"/>
            <w:vMerge w:val="restart"/>
            <w:tcBorders>
              <w:top w:val="single" w:color="000000" w:sz="4" w:space="0"/>
              <w:left w:val="single" w:color="000000" w:sz="4" w:space="0"/>
              <w:bottom w:val="single" w:color="000000" w:sz="4" w:space="0"/>
              <w:right w:val="single" w:color="000000" w:sz="4" w:space="0"/>
            </w:tcBorders>
            <w:vAlign w:val="center"/>
          </w:tcPr>
          <w:p w14:paraId="55B54D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60" w:type="dxa"/>
            <w:tcBorders>
              <w:top w:val="single" w:color="000000" w:sz="4" w:space="0"/>
              <w:left w:val="single" w:color="000000" w:sz="4" w:space="0"/>
              <w:bottom w:val="single" w:color="000000" w:sz="4" w:space="0"/>
              <w:right w:val="single" w:color="000000" w:sz="4" w:space="0"/>
            </w:tcBorders>
            <w:vAlign w:val="center"/>
          </w:tcPr>
          <w:p w14:paraId="5346B50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42C6CC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6EF86B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电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话</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0E9144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AE895A8">
        <w:tblPrEx>
          <w:tblCellMar>
            <w:top w:w="0" w:type="dxa"/>
            <w:left w:w="0" w:type="dxa"/>
            <w:bottom w:w="0" w:type="dxa"/>
            <w:right w:w="0" w:type="dxa"/>
          </w:tblCellMar>
        </w:tblPrEx>
        <w:trPr>
          <w:cantSplit/>
          <w:trHeight w:val="682" w:hRule="exact"/>
          <w:jc w:val="center"/>
        </w:trPr>
        <w:tc>
          <w:tcPr>
            <w:tcW w:w="1846" w:type="dxa"/>
            <w:vMerge w:val="continue"/>
            <w:tcBorders>
              <w:top w:val="single" w:color="000000" w:sz="4" w:space="0"/>
              <w:left w:val="single" w:color="000000" w:sz="4" w:space="0"/>
              <w:bottom w:val="single" w:color="000000" w:sz="4" w:space="0"/>
              <w:right w:val="single" w:color="000000" w:sz="4" w:space="0"/>
            </w:tcBorders>
            <w:vAlign w:val="center"/>
          </w:tcPr>
          <w:p w14:paraId="471E439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22D634">
            <w:pPr>
              <w:tabs>
                <w:tab w:val="left" w:pos="5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真</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61C83C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75252EB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网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址</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12AE2BB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C6592E9">
        <w:tblPrEx>
          <w:tblCellMar>
            <w:top w:w="0" w:type="dxa"/>
            <w:left w:w="0" w:type="dxa"/>
            <w:bottom w:w="0" w:type="dxa"/>
            <w:right w:w="0" w:type="dxa"/>
          </w:tblCellMar>
        </w:tblPrEx>
        <w:trPr>
          <w:trHeight w:val="520"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A9004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组织结构</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4079E43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C5B284">
        <w:tblPrEx>
          <w:tblCellMar>
            <w:top w:w="0" w:type="dxa"/>
            <w:left w:w="0" w:type="dxa"/>
            <w:bottom w:w="0" w:type="dxa"/>
            <w:right w:w="0" w:type="dxa"/>
          </w:tblCellMar>
        </w:tblPrEx>
        <w:trPr>
          <w:trHeight w:val="69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380A619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60" w:type="dxa"/>
            <w:tcBorders>
              <w:top w:val="single" w:color="000000" w:sz="4" w:space="0"/>
              <w:left w:val="single" w:color="000000" w:sz="4" w:space="0"/>
              <w:bottom w:val="single" w:color="000000" w:sz="4" w:space="0"/>
              <w:right w:val="single" w:color="000000" w:sz="4" w:space="0"/>
            </w:tcBorders>
            <w:vAlign w:val="center"/>
          </w:tcPr>
          <w:p w14:paraId="69482A2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12F8AE0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9E611B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0595A98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2CA22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406ACC7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423BF0">
        <w:tblPrEx>
          <w:tblCellMar>
            <w:top w:w="0" w:type="dxa"/>
            <w:left w:w="0" w:type="dxa"/>
            <w:bottom w:w="0" w:type="dxa"/>
            <w:right w:w="0" w:type="dxa"/>
          </w:tblCellMar>
        </w:tblPrEx>
        <w:trPr>
          <w:trHeight w:val="865"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984600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60" w:type="dxa"/>
            <w:tcBorders>
              <w:top w:val="single" w:color="000000" w:sz="4" w:space="0"/>
              <w:left w:val="single" w:color="000000" w:sz="4" w:space="0"/>
              <w:bottom w:val="single" w:color="000000" w:sz="4" w:space="0"/>
              <w:right w:val="single" w:color="000000" w:sz="4" w:space="0"/>
            </w:tcBorders>
            <w:vAlign w:val="center"/>
          </w:tcPr>
          <w:p w14:paraId="13A09F7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2C250B0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0280FC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7E77E07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1B6CEA7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187A3B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31AAECB">
        <w:tblPrEx>
          <w:tblCellMar>
            <w:top w:w="0" w:type="dxa"/>
            <w:left w:w="0" w:type="dxa"/>
            <w:bottom w:w="0" w:type="dxa"/>
            <w:right w:w="0" w:type="dxa"/>
          </w:tblCellMar>
        </w:tblPrEx>
        <w:trPr>
          <w:trHeight w:val="671"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66D36D5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7D230FA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336" w:type="dxa"/>
            <w:gridSpan w:val="7"/>
            <w:tcBorders>
              <w:top w:val="single" w:color="000000" w:sz="4" w:space="0"/>
              <w:left w:val="single" w:color="000000" w:sz="4" w:space="0"/>
              <w:bottom w:val="single" w:color="000000" w:sz="4" w:space="0"/>
              <w:right w:val="single" w:color="000000" w:sz="4" w:space="0"/>
            </w:tcBorders>
            <w:vAlign w:val="center"/>
          </w:tcPr>
          <w:p w14:paraId="4E2429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员工总人数：</w:t>
            </w:r>
          </w:p>
        </w:tc>
      </w:tr>
      <w:tr w14:paraId="44CDB03E">
        <w:tblPrEx>
          <w:tblCellMar>
            <w:top w:w="0" w:type="dxa"/>
            <w:left w:w="0" w:type="dxa"/>
            <w:bottom w:w="0" w:type="dxa"/>
            <w:right w:w="0" w:type="dxa"/>
          </w:tblCellMar>
        </w:tblPrEx>
        <w:trPr>
          <w:cantSplit/>
          <w:trHeight w:val="854"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AEA91E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企业资质等级</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34F62A6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01024D9D">
            <w:pPr>
              <w:autoSpaceDE w:val="0"/>
              <w:autoSpaceDN w:val="0"/>
              <w:adjustRightInd w:val="0"/>
              <w:snapToGrid w:val="0"/>
              <w:spacing w:line="360" w:lineRule="auto"/>
              <w:ind w:firstLine="210" w:firstLine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其中</w:t>
            </w: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0AD209C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AE339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122CBDF">
        <w:tblPrEx>
          <w:tblCellMar>
            <w:top w:w="0" w:type="dxa"/>
            <w:left w:w="0" w:type="dxa"/>
            <w:bottom w:w="0" w:type="dxa"/>
            <w:right w:w="0" w:type="dxa"/>
          </w:tblCellMar>
        </w:tblPrEx>
        <w:trPr>
          <w:cantSplit/>
          <w:trHeight w:val="84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5C57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营业执照号</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2832C6C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4A82AAD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683F1EBA">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118C7E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85DC84C">
        <w:tblPrEx>
          <w:tblCellMar>
            <w:top w:w="0" w:type="dxa"/>
            <w:left w:w="0" w:type="dxa"/>
            <w:bottom w:w="0" w:type="dxa"/>
            <w:right w:w="0" w:type="dxa"/>
          </w:tblCellMar>
        </w:tblPrEx>
        <w:trPr>
          <w:cantSplit/>
          <w:trHeight w:val="876"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25CA24C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1EECA8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2FF40C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31DD0F5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BDFDA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5C74854">
        <w:tblPrEx>
          <w:tblCellMar>
            <w:top w:w="0" w:type="dxa"/>
            <w:left w:w="0" w:type="dxa"/>
            <w:bottom w:w="0" w:type="dxa"/>
            <w:right w:w="0" w:type="dxa"/>
          </w:tblCellMar>
        </w:tblPrEx>
        <w:trPr>
          <w:cantSplit/>
          <w:trHeight w:val="856" w:hRule="exact"/>
          <w:jc w:val="center"/>
        </w:trPr>
        <w:tc>
          <w:tcPr>
            <w:tcW w:w="1846" w:type="dxa"/>
            <w:tcBorders>
              <w:top w:val="single" w:color="000000" w:sz="4" w:space="0"/>
              <w:left w:val="single" w:color="000000" w:sz="4" w:space="0"/>
              <w:bottom w:val="single" w:color="auto" w:sz="4" w:space="0"/>
              <w:right w:val="single" w:color="000000" w:sz="4" w:space="0"/>
            </w:tcBorders>
            <w:vAlign w:val="center"/>
          </w:tcPr>
          <w:p w14:paraId="6B207C4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tc>
        <w:tc>
          <w:tcPr>
            <w:tcW w:w="1978" w:type="dxa"/>
            <w:gridSpan w:val="2"/>
            <w:tcBorders>
              <w:top w:val="single" w:color="000000" w:sz="4" w:space="0"/>
              <w:left w:val="single" w:color="000000" w:sz="4" w:space="0"/>
              <w:bottom w:val="single" w:color="auto" w:sz="4" w:space="0"/>
              <w:right w:val="single" w:color="000000" w:sz="4" w:space="0"/>
            </w:tcBorders>
            <w:vAlign w:val="center"/>
          </w:tcPr>
          <w:p w14:paraId="4C6F88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auto" w:sz="4" w:space="0"/>
              <w:right w:val="single" w:color="000000" w:sz="4" w:space="0"/>
            </w:tcBorders>
            <w:vAlign w:val="center"/>
          </w:tcPr>
          <w:p w14:paraId="6CD491A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auto" w:sz="4" w:space="0"/>
              <w:right w:val="single" w:color="000000" w:sz="4" w:space="0"/>
            </w:tcBorders>
            <w:vAlign w:val="center"/>
          </w:tcPr>
          <w:p w14:paraId="03BC4DF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初级职称人员</w:t>
            </w:r>
          </w:p>
        </w:tc>
        <w:tc>
          <w:tcPr>
            <w:tcW w:w="1980" w:type="dxa"/>
            <w:gridSpan w:val="2"/>
            <w:tcBorders>
              <w:top w:val="single" w:color="000000" w:sz="4" w:space="0"/>
              <w:left w:val="single" w:color="000000" w:sz="4" w:space="0"/>
              <w:bottom w:val="single" w:color="auto" w:sz="4" w:space="0"/>
              <w:right w:val="single" w:color="000000" w:sz="4" w:space="0"/>
            </w:tcBorders>
            <w:vAlign w:val="center"/>
          </w:tcPr>
          <w:p w14:paraId="13A4A3C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6924F85">
        <w:tblPrEx>
          <w:tblCellMar>
            <w:top w:w="0" w:type="dxa"/>
            <w:left w:w="0" w:type="dxa"/>
            <w:bottom w:w="0" w:type="dxa"/>
            <w:right w:w="0" w:type="dxa"/>
          </w:tblCellMar>
        </w:tblPrEx>
        <w:trPr>
          <w:cantSplit/>
          <w:trHeight w:val="679"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125CB60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1978" w:type="dxa"/>
            <w:gridSpan w:val="2"/>
            <w:tcBorders>
              <w:top w:val="single" w:color="auto" w:sz="4" w:space="0"/>
              <w:left w:val="single" w:color="auto" w:sz="4" w:space="0"/>
              <w:bottom w:val="single" w:color="auto" w:sz="4" w:space="0"/>
              <w:right w:val="single" w:color="auto" w:sz="4" w:space="0"/>
            </w:tcBorders>
            <w:vAlign w:val="center"/>
          </w:tcPr>
          <w:p w14:paraId="279C985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14:paraId="66C23B4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auto" w:sz="4" w:space="0"/>
              <w:left w:val="single" w:color="auto" w:sz="4" w:space="0"/>
              <w:bottom w:val="single" w:color="auto" w:sz="4" w:space="0"/>
              <w:right w:val="single" w:color="auto" w:sz="4" w:space="0"/>
            </w:tcBorders>
            <w:vAlign w:val="center"/>
          </w:tcPr>
          <w:p w14:paraId="04A85EF1">
            <w:pPr>
              <w:tabs>
                <w:tab w:val="left" w:pos="12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技工</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B92026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4ECFA92">
        <w:tblPrEx>
          <w:tblCellMar>
            <w:top w:w="0" w:type="dxa"/>
            <w:left w:w="0" w:type="dxa"/>
            <w:bottom w:w="0" w:type="dxa"/>
            <w:right w:w="0" w:type="dxa"/>
          </w:tblCellMar>
        </w:tblPrEx>
        <w:trPr>
          <w:trHeight w:val="654"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4035223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经营范围</w:t>
            </w:r>
          </w:p>
        </w:tc>
        <w:tc>
          <w:tcPr>
            <w:tcW w:w="7314" w:type="dxa"/>
            <w:gridSpan w:val="9"/>
            <w:tcBorders>
              <w:top w:val="single" w:color="auto" w:sz="4" w:space="0"/>
              <w:left w:val="single" w:color="auto" w:sz="4" w:space="0"/>
              <w:bottom w:val="single" w:color="auto" w:sz="4" w:space="0"/>
              <w:right w:val="single" w:color="auto" w:sz="4" w:space="0"/>
            </w:tcBorders>
            <w:vAlign w:val="center"/>
          </w:tcPr>
          <w:p w14:paraId="6ED47BBF">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989C5C0">
        <w:tblPrEx>
          <w:tblCellMar>
            <w:top w:w="0" w:type="dxa"/>
            <w:left w:w="0" w:type="dxa"/>
            <w:bottom w:w="0" w:type="dxa"/>
            <w:right w:w="0" w:type="dxa"/>
          </w:tblCellMar>
        </w:tblPrEx>
        <w:trPr>
          <w:trHeight w:val="840"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080A9BB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c>
          <w:tcPr>
            <w:tcW w:w="7314" w:type="dxa"/>
            <w:gridSpan w:val="9"/>
            <w:tcBorders>
              <w:top w:val="single" w:color="auto" w:sz="4" w:space="0"/>
              <w:left w:val="single" w:color="auto" w:sz="4" w:space="0"/>
              <w:bottom w:val="single" w:color="auto" w:sz="4" w:space="0"/>
              <w:right w:val="single" w:color="auto" w:sz="4" w:space="0"/>
            </w:tcBorders>
            <w:vAlign w:val="center"/>
          </w:tcPr>
          <w:p w14:paraId="196A187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8C82D89">
      <w:pPr>
        <w:numPr>
          <w:ilvl w:val="0"/>
          <w:numId w:val="0"/>
        </w:numPr>
        <w:spacing w:line="360" w:lineRule="auto"/>
        <w:ind w:firstLine="241" w:firstLineChars="100"/>
        <w:jc w:val="both"/>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注：后附营业执照、资质证书、安全生产许可证副本等相关资料复印件。</w:t>
      </w:r>
    </w:p>
    <w:p w14:paraId="3176DFFC">
      <w:pPr>
        <w:spacing w:line="360" w:lineRule="auto"/>
        <w:rPr>
          <w:rFonts w:hint="eastAsia" w:ascii="宋体" w:hAnsi="宋体" w:eastAsia="宋体" w:cs="宋体"/>
          <w:color w:val="000000" w:themeColor="text1"/>
          <w:highlight w:val="none"/>
          <w14:textFill>
            <w14:solidFill>
              <w14:schemeClr w14:val="tx1"/>
            </w14:solidFill>
          </w14:textFill>
        </w:rPr>
      </w:pPr>
    </w:p>
    <w:p w14:paraId="15404F7B">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bookmarkStart w:id="421" w:name="_Toc389633708"/>
      <w:bookmarkStart w:id="422" w:name="_Toc358902170"/>
      <w:bookmarkStart w:id="423" w:name="_Toc7344"/>
      <w:bookmarkStart w:id="424" w:name="_Toc8489"/>
    </w:p>
    <w:p w14:paraId="4FBF0CF7">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p>
    <w:bookmarkEnd w:id="421"/>
    <w:bookmarkEnd w:id="422"/>
    <w:bookmarkEnd w:id="423"/>
    <w:bookmarkEnd w:id="424"/>
    <w:p w14:paraId="6AD1BC5C">
      <w:pPr>
        <w:rPr>
          <w:rFonts w:hint="eastAsia" w:ascii="宋体" w:hAnsi="宋体" w:eastAsia="宋体" w:cs="宋体"/>
          <w:bCs/>
          <w:color w:val="000000" w:themeColor="text1"/>
          <w:highlight w:val="none"/>
          <w14:textFill>
            <w14:solidFill>
              <w14:schemeClr w14:val="tx1"/>
            </w14:solidFill>
          </w14:textFill>
        </w:rPr>
      </w:pPr>
      <w:bookmarkStart w:id="425" w:name="_Toc448248560"/>
      <w:bookmarkStart w:id="426" w:name="_Toc287607886"/>
      <w:bookmarkStart w:id="427" w:name="_Toc287620833"/>
      <w:bookmarkStart w:id="428" w:name="_Toc476671278"/>
      <w:bookmarkStart w:id="429" w:name="_Toc224103514"/>
      <w:bookmarkStart w:id="430" w:name="_Toc14481"/>
      <w:bookmarkStart w:id="431" w:name="_Toc389633709"/>
      <w:bookmarkStart w:id="432" w:name="_Toc358902171"/>
      <w:bookmarkStart w:id="433" w:name="_Toc16424"/>
      <w:r>
        <w:rPr>
          <w:rFonts w:hint="eastAsia" w:ascii="宋体" w:hAnsi="宋体" w:eastAsia="宋体" w:cs="宋体"/>
          <w:bCs/>
          <w:color w:val="000000" w:themeColor="text1"/>
          <w:highlight w:val="none"/>
          <w14:textFill>
            <w14:solidFill>
              <w14:schemeClr w14:val="tx1"/>
            </w14:solidFill>
          </w14:textFill>
        </w:rPr>
        <w:br w:type="page"/>
      </w:r>
    </w:p>
    <w:bookmarkEnd w:id="425"/>
    <w:bookmarkEnd w:id="426"/>
    <w:bookmarkEnd w:id="427"/>
    <w:bookmarkEnd w:id="428"/>
    <w:bookmarkEnd w:id="429"/>
    <w:p w14:paraId="3A9205EB">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四、竞标截止日竞标资格情况</w:t>
      </w:r>
    </w:p>
    <w:p w14:paraId="2D97F401">
      <w:pPr>
        <w:spacing w:line="480" w:lineRule="auto"/>
        <w:jc w:val="center"/>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承诺书</w:t>
      </w:r>
    </w:p>
    <w:p w14:paraId="14B95D07">
      <w:pPr>
        <w:keepNext w:val="0"/>
        <w:keepLines w:val="0"/>
        <w:pageBreakBefore w:val="0"/>
        <w:widowControl w:val="0"/>
        <w:tabs>
          <w:tab w:val="left" w:pos="2640"/>
        </w:tabs>
        <w:kinsoku/>
        <w:wordWrap/>
        <w:overflowPunct/>
        <w:topLinePunct w:val="0"/>
        <w:autoSpaceDE w:val="0"/>
        <w:autoSpaceDN w:val="0"/>
        <w:bidi w:val="0"/>
        <w:adjustRightInd w:val="0"/>
        <w:spacing w:line="480" w:lineRule="auto"/>
        <w:ind w:left="120" w:right="-2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重庆高新区曾家镇爱家物业服务中心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AF19B30">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我方已仔细研究了</w:t>
      </w:r>
      <w:r>
        <w:rPr>
          <w:rFonts w:hint="eastAsia" w:ascii="宋体" w:hAnsi="宋体" w:eastAsia="宋体" w:cs="宋体"/>
          <w:color w:val="000000" w:themeColor="text1"/>
          <w:highlight w:val="none"/>
          <w:u w:val="single"/>
          <w:lang w:eastAsia="zh-CN"/>
          <w14:textFill>
            <w14:solidFill>
              <w14:schemeClr w14:val="tx1"/>
            </w14:solidFill>
          </w14:textFill>
        </w:rPr>
        <w:t xml:space="preserve"> 曾家镇龙台社区美丽新城休闲空间打造项目（</w:t>
      </w:r>
      <w:r>
        <w:rPr>
          <w:rFonts w:hint="eastAsia" w:ascii="宋体" w:hAnsi="宋体" w:eastAsia="宋体" w:cs="宋体"/>
          <w:color w:val="000000" w:themeColor="text1"/>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施工比选文件的全部内容，</w:t>
      </w:r>
      <w:r>
        <w:rPr>
          <w:rFonts w:hint="eastAsia" w:ascii="宋体" w:hAnsi="宋体" w:eastAsia="宋体" w:cs="宋体"/>
          <w:color w:val="000000" w:themeColor="text1"/>
          <w:highlight w:val="none"/>
          <w:lang w:val="en-US" w:eastAsia="zh-CN"/>
          <w14:textFill>
            <w14:solidFill>
              <w14:schemeClr w14:val="tx1"/>
            </w14:solidFill>
          </w14:textFill>
        </w:rPr>
        <w:t>我方</w:t>
      </w:r>
      <w:r>
        <w:rPr>
          <w:rFonts w:hint="eastAsia" w:ascii="宋体" w:hAnsi="宋体" w:eastAsia="宋体" w:cs="宋体"/>
          <w:color w:val="000000" w:themeColor="text1"/>
          <w:highlight w:val="none"/>
          <w14:textFill>
            <w14:solidFill>
              <w14:schemeClr w14:val="tx1"/>
            </w14:solidFill>
          </w14:textFill>
        </w:rPr>
        <w:t>承诺不得存在下列情形之一：</w:t>
      </w:r>
    </w:p>
    <w:p w14:paraId="19A4F354">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7E28E64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7268C81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4EBA3B6">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11E78F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7BB0EF2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我方对以上承诺负全部法律责任。</w:t>
      </w:r>
    </w:p>
    <w:p w14:paraId="62BF822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特此承诺。</w:t>
      </w:r>
    </w:p>
    <w:p w14:paraId="63094FA9">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1984" w:firstLineChars="945"/>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5A14EC0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20" w:firstLineChars="1343"/>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竞标人：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6E22A971">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35" w:firstLineChars="1350"/>
        <w:textAlignment w:val="auto"/>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C842DF2">
      <w:pPr>
        <w:tabs>
          <w:tab w:val="left" w:pos="6000"/>
          <w:tab w:val="left" w:pos="7040"/>
          <w:tab w:val="left" w:pos="8100"/>
        </w:tabs>
        <w:autoSpaceDE w:val="0"/>
        <w:autoSpaceDN w:val="0"/>
        <w:adjustRightInd w:val="0"/>
        <w:spacing w:line="360" w:lineRule="auto"/>
        <w:ind w:right="-20" w:firstLine="4410" w:firstLineChars="21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34EBC5C5">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061ED79">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9D30F4A">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68A0621">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1038CB4">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6AD2C7E">
      <w:pPr>
        <w:pStyle w:val="4"/>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五、项目管理机构组成表</w:t>
      </w:r>
    </w:p>
    <w:tbl>
      <w:tblPr>
        <w:tblStyle w:val="1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620"/>
        <w:gridCol w:w="860"/>
        <w:gridCol w:w="2234"/>
        <w:gridCol w:w="1082"/>
        <w:gridCol w:w="1586"/>
        <w:gridCol w:w="1126"/>
        <w:gridCol w:w="896"/>
      </w:tblGrid>
      <w:tr w14:paraId="7F455E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tcBorders>
              <w:top w:val="single" w:color="000000" w:sz="8" w:space="0"/>
            </w:tcBorders>
            <w:vAlign w:val="center"/>
          </w:tcPr>
          <w:p w14:paraId="7D59A58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620" w:type="dxa"/>
            <w:vMerge w:val="restart"/>
            <w:tcBorders>
              <w:top w:val="single" w:color="000000" w:sz="8" w:space="0"/>
            </w:tcBorders>
            <w:vAlign w:val="center"/>
          </w:tcPr>
          <w:p w14:paraId="4D0A95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860" w:type="dxa"/>
            <w:vMerge w:val="restart"/>
            <w:tcBorders>
              <w:top w:val="single" w:color="000000" w:sz="8" w:space="0"/>
            </w:tcBorders>
            <w:vAlign w:val="center"/>
          </w:tcPr>
          <w:p w14:paraId="580C8B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6028" w:type="dxa"/>
            <w:gridSpan w:val="4"/>
            <w:tcBorders>
              <w:top w:val="single" w:color="000000" w:sz="8" w:space="0"/>
            </w:tcBorders>
            <w:vAlign w:val="center"/>
          </w:tcPr>
          <w:p w14:paraId="075DEF7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执业或职业资格证明</w:t>
            </w:r>
          </w:p>
        </w:tc>
        <w:tc>
          <w:tcPr>
            <w:tcW w:w="896" w:type="dxa"/>
            <w:tcBorders>
              <w:top w:val="single" w:color="000000" w:sz="8" w:space="0"/>
            </w:tcBorders>
            <w:vAlign w:val="center"/>
          </w:tcPr>
          <w:p w14:paraId="2631DF1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014C78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14:paraId="06E2342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vMerge w:val="continue"/>
          </w:tcPr>
          <w:p w14:paraId="0DE7129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vMerge w:val="continue"/>
          </w:tcPr>
          <w:p w14:paraId="6C12CE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vAlign w:val="center"/>
          </w:tcPr>
          <w:p w14:paraId="3BC71D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证书名称</w:t>
            </w:r>
          </w:p>
        </w:tc>
        <w:tc>
          <w:tcPr>
            <w:tcW w:w="1082" w:type="dxa"/>
            <w:vAlign w:val="center"/>
          </w:tcPr>
          <w:p w14:paraId="385635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级别</w:t>
            </w:r>
          </w:p>
        </w:tc>
        <w:tc>
          <w:tcPr>
            <w:tcW w:w="1586" w:type="dxa"/>
            <w:vAlign w:val="center"/>
          </w:tcPr>
          <w:p w14:paraId="3E4DB11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证号</w:t>
            </w:r>
          </w:p>
        </w:tc>
        <w:tc>
          <w:tcPr>
            <w:tcW w:w="1126" w:type="dxa"/>
            <w:vAlign w:val="center"/>
          </w:tcPr>
          <w:p w14:paraId="411253E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w:t>
            </w:r>
          </w:p>
        </w:tc>
        <w:tc>
          <w:tcPr>
            <w:tcW w:w="896" w:type="dxa"/>
          </w:tcPr>
          <w:p w14:paraId="369923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B497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Align w:val="center"/>
          </w:tcPr>
          <w:p w14:paraId="177EC9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620" w:type="dxa"/>
          </w:tcPr>
          <w:p w14:paraId="4461FC2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5D373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2F264D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1F1F78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1F9AC4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0E96AF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76087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52C8C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14:paraId="0A91C36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技术负责人</w:t>
            </w:r>
          </w:p>
        </w:tc>
        <w:tc>
          <w:tcPr>
            <w:tcW w:w="620" w:type="dxa"/>
          </w:tcPr>
          <w:p w14:paraId="5BB50B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D88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09454B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11914A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118897B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5191BAE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DF31FD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7DA2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A038B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6338A1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4E1DA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0A8E310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05678E2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74EA67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1EDE72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7256E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A74A1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441D35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39FBC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271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3F9E9B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2C68EFE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17CD62A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256F96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C064E5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806BB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FB1CA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03CB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D7419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514E46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03E030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72DE3F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6430F0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E0B23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E5849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1EC00C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7624BF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C5851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4388F52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15EF954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4B682E6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11B6866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C7B88C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75351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AE872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49A54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757B0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16A1C3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653D54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583C85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4D27BFC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CAD0DA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AB06D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DE3EA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34124F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6B92A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6DFF98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16D44C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4E8549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7B2087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AAF3C3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41DB4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226133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4A17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79C4C9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5BC76A5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13FC7A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231602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30FB389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040781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2D562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53C977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BF89F0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19594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75BC7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1DA750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19A7B93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167964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71E58C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68ED9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35DFFC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6A4C6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BA5A92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0E8CCFE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3C0F2BB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29BCF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4D3812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FF8CD5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011BD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9374E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0BE9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DBB7C2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72DDA79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0332D8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764E23D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6DAC5C7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08AC6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72734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59E3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E5FC1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E4F9B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286283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380775F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3FA0F6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725F9E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03BFC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EF83F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0C593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6F8865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FC308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78638E6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2DCCED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0F1EEA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6EA7086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BE1E3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B1475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AD912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28646E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0DE5EB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734E825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76CF85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67C9ED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2CB5AD1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15EA85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678D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02B6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9B56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04C5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6BA71B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039738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4268B28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48358B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8F709F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0698A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699BB9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51DA60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A2C055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Pr>
          <w:p w14:paraId="7D1246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Pr>
          <w:p w14:paraId="5A68E3E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Pr>
          <w:p w14:paraId="711CC3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Pr>
          <w:p w14:paraId="57F32C9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0D4E200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A547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Borders>
              <w:bottom w:val="single" w:color="000000" w:sz="8" w:space="0"/>
            </w:tcBorders>
          </w:tcPr>
          <w:p w14:paraId="631D56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Borders>
              <w:bottom w:val="single" w:color="000000" w:sz="8" w:space="0"/>
            </w:tcBorders>
          </w:tcPr>
          <w:p w14:paraId="7B1C3BC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Borders>
              <w:bottom w:val="single" w:color="000000" w:sz="8" w:space="0"/>
            </w:tcBorders>
          </w:tcPr>
          <w:p w14:paraId="52FB1BC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234" w:type="dxa"/>
            <w:tcBorders>
              <w:bottom w:val="single" w:color="000000" w:sz="8" w:space="0"/>
            </w:tcBorders>
          </w:tcPr>
          <w:p w14:paraId="3662058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082" w:type="dxa"/>
            <w:tcBorders>
              <w:bottom w:val="single" w:color="000000" w:sz="8" w:space="0"/>
            </w:tcBorders>
          </w:tcPr>
          <w:p w14:paraId="628496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586" w:type="dxa"/>
            <w:tcBorders>
              <w:bottom w:val="single" w:color="000000" w:sz="8" w:space="0"/>
            </w:tcBorders>
          </w:tcPr>
          <w:p w14:paraId="37577A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tcBorders>
              <w:bottom w:val="single" w:color="000000" w:sz="8" w:space="0"/>
            </w:tcBorders>
          </w:tcPr>
          <w:p w14:paraId="3DC0A7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Borders>
              <w:bottom w:val="single" w:color="000000" w:sz="8" w:space="0"/>
            </w:tcBorders>
          </w:tcPr>
          <w:p w14:paraId="4374CA9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74EB52F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EF1F5E9">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BB4B2F">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2B885F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3F4DCA5">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363487A">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项目经理简历表</w:t>
      </w:r>
    </w:p>
    <w:tbl>
      <w:tblPr>
        <w:tblStyle w:val="18"/>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DC01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541066F3">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5004FEE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19BC3EC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6136B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0F606D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2D9C61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5A35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C696F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1DFD3F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1D071BF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7ACA848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3F5FC28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2E31426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2629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07992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2F54C6D7">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53D8C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02044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455B7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C706E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2CB019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3053503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31EDE65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19B20F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D8D4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7A2F8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32867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802EF1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7E0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337C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9DEC45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68E542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52B968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2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A21FC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7FE411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148F6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29F3D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3B56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85015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7BB0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F3C215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90A16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096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A0AAE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369D85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C065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41A07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31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F9B3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A77C1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E6171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91B17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17B4C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CF2B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78578D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B98CF4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E1564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5D2D2AD">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5F256EE6">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7475841">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4A13F1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3903C1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46EFE5C">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07C156E">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C58A01B">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FF1526D">
      <w:pPr>
        <w:pStyle w:val="4"/>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六、已标价工程量清单</w:t>
      </w:r>
    </w:p>
    <w:p w14:paraId="79E865C4">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七、技术方案</w:t>
      </w:r>
    </w:p>
    <w:p w14:paraId="56D910C3">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技术方案不</w:t>
      </w:r>
      <w:r>
        <w:rPr>
          <w:rFonts w:hint="eastAsia" w:ascii="宋体" w:hAnsi="宋体" w:eastAsia="宋体" w:cs="宋体"/>
          <w:b/>
          <w:bCs/>
          <w:color w:val="000000" w:themeColor="text1"/>
          <w:highlight w:val="none"/>
          <w:lang w:val="en-US" w:eastAsia="zh-CN"/>
          <w14:textFill>
            <w14:solidFill>
              <w14:schemeClr w14:val="tx1"/>
            </w14:solidFill>
          </w14:textFill>
        </w:rPr>
        <w:t>得</w:t>
      </w:r>
      <w:r>
        <w:rPr>
          <w:rFonts w:hint="eastAsia" w:ascii="宋体" w:hAnsi="宋体" w:eastAsia="宋体" w:cs="宋体"/>
          <w:b/>
          <w:bCs/>
          <w:color w:val="000000" w:themeColor="text1"/>
          <w:highlight w:val="none"/>
          <w14:textFill>
            <w14:solidFill>
              <w14:schemeClr w14:val="tx1"/>
            </w14:solidFill>
          </w14:textFill>
        </w:rPr>
        <w:t>超过200页</w:t>
      </w:r>
      <w:r>
        <w:rPr>
          <w:rFonts w:hint="eastAsia" w:ascii="宋体" w:hAnsi="宋体" w:eastAsia="宋体" w:cs="宋体"/>
          <w:b/>
          <w:bCs/>
          <w:color w:val="000000" w:themeColor="text1"/>
          <w:highlight w:val="none"/>
          <w:lang w:eastAsia="zh-CN"/>
          <w14:textFill>
            <w14:solidFill>
              <w14:schemeClr w14:val="tx1"/>
            </w14:solidFill>
          </w14:textFill>
        </w:rPr>
        <w:t>。</w:t>
      </w:r>
    </w:p>
    <w:p w14:paraId="0FF361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135FC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FDC04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7538C9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231D87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AA924D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CCCAC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077E06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E48172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8D31B5">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74A36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0AF8A3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CDFF1E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256B1FF">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B9CE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E66E40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5DE4046">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9FDCF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48420E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CE5DD49">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0C25F2F">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八、其他资料</w:t>
      </w:r>
    </w:p>
    <w:bookmarkEnd w:id="430"/>
    <w:bookmarkEnd w:id="431"/>
    <w:bookmarkEnd w:id="432"/>
    <w:bookmarkEnd w:id="433"/>
    <w:p w14:paraId="55B482C3">
      <w:pPr>
        <w:pStyle w:val="3"/>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sectPr>
      <w:pgSz w:w="11906" w:h="16838"/>
      <w:pgMar w:top="14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127E">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99D7">
    <w:pPr>
      <w:pStyle w:val="9"/>
      <w:framePr w:wrap="around" w:vAnchor="text" w:hAnchor="margin" w:xAlign="center" w:y="1"/>
      <w:rPr>
        <w:rStyle w:val="21"/>
      </w:rPr>
    </w:pPr>
    <w:r>
      <w:fldChar w:fldCharType="begin"/>
    </w:r>
    <w:r>
      <w:rPr>
        <w:rStyle w:val="21"/>
      </w:rPr>
      <w:instrText xml:space="preserve">PAGE  </w:instrText>
    </w:r>
    <w:r>
      <w:fldChar w:fldCharType="end"/>
    </w:r>
  </w:p>
  <w:p w14:paraId="02C9DAF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4D1A">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B10E6F6">
                          <w:pPr>
                            <w:pStyle w:val="9"/>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IIN/Uf6AQAAAQQAAA4AAAAAAAAAAQAgAAAAHwEAAGRycy9lMm9Eb2MueG1sUEsF&#10;BgAAAAAGAAYAWQEAAIsFAAAAAA==&#10;">
              <v:fill on="f" focussize="0,0"/>
              <v:stroke on="f"/>
              <v:imagedata o:title=""/>
              <o:lock v:ext="edit" aspectratio="f"/>
              <v:textbox inset="0mm,0mm,0mm,0mm" style="mso-fit-shape-to-text:t;">
                <w:txbxContent>
                  <w:p w14:paraId="5B10E6F6">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3451">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200" cy="162560"/>
              <wp:effectExtent l="1905" t="0" r="4445" b="1905"/>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203200" cy="162560"/>
                      </a:xfrm>
                      <a:prstGeom prst="rect">
                        <a:avLst/>
                      </a:prstGeom>
                      <a:noFill/>
                      <a:ln>
                        <a:noFill/>
                      </a:ln>
                    </wps:spPr>
                    <wps:txbx>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2.8pt;width:16pt;mso-position-horizontal:center;mso-position-horizontal-relative:margin;mso-wrap-style:none;z-index:251659264;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5RE9EAAAADAQAADwAAAAAAAAABACAAAAAiAAAAZHJzL2Rv&#10;d25yZXYueG1sUEsBAhQAFAAAAAgAh07iQL4e5j0IAgAAAQQAAA4AAAAAAAAAAQAgAAAAIAEAAGRy&#10;cy9lMm9Eb2MueG1sUEsFBgAAAAAGAAYAWQEAAJoFAAAAAA==&#10;">
              <v:fill on="f" focussize="0,0"/>
              <v:stroke on="f"/>
              <v:imagedata o:title=""/>
              <o:lock v:ext="edit" aspectratio="f"/>
              <v:textbox inset="0mm,0mm,0mm,0mm" style="mso-fit-shape-to-text:t;">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C36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260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FE85">
    <w:pPr>
      <w:pStyle w:val="10"/>
      <w:pBdr>
        <w:bottom w:val="single" w:color="auto" w:sz="4" w:space="1"/>
      </w:pBdr>
      <w:jc w:val="both"/>
      <w:rPr>
        <w:rFonts w:hint="eastAsia" w:ascii="仿宋" w:hAnsi="仿宋" w:eastAsia="仿宋" w:cs="仿宋"/>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C4E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5FD1">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40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ED00">
    <w:pPr>
      <w:pStyle w:val="10"/>
      <w:framePr w:wrap="around" w:vAnchor="text" w:hAnchor="margin" w:y="1"/>
      <w:rPr>
        <w:rStyle w:val="21"/>
      </w:rPr>
    </w:pPr>
    <w:r>
      <w:fldChar w:fldCharType="begin"/>
    </w:r>
    <w:r>
      <w:rPr>
        <w:rStyle w:val="21"/>
      </w:rPr>
      <w:instrText xml:space="preserve">PAGE  </w:instrText>
    </w:r>
    <w:r>
      <w:fldChar w:fldCharType="separate"/>
    </w:r>
    <w:r>
      <w:rPr>
        <w:rStyle w:val="21"/>
      </w:rPr>
      <w:t>2</w:t>
    </w:r>
    <w:r>
      <w:fldChar w:fldCharType="end"/>
    </w:r>
  </w:p>
  <w:p w14:paraId="3E8E1E69">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F3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MTNmYTEwZDE5MjdlMWZhZjdjM2NjMzRkMmQyMTEifQ=="/>
  </w:docVars>
  <w:rsids>
    <w:rsidRoot w:val="6DA97E26"/>
    <w:rsid w:val="00062A18"/>
    <w:rsid w:val="00095214"/>
    <w:rsid w:val="000A34D1"/>
    <w:rsid w:val="000A7D1F"/>
    <w:rsid w:val="000B75D2"/>
    <w:rsid w:val="000D29B6"/>
    <w:rsid w:val="000D322D"/>
    <w:rsid w:val="000E3C15"/>
    <w:rsid w:val="00122268"/>
    <w:rsid w:val="001A484D"/>
    <w:rsid w:val="001B5F4C"/>
    <w:rsid w:val="001E1936"/>
    <w:rsid w:val="001E7954"/>
    <w:rsid w:val="001F62F9"/>
    <w:rsid w:val="002722D3"/>
    <w:rsid w:val="002948EC"/>
    <w:rsid w:val="002B705D"/>
    <w:rsid w:val="002C62DB"/>
    <w:rsid w:val="003865D1"/>
    <w:rsid w:val="003866E5"/>
    <w:rsid w:val="00387FED"/>
    <w:rsid w:val="003937D1"/>
    <w:rsid w:val="003C38A0"/>
    <w:rsid w:val="003C64A4"/>
    <w:rsid w:val="00445305"/>
    <w:rsid w:val="0047197E"/>
    <w:rsid w:val="004A5C7B"/>
    <w:rsid w:val="004E50FD"/>
    <w:rsid w:val="00511B7A"/>
    <w:rsid w:val="00621971"/>
    <w:rsid w:val="006A3026"/>
    <w:rsid w:val="006E0C96"/>
    <w:rsid w:val="00721A87"/>
    <w:rsid w:val="00722CE6"/>
    <w:rsid w:val="0073223D"/>
    <w:rsid w:val="0073390F"/>
    <w:rsid w:val="00737668"/>
    <w:rsid w:val="007909CF"/>
    <w:rsid w:val="007B0126"/>
    <w:rsid w:val="007C396D"/>
    <w:rsid w:val="007C3B0E"/>
    <w:rsid w:val="007D1532"/>
    <w:rsid w:val="007E4094"/>
    <w:rsid w:val="0089683B"/>
    <w:rsid w:val="008977F6"/>
    <w:rsid w:val="008C7A1C"/>
    <w:rsid w:val="008E4117"/>
    <w:rsid w:val="00937D2E"/>
    <w:rsid w:val="0095631F"/>
    <w:rsid w:val="00964F15"/>
    <w:rsid w:val="009D5EAA"/>
    <w:rsid w:val="009E1F2F"/>
    <w:rsid w:val="009F716D"/>
    <w:rsid w:val="00A567CF"/>
    <w:rsid w:val="00A75047"/>
    <w:rsid w:val="00A809EC"/>
    <w:rsid w:val="00AA61DB"/>
    <w:rsid w:val="00AC30CA"/>
    <w:rsid w:val="00AE3B80"/>
    <w:rsid w:val="00B93A16"/>
    <w:rsid w:val="00BC707D"/>
    <w:rsid w:val="00BD6EC6"/>
    <w:rsid w:val="00C01D12"/>
    <w:rsid w:val="00C52E7D"/>
    <w:rsid w:val="00C81F74"/>
    <w:rsid w:val="00C919BB"/>
    <w:rsid w:val="00C973DF"/>
    <w:rsid w:val="00D329E0"/>
    <w:rsid w:val="00D579EC"/>
    <w:rsid w:val="00D6494A"/>
    <w:rsid w:val="00DA6F67"/>
    <w:rsid w:val="00DB29EB"/>
    <w:rsid w:val="00DE59A1"/>
    <w:rsid w:val="00E83B45"/>
    <w:rsid w:val="00E866DF"/>
    <w:rsid w:val="00EB52ED"/>
    <w:rsid w:val="00EC1804"/>
    <w:rsid w:val="00F60E34"/>
    <w:rsid w:val="00F71C30"/>
    <w:rsid w:val="01260E98"/>
    <w:rsid w:val="01B92021"/>
    <w:rsid w:val="02BE720D"/>
    <w:rsid w:val="02E71F9F"/>
    <w:rsid w:val="036D1000"/>
    <w:rsid w:val="03957334"/>
    <w:rsid w:val="03A67D02"/>
    <w:rsid w:val="03FD2384"/>
    <w:rsid w:val="04161FD9"/>
    <w:rsid w:val="041D69D0"/>
    <w:rsid w:val="04507B48"/>
    <w:rsid w:val="04DB1539"/>
    <w:rsid w:val="056F7A36"/>
    <w:rsid w:val="059C4BA9"/>
    <w:rsid w:val="05B55682"/>
    <w:rsid w:val="05C3315A"/>
    <w:rsid w:val="05FE1902"/>
    <w:rsid w:val="063D64F8"/>
    <w:rsid w:val="06401609"/>
    <w:rsid w:val="068E7C73"/>
    <w:rsid w:val="0695415E"/>
    <w:rsid w:val="06B3596B"/>
    <w:rsid w:val="070B34C6"/>
    <w:rsid w:val="07417C4C"/>
    <w:rsid w:val="07624382"/>
    <w:rsid w:val="076C3556"/>
    <w:rsid w:val="07893F2F"/>
    <w:rsid w:val="0799248E"/>
    <w:rsid w:val="079E5958"/>
    <w:rsid w:val="07C347F8"/>
    <w:rsid w:val="083018DF"/>
    <w:rsid w:val="08512C9F"/>
    <w:rsid w:val="087011AE"/>
    <w:rsid w:val="09084C22"/>
    <w:rsid w:val="091E569B"/>
    <w:rsid w:val="095D07A4"/>
    <w:rsid w:val="0A64029E"/>
    <w:rsid w:val="0AAC240E"/>
    <w:rsid w:val="0ABB6AF5"/>
    <w:rsid w:val="0B165B0F"/>
    <w:rsid w:val="0BAE0942"/>
    <w:rsid w:val="0BD6254D"/>
    <w:rsid w:val="0C0D15D3"/>
    <w:rsid w:val="0C4B4D3E"/>
    <w:rsid w:val="0C71290E"/>
    <w:rsid w:val="0CAE6329"/>
    <w:rsid w:val="0CB03EB5"/>
    <w:rsid w:val="0CD21ED4"/>
    <w:rsid w:val="0CE91A4F"/>
    <w:rsid w:val="0CEF0CD8"/>
    <w:rsid w:val="0D2904C6"/>
    <w:rsid w:val="0D330BC5"/>
    <w:rsid w:val="0D507E7F"/>
    <w:rsid w:val="0D666D0A"/>
    <w:rsid w:val="0DB90994"/>
    <w:rsid w:val="0DC91F75"/>
    <w:rsid w:val="0E0B38F0"/>
    <w:rsid w:val="0E8B1120"/>
    <w:rsid w:val="0EAF0F59"/>
    <w:rsid w:val="0ECC4073"/>
    <w:rsid w:val="0ED53C71"/>
    <w:rsid w:val="0F0F11BE"/>
    <w:rsid w:val="0F2E3D3A"/>
    <w:rsid w:val="0F4E29E4"/>
    <w:rsid w:val="0F796BE9"/>
    <w:rsid w:val="0F917766"/>
    <w:rsid w:val="1011729A"/>
    <w:rsid w:val="10143F73"/>
    <w:rsid w:val="1041328C"/>
    <w:rsid w:val="105E5D66"/>
    <w:rsid w:val="108E1D71"/>
    <w:rsid w:val="10A17FC7"/>
    <w:rsid w:val="11782949"/>
    <w:rsid w:val="11B23646"/>
    <w:rsid w:val="129B5A41"/>
    <w:rsid w:val="12A8746E"/>
    <w:rsid w:val="13007713"/>
    <w:rsid w:val="13135720"/>
    <w:rsid w:val="131F1373"/>
    <w:rsid w:val="13D412B7"/>
    <w:rsid w:val="143218D1"/>
    <w:rsid w:val="14531B4D"/>
    <w:rsid w:val="146A3B4B"/>
    <w:rsid w:val="147B6DAC"/>
    <w:rsid w:val="147D0AC9"/>
    <w:rsid w:val="148C31AF"/>
    <w:rsid w:val="14B06F9F"/>
    <w:rsid w:val="14C5472A"/>
    <w:rsid w:val="14D10393"/>
    <w:rsid w:val="15391996"/>
    <w:rsid w:val="15505291"/>
    <w:rsid w:val="15524401"/>
    <w:rsid w:val="15693740"/>
    <w:rsid w:val="15AA6950"/>
    <w:rsid w:val="15D607AC"/>
    <w:rsid w:val="170830C2"/>
    <w:rsid w:val="17F960CF"/>
    <w:rsid w:val="17F96D6C"/>
    <w:rsid w:val="18F70E16"/>
    <w:rsid w:val="190E3A48"/>
    <w:rsid w:val="193B01CD"/>
    <w:rsid w:val="1977391D"/>
    <w:rsid w:val="19F4792E"/>
    <w:rsid w:val="1A000F94"/>
    <w:rsid w:val="1A200723"/>
    <w:rsid w:val="1A222C17"/>
    <w:rsid w:val="1A516B2E"/>
    <w:rsid w:val="1A6E3022"/>
    <w:rsid w:val="1A9C249F"/>
    <w:rsid w:val="1AAB5AAD"/>
    <w:rsid w:val="1AFB3B36"/>
    <w:rsid w:val="1B1035B3"/>
    <w:rsid w:val="1B135DF5"/>
    <w:rsid w:val="1B340B95"/>
    <w:rsid w:val="1B4D19EC"/>
    <w:rsid w:val="1B636B19"/>
    <w:rsid w:val="1C240EAF"/>
    <w:rsid w:val="1C544A07"/>
    <w:rsid w:val="1C5823F6"/>
    <w:rsid w:val="1C5E2215"/>
    <w:rsid w:val="1D1E7A06"/>
    <w:rsid w:val="1D6E79F7"/>
    <w:rsid w:val="1DB90BE4"/>
    <w:rsid w:val="1E5D2262"/>
    <w:rsid w:val="1E740C2E"/>
    <w:rsid w:val="1ECE002B"/>
    <w:rsid w:val="1F7F25FA"/>
    <w:rsid w:val="1F8567B4"/>
    <w:rsid w:val="1F8B7409"/>
    <w:rsid w:val="1FB65DB1"/>
    <w:rsid w:val="1FD61ECD"/>
    <w:rsid w:val="200E06F7"/>
    <w:rsid w:val="204D2D19"/>
    <w:rsid w:val="20E04366"/>
    <w:rsid w:val="20F521C9"/>
    <w:rsid w:val="214967B1"/>
    <w:rsid w:val="21535B10"/>
    <w:rsid w:val="215831CD"/>
    <w:rsid w:val="216F1D39"/>
    <w:rsid w:val="21CC06A9"/>
    <w:rsid w:val="21D11BA1"/>
    <w:rsid w:val="21E806C8"/>
    <w:rsid w:val="224A443C"/>
    <w:rsid w:val="227D57A8"/>
    <w:rsid w:val="227E37BA"/>
    <w:rsid w:val="22DF6F67"/>
    <w:rsid w:val="243048B0"/>
    <w:rsid w:val="243B27D9"/>
    <w:rsid w:val="2474234C"/>
    <w:rsid w:val="24B5699F"/>
    <w:rsid w:val="24F63A5D"/>
    <w:rsid w:val="253C5D05"/>
    <w:rsid w:val="2565140A"/>
    <w:rsid w:val="25BB6E6C"/>
    <w:rsid w:val="261A184C"/>
    <w:rsid w:val="270912C0"/>
    <w:rsid w:val="27600F82"/>
    <w:rsid w:val="27AB3D13"/>
    <w:rsid w:val="27F32445"/>
    <w:rsid w:val="282C3A03"/>
    <w:rsid w:val="2881114B"/>
    <w:rsid w:val="289D3C74"/>
    <w:rsid w:val="28A219CB"/>
    <w:rsid w:val="28A26E6A"/>
    <w:rsid w:val="28EA087A"/>
    <w:rsid w:val="29193E2B"/>
    <w:rsid w:val="29332EEA"/>
    <w:rsid w:val="29DD248F"/>
    <w:rsid w:val="2A10451A"/>
    <w:rsid w:val="2AA112F1"/>
    <w:rsid w:val="2AA64C74"/>
    <w:rsid w:val="2AD90A0C"/>
    <w:rsid w:val="2AE23476"/>
    <w:rsid w:val="2B0E01CE"/>
    <w:rsid w:val="2B1876C0"/>
    <w:rsid w:val="2B580F75"/>
    <w:rsid w:val="2B853155"/>
    <w:rsid w:val="2B88773B"/>
    <w:rsid w:val="2B8C3A04"/>
    <w:rsid w:val="2B991393"/>
    <w:rsid w:val="2BA52AAD"/>
    <w:rsid w:val="2BAE36BF"/>
    <w:rsid w:val="2BE47802"/>
    <w:rsid w:val="2C7E27E4"/>
    <w:rsid w:val="2C8601A9"/>
    <w:rsid w:val="2CDC2BCF"/>
    <w:rsid w:val="2CEC4271"/>
    <w:rsid w:val="2D0619FA"/>
    <w:rsid w:val="2D1C19DC"/>
    <w:rsid w:val="2D3D2EDC"/>
    <w:rsid w:val="2E3E59D1"/>
    <w:rsid w:val="2E7F6F0A"/>
    <w:rsid w:val="2EB86889"/>
    <w:rsid w:val="2F286F49"/>
    <w:rsid w:val="2F8D295A"/>
    <w:rsid w:val="2FD0158F"/>
    <w:rsid w:val="2FE343F7"/>
    <w:rsid w:val="2FFF10AF"/>
    <w:rsid w:val="301B1F85"/>
    <w:rsid w:val="30520A1C"/>
    <w:rsid w:val="305B22B4"/>
    <w:rsid w:val="305B2462"/>
    <w:rsid w:val="30764BFF"/>
    <w:rsid w:val="307D2FF2"/>
    <w:rsid w:val="30C3032E"/>
    <w:rsid w:val="30FD39D4"/>
    <w:rsid w:val="31B42BA2"/>
    <w:rsid w:val="31CF4AB1"/>
    <w:rsid w:val="3216623C"/>
    <w:rsid w:val="321C19F3"/>
    <w:rsid w:val="324E5765"/>
    <w:rsid w:val="325B1E1B"/>
    <w:rsid w:val="3281224F"/>
    <w:rsid w:val="32907C03"/>
    <w:rsid w:val="32F13002"/>
    <w:rsid w:val="33281F09"/>
    <w:rsid w:val="33392CD1"/>
    <w:rsid w:val="33615BDC"/>
    <w:rsid w:val="33CB671F"/>
    <w:rsid w:val="33EC4E2E"/>
    <w:rsid w:val="33F64577"/>
    <w:rsid w:val="343A12C2"/>
    <w:rsid w:val="348767BF"/>
    <w:rsid w:val="35055A19"/>
    <w:rsid w:val="353A36D1"/>
    <w:rsid w:val="35516513"/>
    <w:rsid w:val="35E63317"/>
    <w:rsid w:val="3606677A"/>
    <w:rsid w:val="366A4DA8"/>
    <w:rsid w:val="368A544A"/>
    <w:rsid w:val="36B67FED"/>
    <w:rsid w:val="36B81FB7"/>
    <w:rsid w:val="37076A57"/>
    <w:rsid w:val="375C48A9"/>
    <w:rsid w:val="381D1BBC"/>
    <w:rsid w:val="38244A09"/>
    <w:rsid w:val="392A0C8D"/>
    <w:rsid w:val="39654354"/>
    <w:rsid w:val="3968606E"/>
    <w:rsid w:val="39842F39"/>
    <w:rsid w:val="3A065200"/>
    <w:rsid w:val="3A296D28"/>
    <w:rsid w:val="3A790209"/>
    <w:rsid w:val="3A8D1A5C"/>
    <w:rsid w:val="3AC90A00"/>
    <w:rsid w:val="3AD66EB0"/>
    <w:rsid w:val="3AE04FD0"/>
    <w:rsid w:val="3AE72E6B"/>
    <w:rsid w:val="3AFE489E"/>
    <w:rsid w:val="3B4007CD"/>
    <w:rsid w:val="3B4402BD"/>
    <w:rsid w:val="3B7D3D94"/>
    <w:rsid w:val="3BC57EB8"/>
    <w:rsid w:val="3C3A346E"/>
    <w:rsid w:val="3C4C086D"/>
    <w:rsid w:val="3CCE6B14"/>
    <w:rsid w:val="3D0B2880"/>
    <w:rsid w:val="3D1D636A"/>
    <w:rsid w:val="3D424D88"/>
    <w:rsid w:val="3D4B760D"/>
    <w:rsid w:val="3D632A25"/>
    <w:rsid w:val="3E23065E"/>
    <w:rsid w:val="3E7260BB"/>
    <w:rsid w:val="3EF04D64"/>
    <w:rsid w:val="3F057013"/>
    <w:rsid w:val="3F437C13"/>
    <w:rsid w:val="3FA43DFA"/>
    <w:rsid w:val="407B5953"/>
    <w:rsid w:val="40C96B6F"/>
    <w:rsid w:val="41326E2B"/>
    <w:rsid w:val="416074D3"/>
    <w:rsid w:val="417116E0"/>
    <w:rsid w:val="4185100F"/>
    <w:rsid w:val="41AC096A"/>
    <w:rsid w:val="421D552E"/>
    <w:rsid w:val="423371F8"/>
    <w:rsid w:val="423A7610"/>
    <w:rsid w:val="431B5DA8"/>
    <w:rsid w:val="434D0572"/>
    <w:rsid w:val="43556EBE"/>
    <w:rsid w:val="43CE2E1A"/>
    <w:rsid w:val="43D36B97"/>
    <w:rsid w:val="44963FDE"/>
    <w:rsid w:val="452627E2"/>
    <w:rsid w:val="45D83019"/>
    <w:rsid w:val="45E45538"/>
    <w:rsid w:val="45E5269D"/>
    <w:rsid w:val="46804174"/>
    <w:rsid w:val="4683700E"/>
    <w:rsid w:val="47D22BC7"/>
    <w:rsid w:val="47EB134D"/>
    <w:rsid w:val="47FA0D0A"/>
    <w:rsid w:val="489B02E8"/>
    <w:rsid w:val="49001FC6"/>
    <w:rsid w:val="492139EC"/>
    <w:rsid w:val="4961203A"/>
    <w:rsid w:val="497D6EAF"/>
    <w:rsid w:val="49847926"/>
    <w:rsid w:val="49F25388"/>
    <w:rsid w:val="4A456849"/>
    <w:rsid w:val="4A843A13"/>
    <w:rsid w:val="4ABF170F"/>
    <w:rsid w:val="4B182BCD"/>
    <w:rsid w:val="4B73193A"/>
    <w:rsid w:val="4BD525C4"/>
    <w:rsid w:val="4C3B6674"/>
    <w:rsid w:val="4C7D78BC"/>
    <w:rsid w:val="4D1A2775"/>
    <w:rsid w:val="4D333253"/>
    <w:rsid w:val="4D545BEA"/>
    <w:rsid w:val="4D703823"/>
    <w:rsid w:val="4D717C7E"/>
    <w:rsid w:val="4E6F51FA"/>
    <w:rsid w:val="4ED6787C"/>
    <w:rsid w:val="4EDF6AA7"/>
    <w:rsid w:val="4F0A10D5"/>
    <w:rsid w:val="4F0B21C9"/>
    <w:rsid w:val="4F0E76F7"/>
    <w:rsid w:val="4F3D592A"/>
    <w:rsid w:val="4F5823C0"/>
    <w:rsid w:val="4F77635D"/>
    <w:rsid w:val="4FBE0463"/>
    <w:rsid w:val="4FD01CC8"/>
    <w:rsid w:val="4FD52511"/>
    <w:rsid w:val="50290B92"/>
    <w:rsid w:val="503A158B"/>
    <w:rsid w:val="509A5146"/>
    <w:rsid w:val="50B95E62"/>
    <w:rsid w:val="50F13C00"/>
    <w:rsid w:val="50FC669C"/>
    <w:rsid w:val="51303ECC"/>
    <w:rsid w:val="516A534F"/>
    <w:rsid w:val="51A619A2"/>
    <w:rsid w:val="51A72EFC"/>
    <w:rsid w:val="51C859C7"/>
    <w:rsid w:val="51CF3274"/>
    <w:rsid w:val="5230709E"/>
    <w:rsid w:val="52483D98"/>
    <w:rsid w:val="53461832"/>
    <w:rsid w:val="53B54A48"/>
    <w:rsid w:val="54893381"/>
    <w:rsid w:val="548A25BF"/>
    <w:rsid w:val="54C241E0"/>
    <w:rsid w:val="554E3DEB"/>
    <w:rsid w:val="55851F73"/>
    <w:rsid w:val="56006FBC"/>
    <w:rsid w:val="5633338E"/>
    <w:rsid w:val="56911D46"/>
    <w:rsid w:val="56CC25FA"/>
    <w:rsid w:val="56E40ACE"/>
    <w:rsid w:val="57405985"/>
    <w:rsid w:val="5796286C"/>
    <w:rsid w:val="57B95737"/>
    <w:rsid w:val="57BE4BD8"/>
    <w:rsid w:val="57CD6229"/>
    <w:rsid w:val="57DA7035"/>
    <w:rsid w:val="58015759"/>
    <w:rsid w:val="581A4428"/>
    <w:rsid w:val="58850B9C"/>
    <w:rsid w:val="58C83E84"/>
    <w:rsid w:val="58F754C5"/>
    <w:rsid w:val="59CA59DA"/>
    <w:rsid w:val="59EE47D5"/>
    <w:rsid w:val="5A6B30CF"/>
    <w:rsid w:val="5AAD4B50"/>
    <w:rsid w:val="5AE7750E"/>
    <w:rsid w:val="5AF820D3"/>
    <w:rsid w:val="5AFC6067"/>
    <w:rsid w:val="5B0B5F91"/>
    <w:rsid w:val="5B370E4D"/>
    <w:rsid w:val="5B670B09"/>
    <w:rsid w:val="5C2A3D6E"/>
    <w:rsid w:val="5C3B31D9"/>
    <w:rsid w:val="5C806E8E"/>
    <w:rsid w:val="5C9004AA"/>
    <w:rsid w:val="5C957927"/>
    <w:rsid w:val="5CA62434"/>
    <w:rsid w:val="5CA81851"/>
    <w:rsid w:val="5CA83FEE"/>
    <w:rsid w:val="5CED3EB9"/>
    <w:rsid w:val="5D706CE2"/>
    <w:rsid w:val="5E007A7C"/>
    <w:rsid w:val="5E1A1027"/>
    <w:rsid w:val="5E2B6170"/>
    <w:rsid w:val="5E681F74"/>
    <w:rsid w:val="5EA52572"/>
    <w:rsid w:val="5F0207C7"/>
    <w:rsid w:val="5F1B3373"/>
    <w:rsid w:val="5F633907"/>
    <w:rsid w:val="5F6541B1"/>
    <w:rsid w:val="5FBB125B"/>
    <w:rsid w:val="60237AFB"/>
    <w:rsid w:val="6065645C"/>
    <w:rsid w:val="606938BE"/>
    <w:rsid w:val="606A30CD"/>
    <w:rsid w:val="60732013"/>
    <w:rsid w:val="609D30F9"/>
    <w:rsid w:val="60D66A2D"/>
    <w:rsid w:val="60F375C4"/>
    <w:rsid w:val="6111115E"/>
    <w:rsid w:val="6115223D"/>
    <w:rsid w:val="613C3815"/>
    <w:rsid w:val="619035F0"/>
    <w:rsid w:val="61AF7835"/>
    <w:rsid w:val="61E41FA6"/>
    <w:rsid w:val="621F114E"/>
    <w:rsid w:val="625B50E5"/>
    <w:rsid w:val="626A00E3"/>
    <w:rsid w:val="62A3196B"/>
    <w:rsid w:val="62C95A86"/>
    <w:rsid w:val="62D4476A"/>
    <w:rsid w:val="62E076F6"/>
    <w:rsid w:val="63165A58"/>
    <w:rsid w:val="63222616"/>
    <w:rsid w:val="632864D9"/>
    <w:rsid w:val="63F86420"/>
    <w:rsid w:val="643C1282"/>
    <w:rsid w:val="645E71F5"/>
    <w:rsid w:val="64656A2B"/>
    <w:rsid w:val="647306C0"/>
    <w:rsid w:val="64964ABB"/>
    <w:rsid w:val="64B3293F"/>
    <w:rsid w:val="64BE472A"/>
    <w:rsid w:val="653224C3"/>
    <w:rsid w:val="65445AB2"/>
    <w:rsid w:val="65804C15"/>
    <w:rsid w:val="65BD00EF"/>
    <w:rsid w:val="65C04408"/>
    <w:rsid w:val="66336760"/>
    <w:rsid w:val="663C6836"/>
    <w:rsid w:val="66554BC9"/>
    <w:rsid w:val="666271A3"/>
    <w:rsid w:val="66703465"/>
    <w:rsid w:val="667D1806"/>
    <w:rsid w:val="66940880"/>
    <w:rsid w:val="66B90B2C"/>
    <w:rsid w:val="66D57DF8"/>
    <w:rsid w:val="66E85868"/>
    <w:rsid w:val="67241209"/>
    <w:rsid w:val="6751773B"/>
    <w:rsid w:val="67727977"/>
    <w:rsid w:val="680267DE"/>
    <w:rsid w:val="680918C7"/>
    <w:rsid w:val="684C094E"/>
    <w:rsid w:val="68627F9B"/>
    <w:rsid w:val="68734D6E"/>
    <w:rsid w:val="687D16CC"/>
    <w:rsid w:val="68981EC8"/>
    <w:rsid w:val="69136471"/>
    <w:rsid w:val="693559A8"/>
    <w:rsid w:val="69492FDF"/>
    <w:rsid w:val="69782D5D"/>
    <w:rsid w:val="6A3457CB"/>
    <w:rsid w:val="6A5007A3"/>
    <w:rsid w:val="6B757D63"/>
    <w:rsid w:val="6BBE3229"/>
    <w:rsid w:val="6BC12232"/>
    <w:rsid w:val="6BFA2605"/>
    <w:rsid w:val="6C142E31"/>
    <w:rsid w:val="6C8148A0"/>
    <w:rsid w:val="6C865790"/>
    <w:rsid w:val="6CAD5012"/>
    <w:rsid w:val="6D170C32"/>
    <w:rsid w:val="6D192FC0"/>
    <w:rsid w:val="6D773308"/>
    <w:rsid w:val="6D77372B"/>
    <w:rsid w:val="6D7E534E"/>
    <w:rsid w:val="6DA97E26"/>
    <w:rsid w:val="6DBE14F8"/>
    <w:rsid w:val="6DC81479"/>
    <w:rsid w:val="6E376D60"/>
    <w:rsid w:val="6E5D0F13"/>
    <w:rsid w:val="6EB26D11"/>
    <w:rsid w:val="6ED45E14"/>
    <w:rsid w:val="6ED85A05"/>
    <w:rsid w:val="6EF1710F"/>
    <w:rsid w:val="6FBE5B07"/>
    <w:rsid w:val="6FC23F02"/>
    <w:rsid w:val="702E1BCE"/>
    <w:rsid w:val="703574AD"/>
    <w:rsid w:val="70672DCE"/>
    <w:rsid w:val="708C5E3D"/>
    <w:rsid w:val="70C268FE"/>
    <w:rsid w:val="71013232"/>
    <w:rsid w:val="715F2A2F"/>
    <w:rsid w:val="7161324F"/>
    <w:rsid w:val="7164663D"/>
    <w:rsid w:val="7236483A"/>
    <w:rsid w:val="72C232B3"/>
    <w:rsid w:val="72DF0693"/>
    <w:rsid w:val="7366378D"/>
    <w:rsid w:val="73C83515"/>
    <w:rsid w:val="746A09A7"/>
    <w:rsid w:val="74AF2BD3"/>
    <w:rsid w:val="74BF356A"/>
    <w:rsid w:val="74FE028A"/>
    <w:rsid w:val="754813BF"/>
    <w:rsid w:val="75615708"/>
    <w:rsid w:val="759E7FEF"/>
    <w:rsid w:val="75B82F7B"/>
    <w:rsid w:val="75BD1FB0"/>
    <w:rsid w:val="7616481D"/>
    <w:rsid w:val="768A29CE"/>
    <w:rsid w:val="77204A34"/>
    <w:rsid w:val="77353A89"/>
    <w:rsid w:val="7741466E"/>
    <w:rsid w:val="774C7553"/>
    <w:rsid w:val="77BE3C5A"/>
    <w:rsid w:val="78163275"/>
    <w:rsid w:val="784E2046"/>
    <w:rsid w:val="784F1A61"/>
    <w:rsid w:val="78B561D4"/>
    <w:rsid w:val="7917569C"/>
    <w:rsid w:val="791E057B"/>
    <w:rsid w:val="79575F0C"/>
    <w:rsid w:val="796D5E65"/>
    <w:rsid w:val="79A20EF9"/>
    <w:rsid w:val="79D33FDF"/>
    <w:rsid w:val="79F9314B"/>
    <w:rsid w:val="79FE5178"/>
    <w:rsid w:val="7A1F0BB9"/>
    <w:rsid w:val="7A2E1AFA"/>
    <w:rsid w:val="7A440A39"/>
    <w:rsid w:val="7A587EE0"/>
    <w:rsid w:val="7A9447A2"/>
    <w:rsid w:val="7ABF52FC"/>
    <w:rsid w:val="7AC5590D"/>
    <w:rsid w:val="7C3230B6"/>
    <w:rsid w:val="7C6715EA"/>
    <w:rsid w:val="7C737BA7"/>
    <w:rsid w:val="7C7C095E"/>
    <w:rsid w:val="7C8E02DF"/>
    <w:rsid w:val="7DAB723F"/>
    <w:rsid w:val="7E2D061D"/>
    <w:rsid w:val="7E8560A9"/>
    <w:rsid w:val="7E8B6C36"/>
    <w:rsid w:val="7EC82BD8"/>
    <w:rsid w:val="7F3403B2"/>
    <w:rsid w:val="7F672D04"/>
    <w:rsid w:val="7FA02CEF"/>
    <w:rsid w:val="7FC22B15"/>
    <w:rsid w:val="7FFA6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link w:val="37"/>
    <w:autoRedefine/>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rPr>
      <w:rFonts w:ascii="宋体" w:hAnsi="Courier New" w:cs="宋体"/>
      <w:szCs w:val="21"/>
    </w:rPr>
  </w:style>
  <w:style w:type="paragraph" w:styleId="9">
    <w:name w:val="footer"/>
    <w:basedOn w:val="1"/>
    <w:link w:val="42"/>
    <w:autoRedefine/>
    <w:qFormat/>
    <w:uiPriority w:val="0"/>
    <w:pPr>
      <w:tabs>
        <w:tab w:val="center" w:pos="4153"/>
        <w:tab w:val="right" w:pos="8306"/>
      </w:tabs>
      <w:snapToGrid w:val="0"/>
      <w:jc w:val="left"/>
    </w:pPr>
    <w:rPr>
      <w:sz w:val="18"/>
      <w:szCs w:val="18"/>
    </w:rPr>
  </w:style>
  <w:style w:type="paragraph" w:styleId="10">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Subtitle"/>
    <w:basedOn w:val="1"/>
    <w:autoRedefine/>
    <w:qFormat/>
    <w:uiPriority w:val="0"/>
    <w:pPr>
      <w:widowControl/>
      <w:jc w:val="center"/>
    </w:pPr>
    <w:rPr>
      <w:kern w:val="0"/>
      <w:sz w:val="20"/>
      <w:u w:val="single"/>
      <w:lang w:eastAsia="en-US"/>
    </w:rPr>
  </w:style>
  <w:style w:type="paragraph" w:styleId="13">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rPr>
      <w:i/>
      <w:iCs/>
      <w:sz w:val="26"/>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w:basedOn w:val="6"/>
    <w:autoRedefine/>
    <w:qFormat/>
    <w:uiPriority w:val="0"/>
    <w:pPr>
      <w:ind w:firstLine="420" w:firstLineChars="100"/>
    </w:pPr>
  </w:style>
  <w:style w:type="character" w:styleId="20">
    <w:name w:val="Strong"/>
    <w:basedOn w:val="19"/>
    <w:autoRedefine/>
    <w:qFormat/>
    <w:uiPriority w:val="0"/>
  </w:style>
  <w:style w:type="character" w:styleId="21">
    <w:name w:val="page number"/>
    <w:basedOn w:val="19"/>
    <w:autoRedefine/>
    <w:qFormat/>
    <w:uiPriority w:val="0"/>
  </w:style>
  <w:style w:type="character" w:styleId="22">
    <w:name w:val="FollowedHyperlink"/>
    <w:basedOn w:val="19"/>
    <w:autoRedefine/>
    <w:qFormat/>
    <w:uiPriority w:val="0"/>
    <w:rPr>
      <w:color w:val="800080"/>
      <w:u w:val="none"/>
    </w:rPr>
  </w:style>
  <w:style w:type="character" w:styleId="23">
    <w:name w:val="Emphasis"/>
    <w:basedOn w:val="19"/>
    <w:autoRedefine/>
    <w:qFormat/>
    <w:uiPriority w:val="0"/>
    <w:rPr>
      <w:color w:val="CC0000"/>
    </w:rPr>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0"/>
    <w:rPr>
      <w:color w:val="0000FF"/>
      <w:u w:val="none"/>
    </w:rPr>
  </w:style>
  <w:style w:type="character" w:styleId="29">
    <w:name w:val="HTML Code"/>
    <w:basedOn w:val="19"/>
    <w:autoRedefine/>
    <w:qFormat/>
    <w:uiPriority w:val="0"/>
    <w:rPr>
      <w:rFonts w:hint="default" w:ascii="monospace" w:hAnsi="monospace" w:eastAsia="monospace" w:cs="monospace"/>
      <w:sz w:val="20"/>
    </w:rPr>
  </w:style>
  <w:style w:type="character" w:styleId="30">
    <w:name w:val="HTML Cite"/>
    <w:basedOn w:val="19"/>
    <w:autoRedefine/>
    <w:qFormat/>
    <w:uiPriority w:val="0"/>
    <w:rPr>
      <w:color w:val="008000"/>
    </w:rPr>
  </w:style>
  <w:style w:type="character" w:styleId="31">
    <w:name w:val="footnote reference"/>
    <w:autoRedefine/>
    <w:qFormat/>
    <w:uiPriority w:val="0"/>
    <w:rPr>
      <w:vertAlign w:val="superscript"/>
    </w:rPr>
  </w:style>
  <w:style w:type="character" w:styleId="32">
    <w:name w:val="HTML Keyboard"/>
    <w:basedOn w:val="19"/>
    <w:autoRedefine/>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Default"/>
    <w:basedOn w:val="1"/>
    <w:autoRedefine/>
    <w:qFormat/>
    <w:uiPriority w:val="99"/>
    <w:pPr>
      <w:jc w:val="left"/>
    </w:pPr>
    <w:rPr>
      <w:rFonts w:ascii="宋体" w:hAnsi="宋体" w:cs="宋体"/>
      <w:color w:val="000000"/>
      <w:kern w:val="0"/>
      <w:sz w:val="24"/>
    </w:rPr>
  </w:style>
  <w:style w:type="paragraph" w:customStyle="1" w:styleId="35">
    <w:name w:val="目录 71"/>
    <w:basedOn w:val="1"/>
    <w:next w:val="1"/>
    <w:autoRedefine/>
    <w:qFormat/>
    <w:uiPriority w:val="0"/>
    <w:pPr>
      <w:ind w:left="2520"/>
    </w:pPr>
  </w:style>
  <w:style w:type="paragraph" w:customStyle="1" w:styleId="36">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7">
    <w:name w:val="标题 2 Char"/>
    <w:link w:val="3"/>
    <w:autoRedefine/>
    <w:qFormat/>
    <w:uiPriority w:val="0"/>
    <w:rPr>
      <w:rFonts w:ascii="Arial" w:hAnsi="Arial" w:eastAsia="黑体"/>
      <w:b/>
      <w:bCs/>
      <w:sz w:val="32"/>
      <w:szCs w:val="32"/>
    </w:rPr>
  </w:style>
  <w:style w:type="paragraph" w:customStyle="1" w:styleId="38">
    <w:name w:val="Char Char Char Char Char Char Char"/>
    <w:basedOn w:val="1"/>
    <w:autoRedefine/>
    <w:qFormat/>
    <w:uiPriority w:val="0"/>
    <w:rPr>
      <w:rFonts w:eastAsia="宋体"/>
    </w:rPr>
  </w:style>
  <w:style w:type="paragraph" w:customStyle="1" w:styleId="39">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0">
    <w:name w:val="正文文本 (2)1"/>
    <w:basedOn w:val="1"/>
    <w:autoRedefine/>
    <w:qFormat/>
    <w:uiPriority w:val="0"/>
    <w:pPr>
      <w:shd w:val="clear" w:color="auto" w:fill="FFFFFF"/>
      <w:spacing w:before="180" w:line="437" w:lineRule="exact"/>
      <w:jc w:val="distribute"/>
    </w:pPr>
    <w:rPr>
      <w:kern w:val="0"/>
      <w:sz w:val="20"/>
      <w:szCs w:val="20"/>
    </w:rPr>
  </w:style>
  <w:style w:type="character" w:customStyle="1" w:styleId="41">
    <w:name w:val="页眉 Char"/>
    <w:basedOn w:val="19"/>
    <w:link w:val="10"/>
    <w:autoRedefine/>
    <w:qFormat/>
    <w:uiPriority w:val="0"/>
    <w:rPr>
      <w:rFonts w:hint="default" w:ascii="Times New Roman" w:hAnsi="Times New Roman" w:cs="Times New Roman"/>
    </w:rPr>
  </w:style>
  <w:style w:type="character" w:customStyle="1" w:styleId="42">
    <w:name w:val="页脚 Char"/>
    <w:basedOn w:val="19"/>
    <w:link w:val="9"/>
    <w:qFormat/>
    <w:uiPriority w:val="0"/>
    <w:rPr>
      <w:rFonts w:hint="default" w:ascii="Times New Roman" w:hAnsi="Times New Roman" w:cs="Times New Roman"/>
    </w:rPr>
  </w:style>
  <w:style w:type="paragraph" w:customStyle="1" w:styleId="43">
    <w:name w:val="pa-34"/>
    <w:basedOn w:val="1"/>
    <w:qFormat/>
    <w:uiPriority w:val="0"/>
    <w:pPr>
      <w:widowControl/>
      <w:spacing w:line="360" w:lineRule="atLeast"/>
      <w:ind w:firstLine="420"/>
      <w:jc w:val="left"/>
    </w:pPr>
    <w:rPr>
      <w:rFonts w:ascii="宋体" w:hAnsi="宋体" w:cs="宋体"/>
      <w:kern w:val="0"/>
      <w:sz w:val="24"/>
    </w:rPr>
  </w:style>
  <w:style w:type="paragraph" w:customStyle="1" w:styleId="44">
    <w:name w:val="Table Paragraph"/>
    <w:basedOn w:val="1"/>
    <w:qFormat/>
    <w:uiPriority w:val="1"/>
    <w:rPr>
      <w:rFonts w:ascii="宋体" w:hAnsi="宋体" w:eastAsia="宋体" w:cs="宋体"/>
      <w:lang w:val="zh-CN" w:bidi="zh-CN"/>
    </w:rPr>
  </w:style>
  <w:style w:type="paragraph" w:styleId="45">
    <w:name w:val="List Paragraph"/>
    <w:basedOn w:val="1"/>
    <w:qFormat/>
    <w:uiPriority w:val="1"/>
    <w:pPr>
      <w:ind w:left="226" w:hanging="528"/>
    </w:pPr>
    <w:rPr>
      <w:rFonts w:ascii="宋体" w:hAnsi="宋体" w:eastAsia="宋体" w:cs="宋体"/>
      <w:lang w:val="zh-CN" w:bidi="zh-CN"/>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列出段落1"/>
    <w:basedOn w:val="1"/>
    <w:qFormat/>
    <w:uiPriority w:val="0"/>
    <w:pPr>
      <w:ind w:firstLine="420" w:firstLineChars="200"/>
    </w:pPr>
    <w:rPr>
      <w:sz w:val="28"/>
      <w:szCs w:val="28"/>
    </w:rPr>
  </w:style>
  <w:style w:type="character" w:customStyle="1" w:styleId="48">
    <w:name w:val="font01"/>
    <w:basedOn w:val="19"/>
    <w:qFormat/>
    <w:uiPriority w:val="0"/>
    <w:rPr>
      <w:rFonts w:hint="eastAsia" w:ascii="宋体" w:hAnsi="宋体" w:eastAsia="宋体" w:cs="宋体"/>
      <w:color w:val="000000"/>
      <w:sz w:val="22"/>
      <w:szCs w:val="22"/>
      <w:u w:val="none"/>
      <w:vertAlign w:val="superscript"/>
    </w:rPr>
  </w:style>
  <w:style w:type="paragraph" w:customStyle="1" w:styleId="49">
    <w:name w:val="荣昌投标正文"/>
    <w:basedOn w:val="1"/>
    <w:qFormat/>
    <w:uiPriority w:val="0"/>
    <w:pPr>
      <w:spacing w:line="360" w:lineRule="auto"/>
      <w:ind w:firstLine="200" w:firstLineChars="200"/>
    </w:pPr>
    <w:rPr>
      <w:rFonts w:ascii="方正仿宋_GBK" w:hAnsi="宋体" w:eastAsia="仿宋"/>
      <w:sz w:val="28"/>
      <w:szCs w:val="24"/>
    </w:rPr>
  </w:style>
  <w:style w:type="paragraph" w:customStyle="1" w:styleId="50">
    <w:name w:val="3（条）正文标题"/>
    <w:basedOn w:val="51"/>
    <w:qFormat/>
    <w:uiPriority w:val="0"/>
    <w:pPr>
      <w:spacing w:line="360" w:lineRule="auto"/>
    </w:pPr>
  </w:style>
  <w:style w:type="paragraph" w:customStyle="1" w:styleId="51">
    <w:name w:val="正文1"/>
    <w:next w:val="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正文文本1"/>
    <w:basedOn w:val="51"/>
    <w:next w:val="36"/>
    <w:unhideWhenUsed/>
    <w:qFormat/>
    <w:uiPriority w:val="0"/>
    <w:pPr>
      <w:spacing w:after="120"/>
    </w:pPr>
    <w:rPr>
      <w:rFonts w:ascii="Times New Roman" w:hAnsi="Times New Roman"/>
      <w:kern w:val="0"/>
      <w:sz w:val="20"/>
    </w:rPr>
  </w:style>
  <w:style w:type="paragraph" w:customStyle="1" w:styleId="5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12AA-FB60-4CA2-9280-24DFE52CA1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6381</Words>
  <Characters>6939</Characters>
  <Lines>542</Lines>
  <Paragraphs>152</Paragraphs>
  <TotalTime>47</TotalTime>
  <ScaleCrop>false</ScaleCrop>
  <LinksUpToDate>false</LinksUpToDate>
  <CharactersWithSpaces>7116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2021-08-17T01:30:00Z</dcterms:created>
  <dc:creator>Administrator</dc:creator>
  <cp:lastModifiedBy>胡桐</cp:lastModifiedBy>
  <cp:lastPrinted>2025-05-30T08:45:00Z</cp:lastPrinted>
  <dcterms:modified xsi:type="dcterms:W3CDTF">2025-06-05T02:18:23Z</dcterms:modified>
  <dc:title>竞争性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B0355ECB75974A1A933D9073F5949F91_13</vt:lpwstr>
  </property>
  <property fmtid="{D5CDD505-2E9C-101B-9397-08002B2CF9AE}" pid="4" name="KSOTemplateDocerSaveRecord">
    <vt:lpwstr>eyJoZGlkIjoiODY2NmMwMmZhMmRkZmNlZmM3ZmVhN2Q1OGVmYWVmZmQiLCJ1c2VySWQiOiIyMjc5Njk5NzUifQ==</vt:lpwstr>
  </property>
</Properties>
</file>