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A51F3">
      <w:pPr>
        <w:pStyle w:val="12"/>
        <w:spacing w:line="360" w:lineRule="auto"/>
        <w:ind w:left="0"/>
        <w:jc w:val="center"/>
        <w:rPr>
          <w:rFonts w:hint="eastAsia" w:ascii="宋体" w:hAnsi="宋体" w:eastAsia="宋体" w:cs="宋体"/>
          <w:color w:val="auto"/>
          <w:sz w:val="15"/>
          <w:szCs w:val="15"/>
          <w:highlight w:val="none"/>
        </w:rPr>
      </w:pPr>
    </w:p>
    <w:p w14:paraId="61644D84">
      <w:pPr>
        <w:pStyle w:val="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color w:val="auto"/>
          <w:kern w:val="2"/>
          <w:sz w:val="36"/>
          <w:szCs w:val="36"/>
          <w:highlight w:val="none"/>
          <w:lang w:val="en-US" w:eastAsia="zh-CN" w:bidi="ar-SA"/>
        </w:rPr>
      </w:pPr>
    </w:p>
    <w:p w14:paraId="171C9597">
      <w:pPr>
        <w:pStyle w:val="12"/>
        <w:spacing w:line="360" w:lineRule="auto"/>
        <w:ind w:left="0" w:leftChars="0" w:firstLine="0" w:firstLineChars="0"/>
        <w:jc w:val="center"/>
        <w:outlineLvl w:val="0"/>
        <w:rPr>
          <w:rFonts w:hint="eastAsia" w:ascii="宋体" w:hAnsi="宋体" w:eastAsia="宋体" w:cs="宋体"/>
          <w:b/>
          <w:bCs/>
          <w:color w:val="auto"/>
          <w:kern w:val="2"/>
          <w:sz w:val="48"/>
          <w:szCs w:val="48"/>
          <w:highlight w:val="none"/>
          <w:lang w:val="en-US" w:eastAsia="zh-CN" w:bidi="ar-SA"/>
        </w:rPr>
      </w:pPr>
      <w:r>
        <w:rPr>
          <w:rFonts w:hint="eastAsia" w:ascii="宋体" w:hAnsi="宋体" w:eastAsia="宋体" w:cs="宋体"/>
          <w:b/>
          <w:bCs/>
          <w:color w:val="auto"/>
          <w:kern w:val="2"/>
          <w:sz w:val="48"/>
          <w:szCs w:val="48"/>
          <w:highlight w:val="none"/>
          <w:lang w:val="en-US" w:eastAsia="zh-CN" w:bidi="ar-SA"/>
        </w:rPr>
        <w:t>酉阳土家族苗族自治县兴隆初级中学校校园超市供应商项目（二次）</w:t>
      </w:r>
    </w:p>
    <w:p w14:paraId="547337C2">
      <w:pPr>
        <w:adjustRightInd w:val="0"/>
        <w:spacing w:line="360" w:lineRule="auto"/>
        <w:jc w:val="both"/>
        <w:rPr>
          <w:rFonts w:hint="eastAsia" w:ascii="宋体" w:hAnsi="宋体" w:eastAsia="宋体" w:cs="宋体"/>
          <w:b/>
          <w:color w:val="auto"/>
          <w:sz w:val="96"/>
          <w:szCs w:val="96"/>
          <w:highlight w:val="none"/>
        </w:rPr>
      </w:pPr>
    </w:p>
    <w:p w14:paraId="65AA649E">
      <w:pPr>
        <w:adjustRightInd w:val="0"/>
        <w:spacing w:line="360" w:lineRule="auto"/>
        <w:jc w:val="both"/>
        <w:rPr>
          <w:rFonts w:hint="eastAsia" w:ascii="宋体" w:hAnsi="宋体" w:eastAsia="宋体" w:cs="宋体"/>
          <w:b/>
          <w:color w:val="auto"/>
          <w:sz w:val="96"/>
          <w:szCs w:val="96"/>
          <w:highlight w:val="none"/>
        </w:rPr>
      </w:pPr>
    </w:p>
    <w:p w14:paraId="7B31319C">
      <w:pPr>
        <w:adjustRightInd w:val="0"/>
        <w:spacing w:line="360" w:lineRule="auto"/>
        <w:jc w:val="center"/>
        <w:outlineLvl w:val="0"/>
        <w:rPr>
          <w:rFonts w:hint="eastAsia" w:ascii="宋体" w:hAnsi="宋体" w:eastAsia="宋体" w:cs="宋体"/>
          <w:b/>
          <w:color w:val="auto"/>
          <w:sz w:val="96"/>
          <w:szCs w:val="96"/>
          <w:highlight w:val="none"/>
        </w:rPr>
      </w:pPr>
      <w:bookmarkStart w:id="0" w:name="_Toc21687"/>
      <w:bookmarkStart w:id="1" w:name="_Toc8337"/>
      <w:bookmarkStart w:id="2" w:name="_Toc30863"/>
      <w:bookmarkStart w:id="3" w:name="_Toc9418"/>
      <w:bookmarkStart w:id="4" w:name="_Toc22782"/>
      <w:r>
        <w:rPr>
          <w:rFonts w:hint="eastAsia" w:ascii="宋体" w:hAnsi="宋体" w:eastAsia="宋体" w:cs="宋体"/>
          <w:b/>
          <w:color w:val="auto"/>
          <w:sz w:val="96"/>
          <w:szCs w:val="96"/>
          <w:highlight w:val="none"/>
        </w:rPr>
        <w:t>竞争性比选文件</w:t>
      </w:r>
      <w:bookmarkEnd w:id="0"/>
      <w:bookmarkEnd w:id="1"/>
      <w:bookmarkEnd w:id="2"/>
      <w:bookmarkEnd w:id="3"/>
      <w:bookmarkEnd w:id="4"/>
    </w:p>
    <w:p w14:paraId="4A424638">
      <w:pPr>
        <w:adjustRightInd w:val="0"/>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项目编号：CQDYCYY-2025-05</w:t>
      </w:r>
    </w:p>
    <w:p w14:paraId="108AA526">
      <w:pPr>
        <w:pStyle w:val="4"/>
        <w:spacing w:line="360" w:lineRule="auto"/>
        <w:jc w:val="both"/>
        <w:outlineLvl w:val="9"/>
        <w:rPr>
          <w:rFonts w:hint="eastAsia" w:ascii="宋体" w:hAnsi="宋体" w:eastAsia="宋体" w:cs="宋体"/>
          <w:color w:val="auto"/>
          <w:highlight w:val="none"/>
        </w:rPr>
      </w:pPr>
    </w:p>
    <w:p w14:paraId="7AF856FB">
      <w:pPr>
        <w:pStyle w:val="11"/>
        <w:spacing w:line="360" w:lineRule="auto"/>
        <w:rPr>
          <w:rFonts w:hint="eastAsia" w:ascii="宋体" w:hAnsi="宋体" w:eastAsia="宋体" w:cs="宋体"/>
          <w:color w:val="auto"/>
          <w:sz w:val="32"/>
          <w:highlight w:val="none"/>
        </w:rPr>
      </w:pPr>
    </w:p>
    <w:p w14:paraId="15D78B3E">
      <w:pPr>
        <w:spacing w:line="360" w:lineRule="auto"/>
        <w:rPr>
          <w:rFonts w:hint="eastAsia" w:ascii="宋体" w:hAnsi="宋体" w:eastAsia="宋体" w:cs="宋体"/>
          <w:color w:val="auto"/>
        </w:rPr>
      </w:pPr>
    </w:p>
    <w:p w14:paraId="52AB7C6C">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auto"/>
          <w:kern w:val="2"/>
          <w:sz w:val="32"/>
          <w:szCs w:val="22"/>
          <w:highlight w:val="none"/>
          <w:lang w:val="en-US" w:eastAsia="zh-CN" w:bidi="ar-SA"/>
        </w:rPr>
      </w:pPr>
      <w:bookmarkStart w:id="5" w:name="_Toc4991"/>
      <w:bookmarkStart w:id="6" w:name="_Toc31909"/>
      <w:bookmarkStart w:id="7" w:name="_Toc4516"/>
      <w:bookmarkStart w:id="8" w:name="_Toc30793"/>
      <w:bookmarkStart w:id="9" w:name="_Toc4205"/>
    </w:p>
    <w:p w14:paraId="481D4B0C">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kern w:val="2"/>
          <w:sz w:val="32"/>
          <w:szCs w:val="22"/>
          <w:highlight w:val="none"/>
          <w:lang w:val="en-US" w:eastAsia="zh-CN" w:bidi="ar-SA"/>
        </w:rPr>
        <w:t>采购人：酉阳土家族苗族自治县兴隆初级中学校</w:t>
      </w:r>
      <w:bookmarkEnd w:id="5"/>
      <w:bookmarkEnd w:id="6"/>
      <w:bookmarkEnd w:id="7"/>
      <w:bookmarkEnd w:id="8"/>
      <w:bookmarkEnd w:id="9"/>
    </w:p>
    <w:p w14:paraId="7B406B3F">
      <w:pPr>
        <w:keepNext w:val="0"/>
        <w:keepLines w:val="0"/>
        <w:pageBreakBefore w:val="0"/>
        <w:widowControl w:val="0"/>
        <w:kinsoku/>
        <w:wordWrap/>
        <w:overflowPunct/>
        <w:topLinePunct w:val="0"/>
        <w:autoSpaceDE/>
        <w:autoSpaceDN/>
        <w:bidi w:val="0"/>
        <w:adjustRightInd/>
        <w:spacing w:line="360" w:lineRule="auto"/>
        <w:ind w:firstLine="964" w:firstLineChars="300"/>
        <w:jc w:val="both"/>
        <w:textAlignment w:val="auto"/>
        <w:outlineLvl w:val="0"/>
        <w:rPr>
          <w:rFonts w:hint="eastAsia" w:ascii="宋体" w:hAnsi="宋体" w:eastAsia="宋体" w:cs="宋体"/>
          <w:b/>
          <w:bCs/>
          <w:color w:val="auto"/>
          <w:kern w:val="2"/>
          <w:sz w:val="32"/>
          <w:szCs w:val="22"/>
          <w:highlight w:val="none"/>
          <w:lang w:val="en-US" w:eastAsia="zh-CN" w:bidi="ar-SA"/>
        </w:rPr>
      </w:pPr>
      <w:bookmarkStart w:id="10" w:name="_Toc10309"/>
      <w:bookmarkStart w:id="11" w:name="_Toc6518"/>
      <w:bookmarkStart w:id="12" w:name="_Toc26478"/>
      <w:bookmarkStart w:id="13" w:name="_Toc23917"/>
      <w:bookmarkStart w:id="14" w:name="_Toc11961"/>
      <w:r>
        <w:rPr>
          <w:rFonts w:hint="eastAsia" w:ascii="宋体" w:hAnsi="宋体" w:eastAsia="宋体" w:cs="宋体"/>
          <w:b/>
          <w:bCs/>
          <w:color w:val="auto"/>
          <w:kern w:val="2"/>
          <w:sz w:val="32"/>
          <w:szCs w:val="22"/>
          <w:highlight w:val="none"/>
          <w:lang w:val="en-US" w:eastAsia="zh-CN" w:bidi="ar-SA"/>
        </w:rPr>
        <w:t>采购代理机构：重庆钓鱼城建设监理咨询有限公司</w:t>
      </w:r>
      <w:bookmarkEnd w:id="10"/>
      <w:bookmarkEnd w:id="11"/>
      <w:bookmarkEnd w:id="12"/>
      <w:bookmarkEnd w:id="13"/>
      <w:bookmarkEnd w:id="14"/>
    </w:p>
    <w:p w14:paraId="73B02A8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fmt="decimal" w:start="1"/>
          <w:cols w:space="720" w:num="1"/>
          <w:titlePg/>
          <w:docGrid w:linePitch="312" w:charSpace="0"/>
        </w:sectPr>
      </w:pPr>
      <w:r>
        <w:rPr>
          <w:rFonts w:hint="eastAsia" w:ascii="宋体" w:hAnsi="宋体" w:eastAsia="宋体" w:cs="宋体"/>
          <w:b/>
          <w:bCs/>
          <w:color w:val="auto"/>
          <w:kern w:val="2"/>
          <w:sz w:val="32"/>
          <w:szCs w:val="22"/>
          <w:highlight w:val="none"/>
          <w:lang w:val="en-US" w:eastAsia="zh-CN" w:bidi="ar-SA"/>
        </w:rPr>
        <w:t>二〇二五年四月</w:t>
      </w:r>
    </w:p>
    <w:sdt>
      <w:sdtPr>
        <w:rPr>
          <w:rFonts w:hint="eastAsia" w:ascii="宋体" w:hAnsi="宋体" w:eastAsia="宋体" w:cs="宋体"/>
          <w:b/>
          <w:bCs/>
          <w:color w:val="auto"/>
          <w:sz w:val="48"/>
          <w:szCs w:val="24"/>
          <w:lang w:val="en-US" w:eastAsia="zh-CN"/>
        </w:rPr>
        <w:id w:val="147476153"/>
        <w15:color w:val="DBDBDB"/>
        <w:docPartObj>
          <w:docPartGallery w:val="Table of Contents"/>
          <w:docPartUnique/>
        </w:docPartObj>
      </w:sdtPr>
      <w:sdtEndPr>
        <w:rPr>
          <w:rFonts w:hint="eastAsia" w:ascii="宋体" w:hAnsi="宋体" w:eastAsia="宋体" w:cs="宋体"/>
          <w:b/>
          <w:bCs/>
          <w:color w:val="auto"/>
          <w:sz w:val="24"/>
          <w:szCs w:val="28"/>
          <w:lang w:val="en-US" w:eastAsia="zh-CN"/>
        </w:rPr>
      </w:sdtEndPr>
      <w:sdtContent>
        <w:p w14:paraId="7A1682F1">
          <w:pPr>
            <w:pStyle w:val="11"/>
            <w:rPr>
              <w:rFonts w:hint="eastAsia" w:ascii="宋体" w:hAnsi="宋体" w:eastAsia="宋体" w:cs="宋体"/>
              <w:color w:val="auto"/>
            </w:rPr>
          </w:pPr>
        </w:p>
        <w:p w14:paraId="670D84C1">
          <w:pPr>
            <w:snapToGrid w:val="0"/>
            <w:spacing w:line="50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14:paraId="12D5D83E">
          <w:pPr>
            <w:pStyle w:val="11"/>
            <w:rPr>
              <w:rFonts w:hint="eastAsia" w:ascii="宋体" w:hAnsi="宋体" w:eastAsia="宋体" w:cs="宋体"/>
              <w:color w:val="auto"/>
            </w:rPr>
          </w:pPr>
        </w:p>
        <w:p w14:paraId="240AC805">
          <w:pPr>
            <w:rPr>
              <w:rFonts w:hint="eastAsia" w:ascii="宋体" w:hAnsi="宋体" w:eastAsia="宋体" w:cs="宋体"/>
              <w:color w:val="auto"/>
            </w:rPr>
          </w:pPr>
        </w:p>
        <w:p w14:paraId="01E12074">
          <w:pPr>
            <w:pStyle w:val="20"/>
            <w:tabs>
              <w:tab w:val="right" w:leader="dot" w:pos="9412"/>
              <w:tab w:val="clear" w:pos="1260"/>
              <w:tab w:val="clear" w:pos="1685"/>
              <w:tab w:val="clear" w:pos="8400"/>
            </w:tabs>
            <w:ind w:firstLine="240"/>
            <w:rPr>
              <w:rFonts w:hint="eastAsia" w:ascii="宋体" w:hAnsi="宋体" w:eastAsia="宋体" w:cs="宋体"/>
              <w:color w:val="auto"/>
              <w:sz w:val="24"/>
              <w:szCs w:val="24"/>
              <w:highlight w:val="none"/>
            </w:rPr>
          </w:pPr>
        </w:p>
        <w:p w14:paraId="390A0A3B">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_Toc22665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szCs w:val="52"/>
              <w:highlight w:val="none"/>
            </w:rPr>
            <w:t xml:space="preserve">第一篇  </w:t>
          </w:r>
          <w:r>
            <w:rPr>
              <w:rFonts w:hint="eastAsia" w:ascii="宋体" w:hAnsi="宋体" w:eastAsia="宋体" w:cs="宋体"/>
              <w:b/>
              <w:bCs/>
              <w:color w:val="auto"/>
              <w:szCs w:val="52"/>
              <w:highlight w:val="none"/>
              <w:lang w:eastAsia="zh-CN"/>
            </w:rPr>
            <w:t>比选</w:t>
          </w:r>
          <w:r>
            <w:rPr>
              <w:rFonts w:hint="eastAsia" w:ascii="宋体" w:hAnsi="宋体" w:eastAsia="宋体" w:cs="宋体"/>
              <w:b/>
              <w:bCs/>
              <w:color w:val="auto"/>
              <w:szCs w:val="52"/>
              <w:highlight w:val="none"/>
            </w:rPr>
            <w:t>邀请书</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_Toc22665 \h </w:instrText>
          </w:r>
          <w:r>
            <w:rPr>
              <w:rFonts w:hint="eastAsia" w:ascii="宋体" w:hAnsi="宋体" w:eastAsia="宋体" w:cs="宋体"/>
              <w:b/>
              <w:bCs/>
              <w:color w:val="auto"/>
            </w:rPr>
            <w:fldChar w:fldCharType="separate"/>
          </w:r>
          <w:r>
            <w:rPr>
              <w:rFonts w:hint="eastAsia" w:ascii="宋体" w:hAnsi="宋体" w:eastAsia="宋体" w:cs="宋体"/>
              <w:b/>
              <w:bCs/>
              <w:color w:val="auto"/>
            </w:rPr>
            <w:t>3</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1F46BAC7">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_Toc9379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比选内容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_Toc9379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B894DB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_Toc27064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二、资金来源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_Toc27064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DEFBEA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_Toc15168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资格条件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_Toc15168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C57162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_Toc19839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四、比选有关说明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_Toc19839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96B9E2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lang w:val="en-US" w:eastAsia="zh-CN"/>
            </w:rPr>
            <w:t>五、</w:t>
          </w:r>
          <w:r>
            <w:rPr>
              <w:rFonts w:hint="eastAsia" w:ascii="宋体" w:hAnsi="宋体" w:eastAsia="宋体" w:cs="宋体"/>
              <w:color w:val="auto"/>
              <w:szCs w:val="24"/>
              <w:highlight w:val="none"/>
            </w:rPr>
            <w:t>比选保证金</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无</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_Toc1710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4CA84F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_Toc15883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六、其它有关规定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_Toc15883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7CCB7E8">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_Toc5929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七、联系方式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_Toc5929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2C21646">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021046FB">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_Toc22114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rPr>
            <w:t>第二篇 项目服务需求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_Toc22114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7415A77F">
          <w:pPr>
            <w:pStyle w:val="21"/>
            <w:tabs>
              <w:tab w:val="right" w:leader="dot" w:pos="9639"/>
              <w:tab w:val="clear" w:pos="8400"/>
            </w:tabs>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一、项目一览表</w:t>
          </w:r>
          <w:r>
            <w:rPr>
              <w:rFonts w:hint="eastAsia" w:ascii="宋体" w:hAnsi="宋体" w:eastAsia="宋体" w:cs="宋体"/>
              <w:color w:val="auto"/>
            </w:rPr>
            <w:tab/>
          </w:r>
          <w:r>
            <w:rPr>
              <w:rFonts w:hint="eastAsia" w:ascii="宋体" w:hAnsi="宋体" w:eastAsia="宋体" w:cs="宋体"/>
              <w:color w:val="auto"/>
              <w:lang w:val="en-US" w:eastAsia="zh-CN"/>
            </w:rPr>
            <w:t>6</w:t>
          </w:r>
          <w:r>
            <w:rPr>
              <w:rFonts w:hint="eastAsia" w:ascii="宋体" w:hAnsi="宋体" w:eastAsia="宋体" w:cs="宋体"/>
              <w:color w:val="auto"/>
              <w:szCs w:val="24"/>
              <w:highlight w:val="none"/>
              <w:lang w:val="en-US" w:eastAsia="zh-CN"/>
            </w:rPr>
            <w:t xml:space="preserve">  </w:t>
          </w:r>
        </w:p>
        <w:p w14:paraId="6D7663A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_Toc8301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二、项目</w:t>
          </w:r>
          <w:r>
            <w:rPr>
              <w:rFonts w:hint="eastAsia" w:ascii="宋体" w:hAnsi="宋体" w:eastAsia="宋体" w:cs="宋体"/>
              <w:bCs/>
              <w:color w:val="auto"/>
              <w:szCs w:val="28"/>
              <w:highlight w:val="none"/>
            </w:rPr>
            <w:t>服务</w:t>
          </w:r>
          <w:r>
            <w:rPr>
              <w:rFonts w:hint="eastAsia" w:ascii="宋体" w:hAnsi="宋体" w:eastAsia="宋体" w:cs="宋体"/>
              <w:bCs/>
              <w:color w:val="auto"/>
              <w:szCs w:val="28"/>
              <w:highlight w:val="none"/>
              <w:lang w:val="en-US" w:eastAsia="zh-CN"/>
            </w:rPr>
            <w:t>及质量要求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_Toc8301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3AE44F5">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3A92AEF6">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_Toc17122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第三篇 项目商务需求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_Toc17122 \h </w:instrText>
          </w:r>
          <w:r>
            <w:rPr>
              <w:rFonts w:hint="eastAsia" w:ascii="宋体" w:hAnsi="宋体" w:eastAsia="宋体" w:cs="宋体"/>
              <w:b/>
              <w:bCs/>
              <w:color w:val="auto"/>
            </w:rPr>
            <w:fldChar w:fldCharType="separate"/>
          </w:r>
          <w:r>
            <w:rPr>
              <w:rFonts w:hint="eastAsia" w:ascii="宋体" w:hAnsi="宋体" w:eastAsia="宋体" w:cs="宋体"/>
              <w:b/>
              <w:bCs/>
              <w:color w:val="auto"/>
            </w:rPr>
            <w:t>8</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2FD46069">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_Toc3601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8"/>
              <w:highlight w:val="none"/>
            </w:rPr>
            <w:t>一、服务时间、地点及验收方式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_Toc3601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1A7409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_Toc26065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8"/>
              <w:highlight w:val="none"/>
              <w:lang w:val="en-US" w:eastAsia="zh-CN"/>
            </w:rPr>
            <w:t>二、报价要求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_Toc26065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8A704F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_Toc19150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三</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供货要求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_Toc19150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7B02EE5">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_Toc9059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四</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质量保证及售后服务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_Toc9059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24A952E">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_Toc27286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五</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询定价及结算</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_Toc27286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ADB581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_Toc16025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六</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付款方式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_Toc16025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6577E69">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_Toc11493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七、其他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_Toc11493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E8B4CB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八、其他商务要求内容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_Toc11871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DE25E08">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1FD47772">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_Toc20265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第四篇  比选程序及方法、评审标准、无效响应和采购终止</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_Toc20265 \h </w:instrText>
          </w:r>
          <w:r>
            <w:rPr>
              <w:rFonts w:hint="eastAsia" w:ascii="宋体" w:hAnsi="宋体" w:eastAsia="宋体" w:cs="宋体"/>
              <w:b/>
              <w:bCs/>
              <w:color w:val="auto"/>
            </w:rPr>
            <w:fldChar w:fldCharType="separate"/>
          </w:r>
          <w:r>
            <w:rPr>
              <w:rFonts w:hint="eastAsia" w:ascii="宋体" w:hAnsi="宋体" w:eastAsia="宋体" w:cs="宋体"/>
              <w:b/>
              <w:bCs/>
              <w:color w:val="auto"/>
            </w:rPr>
            <w:t>12</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4795912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2"/>
            </w:rPr>
            <w:t>一、资格审查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_Toc9359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8843D1F">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_Toc28329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rPr>
            <w:t>二、评审方法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_Toc28329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3D58F18">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_Toc3558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rPr>
            <w:t>三、评审标准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_Toc3558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95F4BE7">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_Toc25152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四、无效响应</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_Toc25152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AD910A0">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五、采购终止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_Toc3828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36A1BC5">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2FFE132F">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_Toc3009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 xml:space="preserve">第五篇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_Toc3009 \h </w:instrText>
          </w:r>
          <w:r>
            <w:rPr>
              <w:rFonts w:hint="eastAsia" w:ascii="宋体" w:hAnsi="宋体" w:eastAsia="宋体" w:cs="宋体"/>
              <w:b/>
              <w:bCs/>
              <w:color w:val="auto"/>
            </w:rPr>
            <w:fldChar w:fldCharType="separate"/>
          </w:r>
          <w:r>
            <w:rPr>
              <w:rFonts w:hint="eastAsia" w:ascii="宋体" w:hAnsi="宋体" w:eastAsia="宋体" w:cs="宋体"/>
              <w:b/>
              <w:bCs/>
              <w:color w:val="auto"/>
            </w:rPr>
            <w:t>18</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7A5C61C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_Toc19471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一、比选费用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_Toc19471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21A31EA">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_Toc26807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二、比选文件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_Toc26807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E1D087B">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_Toc13560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三、比选要求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_Toc13560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F4C8334">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_Toc30903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w:t>
          </w:r>
          <w:r>
            <w:rPr>
              <w:rFonts w:hint="eastAsia" w:ascii="宋体" w:hAnsi="宋体" w:eastAsia="宋体" w:cs="宋体"/>
              <w:color w:val="auto"/>
              <w:szCs w:val="24"/>
              <w:highlight w:val="none"/>
              <w:lang w:eastAsia="zh-CN"/>
            </w:rPr>
            <w:t>中标人</w:t>
          </w:r>
          <w:r>
            <w:rPr>
              <w:rFonts w:hint="eastAsia" w:ascii="宋体" w:hAnsi="宋体" w:eastAsia="宋体" w:cs="宋体"/>
              <w:color w:val="auto"/>
              <w:szCs w:val="24"/>
              <w:highlight w:val="none"/>
            </w:rPr>
            <w:t>的确认和变更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_Toc30903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63C655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_Toc18022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w:t>
          </w:r>
          <w:r>
            <w:rPr>
              <w:rFonts w:hint="eastAsia" w:ascii="宋体" w:hAnsi="宋体" w:eastAsia="宋体" w:cs="宋体"/>
              <w:color w:val="auto"/>
              <w:szCs w:val="24"/>
              <w:highlight w:val="none"/>
              <w:lang w:val="en-US" w:eastAsia="zh-CN"/>
            </w:rPr>
            <w:t>中标（</w:t>
          </w:r>
          <w:r>
            <w:rPr>
              <w:rFonts w:hint="eastAsia" w:ascii="宋体" w:hAnsi="宋体" w:eastAsia="宋体" w:cs="宋体"/>
              <w:color w:val="auto"/>
              <w:szCs w:val="24"/>
              <w:highlight w:val="none"/>
            </w:rPr>
            <w:t>成交</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_Toc18022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20BACD8">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_Toc6986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六、关于质疑和投诉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_Toc6986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21178C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七、采购代理服务费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_Toc2235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D7B5727">
          <w:pPr>
            <w:pStyle w:val="20"/>
            <w:tabs>
              <w:tab w:val="right" w:leader="dot" w:pos="9639"/>
              <w:tab w:val="clear" w:pos="1260"/>
              <w:tab w:val="clear" w:pos="1685"/>
              <w:tab w:val="clear" w:pos="840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八</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签订合同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_Toc2235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AA825BC">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4C293B17">
          <w:pPr>
            <w:pStyle w:val="20"/>
            <w:tabs>
              <w:tab w:val="right" w:leader="dot" w:pos="9639"/>
              <w:tab w:val="clear" w:pos="1260"/>
              <w:tab w:val="clear" w:pos="1685"/>
              <w:tab w:val="clear" w:pos="8400"/>
            </w:tabs>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第六篇  采购合同</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_Toc2235 \h </w:instrText>
          </w:r>
          <w:r>
            <w:rPr>
              <w:rFonts w:hint="eastAsia" w:ascii="宋体" w:hAnsi="宋体" w:eastAsia="宋体" w:cs="宋体"/>
              <w:b/>
              <w:bCs/>
              <w:color w:val="auto"/>
            </w:rPr>
            <w:fldChar w:fldCharType="separate"/>
          </w:r>
          <w:r>
            <w:rPr>
              <w:rFonts w:hint="eastAsia" w:ascii="宋体" w:hAnsi="宋体" w:eastAsia="宋体" w:cs="宋体"/>
              <w:b/>
              <w:bCs/>
              <w:color w:val="auto"/>
            </w:rPr>
            <w:t>22</w:t>
          </w:r>
          <w:r>
            <w:rPr>
              <w:rFonts w:hint="eastAsia" w:ascii="宋体" w:hAnsi="宋体" w:eastAsia="宋体" w:cs="宋体"/>
              <w:b/>
              <w:bCs/>
              <w:color w:val="auto"/>
            </w:rPr>
            <w:fldChar w:fldCharType="end"/>
          </w:r>
        </w:p>
        <w:p w14:paraId="5A391014">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66A0427A">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_Toc19004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篇  投标文件编制要求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_Toc19004 \h </w:instrText>
          </w:r>
          <w:r>
            <w:rPr>
              <w:rFonts w:hint="eastAsia" w:ascii="宋体" w:hAnsi="宋体" w:eastAsia="宋体" w:cs="宋体"/>
              <w:b/>
              <w:bCs/>
              <w:color w:val="auto"/>
            </w:rPr>
            <w:fldChar w:fldCharType="separate"/>
          </w:r>
          <w:r>
            <w:rPr>
              <w:rFonts w:hint="eastAsia" w:ascii="宋体" w:hAnsi="宋体" w:eastAsia="宋体" w:cs="宋体"/>
              <w:b/>
              <w:bCs/>
              <w:color w:val="auto"/>
            </w:rPr>
            <w:t>24</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4130C453">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_Toc15782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一、经济部分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_Toc15782 \h </w:instrText>
          </w:r>
          <w:r>
            <w:rPr>
              <w:rFonts w:hint="eastAsia" w:ascii="宋体" w:hAnsi="宋体" w:eastAsia="宋体" w:cs="宋体"/>
              <w:color w:val="auto"/>
            </w:rPr>
            <w:fldChar w:fldCharType="separate"/>
          </w:r>
          <w:r>
            <w:rPr>
              <w:rFonts w:hint="eastAsia" w:ascii="宋体" w:hAnsi="宋体" w:eastAsia="宋体" w:cs="宋体"/>
              <w:color w:val="auto"/>
            </w:rPr>
            <w:t>26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0A478DE">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_Toc31572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二、服务部分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_Toc31572 \h </w:instrText>
          </w:r>
          <w:r>
            <w:rPr>
              <w:rFonts w:hint="eastAsia" w:ascii="宋体" w:hAnsi="宋体" w:eastAsia="宋体" w:cs="宋体"/>
              <w:color w:val="auto"/>
            </w:rPr>
            <w:fldChar w:fldCharType="separate"/>
          </w:r>
          <w:r>
            <w:rPr>
              <w:rFonts w:hint="eastAsia" w:ascii="宋体" w:hAnsi="宋体" w:eastAsia="宋体" w:cs="宋体"/>
              <w:color w:val="auto"/>
            </w:rPr>
            <w:t>27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559948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_Toc31607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三、商务部分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_Toc31607 \h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0A8D065">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_Toc3255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四、资格条件及其他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_Toc3255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EE475B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_Toc11375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五、其他资料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_Toc11375 \h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67B915E">
          <w:pPr>
            <w:pStyle w:val="20"/>
            <w:tabs>
              <w:tab w:val="right" w:leader="middleDot" w:pos="9639"/>
              <w:tab w:val="clear" w:pos="1260"/>
              <w:tab w:val="clear" w:pos="1685"/>
              <w:tab w:val="clear" w:pos="8400"/>
            </w:tabs>
            <w:spacing w:line="360" w:lineRule="auto"/>
            <w:rPr>
              <w:rFonts w:hint="eastAsia" w:ascii="宋体" w:hAnsi="宋体" w:eastAsia="宋体" w:cs="宋体"/>
              <w:color w:val="auto"/>
              <w:sz w:val="24"/>
              <w:szCs w:val="28"/>
            </w:rPr>
          </w:pPr>
          <w:r>
            <w:rPr>
              <w:rFonts w:hint="eastAsia" w:ascii="宋体" w:hAnsi="宋体" w:eastAsia="宋体" w:cs="宋体"/>
              <w:color w:val="auto"/>
              <w:szCs w:val="24"/>
              <w:highlight w:val="none"/>
            </w:rPr>
            <w:fldChar w:fldCharType="end"/>
          </w:r>
        </w:p>
      </w:sdtContent>
    </w:sdt>
    <w:p w14:paraId="2F74DAE5">
      <w:pPr>
        <w:pStyle w:val="2"/>
        <w:spacing w:before="0" w:beforeLines="0" w:after="0" w:afterLines="0" w:line="360" w:lineRule="auto"/>
        <w:jc w:val="both"/>
        <w:rPr>
          <w:rFonts w:hint="eastAsia" w:ascii="宋体" w:hAnsi="宋体" w:eastAsia="宋体" w:cs="宋体"/>
          <w:b/>
          <w:bCs/>
          <w:color w:val="auto"/>
          <w:sz w:val="52"/>
          <w:szCs w:val="52"/>
          <w:highlight w:val="none"/>
        </w:rPr>
        <w:sectPr>
          <w:headerReference r:id="rId9" w:type="default"/>
          <w:footerReference r:id="rId10" w:type="default"/>
          <w:pgSz w:w="11907" w:h="16840"/>
          <w:pgMar w:top="1134" w:right="1134" w:bottom="1134" w:left="1134" w:header="851" w:footer="992" w:gutter="0"/>
          <w:pgNumType w:fmt="decimal" w:start="1"/>
          <w:cols w:space="720" w:num="1"/>
          <w:docGrid w:linePitch="380" w:charSpace="-5735"/>
        </w:sectPr>
      </w:pPr>
    </w:p>
    <w:p w14:paraId="507E23A7">
      <w:pPr>
        <w:pStyle w:val="2"/>
        <w:spacing w:before="0" w:beforeLines="0" w:after="0" w:afterLines="0" w:line="360" w:lineRule="auto"/>
        <w:jc w:val="center"/>
        <w:rPr>
          <w:rFonts w:hint="eastAsia" w:ascii="宋体" w:hAnsi="宋体" w:eastAsia="宋体" w:cs="宋体"/>
          <w:b/>
          <w:bCs/>
          <w:color w:val="auto"/>
          <w:highlight w:val="none"/>
        </w:rPr>
      </w:pPr>
      <w:bookmarkStart w:id="15" w:name="_Toc22665"/>
      <w:bookmarkStart w:id="16" w:name="_Toc22072"/>
      <w:r>
        <w:rPr>
          <w:rFonts w:hint="eastAsia" w:ascii="宋体" w:hAnsi="宋体" w:eastAsia="宋体" w:cs="宋体"/>
          <w:b/>
          <w:bCs/>
          <w:color w:val="auto"/>
          <w:sz w:val="52"/>
          <w:szCs w:val="52"/>
          <w:highlight w:val="none"/>
        </w:rPr>
        <w:t xml:space="preserve">第一篇  </w:t>
      </w:r>
      <w:r>
        <w:rPr>
          <w:rFonts w:hint="eastAsia" w:ascii="宋体" w:hAnsi="宋体" w:eastAsia="宋体" w:cs="宋体"/>
          <w:b/>
          <w:bCs/>
          <w:color w:val="auto"/>
          <w:sz w:val="52"/>
          <w:szCs w:val="52"/>
          <w:highlight w:val="none"/>
          <w:lang w:eastAsia="zh-CN"/>
        </w:rPr>
        <w:t>比选</w:t>
      </w:r>
      <w:r>
        <w:rPr>
          <w:rFonts w:hint="eastAsia" w:ascii="宋体" w:hAnsi="宋体" w:eastAsia="宋体" w:cs="宋体"/>
          <w:b/>
          <w:bCs/>
          <w:color w:val="auto"/>
          <w:sz w:val="52"/>
          <w:szCs w:val="52"/>
          <w:highlight w:val="none"/>
        </w:rPr>
        <w:t>邀请书</w:t>
      </w:r>
      <w:bookmarkEnd w:id="15"/>
      <w:bookmarkEnd w:id="16"/>
    </w:p>
    <w:p w14:paraId="4F1991CB">
      <w:pPr>
        <w:pStyle w:val="12"/>
        <w:spacing w:line="360" w:lineRule="auto"/>
        <w:ind w:left="0" w:leftChars="0"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重庆钓鱼城建设监理咨询有限公司 </w:t>
      </w:r>
      <w:r>
        <w:rPr>
          <w:rFonts w:hint="eastAsia" w:ascii="宋体" w:hAnsi="宋体" w:eastAsia="宋体" w:cs="宋体"/>
          <w:color w:val="auto"/>
          <w:sz w:val="24"/>
          <w:szCs w:val="24"/>
          <w:highlight w:val="none"/>
        </w:rPr>
        <w:t>(以下简称：采购代理机构)受</w:t>
      </w:r>
      <w:r>
        <w:rPr>
          <w:rFonts w:hint="eastAsia" w:ascii="宋体" w:hAnsi="宋体" w:eastAsia="宋体" w:cs="宋体"/>
          <w:color w:val="auto"/>
          <w:sz w:val="24"/>
          <w:szCs w:val="24"/>
          <w:highlight w:val="none"/>
          <w:u w:val="single"/>
          <w:lang w:val="en-US" w:eastAsia="zh-CN"/>
        </w:rPr>
        <w:t xml:space="preserve"> 酉阳土家族苗族自治县兴隆初级中学校 （</w:t>
      </w:r>
      <w:r>
        <w:rPr>
          <w:rFonts w:hint="eastAsia" w:ascii="宋体" w:hAnsi="宋体" w:eastAsia="宋体" w:cs="宋体"/>
          <w:color w:val="auto"/>
          <w:sz w:val="24"/>
          <w:szCs w:val="24"/>
          <w:highlight w:val="none"/>
          <w:u w:val="none"/>
          <w:lang w:val="en-US" w:eastAsia="zh-CN"/>
        </w:rPr>
        <w:t>以下简称：采购人</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val="en-US" w:eastAsia="zh-CN"/>
        </w:rPr>
        <w:t xml:space="preserve"> 酉阳土家族苗族自治县兴隆初级中学校校园超市供应商项目 </w:t>
      </w:r>
      <w:r>
        <w:rPr>
          <w:rFonts w:hint="eastAsia" w:ascii="宋体" w:hAnsi="宋体" w:eastAsia="宋体" w:cs="宋体"/>
          <w:color w:val="auto"/>
          <w:sz w:val="24"/>
          <w:szCs w:val="24"/>
          <w:highlight w:val="none"/>
        </w:rPr>
        <w:t>进行比选。欢迎有资格的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前来参加比选。</w:t>
      </w:r>
    </w:p>
    <w:p w14:paraId="7FF377F7">
      <w:pPr>
        <w:pStyle w:val="3"/>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eastAsia="宋体" w:cs="宋体"/>
          <w:color w:val="auto"/>
          <w:highlight w:val="none"/>
        </w:rPr>
      </w:pPr>
      <w:bookmarkStart w:id="17" w:name="_Toc9379"/>
      <w:bookmarkStart w:id="18" w:name="_Toc12178"/>
      <w:bookmarkStart w:id="19" w:name="_Toc6064"/>
      <w:bookmarkStart w:id="20" w:name="_Toc27984"/>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比选内容</w:t>
      </w:r>
      <w:bookmarkEnd w:id="17"/>
      <w:bookmarkEnd w:id="18"/>
      <w:bookmarkEnd w:id="19"/>
      <w:bookmarkEnd w:id="20"/>
    </w:p>
    <w:tbl>
      <w:tblPr>
        <w:tblStyle w:val="27"/>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761"/>
        <w:gridCol w:w="1425"/>
        <w:gridCol w:w="1110"/>
        <w:gridCol w:w="1192"/>
        <w:gridCol w:w="1035"/>
        <w:gridCol w:w="1111"/>
      </w:tblGrid>
      <w:tr w14:paraId="6F12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35" w:type="dxa"/>
            <w:tcBorders>
              <w:top w:val="single" w:color="auto" w:sz="4" w:space="0"/>
              <w:left w:val="single" w:color="auto" w:sz="4" w:space="0"/>
              <w:right w:val="single" w:color="auto" w:sz="4" w:space="0"/>
            </w:tcBorders>
            <w:noWrap w:val="0"/>
            <w:vAlign w:val="center"/>
          </w:tcPr>
          <w:p w14:paraId="33A892C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项目</w:t>
            </w:r>
            <w:r>
              <w:rPr>
                <w:rFonts w:hint="eastAsia" w:ascii="宋体" w:hAnsi="宋体" w:eastAsia="宋体" w:cs="宋体"/>
                <w:b/>
                <w:bCs/>
                <w:color w:val="auto"/>
                <w:kern w:val="0"/>
                <w:sz w:val="24"/>
                <w:szCs w:val="24"/>
                <w:highlight w:val="none"/>
              </w:rPr>
              <w:t>名称</w:t>
            </w:r>
          </w:p>
        </w:tc>
        <w:tc>
          <w:tcPr>
            <w:tcW w:w="1761" w:type="dxa"/>
            <w:tcBorders>
              <w:top w:val="single" w:color="auto" w:sz="4" w:space="0"/>
              <w:left w:val="single" w:color="auto" w:sz="4" w:space="0"/>
              <w:right w:val="single" w:color="auto" w:sz="4" w:space="0"/>
            </w:tcBorders>
            <w:noWrap w:val="0"/>
            <w:vAlign w:val="center"/>
          </w:tcPr>
          <w:p w14:paraId="468F2B45">
            <w:pPr>
              <w:pStyle w:val="12"/>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bCs/>
                <w:color w:val="auto"/>
                <w:kern w:val="0"/>
                <w:sz w:val="24"/>
                <w:szCs w:val="24"/>
                <w:highlight w:val="none"/>
              </w:rPr>
            </w:pPr>
            <w:bookmarkStart w:id="21" w:name="_Toc5230"/>
            <w:bookmarkStart w:id="22" w:name="_Toc19535"/>
            <w:bookmarkStart w:id="23" w:name="_Toc12746"/>
            <w:bookmarkStart w:id="24" w:name="_Toc31540"/>
            <w:bookmarkStart w:id="25" w:name="_Toc6654"/>
            <w:r>
              <w:rPr>
                <w:rFonts w:hint="eastAsia" w:ascii="宋体" w:hAnsi="宋体" w:eastAsia="宋体" w:cs="宋体"/>
                <w:b/>
                <w:color w:val="auto"/>
                <w:sz w:val="24"/>
                <w:szCs w:val="24"/>
                <w:highlight w:val="none"/>
              </w:rPr>
              <w:t>最高限价（</w:t>
            </w:r>
            <w:r>
              <w:rPr>
                <w:rFonts w:hint="eastAsia" w:ascii="宋体" w:hAnsi="宋体" w:eastAsia="宋体" w:cs="宋体"/>
                <w:b/>
                <w:color w:val="auto"/>
                <w:sz w:val="24"/>
                <w:szCs w:val="24"/>
                <w:highlight w:val="none"/>
                <w:lang w:val="en-US" w:eastAsia="zh-CN"/>
              </w:rPr>
              <w:t>投标报价费率</w:t>
            </w:r>
            <w:r>
              <w:rPr>
                <w:rFonts w:hint="eastAsia" w:ascii="宋体" w:hAnsi="宋体" w:eastAsia="宋体" w:cs="宋体"/>
                <w:b/>
                <w:color w:val="auto"/>
                <w:sz w:val="24"/>
                <w:szCs w:val="24"/>
                <w:highlight w:val="none"/>
              </w:rPr>
              <w:t>）</w:t>
            </w:r>
            <w:bookmarkEnd w:id="21"/>
            <w:bookmarkEnd w:id="22"/>
            <w:bookmarkEnd w:id="23"/>
            <w:bookmarkEnd w:id="24"/>
            <w:bookmarkEnd w:id="25"/>
          </w:p>
        </w:tc>
        <w:tc>
          <w:tcPr>
            <w:tcW w:w="1425" w:type="dxa"/>
            <w:tcBorders>
              <w:top w:val="single" w:color="auto" w:sz="4" w:space="0"/>
              <w:left w:val="single" w:color="auto" w:sz="4" w:space="0"/>
              <w:right w:val="single" w:color="auto" w:sz="4" w:space="0"/>
            </w:tcBorders>
            <w:noWrap w:val="0"/>
            <w:vAlign w:val="center"/>
          </w:tcPr>
          <w:p w14:paraId="38E80DC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采购预算（万元</w:t>
            </w:r>
            <w:r>
              <w:rPr>
                <w:rFonts w:hint="eastAsia" w:ascii="宋体" w:hAnsi="宋体" w:eastAsia="宋体" w:cs="宋体"/>
                <w:b/>
                <w:bCs/>
                <w:color w:val="auto"/>
                <w:kern w:val="0"/>
                <w:sz w:val="24"/>
                <w:szCs w:val="24"/>
                <w:highlight w:val="none"/>
                <w:lang w:val="en-US" w:eastAsia="zh-CN"/>
              </w:rPr>
              <w:t>/年</w:t>
            </w:r>
            <w:r>
              <w:rPr>
                <w:rFonts w:hint="eastAsia" w:ascii="宋体" w:hAnsi="宋体" w:eastAsia="宋体" w:cs="宋体"/>
                <w:b/>
                <w:bCs/>
                <w:color w:val="auto"/>
                <w:kern w:val="0"/>
                <w:sz w:val="24"/>
                <w:szCs w:val="24"/>
                <w:highlight w:val="none"/>
                <w:lang w:eastAsia="zh-CN"/>
              </w:rPr>
              <w:t>）</w:t>
            </w:r>
          </w:p>
        </w:tc>
        <w:tc>
          <w:tcPr>
            <w:tcW w:w="1110" w:type="dxa"/>
            <w:tcBorders>
              <w:top w:val="single" w:color="auto" w:sz="4" w:space="0"/>
              <w:left w:val="single" w:color="auto" w:sz="4" w:space="0"/>
              <w:right w:val="single" w:color="auto" w:sz="4" w:space="0"/>
            </w:tcBorders>
            <w:noWrap w:val="0"/>
            <w:vAlign w:val="center"/>
          </w:tcPr>
          <w:p w14:paraId="69BEBE4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保证金（万元）</w:t>
            </w:r>
          </w:p>
        </w:tc>
        <w:tc>
          <w:tcPr>
            <w:tcW w:w="1192" w:type="dxa"/>
            <w:tcBorders>
              <w:top w:val="single" w:color="auto" w:sz="4" w:space="0"/>
              <w:left w:val="single" w:color="auto" w:sz="4" w:space="0"/>
              <w:right w:val="single" w:color="auto" w:sz="4" w:space="0"/>
            </w:tcBorders>
            <w:noWrap w:val="0"/>
            <w:vAlign w:val="center"/>
          </w:tcPr>
          <w:p w14:paraId="68B3377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1035" w:type="dxa"/>
            <w:tcBorders>
              <w:top w:val="single" w:color="auto" w:sz="4" w:space="0"/>
              <w:left w:val="single" w:color="auto" w:sz="4" w:space="0"/>
              <w:right w:val="single" w:color="auto" w:sz="4" w:space="0"/>
            </w:tcBorders>
            <w:noWrap w:val="0"/>
            <w:vAlign w:val="center"/>
          </w:tcPr>
          <w:p w14:paraId="0171F14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服务期限</w:t>
            </w:r>
          </w:p>
        </w:tc>
        <w:tc>
          <w:tcPr>
            <w:tcW w:w="1111" w:type="dxa"/>
            <w:tcBorders>
              <w:top w:val="single" w:color="auto" w:sz="4" w:space="0"/>
              <w:left w:val="single" w:color="auto" w:sz="4" w:space="0"/>
              <w:right w:val="single" w:color="auto" w:sz="4" w:space="0"/>
            </w:tcBorders>
            <w:noWrap w:val="0"/>
            <w:vAlign w:val="center"/>
          </w:tcPr>
          <w:p w14:paraId="5FED2AB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6DF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14:paraId="1702F501">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酉阳土家族苗族自治县兴隆初级中学校校园超市供应商项目</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0443F78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C1E1F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12.6万</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6C7226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FF4BD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035" w:type="dxa"/>
            <w:tcBorders>
              <w:left w:val="single" w:color="auto" w:sz="4" w:space="0"/>
              <w:right w:val="single" w:color="auto" w:sz="4" w:space="0"/>
            </w:tcBorders>
            <w:noWrap w:val="0"/>
            <w:vAlign w:val="center"/>
          </w:tcPr>
          <w:p w14:paraId="2ED3E2F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服务期3年</w:t>
            </w:r>
          </w:p>
        </w:tc>
        <w:tc>
          <w:tcPr>
            <w:tcW w:w="1111" w:type="dxa"/>
            <w:tcBorders>
              <w:left w:val="single" w:color="auto" w:sz="4" w:space="0"/>
              <w:right w:val="single" w:color="auto" w:sz="4" w:space="0"/>
            </w:tcBorders>
            <w:noWrap w:val="0"/>
            <w:vAlign w:val="center"/>
          </w:tcPr>
          <w:p w14:paraId="305F5D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校园超市货物配送</w:t>
            </w:r>
          </w:p>
        </w:tc>
      </w:tr>
      <w:tr w14:paraId="74A0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9"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2BDA5721">
            <w:pPr>
              <w:pStyle w:val="14"/>
              <w:numPr>
                <w:ilvl w:val="0"/>
                <w:numId w:val="1"/>
              </w:numPr>
              <w:bidi w:val="0"/>
              <w:spacing w:line="360" w:lineRule="auto"/>
              <w:jc w:val="left"/>
              <w:rPr>
                <w:rFonts w:hint="eastAsia" w:ascii="宋体" w:hAnsi="宋体" w:eastAsia="宋体" w:cs="宋体"/>
                <w:b w:val="0"/>
                <w:bCs w:val="0"/>
                <w:color w:val="auto"/>
                <w:sz w:val="24"/>
                <w:szCs w:val="24"/>
                <w:highlight w:val="none"/>
                <w:lang w:val="en-US" w:eastAsia="zh-CN"/>
              </w:rPr>
            </w:pPr>
            <w:bookmarkStart w:id="26" w:name="_Toc28658"/>
            <w:bookmarkStart w:id="27" w:name="_Toc21469"/>
            <w:r>
              <w:rPr>
                <w:rFonts w:hint="eastAsia" w:ascii="宋体" w:hAnsi="宋体" w:eastAsia="宋体" w:cs="宋体"/>
                <w:color w:val="auto"/>
                <w:kern w:val="2"/>
                <w:sz w:val="24"/>
                <w:szCs w:val="24"/>
                <w:lang w:val="en-US" w:eastAsia="zh-CN" w:bidi="ar-SA"/>
              </w:rPr>
              <w:t>以上表格中的数量及采购预算均为预估值，结算时以实际产生的数量和金额为准。</w:t>
            </w:r>
          </w:p>
        </w:tc>
      </w:tr>
      <w:bookmarkEnd w:id="26"/>
      <w:bookmarkEnd w:id="27"/>
    </w:tbl>
    <w:p w14:paraId="15CE645A">
      <w:pPr>
        <w:pStyle w:val="3"/>
        <w:pageBreakBefore w:val="0"/>
        <w:widowControl w:val="0"/>
        <w:numPr>
          <w:ilvl w:val="0"/>
          <w:numId w:val="2"/>
        </w:numPr>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28" w:name="_Toc3751"/>
      <w:bookmarkStart w:id="29" w:name="_Toc27064"/>
      <w:bookmarkStart w:id="30" w:name="_Toc29265"/>
      <w:bookmarkStart w:id="31" w:name="_Toc5667"/>
      <w:r>
        <w:rPr>
          <w:rFonts w:hint="eastAsia" w:ascii="宋体" w:hAnsi="宋体" w:eastAsia="宋体" w:cs="宋体"/>
          <w:b/>
          <w:color w:val="auto"/>
          <w:sz w:val="24"/>
          <w:szCs w:val="24"/>
          <w:highlight w:val="none"/>
        </w:rPr>
        <w:t>资金来源</w:t>
      </w:r>
      <w:bookmarkEnd w:id="28"/>
      <w:bookmarkEnd w:id="29"/>
      <w:bookmarkEnd w:id="30"/>
      <w:bookmarkEnd w:id="31"/>
    </w:p>
    <w:p w14:paraId="432D182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学校自筹资金。</w:t>
      </w:r>
    </w:p>
    <w:p w14:paraId="25606134">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32" w:name="_Toc8003"/>
      <w:bookmarkStart w:id="33" w:name="_Toc25219"/>
      <w:bookmarkStart w:id="34" w:name="_Toc30691"/>
      <w:bookmarkStart w:id="35" w:name="_Toc15168"/>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资格条件</w:t>
      </w:r>
      <w:bookmarkEnd w:id="32"/>
      <w:bookmarkEnd w:id="33"/>
      <w:bookmarkEnd w:id="34"/>
      <w:bookmarkEnd w:id="35"/>
    </w:p>
    <w:p w14:paraId="3C83DF5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1BF09B2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459D142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2、财务状况报告，依法缴纳税收和社会保障资金的相关材料；</w:t>
      </w:r>
    </w:p>
    <w:p w14:paraId="1C81995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14:paraId="0019918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w:t>
      </w:r>
    </w:p>
    <w:p w14:paraId="0CF4A35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14:paraId="6406DA1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根据渝财规〔2022〕4号，供应商在参与政府采购项目投标时，可对上述第2、3、4项所要求提供的相关材料进行简化。简化后，供应商只需以书面形式提供规定格式的《基本资格条件承诺函》（详见第七篇）</w:t>
      </w:r>
    </w:p>
    <w:p w14:paraId="7F275F2C">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highlight w:val="none"/>
        </w:rPr>
        <w:t>落实政府采购政策需满足的资格要求：无</w:t>
      </w:r>
    </w:p>
    <w:p w14:paraId="595563D9">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b w:val="0"/>
          <w:bCs w:val="0"/>
          <w:color w:val="auto"/>
          <w:sz w:val="24"/>
          <w:szCs w:val="24"/>
          <w:highlight w:val="none"/>
        </w:rPr>
        <w:t>特定资格条件</w:t>
      </w:r>
      <w:bookmarkStart w:id="36" w:name="_Toc8408"/>
      <w:bookmarkStart w:id="37" w:name="_Toc38532846"/>
      <w:bookmarkStart w:id="38" w:name="_Toc9978"/>
      <w:bookmarkStart w:id="39" w:name="_Toc31712"/>
      <w:r>
        <w:rPr>
          <w:rFonts w:hint="eastAsia" w:ascii="宋体" w:hAnsi="宋体" w:eastAsia="宋体" w:cs="宋体"/>
          <w:b w:val="0"/>
          <w:bCs w:val="0"/>
          <w:color w:val="auto"/>
          <w:sz w:val="24"/>
          <w:szCs w:val="24"/>
          <w:highlight w:val="none"/>
          <w:lang w:eastAsia="zh-CN"/>
        </w:rPr>
        <w:t>：</w:t>
      </w:r>
    </w:p>
    <w:p w14:paraId="655A101C">
      <w:pPr>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供应商应具备有效的《营业执照》和</w:t>
      </w:r>
      <w:r>
        <w:rPr>
          <w:rFonts w:hint="eastAsia" w:ascii="宋体" w:hAnsi="宋体" w:eastAsia="宋体" w:cs="宋体"/>
          <w:b/>
          <w:bCs/>
          <w:color w:val="auto"/>
          <w:sz w:val="24"/>
          <w:szCs w:val="24"/>
        </w:rPr>
        <w:t>《食品经营许可证》</w:t>
      </w:r>
      <w:r>
        <w:rPr>
          <w:rFonts w:hint="eastAsia" w:ascii="宋体" w:hAnsi="宋体" w:eastAsia="宋体" w:cs="宋体"/>
          <w:b/>
          <w:bCs/>
          <w:color w:val="auto"/>
          <w:sz w:val="24"/>
          <w:szCs w:val="24"/>
          <w:lang w:val="en-US" w:eastAsia="zh-CN"/>
        </w:rPr>
        <w:t>，并提供证书复印件加盖供应商公章。</w:t>
      </w:r>
    </w:p>
    <w:p w14:paraId="442ED0A3">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40" w:name="_Toc21035"/>
      <w:bookmarkStart w:id="41" w:name="_Toc19839"/>
      <w:bookmarkStart w:id="42" w:name="_Toc9163"/>
      <w:bookmarkStart w:id="43" w:name="_Toc16544"/>
      <w:r>
        <w:rPr>
          <w:rFonts w:hint="eastAsia" w:ascii="宋体" w:hAnsi="宋体" w:eastAsia="宋体" w:cs="宋体"/>
          <w:b/>
          <w:color w:val="auto"/>
          <w:sz w:val="24"/>
          <w:szCs w:val="24"/>
          <w:highlight w:val="none"/>
        </w:rPr>
        <w:t>四、比选有关说明</w:t>
      </w:r>
      <w:bookmarkEnd w:id="36"/>
      <w:bookmarkEnd w:id="37"/>
      <w:bookmarkEnd w:id="38"/>
      <w:bookmarkEnd w:id="39"/>
      <w:bookmarkEnd w:id="40"/>
      <w:bookmarkEnd w:id="41"/>
      <w:bookmarkEnd w:id="42"/>
      <w:bookmarkEnd w:id="43"/>
      <w:bookmarkStart w:id="44" w:name="_Toc373860294"/>
    </w:p>
    <w:bookmarkEnd w:id="44"/>
    <w:p w14:paraId="0B8D901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45" w:name="_Toc8938"/>
      <w:bookmarkStart w:id="46" w:name="_Toc41896028"/>
      <w:bookmarkStart w:id="47" w:name="_Toc3347"/>
      <w:bookmarkStart w:id="48" w:name="_Toc19692"/>
      <w:bookmarkStart w:id="49" w:name="_Toc19256"/>
      <w:bookmarkStart w:id="50" w:name="_Toc7597"/>
      <w:r>
        <w:rPr>
          <w:rFonts w:hint="eastAsia" w:ascii="宋体" w:hAnsi="宋体" w:eastAsia="宋体" w:cs="宋体"/>
          <w:color w:val="auto"/>
          <w:sz w:val="24"/>
          <w:szCs w:val="24"/>
          <w:highlight w:val="none"/>
        </w:rPr>
        <w:t>（一）供应商需通过重庆市行采家（https://www.gec123.com/）进行注册，登记加入“重庆市政府采购供应商库”。</w:t>
      </w:r>
    </w:p>
    <w:p w14:paraId="5C1F495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（二）凡有意参加竞争性比选的供应商，请在“行采家”（https://www.gec123.com/）采购公告发布之日起至提交响应文件截止时间之前自行下载本项目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文件以及补遗等开标前公布的所有项目资料，无论供应商下载与否，均视为已知晓所有比选实质性要求内容。</w:t>
      </w:r>
    </w:p>
    <w:p w14:paraId="7F2DAA8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51" w:name="_Toc2690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）公告期限：自采购公告发布之日起</w:t>
      </w:r>
      <w:r>
        <w:rPr>
          <w:rFonts w:hint="eastAsia" w:ascii="宋体" w:hAnsi="宋体" w:eastAsia="宋体" w:cs="宋体"/>
          <w:color w:val="auto"/>
          <w:sz w:val="24"/>
          <w:szCs w:val="24"/>
          <w:highlight w:val="none"/>
          <w:lang w:eastAsia="zh-CN"/>
        </w:rPr>
        <w:t>三个工作日。</w:t>
      </w:r>
    </w:p>
    <w:p w14:paraId="06CE8C1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bookmarkEnd w:id="51"/>
      <w:r>
        <w:rPr>
          <w:rFonts w:hint="eastAsia" w:ascii="宋体" w:hAnsi="宋体" w:eastAsia="宋体" w:cs="宋体"/>
          <w:color w:val="auto"/>
          <w:sz w:val="24"/>
          <w:szCs w:val="24"/>
          <w:highlight w:val="none"/>
          <w:lang w:eastAsia="zh-CN"/>
        </w:rPr>
        <w:t xml:space="preserve">竞争性比选文件发售期限： </w:t>
      </w:r>
    </w:p>
    <w:p w14:paraId="765F1BF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1、竞争性比选文件发售期：202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 xml:space="preserve">日 </w:t>
      </w:r>
    </w:p>
    <w:p w14:paraId="75C8554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2、报名方式：</w:t>
      </w:r>
    </w:p>
    <w:p w14:paraId="19C28D1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2.1在竞争性比选文件发售期内，供应商将《竞争性比选文件发售登记表》（</w:t>
      </w:r>
      <w:r>
        <w:rPr>
          <w:rFonts w:hint="eastAsia" w:ascii="宋体" w:hAnsi="宋体" w:eastAsia="宋体" w:cs="宋体"/>
          <w:color w:val="auto"/>
          <w:sz w:val="24"/>
          <w:szCs w:val="24"/>
          <w:highlight w:val="none"/>
          <w:lang w:val="en-US" w:eastAsia="zh-CN"/>
        </w:rPr>
        <w:t>填写完整并</w:t>
      </w:r>
      <w:r>
        <w:rPr>
          <w:rFonts w:hint="eastAsia" w:ascii="宋体" w:hAnsi="宋体" w:eastAsia="宋体" w:cs="宋体"/>
          <w:color w:val="auto"/>
          <w:sz w:val="24"/>
          <w:szCs w:val="24"/>
          <w:highlight w:val="none"/>
          <w:lang w:eastAsia="zh-CN"/>
        </w:rPr>
        <w:t>加盖供应商公章）扫描后发送至</w:t>
      </w:r>
      <w:r>
        <w:rPr>
          <w:rFonts w:hint="eastAsia" w:ascii="宋体" w:hAnsi="宋体" w:eastAsia="宋体" w:cs="宋体"/>
          <w:color w:val="auto"/>
          <w:sz w:val="24"/>
          <w:szCs w:val="24"/>
          <w:highlight w:val="none"/>
          <w:lang w:val="en-US" w:eastAsia="zh-CN"/>
        </w:rPr>
        <w:t>邮箱（1344395137</w:t>
      </w:r>
      <w:r>
        <w:rPr>
          <w:rFonts w:hint="eastAsia" w:ascii="宋体" w:hAnsi="宋体" w:eastAsia="宋体" w:cs="宋体"/>
          <w:color w:val="auto"/>
          <w:sz w:val="24"/>
          <w:szCs w:val="24"/>
          <w:highlight w:val="none"/>
          <w:lang w:eastAsia="zh-CN"/>
        </w:rPr>
        <w:t>@qq.com</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报名。</w:t>
      </w:r>
    </w:p>
    <w:p w14:paraId="5FD49B7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在竞争性比选文件发售期内</w:t>
      </w:r>
      <w:r>
        <w:rPr>
          <w:rFonts w:hint="eastAsia" w:ascii="宋体" w:hAnsi="宋体" w:eastAsia="宋体" w:cs="宋体"/>
          <w:color w:val="auto"/>
          <w:sz w:val="24"/>
          <w:szCs w:val="24"/>
          <w:highlight w:val="none"/>
          <w:lang w:val="en-US" w:eastAsia="zh-CN"/>
        </w:rPr>
        <w:t>报名并</w:t>
      </w:r>
      <w:r>
        <w:rPr>
          <w:rFonts w:hint="eastAsia" w:ascii="宋体" w:hAnsi="宋体" w:eastAsia="宋体" w:cs="宋体"/>
          <w:color w:val="auto"/>
          <w:sz w:val="24"/>
          <w:szCs w:val="24"/>
          <w:highlight w:val="none"/>
        </w:rPr>
        <w:t>购买了竞争性比选文件的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才被接收。</w:t>
      </w:r>
    </w:p>
    <w:p w14:paraId="7C057E1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竞争性比选文件售价：人民币</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报名时缴纳</w:t>
      </w:r>
      <w:r>
        <w:rPr>
          <w:rFonts w:hint="eastAsia" w:ascii="宋体" w:hAnsi="宋体" w:eastAsia="宋体" w:cs="宋体"/>
          <w:color w:val="auto"/>
          <w:sz w:val="24"/>
          <w:szCs w:val="24"/>
          <w:highlight w:val="none"/>
        </w:rPr>
        <w:t>。</w:t>
      </w:r>
    </w:p>
    <w:p w14:paraId="27C83AF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）投标</w:t>
      </w:r>
    </w:p>
    <w:p w14:paraId="0DC21A5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1.线上报价：报价时间为202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日9：00-1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w:t>
      </w:r>
    </w:p>
    <w:p w14:paraId="0C3ABAD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供应商应按规定的时间在“行采家”（https://www.gec123.com/）进行网上报价，并上传签字盖章后的投标文件电子文档PDF格式一份。并在规定时间内进行线下投标；未在规定时间内进行线上报价和线下投标的供应商其投标无效。</w:t>
      </w:r>
      <w:bookmarkStart w:id="342" w:name="_GoBack"/>
      <w:bookmarkEnd w:id="342"/>
    </w:p>
    <w:p w14:paraId="1248CBE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3.线下投标</w:t>
      </w:r>
    </w:p>
    <w:p w14:paraId="1A19530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：00至</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0（逾期不予受理）</w:t>
      </w:r>
      <w:r>
        <w:rPr>
          <w:rFonts w:hint="eastAsia" w:ascii="宋体" w:hAnsi="宋体" w:eastAsia="宋体" w:cs="宋体"/>
          <w:color w:val="auto"/>
          <w:sz w:val="24"/>
          <w:szCs w:val="24"/>
          <w:highlight w:val="none"/>
          <w:lang w:val="en-US" w:eastAsia="zh-CN"/>
        </w:rPr>
        <w:t>止。</w:t>
      </w:r>
    </w:p>
    <w:p w14:paraId="18E671F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（2）投标地点：</w:t>
      </w:r>
      <w:r>
        <w:rPr>
          <w:rFonts w:hint="eastAsia" w:ascii="宋体" w:hAnsi="宋体" w:eastAsia="宋体" w:cs="宋体"/>
          <w:color w:val="auto"/>
          <w:sz w:val="24"/>
          <w:szCs w:val="24"/>
          <w:highlight w:val="none"/>
          <w:u w:val="none"/>
          <w:lang w:val="en-US" w:eastAsia="zh-CN"/>
        </w:rPr>
        <w:t>酉阳土家族苗族自治县兴隆初级中学校</w:t>
      </w:r>
      <w:r>
        <w:rPr>
          <w:rFonts w:hint="eastAsia" w:ascii="宋体" w:hAnsi="宋体" w:eastAsia="宋体" w:cs="宋体"/>
          <w:color w:val="auto"/>
          <w:sz w:val="24"/>
          <w:szCs w:val="24"/>
          <w:highlight w:val="none"/>
        </w:rPr>
        <w:t>会议室。</w:t>
      </w:r>
    </w:p>
    <w:p w14:paraId="7045F78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3）纸质</w:t>
      </w:r>
      <w:r>
        <w:rPr>
          <w:rFonts w:hint="eastAsia" w:ascii="宋体" w:hAnsi="宋体" w:eastAsia="宋体" w:cs="宋体"/>
          <w:color w:val="auto"/>
          <w:sz w:val="24"/>
          <w:szCs w:val="24"/>
          <w:highlight w:val="none"/>
        </w:rPr>
        <w:t>响应文件（一正二副共3份）。</w:t>
      </w:r>
    </w:p>
    <w:p w14:paraId="6A07AC0E">
      <w:pPr>
        <w:pStyle w:val="3"/>
        <w:pageBreakBefore w:val="0"/>
        <w:widowControl w:val="0"/>
        <w:numPr>
          <w:ilvl w:val="0"/>
          <w:numId w:val="3"/>
        </w:numPr>
        <w:kinsoku/>
        <w:wordWrap/>
        <w:overflowPunct/>
        <w:topLinePunct w:val="0"/>
        <w:autoSpaceDE/>
        <w:autoSpaceDN/>
        <w:bidi w:val="0"/>
        <w:spacing w:line="360" w:lineRule="auto"/>
        <w:textAlignment w:val="auto"/>
        <w:outlineLvl w:val="0"/>
        <w:rPr>
          <w:rFonts w:hint="eastAsia" w:ascii="宋体" w:hAnsi="宋体" w:eastAsia="宋体" w:cs="宋体"/>
          <w:color w:val="auto"/>
          <w:lang w:val="en-US" w:eastAsia="zh-CN"/>
        </w:rPr>
      </w:pPr>
      <w:bookmarkStart w:id="52" w:name="_Toc17953"/>
      <w:bookmarkStart w:id="53" w:name="_Toc29902"/>
      <w:bookmarkStart w:id="54" w:name="_Toc1710"/>
      <w:bookmarkStart w:id="55" w:name="_Toc18469"/>
      <w:r>
        <w:rPr>
          <w:rFonts w:hint="eastAsia" w:ascii="宋体" w:hAnsi="宋体" w:eastAsia="宋体" w:cs="宋体"/>
          <w:b/>
          <w:color w:val="auto"/>
          <w:sz w:val="24"/>
          <w:szCs w:val="24"/>
          <w:highlight w:val="none"/>
        </w:rPr>
        <w:t>比选保证金</w:t>
      </w:r>
      <w:bookmarkEnd w:id="45"/>
      <w:bookmarkEnd w:id="46"/>
      <w:bookmarkEnd w:id="47"/>
      <w:bookmarkEnd w:id="48"/>
      <w:bookmarkEnd w:id="49"/>
      <w:bookmarkEnd w:id="50"/>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无</w:t>
      </w:r>
      <w:bookmarkEnd w:id="52"/>
      <w:bookmarkEnd w:id="53"/>
      <w:bookmarkEnd w:id="54"/>
      <w:bookmarkEnd w:id="55"/>
    </w:p>
    <w:p w14:paraId="5E03007D">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56" w:name="_Toc15883"/>
      <w:bookmarkStart w:id="57" w:name="_Toc3442"/>
      <w:bookmarkStart w:id="58" w:name="_Toc26638"/>
      <w:bookmarkStart w:id="59" w:name="_Toc41896029"/>
      <w:bookmarkStart w:id="60" w:name="_Toc2967"/>
      <w:bookmarkStart w:id="61" w:name="_Toc20652"/>
      <w:bookmarkStart w:id="62" w:name="_Toc4679"/>
      <w:bookmarkStart w:id="63" w:name="_Toc8089"/>
      <w:bookmarkStart w:id="64" w:name="_Toc26138"/>
      <w:bookmarkStart w:id="65" w:name="_Toc8418"/>
      <w:r>
        <w:rPr>
          <w:rFonts w:hint="eastAsia" w:ascii="宋体" w:hAnsi="宋体" w:eastAsia="宋体" w:cs="宋体"/>
          <w:b/>
          <w:color w:val="auto"/>
          <w:sz w:val="24"/>
          <w:szCs w:val="24"/>
          <w:highlight w:val="none"/>
        </w:rPr>
        <w:t>六、其它有关规定</w:t>
      </w:r>
      <w:bookmarkEnd w:id="56"/>
      <w:bookmarkEnd w:id="57"/>
      <w:bookmarkEnd w:id="58"/>
      <w:bookmarkEnd w:id="59"/>
      <w:bookmarkEnd w:id="60"/>
      <w:bookmarkEnd w:id="61"/>
      <w:bookmarkEnd w:id="62"/>
      <w:bookmarkEnd w:id="63"/>
      <w:bookmarkEnd w:id="64"/>
      <w:bookmarkEnd w:id="65"/>
    </w:p>
    <w:p w14:paraId="0AAC8FD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，不得参加同一合同项下的比选活动，否则均为无效比选。</w:t>
      </w:r>
    </w:p>
    <w:p w14:paraId="0BBC89C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）本项目的补遗文件（如果有）一律在</w:t>
      </w:r>
      <w:r>
        <w:rPr>
          <w:rFonts w:hint="eastAsia" w:ascii="宋体" w:hAnsi="宋体" w:eastAsia="宋体" w:cs="宋体"/>
          <w:color w:val="auto"/>
          <w:kern w:val="0"/>
          <w:sz w:val="24"/>
          <w:szCs w:val="24"/>
          <w:highlight w:val="none"/>
        </w:rPr>
        <w:t>行采家（https://www.gec123.com/）</w:t>
      </w:r>
      <w:r>
        <w:rPr>
          <w:rFonts w:hint="eastAsia" w:ascii="宋体" w:hAnsi="宋体" w:eastAsia="宋体" w:cs="宋体"/>
          <w:color w:val="auto"/>
          <w:sz w:val="24"/>
          <w:szCs w:val="24"/>
          <w:highlight w:val="none"/>
        </w:rPr>
        <w:t>上发布，请各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注意自行下载；无论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已知晓本项目补遗文件（如果有）的内容。</w:t>
      </w:r>
    </w:p>
    <w:p w14:paraId="0D07A9B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）超过比选文件截止时间递交的投标文件，恕不接收。</w:t>
      </w:r>
    </w:p>
    <w:p w14:paraId="4261A55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）比选费用：无论比选结果如何，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参与本项目比选的所有费用均应由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4C3A0B1C">
      <w:pPr>
        <w:keepNext w:val="0"/>
        <w:keepLines w:val="0"/>
        <w:pageBreakBefore w:val="0"/>
        <w:widowControl w:val="0"/>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）本项目不接受联合体参与比选</w:t>
      </w:r>
      <w:r>
        <w:rPr>
          <w:rFonts w:hint="eastAsia" w:ascii="宋体" w:hAnsi="宋体" w:eastAsia="宋体" w:cs="宋体"/>
          <w:b/>
          <w:bCs/>
          <w:color w:val="auto"/>
          <w:kern w:val="2"/>
          <w:sz w:val="24"/>
          <w:szCs w:val="24"/>
          <w:highlight w:val="none"/>
          <w:lang w:val="en-US" w:eastAsia="zh-CN" w:bidi="ar-SA"/>
        </w:rPr>
        <w:t>，否则按无效投标处理。</w:t>
      </w:r>
    </w:p>
    <w:p w14:paraId="65655D8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kern w:val="2"/>
          <w:sz w:val="24"/>
          <w:szCs w:val="24"/>
          <w:highlight w:val="none"/>
          <w:lang w:val="en-US" w:eastAsia="zh-CN" w:bidi="ar-SA"/>
        </w:rPr>
        <w:t>（六）本项目不接受合同分包，否则按无效投标处理。</w:t>
      </w:r>
    </w:p>
    <w:p w14:paraId="6A2D923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，将拒绝其参与比选活动。</w:t>
      </w:r>
    </w:p>
    <w:p w14:paraId="799E5650">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66" w:name="_Toc2952"/>
      <w:bookmarkStart w:id="67" w:name="_Toc41896030"/>
      <w:bookmarkStart w:id="68" w:name="_Toc9761"/>
      <w:bookmarkStart w:id="69" w:name="_Toc5929"/>
      <w:bookmarkStart w:id="70" w:name="_Toc26174"/>
      <w:bookmarkStart w:id="71" w:name="_Toc1273"/>
      <w:bookmarkStart w:id="72" w:name="_Toc24760"/>
      <w:bookmarkStart w:id="73" w:name="_Toc26316"/>
      <w:bookmarkStart w:id="74" w:name="_Toc20501"/>
      <w:bookmarkStart w:id="75" w:name="_Toc10824"/>
      <w:r>
        <w:rPr>
          <w:rFonts w:hint="eastAsia" w:ascii="宋体" w:hAnsi="宋体" w:eastAsia="宋体" w:cs="宋体"/>
          <w:b/>
          <w:color w:val="auto"/>
          <w:sz w:val="24"/>
          <w:szCs w:val="24"/>
          <w:highlight w:val="none"/>
        </w:rPr>
        <w:t>七、联系方式</w:t>
      </w:r>
      <w:bookmarkEnd w:id="66"/>
      <w:bookmarkEnd w:id="67"/>
      <w:bookmarkEnd w:id="68"/>
      <w:bookmarkEnd w:id="69"/>
      <w:bookmarkEnd w:id="70"/>
      <w:bookmarkEnd w:id="71"/>
      <w:bookmarkEnd w:id="72"/>
      <w:bookmarkEnd w:id="73"/>
      <w:bookmarkEnd w:id="74"/>
      <w:bookmarkEnd w:id="75"/>
    </w:p>
    <w:p w14:paraId="38DA334F">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u w:val="none"/>
          <w:lang w:val="en-US" w:eastAsia="zh-CN"/>
        </w:rPr>
        <w:t>酉阳土家族苗族自治县兴隆初级中学校</w:t>
      </w:r>
    </w:p>
    <w:p w14:paraId="65F59818">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联系人：冉老师   </w:t>
      </w:r>
    </w:p>
    <w:p w14:paraId="6D4D71F8">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电话：18994975051</w:t>
      </w:r>
    </w:p>
    <w:p w14:paraId="665B876D">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u w:val="none"/>
          <w:lang w:val="en-US" w:eastAsia="zh-CN"/>
        </w:rPr>
        <w:t>酉阳土家族苗族自治县兴隆初级中学校</w:t>
      </w:r>
      <w:r>
        <w:rPr>
          <w:rFonts w:hint="eastAsia" w:ascii="宋体" w:hAnsi="宋体" w:eastAsia="宋体" w:cs="宋体"/>
          <w:color w:val="auto"/>
          <w:sz w:val="24"/>
          <w:szCs w:val="24"/>
          <w:highlight w:val="none"/>
          <w:lang w:val="en-US" w:eastAsia="zh-CN"/>
        </w:rPr>
        <w:t xml:space="preserve"> </w:t>
      </w:r>
    </w:p>
    <w:p w14:paraId="2DBDDD6B">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val="en-US" w:eastAsia="zh-CN"/>
        </w:rPr>
        <w:t>重庆钓鱼城建设监理咨询有限公司</w:t>
      </w:r>
    </w:p>
    <w:p w14:paraId="524F18FA">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李老师  </w:t>
      </w:r>
    </w:p>
    <w:p w14:paraId="547FEBF1">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13594928753   </w:t>
      </w:r>
    </w:p>
    <w:p w14:paraId="51D49473">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重庆市渝北区金开大道1003号C10栋24-6</w:t>
      </w:r>
    </w:p>
    <w:p w14:paraId="34107138">
      <w:pPr>
        <w:pStyle w:val="2"/>
        <w:bidi w:val="0"/>
        <w:spacing w:line="360" w:lineRule="auto"/>
        <w:rPr>
          <w:rFonts w:hint="eastAsia" w:ascii="宋体" w:hAnsi="宋体" w:eastAsia="宋体" w:cs="宋体"/>
          <w:color w:val="auto"/>
          <w:highlight w:val="none"/>
        </w:rPr>
      </w:pPr>
      <w:bookmarkStart w:id="76" w:name="_Toc30387"/>
      <w:r>
        <w:rPr>
          <w:rFonts w:hint="eastAsia" w:ascii="宋体" w:hAnsi="宋体" w:eastAsia="宋体" w:cs="宋体"/>
          <w:color w:val="auto"/>
          <w:szCs w:val="24"/>
          <w:highlight w:val="none"/>
        </w:rPr>
        <w:br w:type="page"/>
      </w:r>
      <w:bookmarkStart w:id="77" w:name="_Toc27544"/>
      <w:bookmarkStart w:id="78" w:name="_Toc1169"/>
      <w:bookmarkStart w:id="79" w:name="_Toc16944"/>
      <w:bookmarkStart w:id="80" w:name="_Toc22114"/>
      <w:r>
        <w:rPr>
          <w:rFonts w:hint="eastAsia" w:ascii="宋体" w:hAnsi="宋体" w:eastAsia="宋体" w:cs="宋体"/>
          <w:color w:val="auto"/>
        </w:rPr>
        <w:t>第二篇 项目服务需求</w:t>
      </w:r>
      <w:bookmarkEnd w:id="77"/>
      <w:bookmarkEnd w:id="78"/>
      <w:bookmarkEnd w:id="79"/>
      <w:bookmarkEnd w:id="80"/>
    </w:p>
    <w:p w14:paraId="7402F790">
      <w:pPr>
        <w:pStyle w:val="7"/>
        <w:bidi w:val="0"/>
        <w:spacing w:line="360" w:lineRule="auto"/>
        <w:rPr>
          <w:rFonts w:hint="eastAsia" w:ascii="宋体" w:hAnsi="宋体" w:eastAsia="宋体" w:cs="宋体"/>
          <w:color w:val="auto"/>
          <w:sz w:val="28"/>
          <w:szCs w:val="24"/>
        </w:rPr>
      </w:pPr>
      <w:bookmarkStart w:id="81" w:name="_Toc31008"/>
      <w:bookmarkStart w:id="82" w:name="_Toc28331"/>
      <w:bookmarkStart w:id="83" w:name="_Toc22060"/>
      <w:bookmarkStart w:id="84" w:name="_Toc4123"/>
      <w:r>
        <w:rPr>
          <w:rFonts w:hint="eastAsia" w:ascii="宋体" w:hAnsi="宋体" w:eastAsia="宋体" w:cs="宋体"/>
          <w:color w:val="auto"/>
          <w:sz w:val="28"/>
          <w:szCs w:val="24"/>
        </w:rPr>
        <w:t>一、项目一览表</w:t>
      </w:r>
      <w:bookmarkEnd w:id="81"/>
      <w:bookmarkEnd w:id="82"/>
      <w:bookmarkEnd w:id="83"/>
      <w:bookmarkEnd w:id="84"/>
    </w:p>
    <w:tbl>
      <w:tblPr>
        <w:tblStyle w:val="27"/>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931"/>
        <w:gridCol w:w="2403"/>
        <w:gridCol w:w="1716"/>
      </w:tblGrid>
      <w:tr w14:paraId="47DB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393" w:type="dxa"/>
            <w:tcBorders>
              <w:top w:val="single" w:color="auto" w:sz="4" w:space="0"/>
              <w:left w:val="single" w:color="auto" w:sz="4" w:space="0"/>
              <w:right w:val="single" w:color="auto" w:sz="4" w:space="0"/>
            </w:tcBorders>
            <w:noWrap w:val="0"/>
            <w:vAlign w:val="center"/>
          </w:tcPr>
          <w:p w14:paraId="562737A8">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rPr>
            </w:pPr>
            <w:bookmarkStart w:id="85" w:name="_Toc18345"/>
            <w:bookmarkStart w:id="86" w:name="_Toc29681"/>
            <w:r>
              <w:rPr>
                <w:rFonts w:hint="eastAsia" w:ascii="宋体" w:hAnsi="宋体" w:eastAsia="宋体" w:cs="宋体"/>
                <w:b/>
                <w:bCs/>
                <w:color w:val="auto"/>
                <w:kern w:val="0"/>
                <w:sz w:val="24"/>
                <w:szCs w:val="24"/>
                <w:highlight w:val="none"/>
                <w:lang w:eastAsia="zh-CN"/>
              </w:rPr>
              <w:t>项目</w:t>
            </w:r>
            <w:r>
              <w:rPr>
                <w:rFonts w:hint="eastAsia" w:ascii="宋体" w:hAnsi="宋体" w:eastAsia="宋体" w:cs="宋体"/>
                <w:b/>
                <w:bCs/>
                <w:color w:val="auto"/>
                <w:kern w:val="0"/>
                <w:sz w:val="24"/>
                <w:szCs w:val="24"/>
                <w:highlight w:val="none"/>
              </w:rPr>
              <w:t>名称</w:t>
            </w:r>
          </w:p>
        </w:tc>
        <w:tc>
          <w:tcPr>
            <w:tcW w:w="1931" w:type="dxa"/>
            <w:tcBorders>
              <w:top w:val="single" w:color="auto" w:sz="4" w:space="0"/>
              <w:left w:val="single" w:color="auto" w:sz="4" w:space="0"/>
              <w:right w:val="single" w:color="auto" w:sz="4" w:space="0"/>
            </w:tcBorders>
            <w:noWrap w:val="0"/>
            <w:vAlign w:val="center"/>
          </w:tcPr>
          <w:p w14:paraId="20628904">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单位/数量</w:t>
            </w:r>
          </w:p>
        </w:tc>
        <w:tc>
          <w:tcPr>
            <w:tcW w:w="2403" w:type="dxa"/>
            <w:tcBorders>
              <w:top w:val="single" w:color="auto" w:sz="4" w:space="0"/>
              <w:left w:val="single" w:color="auto" w:sz="4" w:space="0"/>
              <w:right w:val="single" w:color="auto" w:sz="4" w:space="0"/>
            </w:tcBorders>
            <w:noWrap w:val="0"/>
            <w:vAlign w:val="center"/>
          </w:tcPr>
          <w:p w14:paraId="5D526919">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服务内容</w:t>
            </w:r>
          </w:p>
        </w:tc>
        <w:tc>
          <w:tcPr>
            <w:tcW w:w="1716" w:type="dxa"/>
            <w:tcBorders>
              <w:top w:val="single" w:color="auto" w:sz="4" w:space="0"/>
              <w:left w:val="single" w:color="auto" w:sz="4" w:space="0"/>
              <w:right w:val="single" w:color="auto" w:sz="4" w:space="0"/>
            </w:tcBorders>
            <w:noWrap w:val="0"/>
            <w:vAlign w:val="center"/>
          </w:tcPr>
          <w:p w14:paraId="1D0560C3">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服务需求</w:t>
            </w:r>
          </w:p>
        </w:tc>
      </w:tr>
      <w:tr w14:paraId="6E1D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393" w:type="dxa"/>
            <w:tcBorders>
              <w:top w:val="single" w:color="auto" w:sz="4" w:space="0"/>
              <w:left w:val="single" w:color="auto" w:sz="4" w:space="0"/>
              <w:right w:val="single" w:color="auto" w:sz="4" w:space="0"/>
            </w:tcBorders>
            <w:noWrap w:val="0"/>
            <w:vAlign w:val="center"/>
          </w:tcPr>
          <w:p w14:paraId="60E40DB0">
            <w:pPr>
              <w:rPr>
                <w:rFonts w:hint="eastAsia" w:ascii="宋体" w:hAnsi="宋体" w:eastAsia="宋体" w:cs="宋体"/>
                <w:color w:val="auto"/>
                <w:sz w:val="24"/>
                <w:szCs w:val="24"/>
              </w:rPr>
            </w:pPr>
            <w:r>
              <w:rPr>
                <w:rFonts w:hint="eastAsia" w:ascii="宋体" w:hAnsi="宋体" w:eastAsia="宋体" w:cs="宋体"/>
                <w:color w:val="auto"/>
                <w:sz w:val="24"/>
                <w:szCs w:val="24"/>
                <w:highlight w:val="none"/>
                <w:u w:val="none"/>
                <w:lang w:val="en-US" w:eastAsia="zh-CN"/>
              </w:rPr>
              <w:t>酉阳土家族苗族自治县兴隆初级中学校校园超市供应商项目</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614AADC4">
            <w:pPr>
              <w:widowControl/>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403" w:type="dxa"/>
            <w:tcBorders>
              <w:left w:val="single" w:color="auto" w:sz="4" w:space="0"/>
              <w:right w:val="single" w:color="auto" w:sz="4" w:space="0"/>
            </w:tcBorders>
            <w:shd w:val="clear" w:color="auto" w:fill="auto"/>
            <w:noWrap w:val="0"/>
            <w:vAlign w:val="center"/>
          </w:tcPr>
          <w:p w14:paraId="173E0F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校园超市货物配送</w:t>
            </w:r>
          </w:p>
        </w:tc>
        <w:tc>
          <w:tcPr>
            <w:tcW w:w="1716" w:type="dxa"/>
            <w:tcBorders>
              <w:left w:val="single" w:color="auto" w:sz="4" w:space="0"/>
              <w:right w:val="single" w:color="auto" w:sz="4" w:space="0"/>
            </w:tcBorders>
            <w:noWrap w:val="0"/>
            <w:vAlign w:val="center"/>
          </w:tcPr>
          <w:p w14:paraId="1580A97E">
            <w:pPr>
              <w:spacing w:beforeLines="0" w:afterLines="0"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详见项目服务及质量要求</w:t>
            </w:r>
          </w:p>
        </w:tc>
      </w:tr>
    </w:tbl>
    <w:p w14:paraId="7EF4724D">
      <w:pPr>
        <w:pStyle w:val="3"/>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bCs/>
          <w:color w:val="auto"/>
          <w:sz w:val="24"/>
          <w:szCs w:val="24"/>
          <w:highlight w:val="none"/>
        </w:rPr>
      </w:pPr>
    </w:p>
    <w:p w14:paraId="68F98147">
      <w:pPr>
        <w:pStyle w:val="3"/>
        <w:pageBreakBefore w:val="0"/>
        <w:widowControl w:val="0"/>
        <w:numPr>
          <w:ilvl w:val="0"/>
          <w:numId w:val="0"/>
        </w:numPr>
        <w:kinsoku/>
        <w:wordWrap/>
        <w:overflowPunct/>
        <w:topLinePunct w:val="0"/>
        <w:autoSpaceDE/>
        <w:autoSpaceDN/>
        <w:bidi w:val="0"/>
        <w:spacing w:line="360" w:lineRule="auto"/>
        <w:ind w:leftChars="0"/>
        <w:textAlignment w:val="auto"/>
        <w:outlineLvl w:val="0"/>
        <w:rPr>
          <w:rFonts w:hint="eastAsia" w:ascii="宋体" w:hAnsi="宋体" w:eastAsia="宋体" w:cs="宋体"/>
          <w:b/>
          <w:bCs/>
          <w:color w:val="auto"/>
          <w:sz w:val="24"/>
          <w:szCs w:val="24"/>
          <w:lang w:val="en-US" w:eastAsia="zh-CN"/>
        </w:rPr>
      </w:pPr>
      <w:bookmarkStart w:id="87" w:name="_Toc710"/>
      <w:bookmarkStart w:id="88" w:name="_Toc8301"/>
      <w:bookmarkStart w:id="89" w:name="_Toc21454"/>
      <w:bookmarkStart w:id="90" w:name="_Toc15577"/>
      <w:r>
        <w:rPr>
          <w:rFonts w:hint="eastAsia" w:ascii="宋体" w:hAnsi="宋体" w:eastAsia="宋体" w:cs="宋体"/>
          <w:b/>
          <w:bCs/>
          <w:color w:val="auto"/>
          <w:sz w:val="28"/>
          <w:szCs w:val="28"/>
          <w:highlight w:val="none"/>
          <w:lang w:val="en-US" w:eastAsia="zh-CN"/>
        </w:rPr>
        <w:t>二、项目</w:t>
      </w:r>
      <w:r>
        <w:rPr>
          <w:rFonts w:hint="eastAsia" w:ascii="宋体" w:hAnsi="宋体" w:eastAsia="宋体" w:cs="宋体"/>
          <w:b/>
          <w:bCs/>
          <w:color w:val="auto"/>
          <w:sz w:val="28"/>
          <w:szCs w:val="28"/>
          <w:highlight w:val="none"/>
        </w:rPr>
        <w:t>服务</w:t>
      </w:r>
      <w:bookmarkEnd w:id="85"/>
      <w:bookmarkEnd w:id="86"/>
      <w:bookmarkStart w:id="91" w:name="_Toc18774"/>
      <w:r>
        <w:rPr>
          <w:rFonts w:hint="eastAsia" w:ascii="宋体" w:hAnsi="宋体" w:eastAsia="宋体" w:cs="宋体"/>
          <w:b/>
          <w:bCs/>
          <w:color w:val="auto"/>
          <w:sz w:val="28"/>
          <w:szCs w:val="28"/>
          <w:highlight w:val="none"/>
          <w:lang w:val="en-US" w:eastAsia="zh-CN"/>
        </w:rPr>
        <w:t>及质量要求</w:t>
      </w:r>
      <w:bookmarkEnd w:id="87"/>
      <w:bookmarkEnd w:id="88"/>
      <w:bookmarkEnd w:id="89"/>
      <w:bookmarkEnd w:id="90"/>
    </w:p>
    <w:p w14:paraId="657C5808">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超市供货</w:t>
      </w:r>
      <w:r>
        <w:rPr>
          <w:rFonts w:hint="eastAsia" w:ascii="宋体" w:hAnsi="宋体" w:eastAsia="宋体" w:cs="宋体"/>
          <w:color w:val="auto"/>
          <w:kern w:val="2"/>
          <w:sz w:val="24"/>
          <w:szCs w:val="24"/>
          <w:highlight w:val="none"/>
          <w:u w:val="none"/>
          <w:lang w:val="zh-CN" w:eastAsia="zh-CN" w:bidi="ar-SA"/>
        </w:rPr>
        <w:t>包括</w:t>
      </w:r>
      <w:r>
        <w:rPr>
          <w:rFonts w:hint="eastAsia" w:ascii="宋体" w:hAnsi="宋体" w:eastAsia="宋体" w:cs="宋体"/>
          <w:color w:val="auto"/>
          <w:kern w:val="2"/>
          <w:sz w:val="24"/>
          <w:szCs w:val="24"/>
          <w:highlight w:val="none"/>
          <w:u w:val="none"/>
          <w:lang w:val="en-US" w:eastAsia="zh-CN" w:bidi="ar-SA"/>
        </w:rPr>
        <w:t>但不限于</w:t>
      </w:r>
      <w:bookmarkStart w:id="92" w:name="_Toc598"/>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食品类(预包装食品，纯牛奶等)、学习用品类（笔、橡皮、本子等）、日用品类（香皂、牙刷、洗衣液、卫生巾、纸巾等）、饮品类（矿泉水、各种饮料）等。</w:t>
      </w:r>
    </w:p>
    <w:p w14:paraId="6084B43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包装食品须保证规格品种完全符合采购人要求，包装规格、口味、种类齐全。保质期在3天以内的，必须是送货当天生产的货品；保质期在7天以内的，送货日不超过生产日两日；保质期在6个月以内的，送货日至保质期到期日的天数必须大于保质期天数的三分之二；保质期在6个月以上的，送货日至保质期到期日的天数必须大于保质期天数的二分之一。若有货物临近质保期，且货物未售出的，供应商应无条件退货。寒暑假放假前，供应商应无条件接受剩余商品的回收。（凡退货、回收货物，均不计入结算金额中。）</w:t>
      </w:r>
    </w:p>
    <w:p w14:paraId="3952EFF1">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食品类：如预包装食品，纯牛奶</w:t>
      </w:r>
      <w:bookmarkEnd w:id="92"/>
      <w:r>
        <w:rPr>
          <w:rFonts w:hint="eastAsia" w:ascii="宋体" w:hAnsi="宋体" w:eastAsia="宋体" w:cs="宋体"/>
          <w:color w:val="auto"/>
          <w:kern w:val="2"/>
          <w:sz w:val="24"/>
          <w:szCs w:val="24"/>
          <w:highlight w:val="none"/>
          <w:lang w:val="en-US" w:eastAsia="zh-CN" w:bidi="ar-SA"/>
        </w:rPr>
        <w:t>等；</w:t>
      </w:r>
      <w:bookmarkStart w:id="93" w:name="_Toc19302"/>
      <w:r>
        <w:rPr>
          <w:rFonts w:hint="eastAsia" w:ascii="宋体" w:hAnsi="宋体" w:eastAsia="宋体" w:cs="宋体"/>
          <w:color w:val="auto"/>
          <w:sz w:val="24"/>
          <w:szCs w:val="24"/>
        </w:rPr>
        <w:t>所有物资均为预包装产品，供应商所提供的产品须包装完整、生产日期、保质期或有效期、生产厂家和SC编码齐全明晰</w:t>
      </w:r>
      <w:r>
        <w:rPr>
          <w:rFonts w:hint="eastAsia" w:ascii="宋体" w:hAnsi="宋体" w:eastAsia="宋体" w:cs="宋体"/>
          <w:color w:val="auto"/>
          <w:sz w:val="24"/>
          <w:szCs w:val="24"/>
          <w:lang w:val="en-US" w:eastAsia="zh-CN"/>
        </w:rPr>
        <w:t>;</w:t>
      </w:r>
    </w:p>
    <w:p w14:paraId="7EA6C09B">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学习用品类：如笔、橡皮、本子等</w:t>
      </w:r>
      <w:bookmarkEnd w:id="93"/>
      <w:r>
        <w:rPr>
          <w:rFonts w:hint="eastAsia" w:ascii="宋体" w:hAnsi="宋体" w:eastAsia="宋体" w:cs="宋体"/>
          <w:color w:val="auto"/>
          <w:kern w:val="2"/>
          <w:sz w:val="24"/>
          <w:szCs w:val="24"/>
          <w:highlight w:val="none"/>
          <w:lang w:val="en-US" w:eastAsia="zh-CN" w:bidi="ar-SA"/>
        </w:rPr>
        <w:t>；</w:t>
      </w:r>
      <w:bookmarkStart w:id="94" w:name="_Toc29932"/>
      <w:r>
        <w:rPr>
          <w:rFonts w:hint="eastAsia" w:ascii="宋体" w:hAnsi="宋体" w:eastAsia="宋体" w:cs="宋体"/>
          <w:color w:val="auto"/>
          <w:sz w:val="24"/>
          <w:szCs w:val="24"/>
        </w:rPr>
        <w:t>用品包装上应注明的生产日期、保质期、规格、生产地等相关内容</w:t>
      </w:r>
      <w:r>
        <w:rPr>
          <w:rFonts w:hint="eastAsia" w:ascii="宋体" w:hAnsi="宋体" w:eastAsia="宋体" w:cs="宋体"/>
          <w:color w:val="auto"/>
          <w:sz w:val="24"/>
          <w:szCs w:val="24"/>
          <w:lang w:val="en-US" w:eastAsia="zh-CN"/>
        </w:rPr>
        <w:t>;</w:t>
      </w:r>
    </w:p>
    <w:p w14:paraId="49F74E3C">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日用品类：如香皂、牙刷、洗衣液、卫生巾、纸巾等</w:t>
      </w:r>
      <w:bookmarkEnd w:id="94"/>
      <w:r>
        <w:rPr>
          <w:rFonts w:hint="eastAsia" w:ascii="宋体" w:hAnsi="宋体" w:eastAsia="宋体" w:cs="宋体"/>
          <w:color w:val="auto"/>
          <w:kern w:val="2"/>
          <w:sz w:val="24"/>
          <w:szCs w:val="24"/>
          <w:highlight w:val="none"/>
          <w:lang w:val="en-US" w:eastAsia="zh-CN" w:bidi="ar-SA"/>
        </w:rPr>
        <w:t>；</w:t>
      </w:r>
      <w:bookmarkStart w:id="95" w:name="_Toc22312"/>
      <w:r>
        <w:rPr>
          <w:rFonts w:hint="eastAsia" w:ascii="宋体" w:hAnsi="宋体" w:eastAsia="宋体" w:cs="宋体"/>
          <w:color w:val="auto"/>
          <w:sz w:val="24"/>
          <w:szCs w:val="24"/>
        </w:rPr>
        <w:t>用品包装上应注明的生产日期、保质期、规格、生产地等相关内容</w:t>
      </w:r>
      <w:r>
        <w:rPr>
          <w:rFonts w:hint="eastAsia" w:ascii="宋体" w:hAnsi="宋体" w:eastAsia="宋体" w:cs="宋体"/>
          <w:color w:val="auto"/>
          <w:sz w:val="24"/>
          <w:szCs w:val="24"/>
          <w:lang w:val="en-US" w:eastAsia="zh-CN"/>
        </w:rPr>
        <w:t>;</w:t>
      </w:r>
    </w:p>
    <w:p w14:paraId="2352E316">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饮品类：如矿泉水、各种饮料</w:t>
      </w:r>
      <w:bookmarkEnd w:id="95"/>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rPr>
        <w:t>所有物资均为预包装产品，供应商所提供的产品须包装完整、生产日期、保质期或有效期、生产厂家和SC编码齐全明晰</w:t>
      </w:r>
      <w:r>
        <w:rPr>
          <w:rFonts w:hint="eastAsia" w:ascii="宋体" w:hAnsi="宋体" w:eastAsia="宋体" w:cs="宋体"/>
          <w:color w:val="auto"/>
          <w:sz w:val="24"/>
          <w:szCs w:val="24"/>
          <w:lang w:val="en-US" w:eastAsia="zh-CN"/>
        </w:rPr>
        <w:t>;</w:t>
      </w:r>
    </w:p>
    <w:p w14:paraId="0CE93A7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供货时提供符合国家相关规定的食品检验报告复印件。（检验报告须在有效期内。）</w:t>
      </w:r>
    </w:p>
    <w:p w14:paraId="0A7EF40A">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外观上不能直接辨别的质量问题，在使用过程中发现不合格商品，采购人应保留样品并及时拍照传至中标人客服，中标人应对不合格商品作退货处理。</w:t>
      </w:r>
    </w:p>
    <w:p w14:paraId="6DD2D63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.凡按重量计量物资，均以物品净重方式计量结算。</w:t>
      </w:r>
    </w:p>
    <w:p w14:paraId="5CF268D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.若双方对质量问题有异议，由国家专业检测机构和部门认定。经检测无质量问题的，检测费用由采购人承担；经检测有质量问题的，检测费用由中标人承担。</w:t>
      </w:r>
    </w:p>
    <w:p w14:paraId="6A66BBB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.因市场特殊原因，个别商品品种不能及时提供，中标人应主动与采购人沟通协调，在征得采购人同意后更换品种，以满足采购人需要。</w:t>
      </w:r>
    </w:p>
    <w:p w14:paraId="4C21B459">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.送货单须按市场监管局要求规范的三联单。</w:t>
      </w:r>
    </w:p>
    <w:p w14:paraId="65EDFAA3">
      <w:pPr>
        <w:snapToGrid w:val="0"/>
        <w:spacing w:line="360" w:lineRule="auto"/>
        <w:ind w:firstLine="480" w:firstLineChars="200"/>
        <w:rPr>
          <w:rFonts w:hint="eastAsia" w:ascii="宋体" w:hAnsi="宋体" w:eastAsia="宋体" w:cs="宋体"/>
          <w:color w:val="auto"/>
          <w:kern w:val="0"/>
          <w:sz w:val="24"/>
          <w:szCs w:val="24"/>
        </w:rPr>
      </w:pPr>
    </w:p>
    <w:p w14:paraId="634099DE">
      <w:pPr>
        <w:snapToGrid w:val="0"/>
        <w:spacing w:line="360" w:lineRule="auto"/>
        <w:ind w:firstLine="480" w:firstLineChars="200"/>
        <w:rPr>
          <w:rFonts w:hint="eastAsia" w:ascii="宋体" w:hAnsi="宋体" w:eastAsia="宋体" w:cs="宋体"/>
          <w:color w:val="auto"/>
          <w:kern w:val="0"/>
          <w:sz w:val="24"/>
          <w:szCs w:val="24"/>
        </w:rPr>
      </w:pPr>
    </w:p>
    <w:p w14:paraId="0D6B5263">
      <w:pPr>
        <w:snapToGrid w:val="0"/>
        <w:spacing w:line="360" w:lineRule="auto"/>
        <w:ind w:firstLine="480" w:firstLineChars="200"/>
        <w:rPr>
          <w:rFonts w:hint="eastAsia" w:ascii="宋体" w:hAnsi="宋体" w:eastAsia="宋体" w:cs="宋体"/>
          <w:color w:val="auto"/>
          <w:kern w:val="0"/>
          <w:sz w:val="24"/>
          <w:szCs w:val="24"/>
        </w:rPr>
      </w:pPr>
    </w:p>
    <w:p w14:paraId="71381AE4">
      <w:pPr>
        <w:snapToGrid w:val="0"/>
        <w:spacing w:line="360" w:lineRule="auto"/>
        <w:ind w:firstLine="480" w:firstLineChars="200"/>
        <w:rPr>
          <w:rFonts w:hint="eastAsia" w:ascii="宋体" w:hAnsi="宋体" w:eastAsia="宋体" w:cs="宋体"/>
          <w:color w:val="auto"/>
          <w:kern w:val="0"/>
          <w:sz w:val="24"/>
          <w:szCs w:val="24"/>
        </w:rPr>
      </w:pPr>
    </w:p>
    <w:p w14:paraId="2E22A43C">
      <w:pPr>
        <w:snapToGrid w:val="0"/>
        <w:spacing w:line="360" w:lineRule="auto"/>
        <w:ind w:firstLine="480" w:firstLineChars="200"/>
        <w:rPr>
          <w:rFonts w:hint="eastAsia" w:ascii="宋体" w:hAnsi="宋体" w:eastAsia="宋体" w:cs="宋体"/>
          <w:color w:val="auto"/>
          <w:kern w:val="0"/>
          <w:sz w:val="24"/>
          <w:szCs w:val="24"/>
        </w:rPr>
      </w:pPr>
    </w:p>
    <w:p w14:paraId="61F20BD3">
      <w:pPr>
        <w:snapToGrid w:val="0"/>
        <w:spacing w:line="360" w:lineRule="auto"/>
        <w:ind w:firstLine="480" w:firstLineChars="200"/>
        <w:rPr>
          <w:rFonts w:hint="eastAsia" w:ascii="宋体" w:hAnsi="宋体" w:eastAsia="宋体" w:cs="宋体"/>
          <w:color w:val="auto"/>
          <w:kern w:val="0"/>
          <w:sz w:val="24"/>
          <w:szCs w:val="24"/>
        </w:rPr>
      </w:pPr>
    </w:p>
    <w:p w14:paraId="7791ADAE">
      <w:pPr>
        <w:snapToGrid w:val="0"/>
        <w:spacing w:line="360" w:lineRule="auto"/>
        <w:ind w:firstLine="480" w:firstLineChars="200"/>
        <w:rPr>
          <w:rFonts w:hint="eastAsia" w:ascii="宋体" w:hAnsi="宋体" w:eastAsia="宋体" w:cs="宋体"/>
          <w:color w:val="auto"/>
          <w:kern w:val="0"/>
          <w:sz w:val="24"/>
          <w:szCs w:val="24"/>
        </w:rPr>
      </w:pPr>
    </w:p>
    <w:p w14:paraId="74F71A8B">
      <w:pPr>
        <w:snapToGrid w:val="0"/>
        <w:spacing w:line="360" w:lineRule="auto"/>
        <w:ind w:firstLine="480" w:firstLineChars="200"/>
        <w:rPr>
          <w:rFonts w:hint="eastAsia" w:ascii="宋体" w:hAnsi="宋体" w:eastAsia="宋体" w:cs="宋体"/>
          <w:color w:val="auto"/>
          <w:kern w:val="0"/>
          <w:sz w:val="24"/>
          <w:szCs w:val="24"/>
        </w:rPr>
      </w:pPr>
    </w:p>
    <w:p w14:paraId="1D61A272">
      <w:pPr>
        <w:snapToGrid w:val="0"/>
        <w:spacing w:line="360" w:lineRule="auto"/>
        <w:ind w:firstLine="480" w:firstLineChars="200"/>
        <w:rPr>
          <w:rFonts w:hint="eastAsia" w:ascii="宋体" w:hAnsi="宋体" w:eastAsia="宋体" w:cs="宋体"/>
          <w:color w:val="auto"/>
          <w:kern w:val="0"/>
          <w:sz w:val="24"/>
          <w:szCs w:val="24"/>
        </w:rPr>
      </w:pPr>
    </w:p>
    <w:p w14:paraId="1FECBE20">
      <w:pPr>
        <w:snapToGrid w:val="0"/>
        <w:spacing w:line="360" w:lineRule="auto"/>
        <w:ind w:firstLine="480" w:firstLineChars="200"/>
        <w:rPr>
          <w:rFonts w:hint="eastAsia" w:ascii="宋体" w:hAnsi="宋体" w:eastAsia="宋体" w:cs="宋体"/>
          <w:color w:val="auto"/>
          <w:kern w:val="0"/>
          <w:sz w:val="24"/>
          <w:szCs w:val="24"/>
        </w:rPr>
      </w:pPr>
    </w:p>
    <w:p w14:paraId="73B15324">
      <w:pPr>
        <w:snapToGrid w:val="0"/>
        <w:spacing w:line="360" w:lineRule="auto"/>
        <w:ind w:firstLine="480" w:firstLineChars="200"/>
        <w:rPr>
          <w:rFonts w:hint="eastAsia" w:ascii="宋体" w:hAnsi="宋体" w:eastAsia="宋体" w:cs="宋体"/>
          <w:color w:val="auto"/>
          <w:kern w:val="0"/>
          <w:sz w:val="24"/>
          <w:szCs w:val="24"/>
        </w:rPr>
      </w:pPr>
    </w:p>
    <w:p w14:paraId="2D178CFA">
      <w:pPr>
        <w:snapToGrid w:val="0"/>
        <w:spacing w:line="360" w:lineRule="auto"/>
        <w:ind w:firstLine="480" w:firstLineChars="200"/>
        <w:rPr>
          <w:rFonts w:hint="eastAsia" w:ascii="宋体" w:hAnsi="宋体" w:eastAsia="宋体" w:cs="宋体"/>
          <w:color w:val="auto"/>
          <w:kern w:val="0"/>
          <w:sz w:val="24"/>
          <w:szCs w:val="24"/>
        </w:rPr>
      </w:pPr>
    </w:p>
    <w:p w14:paraId="616EFABC">
      <w:pPr>
        <w:snapToGrid w:val="0"/>
        <w:spacing w:line="360" w:lineRule="auto"/>
        <w:ind w:firstLine="480" w:firstLineChars="200"/>
        <w:rPr>
          <w:rFonts w:hint="eastAsia" w:ascii="宋体" w:hAnsi="宋体" w:eastAsia="宋体" w:cs="宋体"/>
          <w:color w:val="auto"/>
          <w:kern w:val="0"/>
          <w:sz w:val="24"/>
          <w:szCs w:val="24"/>
        </w:rPr>
      </w:pPr>
    </w:p>
    <w:p w14:paraId="0CB32B10">
      <w:pPr>
        <w:snapToGrid w:val="0"/>
        <w:spacing w:line="360" w:lineRule="auto"/>
        <w:ind w:firstLine="480" w:firstLineChars="200"/>
        <w:rPr>
          <w:rFonts w:hint="eastAsia" w:ascii="宋体" w:hAnsi="宋体" w:eastAsia="宋体" w:cs="宋体"/>
          <w:color w:val="auto"/>
          <w:kern w:val="0"/>
          <w:sz w:val="24"/>
          <w:szCs w:val="24"/>
        </w:rPr>
      </w:pPr>
    </w:p>
    <w:p w14:paraId="3F02E88D">
      <w:pPr>
        <w:snapToGrid w:val="0"/>
        <w:spacing w:line="360" w:lineRule="auto"/>
        <w:ind w:firstLine="480" w:firstLineChars="200"/>
        <w:rPr>
          <w:rFonts w:hint="eastAsia" w:ascii="宋体" w:hAnsi="宋体" w:eastAsia="宋体" w:cs="宋体"/>
          <w:color w:val="auto"/>
          <w:kern w:val="0"/>
          <w:sz w:val="24"/>
          <w:szCs w:val="24"/>
        </w:rPr>
      </w:pPr>
    </w:p>
    <w:p w14:paraId="11C6F692">
      <w:pPr>
        <w:snapToGrid w:val="0"/>
        <w:spacing w:line="360" w:lineRule="auto"/>
        <w:ind w:firstLine="480" w:firstLineChars="200"/>
        <w:rPr>
          <w:rFonts w:hint="eastAsia" w:ascii="宋体" w:hAnsi="宋体" w:eastAsia="宋体" w:cs="宋体"/>
          <w:color w:val="auto"/>
          <w:kern w:val="0"/>
          <w:sz w:val="24"/>
          <w:szCs w:val="24"/>
        </w:rPr>
      </w:pPr>
    </w:p>
    <w:p w14:paraId="71D845A7">
      <w:pPr>
        <w:snapToGrid w:val="0"/>
        <w:spacing w:line="360" w:lineRule="auto"/>
        <w:ind w:firstLine="480" w:firstLineChars="200"/>
        <w:rPr>
          <w:rFonts w:hint="eastAsia" w:ascii="宋体" w:hAnsi="宋体" w:eastAsia="宋体" w:cs="宋体"/>
          <w:color w:val="auto"/>
          <w:kern w:val="0"/>
          <w:sz w:val="24"/>
          <w:szCs w:val="24"/>
        </w:rPr>
      </w:pPr>
    </w:p>
    <w:p w14:paraId="484447F3">
      <w:pPr>
        <w:snapToGrid w:val="0"/>
        <w:spacing w:line="360" w:lineRule="auto"/>
        <w:ind w:firstLine="480" w:firstLineChars="200"/>
        <w:rPr>
          <w:rFonts w:hint="eastAsia" w:ascii="宋体" w:hAnsi="宋体" w:eastAsia="宋体" w:cs="宋体"/>
          <w:color w:val="auto"/>
          <w:kern w:val="0"/>
          <w:sz w:val="24"/>
          <w:szCs w:val="24"/>
        </w:rPr>
      </w:pPr>
    </w:p>
    <w:p w14:paraId="2BB5BB03">
      <w:pPr>
        <w:snapToGrid w:val="0"/>
        <w:spacing w:line="360" w:lineRule="auto"/>
        <w:ind w:firstLine="480" w:firstLineChars="200"/>
        <w:rPr>
          <w:rFonts w:hint="eastAsia" w:ascii="宋体" w:hAnsi="宋体" w:eastAsia="宋体" w:cs="宋体"/>
          <w:color w:val="auto"/>
          <w:kern w:val="0"/>
          <w:sz w:val="24"/>
          <w:szCs w:val="24"/>
        </w:rPr>
      </w:pPr>
    </w:p>
    <w:p w14:paraId="35412749">
      <w:pPr>
        <w:snapToGrid w:val="0"/>
        <w:spacing w:line="360" w:lineRule="auto"/>
        <w:ind w:firstLine="480" w:firstLineChars="200"/>
        <w:rPr>
          <w:rFonts w:hint="eastAsia" w:ascii="宋体" w:hAnsi="宋体" w:eastAsia="宋体" w:cs="宋体"/>
          <w:color w:val="auto"/>
          <w:kern w:val="0"/>
          <w:sz w:val="24"/>
          <w:szCs w:val="24"/>
        </w:rPr>
      </w:pPr>
    </w:p>
    <w:p w14:paraId="29F5683C">
      <w:pPr>
        <w:snapToGrid w:val="0"/>
        <w:spacing w:line="360" w:lineRule="auto"/>
        <w:ind w:firstLine="480" w:firstLineChars="200"/>
        <w:rPr>
          <w:rFonts w:hint="eastAsia" w:ascii="宋体" w:hAnsi="宋体" w:eastAsia="宋体" w:cs="宋体"/>
          <w:color w:val="auto"/>
          <w:kern w:val="0"/>
          <w:sz w:val="24"/>
          <w:szCs w:val="24"/>
        </w:rPr>
      </w:pPr>
    </w:p>
    <w:p w14:paraId="6F5804AB">
      <w:pPr>
        <w:snapToGrid w:val="0"/>
        <w:spacing w:line="360" w:lineRule="auto"/>
        <w:ind w:firstLine="480" w:firstLineChars="200"/>
        <w:rPr>
          <w:rFonts w:hint="eastAsia" w:ascii="宋体" w:hAnsi="宋体" w:eastAsia="宋体" w:cs="宋体"/>
          <w:color w:val="auto"/>
          <w:kern w:val="0"/>
          <w:sz w:val="24"/>
          <w:szCs w:val="24"/>
        </w:rPr>
      </w:pPr>
    </w:p>
    <w:bookmarkEnd w:id="91"/>
    <w:p w14:paraId="71ABAF14">
      <w:pPr>
        <w:pStyle w:val="2"/>
        <w:spacing w:before="0" w:beforeLines="0" w:after="0" w:afterLines="0" w:line="360" w:lineRule="auto"/>
        <w:rPr>
          <w:rFonts w:hint="eastAsia" w:ascii="宋体" w:hAnsi="宋体" w:eastAsia="宋体" w:cs="宋体"/>
          <w:b/>
          <w:bCs/>
          <w:color w:val="auto"/>
          <w:highlight w:val="none"/>
        </w:rPr>
      </w:pPr>
      <w:bookmarkStart w:id="96" w:name="_Toc18910"/>
      <w:bookmarkStart w:id="97" w:name="_Toc17122"/>
      <w:bookmarkStart w:id="98" w:name="_Toc3976"/>
      <w:bookmarkStart w:id="99" w:name="_Toc3450"/>
      <w:r>
        <w:rPr>
          <w:rFonts w:hint="eastAsia" w:ascii="宋体" w:hAnsi="宋体" w:eastAsia="宋体" w:cs="宋体"/>
          <w:b/>
          <w:bCs/>
          <w:color w:val="auto"/>
          <w:highlight w:val="none"/>
        </w:rPr>
        <w:t>第三篇 项目商务需求</w:t>
      </w:r>
      <w:bookmarkEnd w:id="76"/>
      <w:bookmarkEnd w:id="96"/>
      <w:bookmarkEnd w:id="97"/>
      <w:bookmarkEnd w:id="98"/>
      <w:bookmarkEnd w:id="99"/>
    </w:p>
    <w:p w14:paraId="19274B9A">
      <w:pPr>
        <w:pStyle w:val="3"/>
        <w:pageBreakBefore w:val="0"/>
        <w:widowControl w:val="0"/>
        <w:kinsoku/>
        <w:wordWrap/>
        <w:overflowPunct/>
        <w:topLinePunct w:val="0"/>
        <w:autoSpaceDE/>
        <w:autoSpaceDN/>
        <w:bidi w:val="0"/>
        <w:snapToGrid w:val="0"/>
        <w:spacing w:line="360" w:lineRule="auto"/>
        <w:textAlignment w:val="auto"/>
        <w:outlineLvl w:val="0"/>
        <w:rPr>
          <w:rFonts w:hint="eastAsia" w:ascii="宋体" w:hAnsi="宋体" w:eastAsia="宋体" w:cs="宋体"/>
          <w:b/>
          <w:color w:val="auto"/>
          <w:sz w:val="28"/>
          <w:szCs w:val="28"/>
          <w:highlight w:val="none"/>
        </w:rPr>
      </w:pPr>
      <w:bookmarkStart w:id="100" w:name="_Toc3601"/>
      <w:bookmarkStart w:id="101" w:name="_Toc20634"/>
      <w:bookmarkStart w:id="102" w:name="_Toc5863"/>
      <w:bookmarkStart w:id="103" w:name="_Toc32692"/>
      <w:bookmarkStart w:id="104" w:name="_Toc24518"/>
      <w:bookmarkStart w:id="105" w:name="_Toc12789059"/>
      <w:bookmarkStart w:id="106" w:name="_Toc11641055"/>
      <w:r>
        <w:rPr>
          <w:rFonts w:hint="eastAsia" w:ascii="宋体" w:hAnsi="宋体" w:eastAsia="宋体" w:cs="宋体"/>
          <w:b/>
          <w:color w:val="auto"/>
          <w:sz w:val="28"/>
          <w:szCs w:val="28"/>
          <w:highlight w:val="none"/>
        </w:rPr>
        <w:t>一、服务时间、地点及验收方式</w:t>
      </w:r>
      <w:bookmarkEnd w:id="100"/>
      <w:bookmarkEnd w:id="101"/>
      <w:bookmarkEnd w:id="102"/>
      <w:bookmarkEnd w:id="103"/>
      <w:bookmarkEnd w:id="104"/>
    </w:p>
    <w:p w14:paraId="37B309E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服务时间：服务期3年。</w:t>
      </w:r>
    </w:p>
    <w:p w14:paraId="21C6CB4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lang w:val="en-US" w:eastAsia="zh-CN"/>
        </w:rPr>
        <w:t>酉阳土家族苗族自治县兴隆初级中学校</w:t>
      </w:r>
    </w:p>
    <w:p w14:paraId="6444DC73">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验收方式:</w:t>
      </w:r>
    </w:p>
    <w:p w14:paraId="3C41185C">
      <w:pPr>
        <w:pStyle w:val="59"/>
        <w:keepNext w:val="0"/>
        <w:keepLines w:val="0"/>
        <w:pageBreakBefore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货物送至采购人指定交货地点后，由双方共同对货物进行验收，并签字确认。</w:t>
      </w:r>
    </w:p>
    <w:p w14:paraId="071CD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highlight w:val="none"/>
          <w:lang w:val="en-US" w:eastAsia="zh-CN" w:bidi="ar-SA"/>
        </w:rPr>
        <w:t>验收标准：</w:t>
      </w:r>
      <w:r>
        <w:rPr>
          <w:rFonts w:hint="eastAsia" w:ascii="宋体" w:hAnsi="宋体" w:eastAsia="宋体" w:cs="宋体"/>
          <w:color w:val="auto"/>
          <w:kern w:val="0"/>
          <w:sz w:val="24"/>
          <w:szCs w:val="24"/>
          <w:highlight w:val="none"/>
          <w:lang w:val="zh-CN" w:eastAsia="zh-CN" w:bidi="ar-SA"/>
        </w:rPr>
        <w:t>投标人提供的货品必须符合国家相关法律法规要求。</w:t>
      </w:r>
    </w:p>
    <w:p w14:paraId="0C8264BF">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货物到达现场后，应在超市管理人员在场情况下当面进行感官检验、外观检验或试用检验，若产品外观、包装、质量不能达到收货标准，采购人拒收配送物资，成交人应无条件迅速补充合格产品，不得影响采购人商品上架。对符合要求的产品当场作出记录，双方签字确认。</w:t>
      </w:r>
    </w:p>
    <w:p w14:paraId="3825D06C">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（2）提供货物未达到招标文件规定要求，且对采购人造成损失的，由成交人承担一切责任，并赔偿所造成损失。</w:t>
      </w:r>
    </w:p>
    <w:p w14:paraId="1C729910">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（3）采购人组织定期或不定期货品抽检和送检。对检验不合格产品无条件退、换货外，需按双方约定予以处理。</w:t>
      </w:r>
    </w:p>
    <w:p w14:paraId="0C9113DC">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（4）因验收货物时不能直接判断质量的，在使用过程中发现不合格商品，供应商应作退货处理。</w:t>
      </w:r>
    </w:p>
    <w:p w14:paraId="2F989363">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（5）凡按重量计量物资，均以物品净重方式计量结算。</w:t>
      </w:r>
    </w:p>
    <w:p w14:paraId="1C16D49D">
      <w:pPr>
        <w:spacing w:line="400" w:lineRule="exact"/>
        <w:ind w:firstLine="480" w:firstLineChars="200"/>
        <w:rPr>
          <w:rFonts w:hint="eastAsia" w:ascii="宋体" w:hAnsi="宋体" w:eastAsia="宋体" w:cs="宋体"/>
          <w:color w:val="auto"/>
          <w:kern w:val="0"/>
          <w:sz w:val="24"/>
          <w:szCs w:val="24"/>
          <w:highlight w:val="none"/>
          <w:lang w:val="en-US" w:eastAsia="zh-CN" w:bidi="ar-SA"/>
        </w:rPr>
      </w:pPr>
    </w:p>
    <w:p w14:paraId="005428E1">
      <w:pPr>
        <w:rPr>
          <w:rFonts w:hint="eastAsia" w:ascii="宋体" w:hAnsi="宋体" w:eastAsia="宋体" w:cs="宋体"/>
          <w:color w:val="auto"/>
          <w:lang w:val="en-US" w:eastAsia="zh-CN"/>
        </w:rPr>
      </w:pPr>
    </w:p>
    <w:p w14:paraId="6A3E51B9">
      <w:pPr>
        <w:pStyle w:val="3"/>
        <w:pageBreakBefore w:val="0"/>
        <w:widowControl w:val="0"/>
        <w:numPr>
          <w:ilvl w:val="0"/>
          <w:numId w:val="0"/>
        </w:numPr>
        <w:kinsoku/>
        <w:wordWrap/>
        <w:overflowPunct/>
        <w:topLinePunct w:val="0"/>
        <w:autoSpaceDE/>
        <w:autoSpaceDN/>
        <w:bidi w:val="0"/>
        <w:snapToGrid w:val="0"/>
        <w:spacing w:line="360" w:lineRule="auto"/>
        <w:ind w:leftChars="0"/>
        <w:textAlignment w:val="auto"/>
        <w:outlineLvl w:val="0"/>
        <w:rPr>
          <w:rFonts w:hint="eastAsia" w:ascii="宋体" w:hAnsi="宋体" w:eastAsia="宋体" w:cs="宋体"/>
          <w:color w:val="auto"/>
        </w:rPr>
      </w:pPr>
      <w:bookmarkStart w:id="107" w:name="_Toc31652"/>
      <w:bookmarkStart w:id="108" w:name="_Toc26065"/>
      <w:bookmarkStart w:id="109" w:name="_Toc18427"/>
      <w:bookmarkStart w:id="110" w:name="_Toc2885"/>
      <w:r>
        <w:rPr>
          <w:rFonts w:hint="eastAsia" w:ascii="宋体" w:hAnsi="宋体" w:eastAsia="宋体" w:cs="宋体"/>
          <w:b/>
          <w:color w:val="auto"/>
          <w:sz w:val="28"/>
          <w:szCs w:val="28"/>
          <w:highlight w:val="none"/>
          <w:lang w:val="en-US" w:eastAsia="zh-CN"/>
        </w:rPr>
        <w:t>二、报价要求</w:t>
      </w:r>
      <w:bookmarkEnd w:id="107"/>
      <w:bookmarkEnd w:id="108"/>
      <w:bookmarkEnd w:id="109"/>
      <w:bookmarkEnd w:id="110"/>
      <w:r>
        <w:rPr>
          <w:rFonts w:hint="eastAsia" w:ascii="宋体" w:hAnsi="宋体" w:eastAsia="宋体" w:cs="宋体"/>
          <w:b/>
          <w:color w:val="auto"/>
          <w:sz w:val="28"/>
          <w:szCs w:val="28"/>
          <w:highlight w:val="none"/>
        </w:rPr>
        <w:t xml:space="preserve"> </w:t>
      </w:r>
    </w:p>
    <w:p w14:paraId="2974713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本次</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报价为</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报价，</w:t>
      </w:r>
      <w:r>
        <w:rPr>
          <w:rFonts w:hint="eastAsia" w:ascii="宋体" w:hAnsi="宋体" w:eastAsia="宋体" w:cs="宋体"/>
          <w:color w:val="auto"/>
          <w:sz w:val="24"/>
          <w:szCs w:val="24"/>
          <w:highlight w:val="none"/>
          <w:lang w:val="en-US" w:eastAsia="zh-CN"/>
        </w:rPr>
        <w:t>投标报价费率</w:t>
      </w:r>
      <w:r>
        <w:rPr>
          <w:rFonts w:hint="eastAsia" w:ascii="宋体" w:hAnsi="宋体" w:eastAsia="宋体" w:cs="宋体"/>
          <w:color w:val="auto"/>
          <w:sz w:val="24"/>
          <w:szCs w:val="24"/>
          <w:highlight w:val="none"/>
          <w:lang w:val="zh-CN" w:eastAsia="zh-CN"/>
        </w:rPr>
        <w:t>最高限价</w:t>
      </w:r>
      <w:r>
        <w:rPr>
          <w:rFonts w:hint="eastAsia" w:ascii="宋体" w:hAnsi="宋体" w:eastAsia="宋体" w:cs="宋体"/>
          <w:color w:val="auto"/>
          <w:sz w:val="24"/>
          <w:szCs w:val="24"/>
          <w:highlight w:val="none"/>
          <w:lang w:val="en-US" w:eastAsia="zh-CN"/>
        </w:rPr>
        <w:t>为100</w:t>
      </w:r>
      <w:r>
        <w:rPr>
          <w:rFonts w:hint="eastAsia" w:ascii="宋体" w:hAnsi="宋体" w:eastAsia="宋体" w:cs="宋体"/>
          <w:color w:val="auto"/>
          <w:sz w:val="24"/>
          <w:szCs w:val="24"/>
          <w:highlight w:val="none"/>
          <w:lang w:val="zh-CN" w:eastAsia="zh-CN"/>
        </w:rPr>
        <w:t>%。该</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为综合</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，即各品目中无论多少种类的商品均只有一个</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，若独立品目出现了不同</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，则为无效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val="zh-CN" w:eastAsia="zh-CN"/>
        </w:rPr>
        <w:t>后各品目中的所有商品种类均按照综合</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计算供货价格；商品进行打折后的费用包含结算时的商品价、运输费（含装卸费）、人工费、保险费、税费、培训费等送货到服务地点的所有费用以及采购代理服务费等一切费用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rPr>
        <w:t>因供应商自身原因造成漏报、少报皆由其自行承担责任，采购人不再补偿。</w:t>
      </w:r>
    </w:p>
    <w:p w14:paraId="5BD4992A">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val="en-US" w:eastAsia="zh-CN"/>
        </w:rPr>
        <w:t>应</w:t>
      </w:r>
      <w:r>
        <w:rPr>
          <w:rFonts w:hint="eastAsia" w:ascii="宋体" w:hAnsi="宋体" w:eastAsia="宋体" w:cs="宋体"/>
          <w:color w:val="auto"/>
          <w:kern w:val="0"/>
          <w:sz w:val="24"/>
          <w:szCs w:val="24"/>
        </w:rPr>
        <w:t>结合自身实力、市场行情参照市内大型超市同品种同规格商品挂牌销售价格（特价商品除外）为标准，</w:t>
      </w:r>
      <w:r>
        <w:rPr>
          <w:rFonts w:hint="eastAsia" w:ascii="宋体" w:hAnsi="宋体" w:eastAsia="宋体" w:cs="宋体"/>
          <w:color w:val="auto"/>
          <w:kern w:val="0"/>
          <w:sz w:val="24"/>
          <w:szCs w:val="24"/>
          <w:lang w:val="en-US" w:eastAsia="zh-CN"/>
        </w:rPr>
        <w:t>综合考虑多品类商品折扣率，自行合理填报</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费率（折扣率）</w:t>
      </w:r>
      <w:r>
        <w:rPr>
          <w:rFonts w:hint="eastAsia" w:ascii="宋体" w:hAnsi="宋体" w:eastAsia="宋体" w:cs="宋体"/>
          <w:color w:val="auto"/>
          <w:kern w:val="0"/>
          <w:sz w:val="24"/>
          <w:szCs w:val="24"/>
          <w:lang w:val="en-US" w:eastAsia="zh-CN"/>
        </w:rPr>
        <w:t>报价。</w:t>
      </w:r>
    </w:p>
    <w:p w14:paraId="392656F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合同期内采购</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根据中标</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和采购数量据实结算。以采购人附近永辉超市、</w:t>
      </w:r>
      <w:r>
        <w:rPr>
          <w:rFonts w:hint="eastAsia" w:ascii="宋体" w:hAnsi="宋体" w:eastAsia="宋体" w:cs="宋体"/>
          <w:color w:val="auto"/>
          <w:kern w:val="0"/>
          <w:sz w:val="24"/>
          <w:szCs w:val="24"/>
          <w:highlight w:val="none"/>
          <w:lang w:val="en-US" w:eastAsia="zh-CN"/>
        </w:rPr>
        <w:t>佳惠超市</w:t>
      </w:r>
      <w:r>
        <w:rPr>
          <w:rFonts w:hint="eastAsia" w:ascii="宋体" w:hAnsi="宋体" w:eastAsia="宋体" w:cs="宋体"/>
          <w:color w:val="auto"/>
          <w:kern w:val="0"/>
          <w:sz w:val="24"/>
          <w:szCs w:val="24"/>
          <w:highlight w:val="none"/>
        </w:rPr>
        <w:t>、农贸市场等</w:t>
      </w:r>
      <w:r>
        <w:rPr>
          <w:rFonts w:hint="eastAsia" w:ascii="宋体" w:hAnsi="宋体" w:eastAsia="宋体" w:cs="宋体"/>
          <w:color w:val="auto"/>
          <w:kern w:val="0"/>
          <w:sz w:val="24"/>
          <w:szCs w:val="24"/>
          <w:highlight w:val="none"/>
          <w:lang w:val="en-US" w:eastAsia="zh-CN"/>
        </w:rPr>
        <w:t>大型市场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rPr>
        <w:t>商品的平均</w:t>
      </w:r>
      <w:r>
        <w:rPr>
          <w:rFonts w:hint="eastAsia" w:ascii="宋体" w:hAnsi="宋体" w:eastAsia="宋体" w:cs="宋体"/>
          <w:color w:val="auto"/>
          <w:kern w:val="0"/>
          <w:sz w:val="24"/>
          <w:szCs w:val="24"/>
          <w:highlight w:val="none"/>
        </w:rPr>
        <w:t>零售价为指导价</w:t>
      </w:r>
      <w:r>
        <w:rPr>
          <w:rFonts w:hint="eastAsia" w:ascii="宋体" w:hAnsi="宋体" w:eastAsia="宋体" w:cs="宋体"/>
          <w:color w:val="auto"/>
          <w:kern w:val="0"/>
          <w:sz w:val="24"/>
          <w:szCs w:val="24"/>
        </w:rPr>
        <w:t>为标准</w:t>
      </w:r>
      <w:r>
        <w:rPr>
          <w:rFonts w:hint="eastAsia" w:ascii="宋体" w:hAnsi="宋体" w:eastAsia="宋体" w:cs="宋体"/>
          <w:color w:val="auto"/>
          <w:kern w:val="0"/>
          <w:sz w:val="24"/>
          <w:szCs w:val="24"/>
          <w:highlight w:val="none"/>
        </w:rPr>
        <w:t>，进行</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填报。（若投标人填报的</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%，若某种品目询价的不同超市的即时价格平均价为10元/</w:t>
      </w:r>
      <w:r>
        <w:rPr>
          <w:rFonts w:hint="eastAsia" w:ascii="宋体" w:hAnsi="宋体" w:eastAsia="宋体" w:cs="宋体"/>
          <w:color w:val="auto"/>
          <w:kern w:val="0"/>
          <w:sz w:val="24"/>
          <w:szCs w:val="24"/>
          <w:highlight w:val="none"/>
          <w:lang w:val="en-US" w:eastAsia="zh-CN"/>
        </w:rPr>
        <w:t>个或件</w:t>
      </w:r>
      <w:r>
        <w:rPr>
          <w:rFonts w:hint="eastAsia" w:ascii="宋体" w:hAnsi="宋体" w:eastAsia="宋体" w:cs="宋体"/>
          <w:color w:val="auto"/>
          <w:kern w:val="0"/>
          <w:sz w:val="24"/>
          <w:szCs w:val="24"/>
          <w:highlight w:val="none"/>
        </w:rPr>
        <w:t>，则该种品目的结算</w:t>
      </w:r>
      <w:r>
        <w:rPr>
          <w:rFonts w:hint="eastAsia" w:ascii="宋体" w:hAnsi="宋体" w:eastAsia="宋体" w:cs="宋体"/>
          <w:color w:val="auto"/>
          <w:kern w:val="0"/>
          <w:sz w:val="24"/>
          <w:szCs w:val="24"/>
          <w:highlight w:val="none"/>
          <w:lang w:val="en-US" w:eastAsia="zh-CN"/>
        </w:rPr>
        <w:t>价</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份</w:t>
      </w:r>
      <w:r>
        <w:rPr>
          <w:rFonts w:hint="eastAsia" w:ascii="宋体" w:hAnsi="宋体" w:eastAsia="宋体" w:cs="宋体"/>
          <w:color w:val="auto"/>
          <w:kern w:val="0"/>
          <w:sz w:val="24"/>
          <w:szCs w:val="24"/>
          <w:highlight w:val="none"/>
        </w:rPr>
        <w:t>）。</w:t>
      </w:r>
    </w:p>
    <w:p w14:paraId="1C81A4C8">
      <w:pPr>
        <w:pageBreakBefore w:val="0"/>
        <w:widowControl/>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合同期内所有采购品目均采用相同的</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。若出现了多个</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，则为无效投标。</w:t>
      </w:r>
    </w:p>
    <w:p w14:paraId="72DB66FA">
      <w:pPr>
        <w:pageBreakBefore w:val="0"/>
        <w:widowControl w:val="0"/>
        <w:kinsoku/>
        <w:wordWrap/>
        <w:overflowPunct/>
        <w:topLinePunct w:val="0"/>
        <w:autoSpaceDE/>
        <w:autoSpaceDN/>
        <w:bidi w:val="0"/>
        <w:snapToGrid w:val="0"/>
        <w:spacing w:line="480" w:lineRule="exact"/>
        <w:ind w:firstLine="482" w:firstLineChars="200"/>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注：线上报价填写格式为投标报价费率，如投标报价费率为75%，填写</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百分之 柒拾五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小写： </w:t>
      </w:r>
      <w:r>
        <w:rPr>
          <w:rFonts w:hint="eastAsia" w:ascii="宋体" w:hAnsi="宋体" w:eastAsia="宋体" w:cs="宋体"/>
          <w:color w:val="auto"/>
          <w:sz w:val="24"/>
          <w:szCs w:val="24"/>
          <w:highlight w:val="none"/>
          <w:u w:val="single"/>
          <w:lang w:val="en-US" w:eastAsia="zh-CN"/>
        </w:rPr>
        <w:t>75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42DD4EE7">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8"/>
          <w:szCs w:val="28"/>
          <w:highlight w:val="none"/>
          <w:lang w:val="en-US" w:eastAsia="zh-CN"/>
        </w:rPr>
      </w:pPr>
    </w:p>
    <w:p w14:paraId="71AF5F09">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kern w:val="0"/>
          <w:sz w:val="28"/>
          <w:szCs w:val="28"/>
          <w:highlight w:val="none"/>
          <w:lang w:val="en-US" w:eastAsia="zh-CN"/>
        </w:rPr>
      </w:pPr>
      <w:bookmarkStart w:id="111" w:name="_Toc19150"/>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供货要求</w:t>
      </w:r>
      <w:bookmarkEnd w:id="111"/>
    </w:p>
    <w:p w14:paraId="3468003C">
      <w:pPr>
        <w:pStyle w:val="3"/>
        <w:pageBreakBefore w:val="0"/>
        <w:widowControl w:val="0"/>
        <w:numPr>
          <w:ilvl w:val="0"/>
          <w:numId w:val="0"/>
        </w:numPr>
        <w:kinsoku/>
        <w:wordWrap/>
        <w:overflowPunct/>
        <w:topLinePunct w:val="0"/>
        <w:autoSpaceDE/>
        <w:autoSpaceDN/>
        <w:bidi w:val="0"/>
        <w:snapToGrid w:val="0"/>
        <w:spacing w:line="360" w:lineRule="auto"/>
        <w:ind w:firstLine="240" w:firstLineChars="100"/>
        <w:textAlignment w:val="auto"/>
        <w:rPr>
          <w:rFonts w:hint="eastAsia" w:ascii="宋体" w:hAnsi="宋体" w:eastAsia="宋体" w:cs="宋体"/>
          <w:color w:val="auto"/>
          <w:sz w:val="24"/>
          <w:szCs w:val="24"/>
          <w:highlight w:val="none"/>
        </w:rPr>
      </w:pPr>
      <w:bookmarkStart w:id="112" w:name="_Toc25033"/>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供货数量要求</w:t>
      </w:r>
      <w:bookmarkEnd w:id="112"/>
    </w:p>
    <w:p w14:paraId="64B19C1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货物若有</w:t>
      </w:r>
      <w:r>
        <w:rPr>
          <w:rFonts w:hint="eastAsia" w:ascii="宋体" w:hAnsi="宋体" w:eastAsia="宋体" w:cs="宋体"/>
          <w:b w:val="0"/>
          <w:bCs/>
          <w:color w:val="auto"/>
          <w:sz w:val="24"/>
          <w:szCs w:val="24"/>
          <w:highlight w:val="none"/>
        </w:rPr>
        <w:t>标准件</w:t>
      </w:r>
      <w:r>
        <w:rPr>
          <w:rFonts w:hint="eastAsia" w:ascii="宋体" w:hAnsi="宋体" w:eastAsia="宋体" w:cs="宋体"/>
          <w:color w:val="auto"/>
          <w:sz w:val="24"/>
          <w:szCs w:val="24"/>
          <w:highlight w:val="none"/>
        </w:rPr>
        <w:t>按标准件抽样</w:t>
      </w:r>
      <w:r>
        <w:rPr>
          <w:rFonts w:hint="eastAsia" w:ascii="宋体" w:hAnsi="宋体" w:eastAsia="宋体" w:cs="宋体"/>
          <w:color w:val="auto"/>
          <w:sz w:val="24"/>
          <w:szCs w:val="24"/>
          <w:highlight w:val="none"/>
          <w:lang w:val="en-US" w:eastAsia="zh-CN"/>
        </w:rPr>
        <w:t>计数</w:t>
      </w:r>
      <w:r>
        <w:rPr>
          <w:rFonts w:hint="eastAsia" w:ascii="宋体" w:hAnsi="宋体" w:eastAsia="宋体" w:cs="宋体"/>
          <w:color w:val="auto"/>
          <w:sz w:val="24"/>
          <w:szCs w:val="24"/>
          <w:highlight w:val="none"/>
        </w:rPr>
        <w:t>，并按抽样</w:t>
      </w:r>
      <w:r>
        <w:rPr>
          <w:rFonts w:hint="eastAsia" w:ascii="宋体" w:hAnsi="宋体" w:eastAsia="宋体" w:cs="宋体"/>
          <w:color w:val="auto"/>
          <w:sz w:val="24"/>
          <w:szCs w:val="24"/>
          <w:highlight w:val="none"/>
          <w:lang w:val="en-US" w:eastAsia="zh-CN"/>
        </w:rPr>
        <w:t>件每件数量</w:t>
      </w:r>
      <w:r>
        <w:rPr>
          <w:rFonts w:hint="eastAsia" w:ascii="宋体" w:hAnsi="宋体" w:eastAsia="宋体" w:cs="宋体"/>
          <w:color w:val="auto"/>
          <w:sz w:val="24"/>
          <w:szCs w:val="24"/>
          <w:highlight w:val="none"/>
        </w:rPr>
        <w:t>计算，没有标准件按实际</w:t>
      </w:r>
      <w:r>
        <w:rPr>
          <w:rFonts w:hint="eastAsia" w:ascii="宋体" w:hAnsi="宋体" w:eastAsia="宋体" w:cs="宋体"/>
          <w:color w:val="auto"/>
          <w:sz w:val="24"/>
          <w:szCs w:val="24"/>
          <w:highlight w:val="none"/>
          <w:lang w:val="en-US" w:eastAsia="zh-CN"/>
        </w:rPr>
        <w:t>数量计算</w:t>
      </w:r>
      <w:r>
        <w:rPr>
          <w:rFonts w:hint="eastAsia" w:ascii="宋体" w:hAnsi="宋体" w:eastAsia="宋体" w:cs="宋体"/>
          <w:color w:val="auto"/>
          <w:sz w:val="24"/>
          <w:szCs w:val="24"/>
          <w:highlight w:val="none"/>
        </w:rPr>
        <w:t>。一个月内如有4次(含)以上抽样</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highlight w:val="none"/>
        </w:rPr>
        <w:t>缺少10%以上,则当月配送总费用按90%结算。</w:t>
      </w:r>
    </w:p>
    <w:p w14:paraId="6E31B0E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配送时间</w:t>
      </w:r>
    </w:p>
    <w:p w14:paraId="1D9EE6F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中标人应</w:t>
      </w:r>
      <w:r>
        <w:rPr>
          <w:rFonts w:hint="eastAsia" w:ascii="宋体" w:hAnsi="宋体" w:eastAsia="宋体" w:cs="宋体"/>
          <w:color w:val="auto"/>
          <w:kern w:val="0"/>
          <w:sz w:val="24"/>
          <w:szCs w:val="24"/>
          <w:highlight w:val="none"/>
          <w:lang w:val="en-US" w:eastAsia="zh-CN"/>
        </w:rPr>
        <w:t>与采购人约定</w:t>
      </w:r>
      <w:r>
        <w:rPr>
          <w:rFonts w:hint="eastAsia" w:ascii="宋体" w:hAnsi="宋体" w:eastAsia="宋体" w:cs="宋体"/>
          <w:color w:val="auto"/>
          <w:kern w:val="0"/>
          <w:sz w:val="24"/>
          <w:szCs w:val="24"/>
          <w:highlight w:val="none"/>
          <w:lang w:eastAsia="zh-CN"/>
        </w:rPr>
        <w:t>后次日</w:t>
      </w:r>
      <w:r>
        <w:rPr>
          <w:rFonts w:hint="eastAsia" w:ascii="宋体" w:hAnsi="宋体" w:eastAsia="宋体" w:cs="宋体"/>
          <w:color w:val="auto"/>
          <w:kern w:val="0"/>
          <w:sz w:val="24"/>
          <w:szCs w:val="24"/>
          <w:highlight w:val="none"/>
          <w:lang w:val="en-US" w:eastAsia="zh-CN"/>
        </w:rPr>
        <w:t>内</w:t>
      </w:r>
      <w:r>
        <w:rPr>
          <w:rFonts w:hint="eastAsia" w:ascii="宋体" w:hAnsi="宋体" w:eastAsia="宋体" w:cs="宋体"/>
          <w:color w:val="auto"/>
          <w:kern w:val="0"/>
          <w:sz w:val="24"/>
          <w:szCs w:val="24"/>
          <w:highlight w:val="none"/>
          <w:lang w:eastAsia="zh-CN"/>
        </w:rPr>
        <w:t>将采购人所订购的商品配送至采购人所在地指定位置，到货后应协助采购人工作人员核准数量进仓入库等。</w:t>
      </w:r>
      <w:r>
        <w:rPr>
          <w:rFonts w:hint="eastAsia" w:ascii="宋体" w:hAnsi="宋体" w:eastAsia="宋体" w:cs="宋体"/>
          <w:color w:val="auto"/>
          <w:sz w:val="24"/>
          <w:szCs w:val="24"/>
          <w:highlight w:val="none"/>
        </w:rPr>
        <w:t>配送时间</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根据实际情况，提前24小时约定。</w:t>
      </w:r>
    </w:p>
    <w:p w14:paraId="0740361A">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供货</w:t>
      </w:r>
      <w:r>
        <w:rPr>
          <w:rFonts w:hint="eastAsia" w:ascii="宋体" w:hAnsi="宋体" w:eastAsia="宋体" w:cs="宋体"/>
          <w:b w:val="0"/>
          <w:bCs/>
          <w:color w:val="auto"/>
          <w:sz w:val="24"/>
          <w:szCs w:val="24"/>
          <w:highlight w:val="none"/>
        </w:rPr>
        <w:t>措施</w:t>
      </w:r>
    </w:p>
    <w:p w14:paraId="792FA9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运输和包装：</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针对本项目配备专业配送人员和专用配送车辆，并建立货物运输车辆的定期消毒制度，避免在运输过程中出现交叉污染及货物安全性问题。用于货物包装的材料必须清洁、无污染。货物的包装和标签必须符合相应的规定和要求。用于盛放货物的容器要清洁、干燥、牢固、无异味、无霉变现象，食品包装符合有关法规、标准的要求，包装完好无破损。包装费用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w:t>
      </w:r>
    </w:p>
    <w:p w14:paraId="5C13E7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食品安全措施：</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所提供货物须有货物可追溯管理程序，允许采购人随时查阅货物各环节</w:t>
      </w:r>
      <w:r>
        <w:rPr>
          <w:rFonts w:hint="eastAsia" w:ascii="宋体" w:hAnsi="宋体" w:eastAsia="宋体" w:cs="宋体"/>
          <w:b w:val="0"/>
          <w:bCs/>
          <w:color w:val="auto"/>
          <w:sz w:val="24"/>
          <w:szCs w:val="24"/>
          <w:highlight w:val="none"/>
        </w:rPr>
        <w:t>相关</w:t>
      </w:r>
      <w:r>
        <w:rPr>
          <w:rFonts w:hint="eastAsia" w:ascii="宋体" w:hAnsi="宋体" w:eastAsia="宋体" w:cs="宋体"/>
          <w:color w:val="auto"/>
          <w:kern w:val="0"/>
          <w:sz w:val="24"/>
          <w:szCs w:val="24"/>
          <w:highlight w:val="none"/>
        </w:rPr>
        <w:t>记录（包含货物采购记录、货物的合格证明及验收记录、货物进出仓记录、销售记录、须冷链运输的货物提供冷链运输记录、运输车辆和运输工具消毒记录等），记录保存期限为6个月。</w:t>
      </w:r>
    </w:p>
    <w:p w14:paraId="63C4D2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退换、更换货要求：应按采购人订单规定的品种及要求供应所需货物，货物短缺时须在采购人</w:t>
      </w:r>
      <w:r>
        <w:rPr>
          <w:rFonts w:hint="eastAsia" w:ascii="宋体" w:hAnsi="宋体" w:eastAsia="宋体" w:cs="宋体"/>
          <w:b w:val="0"/>
          <w:bCs/>
          <w:color w:val="auto"/>
          <w:sz w:val="24"/>
          <w:szCs w:val="24"/>
          <w:highlight w:val="none"/>
        </w:rPr>
        <w:t>规定</w:t>
      </w:r>
      <w:r>
        <w:rPr>
          <w:rFonts w:hint="eastAsia" w:ascii="宋体" w:hAnsi="宋体" w:eastAsia="宋体" w:cs="宋体"/>
          <w:color w:val="auto"/>
          <w:kern w:val="0"/>
          <w:sz w:val="24"/>
          <w:szCs w:val="24"/>
          <w:highlight w:val="none"/>
        </w:rPr>
        <w:t>时间内调配补齐所缺品种。若要更换品种，须提交书面申请并加盖公章，经采购人同意后方可更换。</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所送货物与采购人订单或合同要求不符时或货物送达之前损坏，经双方确认后</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须接受退货或换货（</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应在接到采购人通知后1小时之内，将货物送至采购人指定地点替换原有不符或损坏的货物）。</w:t>
      </w:r>
    </w:p>
    <w:p w14:paraId="32BD4FFF">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风险管控</w:t>
      </w:r>
    </w:p>
    <w:p w14:paraId="1D1ECA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交付货物之前的加工、搬运、运输等环节中，</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自行组织，采购人不承担任何费用和安全</w:t>
      </w:r>
      <w:r>
        <w:rPr>
          <w:rFonts w:hint="eastAsia" w:ascii="宋体" w:hAnsi="宋体" w:eastAsia="宋体" w:cs="宋体"/>
          <w:b w:val="0"/>
          <w:bCs/>
          <w:color w:val="auto"/>
          <w:sz w:val="24"/>
          <w:szCs w:val="24"/>
          <w:highlight w:val="none"/>
        </w:rPr>
        <w:t>责任</w:t>
      </w:r>
      <w:r>
        <w:rPr>
          <w:rFonts w:hint="eastAsia" w:ascii="宋体" w:hAnsi="宋体" w:eastAsia="宋体" w:cs="宋体"/>
          <w:color w:val="auto"/>
          <w:kern w:val="0"/>
          <w:sz w:val="24"/>
          <w:szCs w:val="24"/>
          <w:highlight w:val="none"/>
        </w:rPr>
        <w:t>。</w:t>
      </w:r>
    </w:p>
    <w:p w14:paraId="3AEF23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送货管理：</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送货应安排专人专车，</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送货按采购人进出大门有关规定，主动出示</w:t>
      </w:r>
      <w:r>
        <w:rPr>
          <w:rFonts w:hint="eastAsia" w:ascii="宋体" w:hAnsi="宋体" w:eastAsia="宋体" w:cs="宋体"/>
          <w:b w:val="0"/>
          <w:bCs/>
          <w:color w:val="auto"/>
          <w:sz w:val="24"/>
          <w:szCs w:val="24"/>
          <w:highlight w:val="none"/>
        </w:rPr>
        <w:t>证件</w:t>
      </w:r>
      <w:r>
        <w:rPr>
          <w:rFonts w:hint="eastAsia" w:ascii="宋体" w:hAnsi="宋体" w:eastAsia="宋体" w:cs="宋体"/>
          <w:color w:val="auto"/>
          <w:kern w:val="0"/>
          <w:sz w:val="24"/>
          <w:szCs w:val="24"/>
          <w:highlight w:val="none"/>
        </w:rPr>
        <w:t>，接受安全检查；按要求停放车辆，主动接受管理，严禁携带违禁品进入，否则，采购人有权对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违反监管安全规定的行为进行处罚。情节严重的，取消供货资格，造成严重后果的移交司法机关依法处理。</w:t>
      </w:r>
    </w:p>
    <w:p w14:paraId="4BEF0E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原因，造成监管安全事故，食品安全事故、食物中毒、违规违纪的，采购人有权解除合同，造成的损失和后果一律由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w:t>
      </w:r>
    </w:p>
    <w:p w14:paraId="11C0D1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争议</w:t>
      </w:r>
      <w:r>
        <w:rPr>
          <w:rFonts w:hint="eastAsia" w:ascii="宋体" w:hAnsi="宋体" w:eastAsia="宋体" w:cs="宋体"/>
          <w:b w:val="0"/>
          <w:bCs/>
          <w:color w:val="auto"/>
          <w:sz w:val="24"/>
          <w:szCs w:val="24"/>
          <w:highlight w:val="none"/>
        </w:rPr>
        <w:t>处理</w:t>
      </w:r>
    </w:p>
    <w:p w14:paraId="314E31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rPr>
        <w:t>不可抗力</w:t>
      </w:r>
      <w:r>
        <w:rPr>
          <w:rFonts w:hint="eastAsia" w:ascii="宋体" w:hAnsi="宋体" w:eastAsia="宋体" w:cs="宋体"/>
          <w:color w:val="auto"/>
          <w:kern w:val="0"/>
          <w:sz w:val="24"/>
          <w:szCs w:val="24"/>
          <w:highlight w:val="none"/>
        </w:rPr>
        <w:t>等特殊情况，双方任一方想提前解除合同，应提前一个月书面告知对方，在得到对方同意的前提下，本合同可提前解除。</w:t>
      </w:r>
    </w:p>
    <w:p w14:paraId="3E91F7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原因造成采购人安全事故，采购人可立即解除合同。</w:t>
      </w:r>
    </w:p>
    <w:p w14:paraId="3F4D46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合同</w:t>
      </w:r>
      <w:r>
        <w:rPr>
          <w:rFonts w:hint="eastAsia" w:ascii="宋体" w:hAnsi="宋体" w:eastAsia="宋体" w:cs="宋体"/>
          <w:color w:val="auto"/>
          <w:kern w:val="0"/>
          <w:sz w:val="24"/>
          <w:szCs w:val="24"/>
          <w:highlight w:val="none"/>
        </w:rPr>
        <w:t>期限内，若与学校新制定下发的文件规定冲突，</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需无条件配合，与采购人按照学校有关文件明确的期限调整或者解除合同，不得追究采购人违约责任。</w:t>
      </w:r>
    </w:p>
    <w:p w14:paraId="1DF5EC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采购人有权对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供应的货物进行定期或不定期的抽样检验，采购人对有疑议的货物有权提取样品送权威部门检验，质量不达标货物的检验费用由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支付。</w:t>
      </w:r>
    </w:p>
    <w:p w14:paraId="4E256D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采购人</w:t>
      </w:r>
      <w:r>
        <w:rPr>
          <w:rFonts w:hint="eastAsia" w:ascii="宋体" w:hAnsi="宋体" w:eastAsia="宋体" w:cs="宋体"/>
          <w:b w:val="0"/>
          <w:bCs/>
          <w:color w:val="auto"/>
          <w:sz w:val="24"/>
          <w:szCs w:val="24"/>
          <w:highlight w:val="none"/>
        </w:rPr>
        <w:t>认定</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所送货物与采购人订单或合同要求不符或货物送达之前被损坏时，有权要求</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退货或换货并给予</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口头整改通知；若</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有异议，应于接到采购人通知后1小时内书面（含电子邮件）回复采购人并协商处理方式，否则将视为</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对不符合质量要求无异议，</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应于合同约定时间内退货或换货。</w:t>
      </w:r>
    </w:p>
    <w:p w14:paraId="235AFC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对处理方式提出书面（含电子邮件）异议的，由采购人进行处理，若采购人无法最终认定货物质量的，双方均有权将提取样品送权威部门检验或鉴定。</w:t>
      </w:r>
    </w:p>
    <w:p w14:paraId="72E8E147">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w:t>
      </w:r>
      <w:r>
        <w:rPr>
          <w:rFonts w:hint="eastAsia" w:ascii="宋体" w:hAnsi="宋体" w:eastAsia="宋体" w:cs="宋体"/>
          <w:b w:val="0"/>
          <w:bCs/>
          <w:color w:val="auto"/>
          <w:sz w:val="24"/>
          <w:szCs w:val="24"/>
          <w:highlight w:val="none"/>
        </w:rPr>
        <w:t>履行</w:t>
      </w:r>
      <w:r>
        <w:rPr>
          <w:rFonts w:hint="eastAsia" w:ascii="宋体" w:hAnsi="宋体" w:eastAsia="宋体" w:cs="宋体"/>
          <w:color w:val="auto"/>
          <w:kern w:val="0"/>
          <w:sz w:val="24"/>
          <w:szCs w:val="24"/>
          <w:highlight w:val="none"/>
        </w:rPr>
        <w:t>过程中发生争议的，双方应当协商解决，协商不成的可向采购人所在地人民法院提起</w:t>
      </w:r>
      <w:r>
        <w:rPr>
          <w:rFonts w:hint="eastAsia" w:ascii="宋体" w:hAnsi="宋体" w:eastAsia="宋体" w:cs="宋体"/>
          <w:color w:val="auto"/>
          <w:sz w:val="24"/>
          <w:szCs w:val="24"/>
          <w:highlight w:val="none"/>
        </w:rPr>
        <w:t>诉讼</w:t>
      </w:r>
      <w:r>
        <w:rPr>
          <w:rFonts w:hint="eastAsia" w:ascii="宋体" w:hAnsi="宋体" w:eastAsia="宋体" w:cs="宋体"/>
          <w:color w:val="auto"/>
          <w:kern w:val="0"/>
          <w:sz w:val="24"/>
          <w:szCs w:val="24"/>
          <w:highlight w:val="none"/>
        </w:rPr>
        <w:t>。</w:t>
      </w:r>
    </w:p>
    <w:p w14:paraId="5539DFAF">
      <w:pPr>
        <w:pStyle w:val="11"/>
        <w:rPr>
          <w:rFonts w:hint="eastAsia" w:ascii="宋体" w:hAnsi="宋体" w:eastAsia="宋体" w:cs="宋体"/>
          <w:color w:val="auto"/>
          <w:sz w:val="28"/>
          <w:szCs w:val="28"/>
        </w:rPr>
      </w:pPr>
    </w:p>
    <w:p w14:paraId="72286ECC">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8"/>
          <w:szCs w:val="28"/>
          <w:highlight w:val="none"/>
          <w:lang w:val="en-US" w:eastAsia="zh-CN"/>
        </w:rPr>
      </w:pPr>
      <w:bookmarkStart w:id="113" w:name="_Toc9059"/>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质量保证及售后服务</w:t>
      </w:r>
      <w:bookmarkEnd w:id="113"/>
    </w:p>
    <w:p w14:paraId="5A956967">
      <w:pPr>
        <w:pStyle w:val="38"/>
        <w:numPr>
          <w:ilvl w:val="0"/>
          <w:numId w:val="0"/>
        </w:numPr>
        <w:ind w:firstLine="480" w:firstLineChars="200"/>
        <w:rPr>
          <w:rFonts w:hint="eastAsia" w:ascii="宋体" w:hAnsi="宋体" w:eastAsia="宋体" w:cs="宋体"/>
          <w:color w:val="auto"/>
          <w:lang w:eastAsia="zh-TW"/>
        </w:rPr>
      </w:pPr>
      <w:r>
        <w:rPr>
          <w:rFonts w:hint="eastAsia" w:ascii="宋体" w:hAnsi="宋体" w:eastAsia="宋体" w:cs="宋体"/>
          <w:color w:val="auto"/>
          <w:lang w:eastAsia="zh-TW"/>
        </w:rPr>
        <w:t>（一）产品质量保证</w:t>
      </w:r>
    </w:p>
    <w:p w14:paraId="38D09F9F">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1.中标人应保证及时提供合格安全的商品，不得配送假冒伪劣、有毒有害、过期变质等不合格商品。属于国家规定“三包”范围的，其产品质量保证期不得低于“三包”规定。</w:t>
      </w:r>
    </w:p>
    <w:p w14:paraId="573839B3">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2.所有商品因验收时不能直接判断质量的，在使用过程中发现不合格商品，中标人作退货处理。</w:t>
      </w:r>
    </w:p>
    <w:p w14:paraId="2C74E7FA">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3.因商品质量问题引发的事故，由中标人承担经济赔偿责任以及全部法律责任。</w:t>
      </w:r>
    </w:p>
    <w:p w14:paraId="0C867FC4">
      <w:pPr>
        <w:pStyle w:val="38"/>
        <w:numPr>
          <w:ilvl w:val="0"/>
          <w:numId w:val="0"/>
        </w:numPr>
        <w:ind w:firstLine="480" w:firstLineChars="200"/>
        <w:rPr>
          <w:rFonts w:hint="eastAsia" w:ascii="宋体" w:hAnsi="宋体" w:eastAsia="宋体" w:cs="宋体"/>
          <w:color w:val="auto"/>
          <w:lang w:eastAsia="zh-TW"/>
        </w:rPr>
      </w:pPr>
      <w:r>
        <w:rPr>
          <w:rFonts w:hint="eastAsia" w:ascii="宋体" w:hAnsi="宋体" w:eastAsia="宋体" w:cs="宋体"/>
          <w:color w:val="auto"/>
          <w:lang w:eastAsia="zh-TW"/>
        </w:rPr>
        <w:t>（二）售后服务内容</w:t>
      </w:r>
    </w:p>
    <w:p w14:paraId="45A4089B">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1.因市场特殊原因，个别商品不能及时提供，中标人应与采购人沟通协调，更换品种，满足需要。</w:t>
      </w:r>
    </w:p>
    <w:p w14:paraId="01135FB1">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2.验收中不合格商品，中标人按照采购人规定时间内调换，应不影响正常工作。</w:t>
      </w:r>
    </w:p>
    <w:p w14:paraId="6CBFADB8">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3.因商品质量导致出现安全事故，由中标人承担经济赔偿责任以及全部法律责任。</w:t>
      </w:r>
    </w:p>
    <w:p w14:paraId="4BB4E1F0">
      <w:pPr>
        <w:pStyle w:val="3"/>
        <w:pageBreakBefore w:val="0"/>
        <w:kinsoku/>
        <w:wordWrap/>
        <w:overflowPunct/>
        <w:topLinePunct w:val="0"/>
        <w:autoSpaceDE/>
        <w:autoSpaceDN/>
        <w:bidi w:val="0"/>
        <w:spacing w:line="360" w:lineRule="auto"/>
        <w:textAlignment w:val="auto"/>
        <w:outlineLvl w:val="0"/>
        <w:rPr>
          <w:rFonts w:hint="eastAsia" w:ascii="宋体" w:hAnsi="宋体" w:eastAsia="宋体" w:cs="宋体"/>
          <w:b/>
          <w:bCs/>
          <w:color w:val="auto"/>
          <w:sz w:val="28"/>
          <w:szCs w:val="28"/>
          <w:highlight w:val="none"/>
        </w:rPr>
      </w:pPr>
      <w:bookmarkStart w:id="114" w:name="_Toc5224"/>
      <w:bookmarkStart w:id="115" w:name="_Toc27286"/>
      <w:bookmarkStart w:id="116" w:name="_Toc10946"/>
      <w:bookmarkStart w:id="117" w:name="_Toc14892"/>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询定价及结算</w:t>
      </w:r>
      <w:bookmarkEnd w:id="114"/>
      <w:bookmarkEnd w:id="115"/>
      <w:bookmarkEnd w:id="116"/>
      <w:bookmarkEnd w:id="117"/>
      <w:r>
        <w:rPr>
          <w:rFonts w:hint="eastAsia" w:ascii="宋体" w:hAnsi="宋体" w:eastAsia="宋体" w:cs="宋体"/>
          <w:b/>
          <w:bCs/>
          <w:color w:val="auto"/>
          <w:sz w:val="28"/>
          <w:szCs w:val="28"/>
          <w:highlight w:val="none"/>
        </w:rPr>
        <w:t xml:space="preserve"> </w:t>
      </w:r>
      <w:bookmarkStart w:id="118" w:name="_Toc31985"/>
    </w:p>
    <w:bookmarkEnd w:id="118"/>
    <w:p w14:paraId="772E0C6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（一）询定价</w:t>
      </w:r>
    </w:p>
    <w:p w14:paraId="1DD69E5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采购物资原则上每月询定价1次</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eastAsia="zh-TW"/>
        </w:rPr>
        <w:t>可根据实际情况，调整询定价次数。</w:t>
      </w:r>
    </w:p>
    <w:p w14:paraId="28F6D233">
      <w:pPr>
        <w:pageBreakBefore w:val="0"/>
        <w:widowControl w:val="0"/>
        <w:kinsoku/>
        <w:wordWrap/>
        <w:overflowPunct/>
        <w:topLinePunct w:val="0"/>
        <w:bidi w:val="0"/>
        <w:snapToGrid w:val="0"/>
        <w:spacing w:line="400" w:lineRule="exact"/>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eastAsia="zh-TW"/>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实际结算方式</w:t>
      </w:r>
      <w:r>
        <w:rPr>
          <w:rFonts w:hint="eastAsia" w:ascii="宋体" w:hAnsi="宋体" w:eastAsia="宋体" w:cs="宋体"/>
          <w:color w:val="auto"/>
          <w:sz w:val="24"/>
          <w:highlight w:val="none"/>
          <w:lang w:val="en-US" w:eastAsia="zh-CN"/>
        </w:rPr>
        <w:t>以采购人以附近永辉超市、</w:t>
      </w:r>
      <w:r>
        <w:rPr>
          <w:rFonts w:hint="eastAsia" w:ascii="宋体" w:hAnsi="宋体" w:eastAsia="宋体" w:cs="宋体"/>
          <w:color w:val="auto"/>
          <w:sz w:val="24"/>
          <w:szCs w:val="24"/>
          <w:highlight w:val="none"/>
          <w:lang w:val="en-US" w:eastAsia="zh-CN"/>
        </w:rPr>
        <w:t>佳慧超市或农贸市场等大型市场</w:t>
      </w:r>
      <w:r>
        <w:rPr>
          <w:rFonts w:hint="eastAsia" w:ascii="宋体" w:hAnsi="宋体" w:eastAsia="宋体" w:cs="宋体"/>
          <w:color w:val="auto"/>
          <w:sz w:val="24"/>
          <w:highlight w:val="none"/>
          <w:lang w:val="en-US" w:eastAsia="zh-CN"/>
        </w:rPr>
        <w:t>同品目商品零售价为参照价，若商品销售价上涨，原则上不调整，（服务期内，若配送货物涉及调价，中标人应提供货物生产厂家出具的调价函，经采购人核验通过后，方可调价。采购人有权对中标人提供的资料进行核实，若发现弄虚作假，有权解除服务合同，其履约保证金不予退还。）</w:t>
      </w:r>
    </w:p>
    <w:p w14:paraId="59611B0A">
      <w:pPr>
        <w:pageBreakBefore w:val="0"/>
        <w:widowControl w:val="0"/>
        <w:kinsoku/>
        <w:wordWrap/>
        <w:overflowPunct/>
        <w:topLinePunct w:val="0"/>
        <w:bidi w:val="0"/>
        <w:snapToGrid w:val="0"/>
        <w:spacing w:line="400" w:lineRule="exact"/>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若商品销售价有下浮(以超市商品的正价为准)，则商品结算价需重新调整，具体以采购人要求为准。</w:t>
      </w:r>
    </w:p>
    <w:p w14:paraId="5C1DBE02">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每次询价的时间由采购人确定，每月30日前确定当月的商品基准价。询价表应包含询得商品的基准价及结合中标费率后的确定价。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eastAsia="zh-TW"/>
        </w:rPr>
        <w:t>组织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TW"/>
        </w:rPr>
        <w:t>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学校采购询价小组人员至少2名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及中标人</w:t>
      </w:r>
      <w:r>
        <w:rPr>
          <w:rFonts w:hint="eastAsia" w:ascii="宋体" w:hAnsi="宋体" w:eastAsia="宋体" w:cs="宋体"/>
          <w:color w:val="auto"/>
          <w:sz w:val="24"/>
          <w:szCs w:val="24"/>
          <w:highlight w:val="none"/>
          <w:lang w:eastAsia="zh-TW"/>
        </w:rPr>
        <w:t>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参与。</w:t>
      </w:r>
    </w:p>
    <w:p w14:paraId="00ABB36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个别在超市、市场无法询定价的品种或采购人有特殊要求的货物，可参照其他市场售价，双方协商定价。</w:t>
      </w:r>
    </w:p>
    <w:p w14:paraId="56CD2EF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（二）结算</w:t>
      </w:r>
    </w:p>
    <w:p w14:paraId="4FE3F449">
      <w:pPr>
        <w:keepNext w:val="0"/>
        <w:keepLines w:val="0"/>
        <w:pageBreakBefore w:val="0"/>
        <w:widowControl w:val="0"/>
        <w:tabs>
          <w:tab w:val="left" w:pos="3360"/>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8"/>
          <w:highlight w:val="none"/>
        </w:rPr>
        <w:t>结算价格=结算单价基</w:t>
      </w:r>
      <w:r>
        <w:rPr>
          <w:rFonts w:hint="eastAsia" w:ascii="宋体" w:hAnsi="宋体" w:eastAsia="宋体" w:cs="宋体"/>
          <w:color w:val="auto"/>
          <w:sz w:val="24"/>
          <w:szCs w:val="28"/>
          <w:highlight w:val="none"/>
          <w:lang w:val="en-US" w:eastAsia="zh-CN"/>
        </w:rPr>
        <w:t>准</w:t>
      </w:r>
      <w:r>
        <w:rPr>
          <w:rFonts w:hint="eastAsia" w:ascii="宋体" w:hAnsi="宋体" w:eastAsia="宋体" w:cs="宋体"/>
          <w:color w:val="auto"/>
          <w:sz w:val="24"/>
          <w:szCs w:val="28"/>
          <w:highlight w:val="none"/>
        </w:rPr>
        <w:t>价*实际配送数量*</w:t>
      </w:r>
      <w:r>
        <w:rPr>
          <w:rFonts w:hint="eastAsia" w:ascii="宋体" w:hAnsi="宋体" w:eastAsia="宋体" w:cs="宋体"/>
          <w:color w:val="auto"/>
          <w:sz w:val="24"/>
          <w:szCs w:val="28"/>
          <w:highlight w:val="none"/>
          <w:lang w:val="en-US" w:eastAsia="zh-CN"/>
        </w:rPr>
        <w:t>投标报价费率</w:t>
      </w:r>
      <w:r>
        <w:rPr>
          <w:rFonts w:hint="eastAsia" w:ascii="宋体" w:hAnsi="宋体" w:eastAsia="宋体" w:cs="宋体"/>
          <w:color w:val="auto"/>
          <w:sz w:val="24"/>
          <w:szCs w:val="28"/>
          <w:highlight w:val="none"/>
        </w:rPr>
        <w:t xml:space="preserve"> </w:t>
      </w:r>
      <w:bookmarkStart w:id="119" w:name="_Toc19901"/>
      <w:bookmarkStart w:id="120" w:name="_Toc31699"/>
      <w:bookmarkStart w:id="121" w:name="_Toc19638"/>
      <w:bookmarkStart w:id="122" w:name="_Toc13591"/>
    </w:p>
    <w:p w14:paraId="032B5515">
      <w:pPr>
        <w:pStyle w:val="3"/>
        <w:pageBreakBefore w:val="0"/>
        <w:widowControl w:val="0"/>
        <w:tabs>
          <w:tab w:val="left" w:pos="446"/>
        </w:tabs>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23" w:name="_Toc11217"/>
    </w:p>
    <w:p w14:paraId="76C75500">
      <w:pPr>
        <w:pStyle w:val="3"/>
        <w:pageBreakBefore w:val="0"/>
        <w:widowControl w:val="0"/>
        <w:tabs>
          <w:tab w:val="left" w:pos="446"/>
        </w:tabs>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24" w:name="_Toc16025"/>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付款方式</w:t>
      </w:r>
      <w:bookmarkEnd w:id="119"/>
      <w:bookmarkEnd w:id="120"/>
      <w:bookmarkEnd w:id="121"/>
      <w:bookmarkEnd w:id="122"/>
      <w:bookmarkEnd w:id="123"/>
      <w:bookmarkEnd w:id="124"/>
    </w:p>
    <w:p w14:paraId="3E88B193">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25" w:name="_Toc31146"/>
      <w:bookmarkStart w:id="126" w:name="_Toc14629"/>
      <w:bookmarkStart w:id="127" w:name="_Toc7625"/>
      <w:bookmarkStart w:id="128" w:name="_Toc26951"/>
      <w:bookmarkStart w:id="129" w:name="_Toc27131"/>
      <w:bookmarkStart w:id="130" w:name="_Toc12301"/>
      <w:r>
        <w:rPr>
          <w:rFonts w:hint="eastAsia" w:ascii="宋体" w:hAnsi="宋体" w:eastAsia="宋体" w:cs="宋体"/>
          <w:b w:val="0"/>
          <w:bCs/>
          <w:color w:val="auto"/>
          <w:sz w:val="24"/>
          <w:szCs w:val="24"/>
          <w:highlight w:val="none"/>
          <w:lang w:val="en-US" w:eastAsia="zh-CN"/>
        </w:rPr>
        <w:t>（一）先送货后付款，所有订购商品的配送单，经双方核对无误后，签字确认。</w:t>
      </w:r>
      <w:bookmarkEnd w:id="125"/>
    </w:p>
    <w:p w14:paraId="687739D2">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1" w:name="_Toc18262"/>
      <w:r>
        <w:rPr>
          <w:rFonts w:hint="eastAsia" w:ascii="宋体" w:hAnsi="宋体" w:eastAsia="宋体" w:cs="宋体"/>
          <w:b w:val="0"/>
          <w:bCs/>
          <w:color w:val="auto"/>
          <w:sz w:val="24"/>
          <w:szCs w:val="24"/>
          <w:highlight w:val="none"/>
          <w:lang w:val="en-US" w:eastAsia="zh-CN"/>
        </w:rPr>
        <w:t>（二）按月结算，根据当月送货单数据，据实结算。</w:t>
      </w:r>
      <w:bookmarkEnd w:id="131"/>
    </w:p>
    <w:p w14:paraId="40BC4833">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2" w:name="_Toc13607"/>
      <w:r>
        <w:rPr>
          <w:rFonts w:hint="eastAsia" w:ascii="宋体" w:hAnsi="宋体" w:eastAsia="宋体" w:cs="宋体"/>
          <w:b w:val="0"/>
          <w:bCs/>
          <w:color w:val="auto"/>
          <w:sz w:val="24"/>
          <w:szCs w:val="24"/>
          <w:highlight w:val="none"/>
          <w:lang w:val="en-US" w:eastAsia="zh-CN"/>
        </w:rPr>
        <w:t>（三）成交供应商开具正式税务发票，次月支付上月货款（采购人可根据财务要求调整付款时间），通过银行转账到中标人指定账户。</w:t>
      </w:r>
      <w:bookmarkEnd w:id="132"/>
    </w:p>
    <w:p w14:paraId="302BCD46">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p>
    <w:p w14:paraId="2C8CC3AA">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33" w:name="_Toc11493"/>
      <w:r>
        <w:rPr>
          <w:rFonts w:hint="eastAsia" w:ascii="宋体" w:hAnsi="宋体" w:eastAsia="宋体" w:cs="宋体"/>
          <w:b/>
          <w:color w:val="auto"/>
          <w:sz w:val="24"/>
          <w:szCs w:val="24"/>
          <w:highlight w:val="none"/>
          <w:lang w:val="en-US" w:eastAsia="zh-CN"/>
        </w:rPr>
        <w:t>七、其他</w:t>
      </w:r>
      <w:bookmarkEnd w:id="133"/>
    </w:p>
    <w:p w14:paraId="297CA056">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4" w:name="_Toc28941"/>
      <w:r>
        <w:rPr>
          <w:rFonts w:hint="eastAsia" w:ascii="宋体" w:hAnsi="宋体" w:eastAsia="宋体" w:cs="宋体"/>
          <w:b w:val="0"/>
          <w:bCs/>
          <w:color w:val="auto"/>
          <w:sz w:val="24"/>
          <w:szCs w:val="24"/>
          <w:highlight w:val="none"/>
          <w:lang w:val="en-US" w:eastAsia="zh-CN"/>
        </w:rPr>
        <w:t>（一）其他未尽事宜由供需双方在采购合同中详细约定。</w:t>
      </w:r>
      <w:bookmarkEnd w:id="134"/>
    </w:p>
    <w:p w14:paraId="771DE004">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5" w:name="_Toc5533"/>
      <w:r>
        <w:rPr>
          <w:rFonts w:hint="eastAsia" w:ascii="宋体" w:hAnsi="宋体" w:eastAsia="宋体" w:cs="宋体"/>
          <w:b w:val="0"/>
          <w:bCs/>
          <w:color w:val="auto"/>
          <w:sz w:val="24"/>
          <w:szCs w:val="24"/>
          <w:highlight w:val="none"/>
          <w:lang w:val="en-US" w:eastAsia="zh-CN"/>
        </w:rPr>
        <w:t>（二）如遇国家相关政策调整，服务合同自动终止，双方均不因合同自动终止承担违约责任。</w:t>
      </w:r>
      <w:bookmarkEnd w:id="135"/>
    </w:p>
    <w:p w14:paraId="3AEA3EB9">
      <w:pPr>
        <w:rPr>
          <w:rFonts w:hint="eastAsia" w:ascii="宋体" w:hAnsi="宋体" w:eastAsia="宋体" w:cs="宋体"/>
          <w:color w:val="auto"/>
          <w:lang w:val="en-US" w:eastAsia="zh-CN"/>
        </w:rPr>
      </w:pPr>
    </w:p>
    <w:p w14:paraId="4DD1653B">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36" w:name="_Toc11871"/>
      <w:r>
        <w:rPr>
          <w:rFonts w:hint="eastAsia" w:ascii="宋体" w:hAnsi="宋体" w:eastAsia="宋体" w:cs="宋体"/>
          <w:b/>
          <w:color w:val="auto"/>
          <w:sz w:val="24"/>
          <w:szCs w:val="24"/>
          <w:highlight w:val="none"/>
          <w:lang w:val="en-US" w:eastAsia="zh-CN"/>
        </w:rPr>
        <w:t>八、其他商务要求内容</w:t>
      </w:r>
      <w:bookmarkEnd w:id="126"/>
      <w:bookmarkEnd w:id="127"/>
      <w:bookmarkEnd w:id="128"/>
      <w:bookmarkEnd w:id="129"/>
      <w:bookmarkEnd w:id="130"/>
      <w:bookmarkEnd w:id="136"/>
    </w:p>
    <w:p w14:paraId="75E3315D">
      <w:pPr>
        <w:keepNext w:val="0"/>
        <w:keepLines w:val="0"/>
        <w:pageBreakBefore w:val="0"/>
        <w:widowControl w:val="0"/>
        <w:tabs>
          <w:tab w:val="left" w:pos="3360"/>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w:t>
      </w: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必须在</w:t>
      </w:r>
      <w:r>
        <w:rPr>
          <w:rFonts w:hint="eastAsia" w:ascii="宋体" w:hAnsi="宋体" w:eastAsia="宋体" w:cs="宋体"/>
          <w:color w:val="auto"/>
          <w:sz w:val="24"/>
          <w:szCs w:val="28"/>
          <w:highlight w:val="none"/>
          <w:lang w:val="en-US" w:eastAsia="zh-CN"/>
        </w:rPr>
        <w:t>投标文件</w:t>
      </w:r>
      <w:r>
        <w:rPr>
          <w:rFonts w:hint="eastAsia" w:ascii="宋体" w:hAnsi="宋体" w:eastAsia="宋体" w:cs="宋体"/>
          <w:color w:val="auto"/>
          <w:sz w:val="24"/>
          <w:szCs w:val="28"/>
          <w:highlight w:val="none"/>
        </w:rPr>
        <w:t>中对以上条款和服务承诺明确列出，承诺内容必须达到本篇及</w:t>
      </w:r>
      <w:r>
        <w:rPr>
          <w:rFonts w:hint="eastAsia" w:ascii="宋体" w:hAnsi="宋体" w:eastAsia="宋体" w:cs="宋体"/>
          <w:color w:val="auto"/>
          <w:sz w:val="24"/>
          <w:szCs w:val="28"/>
          <w:highlight w:val="none"/>
          <w:lang w:val="en-US" w:eastAsia="zh-CN"/>
        </w:rPr>
        <w:t>招标文件</w:t>
      </w:r>
      <w:r>
        <w:rPr>
          <w:rFonts w:hint="eastAsia" w:ascii="宋体" w:hAnsi="宋体" w:eastAsia="宋体" w:cs="宋体"/>
          <w:color w:val="auto"/>
          <w:sz w:val="24"/>
          <w:szCs w:val="28"/>
          <w:highlight w:val="none"/>
        </w:rPr>
        <w:t>其他条款的要求。</w:t>
      </w:r>
    </w:p>
    <w:p w14:paraId="317D5F54">
      <w:pPr>
        <w:pStyle w:val="16"/>
        <w:pageBreakBefore w:val="0"/>
        <w:tabs>
          <w:tab w:val="left" w:pos="490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二</w:t>
      </w:r>
      <w:r>
        <w:rPr>
          <w:rFonts w:hint="eastAsia" w:ascii="宋体" w:hAnsi="宋体" w:eastAsia="宋体" w:cs="宋体"/>
          <w:color w:val="auto"/>
          <w:sz w:val="24"/>
          <w:szCs w:val="28"/>
          <w:highlight w:val="none"/>
        </w:rPr>
        <w:t>）其他未尽事宜由供需双方在采购合同中详细约定</w:t>
      </w:r>
      <w:r>
        <w:rPr>
          <w:rFonts w:hint="eastAsia" w:ascii="宋体" w:hAnsi="宋体" w:eastAsia="宋体" w:cs="宋体"/>
          <w:color w:val="auto"/>
          <w:sz w:val="24"/>
          <w:szCs w:val="24"/>
          <w:highlight w:val="none"/>
        </w:rPr>
        <w:t>。</w:t>
      </w:r>
    </w:p>
    <w:p w14:paraId="4A69DB70">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105"/>
    <w:bookmarkEnd w:id="106"/>
    <w:p w14:paraId="5ADC851C">
      <w:pPr>
        <w:pStyle w:val="2"/>
        <w:spacing w:before="0" w:beforeLines="0" w:after="0" w:afterLines="0" w:line="360" w:lineRule="auto"/>
        <w:rPr>
          <w:rFonts w:hint="eastAsia" w:ascii="宋体" w:hAnsi="宋体" w:eastAsia="宋体" w:cs="宋体"/>
          <w:b/>
          <w:bCs/>
          <w:color w:val="auto"/>
          <w:highlight w:val="none"/>
        </w:rPr>
      </w:pPr>
      <w:bookmarkStart w:id="137" w:name="_Toc12577"/>
      <w:bookmarkStart w:id="138" w:name="_Toc20265"/>
      <w:bookmarkStart w:id="139" w:name="_Toc15954"/>
      <w:bookmarkStart w:id="140" w:name="_Toc4732"/>
      <w:r>
        <w:rPr>
          <w:rFonts w:hint="eastAsia" w:ascii="宋体" w:hAnsi="宋体" w:eastAsia="宋体" w:cs="宋体"/>
          <w:b/>
          <w:bCs/>
          <w:color w:val="auto"/>
          <w:highlight w:val="none"/>
        </w:rPr>
        <w:t>第四篇  比选程序及方法、评审标准、无效响应和采购终止</w:t>
      </w:r>
      <w:bookmarkEnd w:id="137"/>
      <w:bookmarkEnd w:id="138"/>
      <w:bookmarkEnd w:id="139"/>
      <w:bookmarkEnd w:id="140"/>
    </w:p>
    <w:p w14:paraId="4EB2A117">
      <w:pPr>
        <w:pStyle w:val="3"/>
        <w:bidi w:val="0"/>
        <w:spacing w:line="360" w:lineRule="auto"/>
        <w:outlineLvl w:val="0"/>
        <w:rPr>
          <w:rFonts w:hint="eastAsia" w:ascii="宋体" w:hAnsi="宋体" w:eastAsia="宋体" w:cs="宋体"/>
          <w:b/>
          <w:bCs/>
          <w:color w:val="auto"/>
          <w:sz w:val="28"/>
          <w:szCs w:val="32"/>
        </w:rPr>
      </w:pPr>
      <w:bookmarkStart w:id="141" w:name="_Toc14285"/>
      <w:bookmarkStart w:id="142" w:name="_Toc29331"/>
      <w:bookmarkStart w:id="143" w:name="_Toc9359"/>
      <w:bookmarkStart w:id="144" w:name="_Toc24443"/>
      <w:bookmarkStart w:id="145" w:name="_Toc492721015"/>
      <w:bookmarkStart w:id="146" w:name="_Toc73632179"/>
      <w:bookmarkStart w:id="147" w:name="_Toc267320057"/>
      <w:r>
        <w:rPr>
          <w:rFonts w:hint="eastAsia" w:ascii="宋体" w:hAnsi="宋体" w:eastAsia="宋体" w:cs="宋体"/>
          <w:b/>
          <w:bCs/>
          <w:color w:val="auto"/>
          <w:sz w:val="28"/>
          <w:szCs w:val="32"/>
        </w:rPr>
        <w:t>一、资格审查</w:t>
      </w:r>
      <w:bookmarkEnd w:id="141"/>
      <w:bookmarkEnd w:id="142"/>
      <w:bookmarkEnd w:id="143"/>
      <w:bookmarkEnd w:id="144"/>
      <w:bookmarkEnd w:id="145"/>
      <w:bookmarkEnd w:id="146"/>
    </w:p>
    <w:p w14:paraId="0609189C">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依据政府采购相关法律法规规定,由</w:t>
      </w:r>
      <w:r>
        <w:rPr>
          <w:rFonts w:hint="eastAsia" w:ascii="宋体" w:hAnsi="宋体" w:eastAsia="宋体" w:cs="宋体"/>
          <w:color w:val="auto"/>
          <w:kern w:val="0"/>
          <w:sz w:val="24"/>
          <w:szCs w:val="24"/>
          <w:highlight w:val="none"/>
          <w:lang w:val="en-US" w:eastAsia="zh-CN"/>
        </w:rPr>
        <w:t>比选小组</w:t>
      </w:r>
      <w:r>
        <w:rPr>
          <w:rFonts w:hint="eastAsia" w:ascii="宋体" w:hAnsi="宋体" w:eastAsia="宋体" w:cs="宋体"/>
          <w:color w:val="auto"/>
          <w:kern w:val="0"/>
          <w:sz w:val="24"/>
          <w:szCs w:val="24"/>
          <w:highlight w:val="none"/>
        </w:rPr>
        <w:t>对投标文件中的资格证明文件进行审查。资格审查资料表如下：</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969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3351019">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18D0A06">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201ABE7">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685A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E2EECD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09" w:type="dxa"/>
            <w:vMerge w:val="restart"/>
            <w:vAlign w:val="center"/>
          </w:tcPr>
          <w:p w14:paraId="25FBDA43">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3118" w:type="dxa"/>
            <w:vAlign w:val="center"/>
          </w:tcPr>
          <w:p w14:paraId="6AE21A3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984" w:type="dxa"/>
            <w:vAlign w:val="center"/>
          </w:tcPr>
          <w:p w14:paraId="3E1096C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14:paraId="69A8883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法定代表人身份证明和法定代表人授权代表委托书。</w:t>
            </w:r>
          </w:p>
        </w:tc>
      </w:tr>
      <w:tr w14:paraId="4467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05AC4C">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508EE8D5">
            <w:pPr>
              <w:spacing w:line="240" w:lineRule="auto"/>
              <w:rPr>
                <w:rFonts w:hint="eastAsia" w:ascii="宋体" w:hAnsi="宋体" w:eastAsia="宋体" w:cs="宋体"/>
                <w:color w:val="auto"/>
                <w:sz w:val="24"/>
                <w:szCs w:val="24"/>
                <w:highlight w:val="none"/>
                <w:lang w:val="zh-CN"/>
              </w:rPr>
            </w:pPr>
          </w:p>
        </w:tc>
        <w:tc>
          <w:tcPr>
            <w:tcW w:w="3118" w:type="dxa"/>
            <w:vAlign w:val="center"/>
          </w:tcPr>
          <w:p w14:paraId="35A79C2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984" w:type="dxa"/>
            <w:vMerge w:val="restart"/>
            <w:vAlign w:val="center"/>
          </w:tcPr>
          <w:p w14:paraId="5354D1B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提供“基本资格条件承诺函”（详见第七篇）</w:t>
            </w:r>
          </w:p>
        </w:tc>
      </w:tr>
      <w:tr w14:paraId="37F4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C4327D">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06C11183">
            <w:pPr>
              <w:spacing w:line="240" w:lineRule="auto"/>
              <w:rPr>
                <w:rFonts w:hint="eastAsia" w:ascii="宋体" w:hAnsi="宋体" w:eastAsia="宋体" w:cs="宋体"/>
                <w:color w:val="auto"/>
                <w:sz w:val="24"/>
                <w:szCs w:val="24"/>
                <w:highlight w:val="none"/>
                <w:lang w:val="zh-CN"/>
              </w:rPr>
            </w:pPr>
          </w:p>
        </w:tc>
        <w:tc>
          <w:tcPr>
            <w:tcW w:w="3118" w:type="dxa"/>
            <w:vAlign w:val="center"/>
          </w:tcPr>
          <w:p w14:paraId="46710DB3">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984" w:type="dxa"/>
            <w:vMerge w:val="continue"/>
            <w:vAlign w:val="center"/>
          </w:tcPr>
          <w:p w14:paraId="69A89CA6">
            <w:pPr>
              <w:spacing w:line="240" w:lineRule="auto"/>
              <w:rPr>
                <w:rFonts w:hint="eastAsia" w:ascii="宋体" w:hAnsi="宋体" w:eastAsia="宋体" w:cs="宋体"/>
                <w:color w:val="auto"/>
                <w:sz w:val="24"/>
                <w:szCs w:val="24"/>
                <w:highlight w:val="none"/>
              </w:rPr>
            </w:pPr>
          </w:p>
        </w:tc>
      </w:tr>
      <w:tr w14:paraId="5CB1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A3A964">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66BE4471">
            <w:pPr>
              <w:spacing w:line="240" w:lineRule="auto"/>
              <w:rPr>
                <w:rFonts w:hint="eastAsia" w:ascii="宋体" w:hAnsi="宋体" w:eastAsia="宋体" w:cs="宋体"/>
                <w:color w:val="auto"/>
                <w:sz w:val="24"/>
                <w:szCs w:val="24"/>
                <w:highlight w:val="none"/>
                <w:lang w:val="zh-CN"/>
              </w:rPr>
            </w:pPr>
          </w:p>
        </w:tc>
        <w:tc>
          <w:tcPr>
            <w:tcW w:w="3118" w:type="dxa"/>
            <w:vAlign w:val="center"/>
          </w:tcPr>
          <w:p w14:paraId="1240B26C">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984" w:type="dxa"/>
            <w:vMerge w:val="continue"/>
            <w:vAlign w:val="center"/>
          </w:tcPr>
          <w:p w14:paraId="0A275A99">
            <w:pPr>
              <w:spacing w:line="240" w:lineRule="auto"/>
              <w:rPr>
                <w:rFonts w:hint="eastAsia" w:ascii="宋体" w:hAnsi="宋体" w:eastAsia="宋体" w:cs="宋体"/>
                <w:color w:val="auto"/>
                <w:sz w:val="24"/>
                <w:szCs w:val="24"/>
                <w:highlight w:val="none"/>
              </w:rPr>
            </w:pPr>
          </w:p>
        </w:tc>
      </w:tr>
      <w:tr w14:paraId="3105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6C383E">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56737C59">
            <w:pPr>
              <w:spacing w:line="240" w:lineRule="auto"/>
              <w:rPr>
                <w:rFonts w:hint="eastAsia" w:ascii="宋体" w:hAnsi="宋体" w:eastAsia="宋体" w:cs="宋体"/>
                <w:color w:val="auto"/>
                <w:sz w:val="24"/>
                <w:szCs w:val="24"/>
                <w:highlight w:val="none"/>
                <w:lang w:val="zh-CN"/>
              </w:rPr>
            </w:pPr>
          </w:p>
        </w:tc>
        <w:tc>
          <w:tcPr>
            <w:tcW w:w="3118" w:type="dxa"/>
            <w:vAlign w:val="center"/>
          </w:tcPr>
          <w:p w14:paraId="5BB1E2DF">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position w:val="0"/>
                <w:sz w:val="24"/>
                <w:szCs w:val="24"/>
                <w:highlight w:val="none"/>
              </w:rPr>
              <w:instrText xml:space="preserve">,2)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w:t>
            </w:r>
          </w:p>
        </w:tc>
        <w:tc>
          <w:tcPr>
            <w:tcW w:w="4984" w:type="dxa"/>
            <w:vMerge w:val="continue"/>
            <w:vAlign w:val="center"/>
          </w:tcPr>
          <w:p w14:paraId="5BA2551C">
            <w:pPr>
              <w:spacing w:line="240" w:lineRule="auto"/>
              <w:rPr>
                <w:rFonts w:hint="eastAsia" w:ascii="宋体" w:hAnsi="宋体" w:eastAsia="宋体" w:cs="宋体"/>
                <w:color w:val="auto"/>
                <w:sz w:val="24"/>
                <w:szCs w:val="24"/>
                <w:highlight w:val="none"/>
              </w:rPr>
            </w:pPr>
          </w:p>
        </w:tc>
      </w:tr>
      <w:tr w14:paraId="1770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1C155A8">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64CC91A4">
            <w:pPr>
              <w:spacing w:line="240" w:lineRule="auto"/>
              <w:rPr>
                <w:rFonts w:hint="eastAsia" w:ascii="宋体" w:hAnsi="宋体" w:eastAsia="宋体" w:cs="宋体"/>
                <w:color w:val="auto"/>
                <w:sz w:val="24"/>
                <w:szCs w:val="24"/>
                <w:highlight w:val="none"/>
              </w:rPr>
            </w:pPr>
          </w:p>
        </w:tc>
        <w:tc>
          <w:tcPr>
            <w:tcW w:w="3118" w:type="dxa"/>
            <w:vAlign w:val="center"/>
          </w:tcPr>
          <w:p w14:paraId="44870D4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984" w:type="dxa"/>
            <w:vAlign w:val="center"/>
          </w:tcPr>
          <w:p w14:paraId="097D14CE">
            <w:pPr>
              <w:spacing w:line="240" w:lineRule="auto"/>
              <w:jc w:val="center"/>
              <w:rPr>
                <w:rFonts w:hint="eastAsia" w:ascii="宋体" w:hAnsi="宋体" w:eastAsia="宋体" w:cs="宋体"/>
                <w:color w:val="auto"/>
                <w:sz w:val="24"/>
                <w:szCs w:val="24"/>
                <w:highlight w:val="none"/>
              </w:rPr>
            </w:pPr>
          </w:p>
        </w:tc>
      </w:tr>
      <w:tr w14:paraId="08A9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B4A9F73">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037BCA31">
            <w:pPr>
              <w:spacing w:line="240" w:lineRule="auto"/>
              <w:rPr>
                <w:rFonts w:hint="eastAsia" w:ascii="宋体" w:hAnsi="宋体" w:eastAsia="宋体" w:cs="宋体"/>
                <w:color w:val="auto"/>
                <w:sz w:val="24"/>
                <w:szCs w:val="24"/>
                <w:highlight w:val="none"/>
              </w:rPr>
            </w:pPr>
          </w:p>
        </w:tc>
        <w:tc>
          <w:tcPr>
            <w:tcW w:w="3118" w:type="dxa"/>
            <w:vAlign w:val="center"/>
          </w:tcPr>
          <w:p w14:paraId="6F1B2BA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7.本项目的特定资格要求</w:t>
            </w:r>
          </w:p>
        </w:tc>
        <w:tc>
          <w:tcPr>
            <w:tcW w:w="4984" w:type="dxa"/>
            <w:vAlign w:val="center"/>
          </w:tcPr>
          <w:p w14:paraId="2731D858">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按第一篇“三、投标人资格要求（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）本项目的特定资格要求”的要求提交（如果有）。</w:t>
            </w:r>
          </w:p>
        </w:tc>
      </w:tr>
      <w:tr w14:paraId="129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D302C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827" w:type="dxa"/>
            <w:gridSpan w:val="2"/>
            <w:vAlign w:val="center"/>
          </w:tcPr>
          <w:p w14:paraId="61F98E2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984" w:type="dxa"/>
            <w:vAlign w:val="center"/>
          </w:tcPr>
          <w:p w14:paraId="6BCE498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按第一篇“三、投标人资格要求（二）落实政府采购政策需满足的资格要求”的要求提交（如果有）。</w:t>
            </w:r>
          </w:p>
        </w:tc>
      </w:tr>
      <w:tr w14:paraId="3E4D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9B5C6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827" w:type="dxa"/>
            <w:gridSpan w:val="2"/>
            <w:vAlign w:val="center"/>
          </w:tcPr>
          <w:p w14:paraId="2033D78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984" w:type="dxa"/>
            <w:vAlign w:val="center"/>
          </w:tcPr>
          <w:p w14:paraId="0165C10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3866FECF">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1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按“三证合一”登记制度办理营业执照的，组织机构代码证和税务登记证以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所提供的法人营业执照（副本）复印件为准。</w:t>
      </w:r>
    </w:p>
    <w:p w14:paraId="3BA50874">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2 \* GB3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②</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应对所提供的全部资料的真实性负责，如提供虚假材料，一经查实，将取消比选资格或</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资格，并且其比选保证金不予退还，并按照相关法律法规的规定进行处理。</w:t>
      </w:r>
    </w:p>
    <w:p w14:paraId="3E243BD9">
      <w:pPr>
        <w:pStyle w:val="2"/>
        <w:bidi w:val="0"/>
        <w:spacing w:line="360" w:lineRule="auto"/>
        <w:rPr>
          <w:rFonts w:hint="eastAsia" w:ascii="宋体" w:hAnsi="宋体" w:eastAsia="宋体" w:cs="宋体"/>
          <w:color w:val="auto"/>
        </w:rPr>
      </w:pPr>
      <w:bookmarkStart w:id="148" w:name="_Toc10854"/>
      <w:bookmarkStart w:id="149" w:name="_Toc492721016"/>
      <w:bookmarkStart w:id="150" w:name="_Toc6849"/>
      <w:bookmarkStart w:id="151" w:name="_Toc73632180"/>
      <w:bookmarkStart w:id="152" w:name="_Toc28329"/>
      <w:bookmarkStart w:id="153" w:name="_Toc14664"/>
      <w:r>
        <w:rPr>
          <w:rFonts w:hint="eastAsia" w:ascii="宋体" w:hAnsi="宋体" w:eastAsia="宋体" w:cs="宋体"/>
          <w:color w:val="auto"/>
        </w:rPr>
        <w:t>二、评审方法</w:t>
      </w:r>
      <w:bookmarkEnd w:id="148"/>
      <w:bookmarkEnd w:id="149"/>
      <w:bookmarkEnd w:id="150"/>
      <w:bookmarkEnd w:id="151"/>
      <w:bookmarkEnd w:id="152"/>
      <w:bookmarkEnd w:id="153"/>
    </w:p>
    <w:p w14:paraId="28623A6D">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本项目采用综合评分法进行评审。</w:t>
      </w:r>
    </w:p>
    <w:p w14:paraId="1641B80A">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综合评分法，是指投标文件满足比选文件全部实质性要求且按照评审因素的量化指标评审得分最高的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的评审方法。</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总得分为价格、商务、服务等评定因素分别按照相应权重值计算分项得分后相加，满分为100分。</w:t>
      </w:r>
    </w:p>
    <w:p w14:paraId="11DD59A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（一）符合性审查</w:t>
      </w:r>
    </w:p>
    <w:p w14:paraId="5B1B23B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评审小组应当对符合资格的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的投标文件进行符合性审查，以确定其是否满足竞争性比选文件的实质性要求。符合性审查资料表如下：</w:t>
      </w:r>
    </w:p>
    <w:tbl>
      <w:tblPr>
        <w:tblStyle w:val="27"/>
        <w:tblW w:w="94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2"/>
        <w:gridCol w:w="1809"/>
        <w:gridCol w:w="5409"/>
      </w:tblGrid>
      <w:tr w14:paraId="5AD0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8" w:type="dxa"/>
            <w:vAlign w:val="center"/>
          </w:tcPr>
          <w:p w14:paraId="1D4EB5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351" w:type="dxa"/>
            <w:gridSpan w:val="2"/>
            <w:vAlign w:val="center"/>
          </w:tcPr>
          <w:p w14:paraId="1C429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33B97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3A87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Merge w:val="restart"/>
            <w:vAlign w:val="center"/>
          </w:tcPr>
          <w:p w14:paraId="45A892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42" w:type="dxa"/>
            <w:vMerge w:val="restart"/>
            <w:vAlign w:val="center"/>
          </w:tcPr>
          <w:p w14:paraId="2E027A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809" w:type="dxa"/>
            <w:vAlign w:val="center"/>
          </w:tcPr>
          <w:p w14:paraId="342567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投标文件签署</w:t>
            </w:r>
          </w:p>
        </w:tc>
        <w:tc>
          <w:tcPr>
            <w:tcW w:w="5409" w:type="dxa"/>
            <w:vAlign w:val="center"/>
          </w:tcPr>
          <w:p w14:paraId="44ECA8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投标文件上法定代表人或其授权代表人的签字齐全。</w:t>
            </w:r>
          </w:p>
        </w:tc>
      </w:tr>
      <w:tr w14:paraId="71E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vMerge w:val="continue"/>
            <w:vAlign w:val="center"/>
          </w:tcPr>
          <w:p w14:paraId="706A0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542" w:type="dxa"/>
            <w:vMerge w:val="continue"/>
            <w:vAlign w:val="center"/>
          </w:tcPr>
          <w:p w14:paraId="26A8A9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p>
        </w:tc>
        <w:tc>
          <w:tcPr>
            <w:tcW w:w="1809" w:type="dxa"/>
            <w:vAlign w:val="center"/>
          </w:tcPr>
          <w:p w14:paraId="1EBD20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参选</w:t>
            </w:r>
            <w:r>
              <w:rPr>
                <w:rFonts w:hint="eastAsia" w:ascii="宋体" w:hAnsi="宋体" w:eastAsia="宋体" w:cs="宋体"/>
                <w:color w:val="auto"/>
                <w:sz w:val="24"/>
                <w:szCs w:val="24"/>
                <w:highlight w:val="none"/>
                <w:lang w:val="zh-CN"/>
              </w:rPr>
              <w:t>方案</w:t>
            </w:r>
          </w:p>
        </w:tc>
        <w:tc>
          <w:tcPr>
            <w:tcW w:w="5409" w:type="dxa"/>
            <w:vAlign w:val="center"/>
          </w:tcPr>
          <w:p w14:paraId="16DD84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每个包只能有一个方案参选。</w:t>
            </w:r>
          </w:p>
        </w:tc>
      </w:tr>
      <w:tr w14:paraId="6775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8" w:type="dxa"/>
            <w:vMerge w:val="continue"/>
            <w:vAlign w:val="center"/>
          </w:tcPr>
          <w:p w14:paraId="10F848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542" w:type="dxa"/>
            <w:vMerge w:val="continue"/>
            <w:vAlign w:val="center"/>
          </w:tcPr>
          <w:p w14:paraId="428EA7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p>
        </w:tc>
        <w:tc>
          <w:tcPr>
            <w:tcW w:w="1809" w:type="dxa"/>
            <w:vAlign w:val="center"/>
          </w:tcPr>
          <w:p w14:paraId="216CEC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460554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4059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8" w:type="dxa"/>
            <w:vAlign w:val="center"/>
          </w:tcPr>
          <w:p w14:paraId="62A6D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2" w:type="dxa"/>
            <w:vAlign w:val="center"/>
          </w:tcPr>
          <w:p w14:paraId="515C23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809" w:type="dxa"/>
            <w:vAlign w:val="center"/>
          </w:tcPr>
          <w:p w14:paraId="1AA8E2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投标文件份数</w:t>
            </w:r>
          </w:p>
        </w:tc>
        <w:tc>
          <w:tcPr>
            <w:tcW w:w="5409" w:type="dxa"/>
            <w:vAlign w:val="center"/>
          </w:tcPr>
          <w:p w14:paraId="72302F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投标文件正、副本、</w:t>
            </w:r>
            <w:r>
              <w:rPr>
                <w:rFonts w:hint="eastAsia" w:ascii="宋体" w:hAnsi="宋体" w:eastAsia="宋体" w:cs="宋体"/>
                <w:color w:val="auto"/>
                <w:sz w:val="24"/>
                <w:szCs w:val="24"/>
                <w:highlight w:val="none"/>
                <w:lang w:val="en-US" w:eastAsia="zh-CN"/>
              </w:rPr>
              <w:t>电子文档</w:t>
            </w:r>
            <w:r>
              <w:rPr>
                <w:rFonts w:hint="eastAsia" w:ascii="宋体" w:hAnsi="宋体" w:eastAsia="宋体" w:cs="宋体"/>
                <w:color w:val="auto"/>
                <w:sz w:val="24"/>
                <w:szCs w:val="24"/>
                <w:highlight w:val="none"/>
                <w:lang w:val="zh-CN"/>
              </w:rPr>
              <w:t>数量符合比选文件要求。</w:t>
            </w:r>
          </w:p>
        </w:tc>
      </w:tr>
      <w:tr w14:paraId="70C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dxa"/>
            <w:vAlign w:val="center"/>
          </w:tcPr>
          <w:p w14:paraId="1B41C4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2" w:type="dxa"/>
            <w:vAlign w:val="center"/>
          </w:tcPr>
          <w:p w14:paraId="6F4848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服务部分</w:t>
            </w:r>
          </w:p>
        </w:tc>
        <w:tc>
          <w:tcPr>
            <w:tcW w:w="1809" w:type="dxa"/>
            <w:vAlign w:val="center"/>
          </w:tcPr>
          <w:p w14:paraId="09BC46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6D3623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本比选文件第二篇规定的比选内容作出响应</w:t>
            </w:r>
          </w:p>
        </w:tc>
      </w:tr>
      <w:tr w14:paraId="4F03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D0E7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42" w:type="dxa"/>
            <w:vAlign w:val="center"/>
          </w:tcPr>
          <w:p w14:paraId="1287CF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p>
        </w:tc>
        <w:tc>
          <w:tcPr>
            <w:tcW w:w="1809" w:type="dxa"/>
            <w:vAlign w:val="center"/>
          </w:tcPr>
          <w:p w14:paraId="1CDDB2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698A98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本比选文件第三篇规定的比选内容作出响应</w:t>
            </w:r>
          </w:p>
        </w:tc>
      </w:tr>
      <w:tr w14:paraId="66C3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AC62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42" w:type="dxa"/>
            <w:vAlign w:val="center"/>
          </w:tcPr>
          <w:p w14:paraId="2288E5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选有效期</w:t>
            </w:r>
          </w:p>
        </w:tc>
        <w:tc>
          <w:tcPr>
            <w:tcW w:w="1809" w:type="dxa"/>
            <w:vAlign w:val="center"/>
          </w:tcPr>
          <w:p w14:paraId="6ED054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3EBF1E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选有效期为</w:t>
            </w: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选截止日期后九十天内</w:t>
            </w:r>
          </w:p>
        </w:tc>
      </w:tr>
    </w:tbl>
    <w:p w14:paraId="4B3205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（二）澄清有关问题。对投标文件中含义不明确、同类问题表述不一致或者有明显文字和计算错误的内容，评审小组可以书面形式（应当由评审小组成员签字）要求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作出必要澄清、说明或者纠正。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的澄清、说明或者补正应当采用书面形式，由其法定代表人或法定代表人授权代表签字，其澄清的内容不得超出比选文件的范围或者改变比选文件的实质性内容。</w:t>
      </w:r>
    </w:p>
    <w:p w14:paraId="008800B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（三）比较与评价。按竞争性比选文件中规定的评审方法和标准，对资格审查和符合性审查合格的投标文件分别进行商务、价格评分。</w:t>
      </w:r>
    </w:p>
    <w:p w14:paraId="5FF324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评审小组各成员独立对每个有效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（通过资格审查、</w:t>
      </w:r>
      <w:r>
        <w:rPr>
          <w:rFonts w:hint="eastAsia" w:ascii="宋体" w:hAnsi="宋体" w:eastAsia="宋体" w:cs="宋体"/>
          <w:color w:val="auto"/>
          <w:kern w:val="0"/>
          <w:sz w:val="24"/>
          <w:szCs w:val="24"/>
          <w:highlight w:val="none"/>
        </w:rPr>
        <w:t>符合性审查的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sz w:val="24"/>
          <w:szCs w:val="24"/>
          <w:highlight w:val="none"/>
        </w:rPr>
        <w:t>）的投标文件进行评价、打分，然后由评审小组对各成员打分情况进行核查及复核，个别成员对同一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同一评分项的打分偏离较大的，应对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的投标文件进行再次核对，确属打分有误的，应及时进行修正。复核后，评审小组汇总每个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每项评分因素的得分。</w:t>
      </w:r>
    </w:p>
    <w:p w14:paraId="19FF519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A7879E4">
      <w:pPr>
        <w:pStyle w:val="2"/>
        <w:numPr>
          <w:ilvl w:val="0"/>
          <w:numId w:val="6"/>
        </w:numPr>
        <w:bidi w:val="0"/>
        <w:spacing w:line="360" w:lineRule="auto"/>
        <w:rPr>
          <w:rFonts w:hint="eastAsia" w:ascii="宋体" w:hAnsi="宋体" w:eastAsia="宋体" w:cs="宋体"/>
          <w:color w:val="auto"/>
        </w:rPr>
      </w:pPr>
      <w:bookmarkStart w:id="154" w:name="_Toc25501"/>
      <w:bookmarkStart w:id="155" w:name="_Toc2389"/>
      <w:bookmarkStart w:id="156" w:name="_Toc11645"/>
      <w:bookmarkStart w:id="157" w:name="_Toc3558"/>
      <w:r>
        <w:rPr>
          <w:rFonts w:hint="eastAsia" w:ascii="宋体" w:hAnsi="宋体" w:eastAsia="宋体" w:cs="宋体"/>
          <w:color w:val="auto"/>
        </w:rPr>
        <w:t>评审标准</w:t>
      </w:r>
      <w:bookmarkEnd w:id="154"/>
      <w:bookmarkEnd w:id="155"/>
      <w:bookmarkEnd w:id="156"/>
      <w:bookmarkEnd w:id="157"/>
    </w:p>
    <w:bookmarkEnd w:id="147"/>
    <w:tbl>
      <w:tblPr>
        <w:tblStyle w:val="2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99"/>
        <w:gridCol w:w="943"/>
        <w:gridCol w:w="3643"/>
        <w:gridCol w:w="3112"/>
      </w:tblGrid>
      <w:tr w14:paraId="004F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0FC857D1">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bookmarkStart w:id="158" w:name="_Toc439685496"/>
            <w:r>
              <w:rPr>
                <w:rStyle w:val="56"/>
                <w:rFonts w:hint="eastAsia" w:ascii="宋体" w:hAnsi="宋体" w:eastAsia="宋体" w:cs="宋体"/>
                <w:b/>
                <w:color w:val="auto"/>
                <w:sz w:val="24"/>
                <w:szCs w:val="24"/>
                <w:highlight w:val="none"/>
              </w:rPr>
              <w:t>序号</w:t>
            </w:r>
          </w:p>
        </w:tc>
        <w:tc>
          <w:tcPr>
            <w:tcW w:w="1399" w:type="dxa"/>
            <w:noWrap w:val="0"/>
            <w:vAlign w:val="center"/>
          </w:tcPr>
          <w:p w14:paraId="20119E75">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评分因素及权重</w:t>
            </w:r>
          </w:p>
        </w:tc>
        <w:tc>
          <w:tcPr>
            <w:tcW w:w="943" w:type="dxa"/>
            <w:noWrap w:val="0"/>
            <w:vAlign w:val="center"/>
          </w:tcPr>
          <w:p w14:paraId="602C6234">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分值</w:t>
            </w:r>
          </w:p>
        </w:tc>
        <w:tc>
          <w:tcPr>
            <w:tcW w:w="3643" w:type="dxa"/>
            <w:noWrap w:val="0"/>
            <w:vAlign w:val="center"/>
          </w:tcPr>
          <w:p w14:paraId="7C93474C">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评分标准</w:t>
            </w:r>
          </w:p>
        </w:tc>
        <w:tc>
          <w:tcPr>
            <w:tcW w:w="3112" w:type="dxa"/>
            <w:noWrap w:val="0"/>
            <w:vAlign w:val="center"/>
          </w:tcPr>
          <w:p w14:paraId="7401246E">
            <w:pPr>
              <w:pStyle w:val="68"/>
              <w:keepNext w:val="0"/>
              <w:keepLines w:val="0"/>
              <w:pageBreakBefore w:val="0"/>
              <w:shd w:val="clear"/>
              <w:kinsoku/>
              <w:wordWrap/>
              <w:overflowPunct/>
              <w:topLinePunct w:val="0"/>
              <w:autoSpaceDE/>
              <w:autoSpaceDN/>
              <w:bidi w:val="0"/>
              <w:adjustRightInd/>
              <w:snapToGrid w:val="0"/>
              <w:spacing w:before="0" w:after="0" w:line="240" w:lineRule="auto"/>
              <w:ind w:left="0" w:leftChars="0" w:firstLine="0" w:firstLineChars="0"/>
              <w:jc w:val="center"/>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说明</w:t>
            </w:r>
          </w:p>
        </w:tc>
      </w:tr>
      <w:tr w14:paraId="54EE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24BC653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1</w:t>
            </w:r>
          </w:p>
        </w:tc>
        <w:tc>
          <w:tcPr>
            <w:tcW w:w="1399" w:type="dxa"/>
            <w:noWrap w:val="0"/>
            <w:vAlign w:val="center"/>
          </w:tcPr>
          <w:p w14:paraId="6E38058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lang w:val="en-US" w:eastAsia="zh-CN"/>
              </w:rPr>
            </w:pPr>
            <w:r>
              <w:rPr>
                <w:rStyle w:val="56"/>
                <w:rFonts w:hint="eastAsia" w:ascii="宋体" w:hAnsi="宋体" w:eastAsia="宋体" w:cs="宋体"/>
                <w:color w:val="auto"/>
                <w:sz w:val="24"/>
                <w:szCs w:val="24"/>
                <w:highlight w:val="none"/>
              </w:rPr>
              <w:t>报价</w:t>
            </w:r>
            <w:r>
              <w:rPr>
                <w:rStyle w:val="56"/>
                <w:rFonts w:hint="eastAsia" w:ascii="宋体" w:hAnsi="宋体" w:eastAsia="宋体" w:cs="宋体"/>
                <w:color w:val="auto"/>
                <w:sz w:val="24"/>
                <w:szCs w:val="24"/>
                <w:highlight w:val="none"/>
                <w:lang w:val="en-US" w:eastAsia="zh-CN"/>
              </w:rPr>
              <w:t>部分</w:t>
            </w:r>
          </w:p>
          <w:p w14:paraId="36CC914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w:t>
            </w:r>
            <w:r>
              <w:rPr>
                <w:rStyle w:val="56"/>
                <w:rFonts w:hint="eastAsia" w:ascii="宋体" w:hAnsi="宋体" w:eastAsia="宋体" w:cs="宋体"/>
                <w:color w:val="auto"/>
                <w:sz w:val="24"/>
                <w:szCs w:val="24"/>
                <w:highlight w:val="none"/>
                <w:lang w:val="en-US" w:eastAsia="zh-CN"/>
              </w:rPr>
              <w:t>30</w:t>
            </w:r>
            <w:r>
              <w:rPr>
                <w:rStyle w:val="56"/>
                <w:rFonts w:hint="eastAsia" w:ascii="宋体" w:hAnsi="宋体" w:eastAsia="宋体" w:cs="宋体"/>
                <w:color w:val="auto"/>
                <w:sz w:val="24"/>
                <w:szCs w:val="24"/>
                <w:highlight w:val="none"/>
              </w:rPr>
              <w:t>%）</w:t>
            </w:r>
          </w:p>
        </w:tc>
        <w:tc>
          <w:tcPr>
            <w:tcW w:w="943" w:type="dxa"/>
            <w:noWrap w:val="0"/>
            <w:vAlign w:val="center"/>
          </w:tcPr>
          <w:p w14:paraId="6D2E8BCB">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30分</w:t>
            </w:r>
          </w:p>
          <w:p w14:paraId="7DB8A603">
            <w:pPr>
              <w:ind w:firstLine="420" w:firstLineChars="200"/>
              <w:rPr>
                <w:rFonts w:hint="eastAsia" w:ascii="宋体" w:hAnsi="宋体" w:eastAsia="宋体" w:cs="宋体"/>
                <w:color w:val="auto"/>
                <w:sz w:val="24"/>
                <w:szCs w:val="24"/>
              </w:rPr>
            </w:pPr>
            <w:r>
              <w:rPr>
                <w:rFonts w:hint="eastAsia" w:ascii="宋体" w:hAnsi="宋体" w:eastAsia="宋体" w:cs="宋体"/>
                <w:color w:val="auto"/>
                <w:sz w:val="21"/>
                <w:szCs w:val="21"/>
                <w:lang w:val="en-US" w:eastAsia="zh-CN"/>
              </w:rPr>
              <w:t xml:space="preserve"> </w:t>
            </w:r>
          </w:p>
        </w:tc>
        <w:tc>
          <w:tcPr>
            <w:tcW w:w="3643" w:type="dxa"/>
            <w:noWrap w:val="0"/>
            <w:vAlign w:val="center"/>
          </w:tcPr>
          <w:p w14:paraId="63A48156">
            <w:pPr>
              <w:rPr>
                <w:rFonts w:hint="eastAsia" w:ascii="宋体" w:hAnsi="宋体" w:eastAsia="宋体" w:cs="宋体"/>
                <w:color w:val="auto"/>
                <w:sz w:val="24"/>
                <w:szCs w:val="24"/>
              </w:rPr>
            </w:pPr>
            <w:r>
              <w:rPr>
                <w:rFonts w:hint="eastAsia" w:ascii="宋体" w:hAnsi="宋体" w:eastAsia="宋体" w:cs="宋体"/>
                <w:color w:val="auto"/>
                <w:sz w:val="24"/>
                <w:szCs w:val="24"/>
              </w:rPr>
              <w:t>有效的投标报价中折扣百分比最低（优惠最大）的为评标基准价，按照下列公式计算每个投标人的投标价格得分。</w:t>
            </w:r>
          </w:p>
          <w:p w14:paraId="27889BFE">
            <w:pPr>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投标报价得分＝（评标基准价/投标报价折扣）×价格权重×100。</w:t>
            </w:r>
          </w:p>
        </w:tc>
        <w:tc>
          <w:tcPr>
            <w:tcW w:w="3112" w:type="dxa"/>
            <w:noWrap w:val="0"/>
            <w:vAlign w:val="center"/>
          </w:tcPr>
          <w:p w14:paraId="64865AE6">
            <w:pPr>
              <w:ind w:left="-38"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注：得分保留至小数点后两位，小数点后第三位四舍五入。超过限价报价视为无效响应。</w:t>
            </w:r>
          </w:p>
        </w:tc>
      </w:tr>
      <w:tr w14:paraId="0D87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53044A6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2</w:t>
            </w:r>
          </w:p>
        </w:tc>
        <w:tc>
          <w:tcPr>
            <w:tcW w:w="1399" w:type="dxa"/>
            <w:noWrap w:val="0"/>
            <w:vAlign w:val="center"/>
          </w:tcPr>
          <w:p w14:paraId="768918F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r>
              <w:rPr>
                <w:rStyle w:val="56"/>
                <w:rFonts w:hint="eastAsia" w:ascii="宋体" w:hAnsi="宋体" w:eastAsia="宋体" w:cs="宋体"/>
                <w:color w:val="auto"/>
                <w:sz w:val="24"/>
                <w:szCs w:val="24"/>
                <w:highlight w:val="none"/>
              </w:rPr>
              <w:t>服务部分</w:t>
            </w:r>
          </w:p>
          <w:p w14:paraId="06EC7BC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w:t>
            </w:r>
            <w:r>
              <w:rPr>
                <w:rStyle w:val="56"/>
                <w:rFonts w:hint="eastAsia" w:ascii="宋体" w:hAnsi="宋体" w:eastAsia="宋体" w:cs="宋体"/>
                <w:color w:val="auto"/>
                <w:sz w:val="24"/>
                <w:szCs w:val="24"/>
                <w:highlight w:val="none"/>
                <w:lang w:val="en-US" w:eastAsia="zh-CN"/>
              </w:rPr>
              <w:t>50</w:t>
            </w:r>
            <w:r>
              <w:rPr>
                <w:rStyle w:val="56"/>
                <w:rFonts w:hint="eastAsia" w:ascii="宋体" w:hAnsi="宋体" w:eastAsia="宋体" w:cs="宋体"/>
                <w:color w:val="auto"/>
                <w:sz w:val="24"/>
                <w:szCs w:val="24"/>
                <w:highlight w:val="none"/>
              </w:rPr>
              <w:t>%）</w:t>
            </w:r>
          </w:p>
        </w:tc>
        <w:tc>
          <w:tcPr>
            <w:tcW w:w="943" w:type="dxa"/>
            <w:noWrap w:val="0"/>
            <w:vAlign w:val="center"/>
          </w:tcPr>
          <w:p w14:paraId="4AF0FBE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50分</w:t>
            </w:r>
          </w:p>
        </w:tc>
        <w:tc>
          <w:tcPr>
            <w:tcW w:w="3643" w:type="dxa"/>
            <w:tcBorders>
              <w:bottom w:val="single" w:color="auto" w:sz="4" w:space="0"/>
            </w:tcBorders>
            <w:noWrap w:val="0"/>
            <w:vAlign w:val="center"/>
          </w:tcPr>
          <w:p w14:paraId="65B82B4F">
            <w:pPr>
              <w:keepNext w:val="0"/>
              <w:keepLines w:val="0"/>
              <w:pageBreakBefore w:val="0"/>
              <w:widowControl w:val="0"/>
              <w:kinsoku/>
              <w:wordWrap/>
              <w:overflowPunct/>
              <w:topLinePunct w:val="0"/>
              <w:autoSpaceDE/>
              <w:autoSpaceDN/>
              <w:bidi w:val="0"/>
              <w:adjustRightInd/>
              <w:snapToGrid w:val="0"/>
              <w:spacing w:line="24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4"/>
                <w:szCs w:val="24"/>
                <w:highlight w:val="none"/>
                <w:lang w:val="en-US" w:eastAsia="zh-CN"/>
              </w:rPr>
              <w:t>配送服务方案（15分）</w:t>
            </w:r>
          </w:p>
          <w:p w14:paraId="440FC5C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服务方案包括且不限于货源、采购渠道供货保障、品质监控日常管理组织和物流配送方案，供应商拟派专人为采购入进行配送，提供人员名单配送服务过程中，若因供应商原因造成采购人的损失，承担相应的责任。根据方案的合理性、条理性、可操作性、实用性进行打分：</w:t>
            </w:r>
          </w:p>
          <w:p w14:paraId="43BC013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详细规范，契合本项目需求，根据方案的合理性、条理性、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2CE672D8">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2.质量安全保证措施（15分）</w:t>
            </w:r>
          </w:p>
          <w:p w14:paraId="54089E6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质量安全保证措施包含但不限于食品卫生安全保障措施、食品安全培训计划等有关内容。</w:t>
            </w:r>
          </w:p>
          <w:p w14:paraId="379A0C7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详细规范，契合本项目需求，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1C2DEC17">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3.应急处理方案（10分）</w:t>
            </w:r>
          </w:p>
          <w:p w14:paraId="089B5A6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理方案内容包含但不限于采购人发生突发事件需要临时增加配送时，能安排人员组织货源并及时送货方案；发生因食品质量安全问题导致的食物中毒等情况的应对措施等内容。内容详细规范，契合本项目需求，具有可操作性的为优得10分；内容较为详细规范、较符合本项目实际、具有可操作性的为良得7分；内容基本规范、基本符合项目实际，具有一定的可操作性的为一般得4分；内容不全或不规范、不符合本项目实际或不具有可操作性的为差得1分。未提供得0分。</w:t>
            </w:r>
          </w:p>
          <w:p w14:paraId="39FD26F1">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4.售后服务（10分）</w:t>
            </w:r>
          </w:p>
          <w:p w14:paraId="41FEBCE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售后服务内容包含但不限于保证配送物资出现问题后的处理措施，提供征求意见的方式及渠道等。内容详细规范，契合本项目需求，具有可操作性的为优得10分；内容较为详细规范、较符合本项目实际、具有可操作性的为良得7分；内容基本规范、基本符合项目实际，具有一定的可操作性的为一般得4分；内容不全或不规范、不符合本项目实际或不具有可操作性的为差得1分。未提供得0分。</w:t>
            </w:r>
          </w:p>
        </w:tc>
        <w:tc>
          <w:tcPr>
            <w:tcW w:w="3112" w:type="dxa"/>
            <w:tcBorders>
              <w:bottom w:val="single" w:color="auto" w:sz="4" w:space="0"/>
            </w:tcBorders>
            <w:noWrap w:val="0"/>
            <w:vAlign w:val="center"/>
          </w:tcPr>
          <w:p w14:paraId="32C2EBE6">
            <w:pPr>
              <w:keepNext w:val="0"/>
              <w:keepLines w:val="0"/>
              <w:pageBreakBefore w:val="0"/>
              <w:widowControl w:val="0"/>
              <w:shd w:val="clear"/>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供应商提供相关服务方案，评审小组各成员横向对比有效供应商的方案情况进行评比打分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取所有评审小组成员打分的算术平均值。</w:t>
            </w:r>
            <w:r>
              <w:rPr>
                <w:rFonts w:hint="eastAsia" w:ascii="宋体" w:hAnsi="宋体" w:eastAsia="宋体" w:cs="宋体"/>
                <w:color w:val="auto"/>
                <w:sz w:val="24"/>
                <w:szCs w:val="24"/>
              </w:rPr>
              <w:t>（格式自拟）</w:t>
            </w:r>
            <w:r>
              <w:rPr>
                <w:rFonts w:hint="eastAsia" w:ascii="宋体" w:hAnsi="宋体" w:eastAsia="宋体" w:cs="宋体"/>
                <w:color w:val="auto"/>
                <w:sz w:val="21"/>
                <w:szCs w:val="21"/>
                <w:highlight w:val="none"/>
              </w:rPr>
              <w:t>。</w:t>
            </w:r>
          </w:p>
        </w:tc>
      </w:tr>
      <w:tr w14:paraId="688F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639" w:type="dxa"/>
            <w:vMerge w:val="restart"/>
            <w:noWrap w:val="0"/>
            <w:vAlign w:val="center"/>
          </w:tcPr>
          <w:p w14:paraId="31D7E9C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3</w:t>
            </w:r>
          </w:p>
        </w:tc>
        <w:tc>
          <w:tcPr>
            <w:tcW w:w="1399" w:type="dxa"/>
            <w:vMerge w:val="restart"/>
            <w:noWrap w:val="0"/>
            <w:vAlign w:val="center"/>
          </w:tcPr>
          <w:p w14:paraId="1F696A0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商务部分（</w:t>
            </w:r>
            <w:r>
              <w:rPr>
                <w:rStyle w:val="56"/>
                <w:rFonts w:hint="eastAsia" w:ascii="宋体" w:hAnsi="宋体" w:eastAsia="宋体" w:cs="宋体"/>
                <w:color w:val="auto"/>
                <w:sz w:val="24"/>
                <w:szCs w:val="24"/>
                <w:highlight w:val="none"/>
                <w:lang w:val="en-US" w:eastAsia="zh-CN"/>
              </w:rPr>
              <w:t>20</w:t>
            </w:r>
            <w:r>
              <w:rPr>
                <w:rStyle w:val="56"/>
                <w:rFonts w:hint="eastAsia" w:ascii="宋体" w:hAnsi="宋体" w:eastAsia="宋体" w:cs="宋体"/>
                <w:color w:val="auto"/>
                <w:sz w:val="24"/>
                <w:szCs w:val="24"/>
                <w:highlight w:val="none"/>
              </w:rPr>
              <w:t>%）</w:t>
            </w:r>
          </w:p>
        </w:tc>
        <w:tc>
          <w:tcPr>
            <w:tcW w:w="943" w:type="dxa"/>
            <w:vMerge w:val="restart"/>
            <w:noWrap w:val="0"/>
            <w:vAlign w:val="center"/>
          </w:tcPr>
          <w:p w14:paraId="7E0CB9B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lang w:val="en-US" w:eastAsia="zh-CN"/>
              </w:rPr>
              <w:t>20分</w:t>
            </w:r>
          </w:p>
        </w:tc>
        <w:tc>
          <w:tcPr>
            <w:tcW w:w="3643" w:type="dxa"/>
            <w:tcBorders>
              <w:bottom w:val="single" w:color="auto" w:sz="4" w:space="0"/>
            </w:tcBorders>
            <w:noWrap w:val="0"/>
            <w:vAlign w:val="center"/>
          </w:tcPr>
          <w:p w14:paraId="354DCB8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1、配送车辆（</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分）</w:t>
            </w:r>
          </w:p>
          <w:p w14:paraId="456E7B0E">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供应商为本项目配置配送车辆，每提供1台得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w:t>
            </w:r>
            <w:r>
              <w:rPr>
                <w:rFonts w:hint="eastAsia" w:ascii="宋体" w:hAnsi="宋体" w:eastAsia="宋体" w:cs="宋体"/>
                <w:color w:val="auto"/>
                <w:sz w:val="24"/>
                <w:szCs w:val="24"/>
                <w:lang w:val="en-US" w:eastAsia="zh-CN"/>
              </w:rPr>
              <w:t>得6</w:t>
            </w:r>
            <w:r>
              <w:rPr>
                <w:rFonts w:hint="eastAsia" w:ascii="宋体" w:hAnsi="宋体" w:eastAsia="宋体" w:cs="宋体"/>
                <w:color w:val="auto"/>
                <w:sz w:val="24"/>
                <w:szCs w:val="24"/>
              </w:rPr>
              <w:t>分。</w:t>
            </w:r>
          </w:p>
        </w:tc>
        <w:tc>
          <w:tcPr>
            <w:tcW w:w="3112" w:type="dxa"/>
            <w:noWrap w:val="0"/>
            <w:vAlign w:val="center"/>
          </w:tcPr>
          <w:p w14:paraId="2AE6D428">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1.车辆为自有的，提供常温配送车辆或冷链车辆行驶证复印件，加盖供应商公章。</w:t>
            </w:r>
          </w:p>
          <w:p w14:paraId="4383686C">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2.车辆为租赁的，提供常温配送车辆</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冷链车辆行驶证复印件、车辆租赁合同（租赁合同的有效期须包含本项目的合同期）</w:t>
            </w:r>
          </w:p>
          <w:p w14:paraId="3B573349">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3.提供配送车辆彩色实拍照片（正面、侧面、车厢内部各1张），车辆照片内容与车辆行驶证一致。</w:t>
            </w:r>
          </w:p>
        </w:tc>
      </w:tr>
      <w:tr w14:paraId="2607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39" w:type="dxa"/>
            <w:vMerge w:val="continue"/>
            <w:noWrap w:val="0"/>
            <w:vAlign w:val="center"/>
          </w:tcPr>
          <w:p w14:paraId="0A2D3B0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p>
        </w:tc>
        <w:tc>
          <w:tcPr>
            <w:tcW w:w="1399" w:type="dxa"/>
            <w:vMerge w:val="continue"/>
            <w:noWrap w:val="0"/>
            <w:vAlign w:val="center"/>
          </w:tcPr>
          <w:p w14:paraId="2F84CAB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p>
        </w:tc>
        <w:tc>
          <w:tcPr>
            <w:tcW w:w="943" w:type="dxa"/>
            <w:vMerge w:val="continue"/>
            <w:noWrap w:val="0"/>
            <w:vAlign w:val="center"/>
          </w:tcPr>
          <w:p w14:paraId="2C76C50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lang w:val="en-US" w:eastAsia="zh-CN"/>
              </w:rPr>
            </w:pPr>
          </w:p>
        </w:tc>
        <w:tc>
          <w:tcPr>
            <w:tcW w:w="3643" w:type="dxa"/>
            <w:tcBorders>
              <w:bottom w:val="single" w:color="auto" w:sz="4" w:space="0"/>
            </w:tcBorders>
            <w:shd w:val="clear" w:color="auto" w:fill="auto"/>
            <w:noWrap w:val="0"/>
            <w:vAlign w:val="center"/>
          </w:tcPr>
          <w:p w14:paraId="094A6F16">
            <w:pP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、经营场所（</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w:t>
            </w:r>
          </w:p>
          <w:p w14:paraId="17353FD3">
            <w:pPr>
              <w:rPr>
                <w:rFonts w:hint="eastAsia" w:ascii="宋体" w:hAnsi="宋体" w:eastAsia="宋体" w:cs="宋体"/>
                <w:color w:val="auto"/>
                <w:sz w:val="24"/>
                <w:szCs w:val="24"/>
              </w:rPr>
            </w:pPr>
            <w:r>
              <w:rPr>
                <w:rFonts w:hint="eastAsia" w:ascii="宋体" w:hAnsi="宋体" w:eastAsia="宋体" w:cs="宋体"/>
                <w:color w:val="auto"/>
                <w:sz w:val="24"/>
                <w:szCs w:val="24"/>
              </w:rPr>
              <w:t>供应商有固定经营场所（固定经营场所指门店或仓库或配送中心等）。</w:t>
            </w:r>
          </w:p>
          <w:p w14:paraId="6A27F7F8">
            <w:pPr>
              <w:rPr>
                <w:rFonts w:hint="eastAsia" w:ascii="宋体" w:hAnsi="宋体" w:eastAsia="宋体" w:cs="宋体"/>
                <w:b/>
                <w:bCs/>
                <w:color w:val="auto"/>
                <w:kern w:val="2"/>
                <w:sz w:val="24"/>
                <w:szCs w:val="24"/>
                <w:lang w:val="en-US" w:eastAsia="zh-CN" w:bidi="ar-SA"/>
              </w:rPr>
            </w:pPr>
          </w:p>
        </w:tc>
        <w:tc>
          <w:tcPr>
            <w:tcW w:w="3112" w:type="dxa"/>
            <w:shd w:val="clear" w:color="auto" w:fill="auto"/>
            <w:noWrap w:val="0"/>
            <w:vAlign w:val="center"/>
          </w:tcPr>
          <w:p w14:paraId="5BA1E25B">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提供合同复印件</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经营场所</w:t>
            </w:r>
            <w:r>
              <w:rPr>
                <w:rFonts w:hint="eastAsia" w:ascii="宋体" w:hAnsi="宋体" w:eastAsia="宋体" w:cs="宋体"/>
                <w:color w:val="auto"/>
                <w:sz w:val="24"/>
                <w:szCs w:val="24"/>
                <w:highlight w:val="none"/>
                <w:lang w:val="en-US" w:eastAsia="zh-CN"/>
              </w:rPr>
              <w:t>相关照片</w:t>
            </w:r>
            <w:r>
              <w:rPr>
                <w:rFonts w:hint="eastAsia" w:ascii="宋体" w:hAnsi="宋体" w:eastAsia="宋体" w:cs="宋体"/>
                <w:color w:val="auto"/>
                <w:sz w:val="24"/>
                <w:szCs w:val="24"/>
                <w:highlight w:val="none"/>
              </w:rPr>
              <w:t>加盖投标单位鲜章，未提供者</w:t>
            </w:r>
            <w:r>
              <w:rPr>
                <w:rFonts w:hint="eastAsia" w:ascii="宋体" w:hAnsi="宋体" w:eastAsia="宋体" w:cs="宋体"/>
                <w:color w:val="auto"/>
                <w:sz w:val="24"/>
                <w:szCs w:val="24"/>
                <w:highlight w:val="none"/>
                <w:lang w:val="en-US" w:eastAsia="zh-CN"/>
              </w:rPr>
              <w:t>或者不符合要求的</w:t>
            </w:r>
            <w:r>
              <w:rPr>
                <w:rFonts w:hint="eastAsia" w:ascii="宋体" w:hAnsi="宋体" w:eastAsia="宋体" w:cs="宋体"/>
                <w:color w:val="auto"/>
                <w:sz w:val="24"/>
                <w:szCs w:val="24"/>
                <w:highlight w:val="none"/>
              </w:rPr>
              <w:t>不得分</w:t>
            </w:r>
          </w:p>
        </w:tc>
      </w:tr>
      <w:tr w14:paraId="4665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noWrap w:val="0"/>
            <w:vAlign w:val="center"/>
          </w:tcPr>
          <w:p w14:paraId="02DB01E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1399" w:type="dxa"/>
            <w:vMerge w:val="continue"/>
            <w:noWrap w:val="0"/>
            <w:vAlign w:val="center"/>
          </w:tcPr>
          <w:p w14:paraId="471B159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noWrap w:val="0"/>
            <w:vAlign w:val="center"/>
          </w:tcPr>
          <w:p w14:paraId="7A5AB00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643" w:type="dxa"/>
            <w:tcBorders>
              <w:bottom w:val="single" w:color="auto" w:sz="4" w:space="0"/>
            </w:tcBorders>
            <w:noWrap w:val="0"/>
            <w:vAlign w:val="center"/>
          </w:tcPr>
          <w:p w14:paraId="33190FC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仓储能力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3分</w:t>
            </w:r>
            <w:r>
              <w:rPr>
                <w:rFonts w:hint="eastAsia" w:ascii="宋体" w:hAnsi="宋体" w:eastAsia="宋体" w:cs="宋体"/>
                <w:b/>
                <w:bCs/>
                <w:color w:val="auto"/>
                <w:sz w:val="24"/>
                <w:szCs w:val="24"/>
                <w:lang w:eastAsia="zh-CN"/>
              </w:rPr>
              <w:t>）</w:t>
            </w:r>
          </w:p>
          <w:p w14:paraId="30F67E11">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配置有冻库</w:t>
            </w:r>
            <w:r>
              <w:rPr>
                <w:rFonts w:hint="eastAsia" w:ascii="宋体" w:hAnsi="宋体" w:eastAsia="宋体" w:cs="宋体"/>
                <w:color w:val="auto"/>
                <w:sz w:val="24"/>
                <w:szCs w:val="24"/>
                <w:highlight w:val="none"/>
                <w:lang w:val="en-US" w:eastAsia="zh-CN"/>
              </w:rPr>
              <w:t>（含自有或租赁）的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FCCBAE7">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提供冻库配置证明材料，否则不得分。</w:t>
            </w:r>
          </w:p>
        </w:tc>
        <w:tc>
          <w:tcPr>
            <w:tcW w:w="3112" w:type="dxa"/>
            <w:tcBorders>
              <w:bottom w:val="single" w:color="auto" w:sz="4" w:space="0"/>
            </w:tcBorders>
            <w:noWrap w:val="0"/>
            <w:vAlign w:val="center"/>
          </w:tcPr>
          <w:p w14:paraId="7689460C">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冻库如为自有的，提供产权证复印件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冻库安装合同（冻库设备购买合同）复印件</w:t>
            </w:r>
            <w:r>
              <w:rPr>
                <w:rFonts w:hint="eastAsia" w:ascii="宋体" w:hAnsi="宋体" w:eastAsia="宋体" w:cs="宋体"/>
                <w:color w:val="auto"/>
                <w:sz w:val="24"/>
                <w:szCs w:val="24"/>
                <w:highlight w:val="none"/>
              </w:rPr>
              <w:t>及现场照片加盖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公章；冻库如为租赁的，提供租赁合同复印件</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现场照片加盖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若冻库不是直接租赁的，还需提供冻库安装合同（冻库设备购买合同）复印件</w:t>
            </w:r>
          </w:p>
        </w:tc>
      </w:tr>
      <w:tr w14:paraId="4248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continue"/>
            <w:noWrap w:val="0"/>
            <w:vAlign w:val="center"/>
          </w:tcPr>
          <w:p w14:paraId="1B8907B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1399" w:type="dxa"/>
            <w:vMerge w:val="continue"/>
            <w:noWrap w:val="0"/>
            <w:vAlign w:val="center"/>
          </w:tcPr>
          <w:p w14:paraId="30CF1DD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noWrap w:val="0"/>
            <w:vAlign w:val="center"/>
          </w:tcPr>
          <w:p w14:paraId="714A6E1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74FF102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4、安全承诺（4分）</w:t>
            </w:r>
          </w:p>
          <w:p w14:paraId="467FDC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供应商拟派专人为采购人进行配送服务，提供配送人员名单，并承诺在配送服务过程中，若因自身原因造成采购人的损失，自行承担相应责任和赔偿，资料齐备合格得4分，未提供或提供不齐不得分。</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0696417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需提供配送服务团队的成员名单、健康证复印件及承诺函（格式自拟）并加盖投标人公章</w:t>
            </w:r>
          </w:p>
        </w:tc>
      </w:tr>
      <w:tr w14:paraId="305D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continue"/>
            <w:tcBorders>
              <w:bottom w:val="single" w:color="auto" w:sz="4" w:space="0"/>
            </w:tcBorders>
            <w:noWrap w:val="0"/>
            <w:vAlign w:val="center"/>
          </w:tcPr>
          <w:p w14:paraId="42BC7E0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bookmarkStart w:id="159" w:name="_Toc27384"/>
          </w:p>
        </w:tc>
        <w:tc>
          <w:tcPr>
            <w:tcW w:w="1399" w:type="dxa"/>
            <w:vMerge w:val="continue"/>
            <w:tcBorders>
              <w:bottom w:val="single" w:color="auto" w:sz="4" w:space="0"/>
            </w:tcBorders>
            <w:noWrap w:val="0"/>
            <w:vAlign w:val="center"/>
          </w:tcPr>
          <w:p w14:paraId="0782E96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tcBorders>
              <w:bottom w:val="single" w:color="auto" w:sz="4" w:space="0"/>
            </w:tcBorders>
            <w:noWrap w:val="0"/>
            <w:vAlign w:val="center"/>
          </w:tcPr>
          <w:p w14:paraId="395A979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643" w:type="dxa"/>
            <w:tcBorders>
              <w:top w:val="single" w:color="auto" w:sz="4" w:space="0"/>
              <w:left w:val="single" w:color="auto" w:sz="4" w:space="0"/>
              <w:right w:val="single" w:color="auto" w:sz="4" w:space="0"/>
            </w:tcBorders>
            <w:noWrap w:val="0"/>
            <w:vAlign w:val="center"/>
          </w:tcPr>
          <w:p w14:paraId="532B8F0C">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业绩（</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p>
          <w:p w14:paraId="105AC2E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lang w:val="en-US" w:eastAsia="zh-CN"/>
              </w:rPr>
              <w:t>2022年1月1日至投标截止日，供应商为企事业单位或政府机关或学校等承担过：超市商品配送业绩（含已履行和正在履行）的，每提供1个业绩得2分，本项最多得4分。</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2750C0B9">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lang w:val="en-US" w:eastAsia="zh-CN"/>
              </w:rPr>
              <w:t>提供配送合同复印件并加盖供应商公章。</w:t>
            </w:r>
          </w:p>
        </w:tc>
      </w:tr>
    </w:tbl>
    <w:p w14:paraId="6149133D">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rPr>
        <w:t>说明：评标委员会认为供应商的报价明显低于其他通过符合性审查供应商的报价，有可能影响产品质量或者不能诚信履约的，应当提供书面说明及中标后履约承诺；供应商不能提供书面说明及中标后履约承诺的，评标委员会应当将其作为无效投标处理。</w:t>
      </w:r>
      <w:bookmarkEnd w:id="159"/>
    </w:p>
    <w:p w14:paraId="647E6FE6">
      <w:pPr>
        <w:pStyle w:val="3"/>
        <w:spacing w:line="360" w:lineRule="auto"/>
        <w:outlineLvl w:val="0"/>
        <w:rPr>
          <w:rFonts w:hint="eastAsia" w:ascii="宋体" w:hAnsi="宋体" w:eastAsia="宋体" w:cs="宋体"/>
          <w:b/>
          <w:color w:val="auto"/>
          <w:sz w:val="24"/>
          <w:szCs w:val="24"/>
          <w:highlight w:val="none"/>
        </w:rPr>
      </w:pPr>
      <w:bookmarkStart w:id="160" w:name="_Toc6913"/>
      <w:bookmarkStart w:id="161" w:name="_Toc10583"/>
      <w:bookmarkStart w:id="162" w:name="_Toc25152"/>
      <w:bookmarkStart w:id="163" w:name="_Toc24476"/>
      <w:r>
        <w:rPr>
          <w:rFonts w:hint="eastAsia" w:ascii="宋体" w:hAnsi="宋体" w:eastAsia="宋体" w:cs="宋体"/>
          <w:b/>
          <w:color w:val="auto"/>
          <w:sz w:val="24"/>
          <w:szCs w:val="24"/>
          <w:highlight w:val="none"/>
        </w:rPr>
        <w:t>四、无效响应</w:t>
      </w:r>
      <w:bookmarkEnd w:id="158"/>
      <w:bookmarkEnd w:id="160"/>
      <w:bookmarkEnd w:id="161"/>
      <w:bookmarkEnd w:id="162"/>
      <w:bookmarkEnd w:id="163"/>
    </w:p>
    <w:p w14:paraId="4AE8E542">
      <w:pPr>
        <w:snapToGrid w:val="0"/>
        <w:spacing w:line="360" w:lineRule="auto"/>
        <w:ind w:firstLine="465"/>
        <w:rPr>
          <w:rFonts w:hint="eastAsia" w:ascii="宋体" w:hAnsi="宋体" w:eastAsia="宋体" w:cs="宋体"/>
          <w:color w:val="auto"/>
          <w:sz w:val="24"/>
          <w:szCs w:val="24"/>
          <w:highlight w:val="none"/>
        </w:rPr>
      </w:pPr>
      <w:bookmarkStart w:id="164" w:name="_Toc439685497"/>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发生以下条款情况之一者，视为无效响应，其投标文件将被拒绝：</w:t>
      </w:r>
    </w:p>
    <w:p w14:paraId="7C0B305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不符合规定的基本资格条件或特定资格条件的；</w:t>
      </w:r>
    </w:p>
    <w:p w14:paraId="42BBFDD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的法定代表人或其授权代表未参加比选；</w:t>
      </w:r>
    </w:p>
    <w:p w14:paraId="7AE71A3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未按照比选文件的要求缴纳比选保证金；</w:t>
      </w:r>
    </w:p>
    <w:p w14:paraId="6624491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所提交的投标文件不按第七篇“投标文件编制要求”规定签字、盖章；</w:t>
      </w:r>
    </w:p>
    <w:p w14:paraId="742AB30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的报价超过采购预算的；</w:t>
      </w:r>
    </w:p>
    <w:p w14:paraId="6E328FB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，参加同一合同项下的政府采购活动的；</w:t>
      </w:r>
    </w:p>
    <w:p w14:paraId="065AEDD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w:t>
      </w:r>
    </w:p>
    <w:p w14:paraId="35897F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（八）所提供的产品不符合必须强制执行的国家标准的；</w:t>
      </w:r>
    </w:p>
    <w:p w14:paraId="3173BC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的服务时间、服务质保期及比选有效期不满足比选文件要求的；</w:t>
      </w:r>
    </w:p>
    <w:p w14:paraId="1A7A2376">
      <w:pPr>
        <w:snapToGrid w:val="0"/>
        <w:spacing w:line="360" w:lineRule="auto"/>
        <w:ind w:firstLine="465"/>
        <w:rPr>
          <w:rFonts w:hint="eastAsia" w:ascii="宋体" w:hAnsi="宋体" w:eastAsia="宋体" w:cs="宋体"/>
          <w:color w:val="auto"/>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投标文件内容有与国家现行法律法规相违背的内容，或附有采购人无法接受的条件。</w:t>
      </w:r>
    </w:p>
    <w:p w14:paraId="29C0A00D">
      <w:pPr>
        <w:pStyle w:val="3"/>
        <w:spacing w:line="360" w:lineRule="auto"/>
        <w:ind w:firstLine="482" w:firstLineChars="200"/>
        <w:outlineLvl w:val="0"/>
        <w:rPr>
          <w:rFonts w:hint="eastAsia" w:ascii="宋体" w:hAnsi="宋体" w:eastAsia="宋体" w:cs="宋体"/>
          <w:b/>
          <w:color w:val="auto"/>
          <w:sz w:val="24"/>
          <w:szCs w:val="24"/>
          <w:highlight w:val="none"/>
        </w:rPr>
      </w:pPr>
      <w:bookmarkStart w:id="165" w:name="_Toc3828"/>
      <w:bookmarkStart w:id="166" w:name="_Toc30953"/>
      <w:bookmarkStart w:id="167" w:name="_Toc25603"/>
      <w:bookmarkStart w:id="168" w:name="_Toc29434"/>
      <w:r>
        <w:rPr>
          <w:rFonts w:hint="eastAsia" w:ascii="宋体" w:hAnsi="宋体" w:eastAsia="宋体" w:cs="宋体"/>
          <w:b/>
          <w:color w:val="auto"/>
          <w:sz w:val="24"/>
          <w:szCs w:val="24"/>
          <w:highlight w:val="none"/>
        </w:rPr>
        <w:t>五、采购终止</w:t>
      </w:r>
      <w:bookmarkEnd w:id="164"/>
      <w:bookmarkEnd w:id="165"/>
      <w:bookmarkEnd w:id="166"/>
      <w:bookmarkEnd w:id="167"/>
      <w:bookmarkEnd w:id="168"/>
    </w:p>
    <w:p w14:paraId="40945AE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出现下列情形之一的，采购人或者采购代理机构应当终止比选采购活动，发布项目终止公告并说明原因，重新开展采购活动：</w:t>
      </w:r>
    </w:p>
    <w:p w14:paraId="449A0B9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（一）因情况变化，不再符合规定的比选采购方式适用情形的；</w:t>
      </w:r>
    </w:p>
    <w:p w14:paraId="1C23AE9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CDBCE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A486ED">
      <w:pPr>
        <w:pStyle w:val="2"/>
        <w:spacing w:before="0" w:beforeLines="0" w:after="0" w:afterLines="0" w:line="360" w:lineRule="auto"/>
        <w:jc w:val="center"/>
        <w:rPr>
          <w:rFonts w:hint="eastAsia" w:ascii="宋体" w:hAnsi="宋体" w:eastAsia="宋体" w:cs="宋体"/>
          <w:b/>
          <w:bCs/>
          <w:color w:val="auto"/>
          <w:highlight w:val="none"/>
        </w:rPr>
      </w:pPr>
      <w:bookmarkStart w:id="169" w:name="_Toc2919"/>
      <w:bookmarkStart w:id="170" w:name="_Toc3009"/>
      <w:bookmarkStart w:id="171" w:name="_Toc31203"/>
      <w:bookmarkStart w:id="172" w:name="_Toc2580"/>
      <w:r>
        <w:rPr>
          <w:rFonts w:hint="eastAsia" w:ascii="宋体" w:hAnsi="宋体" w:eastAsia="宋体" w:cs="宋体"/>
          <w:b/>
          <w:bCs/>
          <w:color w:val="auto"/>
          <w:highlight w:val="none"/>
        </w:rPr>
        <w:t xml:space="preserve">第五篇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bookmarkEnd w:id="169"/>
      <w:bookmarkEnd w:id="170"/>
      <w:bookmarkEnd w:id="171"/>
      <w:bookmarkEnd w:id="172"/>
    </w:p>
    <w:p w14:paraId="3CBDD18B">
      <w:pPr>
        <w:pStyle w:val="3"/>
        <w:spacing w:line="360" w:lineRule="auto"/>
        <w:ind w:firstLine="482" w:firstLineChars="200"/>
        <w:outlineLvl w:val="0"/>
        <w:rPr>
          <w:rFonts w:hint="eastAsia" w:ascii="宋体" w:hAnsi="宋体" w:eastAsia="宋体" w:cs="宋体"/>
          <w:b/>
          <w:color w:val="auto"/>
          <w:sz w:val="24"/>
          <w:szCs w:val="24"/>
          <w:highlight w:val="none"/>
        </w:rPr>
      </w:pPr>
      <w:bookmarkStart w:id="173" w:name="_Toc25363"/>
      <w:bookmarkStart w:id="174" w:name="_Toc439685499"/>
      <w:bookmarkStart w:id="175" w:name="_Toc19471"/>
      <w:bookmarkStart w:id="176" w:name="_Toc26107"/>
      <w:bookmarkStart w:id="177" w:name="_Toc342913389"/>
      <w:bookmarkStart w:id="178" w:name="_Toc10127"/>
      <w:r>
        <w:rPr>
          <w:rFonts w:hint="eastAsia" w:ascii="宋体" w:hAnsi="宋体" w:eastAsia="宋体" w:cs="宋体"/>
          <w:b/>
          <w:color w:val="auto"/>
          <w:sz w:val="24"/>
          <w:szCs w:val="24"/>
          <w:highlight w:val="none"/>
        </w:rPr>
        <w:t>一、比选费用</w:t>
      </w:r>
      <w:bookmarkEnd w:id="173"/>
      <w:bookmarkEnd w:id="174"/>
      <w:bookmarkEnd w:id="175"/>
      <w:bookmarkEnd w:id="176"/>
      <w:bookmarkEnd w:id="177"/>
      <w:bookmarkEnd w:id="178"/>
    </w:p>
    <w:p w14:paraId="25371D98">
      <w:pPr>
        <w:pStyle w:val="43"/>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参与比选的</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应承担其编制投标文件与递交投标文件所涉及的一切费用，不论比选结果如何，采购人在任何情况下无义务也无责任承担这些费用。</w:t>
      </w:r>
    </w:p>
    <w:p w14:paraId="5D487AE8">
      <w:pPr>
        <w:pStyle w:val="3"/>
        <w:spacing w:line="360" w:lineRule="auto"/>
        <w:ind w:firstLine="482" w:firstLineChars="200"/>
        <w:outlineLvl w:val="0"/>
        <w:rPr>
          <w:rFonts w:hint="eastAsia" w:ascii="宋体" w:hAnsi="宋体" w:eastAsia="宋体" w:cs="宋体"/>
          <w:b/>
          <w:color w:val="auto"/>
          <w:sz w:val="24"/>
          <w:szCs w:val="24"/>
          <w:highlight w:val="none"/>
        </w:rPr>
      </w:pPr>
      <w:bookmarkStart w:id="179" w:name="_Toc342913391"/>
      <w:bookmarkStart w:id="180" w:name="_Toc439685500"/>
      <w:bookmarkStart w:id="181" w:name="_Toc1794"/>
      <w:bookmarkStart w:id="182" w:name="_Toc20015"/>
      <w:bookmarkStart w:id="183" w:name="_Toc26807"/>
      <w:bookmarkStart w:id="184" w:name="_Toc7174"/>
      <w:r>
        <w:rPr>
          <w:rFonts w:hint="eastAsia" w:ascii="宋体" w:hAnsi="宋体" w:eastAsia="宋体" w:cs="宋体"/>
          <w:b/>
          <w:color w:val="auto"/>
          <w:sz w:val="24"/>
          <w:szCs w:val="24"/>
          <w:highlight w:val="none"/>
        </w:rPr>
        <w:t>二、</w:t>
      </w:r>
      <w:bookmarkEnd w:id="179"/>
      <w:bookmarkEnd w:id="180"/>
      <w:r>
        <w:rPr>
          <w:rFonts w:hint="eastAsia" w:ascii="宋体" w:hAnsi="宋体" w:eastAsia="宋体" w:cs="宋体"/>
          <w:b/>
          <w:color w:val="auto"/>
          <w:sz w:val="24"/>
          <w:szCs w:val="24"/>
          <w:highlight w:val="none"/>
        </w:rPr>
        <w:t>比选文件</w:t>
      </w:r>
      <w:bookmarkEnd w:id="181"/>
      <w:bookmarkEnd w:id="182"/>
      <w:bookmarkEnd w:id="183"/>
      <w:bookmarkEnd w:id="184"/>
    </w:p>
    <w:p w14:paraId="60CFDADC">
      <w:pPr>
        <w:snapToGrid w:val="0"/>
        <w:spacing w:line="360" w:lineRule="auto"/>
        <w:ind w:firstLine="480" w:firstLineChars="200"/>
        <w:rPr>
          <w:rFonts w:hint="eastAsia" w:ascii="宋体" w:hAnsi="宋体" w:eastAsia="宋体" w:cs="宋体"/>
          <w:color w:val="auto"/>
          <w:sz w:val="24"/>
          <w:szCs w:val="24"/>
          <w:highlight w:val="none"/>
        </w:rPr>
      </w:pPr>
      <w:bookmarkStart w:id="185" w:name="_Toc439685501"/>
      <w:bookmarkStart w:id="186" w:name="_Toc342913392"/>
      <w:bookmarkStart w:id="187" w:name="_Toc102227318"/>
      <w:bookmarkStart w:id="188" w:name="_Toc179714297"/>
      <w:r>
        <w:rPr>
          <w:rFonts w:hint="eastAsia" w:ascii="宋体" w:hAnsi="宋体" w:eastAsia="宋体" w:cs="宋体"/>
          <w:color w:val="auto"/>
          <w:sz w:val="24"/>
          <w:szCs w:val="24"/>
          <w:highlight w:val="none"/>
        </w:rPr>
        <w:t>（一）比选文件由采购邀请书、项目服务需求、项目商务需求、比选程序及方法、评审标准、无效响应和采购终止、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须知、合同草案条款、投标文件编制要求七部分组成。</w:t>
      </w:r>
    </w:p>
    <w:p w14:paraId="0A4C8C7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（二）采购人或采购代理机构所作的一切有效的书面通知、修改及补充，都是比选文件不可分割的部分。</w:t>
      </w:r>
    </w:p>
    <w:p w14:paraId="0C045F3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（三）比选文件的解释</w:t>
      </w:r>
    </w:p>
    <w:p w14:paraId="47F6BB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如对比选文件有疑问，必须以书面形式在提交投标文件截止时间3个工作日前向采购人或采购代理机构要求澄清，采购人或采购代理机构可视具体情况做出处理或答复。如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未提出疑问，视为完全理解并同意本比选文件。一经进入比选程序，即视为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已详细阅读全部文件资料，完全理解比选文件所有条款内容并同意放弃对这方面有不明白及误解的权利。</w:t>
      </w:r>
      <w:bookmarkStart w:id="189" w:name="_Toc318159160"/>
      <w:bookmarkStart w:id="190" w:name="_Toc318159349"/>
      <w:bookmarkStart w:id="191" w:name="_Toc318159780"/>
      <w:bookmarkStart w:id="192" w:name="_Toc318166429"/>
    </w:p>
    <w:p w14:paraId="067C15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（四）本比选文件中，比选小组根据与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进行比选可能实质性变动的内容为比选文件第二、三、六篇全部内容。</w:t>
      </w:r>
    </w:p>
    <w:p w14:paraId="0BE7882C">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（五）评审的依据为比选文件和投标文件（含有效的书面承诺）。比选小组判断投标文件对比选文件的响应，仅基于投标文件本身而不靠外部证据。</w:t>
      </w:r>
    </w:p>
    <w:bookmarkEnd w:id="189"/>
    <w:bookmarkEnd w:id="190"/>
    <w:bookmarkEnd w:id="191"/>
    <w:bookmarkEnd w:id="192"/>
    <w:p w14:paraId="00ED5D19">
      <w:pPr>
        <w:pStyle w:val="3"/>
        <w:spacing w:line="360" w:lineRule="auto"/>
        <w:ind w:firstLine="482" w:firstLineChars="200"/>
        <w:outlineLvl w:val="0"/>
        <w:rPr>
          <w:rFonts w:hint="eastAsia" w:ascii="宋体" w:hAnsi="宋体" w:eastAsia="宋体" w:cs="宋体"/>
          <w:b/>
          <w:color w:val="auto"/>
          <w:sz w:val="24"/>
          <w:szCs w:val="24"/>
          <w:highlight w:val="none"/>
        </w:rPr>
      </w:pPr>
      <w:bookmarkStart w:id="193" w:name="_Toc29891"/>
      <w:bookmarkStart w:id="194" w:name="_Toc25472"/>
      <w:bookmarkStart w:id="195" w:name="_Toc24628"/>
      <w:bookmarkStart w:id="196" w:name="_Toc13560"/>
      <w:r>
        <w:rPr>
          <w:rFonts w:hint="eastAsia" w:ascii="宋体" w:hAnsi="宋体" w:eastAsia="宋体" w:cs="宋体"/>
          <w:b/>
          <w:color w:val="auto"/>
          <w:sz w:val="24"/>
          <w:szCs w:val="24"/>
          <w:highlight w:val="none"/>
        </w:rPr>
        <w:t>三、比选要求</w:t>
      </w:r>
      <w:bookmarkEnd w:id="185"/>
      <w:bookmarkEnd w:id="186"/>
      <w:bookmarkEnd w:id="187"/>
      <w:bookmarkEnd w:id="188"/>
      <w:bookmarkEnd w:id="193"/>
      <w:bookmarkEnd w:id="194"/>
      <w:bookmarkEnd w:id="195"/>
      <w:bookmarkEnd w:id="196"/>
    </w:p>
    <w:p w14:paraId="3312DB78">
      <w:pPr>
        <w:spacing w:line="360" w:lineRule="auto"/>
        <w:ind w:firstLine="480" w:firstLineChars="200"/>
        <w:rPr>
          <w:rFonts w:hint="eastAsia" w:ascii="宋体" w:hAnsi="宋体" w:eastAsia="宋体" w:cs="宋体"/>
          <w:color w:val="auto"/>
          <w:sz w:val="24"/>
          <w:szCs w:val="24"/>
          <w:highlight w:val="none"/>
        </w:rPr>
      </w:pPr>
      <w:bookmarkStart w:id="197" w:name="_Toc439685502"/>
      <w:r>
        <w:rPr>
          <w:rFonts w:hint="eastAsia" w:ascii="宋体" w:hAnsi="宋体" w:eastAsia="宋体" w:cs="宋体"/>
          <w:color w:val="auto"/>
          <w:sz w:val="24"/>
          <w:szCs w:val="24"/>
          <w:highlight w:val="none"/>
        </w:rPr>
        <w:t>（一）投标文件</w:t>
      </w:r>
    </w:p>
    <w:p w14:paraId="31D879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应当按照比选文件的要求编制投标文件，并对比选文件提出的要求和条件作出实质性响应，投标文件原则上采用软面订本，同时应编制完整的页码、目录。</w:t>
      </w:r>
    </w:p>
    <w:p w14:paraId="131300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2.投标文件组成</w:t>
      </w:r>
    </w:p>
    <w:p w14:paraId="234A47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投标文件由第七篇“投标文件编制要求”规定的部分和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应按照第七篇“投标文件编制要求”规定的目录顺序组织编写和装订，也可在基本格式基础上对表格进行扩展，未规定格式的由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自定格式。</w:t>
      </w:r>
    </w:p>
    <w:p w14:paraId="17E3BA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4005B5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本项目不接受联合体比选。</w:t>
      </w:r>
    </w:p>
    <w:p w14:paraId="33954B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（三）比选有效期：投标文件及有关承诺文件有效期为提交投标文件截止时间起90天。</w:t>
      </w:r>
    </w:p>
    <w:p w14:paraId="467E13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（四）比选保证金：</w:t>
      </w:r>
    </w:p>
    <w:p w14:paraId="62C477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提交保证金金额和方式详见本文件第一篇“五、比选保证金”；</w:t>
      </w:r>
    </w:p>
    <w:p w14:paraId="03D579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2.发生以下情况之一者，比选保证金不予退还：</w:t>
      </w:r>
    </w:p>
    <w:p w14:paraId="5A3028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在提交投标文件截止时间后撤回投标文件的；</w:t>
      </w:r>
    </w:p>
    <w:p w14:paraId="3159EA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在投标文件中提供虚假材料的；</w:t>
      </w:r>
    </w:p>
    <w:p w14:paraId="6D65A9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除因不可抗力或比选文件认可的情形以外，</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不与采购人签订合同的；</w:t>
      </w:r>
    </w:p>
    <w:p w14:paraId="0C638D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14:paraId="161554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不按规定的时间或拒绝按</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状态签订合同（即不按照竞争性比选文件确定的合同文本以及采购标的、规格型号、采购金额、采购数量、服务和</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要求等事项签订采购合同的。）。</w:t>
      </w:r>
    </w:p>
    <w:p w14:paraId="2BACE6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649EB8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所递交的投标文件中的价格出现大写金额和小写金额不一致的错误，以大写金额修正为准。</w:t>
      </w:r>
    </w:p>
    <w:p w14:paraId="5CEB7B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2.比选小组按上述修正错误的原则及方法修正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同意并签字确认后，修正后的报价对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不接受修正后的价格，将失去成为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的资格。</w:t>
      </w:r>
    </w:p>
    <w:p w14:paraId="6A7CC78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（五）提交投标文件的份数和签署</w:t>
      </w:r>
    </w:p>
    <w:p w14:paraId="2B62D0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p w14:paraId="1F56260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2.在投标文件中，正本必须按第七篇投标文件编制要求签字、盖章，副本可为正本的复印件，应与正本一致，如出现不一致情况以正本为准。</w:t>
      </w:r>
    </w:p>
    <w:p w14:paraId="30C56B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（六）投标文件的递交</w:t>
      </w:r>
    </w:p>
    <w:p w14:paraId="4E415DE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1.投标文件的密封与标记</w:t>
      </w:r>
    </w:p>
    <w:p w14:paraId="40906D6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投标文件的正本一份装入一个密封袋，副本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份装入一个密封袋。密封袋上注明项目编号、项目名称、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名称、“正本”、“副本”字样。密封袋的封口应加盖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公章或法人授权代表签字并有字样：</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分（北京时间）前不得开启的密封条。</w:t>
      </w:r>
    </w:p>
    <w:p w14:paraId="7CF4EA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2.投标文件递交截止时间：参阅采购邀请书。</w:t>
      </w:r>
    </w:p>
    <w:p w14:paraId="3B720E7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3.投标文件语言：简体中文</w:t>
      </w:r>
    </w:p>
    <w:p w14:paraId="41376B0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参与人员</w:t>
      </w:r>
    </w:p>
    <w:p w14:paraId="3CE06EC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可派1-2名代表参与比选，至少1人应为法定代表人或具有法定代表人授权委托书的授权代表。</w:t>
      </w:r>
    </w:p>
    <w:p w14:paraId="56A5F692">
      <w:pPr>
        <w:pStyle w:val="11"/>
        <w:spacing w:line="360" w:lineRule="auto"/>
        <w:rPr>
          <w:rFonts w:hint="eastAsia" w:ascii="宋体" w:hAnsi="宋体" w:eastAsia="宋体" w:cs="宋体"/>
          <w:color w:val="auto"/>
        </w:rPr>
      </w:pPr>
    </w:p>
    <w:p w14:paraId="1EBEA77C">
      <w:pPr>
        <w:pStyle w:val="3"/>
        <w:spacing w:line="360" w:lineRule="auto"/>
        <w:ind w:firstLine="482" w:firstLineChars="200"/>
        <w:outlineLvl w:val="0"/>
        <w:rPr>
          <w:rFonts w:hint="eastAsia" w:ascii="宋体" w:hAnsi="宋体" w:eastAsia="宋体" w:cs="宋体"/>
          <w:b/>
          <w:color w:val="auto"/>
          <w:sz w:val="24"/>
          <w:szCs w:val="24"/>
          <w:highlight w:val="none"/>
        </w:rPr>
      </w:pPr>
      <w:bookmarkStart w:id="198" w:name="_Toc13521"/>
      <w:bookmarkStart w:id="199" w:name="_Toc30903"/>
      <w:bookmarkStart w:id="200" w:name="_Toc21851"/>
      <w:bookmarkStart w:id="201" w:name="_Toc6960"/>
      <w:r>
        <w:rPr>
          <w:rFonts w:hint="eastAsia" w:ascii="宋体" w:hAnsi="宋体" w:eastAsia="宋体" w:cs="宋体"/>
          <w:b/>
          <w:color w:val="auto"/>
          <w:sz w:val="24"/>
          <w:szCs w:val="24"/>
          <w:highlight w:val="none"/>
        </w:rPr>
        <w:t>四、</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的确认和变更</w:t>
      </w:r>
      <w:bookmarkEnd w:id="197"/>
      <w:bookmarkEnd w:id="198"/>
      <w:bookmarkEnd w:id="199"/>
      <w:bookmarkEnd w:id="200"/>
      <w:bookmarkEnd w:id="201"/>
    </w:p>
    <w:p w14:paraId="2B84449E">
      <w:pPr>
        <w:snapToGrid w:val="0"/>
        <w:spacing w:line="360" w:lineRule="auto"/>
        <w:ind w:firstLine="480" w:firstLineChars="200"/>
        <w:rPr>
          <w:rFonts w:hint="eastAsia" w:ascii="宋体" w:hAnsi="宋体" w:eastAsia="宋体" w:cs="宋体"/>
          <w:color w:val="auto"/>
          <w:sz w:val="24"/>
          <w:szCs w:val="24"/>
          <w:highlight w:val="none"/>
        </w:rPr>
      </w:pPr>
      <w:bookmarkStart w:id="202" w:name="_Toc342913395"/>
      <w:bookmarkStart w:id="203" w:name="_Toc102227321"/>
      <w:bookmarkStart w:id="204" w:name="_Toc439685503"/>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的确认</w:t>
      </w:r>
    </w:p>
    <w:p w14:paraId="4F72F1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候选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中，按照排序由高到低的原则确定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，也可以书面授权比选小组直接确定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。采购人逾期未确定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p>
    <w:p w14:paraId="2A727DA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的变更</w:t>
      </w:r>
    </w:p>
    <w:p w14:paraId="76F1CD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拒绝签订政府采购合同的，采购人可以按照评审报告推荐的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顺序，确定排名下一位的候选人为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，也可以重新开展政府采购活动。拒绝签订政府采购合同的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不得参加对该项目重新开展的采购活动。</w:t>
      </w:r>
    </w:p>
    <w:p w14:paraId="03DDB8B6">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无充分理由放弃</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的，采购人将会同采购代理机构把相关情况报财政部门，财政部门将根据相关法律法规的规定对违规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进行处罚。</w:t>
      </w:r>
    </w:p>
    <w:p w14:paraId="76212F4B">
      <w:pPr>
        <w:pStyle w:val="3"/>
        <w:spacing w:line="360" w:lineRule="auto"/>
        <w:ind w:firstLine="482" w:firstLineChars="200"/>
        <w:outlineLvl w:val="0"/>
        <w:rPr>
          <w:rFonts w:hint="eastAsia" w:ascii="宋体" w:hAnsi="宋体" w:eastAsia="宋体" w:cs="宋体"/>
          <w:b/>
          <w:color w:val="auto"/>
          <w:sz w:val="24"/>
          <w:szCs w:val="24"/>
          <w:highlight w:val="none"/>
        </w:rPr>
      </w:pPr>
      <w:bookmarkStart w:id="205" w:name="_Toc18022"/>
      <w:bookmarkStart w:id="206" w:name="_Toc20210"/>
      <w:bookmarkStart w:id="207" w:name="_Toc8404"/>
      <w:bookmarkStart w:id="208" w:name="_Toc3454"/>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val="en-US" w:eastAsia="zh-CN"/>
        </w:rPr>
        <w:t>中标（</w:t>
      </w:r>
      <w:r>
        <w:rPr>
          <w:rFonts w:hint="eastAsia" w:ascii="宋体" w:hAnsi="宋体" w:eastAsia="宋体" w:cs="宋体"/>
          <w:b/>
          <w:color w:val="auto"/>
          <w:sz w:val="24"/>
          <w:szCs w:val="24"/>
          <w:highlight w:val="none"/>
        </w:rPr>
        <w:t>成交</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通知</w:t>
      </w:r>
      <w:bookmarkEnd w:id="202"/>
      <w:bookmarkEnd w:id="203"/>
      <w:bookmarkEnd w:id="204"/>
      <w:bookmarkEnd w:id="205"/>
      <w:bookmarkEnd w:id="206"/>
      <w:bookmarkEnd w:id="207"/>
      <w:bookmarkEnd w:id="208"/>
    </w:p>
    <w:p w14:paraId="42FAD212">
      <w:pPr>
        <w:spacing w:line="360" w:lineRule="auto"/>
        <w:ind w:firstLine="480" w:firstLineChars="200"/>
        <w:rPr>
          <w:rFonts w:hint="eastAsia" w:ascii="宋体" w:hAnsi="宋体" w:eastAsia="宋体" w:cs="宋体"/>
          <w:color w:val="auto"/>
          <w:sz w:val="24"/>
          <w:szCs w:val="24"/>
          <w:highlight w:val="none"/>
        </w:rPr>
      </w:pPr>
      <w:bookmarkStart w:id="209" w:name="_Toc439685504"/>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确定后，采购代理机构将在</w:t>
      </w:r>
      <w:r>
        <w:rPr>
          <w:rFonts w:hint="eastAsia" w:ascii="宋体" w:hAnsi="宋体" w:eastAsia="宋体" w:cs="宋体"/>
          <w:color w:val="auto"/>
          <w:kern w:val="0"/>
          <w:sz w:val="24"/>
          <w:szCs w:val="24"/>
          <w:highlight w:val="none"/>
        </w:rPr>
        <w:t>行采家（https://www.gec123.com/）</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结果公告。</w:t>
      </w:r>
    </w:p>
    <w:p w14:paraId="757B1A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通知书》一经发出即发生法律效力。</w:t>
      </w:r>
    </w:p>
    <w:p w14:paraId="5E484B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通知书》将作为签订合同的依据。</w:t>
      </w:r>
    </w:p>
    <w:p w14:paraId="63513C14">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（四）如有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结果提出质疑的，在质疑处理完毕后发出</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w:t>
      </w:r>
    </w:p>
    <w:p w14:paraId="72A01E5C">
      <w:pPr>
        <w:pStyle w:val="3"/>
        <w:spacing w:line="360" w:lineRule="auto"/>
        <w:ind w:firstLine="482" w:firstLineChars="200"/>
        <w:outlineLvl w:val="0"/>
        <w:rPr>
          <w:rFonts w:hint="eastAsia" w:ascii="宋体" w:hAnsi="宋体" w:eastAsia="宋体" w:cs="宋体"/>
          <w:b/>
          <w:color w:val="auto"/>
          <w:sz w:val="24"/>
          <w:szCs w:val="24"/>
          <w:highlight w:val="none"/>
        </w:rPr>
      </w:pPr>
      <w:bookmarkStart w:id="210" w:name="_Toc11671"/>
      <w:bookmarkStart w:id="211" w:name="_Toc23623"/>
      <w:bookmarkStart w:id="212" w:name="_Toc7226"/>
      <w:bookmarkStart w:id="213" w:name="_Toc6986"/>
      <w:r>
        <w:rPr>
          <w:rFonts w:hint="eastAsia" w:ascii="宋体" w:hAnsi="宋体" w:eastAsia="宋体" w:cs="宋体"/>
          <w:b/>
          <w:color w:val="auto"/>
          <w:sz w:val="24"/>
          <w:szCs w:val="24"/>
          <w:highlight w:val="none"/>
        </w:rPr>
        <w:t>六、关于质疑和投诉</w:t>
      </w:r>
      <w:bookmarkEnd w:id="209"/>
      <w:bookmarkEnd w:id="210"/>
      <w:bookmarkEnd w:id="211"/>
      <w:bookmarkEnd w:id="212"/>
      <w:bookmarkEnd w:id="213"/>
    </w:p>
    <w:p w14:paraId="10E298EF">
      <w:pPr>
        <w:spacing w:line="360" w:lineRule="auto"/>
        <w:ind w:firstLine="480" w:firstLineChars="200"/>
        <w:rPr>
          <w:rFonts w:hint="eastAsia" w:ascii="宋体" w:hAnsi="宋体" w:eastAsia="宋体" w:cs="宋体"/>
          <w:color w:val="auto"/>
          <w:sz w:val="24"/>
          <w:szCs w:val="24"/>
          <w:highlight w:val="none"/>
        </w:rPr>
      </w:pPr>
      <w:bookmarkStart w:id="214" w:name="_Toc102227322"/>
      <w:bookmarkStart w:id="215" w:name="_Toc342913396"/>
      <w:bookmarkStart w:id="216" w:name="_Toc439685507"/>
      <w:r>
        <w:rPr>
          <w:rFonts w:hint="eastAsia" w:ascii="宋体" w:hAnsi="宋体" w:eastAsia="宋体" w:cs="宋体"/>
          <w:color w:val="auto"/>
          <w:sz w:val="24"/>
          <w:szCs w:val="24"/>
          <w:highlight w:val="none"/>
        </w:rPr>
        <w:t>（一）质疑</w:t>
      </w:r>
    </w:p>
    <w:p w14:paraId="216FBC3E">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认为竞争性比选文件、采购过程和</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结果使自己的权益收到伤害的，可向采购人或采购代理机构以书面形式提出质疑。</w:t>
      </w:r>
    </w:p>
    <w:p w14:paraId="6303AA2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1F4472FD">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1.质疑内容、时限</w:t>
      </w:r>
    </w:p>
    <w:p w14:paraId="202EBC7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认为竞争性比选文件、采购过程、</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结果使自己的权益受到损害的，可以在知道或者应知其权益受到损害之日起7个工作日内，以书面形式向采购人、采购代理机构提出质疑。</w:t>
      </w:r>
    </w:p>
    <w:p w14:paraId="36533BE4">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w:t>
      </w:r>
    </w:p>
    <w:p w14:paraId="59E9D7C3">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606C7D2A">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（2）质疑项目的名称、项目号以及招标项目编号；</w:t>
      </w:r>
    </w:p>
    <w:p w14:paraId="7F11DA6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3C1CD2B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705A675A">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2E5EAE2E">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084EB4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（7）营业执照（或事业单位法人证书，或个体工商户营业执照或有效的自然人身份证明、组织机构代码证）复印件；</w:t>
      </w:r>
    </w:p>
    <w:p w14:paraId="18E24E7D">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（8）法定代表人授权委托书原件、法定代表人身份证复印件和其授权代表的身份证复印件（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12C97B07">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5009D71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1F7C176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6D859F0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03FAA0A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应按照《政府采购质疑和投诉办法》（财政部令第94号）及相关法律法规要求，在法定质疑期内一次性提出针对同一采购程序环节的质疑。</w:t>
      </w:r>
    </w:p>
    <w:p w14:paraId="2A55C8A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质疑函范本可在财政部门户网站和中国政府采购网下载。</w:t>
      </w:r>
    </w:p>
    <w:p w14:paraId="44BE44AB">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6DEC8F6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对采购人、采购代理机构的答复不满意，或者采购人、采购代理机构未在规定时间内作出答复的，可以在答复期满后15个工作日内按照相关法律法规向财政部门提起投诉。</w:t>
      </w:r>
    </w:p>
    <w:p w14:paraId="52179E7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应按照《政府采购质疑和投诉办法》（财政部令第94号）及相关法律法规要求递交投诉书和必要的证明材料。投诉书范本可在财政部门户网站和中国政府采购网下载。</w:t>
      </w:r>
    </w:p>
    <w:p w14:paraId="19E03D67">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424D7E3">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2A5525A">
      <w:pPr>
        <w:pStyle w:val="11"/>
        <w:spacing w:line="360" w:lineRule="auto"/>
        <w:rPr>
          <w:rFonts w:hint="eastAsia" w:ascii="宋体" w:hAnsi="宋体" w:eastAsia="宋体" w:cs="宋体"/>
          <w:color w:val="auto"/>
        </w:rPr>
      </w:pPr>
    </w:p>
    <w:p w14:paraId="55F0D764">
      <w:pPr>
        <w:pStyle w:val="3"/>
        <w:spacing w:line="360" w:lineRule="auto"/>
        <w:ind w:firstLine="482" w:firstLineChars="200"/>
        <w:outlineLvl w:val="0"/>
        <w:rPr>
          <w:rFonts w:hint="eastAsia" w:ascii="宋体" w:hAnsi="宋体" w:eastAsia="宋体" w:cs="宋体"/>
          <w:b/>
          <w:color w:val="auto"/>
          <w:sz w:val="24"/>
          <w:szCs w:val="24"/>
          <w:highlight w:val="none"/>
        </w:rPr>
      </w:pPr>
      <w:bookmarkStart w:id="217" w:name="_Toc26988"/>
      <w:bookmarkStart w:id="218" w:name="_Toc21753"/>
      <w:bookmarkStart w:id="219" w:name="_Toc30375"/>
      <w:bookmarkStart w:id="220" w:name="_Toc2235"/>
      <w:r>
        <w:rPr>
          <w:rFonts w:hint="eastAsia" w:ascii="宋体" w:hAnsi="宋体" w:eastAsia="宋体" w:cs="宋体"/>
          <w:b/>
          <w:color w:val="auto"/>
          <w:sz w:val="24"/>
          <w:szCs w:val="24"/>
          <w:highlight w:val="none"/>
        </w:rPr>
        <w:t>七、采购代理服务费</w:t>
      </w:r>
      <w:bookmarkEnd w:id="217"/>
      <w:bookmarkEnd w:id="218"/>
      <w:bookmarkEnd w:id="219"/>
      <w:bookmarkEnd w:id="220"/>
    </w:p>
    <w:p w14:paraId="5EBEF9EB">
      <w:pPr>
        <w:spacing w:line="360" w:lineRule="auto"/>
        <w:ind w:firstLine="480" w:firstLineChars="200"/>
        <w:rPr>
          <w:rFonts w:hint="eastAsia" w:ascii="宋体" w:hAnsi="宋体" w:eastAsia="宋体" w:cs="宋体"/>
          <w:color w:val="auto"/>
          <w:sz w:val="24"/>
          <w:szCs w:val="24"/>
          <w:highlight w:val="none"/>
          <w:lang w:val="en-US" w:eastAsia="zh-CN"/>
        </w:rPr>
      </w:pPr>
      <w:bookmarkStart w:id="221" w:name="OLE_LINK7"/>
      <w:bookmarkStart w:id="222" w:name="OLE_LINK8"/>
      <w:r>
        <w:rPr>
          <w:rFonts w:hint="eastAsia" w:ascii="宋体" w:hAnsi="宋体" w:eastAsia="宋体" w:cs="宋体"/>
          <w:color w:val="auto"/>
          <w:sz w:val="24"/>
          <w:szCs w:val="24"/>
          <w:highlight w:val="none"/>
          <w:lang w:val="en-US" w:eastAsia="zh-CN"/>
        </w:rPr>
        <w:t>（一）供应商成交后向采购代理机构缴纳采购代理服务费，采购代理服务费的收取标准按照计价格[2002]1980号“货物招标”执行</w:t>
      </w:r>
      <w:bookmarkEnd w:id="221"/>
      <w:bookmarkEnd w:id="222"/>
      <w:r>
        <w:rPr>
          <w:rFonts w:hint="eastAsia" w:ascii="宋体" w:hAnsi="宋体" w:eastAsia="宋体" w:cs="宋体"/>
          <w:color w:val="auto"/>
          <w:sz w:val="24"/>
          <w:szCs w:val="24"/>
          <w:highlight w:val="none"/>
          <w:lang w:val="en-US" w:eastAsia="zh-CN"/>
        </w:rPr>
        <w:t>。</w:t>
      </w:r>
    </w:p>
    <w:p w14:paraId="3C3ADB49">
      <w:pPr>
        <w:spacing w:line="360" w:lineRule="auto"/>
        <w:ind w:firstLine="482" w:firstLineChars="200"/>
        <w:outlineLvl w:val="0"/>
        <w:rPr>
          <w:rFonts w:hint="eastAsia" w:ascii="宋体" w:hAnsi="宋体" w:eastAsia="宋体" w:cs="宋体"/>
          <w:b/>
          <w:color w:val="auto"/>
          <w:sz w:val="24"/>
          <w:szCs w:val="24"/>
          <w:highlight w:val="none"/>
        </w:rPr>
      </w:pPr>
      <w:bookmarkStart w:id="223" w:name="_Toc25672"/>
      <w:bookmarkStart w:id="224" w:name="_Toc2480"/>
      <w:r>
        <w:rPr>
          <w:rFonts w:hint="eastAsia" w:ascii="宋体" w:hAnsi="宋体" w:eastAsia="宋体" w:cs="宋体"/>
          <w:b/>
          <w:color w:val="auto"/>
          <w:sz w:val="24"/>
          <w:szCs w:val="24"/>
          <w:highlight w:val="none"/>
        </w:rPr>
        <w:t>八、签订</w:t>
      </w:r>
      <w:bookmarkEnd w:id="214"/>
      <w:r>
        <w:rPr>
          <w:rFonts w:hint="eastAsia" w:ascii="宋体" w:hAnsi="宋体" w:eastAsia="宋体" w:cs="宋体"/>
          <w:b/>
          <w:color w:val="auto"/>
          <w:sz w:val="24"/>
          <w:szCs w:val="24"/>
          <w:highlight w:val="none"/>
        </w:rPr>
        <w:t>合同</w:t>
      </w:r>
      <w:bookmarkEnd w:id="215"/>
      <w:bookmarkEnd w:id="216"/>
      <w:bookmarkEnd w:id="223"/>
      <w:bookmarkEnd w:id="224"/>
    </w:p>
    <w:p w14:paraId="2D70EC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日内，按照竞争性比选文件确定的合同文本以及采购标的、规格型号、采购金额、采购数量、服务和服务要求等事项签订采购合同。</w:t>
      </w:r>
    </w:p>
    <w:p w14:paraId="5A88B5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的投标文件及有效承诺文件等，均为签订合同的依据。</w:t>
      </w:r>
    </w:p>
    <w:p w14:paraId="631D3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放弃成交项目或在签订合同时擅自改变成交状态的，采购人将按照相关法律法规处理。</w:t>
      </w:r>
    </w:p>
    <w:p w14:paraId="408D12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（四）采购人不得向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提出超出比选文件以外的任何要求作为签订合同的条件，不得与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订立背离比选确定的合同文本以及采购标的、规格型号、采购金额、采购数量、服务和服务要求等实质性内容的协议。</w:t>
      </w:r>
    </w:p>
    <w:p w14:paraId="45077A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（五）除不可抗力等因素外，</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通知书发出后，采购人改变</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拒绝签订政府采购合同的，应当承担相应的法律责任。</w:t>
      </w:r>
    </w:p>
    <w:p w14:paraId="3D713174">
      <w:pPr>
        <w:pStyle w:val="22"/>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2"/>
          <w:sz w:val="24"/>
          <w:szCs w:val="24"/>
          <w:highlight w:val="none"/>
          <w:lang w:val="en-US" w:eastAsia="zh-CN" w:bidi="ar-SA"/>
        </w:rPr>
        <w:t>（六）如在采购合同履行期间，采购人因有上级政策性有变动需要合同终止的，采购人不</w:t>
      </w:r>
      <w:r>
        <w:rPr>
          <w:rFonts w:hint="eastAsia" w:ascii="宋体" w:hAnsi="宋体" w:eastAsia="宋体" w:cs="宋体"/>
          <w:color w:val="auto"/>
          <w:sz w:val="24"/>
          <w:szCs w:val="24"/>
          <w:highlight w:val="none"/>
        </w:rPr>
        <w:t>承担相应的法律责任。</w:t>
      </w:r>
    </w:p>
    <w:p w14:paraId="1627197F">
      <w:pPr>
        <w:pStyle w:val="11"/>
        <w:spacing w:line="360" w:lineRule="auto"/>
        <w:rPr>
          <w:rFonts w:hint="eastAsia" w:ascii="宋体" w:hAnsi="宋体" w:eastAsia="宋体" w:cs="宋体"/>
          <w:color w:val="auto"/>
        </w:rPr>
      </w:pPr>
    </w:p>
    <w:p w14:paraId="55A4B8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37C5C88">
      <w:pPr>
        <w:spacing w:line="360" w:lineRule="auto"/>
        <w:ind w:firstLine="480" w:firstLineChars="200"/>
        <w:rPr>
          <w:rFonts w:hint="eastAsia" w:ascii="宋体" w:hAnsi="宋体" w:eastAsia="宋体" w:cs="宋体"/>
          <w:color w:val="auto"/>
          <w:sz w:val="24"/>
          <w:szCs w:val="24"/>
          <w:highlight w:val="none"/>
        </w:rPr>
      </w:pPr>
    </w:p>
    <w:p w14:paraId="1A7CED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4"/>
          <w:szCs w:val="24"/>
          <w:highlight w:val="none"/>
          <w:lang w:val="en-US" w:eastAsia="zh-CN"/>
        </w:rPr>
      </w:pPr>
      <w:bookmarkStart w:id="225" w:name="_Toc30013"/>
      <w:bookmarkStart w:id="226" w:name="_Toc6827"/>
      <w:r>
        <w:rPr>
          <w:rFonts w:hint="eastAsia" w:ascii="宋体" w:hAnsi="宋体" w:eastAsia="宋体" w:cs="宋体"/>
          <w:b/>
          <w:bCs/>
          <w:color w:val="auto"/>
          <w:kern w:val="2"/>
          <w:sz w:val="44"/>
          <w:szCs w:val="22"/>
          <w:highlight w:val="none"/>
          <w:lang w:val="en-US" w:eastAsia="zh-CN" w:bidi="ar-SA"/>
        </w:rPr>
        <w:t>第六篇  采购合同</w:t>
      </w:r>
      <w:bookmarkEnd w:id="225"/>
      <w:bookmarkEnd w:id="226"/>
    </w:p>
    <w:p w14:paraId="4735BB3A">
      <w:pPr>
        <w:spacing w:line="360" w:lineRule="auto"/>
        <w:ind w:firstLine="720" w:firstLineChars="200"/>
        <w:rPr>
          <w:rFonts w:hint="eastAsia" w:ascii="宋体" w:hAnsi="宋体" w:eastAsia="宋体" w:cs="宋体"/>
          <w:color w:val="auto"/>
          <w:sz w:val="36"/>
          <w:szCs w:val="36"/>
          <w:highlight w:val="none"/>
          <w:lang w:val="en-US" w:eastAsia="zh-CN"/>
        </w:rPr>
      </w:pPr>
    </w:p>
    <w:p w14:paraId="4C3B09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32"/>
          <w:highlight w:val="none"/>
        </w:rPr>
        <w:t>（具体与</w:t>
      </w:r>
      <w:r>
        <w:rPr>
          <w:rFonts w:hint="eastAsia" w:ascii="宋体" w:hAnsi="宋体" w:eastAsia="宋体" w:cs="宋体"/>
          <w:color w:val="auto"/>
          <w:sz w:val="28"/>
          <w:szCs w:val="32"/>
          <w:highlight w:val="none"/>
          <w:lang w:val="en-US" w:eastAsia="zh-CN"/>
        </w:rPr>
        <w:t>采购人</w:t>
      </w:r>
      <w:r>
        <w:rPr>
          <w:rFonts w:hint="eastAsia" w:ascii="宋体" w:hAnsi="宋体" w:eastAsia="宋体" w:cs="宋体"/>
          <w:color w:val="auto"/>
          <w:sz w:val="28"/>
          <w:szCs w:val="32"/>
          <w:highlight w:val="none"/>
        </w:rPr>
        <w:t>签订的合同为准）</w:t>
      </w:r>
    </w:p>
    <w:p w14:paraId="45FD4A21">
      <w:pPr>
        <w:spacing w:line="360" w:lineRule="auto"/>
        <w:rPr>
          <w:rFonts w:hint="eastAsia" w:ascii="宋体" w:hAnsi="宋体" w:eastAsia="宋体" w:cs="宋体"/>
          <w:color w:val="auto"/>
          <w:sz w:val="24"/>
          <w:szCs w:val="24"/>
          <w:highlight w:val="none"/>
        </w:rPr>
      </w:pPr>
    </w:p>
    <w:p w14:paraId="150F08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57D3D69">
      <w:pPr>
        <w:pStyle w:val="2"/>
        <w:spacing w:before="0" w:beforeLines="0" w:after="0" w:afterLines="0" w:line="360" w:lineRule="auto"/>
        <w:rPr>
          <w:rFonts w:hint="eastAsia" w:ascii="宋体" w:hAnsi="宋体" w:eastAsia="宋体" w:cs="宋体"/>
          <w:b/>
          <w:bCs/>
          <w:color w:val="auto"/>
          <w:highlight w:val="none"/>
        </w:rPr>
      </w:pPr>
      <w:bookmarkStart w:id="227" w:name="_Toc27842"/>
      <w:bookmarkStart w:id="228" w:name="_Toc11395"/>
      <w:bookmarkStart w:id="229" w:name="_Toc19004"/>
      <w:bookmarkStart w:id="230" w:name="_Toc9016"/>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篇  投标文件编制要求</w:t>
      </w:r>
      <w:bookmarkEnd w:id="227"/>
      <w:bookmarkEnd w:id="228"/>
      <w:bookmarkEnd w:id="229"/>
      <w:bookmarkEnd w:id="230"/>
    </w:p>
    <w:p w14:paraId="701A0148">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1" w:name="_Toc29223"/>
      <w:bookmarkStart w:id="232" w:name="_Toc1615"/>
      <w:r>
        <w:rPr>
          <w:rFonts w:hint="eastAsia" w:ascii="宋体" w:hAnsi="宋体" w:eastAsia="宋体" w:cs="宋体"/>
          <w:b/>
          <w:color w:val="auto"/>
          <w:sz w:val="24"/>
          <w:szCs w:val="24"/>
          <w:highlight w:val="none"/>
        </w:rPr>
        <w:t>一、经济部分</w:t>
      </w:r>
      <w:bookmarkEnd w:id="231"/>
      <w:bookmarkEnd w:id="232"/>
    </w:p>
    <w:p w14:paraId="54F0C697">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（一）比选报价函</w:t>
      </w:r>
    </w:p>
    <w:p w14:paraId="0B28D2F4">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3" w:name="_Toc6436"/>
      <w:bookmarkStart w:id="234" w:name="_Toc8481"/>
      <w:r>
        <w:rPr>
          <w:rFonts w:hint="eastAsia" w:ascii="宋体" w:hAnsi="宋体" w:eastAsia="宋体" w:cs="宋体"/>
          <w:b/>
          <w:color w:val="auto"/>
          <w:sz w:val="24"/>
          <w:szCs w:val="24"/>
          <w:highlight w:val="none"/>
        </w:rPr>
        <w:t>二、服务部分</w:t>
      </w:r>
      <w:bookmarkEnd w:id="233"/>
      <w:bookmarkEnd w:id="234"/>
    </w:p>
    <w:p w14:paraId="7C0C7EE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14:paraId="1E602E6E">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（二）服务响应偏离表（本表可自行设计格式）</w:t>
      </w:r>
    </w:p>
    <w:p w14:paraId="79D0F179">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5" w:name="_Toc47"/>
      <w:bookmarkStart w:id="236" w:name="_Toc25284"/>
      <w:r>
        <w:rPr>
          <w:rFonts w:hint="eastAsia" w:ascii="宋体" w:hAnsi="宋体" w:eastAsia="宋体" w:cs="宋体"/>
          <w:b/>
          <w:color w:val="auto"/>
          <w:sz w:val="24"/>
          <w:szCs w:val="24"/>
          <w:highlight w:val="none"/>
        </w:rPr>
        <w:t>三、商务部分</w:t>
      </w:r>
      <w:bookmarkEnd w:id="235"/>
      <w:bookmarkEnd w:id="236"/>
    </w:p>
    <w:p w14:paraId="73D433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（一）商务要求响应情况：服务时间、服务地点、优惠承诺等（格式自定）</w:t>
      </w:r>
    </w:p>
    <w:p w14:paraId="584D58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（二）商务响应偏离表（本表可自行设计格式）</w:t>
      </w:r>
    </w:p>
    <w:p w14:paraId="4A351EE5">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（三）商务评分需提供的资料</w:t>
      </w:r>
    </w:p>
    <w:p w14:paraId="62F69BB5">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7" w:name="_Toc7223"/>
      <w:bookmarkStart w:id="238" w:name="_Toc7173"/>
      <w:r>
        <w:rPr>
          <w:rFonts w:hint="eastAsia" w:ascii="宋体" w:hAnsi="宋体" w:eastAsia="宋体" w:cs="宋体"/>
          <w:b/>
          <w:color w:val="auto"/>
          <w:sz w:val="24"/>
          <w:szCs w:val="24"/>
          <w:highlight w:val="none"/>
        </w:rPr>
        <w:t>四、资格条件及其他</w:t>
      </w:r>
      <w:bookmarkEnd w:id="237"/>
      <w:bookmarkEnd w:id="238"/>
    </w:p>
    <w:p w14:paraId="32C0B83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法人营业执照（副本）或事业单位法人证书（副本）或个体工商户营业执照或有效的自然人身份证明或社会团体法人登记证书（提供复印件）.</w:t>
      </w:r>
    </w:p>
    <w:p w14:paraId="4FADD13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）法定代表人身份证明书（格式）</w:t>
      </w:r>
    </w:p>
    <w:p w14:paraId="5F4F864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）法定代表人授权委托书（格式）</w:t>
      </w:r>
    </w:p>
    <w:p w14:paraId="03479522">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）基本资格条件承诺函（格式）</w:t>
      </w:r>
    </w:p>
    <w:p w14:paraId="6A706E1D">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）特定资格条件证明文件</w:t>
      </w:r>
    </w:p>
    <w:p w14:paraId="74397762">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9" w:name="_Toc5849"/>
      <w:bookmarkStart w:id="240" w:name="_Toc26290"/>
      <w:r>
        <w:rPr>
          <w:rFonts w:hint="eastAsia" w:ascii="宋体" w:hAnsi="宋体" w:eastAsia="宋体" w:cs="宋体"/>
          <w:b/>
          <w:color w:val="auto"/>
          <w:sz w:val="24"/>
          <w:szCs w:val="24"/>
          <w:highlight w:val="none"/>
        </w:rPr>
        <w:t>五、其他应提供的资料</w:t>
      </w:r>
      <w:bookmarkEnd w:id="239"/>
      <w:bookmarkEnd w:id="240"/>
    </w:p>
    <w:p w14:paraId="4EC8DB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14:paraId="11E2033D">
      <w:pPr>
        <w:tabs>
          <w:tab w:val="left" w:pos="6300"/>
        </w:tabs>
        <w:snapToGrid w:val="0"/>
        <w:spacing w:line="360" w:lineRule="auto"/>
        <w:jc w:val="both"/>
        <w:outlineLvl w:val="9"/>
        <w:rPr>
          <w:rFonts w:hint="eastAsia" w:ascii="宋体" w:hAnsi="宋体" w:eastAsia="宋体" w:cs="宋体"/>
          <w:color w:val="auto"/>
          <w:sz w:val="32"/>
          <w:szCs w:val="32"/>
          <w:highlight w:val="none"/>
        </w:rPr>
      </w:pPr>
      <w:bookmarkStart w:id="241" w:name="_Toc429584884"/>
    </w:p>
    <w:p w14:paraId="216133E4">
      <w:p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70247A18">
      <w:pPr>
        <w:spacing w:line="360" w:lineRule="auto"/>
        <w:ind w:firstLine="360" w:firstLineChars="10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 xml:space="preserve">    项目名称：       </w:t>
      </w:r>
    </w:p>
    <w:p w14:paraId="22E6311E">
      <w:pPr>
        <w:pStyle w:val="11"/>
        <w:spacing w:line="360" w:lineRule="auto"/>
        <w:rPr>
          <w:rFonts w:hint="eastAsia" w:ascii="宋体" w:hAnsi="宋体" w:eastAsia="宋体" w:cs="宋体"/>
          <w:color w:val="auto"/>
          <w:sz w:val="36"/>
          <w:szCs w:val="36"/>
          <w:highlight w:val="none"/>
        </w:rPr>
      </w:pPr>
    </w:p>
    <w:p w14:paraId="2E294D85">
      <w:pPr>
        <w:spacing w:line="360" w:lineRule="auto"/>
        <w:rPr>
          <w:rFonts w:hint="eastAsia" w:ascii="宋体" w:hAnsi="宋体" w:eastAsia="宋体" w:cs="宋体"/>
          <w:color w:val="auto"/>
          <w:highlight w:val="none"/>
        </w:rPr>
      </w:pPr>
    </w:p>
    <w:p w14:paraId="58AB159E">
      <w:pPr>
        <w:spacing w:line="360" w:lineRule="auto"/>
        <w:jc w:val="center"/>
        <w:outlineLvl w:val="9"/>
        <w:rPr>
          <w:rFonts w:hint="eastAsia" w:ascii="宋体" w:hAnsi="宋体" w:eastAsia="宋体" w:cs="宋体"/>
          <w:color w:val="auto"/>
          <w:spacing w:val="80"/>
          <w:sz w:val="112"/>
          <w:szCs w:val="112"/>
          <w:highlight w:val="none"/>
        </w:rPr>
      </w:pPr>
    </w:p>
    <w:p w14:paraId="045C2878">
      <w:pPr>
        <w:spacing w:line="360" w:lineRule="auto"/>
        <w:jc w:val="center"/>
        <w:outlineLvl w:val="0"/>
        <w:rPr>
          <w:rFonts w:hint="eastAsia" w:ascii="宋体" w:hAnsi="宋体" w:eastAsia="宋体" w:cs="宋体"/>
          <w:b/>
          <w:bCs/>
          <w:color w:val="auto"/>
          <w:spacing w:val="80"/>
          <w:sz w:val="112"/>
          <w:szCs w:val="112"/>
          <w:highlight w:val="none"/>
        </w:rPr>
      </w:pPr>
      <w:bookmarkStart w:id="242" w:name="_Toc13363"/>
      <w:bookmarkStart w:id="243" w:name="_Toc4239"/>
      <w:r>
        <w:rPr>
          <w:rFonts w:hint="eastAsia" w:ascii="宋体" w:hAnsi="宋体" w:eastAsia="宋体" w:cs="宋体"/>
          <w:b/>
          <w:bCs/>
          <w:color w:val="auto"/>
          <w:spacing w:val="80"/>
          <w:sz w:val="112"/>
          <w:szCs w:val="112"/>
          <w:highlight w:val="none"/>
        </w:rPr>
        <w:t>投标文件</w:t>
      </w:r>
      <w:bookmarkEnd w:id="242"/>
      <w:bookmarkEnd w:id="243"/>
    </w:p>
    <w:p w14:paraId="4C940F07">
      <w:pPr>
        <w:spacing w:line="360" w:lineRule="auto"/>
        <w:rPr>
          <w:rFonts w:hint="eastAsia" w:ascii="宋体" w:hAnsi="宋体" w:eastAsia="宋体" w:cs="宋体"/>
          <w:color w:val="auto"/>
          <w:sz w:val="32"/>
          <w:highlight w:val="none"/>
        </w:rPr>
      </w:pPr>
    </w:p>
    <w:p w14:paraId="43367557">
      <w:pPr>
        <w:spacing w:line="360" w:lineRule="auto"/>
        <w:jc w:val="center"/>
        <w:rPr>
          <w:rFonts w:hint="eastAsia" w:ascii="宋体" w:hAnsi="宋体" w:eastAsia="宋体" w:cs="宋体"/>
          <w:b/>
          <w:color w:val="auto"/>
          <w:sz w:val="36"/>
          <w:szCs w:val="36"/>
          <w:highlight w:val="none"/>
        </w:rPr>
      </w:pPr>
    </w:p>
    <w:p w14:paraId="221EB3A7">
      <w:pPr>
        <w:spacing w:line="360" w:lineRule="auto"/>
        <w:rPr>
          <w:rFonts w:hint="eastAsia" w:ascii="宋体" w:hAnsi="宋体" w:eastAsia="宋体" w:cs="宋体"/>
          <w:b/>
          <w:color w:val="auto"/>
          <w:sz w:val="36"/>
          <w:szCs w:val="36"/>
          <w:highlight w:val="none"/>
        </w:rPr>
      </w:pPr>
    </w:p>
    <w:p w14:paraId="792597E4">
      <w:pPr>
        <w:spacing w:line="360" w:lineRule="auto"/>
        <w:rPr>
          <w:rFonts w:hint="eastAsia" w:ascii="宋体" w:hAnsi="宋体" w:eastAsia="宋体" w:cs="宋体"/>
          <w:color w:val="auto"/>
          <w:sz w:val="36"/>
          <w:szCs w:val="36"/>
          <w:highlight w:val="none"/>
        </w:rPr>
      </w:pPr>
    </w:p>
    <w:p w14:paraId="03DE3764">
      <w:pPr>
        <w:spacing w:line="360" w:lineRule="auto"/>
        <w:rPr>
          <w:rFonts w:hint="eastAsia" w:ascii="宋体" w:hAnsi="宋体" w:eastAsia="宋体" w:cs="宋体"/>
          <w:color w:val="auto"/>
          <w:sz w:val="16"/>
          <w:szCs w:val="16"/>
          <w:highlight w:val="none"/>
        </w:rPr>
      </w:pPr>
      <w:r>
        <w:rPr>
          <w:rFonts w:hint="eastAsia" w:ascii="宋体" w:hAnsi="宋体" w:eastAsia="宋体" w:cs="宋体"/>
          <w:color w:val="auto"/>
          <w:sz w:val="36"/>
          <w:szCs w:val="36"/>
          <w:highlight w:val="none"/>
          <w:lang w:eastAsia="zh-CN"/>
        </w:rPr>
        <w:t>投标人</w:t>
      </w:r>
      <w:r>
        <w:rPr>
          <w:rFonts w:hint="eastAsia" w:ascii="宋体" w:hAnsi="宋体" w:eastAsia="宋体" w:cs="宋体"/>
          <w:color w:val="auto"/>
          <w:sz w:val="36"/>
          <w:szCs w:val="36"/>
          <w:highlight w:val="none"/>
        </w:rPr>
        <w:t>（公章）：</w:t>
      </w:r>
    </w:p>
    <w:p w14:paraId="0A278882">
      <w:pPr>
        <w:spacing w:line="360" w:lineRule="auto"/>
        <w:outlineLvl w:val="0"/>
        <w:rPr>
          <w:rFonts w:hint="eastAsia" w:ascii="宋体" w:hAnsi="宋体" w:eastAsia="宋体" w:cs="宋体"/>
          <w:color w:val="auto"/>
          <w:sz w:val="36"/>
          <w:szCs w:val="36"/>
          <w:highlight w:val="none"/>
        </w:rPr>
      </w:pPr>
      <w:bookmarkStart w:id="244" w:name="_Toc5671"/>
      <w:bookmarkStart w:id="245" w:name="_Toc2043"/>
      <w:bookmarkStart w:id="246" w:name="_Toc30568"/>
      <w:bookmarkStart w:id="247" w:name="_Toc28117"/>
      <w:r>
        <w:rPr>
          <w:rFonts w:hint="eastAsia" w:ascii="宋体" w:hAnsi="宋体" w:eastAsia="宋体" w:cs="宋体"/>
          <w:color w:val="auto"/>
          <w:sz w:val="36"/>
          <w:szCs w:val="36"/>
          <w:highlight w:val="none"/>
        </w:rPr>
        <w:t>地址：</w:t>
      </w:r>
      <w:bookmarkEnd w:id="244"/>
      <w:bookmarkEnd w:id="245"/>
      <w:bookmarkEnd w:id="246"/>
      <w:bookmarkEnd w:id="247"/>
    </w:p>
    <w:p w14:paraId="2705057B">
      <w:pPr>
        <w:spacing w:line="360" w:lineRule="auto"/>
        <w:outlineLvl w:val="0"/>
        <w:rPr>
          <w:rFonts w:hint="eastAsia" w:ascii="宋体" w:hAnsi="宋体" w:eastAsia="宋体" w:cs="宋体"/>
          <w:color w:val="auto"/>
          <w:sz w:val="36"/>
          <w:szCs w:val="36"/>
          <w:highlight w:val="none"/>
        </w:rPr>
      </w:pPr>
      <w:bookmarkStart w:id="248" w:name="_Toc2305"/>
      <w:bookmarkStart w:id="249" w:name="_Toc4551"/>
      <w:bookmarkStart w:id="250" w:name="_Toc19107"/>
      <w:bookmarkStart w:id="251" w:name="_Toc8076"/>
      <w:r>
        <w:rPr>
          <w:rFonts w:hint="eastAsia" w:ascii="宋体" w:hAnsi="宋体" w:eastAsia="宋体" w:cs="宋体"/>
          <w:color w:val="auto"/>
          <w:sz w:val="36"/>
          <w:szCs w:val="36"/>
          <w:highlight w:val="none"/>
        </w:rPr>
        <w:t>法定代表人或授权代表（签字）：</w:t>
      </w:r>
      <w:bookmarkEnd w:id="248"/>
      <w:bookmarkEnd w:id="249"/>
      <w:bookmarkEnd w:id="250"/>
      <w:bookmarkEnd w:id="251"/>
    </w:p>
    <w:p w14:paraId="73554B81">
      <w:pPr>
        <w:pStyle w:val="9"/>
        <w:spacing w:line="360" w:lineRule="auto"/>
        <w:rPr>
          <w:rFonts w:hint="eastAsia" w:ascii="宋体" w:hAnsi="宋体" w:eastAsia="宋体" w:cs="宋体"/>
          <w:color w:val="auto"/>
          <w:highlight w:val="none"/>
        </w:rPr>
      </w:pPr>
      <w:r>
        <w:rPr>
          <w:rFonts w:hint="eastAsia" w:ascii="宋体" w:hAnsi="宋体" w:eastAsia="宋体" w:cs="宋体"/>
          <w:color w:val="auto"/>
          <w:sz w:val="36"/>
          <w:szCs w:val="36"/>
          <w:highlight w:val="none"/>
        </w:rPr>
        <w:t>联系电话：</w:t>
      </w:r>
    </w:p>
    <w:p w14:paraId="2B863D6E">
      <w:pPr>
        <w:spacing w:line="360" w:lineRule="auto"/>
        <w:jc w:val="center"/>
        <w:outlineLvl w:val="0"/>
        <w:rPr>
          <w:rFonts w:hint="eastAsia" w:ascii="宋体" w:hAnsi="宋体" w:eastAsia="宋体" w:cs="宋体"/>
          <w:color w:val="auto"/>
          <w:sz w:val="36"/>
          <w:szCs w:val="36"/>
          <w:highlight w:val="none"/>
        </w:rPr>
      </w:pPr>
      <w:bookmarkStart w:id="252" w:name="_Toc23733"/>
      <w:bookmarkStart w:id="253" w:name="_Toc12308"/>
      <w:bookmarkStart w:id="254" w:name="_Toc29568"/>
      <w:bookmarkStart w:id="255" w:name="_Toc22352"/>
      <w:r>
        <w:rPr>
          <w:rFonts w:hint="eastAsia" w:ascii="宋体" w:hAnsi="宋体" w:eastAsia="宋体" w:cs="宋体"/>
          <w:color w:val="auto"/>
          <w:sz w:val="36"/>
          <w:szCs w:val="36"/>
          <w:highlight w:val="none"/>
        </w:rPr>
        <w:t>二〇二</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年   月   日</w:t>
      </w:r>
      <w:bookmarkEnd w:id="252"/>
      <w:bookmarkEnd w:id="253"/>
      <w:bookmarkEnd w:id="254"/>
      <w:bookmarkEnd w:id="255"/>
    </w:p>
    <w:p w14:paraId="096DE5B1">
      <w:pPr>
        <w:spacing w:line="360" w:lineRule="auto"/>
        <w:rPr>
          <w:rFonts w:hint="eastAsia" w:ascii="宋体" w:hAnsi="宋体" w:eastAsia="宋体" w:cs="宋体"/>
          <w:bCs/>
          <w:color w:val="auto"/>
          <w:sz w:val="24"/>
          <w:szCs w:val="24"/>
          <w:highlight w:val="none"/>
        </w:rPr>
      </w:pPr>
    </w:p>
    <w:p w14:paraId="5907BC0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26172B9">
      <w:pPr>
        <w:snapToGrid w:val="0"/>
        <w:spacing w:line="360" w:lineRule="auto"/>
        <w:outlineLvl w:val="0"/>
        <w:rPr>
          <w:rFonts w:hint="eastAsia" w:ascii="宋体" w:hAnsi="宋体" w:eastAsia="宋体" w:cs="宋体"/>
          <w:b/>
          <w:color w:val="auto"/>
          <w:sz w:val="24"/>
          <w:szCs w:val="24"/>
          <w:highlight w:val="none"/>
        </w:rPr>
      </w:pPr>
      <w:bookmarkStart w:id="256" w:name="_Toc15782"/>
      <w:bookmarkStart w:id="257" w:name="_Toc28037"/>
      <w:bookmarkStart w:id="258" w:name="_Toc16112"/>
      <w:bookmarkStart w:id="259" w:name="_Toc21952"/>
      <w:bookmarkStart w:id="260" w:name="_Toc19258"/>
      <w:r>
        <w:rPr>
          <w:rStyle w:val="45"/>
          <w:rFonts w:hint="eastAsia" w:ascii="宋体" w:hAnsi="宋体" w:eastAsia="宋体" w:cs="宋体"/>
          <w:b/>
          <w:bCs/>
          <w:color w:val="auto"/>
          <w:sz w:val="24"/>
          <w:szCs w:val="24"/>
          <w:highlight w:val="none"/>
        </w:rPr>
        <w:t>一、经济</w:t>
      </w:r>
      <w:bookmarkEnd w:id="241"/>
      <w:r>
        <w:rPr>
          <w:rStyle w:val="45"/>
          <w:rFonts w:hint="eastAsia" w:ascii="宋体" w:hAnsi="宋体" w:eastAsia="宋体" w:cs="宋体"/>
          <w:b/>
          <w:bCs/>
          <w:color w:val="auto"/>
          <w:sz w:val="24"/>
          <w:szCs w:val="24"/>
          <w:highlight w:val="none"/>
        </w:rPr>
        <w:t>部分</w:t>
      </w:r>
      <w:bookmarkEnd w:id="256"/>
      <w:bookmarkEnd w:id="257"/>
      <w:bookmarkEnd w:id="258"/>
      <w:bookmarkEnd w:id="259"/>
      <w:bookmarkEnd w:id="260"/>
    </w:p>
    <w:p w14:paraId="4A358315">
      <w:pPr>
        <w:snapToGrid w:val="0"/>
        <w:spacing w:line="360" w:lineRule="auto"/>
        <w:rPr>
          <w:rFonts w:hint="eastAsia" w:ascii="宋体" w:hAnsi="宋体" w:eastAsia="宋体" w:cs="宋体"/>
          <w:color w:val="auto"/>
          <w:sz w:val="24"/>
          <w:szCs w:val="44"/>
          <w:highlight w:val="none"/>
        </w:rPr>
      </w:pPr>
      <w:r>
        <w:rPr>
          <w:rFonts w:hint="eastAsia" w:ascii="宋体" w:hAnsi="宋体" w:eastAsia="宋体" w:cs="宋体"/>
          <w:color w:val="auto"/>
          <w:sz w:val="24"/>
          <w:szCs w:val="44"/>
          <w:highlight w:val="none"/>
        </w:rPr>
        <w:t>（一）比选报价函</w:t>
      </w:r>
    </w:p>
    <w:p w14:paraId="3E349163">
      <w:pPr>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比选报价函</w:t>
      </w:r>
    </w:p>
    <w:p w14:paraId="029687A4">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3334336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我方收到____________________________（项目名称）的竞争性比选文件，经详细研究，决定参加该项目的比选。</w:t>
      </w:r>
    </w:p>
    <w:p w14:paraId="69DDF63F">
      <w:pPr>
        <w:keepNext w:val="0"/>
        <w:keepLines w:val="0"/>
        <w:pageBreakBefore w:val="0"/>
        <w:widowControl w:val="0"/>
        <w:numPr>
          <w:ilvl w:val="0"/>
          <w:numId w:val="0"/>
        </w:numPr>
        <w:tabs>
          <w:tab w:val="left" w:pos="0"/>
          <w:tab w:val="left" w:pos="6300"/>
        </w:tabs>
        <w:kinsoku/>
        <w:wordWrap/>
        <w:overflowPunct/>
        <w:topLinePunct w:val="0"/>
        <w:autoSpaceDE/>
        <w:autoSpaceDN/>
        <w:bidi w:val="0"/>
        <w:adjustRightInd/>
        <w:snapToGrid w:val="0"/>
        <w:spacing w:line="360" w:lineRule="auto"/>
        <w:ind w:leftChars="19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1、愿意按照竞争性比选文件中的一切要求，提供本项目的服务，</w:t>
      </w:r>
      <w:r>
        <w:rPr>
          <w:rFonts w:hint="eastAsia" w:ascii="宋体" w:hAnsi="宋体" w:eastAsia="宋体" w:cs="宋体"/>
          <w:color w:val="auto"/>
          <w:sz w:val="24"/>
          <w:szCs w:val="24"/>
          <w:highlight w:val="none"/>
          <w:lang w:val="en-US" w:eastAsia="zh-CN"/>
        </w:rPr>
        <w:t>本项目投标报价费率为</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百分之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小写：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33207EF0">
      <w:pPr>
        <w:tabs>
          <w:tab w:val="left" w:pos="6300"/>
        </w:tabs>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2、我方现提交的投标文件为：投标文件正本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3B670BC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3、我方承诺：本次比选的有效期为90天。</w:t>
      </w:r>
    </w:p>
    <w:p w14:paraId="00CB20B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4、我方完全理解和接受贵方竞争性比选文件的一切规定和要求及评审办法。</w:t>
      </w:r>
    </w:p>
    <w:p w14:paraId="515C13D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5、在整个比选过程中，我方若有违规行为，接受按照《中华人民共和国政府采购法》和《比选文件》之规定给予惩罚。</w:t>
      </w:r>
    </w:p>
    <w:p w14:paraId="6DA088F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，将按照最终比选结果签订合同，并且严格履行合同义务。本承诺函将成为合同不可分割的一部分，与合同具有同等的法律效力。</w:t>
      </w:r>
    </w:p>
    <w:p w14:paraId="3B183EC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7、我方同意按竞争性比选文件规定，交纳竞争性比选文件要求的比选保证金。</w:t>
      </w:r>
    </w:p>
    <w:p w14:paraId="3C4EBD46">
      <w:pPr>
        <w:tabs>
          <w:tab w:val="left" w:pos="6300"/>
        </w:tabs>
        <w:snapToGrid w:val="0"/>
        <w:spacing w:line="360" w:lineRule="auto"/>
        <w:ind w:firstLine="57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若我方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，愿意按有关规定及</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文件要求缴纳招标代理服务费</w:t>
      </w:r>
      <w:r>
        <w:rPr>
          <w:rFonts w:hint="eastAsia" w:ascii="宋体" w:hAnsi="宋体" w:eastAsia="宋体" w:cs="宋体"/>
          <w:color w:val="auto"/>
          <w:sz w:val="24"/>
          <w:szCs w:val="24"/>
          <w:highlight w:val="none"/>
          <w:lang w:eastAsia="zh-CN"/>
        </w:rPr>
        <w:t>。</w:t>
      </w:r>
    </w:p>
    <w:p w14:paraId="5D087798">
      <w:pPr>
        <w:tabs>
          <w:tab w:val="left" w:pos="6300"/>
        </w:tabs>
        <w:snapToGrid w:val="0"/>
        <w:spacing w:line="360" w:lineRule="auto"/>
        <w:ind w:firstLine="570"/>
        <w:rPr>
          <w:rFonts w:hint="eastAsia" w:ascii="宋体" w:hAnsi="宋体" w:eastAsia="宋体" w:cs="宋体"/>
          <w:color w:val="auto"/>
          <w:sz w:val="24"/>
          <w:szCs w:val="24"/>
          <w:highlight w:val="none"/>
        </w:rPr>
      </w:pPr>
    </w:p>
    <w:p w14:paraId="2ECAA15C">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52BEA4D6">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CC9E496">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3C2A83FF">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A574609">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E249D51">
      <w:pPr>
        <w:tabs>
          <w:tab w:val="left" w:pos="6300"/>
        </w:tabs>
        <w:snapToGrid w:val="0"/>
        <w:spacing w:line="360" w:lineRule="auto"/>
        <w:ind w:firstLine="570"/>
        <w:rPr>
          <w:rFonts w:hint="eastAsia" w:ascii="宋体" w:hAnsi="宋体" w:eastAsia="宋体" w:cs="宋体"/>
          <w:color w:val="auto"/>
          <w:sz w:val="24"/>
          <w:szCs w:val="24"/>
          <w:highlight w:val="none"/>
        </w:rPr>
      </w:pPr>
    </w:p>
    <w:p w14:paraId="79B64EB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80D6C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AA3579">
      <w:pPr>
        <w:snapToGrid w:val="0"/>
        <w:spacing w:line="360" w:lineRule="auto"/>
        <w:outlineLvl w:val="0"/>
        <w:rPr>
          <w:rStyle w:val="45"/>
          <w:rFonts w:hint="eastAsia" w:ascii="宋体" w:hAnsi="宋体" w:eastAsia="宋体" w:cs="宋体"/>
          <w:b/>
          <w:bCs/>
          <w:color w:val="auto"/>
          <w:sz w:val="24"/>
          <w:szCs w:val="24"/>
          <w:highlight w:val="none"/>
        </w:rPr>
      </w:pPr>
      <w:bookmarkStart w:id="261" w:name="_Toc6315"/>
      <w:bookmarkStart w:id="262" w:name="_Toc15999"/>
      <w:bookmarkStart w:id="263" w:name="_Toc19014"/>
      <w:bookmarkStart w:id="264" w:name="_Toc26248"/>
      <w:bookmarkStart w:id="265" w:name="_Toc31572"/>
      <w:bookmarkStart w:id="266" w:name="_Toc439685512"/>
      <w:bookmarkStart w:id="267" w:name="_Toc342913421"/>
      <w:bookmarkStart w:id="268" w:name="_Toc313008358"/>
      <w:bookmarkStart w:id="269" w:name="_Toc313888362"/>
      <w:bookmarkStart w:id="270" w:name="_Toc429584885"/>
      <w:r>
        <w:rPr>
          <w:rStyle w:val="45"/>
          <w:rFonts w:hint="eastAsia" w:ascii="宋体" w:hAnsi="宋体" w:eastAsia="宋体" w:cs="宋体"/>
          <w:b/>
          <w:bCs/>
          <w:color w:val="auto"/>
          <w:sz w:val="24"/>
          <w:szCs w:val="24"/>
          <w:highlight w:val="none"/>
        </w:rPr>
        <w:t>二、服务部分</w:t>
      </w:r>
      <w:bookmarkEnd w:id="261"/>
      <w:bookmarkEnd w:id="262"/>
      <w:bookmarkEnd w:id="263"/>
    </w:p>
    <w:bookmarkEnd w:id="264"/>
    <w:bookmarkEnd w:id="265"/>
    <w:p w14:paraId="302F9BEE">
      <w:pPr>
        <w:tabs>
          <w:tab w:val="left" w:pos="6300"/>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14:paraId="22CD12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9DFCFB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（二）服务响应偏离表（本表可自行设计格式）</w:t>
      </w:r>
    </w:p>
    <w:p w14:paraId="703BC3A1">
      <w:pPr>
        <w:spacing w:line="360" w:lineRule="auto"/>
        <w:ind w:firstLine="480" w:firstLineChars="200"/>
        <w:rPr>
          <w:rFonts w:hint="eastAsia" w:ascii="宋体" w:hAnsi="宋体" w:eastAsia="宋体" w:cs="宋体"/>
          <w:color w:val="auto"/>
          <w:sz w:val="24"/>
          <w:szCs w:val="24"/>
          <w:highlight w:val="none"/>
        </w:rPr>
      </w:pPr>
    </w:p>
    <w:p w14:paraId="6D8AE2FC">
      <w:pPr>
        <w:spacing w:line="360" w:lineRule="auto"/>
        <w:ind w:firstLine="723"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6"/>
          <w:szCs w:val="36"/>
          <w:highlight w:val="none"/>
        </w:rPr>
        <w:t>服务响应偏离表</w:t>
      </w:r>
    </w:p>
    <w:p w14:paraId="03717F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采购执行编号：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0E0031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2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822"/>
        <w:gridCol w:w="2759"/>
        <w:gridCol w:w="2067"/>
      </w:tblGrid>
      <w:tr w14:paraId="3D80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4" w:type="dxa"/>
            <w:vAlign w:val="center"/>
          </w:tcPr>
          <w:p w14:paraId="07A03A3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1" w:name="_Toc15959"/>
            <w:bookmarkStart w:id="272" w:name="_Toc27970"/>
            <w:bookmarkStart w:id="273" w:name="_Toc9148"/>
            <w:bookmarkStart w:id="274" w:name="_Toc3655"/>
            <w:r>
              <w:rPr>
                <w:rFonts w:hint="eastAsia" w:ascii="宋体" w:hAnsi="宋体" w:eastAsia="宋体" w:cs="宋体"/>
                <w:color w:val="auto"/>
                <w:sz w:val="24"/>
                <w:szCs w:val="24"/>
                <w:highlight w:val="none"/>
              </w:rPr>
              <w:t>序号</w:t>
            </w:r>
            <w:bookmarkEnd w:id="271"/>
            <w:bookmarkEnd w:id="272"/>
            <w:bookmarkEnd w:id="273"/>
            <w:bookmarkEnd w:id="274"/>
          </w:p>
        </w:tc>
        <w:tc>
          <w:tcPr>
            <w:tcW w:w="2822" w:type="dxa"/>
            <w:vAlign w:val="center"/>
          </w:tcPr>
          <w:p w14:paraId="13D036FE">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5" w:name="_Toc17259"/>
            <w:bookmarkStart w:id="276" w:name="_Toc31348"/>
            <w:bookmarkStart w:id="277" w:name="_Toc7055"/>
            <w:bookmarkStart w:id="278" w:name="_Toc110"/>
            <w:r>
              <w:rPr>
                <w:rFonts w:hint="eastAsia" w:ascii="宋体" w:hAnsi="宋体" w:eastAsia="宋体" w:cs="宋体"/>
                <w:color w:val="auto"/>
                <w:sz w:val="24"/>
                <w:szCs w:val="24"/>
                <w:highlight w:val="none"/>
              </w:rPr>
              <w:t>采购需求</w:t>
            </w:r>
            <w:bookmarkEnd w:id="275"/>
            <w:bookmarkEnd w:id="276"/>
            <w:bookmarkEnd w:id="277"/>
            <w:bookmarkEnd w:id="278"/>
          </w:p>
        </w:tc>
        <w:tc>
          <w:tcPr>
            <w:tcW w:w="2759" w:type="dxa"/>
            <w:vAlign w:val="center"/>
          </w:tcPr>
          <w:p w14:paraId="2AAD830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9" w:name="_Toc12475"/>
            <w:bookmarkStart w:id="280" w:name="_Toc20339"/>
            <w:bookmarkStart w:id="281" w:name="_Toc12685"/>
            <w:bookmarkStart w:id="282" w:name="_Toc11681"/>
            <w:r>
              <w:rPr>
                <w:rFonts w:hint="eastAsia" w:ascii="宋体" w:hAnsi="宋体" w:eastAsia="宋体" w:cs="宋体"/>
                <w:color w:val="auto"/>
                <w:sz w:val="24"/>
                <w:szCs w:val="24"/>
                <w:highlight w:val="none"/>
              </w:rPr>
              <w:t>响应情况</w:t>
            </w:r>
            <w:bookmarkEnd w:id="279"/>
            <w:bookmarkEnd w:id="280"/>
            <w:bookmarkEnd w:id="281"/>
            <w:bookmarkEnd w:id="282"/>
          </w:p>
        </w:tc>
        <w:tc>
          <w:tcPr>
            <w:tcW w:w="2067" w:type="dxa"/>
            <w:vAlign w:val="center"/>
          </w:tcPr>
          <w:p w14:paraId="27F98D2B">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83" w:name="_Toc22199"/>
            <w:bookmarkStart w:id="284" w:name="_Toc20030"/>
            <w:bookmarkStart w:id="285" w:name="_Toc28260"/>
            <w:bookmarkStart w:id="286" w:name="_Toc20996"/>
            <w:r>
              <w:rPr>
                <w:rFonts w:hint="eastAsia" w:ascii="宋体" w:hAnsi="宋体" w:eastAsia="宋体" w:cs="宋体"/>
                <w:color w:val="auto"/>
                <w:sz w:val="24"/>
                <w:szCs w:val="24"/>
                <w:highlight w:val="none"/>
              </w:rPr>
              <w:t>偏离说明</w:t>
            </w:r>
            <w:bookmarkEnd w:id="283"/>
            <w:bookmarkEnd w:id="284"/>
            <w:bookmarkEnd w:id="285"/>
            <w:bookmarkEnd w:id="286"/>
          </w:p>
        </w:tc>
      </w:tr>
      <w:tr w14:paraId="7C77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DE1EAAD">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69CD53B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1B6DD9F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47455EF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10FC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A57ADD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099D887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5878D13D">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6ACB2A4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DF2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CF9532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3303CE2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114C957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793D609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68EF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1EB6F9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5728A6D7">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E38479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6764BDA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101B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1C13AD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36A74CD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5B28977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77B1EBB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0C6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3890C07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7EB5890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CF5758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26A11E8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2880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6272E69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5748FE3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6FE117B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50A21F4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B65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750F151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19B944B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B660BA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53C6871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14:paraId="399C06D3">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法人授权代表：</w:t>
      </w:r>
    </w:p>
    <w:p w14:paraId="56014461">
      <w:pPr>
        <w:spacing w:line="360" w:lineRule="auto"/>
        <w:rPr>
          <w:rFonts w:hint="eastAsia" w:ascii="宋体" w:hAnsi="宋体" w:eastAsia="宋体" w:cs="宋体"/>
          <w:color w:val="auto"/>
          <w:sz w:val="24"/>
          <w:szCs w:val="24"/>
          <w:highlight w:val="none"/>
        </w:rPr>
      </w:pPr>
    </w:p>
    <w:p w14:paraId="09CD0C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369F07C5">
      <w:pPr>
        <w:tabs>
          <w:tab w:val="left" w:pos="6300"/>
        </w:tabs>
        <w:snapToGrid w:val="0"/>
        <w:spacing w:line="360" w:lineRule="auto"/>
        <w:ind w:firstLine="7848" w:firstLineChars="3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3CFFB5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12E4012">
      <w:pPr>
        <w:tabs>
          <w:tab w:val="left" w:pos="630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 xml:space="preserve">.本表即为对本项目“第二篇 </w:t>
      </w:r>
      <w:r>
        <w:rPr>
          <w:rFonts w:hint="eastAsia" w:ascii="宋体" w:hAnsi="宋体" w:eastAsia="宋体" w:cs="宋体"/>
          <w:color w:val="auto"/>
          <w:sz w:val="24"/>
          <w:highlight w:val="none"/>
          <w:lang w:val="en-US" w:eastAsia="zh-CN"/>
        </w:rPr>
        <w:t>项目服务需求</w:t>
      </w:r>
      <w:r>
        <w:rPr>
          <w:rFonts w:hint="eastAsia" w:ascii="宋体" w:hAnsi="宋体" w:eastAsia="宋体" w:cs="宋体"/>
          <w:color w:val="auto"/>
          <w:sz w:val="24"/>
          <w:highlight w:val="none"/>
        </w:rPr>
        <w:t>”中所列条款进行比较和响应；</w:t>
      </w:r>
    </w:p>
    <w:p w14:paraId="7103150C">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2.该表可拓展。</w:t>
      </w:r>
    </w:p>
    <w:p w14:paraId="6179D277">
      <w:pPr>
        <w:spacing w:line="360" w:lineRule="auto"/>
        <w:ind w:firstLine="600" w:firstLineChars="250"/>
        <w:rPr>
          <w:rFonts w:hint="eastAsia" w:ascii="宋体" w:hAnsi="宋体" w:eastAsia="宋体" w:cs="宋体"/>
          <w:color w:val="auto"/>
          <w:sz w:val="24"/>
          <w:szCs w:val="24"/>
          <w:highlight w:val="none"/>
        </w:rPr>
      </w:pPr>
    </w:p>
    <w:p w14:paraId="018E93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18819F">
      <w:pPr>
        <w:snapToGrid w:val="0"/>
        <w:spacing w:line="360" w:lineRule="auto"/>
        <w:outlineLvl w:val="0"/>
        <w:rPr>
          <w:rStyle w:val="45"/>
          <w:rFonts w:hint="eastAsia" w:ascii="宋体" w:hAnsi="宋体" w:eastAsia="宋体" w:cs="宋体"/>
          <w:b/>
          <w:bCs/>
          <w:color w:val="auto"/>
          <w:sz w:val="24"/>
          <w:szCs w:val="24"/>
          <w:highlight w:val="none"/>
        </w:rPr>
      </w:pPr>
      <w:bookmarkStart w:id="287" w:name="_Toc31655"/>
      <w:bookmarkStart w:id="288" w:name="_Toc11245"/>
      <w:bookmarkStart w:id="289" w:name="_Toc17454"/>
      <w:bookmarkStart w:id="290" w:name="_Toc2013"/>
      <w:bookmarkStart w:id="291" w:name="_Toc31607"/>
      <w:r>
        <w:rPr>
          <w:rStyle w:val="45"/>
          <w:rFonts w:hint="eastAsia" w:ascii="宋体" w:hAnsi="宋体" w:eastAsia="宋体" w:cs="宋体"/>
          <w:b/>
          <w:bCs/>
          <w:color w:val="auto"/>
          <w:sz w:val="24"/>
          <w:szCs w:val="24"/>
          <w:highlight w:val="none"/>
        </w:rPr>
        <w:t>三、商务部分</w:t>
      </w:r>
      <w:bookmarkEnd w:id="266"/>
      <w:bookmarkEnd w:id="267"/>
      <w:bookmarkEnd w:id="268"/>
      <w:bookmarkEnd w:id="269"/>
      <w:bookmarkEnd w:id="287"/>
      <w:bookmarkEnd w:id="288"/>
      <w:bookmarkEnd w:id="289"/>
    </w:p>
    <w:bookmarkEnd w:id="290"/>
    <w:bookmarkEnd w:id="291"/>
    <w:p w14:paraId="2E8F80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（一）商务要求响应情况：服务时间、服务地点、优惠承诺等（格式自定）</w:t>
      </w:r>
    </w:p>
    <w:p w14:paraId="0D2ABD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D62AA9C">
      <w:pPr>
        <w:spacing w:line="360" w:lineRule="auto"/>
        <w:ind w:firstLine="600" w:firstLineChars="250"/>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（二）商务响应偏离表（本表可自行设计格式）</w:t>
      </w:r>
    </w:p>
    <w:p w14:paraId="48774569">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商务响应偏离表</w:t>
      </w:r>
    </w:p>
    <w:p w14:paraId="73969D84">
      <w:pPr>
        <w:spacing w:line="360" w:lineRule="auto"/>
        <w:ind w:firstLine="480" w:firstLineChars="200"/>
        <w:rPr>
          <w:rFonts w:hint="eastAsia" w:ascii="宋体" w:hAnsi="宋体" w:eastAsia="宋体" w:cs="宋体"/>
          <w:color w:val="auto"/>
          <w:sz w:val="24"/>
          <w:szCs w:val="24"/>
          <w:highlight w:val="none"/>
        </w:rPr>
      </w:pPr>
    </w:p>
    <w:p w14:paraId="1FA92EA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采购执行编号：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49AC3C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27"/>
        <w:tblW w:w="8932"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312"/>
        <w:gridCol w:w="2434"/>
        <w:gridCol w:w="2355"/>
      </w:tblGrid>
      <w:tr w14:paraId="2E41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1" w:type="dxa"/>
            <w:vAlign w:val="center"/>
          </w:tcPr>
          <w:p w14:paraId="4E774B43">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92" w:name="_Toc30351"/>
            <w:bookmarkStart w:id="293" w:name="_Toc1993"/>
            <w:bookmarkStart w:id="294" w:name="_Toc19066"/>
            <w:bookmarkStart w:id="295" w:name="_Toc4107"/>
            <w:r>
              <w:rPr>
                <w:rFonts w:hint="eastAsia" w:ascii="宋体" w:hAnsi="宋体" w:eastAsia="宋体" w:cs="宋体"/>
                <w:color w:val="auto"/>
                <w:sz w:val="24"/>
                <w:szCs w:val="24"/>
                <w:highlight w:val="none"/>
              </w:rPr>
              <w:t>序号</w:t>
            </w:r>
            <w:bookmarkEnd w:id="292"/>
            <w:bookmarkEnd w:id="293"/>
            <w:bookmarkEnd w:id="294"/>
            <w:bookmarkEnd w:id="295"/>
          </w:p>
        </w:tc>
        <w:tc>
          <w:tcPr>
            <w:tcW w:w="3312" w:type="dxa"/>
            <w:vAlign w:val="center"/>
          </w:tcPr>
          <w:p w14:paraId="14604746">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96" w:name="_Toc9592"/>
            <w:bookmarkStart w:id="297" w:name="_Toc2913"/>
            <w:bookmarkStart w:id="298" w:name="_Toc12562"/>
            <w:bookmarkStart w:id="299" w:name="_Toc25602"/>
            <w:r>
              <w:rPr>
                <w:rFonts w:hint="eastAsia" w:ascii="宋体" w:hAnsi="宋体" w:eastAsia="宋体" w:cs="宋体"/>
                <w:color w:val="auto"/>
                <w:sz w:val="24"/>
                <w:szCs w:val="24"/>
                <w:highlight w:val="none"/>
              </w:rPr>
              <w:t>比选项目需求</w:t>
            </w:r>
            <w:bookmarkEnd w:id="296"/>
            <w:bookmarkEnd w:id="297"/>
            <w:bookmarkEnd w:id="298"/>
            <w:bookmarkEnd w:id="299"/>
          </w:p>
        </w:tc>
        <w:tc>
          <w:tcPr>
            <w:tcW w:w="2434" w:type="dxa"/>
            <w:vAlign w:val="center"/>
          </w:tcPr>
          <w:p w14:paraId="1EE53CF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300" w:name="_Toc27006"/>
            <w:bookmarkStart w:id="301" w:name="_Toc6203"/>
            <w:bookmarkStart w:id="302" w:name="_Toc28760"/>
            <w:bookmarkStart w:id="303" w:name="_Toc20447"/>
            <w:r>
              <w:rPr>
                <w:rFonts w:hint="eastAsia" w:ascii="宋体" w:hAnsi="宋体" w:eastAsia="宋体" w:cs="宋体"/>
                <w:color w:val="auto"/>
                <w:sz w:val="24"/>
                <w:szCs w:val="24"/>
                <w:highlight w:val="none"/>
              </w:rPr>
              <w:t>响应情况</w:t>
            </w:r>
            <w:bookmarkEnd w:id="300"/>
            <w:bookmarkEnd w:id="301"/>
            <w:bookmarkEnd w:id="302"/>
            <w:bookmarkEnd w:id="303"/>
          </w:p>
        </w:tc>
        <w:tc>
          <w:tcPr>
            <w:tcW w:w="2355" w:type="dxa"/>
            <w:vAlign w:val="center"/>
          </w:tcPr>
          <w:p w14:paraId="6944144A">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304" w:name="_Toc19577"/>
            <w:bookmarkStart w:id="305" w:name="_Toc32172"/>
            <w:bookmarkStart w:id="306" w:name="_Toc26105"/>
            <w:bookmarkStart w:id="307" w:name="_Toc22639"/>
            <w:r>
              <w:rPr>
                <w:rFonts w:hint="eastAsia" w:ascii="宋体" w:hAnsi="宋体" w:eastAsia="宋体" w:cs="宋体"/>
                <w:color w:val="auto"/>
                <w:sz w:val="24"/>
                <w:szCs w:val="24"/>
                <w:highlight w:val="none"/>
              </w:rPr>
              <w:t>偏离说明</w:t>
            </w:r>
            <w:bookmarkEnd w:id="304"/>
            <w:bookmarkEnd w:id="305"/>
            <w:bookmarkEnd w:id="306"/>
            <w:bookmarkEnd w:id="307"/>
          </w:p>
        </w:tc>
      </w:tr>
      <w:tr w14:paraId="078C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75093F9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4ACBDFE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2ADB34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008AC71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0A8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83F91E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2E8F5A4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5253B20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1DC8375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A60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1170E1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37A27FB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F3F33E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7392C55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702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A92473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1B7E219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78C882F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5CB4FF9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29F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831" w:type="dxa"/>
            <w:vAlign w:val="center"/>
          </w:tcPr>
          <w:p w14:paraId="3EB909D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611F45F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5F89F2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5BED74E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2EB5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45995C5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2A76799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0937D90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1DEC87A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14:paraId="064B1B16">
      <w:pPr>
        <w:snapToGrid w:val="0"/>
        <w:spacing w:line="360" w:lineRule="auto"/>
        <w:ind w:firstLine="465"/>
        <w:rPr>
          <w:rFonts w:hint="eastAsia" w:ascii="宋体" w:hAnsi="宋体" w:eastAsia="宋体" w:cs="宋体"/>
          <w:color w:val="auto"/>
          <w:sz w:val="24"/>
          <w:szCs w:val="24"/>
          <w:highlight w:val="none"/>
        </w:rPr>
      </w:pPr>
    </w:p>
    <w:p w14:paraId="28E081DD">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法人授权代表：</w:t>
      </w:r>
    </w:p>
    <w:p w14:paraId="445D9FA4">
      <w:pPr>
        <w:spacing w:line="360" w:lineRule="auto"/>
        <w:rPr>
          <w:rFonts w:hint="eastAsia" w:ascii="宋体" w:hAnsi="宋体" w:eastAsia="宋体" w:cs="宋体"/>
          <w:color w:val="auto"/>
          <w:sz w:val="24"/>
          <w:szCs w:val="24"/>
          <w:highlight w:val="none"/>
        </w:rPr>
      </w:pPr>
    </w:p>
    <w:p w14:paraId="77D97D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22F0A775">
      <w:pPr>
        <w:tabs>
          <w:tab w:val="left" w:pos="6300"/>
        </w:tabs>
        <w:snapToGrid w:val="0"/>
        <w:spacing w:line="360" w:lineRule="auto"/>
        <w:ind w:firstLine="7848" w:firstLineChars="3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539CF9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8103306">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 xml:space="preserve">篇 </w:t>
      </w:r>
      <w:r>
        <w:rPr>
          <w:rFonts w:hint="eastAsia" w:ascii="宋体" w:hAnsi="宋体" w:eastAsia="宋体" w:cs="宋体"/>
          <w:color w:val="auto"/>
          <w:sz w:val="24"/>
          <w:highlight w:val="none"/>
          <w:lang w:val="en-US" w:eastAsia="zh-CN"/>
        </w:rPr>
        <w:t>项目商务需求</w:t>
      </w:r>
      <w:r>
        <w:rPr>
          <w:rFonts w:hint="eastAsia" w:ascii="宋体" w:hAnsi="宋体" w:eastAsia="宋体" w:cs="宋体"/>
          <w:color w:val="auto"/>
          <w:sz w:val="24"/>
          <w:highlight w:val="none"/>
        </w:rPr>
        <w:t>”中所列条款进行比较和响应；</w:t>
      </w:r>
    </w:p>
    <w:p w14:paraId="49B335D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2.该表可拓展</w:t>
      </w:r>
    </w:p>
    <w:p w14:paraId="3EB83A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BCD7C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（三）商务评分需提供的资料</w:t>
      </w:r>
    </w:p>
    <w:p w14:paraId="5D72C29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根据“第四篇 评审标准”提供相关材料（格式自定）</w:t>
      </w:r>
    </w:p>
    <w:p w14:paraId="46FB6AE9">
      <w:pPr>
        <w:spacing w:line="360" w:lineRule="auto"/>
        <w:ind w:firstLine="480" w:firstLineChars="200"/>
        <w:jc w:val="right"/>
        <w:rPr>
          <w:rFonts w:hint="eastAsia" w:ascii="宋体" w:hAnsi="宋体" w:eastAsia="宋体" w:cs="宋体"/>
          <w:color w:val="auto"/>
          <w:sz w:val="24"/>
          <w:szCs w:val="24"/>
          <w:highlight w:val="none"/>
        </w:rPr>
      </w:pPr>
    </w:p>
    <w:p w14:paraId="51A36F2A">
      <w:pPr>
        <w:spacing w:line="360" w:lineRule="auto"/>
        <w:ind w:firstLine="480" w:firstLineChars="200"/>
        <w:rPr>
          <w:rFonts w:hint="eastAsia" w:ascii="宋体" w:hAnsi="宋体" w:eastAsia="宋体" w:cs="宋体"/>
          <w:color w:val="auto"/>
          <w:sz w:val="24"/>
          <w:szCs w:val="24"/>
          <w:highlight w:val="none"/>
        </w:rPr>
        <w:sectPr>
          <w:footerReference r:id="rId11" w:type="default"/>
          <w:pgSz w:w="11907" w:h="16840"/>
          <w:pgMar w:top="1134" w:right="1134" w:bottom="1134" w:left="1134" w:header="851" w:footer="992" w:gutter="0"/>
          <w:pgNumType w:fmt="decimal"/>
          <w:cols w:space="720" w:num="1"/>
          <w:docGrid w:linePitch="380" w:charSpace="-5735"/>
        </w:sectPr>
      </w:pPr>
    </w:p>
    <w:bookmarkEnd w:id="270"/>
    <w:p w14:paraId="28A82ECC">
      <w:pPr>
        <w:snapToGrid w:val="0"/>
        <w:spacing w:line="360" w:lineRule="auto"/>
        <w:outlineLvl w:val="0"/>
        <w:rPr>
          <w:rStyle w:val="45"/>
          <w:rFonts w:hint="eastAsia" w:ascii="宋体" w:hAnsi="宋体" w:eastAsia="宋体" w:cs="宋体"/>
          <w:b/>
          <w:bCs/>
          <w:color w:val="auto"/>
          <w:sz w:val="24"/>
          <w:szCs w:val="24"/>
          <w:highlight w:val="none"/>
        </w:rPr>
      </w:pPr>
      <w:bookmarkStart w:id="308" w:name="_Toc12555"/>
      <w:bookmarkStart w:id="309" w:name="_Toc342913422"/>
      <w:bookmarkStart w:id="310" w:name="_Toc506310400"/>
      <w:bookmarkStart w:id="311" w:name="_Toc313888363"/>
      <w:bookmarkStart w:id="312" w:name="_Toc11032"/>
      <w:bookmarkStart w:id="313" w:name="_Toc313008359"/>
      <w:bookmarkStart w:id="314" w:name="_Toc31073"/>
      <w:bookmarkStart w:id="315" w:name="_Toc17415"/>
      <w:bookmarkStart w:id="316" w:name="_Toc3255"/>
      <w:r>
        <w:rPr>
          <w:rStyle w:val="45"/>
          <w:rFonts w:hint="eastAsia" w:ascii="宋体" w:hAnsi="宋体" w:eastAsia="宋体" w:cs="宋体"/>
          <w:b/>
          <w:bCs/>
          <w:color w:val="auto"/>
          <w:sz w:val="24"/>
          <w:szCs w:val="24"/>
          <w:highlight w:val="none"/>
        </w:rPr>
        <w:t>四、资格条件及其他</w:t>
      </w:r>
      <w:bookmarkEnd w:id="308"/>
      <w:bookmarkEnd w:id="309"/>
      <w:bookmarkEnd w:id="310"/>
      <w:bookmarkEnd w:id="311"/>
      <w:bookmarkEnd w:id="312"/>
      <w:bookmarkEnd w:id="313"/>
      <w:bookmarkEnd w:id="314"/>
    </w:p>
    <w:bookmarkEnd w:id="315"/>
    <w:bookmarkEnd w:id="316"/>
    <w:p w14:paraId="5E22E1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法人营业执照（副本）或事业单位法人证书（副本）或个体工商户营业执照或有效的自然人身份证明或社会团体法人登记证书（提供复印件）</w:t>
      </w:r>
    </w:p>
    <w:p w14:paraId="15D30C21">
      <w:pPr>
        <w:spacing w:line="360" w:lineRule="auto"/>
        <w:rPr>
          <w:rFonts w:hint="eastAsia" w:ascii="宋体" w:hAnsi="宋体" w:eastAsia="宋体" w:cs="宋体"/>
          <w:color w:val="auto"/>
          <w:sz w:val="24"/>
          <w:szCs w:val="24"/>
          <w:highlight w:val="none"/>
        </w:rPr>
      </w:pPr>
    </w:p>
    <w:p w14:paraId="514A57C8">
      <w:pPr>
        <w:spacing w:line="360" w:lineRule="auto"/>
        <w:rPr>
          <w:rFonts w:hint="eastAsia" w:ascii="宋体" w:hAnsi="宋体" w:eastAsia="宋体" w:cs="宋体"/>
          <w:color w:val="auto"/>
          <w:sz w:val="24"/>
          <w:szCs w:val="24"/>
          <w:highlight w:val="none"/>
        </w:rPr>
      </w:pPr>
    </w:p>
    <w:p w14:paraId="0A048BEF">
      <w:pPr>
        <w:spacing w:line="360" w:lineRule="auto"/>
        <w:rPr>
          <w:rFonts w:hint="eastAsia" w:ascii="宋体" w:hAnsi="宋体" w:eastAsia="宋体" w:cs="宋体"/>
          <w:color w:val="auto"/>
          <w:sz w:val="24"/>
          <w:szCs w:val="24"/>
          <w:highlight w:val="none"/>
        </w:rPr>
      </w:pPr>
    </w:p>
    <w:p w14:paraId="13CA274A">
      <w:pPr>
        <w:spacing w:line="360" w:lineRule="auto"/>
        <w:rPr>
          <w:rFonts w:hint="eastAsia" w:ascii="宋体" w:hAnsi="宋体" w:eastAsia="宋体" w:cs="宋体"/>
          <w:color w:val="auto"/>
          <w:sz w:val="24"/>
          <w:szCs w:val="24"/>
          <w:highlight w:val="none"/>
        </w:rPr>
      </w:pPr>
    </w:p>
    <w:p w14:paraId="1F6C6A6A">
      <w:pPr>
        <w:spacing w:line="360" w:lineRule="auto"/>
        <w:rPr>
          <w:rFonts w:hint="eastAsia" w:ascii="宋体" w:hAnsi="宋体" w:eastAsia="宋体" w:cs="宋体"/>
          <w:color w:val="auto"/>
          <w:sz w:val="24"/>
          <w:szCs w:val="24"/>
          <w:highlight w:val="none"/>
        </w:rPr>
      </w:pPr>
    </w:p>
    <w:p w14:paraId="0580CA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（二）法定代表人身份证明书（格式）</w:t>
      </w:r>
    </w:p>
    <w:p w14:paraId="07BC24F0">
      <w:pPr>
        <w:spacing w:line="360" w:lineRule="auto"/>
        <w:rPr>
          <w:rFonts w:hint="eastAsia" w:ascii="宋体" w:hAnsi="宋体" w:eastAsia="宋体" w:cs="宋体"/>
          <w:color w:val="auto"/>
          <w:sz w:val="24"/>
          <w:szCs w:val="24"/>
          <w:highlight w:val="none"/>
        </w:rPr>
      </w:pPr>
    </w:p>
    <w:p w14:paraId="491C044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4A292690">
      <w:pPr>
        <w:spacing w:line="360" w:lineRule="auto"/>
        <w:rPr>
          <w:rFonts w:hint="eastAsia" w:ascii="宋体" w:hAnsi="宋体" w:eastAsia="宋体" w:cs="宋体"/>
          <w:color w:val="auto"/>
          <w:sz w:val="24"/>
          <w:szCs w:val="24"/>
          <w:highlight w:val="none"/>
        </w:rPr>
      </w:pPr>
    </w:p>
    <w:p w14:paraId="6AD8A10F">
      <w:pPr>
        <w:spacing w:line="360" w:lineRule="auto"/>
        <w:rPr>
          <w:rFonts w:hint="eastAsia" w:ascii="宋体" w:hAnsi="宋体" w:eastAsia="宋体" w:cs="宋体"/>
          <w:color w:val="auto"/>
          <w:sz w:val="24"/>
          <w:szCs w:val="24"/>
          <w:highlight w:val="none"/>
        </w:rPr>
      </w:pPr>
    </w:p>
    <w:p w14:paraId="700C35E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比选项目名称：</w:t>
      </w:r>
      <w:r>
        <w:rPr>
          <w:rFonts w:hint="eastAsia" w:ascii="宋体" w:hAnsi="宋体" w:eastAsia="宋体" w:cs="宋体"/>
          <w:color w:val="auto"/>
          <w:sz w:val="24"/>
          <w:szCs w:val="24"/>
          <w:highlight w:val="none"/>
          <w:u w:val="single"/>
        </w:rPr>
        <w:t xml:space="preserve">                                            </w:t>
      </w:r>
    </w:p>
    <w:p w14:paraId="6ABFD42E">
      <w:pPr>
        <w:spacing w:line="360" w:lineRule="auto"/>
        <w:rPr>
          <w:rFonts w:hint="eastAsia" w:ascii="宋体" w:hAnsi="宋体" w:eastAsia="宋体" w:cs="宋体"/>
          <w:color w:val="auto"/>
          <w:sz w:val="24"/>
          <w:szCs w:val="24"/>
          <w:highlight w:val="none"/>
        </w:rPr>
      </w:pPr>
    </w:p>
    <w:p w14:paraId="595CC3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16C94F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5FC9314">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（法定代表人姓名）在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w:t>
      </w:r>
    </w:p>
    <w:p w14:paraId="37DC5457">
      <w:pPr>
        <w:spacing w:line="360" w:lineRule="auto"/>
        <w:rPr>
          <w:rFonts w:hint="eastAsia" w:ascii="宋体" w:hAnsi="宋体" w:eastAsia="宋体" w:cs="宋体"/>
          <w:color w:val="auto"/>
          <w:sz w:val="24"/>
          <w:szCs w:val="24"/>
          <w:highlight w:val="none"/>
        </w:rPr>
      </w:pPr>
    </w:p>
    <w:p w14:paraId="05D2B9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33EBC0">
      <w:pPr>
        <w:spacing w:line="360" w:lineRule="auto"/>
        <w:rPr>
          <w:rFonts w:hint="eastAsia" w:ascii="宋体" w:hAnsi="宋体" w:eastAsia="宋体" w:cs="宋体"/>
          <w:color w:val="auto"/>
          <w:sz w:val="24"/>
          <w:szCs w:val="24"/>
          <w:highlight w:val="none"/>
        </w:rPr>
      </w:pPr>
    </w:p>
    <w:p w14:paraId="44092D7B">
      <w:pPr>
        <w:spacing w:line="360" w:lineRule="auto"/>
        <w:rPr>
          <w:rFonts w:hint="eastAsia" w:ascii="宋体" w:hAnsi="宋体" w:eastAsia="宋体" w:cs="宋体"/>
          <w:color w:val="auto"/>
          <w:sz w:val="24"/>
          <w:szCs w:val="24"/>
          <w:highlight w:val="none"/>
        </w:rPr>
      </w:pPr>
    </w:p>
    <w:p w14:paraId="46242D63">
      <w:pPr>
        <w:spacing w:line="360" w:lineRule="auto"/>
        <w:rPr>
          <w:rFonts w:hint="eastAsia" w:ascii="宋体" w:hAnsi="宋体" w:eastAsia="宋体" w:cs="宋体"/>
          <w:color w:val="auto"/>
          <w:sz w:val="24"/>
          <w:szCs w:val="24"/>
          <w:highlight w:val="none"/>
        </w:rPr>
      </w:pPr>
    </w:p>
    <w:p w14:paraId="04876E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14412F6B">
      <w:pPr>
        <w:spacing w:line="360" w:lineRule="auto"/>
        <w:rPr>
          <w:rFonts w:hint="eastAsia" w:ascii="宋体" w:hAnsi="宋体" w:eastAsia="宋体" w:cs="宋体"/>
          <w:color w:val="auto"/>
          <w:sz w:val="24"/>
          <w:szCs w:val="24"/>
          <w:highlight w:val="none"/>
        </w:rPr>
      </w:pPr>
    </w:p>
    <w:p w14:paraId="7723DC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5F69B24">
      <w:pPr>
        <w:tabs>
          <w:tab w:val="left" w:pos="6300"/>
        </w:tabs>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电子邮箱：XXXXXX@XXXXX（若授权他人办理并签署投标文件的可不填写）</w:t>
      </w:r>
    </w:p>
    <w:p w14:paraId="24B33E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4DE9C48F">
      <w:pPr>
        <w:spacing w:line="360" w:lineRule="auto"/>
        <w:rPr>
          <w:rFonts w:hint="eastAsia" w:ascii="宋体" w:hAnsi="宋体" w:eastAsia="宋体" w:cs="宋体"/>
          <w:color w:val="auto"/>
          <w:sz w:val="24"/>
          <w:szCs w:val="24"/>
          <w:highlight w:val="none"/>
        </w:rPr>
      </w:pPr>
    </w:p>
    <w:p w14:paraId="04348994">
      <w:pPr>
        <w:spacing w:line="360" w:lineRule="auto"/>
        <w:rPr>
          <w:rFonts w:hint="eastAsia" w:ascii="宋体" w:hAnsi="宋体" w:eastAsia="宋体" w:cs="宋体"/>
          <w:color w:val="auto"/>
          <w:sz w:val="24"/>
          <w:szCs w:val="24"/>
          <w:highlight w:val="none"/>
        </w:rPr>
      </w:pPr>
    </w:p>
    <w:p w14:paraId="5BC5F2FC">
      <w:pPr>
        <w:spacing w:line="360" w:lineRule="auto"/>
        <w:rPr>
          <w:rFonts w:hint="eastAsia" w:ascii="宋体" w:hAnsi="宋体" w:eastAsia="宋体" w:cs="宋体"/>
          <w:color w:val="auto"/>
          <w:sz w:val="24"/>
          <w:szCs w:val="24"/>
          <w:highlight w:val="none"/>
        </w:rPr>
      </w:pPr>
    </w:p>
    <w:p w14:paraId="5EB1B5D2">
      <w:pPr>
        <w:spacing w:line="360" w:lineRule="auto"/>
        <w:rPr>
          <w:rFonts w:hint="eastAsia" w:ascii="宋体" w:hAnsi="宋体" w:eastAsia="宋体" w:cs="宋体"/>
          <w:color w:val="auto"/>
          <w:sz w:val="24"/>
          <w:szCs w:val="24"/>
          <w:highlight w:val="none"/>
        </w:rPr>
      </w:pPr>
    </w:p>
    <w:p w14:paraId="3A198C1A">
      <w:pPr>
        <w:spacing w:line="360" w:lineRule="auto"/>
        <w:rPr>
          <w:rFonts w:hint="eastAsia" w:ascii="宋体" w:hAnsi="宋体" w:eastAsia="宋体" w:cs="宋体"/>
          <w:color w:val="auto"/>
          <w:sz w:val="24"/>
          <w:szCs w:val="24"/>
          <w:highlight w:val="none"/>
        </w:rPr>
      </w:pPr>
    </w:p>
    <w:p w14:paraId="08E8B7F2">
      <w:pPr>
        <w:spacing w:line="360" w:lineRule="auto"/>
        <w:rPr>
          <w:rFonts w:hint="eastAsia" w:ascii="宋体" w:hAnsi="宋体" w:eastAsia="宋体" w:cs="宋体"/>
          <w:color w:val="auto"/>
          <w:sz w:val="24"/>
          <w:szCs w:val="24"/>
          <w:highlight w:val="none"/>
        </w:rPr>
      </w:pPr>
    </w:p>
    <w:p w14:paraId="2B3B0A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（三）法定代表人授权委托书（格式）</w:t>
      </w:r>
    </w:p>
    <w:p w14:paraId="3A306B42">
      <w:pPr>
        <w:spacing w:line="360" w:lineRule="auto"/>
        <w:rPr>
          <w:rFonts w:hint="eastAsia" w:ascii="宋体" w:hAnsi="宋体" w:eastAsia="宋体" w:cs="宋体"/>
          <w:color w:val="auto"/>
          <w:sz w:val="24"/>
          <w:szCs w:val="24"/>
          <w:highlight w:val="none"/>
        </w:rPr>
      </w:pPr>
    </w:p>
    <w:p w14:paraId="13F4030D">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法定代表人授权委托书</w:t>
      </w:r>
    </w:p>
    <w:p w14:paraId="3B94E9CB">
      <w:pPr>
        <w:spacing w:line="360" w:lineRule="auto"/>
        <w:rPr>
          <w:rFonts w:hint="eastAsia" w:ascii="宋体" w:hAnsi="宋体" w:eastAsia="宋体" w:cs="宋体"/>
          <w:color w:val="auto"/>
          <w:sz w:val="24"/>
          <w:szCs w:val="24"/>
          <w:highlight w:val="none"/>
        </w:rPr>
      </w:pPr>
    </w:p>
    <w:p w14:paraId="3BF092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B8C0C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比选项目名称：</w:t>
      </w:r>
      <w:r>
        <w:rPr>
          <w:rFonts w:hint="eastAsia" w:ascii="宋体" w:hAnsi="宋体" w:eastAsia="宋体" w:cs="宋体"/>
          <w:color w:val="auto"/>
          <w:sz w:val="24"/>
          <w:szCs w:val="24"/>
          <w:highlight w:val="none"/>
          <w:u w:val="single"/>
        </w:rPr>
        <w:t xml:space="preserve">                                            </w:t>
      </w:r>
    </w:p>
    <w:p w14:paraId="1AD8B1AD">
      <w:pPr>
        <w:spacing w:line="360" w:lineRule="auto"/>
        <w:rPr>
          <w:rFonts w:hint="eastAsia" w:ascii="宋体" w:hAnsi="宋体" w:eastAsia="宋体" w:cs="宋体"/>
          <w:color w:val="auto"/>
          <w:sz w:val="24"/>
          <w:szCs w:val="24"/>
          <w:highlight w:val="none"/>
        </w:rPr>
      </w:pPr>
    </w:p>
    <w:p w14:paraId="547458F5">
      <w:pPr>
        <w:spacing w:line="360" w:lineRule="auto"/>
        <w:rPr>
          <w:rFonts w:hint="eastAsia" w:ascii="宋体" w:hAnsi="宋体" w:eastAsia="宋体" w:cs="宋体"/>
          <w:color w:val="auto"/>
          <w:sz w:val="24"/>
          <w:szCs w:val="24"/>
          <w:highlight w:val="none"/>
        </w:rPr>
      </w:pPr>
    </w:p>
    <w:p w14:paraId="128565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B084F24">
      <w:pPr>
        <w:spacing w:line="360" w:lineRule="auto"/>
        <w:rPr>
          <w:rFonts w:hint="eastAsia" w:ascii="宋体" w:hAnsi="宋体" w:eastAsia="宋体" w:cs="宋体"/>
          <w:color w:val="auto"/>
          <w:sz w:val="24"/>
          <w:szCs w:val="24"/>
          <w:highlight w:val="none"/>
          <w:u w:val="single"/>
        </w:rPr>
      </w:pPr>
    </w:p>
    <w:p w14:paraId="33FB9C71">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名称）的法定代表人，特授权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（被授权人姓名及身份证号码）代表我单位全权办理上述项目的比选、签约等具体工作，并签署全部有关文件、协议及合同。</w:t>
      </w:r>
    </w:p>
    <w:p w14:paraId="0D55B2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44458D45">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2837BB30">
      <w:pPr>
        <w:spacing w:line="360" w:lineRule="auto"/>
        <w:rPr>
          <w:rFonts w:hint="eastAsia" w:ascii="宋体" w:hAnsi="宋体" w:eastAsia="宋体" w:cs="宋体"/>
          <w:color w:val="auto"/>
          <w:sz w:val="24"/>
          <w:szCs w:val="24"/>
          <w:highlight w:val="none"/>
        </w:rPr>
      </w:pPr>
    </w:p>
    <w:p w14:paraId="301CECE9">
      <w:pPr>
        <w:spacing w:line="360" w:lineRule="auto"/>
        <w:rPr>
          <w:rFonts w:hint="eastAsia" w:ascii="宋体" w:hAnsi="宋体" w:eastAsia="宋体" w:cs="宋体"/>
          <w:color w:val="auto"/>
          <w:sz w:val="24"/>
          <w:szCs w:val="24"/>
          <w:highlight w:val="none"/>
        </w:rPr>
      </w:pPr>
    </w:p>
    <w:p w14:paraId="7CFAFE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w:t>
      </w:r>
    </w:p>
    <w:p w14:paraId="428C705D">
      <w:pPr>
        <w:spacing w:line="360" w:lineRule="auto"/>
        <w:rPr>
          <w:rFonts w:hint="eastAsia" w:ascii="宋体" w:hAnsi="宋体" w:eastAsia="宋体" w:cs="宋体"/>
          <w:color w:val="auto"/>
          <w:sz w:val="24"/>
          <w:szCs w:val="24"/>
          <w:highlight w:val="none"/>
        </w:rPr>
      </w:pPr>
    </w:p>
    <w:p w14:paraId="43E87B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625789F3">
      <w:pPr>
        <w:spacing w:line="360" w:lineRule="auto"/>
        <w:rPr>
          <w:rFonts w:hint="eastAsia" w:ascii="宋体" w:hAnsi="宋体" w:eastAsia="宋体" w:cs="宋体"/>
          <w:color w:val="auto"/>
          <w:sz w:val="24"/>
          <w:szCs w:val="24"/>
          <w:highlight w:val="none"/>
        </w:rPr>
      </w:pPr>
    </w:p>
    <w:p w14:paraId="3CA3573B">
      <w:pPr>
        <w:spacing w:line="360" w:lineRule="auto"/>
        <w:rPr>
          <w:rFonts w:hint="eastAsia" w:ascii="宋体" w:hAnsi="宋体" w:eastAsia="宋体" w:cs="宋体"/>
          <w:color w:val="auto"/>
          <w:sz w:val="24"/>
          <w:szCs w:val="24"/>
          <w:highlight w:val="none"/>
        </w:rPr>
      </w:pPr>
    </w:p>
    <w:p w14:paraId="6F31C0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7277B0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B42401F">
      <w:pPr>
        <w:spacing w:line="360" w:lineRule="auto"/>
        <w:rPr>
          <w:rFonts w:hint="eastAsia" w:ascii="宋体" w:hAnsi="宋体" w:eastAsia="宋体" w:cs="宋体"/>
          <w:color w:val="auto"/>
          <w:sz w:val="24"/>
          <w:szCs w:val="24"/>
          <w:highlight w:val="none"/>
        </w:rPr>
      </w:pPr>
    </w:p>
    <w:p w14:paraId="730B76C1">
      <w:pPr>
        <w:spacing w:line="360" w:lineRule="auto"/>
        <w:rPr>
          <w:rFonts w:hint="eastAsia" w:ascii="宋体" w:hAnsi="宋体" w:eastAsia="宋体" w:cs="宋体"/>
          <w:color w:val="auto"/>
          <w:sz w:val="24"/>
          <w:szCs w:val="24"/>
          <w:highlight w:val="none"/>
        </w:rPr>
      </w:pPr>
    </w:p>
    <w:p w14:paraId="10532EEB">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0D8E70AB">
      <w:pPr>
        <w:spacing w:line="360" w:lineRule="auto"/>
        <w:rPr>
          <w:rFonts w:hint="eastAsia" w:ascii="宋体" w:hAnsi="宋体" w:eastAsia="宋体" w:cs="宋体"/>
          <w:color w:val="auto"/>
          <w:sz w:val="24"/>
          <w:szCs w:val="24"/>
          <w:highlight w:val="none"/>
        </w:rPr>
      </w:pPr>
    </w:p>
    <w:p w14:paraId="0993CEC2">
      <w:pPr>
        <w:spacing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76540CA">
      <w:pPr>
        <w:tabs>
          <w:tab w:val="left" w:pos="6300"/>
        </w:tabs>
        <w:snapToGrid w:val="0"/>
        <w:spacing w:line="360" w:lineRule="auto"/>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电子邮箱：XXXXXX@XXXXX（若法定代表人办理并签署投标文件的可不填写）</w:t>
      </w:r>
    </w:p>
    <w:p w14:paraId="165105F7">
      <w:pPr>
        <w:tabs>
          <w:tab w:val="left" w:pos="6300"/>
        </w:tabs>
        <w:snapToGrid w:val="0"/>
        <w:spacing w:line="360" w:lineRule="auto"/>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43C6A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1.若为法定代表人办理并签署投标文件的，不提供此文件。</w:t>
      </w:r>
    </w:p>
    <w:p w14:paraId="14C2A7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（四）基本资格条件承诺函</w:t>
      </w:r>
    </w:p>
    <w:p w14:paraId="270F4848">
      <w:pPr>
        <w:spacing w:line="360" w:lineRule="auto"/>
        <w:rPr>
          <w:rFonts w:hint="eastAsia" w:ascii="宋体" w:hAnsi="宋体" w:eastAsia="宋体" w:cs="宋体"/>
          <w:color w:val="auto"/>
          <w:sz w:val="24"/>
          <w:szCs w:val="24"/>
          <w:highlight w:val="none"/>
        </w:rPr>
      </w:pPr>
    </w:p>
    <w:p w14:paraId="13676D63">
      <w:pPr>
        <w:tabs>
          <w:tab w:val="left" w:pos="6300"/>
        </w:tabs>
        <w:snapToGrid w:val="0"/>
        <w:spacing w:line="360" w:lineRule="auto"/>
        <w:ind w:firstLine="57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70C4EAE0">
      <w:pPr>
        <w:tabs>
          <w:tab w:val="left" w:pos="6300"/>
        </w:tabs>
        <w:snapToGrid w:val="0"/>
        <w:spacing w:line="360" w:lineRule="auto"/>
        <w:rPr>
          <w:rFonts w:hint="eastAsia" w:ascii="宋体" w:hAnsi="宋体" w:eastAsia="宋体" w:cs="宋体"/>
          <w:color w:val="auto"/>
          <w:sz w:val="24"/>
          <w:szCs w:val="24"/>
          <w:highlight w:val="none"/>
        </w:rPr>
      </w:pPr>
    </w:p>
    <w:p w14:paraId="2AD27F20">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7DD99B4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名称）郑重承诺：</w:t>
      </w:r>
    </w:p>
    <w:p w14:paraId="0DB872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21796B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8C0E9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基本资格条件。</w:t>
      </w:r>
    </w:p>
    <w:p w14:paraId="719F339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6DD93CA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E70A0E3">
      <w:pPr>
        <w:tabs>
          <w:tab w:val="left" w:pos="6300"/>
        </w:tabs>
        <w:snapToGrid w:val="0"/>
        <w:spacing w:line="360" w:lineRule="auto"/>
        <w:rPr>
          <w:rFonts w:hint="eastAsia" w:ascii="宋体" w:hAnsi="宋体" w:eastAsia="宋体" w:cs="宋体"/>
          <w:color w:val="auto"/>
          <w:sz w:val="24"/>
          <w:szCs w:val="24"/>
          <w:highlight w:val="none"/>
        </w:rPr>
      </w:pPr>
    </w:p>
    <w:p w14:paraId="49EF39F3">
      <w:pPr>
        <w:tabs>
          <w:tab w:val="left" w:pos="6300"/>
        </w:tabs>
        <w:snapToGrid w:val="0"/>
        <w:spacing w:line="360" w:lineRule="auto"/>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4860C065">
      <w:pPr>
        <w:tabs>
          <w:tab w:val="left" w:pos="6300"/>
        </w:tabs>
        <w:snapToGrid w:val="0"/>
        <w:spacing w:line="360" w:lineRule="auto"/>
        <w:ind w:firstLine="7440" w:firstLineChars="3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9DAEA60">
      <w:pPr>
        <w:spacing w:line="360" w:lineRule="auto"/>
        <w:ind w:firstLine="7680" w:firstLineChars="3200"/>
        <w:rPr>
          <w:rFonts w:hint="eastAsia" w:ascii="宋体" w:hAnsi="宋体" w:eastAsia="宋体" w:cs="宋体"/>
          <w:color w:val="auto"/>
          <w:sz w:val="24"/>
          <w:szCs w:val="24"/>
          <w:highlight w:val="none"/>
        </w:rPr>
      </w:pPr>
    </w:p>
    <w:p w14:paraId="4B766BA1">
      <w:pPr>
        <w:spacing w:line="360" w:lineRule="auto"/>
        <w:rPr>
          <w:rFonts w:hint="eastAsia" w:ascii="宋体" w:hAnsi="宋体" w:eastAsia="宋体" w:cs="宋体"/>
          <w:color w:val="auto"/>
          <w:sz w:val="24"/>
          <w:szCs w:val="24"/>
          <w:highlight w:val="none"/>
        </w:rPr>
      </w:pPr>
    </w:p>
    <w:p w14:paraId="33E0F80A">
      <w:pPr>
        <w:spacing w:line="360" w:lineRule="auto"/>
        <w:rPr>
          <w:rFonts w:hint="eastAsia" w:ascii="宋体" w:hAnsi="宋体" w:eastAsia="宋体" w:cs="宋体"/>
          <w:color w:val="auto"/>
          <w:sz w:val="24"/>
          <w:szCs w:val="24"/>
          <w:highlight w:val="none"/>
        </w:rPr>
      </w:pPr>
    </w:p>
    <w:p w14:paraId="6C569C33">
      <w:pPr>
        <w:spacing w:line="360" w:lineRule="auto"/>
        <w:rPr>
          <w:rFonts w:hint="eastAsia" w:ascii="宋体" w:hAnsi="宋体" w:eastAsia="宋体" w:cs="宋体"/>
          <w:color w:val="auto"/>
          <w:sz w:val="24"/>
          <w:szCs w:val="24"/>
          <w:highlight w:val="none"/>
        </w:rPr>
      </w:pPr>
    </w:p>
    <w:p w14:paraId="262CED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A3F5B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7DE5E5BC">
      <w:pPr>
        <w:spacing w:line="360" w:lineRule="auto"/>
        <w:rPr>
          <w:rFonts w:hint="eastAsia" w:ascii="宋体" w:hAnsi="宋体" w:eastAsia="宋体" w:cs="宋体"/>
          <w:color w:val="auto"/>
          <w:sz w:val="24"/>
          <w:szCs w:val="24"/>
          <w:highlight w:val="none"/>
        </w:rPr>
      </w:pPr>
    </w:p>
    <w:p w14:paraId="6B82F2B2">
      <w:pPr>
        <w:spacing w:line="360" w:lineRule="auto"/>
        <w:outlineLvl w:val="0"/>
        <w:rPr>
          <w:rFonts w:hint="eastAsia" w:ascii="宋体" w:hAnsi="宋体" w:eastAsia="宋体" w:cs="宋体"/>
          <w:color w:val="auto"/>
          <w:sz w:val="24"/>
          <w:szCs w:val="24"/>
          <w:highlight w:val="none"/>
        </w:rPr>
      </w:pPr>
      <w:bookmarkStart w:id="317" w:name="_Toc14422"/>
      <w:r>
        <w:rPr>
          <w:rFonts w:hint="eastAsia" w:ascii="宋体" w:hAnsi="宋体" w:eastAsia="宋体" w:cs="宋体"/>
          <w:color w:val="auto"/>
          <w:sz w:val="24"/>
          <w:szCs w:val="24"/>
          <w:highlight w:val="none"/>
        </w:rPr>
        <w:br w:type="page"/>
      </w:r>
      <w:bookmarkStart w:id="318" w:name="_Toc11457"/>
      <w:bookmarkStart w:id="319" w:name="_Toc4757"/>
      <w:bookmarkStart w:id="320" w:name="_Toc11375"/>
      <w:bookmarkStart w:id="321" w:name="_Toc49431877"/>
      <w:bookmarkStart w:id="322" w:name="_Toc1632"/>
      <w:bookmarkStart w:id="323" w:name="_Toc4738"/>
      <w:bookmarkStart w:id="324" w:name="_Toc16968"/>
      <w:bookmarkStart w:id="325" w:name="_Toc7549"/>
      <w:bookmarkStart w:id="326" w:name="_Toc23612"/>
      <w:bookmarkStart w:id="327" w:name="_Toc18407"/>
      <w:r>
        <w:rPr>
          <w:rStyle w:val="45"/>
          <w:rFonts w:hint="eastAsia" w:ascii="宋体" w:hAnsi="宋体" w:eastAsia="宋体" w:cs="宋体"/>
          <w:b/>
          <w:bCs/>
          <w:color w:val="auto"/>
          <w:sz w:val="24"/>
          <w:szCs w:val="24"/>
          <w:highlight w:val="none"/>
        </w:rPr>
        <w:t>五、其他资料</w:t>
      </w:r>
      <w:bookmarkEnd w:id="317"/>
      <w:bookmarkEnd w:id="318"/>
      <w:bookmarkEnd w:id="319"/>
      <w:bookmarkEnd w:id="320"/>
      <w:bookmarkEnd w:id="321"/>
      <w:bookmarkEnd w:id="322"/>
      <w:bookmarkEnd w:id="323"/>
      <w:bookmarkEnd w:id="324"/>
      <w:bookmarkEnd w:id="325"/>
      <w:bookmarkEnd w:id="326"/>
      <w:bookmarkEnd w:id="327"/>
    </w:p>
    <w:p w14:paraId="07E068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14:paraId="20528A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总体情况介绍、其他与本项目有关的资料等。</w:t>
      </w:r>
    </w:p>
    <w:p w14:paraId="2C7ED2CD">
      <w:pPr>
        <w:spacing w:line="360" w:lineRule="auto"/>
        <w:rPr>
          <w:rFonts w:hint="eastAsia" w:ascii="宋体" w:hAnsi="宋体" w:eastAsia="宋体" w:cs="宋体"/>
          <w:color w:val="auto"/>
          <w:sz w:val="24"/>
          <w:szCs w:val="24"/>
          <w:highlight w:val="none"/>
        </w:rPr>
      </w:pPr>
    </w:p>
    <w:p w14:paraId="2CC233BC">
      <w:pPr>
        <w:spacing w:line="360" w:lineRule="auto"/>
        <w:rPr>
          <w:rFonts w:hint="eastAsia" w:ascii="宋体" w:hAnsi="宋体" w:eastAsia="宋体" w:cs="宋体"/>
          <w:color w:val="auto"/>
          <w:sz w:val="24"/>
          <w:szCs w:val="24"/>
          <w:highlight w:val="none"/>
        </w:rPr>
      </w:pPr>
    </w:p>
    <w:p w14:paraId="0B6FDC31">
      <w:pPr>
        <w:spacing w:line="360" w:lineRule="auto"/>
        <w:rPr>
          <w:rFonts w:hint="eastAsia" w:ascii="宋体" w:hAnsi="宋体" w:eastAsia="宋体" w:cs="宋体"/>
          <w:color w:val="auto"/>
          <w:sz w:val="24"/>
          <w:szCs w:val="24"/>
          <w:highlight w:val="none"/>
        </w:rPr>
      </w:pPr>
    </w:p>
    <w:p w14:paraId="460DDCCA">
      <w:pPr>
        <w:spacing w:line="360" w:lineRule="auto"/>
        <w:rPr>
          <w:rFonts w:hint="eastAsia" w:ascii="宋体" w:hAnsi="宋体" w:eastAsia="宋体" w:cs="宋体"/>
          <w:color w:val="auto"/>
          <w:sz w:val="24"/>
          <w:szCs w:val="24"/>
          <w:highlight w:val="none"/>
        </w:rPr>
      </w:pPr>
    </w:p>
    <w:p w14:paraId="28513525">
      <w:pPr>
        <w:spacing w:line="360" w:lineRule="auto"/>
        <w:rPr>
          <w:rFonts w:hint="eastAsia" w:ascii="宋体" w:hAnsi="宋体" w:eastAsia="宋体" w:cs="宋体"/>
          <w:color w:val="auto"/>
          <w:sz w:val="24"/>
          <w:szCs w:val="24"/>
          <w:highlight w:val="none"/>
        </w:rPr>
      </w:pPr>
    </w:p>
    <w:p w14:paraId="5C285FA8">
      <w:pPr>
        <w:spacing w:line="360" w:lineRule="auto"/>
        <w:rPr>
          <w:rFonts w:hint="eastAsia" w:ascii="宋体" w:hAnsi="宋体" w:eastAsia="宋体" w:cs="宋体"/>
          <w:color w:val="auto"/>
          <w:sz w:val="24"/>
          <w:szCs w:val="24"/>
          <w:highlight w:val="none"/>
        </w:rPr>
      </w:pPr>
    </w:p>
    <w:p w14:paraId="1E21546E">
      <w:pPr>
        <w:spacing w:line="360" w:lineRule="auto"/>
        <w:rPr>
          <w:rFonts w:hint="eastAsia" w:ascii="宋体" w:hAnsi="宋体" w:eastAsia="宋体" w:cs="宋体"/>
          <w:color w:val="auto"/>
          <w:sz w:val="24"/>
          <w:szCs w:val="24"/>
          <w:highlight w:val="none"/>
        </w:rPr>
      </w:pPr>
    </w:p>
    <w:p w14:paraId="1D26E192">
      <w:pPr>
        <w:spacing w:line="360" w:lineRule="auto"/>
        <w:rPr>
          <w:rFonts w:hint="eastAsia" w:ascii="宋体" w:hAnsi="宋体" w:eastAsia="宋体" w:cs="宋体"/>
          <w:color w:val="auto"/>
          <w:sz w:val="24"/>
          <w:szCs w:val="24"/>
          <w:highlight w:val="none"/>
        </w:rPr>
      </w:pPr>
    </w:p>
    <w:p w14:paraId="0F602BCD">
      <w:pPr>
        <w:spacing w:line="360" w:lineRule="auto"/>
        <w:rPr>
          <w:rFonts w:hint="eastAsia" w:ascii="宋体" w:hAnsi="宋体" w:eastAsia="宋体" w:cs="宋体"/>
          <w:color w:val="auto"/>
          <w:sz w:val="24"/>
          <w:szCs w:val="24"/>
          <w:highlight w:val="none"/>
        </w:rPr>
      </w:pPr>
    </w:p>
    <w:p w14:paraId="26BB274B">
      <w:pPr>
        <w:spacing w:line="360" w:lineRule="auto"/>
        <w:rPr>
          <w:rFonts w:hint="eastAsia" w:ascii="宋体" w:hAnsi="宋体" w:eastAsia="宋体" w:cs="宋体"/>
          <w:color w:val="auto"/>
          <w:sz w:val="24"/>
          <w:szCs w:val="24"/>
          <w:highlight w:val="none"/>
        </w:rPr>
      </w:pPr>
    </w:p>
    <w:p w14:paraId="5CEF1A93">
      <w:pPr>
        <w:spacing w:line="360" w:lineRule="auto"/>
        <w:rPr>
          <w:rFonts w:hint="eastAsia" w:ascii="宋体" w:hAnsi="宋体" w:eastAsia="宋体" w:cs="宋体"/>
          <w:color w:val="auto"/>
          <w:sz w:val="24"/>
          <w:szCs w:val="24"/>
          <w:highlight w:val="none"/>
        </w:rPr>
      </w:pPr>
    </w:p>
    <w:p w14:paraId="7B6D2488">
      <w:pPr>
        <w:spacing w:line="360" w:lineRule="auto"/>
        <w:rPr>
          <w:rFonts w:hint="eastAsia" w:ascii="宋体" w:hAnsi="宋体" w:eastAsia="宋体" w:cs="宋体"/>
          <w:color w:val="auto"/>
          <w:sz w:val="24"/>
          <w:szCs w:val="24"/>
          <w:highlight w:val="none"/>
        </w:rPr>
      </w:pPr>
    </w:p>
    <w:p w14:paraId="14212E32">
      <w:pPr>
        <w:spacing w:line="360" w:lineRule="auto"/>
        <w:rPr>
          <w:rFonts w:hint="eastAsia" w:ascii="宋体" w:hAnsi="宋体" w:eastAsia="宋体" w:cs="宋体"/>
          <w:color w:val="auto"/>
          <w:sz w:val="24"/>
          <w:szCs w:val="24"/>
          <w:highlight w:val="none"/>
        </w:rPr>
      </w:pPr>
    </w:p>
    <w:p w14:paraId="484D0107">
      <w:pPr>
        <w:spacing w:line="360" w:lineRule="auto"/>
        <w:rPr>
          <w:rFonts w:hint="eastAsia" w:ascii="宋体" w:hAnsi="宋体" w:eastAsia="宋体" w:cs="宋体"/>
          <w:color w:val="auto"/>
          <w:sz w:val="24"/>
          <w:szCs w:val="24"/>
          <w:highlight w:val="none"/>
        </w:rPr>
      </w:pPr>
    </w:p>
    <w:p w14:paraId="313364DE">
      <w:pPr>
        <w:spacing w:line="360" w:lineRule="auto"/>
        <w:rPr>
          <w:rFonts w:hint="eastAsia" w:ascii="宋体" w:hAnsi="宋体" w:eastAsia="宋体" w:cs="宋体"/>
          <w:color w:val="auto"/>
          <w:sz w:val="24"/>
          <w:szCs w:val="24"/>
          <w:highlight w:val="none"/>
        </w:rPr>
      </w:pPr>
    </w:p>
    <w:p w14:paraId="52CE8909">
      <w:pPr>
        <w:spacing w:line="360" w:lineRule="auto"/>
        <w:rPr>
          <w:rFonts w:hint="eastAsia" w:ascii="宋体" w:hAnsi="宋体" w:eastAsia="宋体" w:cs="宋体"/>
          <w:color w:val="auto"/>
          <w:sz w:val="24"/>
          <w:szCs w:val="24"/>
          <w:highlight w:val="none"/>
        </w:rPr>
      </w:pPr>
    </w:p>
    <w:p w14:paraId="7C1974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7423335C">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AC843B5">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0DDF4A10">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22B514A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0B1BA289">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6C2C0F71">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4E60BC0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6047A320">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1CA37C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78706DE1">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4CDCC4FE">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4A850C2">
      <w:pPr>
        <w:pStyle w:val="4"/>
        <w:spacing w:line="360" w:lineRule="auto"/>
        <w:jc w:val="both"/>
        <w:outlineLvl w:val="0"/>
        <w:rPr>
          <w:rFonts w:hint="eastAsia" w:ascii="宋体" w:hAnsi="宋体" w:eastAsia="宋体" w:cs="宋体"/>
          <w:color w:val="auto"/>
          <w:highlight w:val="none"/>
        </w:rPr>
      </w:pPr>
      <w:bookmarkStart w:id="328" w:name="_Toc21097"/>
      <w:bookmarkStart w:id="329" w:name="_Toc19176"/>
      <w:bookmarkStart w:id="330" w:name="_Toc21421"/>
      <w:bookmarkStart w:id="331" w:name="_Toc12461"/>
      <w:bookmarkStart w:id="332" w:name="_Toc29206"/>
      <w:bookmarkStart w:id="333" w:name="_Toc32296"/>
      <w:r>
        <w:rPr>
          <w:rFonts w:hint="eastAsia" w:ascii="宋体" w:hAnsi="宋体" w:eastAsia="宋体" w:cs="宋体"/>
          <w:color w:val="auto"/>
          <w:sz w:val="24"/>
          <w:szCs w:val="24"/>
          <w:highlight w:val="none"/>
        </w:rPr>
        <w:t>附件：竞争性比选文件发售登记表</w:t>
      </w:r>
      <w:bookmarkEnd w:id="328"/>
      <w:bookmarkEnd w:id="329"/>
      <w:bookmarkEnd w:id="330"/>
      <w:bookmarkEnd w:id="331"/>
      <w:bookmarkEnd w:id="332"/>
      <w:bookmarkEnd w:id="333"/>
      <w:r>
        <w:rPr>
          <w:rFonts w:hint="eastAsia" w:ascii="宋体" w:hAnsi="宋体" w:eastAsia="宋体" w:cs="宋体"/>
          <w:color w:val="auto"/>
          <w:highlight w:val="none"/>
        </w:rPr>
        <w:t xml:space="preserve">         </w:t>
      </w:r>
    </w:p>
    <w:p w14:paraId="7B23A336">
      <w:pPr>
        <w:spacing w:line="360" w:lineRule="auto"/>
        <w:jc w:val="center"/>
        <w:outlineLvl w:val="0"/>
        <w:rPr>
          <w:rFonts w:hint="eastAsia" w:ascii="宋体" w:hAnsi="宋体" w:eastAsia="宋体" w:cs="宋体"/>
          <w:b/>
          <w:bCs/>
          <w:color w:val="auto"/>
          <w:spacing w:val="40"/>
          <w:highlight w:val="none"/>
        </w:rPr>
      </w:pPr>
      <w:bookmarkStart w:id="334" w:name="_Toc30933"/>
      <w:bookmarkStart w:id="335" w:name="_Toc24514"/>
      <w:bookmarkStart w:id="336" w:name="_Toc11576"/>
      <w:bookmarkStart w:id="337" w:name="_Toc20651"/>
      <w:r>
        <w:rPr>
          <w:rFonts w:hint="eastAsia" w:ascii="宋体" w:hAnsi="宋体" w:eastAsia="宋体" w:cs="宋体"/>
          <w:color w:val="auto"/>
          <w:sz w:val="44"/>
          <w:szCs w:val="44"/>
          <w:highlight w:val="none"/>
        </w:rPr>
        <w:t>竞争性比选文件发售登记表</w:t>
      </w:r>
      <w:bookmarkEnd w:id="334"/>
      <w:bookmarkEnd w:id="335"/>
      <w:bookmarkEnd w:id="336"/>
      <w:bookmarkEnd w:id="337"/>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260"/>
        <w:gridCol w:w="4835"/>
      </w:tblGrid>
      <w:tr w14:paraId="418875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4EB86720">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项目编号</w:t>
            </w:r>
          </w:p>
        </w:tc>
        <w:tc>
          <w:tcPr>
            <w:tcW w:w="7938" w:type="dxa"/>
            <w:gridSpan w:val="3"/>
            <w:noWrap w:val="0"/>
            <w:vAlign w:val="center"/>
          </w:tcPr>
          <w:p w14:paraId="6F7F1CC4">
            <w:pPr>
              <w:adjustRightInd w:val="0"/>
              <w:spacing w:line="360" w:lineRule="auto"/>
              <w:jc w:val="center"/>
              <w:rPr>
                <w:rFonts w:hint="eastAsia" w:ascii="宋体" w:hAnsi="宋体" w:eastAsia="宋体" w:cs="宋体"/>
                <w:color w:val="auto"/>
                <w:sz w:val="30"/>
                <w:szCs w:val="30"/>
                <w:lang w:val="en-US" w:eastAsia="zh-CN"/>
              </w:rPr>
            </w:pPr>
            <w:r>
              <w:rPr>
                <w:rFonts w:hint="eastAsia" w:ascii="宋体" w:hAnsi="宋体" w:eastAsia="宋体" w:cs="宋体"/>
                <w:b/>
                <w:color w:val="auto"/>
                <w:sz w:val="32"/>
                <w:szCs w:val="32"/>
                <w:highlight w:val="none"/>
                <w:lang w:val="en-US" w:eastAsia="zh-CN"/>
              </w:rPr>
              <w:t>CQDYC-2025-05</w:t>
            </w:r>
          </w:p>
        </w:tc>
      </w:tr>
      <w:tr w14:paraId="0F68E9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809" w:type="dxa"/>
            <w:noWrap w:val="0"/>
            <w:vAlign w:val="center"/>
          </w:tcPr>
          <w:p w14:paraId="5CEAD730">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tc>
        <w:tc>
          <w:tcPr>
            <w:tcW w:w="7938" w:type="dxa"/>
            <w:gridSpan w:val="3"/>
            <w:noWrap w:val="0"/>
            <w:vAlign w:val="center"/>
          </w:tcPr>
          <w:p w14:paraId="1BDB18AB">
            <w:pPr>
              <w:spacing w:line="360" w:lineRule="auto"/>
              <w:jc w:val="center"/>
              <w:outlineLvl w:val="9"/>
              <w:rPr>
                <w:rFonts w:hint="eastAsia" w:ascii="宋体" w:hAnsi="宋体" w:eastAsia="宋体" w:cs="宋体"/>
                <w:color w:val="auto"/>
                <w:sz w:val="30"/>
                <w:szCs w:val="30"/>
              </w:rPr>
            </w:pPr>
          </w:p>
        </w:tc>
      </w:tr>
      <w:tr w14:paraId="0FEF6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809" w:type="dxa"/>
            <w:noWrap w:val="0"/>
            <w:vAlign w:val="center"/>
          </w:tcPr>
          <w:p w14:paraId="55357DC3">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供应商名称</w:t>
            </w:r>
          </w:p>
        </w:tc>
        <w:tc>
          <w:tcPr>
            <w:tcW w:w="7938" w:type="dxa"/>
            <w:gridSpan w:val="3"/>
            <w:noWrap w:val="0"/>
            <w:vAlign w:val="center"/>
          </w:tcPr>
          <w:p w14:paraId="5240D56E">
            <w:pPr>
              <w:spacing w:line="360" w:lineRule="auto"/>
              <w:jc w:val="center"/>
              <w:rPr>
                <w:rFonts w:hint="eastAsia" w:ascii="宋体" w:hAnsi="宋体" w:eastAsia="宋体" w:cs="宋体"/>
                <w:color w:val="auto"/>
                <w:sz w:val="30"/>
                <w:szCs w:val="30"/>
              </w:rPr>
            </w:pPr>
          </w:p>
        </w:tc>
      </w:tr>
      <w:tr w14:paraId="7048E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66E4B933">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联系人</w:t>
            </w:r>
          </w:p>
        </w:tc>
        <w:tc>
          <w:tcPr>
            <w:tcW w:w="1843" w:type="dxa"/>
            <w:noWrap w:val="0"/>
            <w:vAlign w:val="center"/>
          </w:tcPr>
          <w:p w14:paraId="02006BD2">
            <w:pPr>
              <w:spacing w:line="360" w:lineRule="auto"/>
              <w:jc w:val="left"/>
              <w:rPr>
                <w:rFonts w:hint="eastAsia" w:ascii="宋体" w:hAnsi="宋体" w:eastAsia="宋体" w:cs="宋体"/>
                <w:color w:val="auto"/>
                <w:sz w:val="30"/>
                <w:szCs w:val="30"/>
              </w:rPr>
            </w:pPr>
          </w:p>
        </w:tc>
        <w:tc>
          <w:tcPr>
            <w:tcW w:w="1260" w:type="dxa"/>
            <w:noWrap w:val="0"/>
            <w:vAlign w:val="center"/>
          </w:tcPr>
          <w:p w14:paraId="5CB84EAD">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手机</w:t>
            </w:r>
          </w:p>
        </w:tc>
        <w:tc>
          <w:tcPr>
            <w:tcW w:w="4835" w:type="dxa"/>
            <w:noWrap w:val="0"/>
            <w:vAlign w:val="center"/>
          </w:tcPr>
          <w:p w14:paraId="2C20D1D3">
            <w:pPr>
              <w:spacing w:line="360" w:lineRule="auto"/>
              <w:jc w:val="left"/>
              <w:rPr>
                <w:rFonts w:hint="eastAsia" w:ascii="宋体" w:hAnsi="宋体" w:eastAsia="宋体" w:cs="宋体"/>
                <w:color w:val="auto"/>
                <w:sz w:val="30"/>
                <w:szCs w:val="30"/>
              </w:rPr>
            </w:pPr>
          </w:p>
        </w:tc>
      </w:tr>
      <w:tr w14:paraId="1C62C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28587497">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办公电话</w:t>
            </w:r>
          </w:p>
        </w:tc>
        <w:tc>
          <w:tcPr>
            <w:tcW w:w="1843" w:type="dxa"/>
            <w:noWrap w:val="0"/>
            <w:vAlign w:val="center"/>
          </w:tcPr>
          <w:p w14:paraId="6B5886E8">
            <w:pPr>
              <w:spacing w:line="360" w:lineRule="auto"/>
              <w:jc w:val="left"/>
              <w:rPr>
                <w:rFonts w:hint="eastAsia" w:ascii="宋体" w:hAnsi="宋体" w:eastAsia="宋体" w:cs="宋体"/>
                <w:color w:val="auto"/>
                <w:sz w:val="30"/>
                <w:szCs w:val="30"/>
              </w:rPr>
            </w:pPr>
          </w:p>
        </w:tc>
        <w:tc>
          <w:tcPr>
            <w:tcW w:w="1260" w:type="dxa"/>
            <w:noWrap w:val="0"/>
            <w:vAlign w:val="center"/>
          </w:tcPr>
          <w:p w14:paraId="2C865B21">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传真</w:t>
            </w:r>
          </w:p>
        </w:tc>
        <w:tc>
          <w:tcPr>
            <w:tcW w:w="4835" w:type="dxa"/>
            <w:noWrap w:val="0"/>
            <w:vAlign w:val="center"/>
          </w:tcPr>
          <w:p w14:paraId="7DEE42A4">
            <w:pPr>
              <w:spacing w:line="360" w:lineRule="auto"/>
              <w:jc w:val="left"/>
              <w:rPr>
                <w:rFonts w:hint="eastAsia" w:ascii="宋体" w:hAnsi="宋体" w:eastAsia="宋体" w:cs="宋体"/>
                <w:color w:val="auto"/>
                <w:sz w:val="30"/>
                <w:szCs w:val="30"/>
              </w:rPr>
            </w:pPr>
          </w:p>
        </w:tc>
      </w:tr>
      <w:tr w14:paraId="023E9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5D537615">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E-mail</w:t>
            </w:r>
          </w:p>
        </w:tc>
        <w:tc>
          <w:tcPr>
            <w:tcW w:w="7938" w:type="dxa"/>
            <w:gridSpan w:val="3"/>
            <w:noWrap w:val="0"/>
            <w:vAlign w:val="center"/>
          </w:tcPr>
          <w:p w14:paraId="2642D33E">
            <w:pPr>
              <w:spacing w:line="360" w:lineRule="auto"/>
              <w:jc w:val="left"/>
              <w:rPr>
                <w:rFonts w:hint="eastAsia" w:ascii="宋体" w:hAnsi="宋体" w:eastAsia="宋体" w:cs="宋体"/>
                <w:color w:val="auto"/>
                <w:sz w:val="30"/>
                <w:szCs w:val="30"/>
              </w:rPr>
            </w:pPr>
          </w:p>
          <w:p w14:paraId="50FFFBBF">
            <w:pPr>
              <w:pStyle w:val="4"/>
              <w:spacing w:line="360" w:lineRule="auto"/>
              <w:outlineLvl w:val="9"/>
              <w:rPr>
                <w:rFonts w:hint="eastAsia" w:ascii="宋体" w:hAnsi="宋体" w:eastAsia="宋体" w:cs="宋体"/>
                <w:color w:val="auto"/>
              </w:rPr>
            </w:pPr>
          </w:p>
        </w:tc>
      </w:tr>
      <w:tr w14:paraId="7754B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5B101E28">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单位地址</w:t>
            </w:r>
          </w:p>
        </w:tc>
        <w:tc>
          <w:tcPr>
            <w:tcW w:w="7938" w:type="dxa"/>
            <w:gridSpan w:val="3"/>
            <w:noWrap w:val="0"/>
            <w:vAlign w:val="center"/>
          </w:tcPr>
          <w:p w14:paraId="5652AA29">
            <w:pPr>
              <w:spacing w:line="360" w:lineRule="auto"/>
              <w:jc w:val="left"/>
              <w:rPr>
                <w:rFonts w:hint="eastAsia" w:ascii="宋体" w:hAnsi="宋体" w:eastAsia="宋体" w:cs="宋体"/>
                <w:color w:val="auto"/>
                <w:sz w:val="30"/>
                <w:szCs w:val="30"/>
              </w:rPr>
            </w:pPr>
          </w:p>
          <w:p w14:paraId="371AFFF5">
            <w:pPr>
              <w:pStyle w:val="4"/>
              <w:spacing w:line="360" w:lineRule="auto"/>
              <w:outlineLvl w:val="9"/>
              <w:rPr>
                <w:rFonts w:hint="eastAsia" w:ascii="宋体" w:hAnsi="宋体" w:eastAsia="宋体" w:cs="宋体"/>
                <w:color w:val="auto"/>
              </w:rPr>
            </w:pPr>
          </w:p>
        </w:tc>
      </w:tr>
      <w:tr w14:paraId="64DC54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747" w:type="dxa"/>
            <w:gridSpan w:val="4"/>
            <w:noWrap w:val="0"/>
            <w:vAlign w:val="center"/>
          </w:tcPr>
          <w:p w14:paraId="3E4142D2">
            <w:pPr>
              <w:spacing w:line="360" w:lineRule="auto"/>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分包号及分包名称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w:t>
            </w:r>
          </w:p>
        </w:tc>
      </w:tr>
      <w:tr w14:paraId="4C460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47" w:type="dxa"/>
            <w:gridSpan w:val="4"/>
            <w:noWrap w:val="0"/>
            <w:vAlign w:val="center"/>
          </w:tcPr>
          <w:p w14:paraId="22508229">
            <w:pPr>
              <w:spacing w:line="36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分包号：</w:t>
            </w:r>
            <w:r>
              <w:rPr>
                <w:rFonts w:hint="eastAsia" w:ascii="宋体" w:hAnsi="宋体" w:eastAsia="宋体" w:cs="宋体"/>
                <w:color w:val="auto"/>
                <w:sz w:val="28"/>
                <w:szCs w:val="28"/>
                <w:lang w:val="en-US" w:eastAsia="zh-CN"/>
              </w:rPr>
              <w:t>/</w:t>
            </w:r>
          </w:p>
        </w:tc>
      </w:tr>
      <w:tr w14:paraId="150AF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47" w:type="dxa"/>
            <w:gridSpan w:val="4"/>
            <w:noWrap w:val="0"/>
            <w:vAlign w:val="center"/>
          </w:tcPr>
          <w:p w14:paraId="1F3BF32C">
            <w:pPr>
              <w:spacing w:line="360" w:lineRule="auto"/>
              <w:outlineLvl w:val="0"/>
              <w:rPr>
                <w:rFonts w:hint="eastAsia" w:ascii="宋体" w:hAnsi="宋体" w:eastAsia="宋体" w:cs="宋体"/>
                <w:color w:val="auto"/>
                <w:sz w:val="28"/>
                <w:szCs w:val="28"/>
                <w:lang w:val="en-US" w:eastAsia="zh-CN"/>
              </w:rPr>
            </w:pPr>
            <w:bookmarkStart w:id="338" w:name="_Toc14158"/>
            <w:bookmarkStart w:id="339" w:name="_Toc16031"/>
            <w:bookmarkStart w:id="340" w:name="_Toc1178"/>
            <w:bookmarkStart w:id="341" w:name="_Toc522"/>
            <w:r>
              <w:rPr>
                <w:rFonts w:hint="eastAsia" w:ascii="宋体" w:hAnsi="宋体" w:eastAsia="宋体" w:cs="宋体"/>
                <w:color w:val="auto"/>
                <w:sz w:val="28"/>
                <w:szCs w:val="28"/>
              </w:rPr>
              <w:t>分包名称</w:t>
            </w:r>
            <w:r>
              <w:rPr>
                <w:rFonts w:hint="eastAsia" w:ascii="宋体" w:hAnsi="宋体" w:eastAsia="宋体" w:cs="宋体"/>
                <w:color w:val="auto"/>
                <w:sz w:val="30"/>
                <w:szCs w:val="30"/>
              </w:rPr>
              <w:t>：</w:t>
            </w:r>
            <w:bookmarkEnd w:id="338"/>
            <w:bookmarkEnd w:id="339"/>
            <w:bookmarkEnd w:id="340"/>
            <w:bookmarkEnd w:id="341"/>
            <w:r>
              <w:rPr>
                <w:rFonts w:hint="eastAsia" w:ascii="宋体" w:hAnsi="宋体" w:eastAsia="宋体" w:cs="宋体"/>
                <w:color w:val="auto"/>
                <w:sz w:val="30"/>
                <w:szCs w:val="30"/>
                <w:lang w:val="en-US" w:eastAsia="zh-CN"/>
              </w:rPr>
              <w:t>/</w:t>
            </w:r>
          </w:p>
        </w:tc>
      </w:tr>
      <w:tr w14:paraId="210068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747" w:type="dxa"/>
            <w:gridSpan w:val="4"/>
            <w:noWrap w:val="0"/>
            <w:vAlign w:val="center"/>
          </w:tcPr>
          <w:p w14:paraId="7B29C8B2">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78C72648">
            <w:pPr>
              <w:spacing w:line="360" w:lineRule="auto"/>
              <w:jc w:val="left"/>
              <w:rPr>
                <w:rFonts w:hint="eastAsia" w:ascii="宋体" w:hAnsi="宋体" w:eastAsia="宋体" w:cs="宋体"/>
                <w:color w:val="auto"/>
                <w:sz w:val="30"/>
                <w:szCs w:val="30"/>
              </w:rPr>
            </w:pPr>
          </w:p>
          <w:p w14:paraId="5C7FAFBE">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日期：</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日    </w:t>
            </w:r>
          </w:p>
        </w:tc>
      </w:tr>
    </w:tbl>
    <w:p w14:paraId="641AAACA">
      <w:pPr>
        <w:tabs>
          <w:tab w:val="left" w:pos="6300"/>
        </w:tabs>
        <w:snapToGrid w:val="0"/>
        <w:spacing w:line="360" w:lineRule="auto"/>
        <w:ind w:firstLine="560"/>
        <w:jc w:val="center"/>
        <w:rPr>
          <w:rFonts w:hint="eastAsia" w:ascii="宋体" w:hAnsi="宋体" w:eastAsia="宋体" w:cs="宋体"/>
          <w:color w:val="auto"/>
          <w:sz w:val="24"/>
          <w:szCs w:val="24"/>
          <w:highlight w:val="none"/>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67724418-E609-4D16-8D16-A9BB6C09E1B7}"/>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2" w:fontKey="{2B86A5D0-D01E-45AA-A261-01989D1EAB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C7C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2FD5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22FD5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5BEC">
    <w:pPr>
      <w:pStyle w:val="18"/>
      <w:framePr w:wrap="around" w:vAnchor="text" w:hAnchor="margin" w:xAlign="center" w:y="1"/>
      <w:rPr>
        <w:rStyle w:val="31"/>
      </w:rPr>
    </w:pPr>
    <w:r>
      <w:fldChar w:fldCharType="begin"/>
    </w:r>
    <w:r>
      <w:rPr>
        <w:rStyle w:val="31"/>
      </w:rPr>
      <w:instrText xml:space="preserve">PAGE  </w:instrText>
    </w:r>
    <w:r>
      <w:fldChar w:fldCharType="separate"/>
    </w:r>
    <w:r>
      <w:fldChar w:fldCharType="end"/>
    </w:r>
  </w:p>
  <w:p w14:paraId="13CB0721">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F167">
    <w:pPr>
      <w:pStyle w:val="18"/>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23A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B423A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E2C48">
    <w:pPr>
      <w:pStyle w:val="18"/>
      <w:tabs>
        <w:tab w:val="center" w:pos="4819"/>
        <w:tab w:val="clear" w:pos="4153"/>
      </w:tabs>
      <w:rPr>
        <w:b/>
        <w:bC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0C9B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20C9B8">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EF08">
    <w:pPr>
      <w:pStyle w:val="18"/>
      <w:tabs>
        <w:tab w:val="center" w:pos="4819"/>
        <w:tab w:val="clear" w:pos="4153"/>
      </w:tabs>
      <w:rPr>
        <w:b/>
        <w:b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670CE">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7670CE">
                    <w:pPr>
                      <w:pStyle w:val="18"/>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BEDB">
    <w:pPr>
      <w:pStyle w:val="19"/>
      <w:jc w:val="both"/>
      <w:rPr>
        <w:rFonts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A89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A7EE">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9CC">
    <w:pPr>
      <w:pStyle w:val="19"/>
      <w:jc w:val="both"/>
      <w:rPr>
        <w:rFonts w:hint="eastAsia" w:ascii="仿宋" w:hAnsi="仿宋" w:eastAsia="仿宋" w:cs="仿宋"/>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29F45"/>
    <w:multiLevelType w:val="singleLevel"/>
    <w:tmpl w:val="A1C29F45"/>
    <w:lvl w:ilvl="0" w:tentative="0">
      <w:start w:val="5"/>
      <w:numFmt w:val="chineseCounting"/>
      <w:suff w:val="nothing"/>
      <w:lvlText w:val="%1、"/>
      <w:lvlJc w:val="left"/>
      <w:rPr>
        <w:rFonts w:hint="eastAsia"/>
      </w:rPr>
    </w:lvl>
  </w:abstractNum>
  <w:abstractNum w:abstractNumId="1">
    <w:nsid w:val="A2CCBCEB"/>
    <w:multiLevelType w:val="singleLevel"/>
    <w:tmpl w:val="A2CCBCEB"/>
    <w:lvl w:ilvl="0" w:tentative="0">
      <w:start w:val="1"/>
      <w:numFmt w:val="decimal"/>
      <w:lvlText w:val="%1."/>
      <w:lvlJc w:val="left"/>
      <w:pPr>
        <w:tabs>
          <w:tab w:val="left" w:pos="312"/>
        </w:tabs>
      </w:pPr>
    </w:lvl>
  </w:abstractNum>
  <w:abstractNum w:abstractNumId="2">
    <w:nsid w:val="A620B950"/>
    <w:multiLevelType w:val="singleLevel"/>
    <w:tmpl w:val="A620B950"/>
    <w:lvl w:ilvl="0" w:tentative="0">
      <w:start w:val="1"/>
      <w:numFmt w:val="decimal"/>
      <w:suff w:val="nothing"/>
      <w:lvlText w:val="%1、"/>
      <w:lvlJc w:val="left"/>
    </w:lvl>
  </w:abstractNum>
  <w:abstractNum w:abstractNumId="3">
    <w:nsid w:val="AF5E6BD6"/>
    <w:multiLevelType w:val="singleLevel"/>
    <w:tmpl w:val="AF5E6BD6"/>
    <w:lvl w:ilvl="0" w:tentative="0">
      <w:start w:val="3"/>
      <w:numFmt w:val="chineseCounting"/>
      <w:suff w:val="nothing"/>
      <w:lvlText w:val="%1、"/>
      <w:lvlJc w:val="left"/>
      <w:rPr>
        <w:rFonts w:hint="eastAsia"/>
      </w:rPr>
    </w:lvl>
  </w:abstractNum>
  <w:abstractNum w:abstractNumId="4">
    <w:nsid w:val="2864A663"/>
    <w:multiLevelType w:val="singleLevel"/>
    <w:tmpl w:val="2864A663"/>
    <w:lvl w:ilvl="0" w:tentative="0">
      <w:start w:val="2"/>
      <w:numFmt w:val="chineseCounting"/>
      <w:suff w:val="nothing"/>
      <w:lvlText w:val="（%1）"/>
      <w:lvlJc w:val="left"/>
      <w:rPr>
        <w:rFonts w:hint="eastAsia"/>
      </w:rPr>
    </w:lvl>
  </w:abstractNum>
  <w:abstractNum w:abstractNumId="5">
    <w:nsid w:val="40DC5BB8"/>
    <w:multiLevelType w:val="singleLevel"/>
    <w:tmpl w:val="40DC5BB8"/>
    <w:lvl w:ilvl="0" w:tentative="0">
      <w:start w:val="2"/>
      <w:numFmt w:val="chineseCounting"/>
      <w:suff w:val="nothing"/>
      <w:lvlText w:val="%1、"/>
      <w:lvlJc w:val="left"/>
      <w:rPr>
        <w:rFonts w:hint="eastAsia"/>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ODg4ODI0ZjczZjBkMWQyMjRjOWU4M2Q0MzZmODkifQ=="/>
  </w:docVars>
  <w:rsids>
    <w:rsidRoot w:val="007A16A6"/>
    <w:rsid w:val="00001F79"/>
    <w:rsid w:val="000E7463"/>
    <w:rsid w:val="004371E3"/>
    <w:rsid w:val="00483F46"/>
    <w:rsid w:val="00485C2C"/>
    <w:rsid w:val="00591057"/>
    <w:rsid w:val="006E5E11"/>
    <w:rsid w:val="007A16A6"/>
    <w:rsid w:val="00967338"/>
    <w:rsid w:val="00972965"/>
    <w:rsid w:val="009A23AB"/>
    <w:rsid w:val="00AC648B"/>
    <w:rsid w:val="00B12A73"/>
    <w:rsid w:val="00BA5DF6"/>
    <w:rsid w:val="00D10673"/>
    <w:rsid w:val="00D51730"/>
    <w:rsid w:val="00D52756"/>
    <w:rsid w:val="00D53746"/>
    <w:rsid w:val="00E91541"/>
    <w:rsid w:val="00FA10C8"/>
    <w:rsid w:val="00FC5295"/>
    <w:rsid w:val="00FE3AF9"/>
    <w:rsid w:val="011801B4"/>
    <w:rsid w:val="01583118"/>
    <w:rsid w:val="015E3A12"/>
    <w:rsid w:val="01872593"/>
    <w:rsid w:val="01D41FEB"/>
    <w:rsid w:val="01E0649E"/>
    <w:rsid w:val="01EA636A"/>
    <w:rsid w:val="01F11601"/>
    <w:rsid w:val="02013B6C"/>
    <w:rsid w:val="02016828"/>
    <w:rsid w:val="02186A33"/>
    <w:rsid w:val="02362B3B"/>
    <w:rsid w:val="024C0DD3"/>
    <w:rsid w:val="02531CA3"/>
    <w:rsid w:val="02533878"/>
    <w:rsid w:val="02555213"/>
    <w:rsid w:val="028E2BE3"/>
    <w:rsid w:val="02900CBF"/>
    <w:rsid w:val="0294794D"/>
    <w:rsid w:val="02AD7D25"/>
    <w:rsid w:val="02B67E79"/>
    <w:rsid w:val="02BD7F57"/>
    <w:rsid w:val="02C848FD"/>
    <w:rsid w:val="02D07A91"/>
    <w:rsid w:val="02D50DC8"/>
    <w:rsid w:val="02EC19C0"/>
    <w:rsid w:val="02FC0103"/>
    <w:rsid w:val="03011D41"/>
    <w:rsid w:val="030B47EA"/>
    <w:rsid w:val="031B20B6"/>
    <w:rsid w:val="032338E1"/>
    <w:rsid w:val="032A1D61"/>
    <w:rsid w:val="032D0F7E"/>
    <w:rsid w:val="033428D7"/>
    <w:rsid w:val="03465822"/>
    <w:rsid w:val="035241C7"/>
    <w:rsid w:val="035B02C4"/>
    <w:rsid w:val="035E0DBD"/>
    <w:rsid w:val="036C5B3B"/>
    <w:rsid w:val="038A570F"/>
    <w:rsid w:val="03955EC9"/>
    <w:rsid w:val="03975CFC"/>
    <w:rsid w:val="039E10EB"/>
    <w:rsid w:val="03B510E0"/>
    <w:rsid w:val="03B66D3C"/>
    <w:rsid w:val="03EF6039"/>
    <w:rsid w:val="03F93983"/>
    <w:rsid w:val="03FF7DE1"/>
    <w:rsid w:val="04162652"/>
    <w:rsid w:val="041D6583"/>
    <w:rsid w:val="04274F2B"/>
    <w:rsid w:val="044B0558"/>
    <w:rsid w:val="04574102"/>
    <w:rsid w:val="0473288B"/>
    <w:rsid w:val="048644D3"/>
    <w:rsid w:val="04866AD2"/>
    <w:rsid w:val="048A2FCF"/>
    <w:rsid w:val="04BE4941"/>
    <w:rsid w:val="04C210B5"/>
    <w:rsid w:val="04D806FC"/>
    <w:rsid w:val="04DA26C6"/>
    <w:rsid w:val="04F35297"/>
    <w:rsid w:val="04FB243E"/>
    <w:rsid w:val="051C0AFA"/>
    <w:rsid w:val="05243941"/>
    <w:rsid w:val="05545379"/>
    <w:rsid w:val="058E1529"/>
    <w:rsid w:val="05912AC6"/>
    <w:rsid w:val="05924D4E"/>
    <w:rsid w:val="05A21435"/>
    <w:rsid w:val="05AE3AE8"/>
    <w:rsid w:val="05C55124"/>
    <w:rsid w:val="05CF5FA2"/>
    <w:rsid w:val="05E21BDB"/>
    <w:rsid w:val="05E7729D"/>
    <w:rsid w:val="05ED5DDC"/>
    <w:rsid w:val="05FC0C11"/>
    <w:rsid w:val="06075142"/>
    <w:rsid w:val="06106453"/>
    <w:rsid w:val="062C120A"/>
    <w:rsid w:val="0633208D"/>
    <w:rsid w:val="065546FA"/>
    <w:rsid w:val="066466EB"/>
    <w:rsid w:val="06647D53"/>
    <w:rsid w:val="06683691"/>
    <w:rsid w:val="06745A21"/>
    <w:rsid w:val="067A40B5"/>
    <w:rsid w:val="069B7C33"/>
    <w:rsid w:val="06B86A37"/>
    <w:rsid w:val="06CE1DB6"/>
    <w:rsid w:val="070B125C"/>
    <w:rsid w:val="071023CF"/>
    <w:rsid w:val="07183F2F"/>
    <w:rsid w:val="071C6FC5"/>
    <w:rsid w:val="07231007"/>
    <w:rsid w:val="072D6361"/>
    <w:rsid w:val="072E5CE5"/>
    <w:rsid w:val="073A1725"/>
    <w:rsid w:val="07487DBA"/>
    <w:rsid w:val="0765096C"/>
    <w:rsid w:val="0768045D"/>
    <w:rsid w:val="07853019"/>
    <w:rsid w:val="078B414B"/>
    <w:rsid w:val="078E4A89"/>
    <w:rsid w:val="07A34FF1"/>
    <w:rsid w:val="07C826CF"/>
    <w:rsid w:val="07CD1340"/>
    <w:rsid w:val="07E35D35"/>
    <w:rsid w:val="07ED0962"/>
    <w:rsid w:val="080D4B60"/>
    <w:rsid w:val="0826408A"/>
    <w:rsid w:val="082C148A"/>
    <w:rsid w:val="0830253D"/>
    <w:rsid w:val="08314CF2"/>
    <w:rsid w:val="083640B7"/>
    <w:rsid w:val="08404F36"/>
    <w:rsid w:val="084E7652"/>
    <w:rsid w:val="089D4B4D"/>
    <w:rsid w:val="089D5EE4"/>
    <w:rsid w:val="08A2174C"/>
    <w:rsid w:val="08AC4379"/>
    <w:rsid w:val="08FB476A"/>
    <w:rsid w:val="08FF3F01"/>
    <w:rsid w:val="094822F4"/>
    <w:rsid w:val="096A2333"/>
    <w:rsid w:val="09862E1C"/>
    <w:rsid w:val="09A74F2C"/>
    <w:rsid w:val="09AA4D5C"/>
    <w:rsid w:val="09AD03A9"/>
    <w:rsid w:val="09C06C05"/>
    <w:rsid w:val="09D0079B"/>
    <w:rsid w:val="09E00043"/>
    <w:rsid w:val="09F63AFE"/>
    <w:rsid w:val="09FB1114"/>
    <w:rsid w:val="0A0A1357"/>
    <w:rsid w:val="0A0C30B6"/>
    <w:rsid w:val="0A3463D4"/>
    <w:rsid w:val="0A516121"/>
    <w:rsid w:val="0A621193"/>
    <w:rsid w:val="0A83110A"/>
    <w:rsid w:val="0A901F39"/>
    <w:rsid w:val="0A904DE1"/>
    <w:rsid w:val="0A9D56F2"/>
    <w:rsid w:val="0A9F0CE3"/>
    <w:rsid w:val="0AA90B70"/>
    <w:rsid w:val="0ACC485F"/>
    <w:rsid w:val="0AD100C7"/>
    <w:rsid w:val="0AD37F74"/>
    <w:rsid w:val="0AD72553"/>
    <w:rsid w:val="0AF03457"/>
    <w:rsid w:val="0AF10769"/>
    <w:rsid w:val="0AFD5233"/>
    <w:rsid w:val="0AFF2E86"/>
    <w:rsid w:val="0B0E131B"/>
    <w:rsid w:val="0B1D0446"/>
    <w:rsid w:val="0B21487A"/>
    <w:rsid w:val="0B64584D"/>
    <w:rsid w:val="0B680A2B"/>
    <w:rsid w:val="0B7E74F7"/>
    <w:rsid w:val="0B980BE5"/>
    <w:rsid w:val="0B9C2483"/>
    <w:rsid w:val="0BA85C6E"/>
    <w:rsid w:val="0BBD429F"/>
    <w:rsid w:val="0BBE064B"/>
    <w:rsid w:val="0BC11EE9"/>
    <w:rsid w:val="0BC5122A"/>
    <w:rsid w:val="0C0A3ED7"/>
    <w:rsid w:val="0C1A35AD"/>
    <w:rsid w:val="0C2601D9"/>
    <w:rsid w:val="0C2B3807"/>
    <w:rsid w:val="0C340E02"/>
    <w:rsid w:val="0C50326D"/>
    <w:rsid w:val="0C6122B2"/>
    <w:rsid w:val="0C6D06E2"/>
    <w:rsid w:val="0C727688"/>
    <w:rsid w:val="0C7F57E9"/>
    <w:rsid w:val="0CB35CD6"/>
    <w:rsid w:val="0CC46135"/>
    <w:rsid w:val="0CE31135"/>
    <w:rsid w:val="0CE94E0E"/>
    <w:rsid w:val="0CF06F2A"/>
    <w:rsid w:val="0CF956B3"/>
    <w:rsid w:val="0D135FD2"/>
    <w:rsid w:val="0D2F254C"/>
    <w:rsid w:val="0D5A6955"/>
    <w:rsid w:val="0D6C40D7"/>
    <w:rsid w:val="0D780CCE"/>
    <w:rsid w:val="0D9345EC"/>
    <w:rsid w:val="0DC15B08"/>
    <w:rsid w:val="0DD644D9"/>
    <w:rsid w:val="0DF800CB"/>
    <w:rsid w:val="0E12593E"/>
    <w:rsid w:val="0E2055ED"/>
    <w:rsid w:val="0E460DCC"/>
    <w:rsid w:val="0E49753B"/>
    <w:rsid w:val="0E9E3195"/>
    <w:rsid w:val="0EA63619"/>
    <w:rsid w:val="0EA909C5"/>
    <w:rsid w:val="0EBA1B76"/>
    <w:rsid w:val="0ECA4CFE"/>
    <w:rsid w:val="0ECE329B"/>
    <w:rsid w:val="0EEB0949"/>
    <w:rsid w:val="0EED3AD5"/>
    <w:rsid w:val="0F126B2F"/>
    <w:rsid w:val="0F1420B5"/>
    <w:rsid w:val="0F1A028E"/>
    <w:rsid w:val="0F4C41C0"/>
    <w:rsid w:val="0F4F5A5E"/>
    <w:rsid w:val="0F7A6104"/>
    <w:rsid w:val="0FA933C0"/>
    <w:rsid w:val="0FAF179D"/>
    <w:rsid w:val="0FF744AF"/>
    <w:rsid w:val="10172A20"/>
    <w:rsid w:val="101833B4"/>
    <w:rsid w:val="102B2027"/>
    <w:rsid w:val="102D2243"/>
    <w:rsid w:val="107C6D27"/>
    <w:rsid w:val="108765D6"/>
    <w:rsid w:val="108E2A27"/>
    <w:rsid w:val="10905347"/>
    <w:rsid w:val="10C009C2"/>
    <w:rsid w:val="10CA5CE4"/>
    <w:rsid w:val="10D91A83"/>
    <w:rsid w:val="10F644F5"/>
    <w:rsid w:val="110A4F79"/>
    <w:rsid w:val="110C1E59"/>
    <w:rsid w:val="112836B9"/>
    <w:rsid w:val="11317B11"/>
    <w:rsid w:val="1134315E"/>
    <w:rsid w:val="11496C09"/>
    <w:rsid w:val="114B1B78"/>
    <w:rsid w:val="11542D1E"/>
    <w:rsid w:val="11553800"/>
    <w:rsid w:val="11625F1D"/>
    <w:rsid w:val="116574B4"/>
    <w:rsid w:val="11836E7B"/>
    <w:rsid w:val="118801A1"/>
    <w:rsid w:val="11A27B01"/>
    <w:rsid w:val="11D840DD"/>
    <w:rsid w:val="11D84797"/>
    <w:rsid w:val="11E01CC0"/>
    <w:rsid w:val="11E10C03"/>
    <w:rsid w:val="12137217"/>
    <w:rsid w:val="121470EA"/>
    <w:rsid w:val="121E4192"/>
    <w:rsid w:val="1232769D"/>
    <w:rsid w:val="125C6E10"/>
    <w:rsid w:val="12701699"/>
    <w:rsid w:val="12863E8D"/>
    <w:rsid w:val="12887666"/>
    <w:rsid w:val="12AD544A"/>
    <w:rsid w:val="12E017EF"/>
    <w:rsid w:val="12EB0137"/>
    <w:rsid w:val="12EE4D0D"/>
    <w:rsid w:val="130A5D94"/>
    <w:rsid w:val="13150595"/>
    <w:rsid w:val="133B7018"/>
    <w:rsid w:val="133D36D6"/>
    <w:rsid w:val="134202B1"/>
    <w:rsid w:val="13682F98"/>
    <w:rsid w:val="13715B2A"/>
    <w:rsid w:val="139C2A90"/>
    <w:rsid w:val="13BC3EEE"/>
    <w:rsid w:val="13CB5EF3"/>
    <w:rsid w:val="13CB5FFB"/>
    <w:rsid w:val="13EC1FE4"/>
    <w:rsid w:val="13F6026F"/>
    <w:rsid w:val="142B6A9A"/>
    <w:rsid w:val="14327E28"/>
    <w:rsid w:val="144638D4"/>
    <w:rsid w:val="144D6A10"/>
    <w:rsid w:val="14627FE2"/>
    <w:rsid w:val="14902DA1"/>
    <w:rsid w:val="149A41EF"/>
    <w:rsid w:val="14A95C11"/>
    <w:rsid w:val="14AA1005"/>
    <w:rsid w:val="14B81816"/>
    <w:rsid w:val="14CE474B"/>
    <w:rsid w:val="150115A9"/>
    <w:rsid w:val="15035321"/>
    <w:rsid w:val="150712B5"/>
    <w:rsid w:val="150B3A74"/>
    <w:rsid w:val="15273705"/>
    <w:rsid w:val="155D250F"/>
    <w:rsid w:val="156027F9"/>
    <w:rsid w:val="156404B5"/>
    <w:rsid w:val="157B24DC"/>
    <w:rsid w:val="157B50AD"/>
    <w:rsid w:val="15A9236C"/>
    <w:rsid w:val="15BC4035"/>
    <w:rsid w:val="15C33ED5"/>
    <w:rsid w:val="15CA64A3"/>
    <w:rsid w:val="15ED2CEB"/>
    <w:rsid w:val="15FF01DE"/>
    <w:rsid w:val="160550C9"/>
    <w:rsid w:val="160F08DF"/>
    <w:rsid w:val="1615355E"/>
    <w:rsid w:val="162605E4"/>
    <w:rsid w:val="1638724C"/>
    <w:rsid w:val="16473933"/>
    <w:rsid w:val="164E4CC1"/>
    <w:rsid w:val="166521AC"/>
    <w:rsid w:val="166C5F35"/>
    <w:rsid w:val="16866FCF"/>
    <w:rsid w:val="168C1346"/>
    <w:rsid w:val="16970CA9"/>
    <w:rsid w:val="16AC5558"/>
    <w:rsid w:val="16C5033A"/>
    <w:rsid w:val="16C76BDA"/>
    <w:rsid w:val="16CB00C0"/>
    <w:rsid w:val="16CB6A64"/>
    <w:rsid w:val="16CF5E02"/>
    <w:rsid w:val="16E30B31"/>
    <w:rsid w:val="16F72C63"/>
    <w:rsid w:val="16FA09A5"/>
    <w:rsid w:val="170B0B62"/>
    <w:rsid w:val="171D1C21"/>
    <w:rsid w:val="172C5003"/>
    <w:rsid w:val="174E544F"/>
    <w:rsid w:val="176D73C9"/>
    <w:rsid w:val="177B7D38"/>
    <w:rsid w:val="178A7F7B"/>
    <w:rsid w:val="178E7A6B"/>
    <w:rsid w:val="17914E66"/>
    <w:rsid w:val="17B212C8"/>
    <w:rsid w:val="17BA0860"/>
    <w:rsid w:val="17BB0135"/>
    <w:rsid w:val="17C57205"/>
    <w:rsid w:val="17C7342C"/>
    <w:rsid w:val="17DC76E8"/>
    <w:rsid w:val="17E458DD"/>
    <w:rsid w:val="17EB784A"/>
    <w:rsid w:val="1813400F"/>
    <w:rsid w:val="184B14B9"/>
    <w:rsid w:val="18690A6B"/>
    <w:rsid w:val="18694035"/>
    <w:rsid w:val="1872464D"/>
    <w:rsid w:val="18745314"/>
    <w:rsid w:val="188D751D"/>
    <w:rsid w:val="188F1A4B"/>
    <w:rsid w:val="189310B2"/>
    <w:rsid w:val="18B20FCE"/>
    <w:rsid w:val="18BB3140"/>
    <w:rsid w:val="18C64D24"/>
    <w:rsid w:val="18CB43A7"/>
    <w:rsid w:val="18DC0363"/>
    <w:rsid w:val="18E216F1"/>
    <w:rsid w:val="18E53E06"/>
    <w:rsid w:val="18F558C8"/>
    <w:rsid w:val="18FE477D"/>
    <w:rsid w:val="190E4FD7"/>
    <w:rsid w:val="194D74B2"/>
    <w:rsid w:val="195715A3"/>
    <w:rsid w:val="195A572B"/>
    <w:rsid w:val="196D6140"/>
    <w:rsid w:val="197D7D98"/>
    <w:rsid w:val="19882298"/>
    <w:rsid w:val="199724DC"/>
    <w:rsid w:val="19BF413C"/>
    <w:rsid w:val="19EF40C6"/>
    <w:rsid w:val="1A147FD0"/>
    <w:rsid w:val="1A5907D2"/>
    <w:rsid w:val="1A5F166A"/>
    <w:rsid w:val="1A606D71"/>
    <w:rsid w:val="1A6A3334"/>
    <w:rsid w:val="1A7F18ED"/>
    <w:rsid w:val="1A8C697D"/>
    <w:rsid w:val="1AAE3F81"/>
    <w:rsid w:val="1AC12C8C"/>
    <w:rsid w:val="1AC35C7E"/>
    <w:rsid w:val="1AC76058"/>
    <w:rsid w:val="1AE06B70"/>
    <w:rsid w:val="1B0173E1"/>
    <w:rsid w:val="1B081436"/>
    <w:rsid w:val="1B155DAE"/>
    <w:rsid w:val="1B252495"/>
    <w:rsid w:val="1B2B737F"/>
    <w:rsid w:val="1B763A45"/>
    <w:rsid w:val="1B7B2D5E"/>
    <w:rsid w:val="1B9F2C40"/>
    <w:rsid w:val="1BAF7FB0"/>
    <w:rsid w:val="1BB35CDF"/>
    <w:rsid w:val="1BF0493A"/>
    <w:rsid w:val="1BF6566B"/>
    <w:rsid w:val="1C004A47"/>
    <w:rsid w:val="1C0B07A6"/>
    <w:rsid w:val="1C1C4F1A"/>
    <w:rsid w:val="1C230AC0"/>
    <w:rsid w:val="1C252021"/>
    <w:rsid w:val="1C294ACB"/>
    <w:rsid w:val="1C2F10F1"/>
    <w:rsid w:val="1C3E5A1F"/>
    <w:rsid w:val="1C4C57FF"/>
    <w:rsid w:val="1C4F3541"/>
    <w:rsid w:val="1C56667E"/>
    <w:rsid w:val="1C662D65"/>
    <w:rsid w:val="1C7573D9"/>
    <w:rsid w:val="1C7A236C"/>
    <w:rsid w:val="1CA4563B"/>
    <w:rsid w:val="1CB13310"/>
    <w:rsid w:val="1CC979D3"/>
    <w:rsid w:val="1CD777BF"/>
    <w:rsid w:val="1CDC4DD5"/>
    <w:rsid w:val="1CE011BF"/>
    <w:rsid w:val="1CEE613C"/>
    <w:rsid w:val="1CFA0420"/>
    <w:rsid w:val="1D1D719C"/>
    <w:rsid w:val="1D1D7575"/>
    <w:rsid w:val="1D886D0B"/>
    <w:rsid w:val="1DAD35B6"/>
    <w:rsid w:val="1DB16111"/>
    <w:rsid w:val="1DE15557"/>
    <w:rsid w:val="1E0068A1"/>
    <w:rsid w:val="1E062289"/>
    <w:rsid w:val="1E0A3384"/>
    <w:rsid w:val="1E1113B2"/>
    <w:rsid w:val="1E301B9F"/>
    <w:rsid w:val="1E46140E"/>
    <w:rsid w:val="1E4A3FC0"/>
    <w:rsid w:val="1E8707A4"/>
    <w:rsid w:val="1E934DDA"/>
    <w:rsid w:val="1E9640D5"/>
    <w:rsid w:val="1EA00084"/>
    <w:rsid w:val="1EAC7F7A"/>
    <w:rsid w:val="1F016D75"/>
    <w:rsid w:val="1F06438B"/>
    <w:rsid w:val="1F4A26C0"/>
    <w:rsid w:val="1F582F19"/>
    <w:rsid w:val="1FA94D17"/>
    <w:rsid w:val="1FB44CEF"/>
    <w:rsid w:val="1FD67160"/>
    <w:rsid w:val="1FE741BD"/>
    <w:rsid w:val="1FED5F05"/>
    <w:rsid w:val="1FF64400"/>
    <w:rsid w:val="20036B1D"/>
    <w:rsid w:val="20173F0C"/>
    <w:rsid w:val="202C6073"/>
    <w:rsid w:val="20607ACB"/>
    <w:rsid w:val="207D067D"/>
    <w:rsid w:val="20A36969"/>
    <w:rsid w:val="20A7394C"/>
    <w:rsid w:val="20B0742B"/>
    <w:rsid w:val="20B07673"/>
    <w:rsid w:val="20B37A89"/>
    <w:rsid w:val="20B64731"/>
    <w:rsid w:val="20D65FDF"/>
    <w:rsid w:val="20E73FDC"/>
    <w:rsid w:val="20E95D13"/>
    <w:rsid w:val="20F17404"/>
    <w:rsid w:val="20F86C66"/>
    <w:rsid w:val="21085534"/>
    <w:rsid w:val="21112E5D"/>
    <w:rsid w:val="21115269"/>
    <w:rsid w:val="2122506F"/>
    <w:rsid w:val="21317460"/>
    <w:rsid w:val="213B5E42"/>
    <w:rsid w:val="21515666"/>
    <w:rsid w:val="21535882"/>
    <w:rsid w:val="215947D8"/>
    <w:rsid w:val="215A276C"/>
    <w:rsid w:val="21A83D12"/>
    <w:rsid w:val="21BC429F"/>
    <w:rsid w:val="21D54581"/>
    <w:rsid w:val="21F63227"/>
    <w:rsid w:val="22226997"/>
    <w:rsid w:val="22352B64"/>
    <w:rsid w:val="22383E87"/>
    <w:rsid w:val="22464D50"/>
    <w:rsid w:val="224F429B"/>
    <w:rsid w:val="224F6049"/>
    <w:rsid w:val="22565BC1"/>
    <w:rsid w:val="225B3769"/>
    <w:rsid w:val="228C06EB"/>
    <w:rsid w:val="228C2DF9"/>
    <w:rsid w:val="22D71F89"/>
    <w:rsid w:val="22D868D3"/>
    <w:rsid w:val="230865AC"/>
    <w:rsid w:val="231150AD"/>
    <w:rsid w:val="23675344"/>
    <w:rsid w:val="236E6FF8"/>
    <w:rsid w:val="23850189"/>
    <w:rsid w:val="23897339"/>
    <w:rsid w:val="239D0A0C"/>
    <w:rsid w:val="23BA3996"/>
    <w:rsid w:val="23BE6B4B"/>
    <w:rsid w:val="23D60ACB"/>
    <w:rsid w:val="23E3039C"/>
    <w:rsid w:val="23F46EA8"/>
    <w:rsid w:val="23F724F4"/>
    <w:rsid w:val="24007AC0"/>
    <w:rsid w:val="24186342"/>
    <w:rsid w:val="244D65E7"/>
    <w:rsid w:val="24575689"/>
    <w:rsid w:val="245E2574"/>
    <w:rsid w:val="24992DAF"/>
    <w:rsid w:val="24997A50"/>
    <w:rsid w:val="2506571D"/>
    <w:rsid w:val="250A6257"/>
    <w:rsid w:val="252C028A"/>
    <w:rsid w:val="2568677F"/>
    <w:rsid w:val="257B3F09"/>
    <w:rsid w:val="25950217"/>
    <w:rsid w:val="259D3570"/>
    <w:rsid w:val="259D70CC"/>
    <w:rsid w:val="25AA2303"/>
    <w:rsid w:val="25BB0AAA"/>
    <w:rsid w:val="25CE6CA7"/>
    <w:rsid w:val="25D67605"/>
    <w:rsid w:val="25E74730"/>
    <w:rsid w:val="26061115"/>
    <w:rsid w:val="260E10FE"/>
    <w:rsid w:val="26261652"/>
    <w:rsid w:val="264810FF"/>
    <w:rsid w:val="265D6E93"/>
    <w:rsid w:val="2674607E"/>
    <w:rsid w:val="26874B33"/>
    <w:rsid w:val="26C540E2"/>
    <w:rsid w:val="26C62652"/>
    <w:rsid w:val="26D21EAD"/>
    <w:rsid w:val="26EF7DFB"/>
    <w:rsid w:val="270F12F9"/>
    <w:rsid w:val="271D59D0"/>
    <w:rsid w:val="27286E69"/>
    <w:rsid w:val="272E26D1"/>
    <w:rsid w:val="27461345"/>
    <w:rsid w:val="27C11484"/>
    <w:rsid w:val="27D8088F"/>
    <w:rsid w:val="2826784C"/>
    <w:rsid w:val="282E191D"/>
    <w:rsid w:val="28393256"/>
    <w:rsid w:val="284657F9"/>
    <w:rsid w:val="286B6F94"/>
    <w:rsid w:val="287E1436"/>
    <w:rsid w:val="28885E11"/>
    <w:rsid w:val="28A6518C"/>
    <w:rsid w:val="28A671D2"/>
    <w:rsid w:val="28C01A4F"/>
    <w:rsid w:val="28C96CBB"/>
    <w:rsid w:val="28DA4193"/>
    <w:rsid w:val="28E43737"/>
    <w:rsid w:val="28EA2628"/>
    <w:rsid w:val="28FB2A87"/>
    <w:rsid w:val="29017971"/>
    <w:rsid w:val="290D1A3C"/>
    <w:rsid w:val="291453F2"/>
    <w:rsid w:val="29360622"/>
    <w:rsid w:val="295771C4"/>
    <w:rsid w:val="29614AE4"/>
    <w:rsid w:val="29622B06"/>
    <w:rsid w:val="296454DF"/>
    <w:rsid w:val="29712A36"/>
    <w:rsid w:val="29AC6A1D"/>
    <w:rsid w:val="29B03871"/>
    <w:rsid w:val="29C5549C"/>
    <w:rsid w:val="29CB2141"/>
    <w:rsid w:val="29FA2D3E"/>
    <w:rsid w:val="29FF4B88"/>
    <w:rsid w:val="2A0B547C"/>
    <w:rsid w:val="2A0C024B"/>
    <w:rsid w:val="2A0E2346"/>
    <w:rsid w:val="2A1D4C7F"/>
    <w:rsid w:val="2A677E90"/>
    <w:rsid w:val="2A6C2367"/>
    <w:rsid w:val="2A74307D"/>
    <w:rsid w:val="2A862824"/>
    <w:rsid w:val="2A9A62D0"/>
    <w:rsid w:val="2AC624D6"/>
    <w:rsid w:val="2ADA5A13"/>
    <w:rsid w:val="2AF15A7A"/>
    <w:rsid w:val="2B0426A5"/>
    <w:rsid w:val="2B116592"/>
    <w:rsid w:val="2B141BDE"/>
    <w:rsid w:val="2B180563"/>
    <w:rsid w:val="2B4B6F96"/>
    <w:rsid w:val="2B62401D"/>
    <w:rsid w:val="2B813779"/>
    <w:rsid w:val="2B8F21F0"/>
    <w:rsid w:val="2B942D1F"/>
    <w:rsid w:val="2B980A61"/>
    <w:rsid w:val="2BB02D46"/>
    <w:rsid w:val="2BB90F47"/>
    <w:rsid w:val="2BB97D84"/>
    <w:rsid w:val="2BCE0689"/>
    <w:rsid w:val="2BD15D21"/>
    <w:rsid w:val="2BD96984"/>
    <w:rsid w:val="2BE03161"/>
    <w:rsid w:val="2BE05F64"/>
    <w:rsid w:val="2BF35C97"/>
    <w:rsid w:val="2BF437BD"/>
    <w:rsid w:val="2C016606"/>
    <w:rsid w:val="2C0B2F55"/>
    <w:rsid w:val="2C2C2F57"/>
    <w:rsid w:val="2C384B42"/>
    <w:rsid w:val="2C6018A8"/>
    <w:rsid w:val="2C6E3570"/>
    <w:rsid w:val="2C73502A"/>
    <w:rsid w:val="2C737F26"/>
    <w:rsid w:val="2C931228"/>
    <w:rsid w:val="2CA94D64"/>
    <w:rsid w:val="2CE87E3E"/>
    <w:rsid w:val="2CF12C21"/>
    <w:rsid w:val="2CF96FB4"/>
    <w:rsid w:val="2D061C45"/>
    <w:rsid w:val="2D104627"/>
    <w:rsid w:val="2D241F75"/>
    <w:rsid w:val="2D26209C"/>
    <w:rsid w:val="2D330463"/>
    <w:rsid w:val="2D366C89"/>
    <w:rsid w:val="2D483AF4"/>
    <w:rsid w:val="2D711922"/>
    <w:rsid w:val="2D766B80"/>
    <w:rsid w:val="2D995F29"/>
    <w:rsid w:val="2D9C02BF"/>
    <w:rsid w:val="2D9F1767"/>
    <w:rsid w:val="2DC0604D"/>
    <w:rsid w:val="2DCC629E"/>
    <w:rsid w:val="2E045F3A"/>
    <w:rsid w:val="2E112405"/>
    <w:rsid w:val="2E1E4D06"/>
    <w:rsid w:val="2E307FA8"/>
    <w:rsid w:val="2EAE2349"/>
    <w:rsid w:val="2EAE5EA6"/>
    <w:rsid w:val="2EBD258D"/>
    <w:rsid w:val="2EC41B6D"/>
    <w:rsid w:val="2EE54BFF"/>
    <w:rsid w:val="2EF07656"/>
    <w:rsid w:val="2F1E22C8"/>
    <w:rsid w:val="2F236894"/>
    <w:rsid w:val="2F246BF9"/>
    <w:rsid w:val="2F277487"/>
    <w:rsid w:val="2F2F348A"/>
    <w:rsid w:val="2F3E1694"/>
    <w:rsid w:val="2F422728"/>
    <w:rsid w:val="2F566C69"/>
    <w:rsid w:val="2F6046B5"/>
    <w:rsid w:val="2F642EBB"/>
    <w:rsid w:val="2F6B1FE9"/>
    <w:rsid w:val="2F9C74F7"/>
    <w:rsid w:val="2FA96899"/>
    <w:rsid w:val="2FBB4D1E"/>
    <w:rsid w:val="2FE80256"/>
    <w:rsid w:val="2FFA3A98"/>
    <w:rsid w:val="2FFD0189"/>
    <w:rsid w:val="300C557A"/>
    <w:rsid w:val="303348B4"/>
    <w:rsid w:val="303705CB"/>
    <w:rsid w:val="30433499"/>
    <w:rsid w:val="304C3BC8"/>
    <w:rsid w:val="3062519A"/>
    <w:rsid w:val="307D0225"/>
    <w:rsid w:val="3089665D"/>
    <w:rsid w:val="30AC0D80"/>
    <w:rsid w:val="30B71989"/>
    <w:rsid w:val="30DA7426"/>
    <w:rsid w:val="30ED7159"/>
    <w:rsid w:val="30F71D86"/>
    <w:rsid w:val="30FA5FEE"/>
    <w:rsid w:val="30FF5EFC"/>
    <w:rsid w:val="31050127"/>
    <w:rsid w:val="31195387"/>
    <w:rsid w:val="31283ADD"/>
    <w:rsid w:val="313E192D"/>
    <w:rsid w:val="31413001"/>
    <w:rsid w:val="31532D34"/>
    <w:rsid w:val="317E6003"/>
    <w:rsid w:val="3192385D"/>
    <w:rsid w:val="31CA6FEB"/>
    <w:rsid w:val="31D2634F"/>
    <w:rsid w:val="31E17E6B"/>
    <w:rsid w:val="31E93C49"/>
    <w:rsid w:val="31EB11BF"/>
    <w:rsid w:val="31EE2735"/>
    <w:rsid w:val="31F36F75"/>
    <w:rsid w:val="320329AC"/>
    <w:rsid w:val="320A370E"/>
    <w:rsid w:val="320F0AA4"/>
    <w:rsid w:val="322112BA"/>
    <w:rsid w:val="32594BD2"/>
    <w:rsid w:val="325E6763"/>
    <w:rsid w:val="32894C60"/>
    <w:rsid w:val="328D5DB9"/>
    <w:rsid w:val="3292549E"/>
    <w:rsid w:val="32C24F9D"/>
    <w:rsid w:val="32C35957"/>
    <w:rsid w:val="32DC56D7"/>
    <w:rsid w:val="32FA0324"/>
    <w:rsid w:val="330A1A52"/>
    <w:rsid w:val="33134E71"/>
    <w:rsid w:val="331537EB"/>
    <w:rsid w:val="33242A7F"/>
    <w:rsid w:val="332B7BEF"/>
    <w:rsid w:val="33366406"/>
    <w:rsid w:val="334E5A9F"/>
    <w:rsid w:val="3381639C"/>
    <w:rsid w:val="33866FA8"/>
    <w:rsid w:val="33A43D3B"/>
    <w:rsid w:val="33B331B5"/>
    <w:rsid w:val="33BB3FC3"/>
    <w:rsid w:val="33D50520"/>
    <w:rsid w:val="33EF143A"/>
    <w:rsid w:val="34016560"/>
    <w:rsid w:val="34060532"/>
    <w:rsid w:val="340E6427"/>
    <w:rsid w:val="341B5A49"/>
    <w:rsid w:val="342514E8"/>
    <w:rsid w:val="34256C0A"/>
    <w:rsid w:val="342D5ABF"/>
    <w:rsid w:val="345179FF"/>
    <w:rsid w:val="34B8182C"/>
    <w:rsid w:val="34BF6C8F"/>
    <w:rsid w:val="35064C8D"/>
    <w:rsid w:val="35284C04"/>
    <w:rsid w:val="353C420B"/>
    <w:rsid w:val="35417A73"/>
    <w:rsid w:val="35694D08"/>
    <w:rsid w:val="356B120A"/>
    <w:rsid w:val="356B6309"/>
    <w:rsid w:val="3589141A"/>
    <w:rsid w:val="35A40002"/>
    <w:rsid w:val="35B205C3"/>
    <w:rsid w:val="35B75F88"/>
    <w:rsid w:val="35C67F79"/>
    <w:rsid w:val="35D46F87"/>
    <w:rsid w:val="35D703D8"/>
    <w:rsid w:val="35DA1C76"/>
    <w:rsid w:val="35DC0741"/>
    <w:rsid w:val="35DF3F1C"/>
    <w:rsid w:val="3628478F"/>
    <w:rsid w:val="363219AB"/>
    <w:rsid w:val="364E6A9B"/>
    <w:rsid w:val="36533F02"/>
    <w:rsid w:val="36541A28"/>
    <w:rsid w:val="36572D3F"/>
    <w:rsid w:val="365D08DD"/>
    <w:rsid w:val="36634B09"/>
    <w:rsid w:val="36637357"/>
    <w:rsid w:val="366B04D8"/>
    <w:rsid w:val="368F0CB2"/>
    <w:rsid w:val="369167D9"/>
    <w:rsid w:val="369C3F7E"/>
    <w:rsid w:val="36BE0654"/>
    <w:rsid w:val="36C46BAE"/>
    <w:rsid w:val="370945C1"/>
    <w:rsid w:val="3733163E"/>
    <w:rsid w:val="37384DC5"/>
    <w:rsid w:val="373B350A"/>
    <w:rsid w:val="3752696B"/>
    <w:rsid w:val="37597553"/>
    <w:rsid w:val="376965A9"/>
    <w:rsid w:val="378150C3"/>
    <w:rsid w:val="37833A11"/>
    <w:rsid w:val="37851194"/>
    <w:rsid w:val="37894DEF"/>
    <w:rsid w:val="378C0D4E"/>
    <w:rsid w:val="37976071"/>
    <w:rsid w:val="379A21E5"/>
    <w:rsid w:val="37A97B52"/>
    <w:rsid w:val="37AC5E06"/>
    <w:rsid w:val="37C77810"/>
    <w:rsid w:val="37E81288"/>
    <w:rsid w:val="380F690B"/>
    <w:rsid w:val="3812164A"/>
    <w:rsid w:val="381A63F5"/>
    <w:rsid w:val="382D42DF"/>
    <w:rsid w:val="38314D5D"/>
    <w:rsid w:val="38396895"/>
    <w:rsid w:val="386A72E1"/>
    <w:rsid w:val="388D1222"/>
    <w:rsid w:val="388E0998"/>
    <w:rsid w:val="38A26A7B"/>
    <w:rsid w:val="38C227B0"/>
    <w:rsid w:val="38C57E86"/>
    <w:rsid w:val="38E43C81"/>
    <w:rsid w:val="38FB3191"/>
    <w:rsid w:val="390154AF"/>
    <w:rsid w:val="39073ED2"/>
    <w:rsid w:val="39093876"/>
    <w:rsid w:val="39152412"/>
    <w:rsid w:val="391758F5"/>
    <w:rsid w:val="39184F8F"/>
    <w:rsid w:val="392C4597"/>
    <w:rsid w:val="39400042"/>
    <w:rsid w:val="394915ED"/>
    <w:rsid w:val="39513FFD"/>
    <w:rsid w:val="3953201A"/>
    <w:rsid w:val="397F214F"/>
    <w:rsid w:val="39810D86"/>
    <w:rsid w:val="39B7228B"/>
    <w:rsid w:val="39EF6D30"/>
    <w:rsid w:val="3A142705"/>
    <w:rsid w:val="3A173238"/>
    <w:rsid w:val="3A1B7675"/>
    <w:rsid w:val="3A1F5B1B"/>
    <w:rsid w:val="3A2D16FD"/>
    <w:rsid w:val="3A301E36"/>
    <w:rsid w:val="3A3302E2"/>
    <w:rsid w:val="3A4A1178"/>
    <w:rsid w:val="3A541787"/>
    <w:rsid w:val="3A6209E7"/>
    <w:rsid w:val="3A6F5083"/>
    <w:rsid w:val="3A791A5E"/>
    <w:rsid w:val="3A812174"/>
    <w:rsid w:val="3AAA452C"/>
    <w:rsid w:val="3AE0561C"/>
    <w:rsid w:val="3AEC0481"/>
    <w:rsid w:val="3AFB06C4"/>
    <w:rsid w:val="3B051543"/>
    <w:rsid w:val="3B153A8E"/>
    <w:rsid w:val="3B22542B"/>
    <w:rsid w:val="3B36136A"/>
    <w:rsid w:val="3B43343F"/>
    <w:rsid w:val="3B660234"/>
    <w:rsid w:val="3B6E1810"/>
    <w:rsid w:val="3B702E61"/>
    <w:rsid w:val="3B762441"/>
    <w:rsid w:val="3B9823B7"/>
    <w:rsid w:val="3BB276B2"/>
    <w:rsid w:val="3BDC4BF4"/>
    <w:rsid w:val="3BE06C7E"/>
    <w:rsid w:val="3BE253E0"/>
    <w:rsid w:val="3BFA4E20"/>
    <w:rsid w:val="3C314ADE"/>
    <w:rsid w:val="3C395948"/>
    <w:rsid w:val="3C4D4F50"/>
    <w:rsid w:val="3C4E7CED"/>
    <w:rsid w:val="3C576F2F"/>
    <w:rsid w:val="3C601127"/>
    <w:rsid w:val="3C613C0E"/>
    <w:rsid w:val="3C743664"/>
    <w:rsid w:val="3C830972"/>
    <w:rsid w:val="3C856F2B"/>
    <w:rsid w:val="3CEA09F1"/>
    <w:rsid w:val="3CEB6988"/>
    <w:rsid w:val="3CEC7805"/>
    <w:rsid w:val="3CFB2BFE"/>
    <w:rsid w:val="3D136199"/>
    <w:rsid w:val="3D2757A1"/>
    <w:rsid w:val="3D3E5B6F"/>
    <w:rsid w:val="3D4A6ED2"/>
    <w:rsid w:val="3D612090"/>
    <w:rsid w:val="3D807B1A"/>
    <w:rsid w:val="3D931088"/>
    <w:rsid w:val="3D9848F1"/>
    <w:rsid w:val="3D9A2417"/>
    <w:rsid w:val="3D9B618F"/>
    <w:rsid w:val="3DB6523D"/>
    <w:rsid w:val="3DBB238D"/>
    <w:rsid w:val="3DBD4B3F"/>
    <w:rsid w:val="3DC0664E"/>
    <w:rsid w:val="3DC079A3"/>
    <w:rsid w:val="3DE1436E"/>
    <w:rsid w:val="3DE90CA8"/>
    <w:rsid w:val="3DEA4545"/>
    <w:rsid w:val="3DEB23F1"/>
    <w:rsid w:val="3DEC1BA3"/>
    <w:rsid w:val="3E012496"/>
    <w:rsid w:val="3E057E5C"/>
    <w:rsid w:val="3E0870F1"/>
    <w:rsid w:val="3E2B12C1"/>
    <w:rsid w:val="3E4578E6"/>
    <w:rsid w:val="3E573E64"/>
    <w:rsid w:val="3E6E56EE"/>
    <w:rsid w:val="3E6F7B87"/>
    <w:rsid w:val="3E8E7DEC"/>
    <w:rsid w:val="3E916FCA"/>
    <w:rsid w:val="3E937510"/>
    <w:rsid w:val="3EA30D21"/>
    <w:rsid w:val="3EA37367"/>
    <w:rsid w:val="3EB47508"/>
    <w:rsid w:val="3EE03F1C"/>
    <w:rsid w:val="3EE84604"/>
    <w:rsid w:val="3EFE4C27"/>
    <w:rsid w:val="3F044850"/>
    <w:rsid w:val="3F223B34"/>
    <w:rsid w:val="3F2C3542"/>
    <w:rsid w:val="3F3142F6"/>
    <w:rsid w:val="3F327BFC"/>
    <w:rsid w:val="3F3C12AC"/>
    <w:rsid w:val="3F446B1E"/>
    <w:rsid w:val="3F47037C"/>
    <w:rsid w:val="3F4F1C13"/>
    <w:rsid w:val="3F547054"/>
    <w:rsid w:val="3F6F78D3"/>
    <w:rsid w:val="3F71532A"/>
    <w:rsid w:val="3F737426"/>
    <w:rsid w:val="3F78563A"/>
    <w:rsid w:val="3F8D5C9F"/>
    <w:rsid w:val="3F934C4B"/>
    <w:rsid w:val="3F984734"/>
    <w:rsid w:val="3FB928FC"/>
    <w:rsid w:val="3FD634AE"/>
    <w:rsid w:val="3FEE07F8"/>
    <w:rsid w:val="3FFE510E"/>
    <w:rsid w:val="4001677D"/>
    <w:rsid w:val="40086045"/>
    <w:rsid w:val="400E0926"/>
    <w:rsid w:val="40202D27"/>
    <w:rsid w:val="402828F4"/>
    <w:rsid w:val="40430557"/>
    <w:rsid w:val="405A5E8D"/>
    <w:rsid w:val="4061225A"/>
    <w:rsid w:val="40A9536C"/>
    <w:rsid w:val="40CE503D"/>
    <w:rsid w:val="41001EB1"/>
    <w:rsid w:val="41006A35"/>
    <w:rsid w:val="41175B2C"/>
    <w:rsid w:val="41365B3D"/>
    <w:rsid w:val="41511846"/>
    <w:rsid w:val="416C170D"/>
    <w:rsid w:val="4172527C"/>
    <w:rsid w:val="418C02C8"/>
    <w:rsid w:val="419B675D"/>
    <w:rsid w:val="41A05B22"/>
    <w:rsid w:val="41A50EAD"/>
    <w:rsid w:val="41B14053"/>
    <w:rsid w:val="41B85EB6"/>
    <w:rsid w:val="41CC0E2E"/>
    <w:rsid w:val="41EF2605"/>
    <w:rsid w:val="42293D69"/>
    <w:rsid w:val="422C5607"/>
    <w:rsid w:val="423B584A"/>
    <w:rsid w:val="42531754"/>
    <w:rsid w:val="425F778B"/>
    <w:rsid w:val="42750D64"/>
    <w:rsid w:val="428764D3"/>
    <w:rsid w:val="428C0621"/>
    <w:rsid w:val="42A96B18"/>
    <w:rsid w:val="42D23768"/>
    <w:rsid w:val="42D53D7E"/>
    <w:rsid w:val="42E20147"/>
    <w:rsid w:val="42E278AA"/>
    <w:rsid w:val="42E5074D"/>
    <w:rsid w:val="42E908C7"/>
    <w:rsid w:val="43164FEF"/>
    <w:rsid w:val="43247C2B"/>
    <w:rsid w:val="432602A9"/>
    <w:rsid w:val="432E070E"/>
    <w:rsid w:val="43566DE0"/>
    <w:rsid w:val="436A16A6"/>
    <w:rsid w:val="43785ED1"/>
    <w:rsid w:val="437F530D"/>
    <w:rsid w:val="438A12F4"/>
    <w:rsid w:val="438D20D6"/>
    <w:rsid w:val="43BE2B29"/>
    <w:rsid w:val="43D321DE"/>
    <w:rsid w:val="43EA7528"/>
    <w:rsid w:val="43F403A7"/>
    <w:rsid w:val="43FD0C1E"/>
    <w:rsid w:val="44055CF9"/>
    <w:rsid w:val="44120BB1"/>
    <w:rsid w:val="444829E0"/>
    <w:rsid w:val="445B5DD8"/>
    <w:rsid w:val="44623562"/>
    <w:rsid w:val="44655E14"/>
    <w:rsid w:val="4467501D"/>
    <w:rsid w:val="44727C49"/>
    <w:rsid w:val="44901E7E"/>
    <w:rsid w:val="449A0F4E"/>
    <w:rsid w:val="449F5DD3"/>
    <w:rsid w:val="44B32010"/>
    <w:rsid w:val="44C25364"/>
    <w:rsid w:val="44DC42BA"/>
    <w:rsid w:val="44ED2FD3"/>
    <w:rsid w:val="44ED5522"/>
    <w:rsid w:val="44F67147"/>
    <w:rsid w:val="4509503D"/>
    <w:rsid w:val="452B1BA6"/>
    <w:rsid w:val="45312942"/>
    <w:rsid w:val="45446354"/>
    <w:rsid w:val="454E132D"/>
    <w:rsid w:val="455F7AA2"/>
    <w:rsid w:val="45644F92"/>
    <w:rsid w:val="456B4699"/>
    <w:rsid w:val="45C10B4B"/>
    <w:rsid w:val="45D0372E"/>
    <w:rsid w:val="463F7FFF"/>
    <w:rsid w:val="464C1D63"/>
    <w:rsid w:val="464E1FF0"/>
    <w:rsid w:val="46730342"/>
    <w:rsid w:val="467414CE"/>
    <w:rsid w:val="467F664E"/>
    <w:rsid w:val="46824E5A"/>
    <w:rsid w:val="46EF6F8D"/>
    <w:rsid w:val="47044DA5"/>
    <w:rsid w:val="470E1780"/>
    <w:rsid w:val="47356E70"/>
    <w:rsid w:val="473867FC"/>
    <w:rsid w:val="477E06B3"/>
    <w:rsid w:val="477F6E0D"/>
    <w:rsid w:val="478D4D9A"/>
    <w:rsid w:val="479C7DAA"/>
    <w:rsid w:val="47B16162"/>
    <w:rsid w:val="47DC362C"/>
    <w:rsid w:val="47EB37C9"/>
    <w:rsid w:val="480C40F9"/>
    <w:rsid w:val="480F755D"/>
    <w:rsid w:val="48174664"/>
    <w:rsid w:val="481903DC"/>
    <w:rsid w:val="481B4154"/>
    <w:rsid w:val="481E1B94"/>
    <w:rsid w:val="482753AB"/>
    <w:rsid w:val="483F3CD3"/>
    <w:rsid w:val="48461DA8"/>
    <w:rsid w:val="48592243"/>
    <w:rsid w:val="48592ECE"/>
    <w:rsid w:val="485D0ECC"/>
    <w:rsid w:val="48627FD5"/>
    <w:rsid w:val="48677399"/>
    <w:rsid w:val="486907AD"/>
    <w:rsid w:val="48741AB6"/>
    <w:rsid w:val="48757D08"/>
    <w:rsid w:val="488100CD"/>
    <w:rsid w:val="489435D0"/>
    <w:rsid w:val="489857A5"/>
    <w:rsid w:val="489932CB"/>
    <w:rsid w:val="489D2DBB"/>
    <w:rsid w:val="48C7550C"/>
    <w:rsid w:val="48F13107"/>
    <w:rsid w:val="48FA2194"/>
    <w:rsid w:val="49064A23"/>
    <w:rsid w:val="490B241B"/>
    <w:rsid w:val="491C0184"/>
    <w:rsid w:val="492B175F"/>
    <w:rsid w:val="493D08D6"/>
    <w:rsid w:val="49485A93"/>
    <w:rsid w:val="49543DC1"/>
    <w:rsid w:val="49773DAE"/>
    <w:rsid w:val="49AE00AE"/>
    <w:rsid w:val="49B303BC"/>
    <w:rsid w:val="49B605D8"/>
    <w:rsid w:val="49BC2509"/>
    <w:rsid w:val="49F25388"/>
    <w:rsid w:val="49F770B6"/>
    <w:rsid w:val="49FF706F"/>
    <w:rsid w:val="4A225C6E"/>
    <w:rsid w:val="4A280C46"/>
    <w:rsid w:val="4A3C09D0"/>
    <w:rsid w:val="4A5144F5"/>
    <w:rsid w:val="4A563B69"/>
    <w:rsid w:val="4A5B4CDC"/>
    <w:rsid w:val="4A832F04"/>
    <w:rsid w:val="4A9B5A20"/>
    <w:rsid w:val="4A9E2E1A"/>
    <w:rsid w:val="4A9F72BE"/>
    <w:rsid w:val="4AF13892"/>
    <w:rsid w:val="4AF762F7"/>
    <w:rsid w:val="4B022911"/>
    <w:rsid w:val="4B09298A"/>
    <w:rsid w:val="4B0C73E6"/>
    <w:rsid w:val="4B2139B4"/>
    <w:rsid w:val="4B33219C"/>
    <w:rsid w:val="4B3F45FD"/>
    <w:rsid w:val="4B693428"/>
    <w:rsid w:val="4B6A1E13"/>
    <w:rsid w:val="4B735932"/>
    <w:rsid w:val="4B771FE9"/>
    <w:rsid w:val="4BAF37F7"/>
    <w:rsid w:val="4BB40B47"/>
    <w:rsid w:val="4BD9235C"/>
    <w:rsid w:val="4BE70EF5"/>
    <w:rsid w:val="4BF76C86"/>
    <w:rsid w:val="4C0D05F7"/>
    <w:rsid w:val="4C147838"/>
    <w:rsid w:val="4C2102EA"/>
    <w:rsid w:val="4C253ED6"/>
    <w:rsid w:val="4C405C18"/>
    <w:rsid w:val="4C4D4AF8"/>
    <w:rsid w:val="4C505F95"/>
    <w:rsid w:val="4C6940F1"/>
    <w:rsid w:val="4C785E03"/>
    <w:rsid w:val="4C854292"/>
    <w:rsid w:val="4C8E208B"/>
    <w:rsid w:val="4CA30709"/>
    <w:rsid w:val="4CAC64B5"/>
    <w:rsid w:val="4CCD5AED"/>
    <w:rsid w:val="4CD34FFD"/>
    <w:rsid w:val="4CDD7C2A"/>
    <w:rsid w:val="4CDF1BF4"/>
    <w:rsid w:val="4CE459C5"/>
    <w:rsid w:val="4CFF2296"/>
    <w:rsid w:val="4D072EF9"/>
    <w:rsid w:val="4D13416C"/>
    <w:rsid w:val="4D2D04DF"/>
    <w:rsid w:val="4D337862"/>
    <w:rsid w:val="4D467EC5"/>
    <w:rsid w:val="4D4D1254"/>
    <w:rsid w:val="4D722A68"/>
    <w:rsid w:val="4D925B1F"/>
    <w:rsid w:val="4D9D6B08"/>
    <w:rsid w:val="4DAB5F7A"/>
    <w:rsid w:val="4DB937C7"/>
    <w:rsid w:val="4DC82688"/>
    <w:rsid w:val="4DDC2416"/>
    <w:rsid w:val="4E120C96"/>
    <w:rsid w:val="4E7445BE"/>
    <w:rsid w:val="4E9407BC"/>
    <w:rsid w:val="4E9D1D67"/>
    <w:rsid w:val="4E9E662E"/>
    <w:rsid w:val="4EA0101E"/>
    <w:rsid w:val="4EA604F0"/>
    <w:rsid w:val="4EAB356F"/>
    <w:rsid w:val="4EB57961"/>
    <w:rsid w:val="4EBE7F2F"/>
    <w:rsid w:val="4EC13F43"/>
    <w:rsid w:val="4ECF13C9"/>
    <w:rsid w:val="4ED8534D"/>
    <w:rsid w:val="4ED96B17"/>
    <w:rsid w:val="4EE01C53"/>
    <w:rsid w:val="4F100246"/>
    <w:rsid w:val="4F2558B8"/>
    <w:rsid w:val="4F38383D"/>
    <w:rsid w:val="4F3A21CB"/>
    <w:rsid w:val="4F3B63E4"/>
    <w:rsid w:val="4F400944"/>
    <w:rsid w:val="4F4072EC"/>
    <w:rsid w:val="4F5023DA"/>
    <w:rsid w:val="4F5519E2"/>
    <w:rsid w:val="4F724648"/>
    <w:rsid w:val="4F9F47EA"/>
    <w:rsid w:val="4FA011B1"/>
    <w:rsid w:val="4FA70E9E"/>
    <w:rsid w:val="4FE018A1"/>
    <w:rsid w:val="4FFC0D0F"/>
    <w:rsid w:val="4FFC2ABD"/>
    <w:rsid w:val="50083210"/>
    <w:rsid w:val="501446FD"/>
    <w:rsid w:val="50175B49"/>
    <w:rsid w:val="502838B2"/>
    <w:rsid w:val="5033485E"/>
    <w:rsid w:val="50412F77"/>
    <w:rsid w:val="504306EC"/>
    <w:rsid w:val="50441BF3"/>
    <w:rsid w:val="504F7091"/>
    <w:rsid w:val="50631D4D"/>
    <w:rsid w:val="506B379F"/>
    <w:rsid w:val="50720FD1"/>
    <w:rsid w:val="50760AC1"/>
    <w:rsid w:val="508807F5"/>
    <w:rsid w:val="50920ED6"/>
    <w:rsid w:val="50AD3DB7"/>
    <w:rsid w:val="50BB2978"/>
    <w:rsid w:val="51071719"/>
    <w:rsid w:val="51190299"/>
    <w:rsid w:val="511F6F5C"/>
    <w:rsid w:val="51217A74"/>
    <w:rsid w:val="51237AAF"/>
    <w:rsid w:val="51354F21"/>
    <w:rsid w:val="513872E4"/>
    <w:rsid w:val="51450494"/>
    <w:rsid w:val="51581F75"/>
    <w:rsid w:val="5176689F"/>
    <w:rsid w:val="51857589"/>
    <w:rsid w:val="51C615D4"/>
    <w:rsid w:val="51C63383"/>
    <w:rsid w:val="51D33CF1"/>
    <w:rsid w:val="51DB4D99"/>
    <w:rsid w:val="51E04FA9"/>
    <w:rsid w:val="520B5239"/>
    <w:rsid w:val="52171194"/>
    <w:rsid w:val="521A2D60"/>
    <w:rsid w:val="52240AA0"/>
    <w:rsid w:val="524D7600"/>
    <w:rsid w:val="528C228E"/>
    <w:rsid w:val="52904DEF"/>
    <w:rsid w:val="52911BE2"/>
    <w:rsid w:val="52F1442F"/>
    <w:rsid w:val="52FF09A0"/>
    <w:rsid w:val="53155E76"/>
    <w:rsid w:val="532A7E16"/>
    <w:rsid w:val="533342DD"/>
    <w:rsid w:val="53492B23"/>
    <w:rsid w:val="534E18C5"/>
    <w:rsid w:val="539F192F"/>
    <w:rsid w:val="53A54309"/>
    <w:rsid w:val="53B01CF2"/>
    <w:rsid w:val="53F377A8"/>
    <w:rsid w:val="541A0123"/>
    <w:rsid w:val="541C1980"/>
    <w:rsid w:val="54415213"/>
    <w:rsid w:val="5463135D"/>
    <w:rsid w:val="54640C31"/>
    <w:rsid w:val="54790B80"/>
    <w:rsid w:val="548D63DA"/>
    <w:rsid w:val="54A379AB"/>
    <w:rsid w:val="54BF6BB7"/>
    <w:rsid w:val="54D66671"/>
    <w:rsid w:val="54D933CD"/>
    <w:rsid w:val="54EE09C5"/>
    <w:rsid w:val="54EF2BF0"/>
    <w:rsid w:val="550A4368"/>
    <w:rsid w:val="55214D74"/>
    <w:rsid w:val="55355BDF"/>
    <w:rsid w:val="553F41FA"/>
    <w:rsid w:val="55450A62"/>
    <w:rsid w:val="5552514E"/>
    <w:rsid w:val="555F263A"/>
    <w:rsid w:val="559A3874"/>
    <w:rsid w:val="559A4FB0"/>
    <w:rsid w:val="55EE2161"/>
    <w:rsid w:val="55F47CCA"/>
    <w:rsid w:val="561E0534"/>
    <w:rsid w:val="562A41F7"/>
    <w:rsid w:val="563167DC"/>
    <w:rsid w:val="565C2507"/>
    <w:rsid w:val="56707BDA"/>
    <w:rsid w:val="568763F0"/>
    <w:rsid w:val="568E6439"/>
    <w:rsid w:val="56993870"/>
    <w:rsid w:val="56C667BE"/>
    <w:rsid w:val="56CB4F97"/>
    <w:rsid w:val="56D976B4"/>
    <w:rsid w:val="56DB5BC3"/>
    <w:rsid w:val="56ED7CB4"/>
    <w:rsid w:val="56F24B88"/>
    <w:rsid w:val="56F73A0D"/>
    <w:rsid w:val="56FE00DA"/>
    <w:rsid w:val="571164F6"/>
    <w:rsid w:val="571679F1"/>
    <w:rsid w:val="571A713B"/>
    <w:rsid w:val="574B7E86"/>
    <w:rsid w:val="575B4C3B"/>
    <w:rsid w:val="576553EC"/>
    <w:rsid w:val="577A6460"/>
    <w:rsid w:val="57811AFA"/>
    <w:rsid w:val="57835872"/>
    <w:rsid w:val="57845D25"/>
    <w:rsid w:val="578A4E52"/>
    <w:rsid w:val="57A852D8"/>
    <w:rsid w:val="57BA40CB"/>
    <w:rsid w:val="57DF519E"/>
    <w:rsid w:val="58100414"/>
    <w:rsid w:val="58123253"/>
    <w:rsid w:val="58242BB1"/>
    <w:rsid w:val="58386C06"/>
    <w:rsid w:val="58392AF0"/>
    <w:rsid w:val="584414A5"/>
    <w:rsid w:val="58675193"/>
    <w:rsid w:val="588303AC"/>
    <w:rsid w:val="588B4C8B"/>
    <w:rsid w:val="58A261CC"/>
    <w:rsid w:val="58E54CC3"/>
    <w:rsid w:val="58F13D00"/>
    <w:rsid w:val="590D1127"/>
    <w:rsid w:val="590F5E8A"/>
    <w:rsid w:val="59396B30"/>
    <w:rsid w:val="593F3679"/>
    <w:rsid w:val="59480B21"/>
    <w:rsid w:val="595D13D8"/>
    <w:rsid w:val="59771406"/>
    <w:rsid w:val="59802D45"/>
    <w:rsid w:val="598C3104"/>
    <w:rsid w:val="599872FD"/>
    <w:rsid w:val="59A2301C"/>
    <w:rsid w:val="59B51489"/>
    <w:rsid w:val="59D61B39"/>
    <w:rsid w:val="59D85DF8"/>
    <w:rsid w:val="59E06C63"/>
    <w:rsid w:val="59FB5B93"/>
    <w:rsid w:val="5A282BA3"/>
    <w:rsid w:val="5A292701"/>
    <w:rsid w:val="5A2E1B19"/>
    <w:rsid w:val="5A2F3A8F"/>
    <w:rsid w:val="5A3E3CD2"/>
    <w:rsid w:val="5A8262B5"/>
    <w:rsid w:val="5A831E2F"/>
    <w:rsid w:val="5A8A2B8D"/>
    <w:rsid w:val="5AD3266C"/>
    <w:rsid w:val="5AD703AE"/>
    <w:rsid w:val="5ADF3707"/>
    <w:rsid w:val="5AF7771D"/>
    <w:rsid w:val="5AFE1DDF"/>
    <w:rsid w:val="5B033869"/>
    <w:rsid w:val="5B1E0E25"/>
    <w:rsid w:val="5B51013E"/>
    <w:rsid w:val="5B6D0D13"/>
    <w:rsid w:val="5B774531"/>
    <w:rsid w:val="5B8322E4"/>
    <w:rsid w:val="5BA90C0A"/>
    <w:rsid w:val="5BAD110F"/>
    <w:rsid w:val="5BD26DC8"/>
    <w:rsid w:val="5C043425"/>
    <w:rsid w:val="5C074CC3"/>
    <w:rsid w:val="5C384E7D"/>
    <w:rsid w:val="5C401F83"/>
    <w:rsid w:val="5C437F40"/>
    <w:rsid w:val="5C462241"/>
    <w:rsid w:val="5C4868CC"/>
    <w:rsid w:val="5C930305"/>
    <w:rsid w:val="5C974299"/>
    <w:rsid w:val="5CAB56E7"/>
    <w:rsid w:val="5CB169DD"/>
    <w:rsid w:val="5CB85B17"/>
    <w:rsid w:val="5CD77DE6"/>
    <w:rsid w:val="5CDF179C"/>
    <w:rsid w:val="5CFF3299"/>
    <w:rsid w:val="5D0E3E30"/>
    <w:rsid w:val="5D52169E"/>
    <w:rsid w:val="5D5A0A98"/>
    <w:rsid w:val="5D5C2DED"/>
    <w:rsid w:val="5D616655"/>
    <w:rsid w:val="5D621401"/>
    <w:rsid w:val="5D6323CD"/>
    <w:rsid w:val="5D6B7EBD"/>
    <w:rsid w:val="5D722610"/>
    <w:rsid w:val="5D850596"/>
    <w:rsid w:val="5DB833BF"/>
    <w:rsid w:val="5DCA7D57"/>
    <w:rsid w:val="5DE27796"/>
    <w:rsid w:val="5DE4727B"/>
    <w:rsid w:val="5E5166CA"/>
    <w:rsid w:val="5E5B4E53"/>
    <w:rsid w:val="5E68756F"/>
    <w:rsid w:val="5E714676"/>
    <w:rsid w:val="5E736640"/>
    <w:rsid w:val="5E9860A7"/>
    <w:rsid w:val="5E9D7136"/>
    <w:rsid w:val="5EAC3900"/>
    <w:rsid w:val="5EB266CD"/>
    <w:rsid w:val="5EB872A8"/>
    <w:rsid w:val="5EEC63F2"/>
    <w:rsid w:val="5F3F29C6"/>
    <w:rsid w:val="5F5928DB"/>
    <w:rsid w:val="5F6366B5"/>
    <w:rsid w:val="5F6D4899"/>
    <w:rsid w:val="5F771D87"/>
    <w:rsid w:val="5F7A13D9"/>
    <w:rsid w:val="5F7A1C50"/>
    <w:rsid w:val="5F930AF8"/>
    <w:rsid w:val="5FA840C8"/>
    <w:rsid w:val="5FC15189"/>
    <w:rsid w:val="5FC80BD7"/>
    <w:rsid w:val="5FD411DB"/>
    <w:rsid w:val="60003F04"/>
    <w:rsid w:val="60065292"/>
    <w:rsid w:val="600D2A18"/>
    <w:rsid w:val="600F2399"/>
    <w:rsid w:val="60295997"/>
    <w:rsid w:val="60624BBE"/>
    <w:rsid w:val="60786190"/>
    <w:rsid w:val="60794FF2"/>
    <w:rsid w:val="607A1B92"/>
    <w:rsid w:val="60AA20C1"/>
    <w:rsid w:val="60AF1486"/>
    <w:rsid w:val="60B66CB8"/>
    <w:rsid w:val="60C17234"/>
    <w:rsid w:val="60D630E7"/>
    <w:rsid w:val="60DC3129"/>
    <w:rsid w:val="60DD7536"/>
    <w:rsid w:val="60E46F03"/>
    <w:rsid w:val="60E5134B"/>
    <w:rsid w:val="60F33A68"/>
    <w:rsid w:val="60F93303"/>
    <w:rsid w:val="60FB291D"/>
    <w:rsid w:val="61220E83"/>
    <w:rsid w:val="612B1454"/>
    <w:rsid w:val="612B4288"/>
    <w:rsid w:val="61300818"/>
    <w:rsid w:val="6131633F"/>
    <w:rsid w:val="613A45BD"/>
    <w:rsid w:val="61512DC3"/>
    <w:rsid w:val="61572249"/>
    <w:rsid w:val="617D3332"/>
    <w:rsid w:val="61AF635B"/>
    <w:rsid w:val="61C92272"/>
    <w:rsid w:val="61CB4DFE"/>
    <w:rsid w:val="61D70C94"/>
    <w:rsid w:val="61D90741"/>
    <w:rsid w:val="61DB5A7C"/>
    <w:rsid w:val="61ED495B"/>
    <w:rsid w:val="620123E4"/>
    <w:rsid w:val="62407431"/>
    <w:rsid w:val="6242341B"/>
    <w:rsid w:val="62450C5C"/>
    <w:rsid w:val="626B78E0"/>
    <w:rsid w:val="6280757E"/>
    <w:rsid w:val="62875C56"/>
    <w:rsid w:val="62882B1C"/>
    <w:rsid w:val="62A0552A"/>
    <w:rsid w:val="62E231B2"/>
    <w:rsid w:val="63035AB9"/>
    <w:rsid w:val="630F26B0"/>
    <w:rsid w:val="630F506C"/>
    <w:rsid w:val="63144C61"/>
    <w:rsid w:val="631A5652"/>
    <w:rsid w:val="63273E9D"/>
    <w:rsid w:val="634379A6"/>
    <w:rsid w:val="637C7D45"/>
    <w:rsid w:val="637F7680"/>
    <w:rsid w:val="63A80222"/>
    <w:rsid w:val="63AC3405"/>
    <w:rsid w:val="63B70D7D"/>
    <w:rsid w:val="63C57AD8"/>
    <w:rsid w:val="63D556A7"/>
    <w:rsid w:val="63DC0629"/>
    <w:rsid w:val="63F22891"/>
    <w:rsid w:val="63FB4D53"/>
    <w:rsid w:val="640A735C"/>
    <w:rsid w:val="64340620"/>
    <w:rsid w:val="643E1DDB"/>
    <w:rsid w:val="644338BB"/>
    <w:rsid w:val="644A4BFD"/>
    <w:rsid w:val="644C3818"/>
    <w:rsid w:val="644D348F"/>
    <w:rsid w:val="646B538C"/>
    <w:rsid w:val="647D600E"/>
    <w:rsid w:val="64AD3F2E"/>
    <w:rsid w:val="64B82FFF"/>
    <w:rsid w:val="64BA34FF"/>
    <w:rsid w:val="64DF6129"/>
    <w:rsid w:val="64F14763"/>
    <w:rsid w:val="64F222AF"/>
    <w:rsid w:val="651C3508"/>
    <w:rsid w:val="652A0504"/>
    <w:rsid w:val="652C50A4"/>
    <w:rsid w:val="653E102A"/>
    <w:rsid w:val="65640A91"/>
    <w:rsid w:val="6569747A"/>
    <w:rsid w:val="65875F01"/>
    <w:rsid w:val="6588405D"/>
    <w:rsid w:val="658B2E93"/>
    <w:rsid w:val="65A25A5D"/>
    <w:rsid w:val="65AE016F"/>
    <w:rsid w:val="65D86BEF"/>
    <w:rsid w:val="65DC0990"/>
    <w:rsid w:val="661C7ED9"/>
    <w:rsid w:val="6630477D"/>
    <w:rsid w:val="664072C6"/>
    <w:rsid w:val="664408C2"/>
    <w:rsid w:val="669E5544"/>
    <w:rsid w:val="66B34B97"/>
    <w:rsid w:val="66BC0BE7"/>
    <w:rsid w:val="66CC0FE3"/>
    <w:rsid w:val="66CC2D91"/>
    <w:rsid w:val="66D659BE"/>
    <w:rsid w:val="66FE4C4B"/>
    <w:rsid w:val="67144738"/>
    <w:rsid w:val="671E1113"/>
    <w:rsid w:val="67241546"/>
    <w:rsid w:val="6727560C"/>
    <w:rsid w:val="67317098"/>
    <w:rsid w:val="67363981"/>
    <w:rsid w:val="674535A5"/>
    <w:rsid w:val="674C1365"/>
    <w:rsid w:val="6764746E"/>
    <w:rsid w:val="679B7614"/>
    <w:rsid w:val="67B37AAD"/>
    <w:rsid w:val="67BA52E0"/>
    <w:rsid w:val="67C24194"/>
    <w:rsid w:val="67D839B8"/>
    <w:rsid w:val="67E450A9"/>
    <w:rsid w:val="67F87BB6"/>
    <w:rsid w:val="681D761D"/>
    <w:rsid w:val="68212C69"/>
    <w:rsid w:val="68214B88"/>
    <w:rsid w:val="68224C33"/>
    <w:rsid w:val="687C2595"/>
    <w:rsid w:val="68831F2D"/>
    <w:rsid w:val="68C55CEA"/>
    <w:rsid w:val="68D036B7"/>
    <w:rsid w:val="68DD005D"/>
    <w:rsid w:val="68E86BFA"/>
    <w:rsid w:val="6906356D"/>
    <w:rsid w:val="69270753"/>
    <w:rsid w:val="692F053C"/>
    <w:rsid w:val="69430BDA"/>
    <w:rsid w:val="694A3E5D"/>
    <w:rsid w:val="69836693"/>
    <w:rsid w:val="69A262CD"/>
    <w:rsid w:val="69A41DA4"/>
    <w:rsid w:val="69B76692"/>
    <w:rsid w:val="69C17F22"/>
    <w:rsid w:val="69C34EFD"/>
    <w:rsid w:val="6A191710"/>
    <w:rsid w:val="6A246A40"/>
    <w:rsid w:val="6A505A87"/>
    <w:rsid w:val="6A5A10B5"/>
    <w:rsid w:val="6A5D25AF"/>
    <w:rsid w:val="6A6908F7"/>
    <w:rsid w:val="6A87001A"/>
    <w:rsid w:val="6ABC50DC"/>
    <w:rsid w:val="6AC23D01"/>
    <w:rsid w:val="6AD803A3"/>
    <w:rsid w:val="6AF74155"/>
    <w:rsid w:val="6AFD58BD"/>
    <w:rsid w:val="6B0C3C5A"/>
    <w:rsid w:val="6B0D4FFE"/>
    <w:rsid w:val="6B221C24"/>
    <w:rsid w:val="6B4F5D3F"/>
    <w:rsid w:val="6B667A77"/>
    <w:rsid w:val="6B774D46"/>
    <w:rsid w:val="6B7F265D"/>
    <w:rsid w:val="6BB107A8"/>
    <w:rsid w:val="6BB12556"/>
    <w:rsid w:val="6BD91AAD"/>
    <w:rsid w:val="6BF83B8E"/>
    <w:rsid w:val="6C0F147A"/>
    <w:rsid w:val="6C1E7B69"/>
    <w:rsid w:val="6C287B41"/>
    <w:rsid w:val="6C303757"/>
    <w:rsid w:val="6C6F1EA4"/>
    <w:rsid w:val="6C8B2DA7"/>
    <w:rsid w:val="6CA6400E"/>
    <w:rsid w:val="6D214429"/>
    <w:rsid w:val="6D324605"/>
    <w:rsid w:val="6D401DE3"/>
    <w:rsid w:val="6D7101EF"/>
    <w:rsid w:val="6D716441"/>
    <w:rsid w:val="6D910891"/>
    <w:rsid w:val="6DB34AC8"/>
    <w:rsid w:val="6DC01C88"/>
    <w:rsid w:val="6DD00132"/>
    <w:rsid w:val="6DDE6CE4"/>
    <w:rsid w:val="6DF606F4"/>
    <w:rsid w:val="6E162B44"/>
    <w:rsid w:val="6E18729E"/>
    <w:rsid w:val="6E2E7ECC"/>
    <w:rsid w:val="6E3206D6"/>
    <w:rsid w:val="6E5642A5"/>
    <w:rsid w:val="6E602011"/>
    <w:rsid w:val="6E6243E1"/>
    <w:rsid w:val="6E6721D9"/>
    <w:rsid w:val="6E82467D"/>
    <w:rsid w:val="6E8403F6"/>
    <w:rsid w:val="6E95110E"/>
    <w:rsid w:val="6EB72579"/>
    <w:rsid w:val="6EB81D8F"/>
    <w:rsid w:val="6EC735FE"/>
    <w:rsid w:val="6ECA348F"/>
    <w:rsid w:val="6EF47329"/>
    <w:rsid w:val="6EF70BC7"/>
    <w:rsid w:val="6EF74724"/>
    <w:rsid w:val="6EFF42EB"/>
    <w:rsid w:val="6F1B3AA8"/>
    <w:rsid w:val="6F203A84"/>
    <w:rsid w:val="6F2E3EBD"/>
    <w:rsid w:val="6F364493"/>
    <w:rsid w:val="6F5558EE"/>
    <w:rsid w:val="6F5B1156"/>
    <w:rsid w:val="6F6A6316"/>
    <w:rsid w:val="6F751AEC"/>
    <w:rsid w:val="6F7F4719"/>
    <w:rsid w:val="6F832989"/>
    <w:rsid w:val="6F861031"/>
    <w:rsid w:val="6F8A4B2B"/>
    <w:rsid w:val="6F8B0B99"/>
    <w:rsid w:val="6FA11970"/>
    <w:rsid w:val="6FB95E7D"/>
    <w:rsid w:val="6FC33ACF"/>
    <w:rsid w:val="6FCF56A0"/>
    <w:rsid w:val="6FD2082A"/>
    <w:rsid w:val="6FD418AD"/>
    <w:rsid w:val="701A1252"/>
    <w:rsid w:val="702A251B"/>
    <w:rsid w:val="70381498"/>
    <w:rsid w:val="705A4C09"/>
    <w:rsid w:val="70617EC8"/>
    <w:rsid w:val="707A20B1"/>
    <w:rsid w:val="707E0282"/>
    <w:rsid w:val="70812E3F"/>
    <w:rsid w:val="708F4524"/>
    <w:rsid w:val="70991D7A"/>
    <w:rsid w:val="70BA3C5B"/>
    <w:rsid w:val="70E20A02"/>
    <w:rsid w:val="70E248CD"/>
    <w:rsid w:val="70F52EE5"/>
    <w:rsid w:val="712156AB"/>
    <w:rsid w:val="71593474"/>
    <w:rsid w:val="715B3690"/>
    <w:rsid w:val="71681909"/>
    <w:rsid w:val="7185070D"/>
    <w:rsid w:val="71B11502"/>
    <w:rsid w:val="71B22914"/>
    <w:rsid w:val="71D5345C"/>
    <w:rsid w:val="71DC2593"/>
    <w:rsid w:val="71E73175"/>
    <w:rsid w:val="720751EB"/>
    <w:rsid w:val="722872EA"/>
    <w:rsid w:val="722E1077"/>
    <w:rsid w:val="72473C14"/>
    <w:rsid w:val="725A3947"/>
    <w:rsid w:val="72750CA3"/>
    <w:rsid w:val="728409C4"/>
    <w:rsid w:val="72943314"/>
    <w:rsid w:val="7295792B"/>
    <w:rsid w:val="72A961B1"/>
    <w:rsid w:val="72C12EE0"/>
    <w:rsid w:val="72CE6C35"/>
    <w:rsid w:val="72F826A1"/>
    <w:rsid w:val="73010267"/>
    <w:rsid w:val="73214BA5"/>
    <w:rsid w:val="73374BA6"/>
    <w:rsid w:val="734B3E2F"/>
    <w:rsid w:val="73522870"/>
    <w:rsid w:val="73696D7E"/>
    <w:rsid w:val="736E51D0"/>
    <w:rsid w:val="737E7D7B"/>
    <w:rsid w:val="739015EB"/>
    <w:rsid w:val="73AA445A"/>
    <w:rsid w:val="73AF1221"/>
    <w:rsid w:val="73CC1F06"/>
    <w:rsid w:val="73DE2356"/>
    <w:rsid w:val="73EA0CFB"/>
    <w:rsid w:val="7400407A"/>
    <w:rsid w:val="74037AB7"/>
    <w:rsid w:val="74040D09"/>
    <w:rsid w:val="74054DCB"/>
    <w:rsid w:val="7420296E"/>
    <w:rsid w:val="745F66ED"/>
    <w:rsid w:val="747448B2"/>
    <w:rsid w:val="74826A17"/>
    <w:rsid w:val="74A013B9"/>
    <w:rsid w:val="74E514C2"/>
    <w:rsid w:val="74E90725"/>
    <w:rsid w:val="74F00593"/>
    <w:rsid w:val="74F30675"/>
    <w:rsid w:val="74F51705"/>
    <w:rsid w:val="750078FB"/>
    <w:rsid w:val="75175B20"/>
    <w:rsid w:val="751C3E82"/>
    <w:rsid w:val="75230E5D"/>
    <w:rsid w:val="752635D2"/>
    <w:rsid w:val="752B5127"/>
    <w:rsid w:val="752F3287"/>
    <w:rsid w:val="75324707"/>
    <w:rsid w:val="7534591D"/>
    <w:rsid w:val="753C3B04"/>
    <w:rsid w:val="757B54AB"/>
    <w:rsid w:val="759772D7"/>
    <w:rsid w:val="75BE243F"/>
    <w:rsid w:val="75C34064"/>
    <w:rsid w:val="75DF337B"/>
    <w:rsid w:val="75EB3220"/>
    <w:rsid w:val="760746A1"/>
    <w:rsid w:val="760C31AA"/>
    <w:rsid w:val="761958C7"/>
    <w:rsid w:val="762640F9"/>
    <w:rsid w:val="762C5A1A"/>
    <w:rsid w:val="763A6791"/>
    <w:rsid w:val="766C2F2B"/>
    <w:rsid w:val="767679C0"/>
    <w:rsid w:val="7682346D"/>
    <w:rsid w:val="768B79A1"/>
    <w:rsid w:val="76CA0970"/>
    <w:rsid w:val="76CB4EF4"/>
    <w:rsid w:val="76D55916"/>
    <w:rsid w:val="76F61765"/>
    <w:rsid w:val="77040325"/>
    <w:rsid w:val="772D6E8E"/>
    <w:rsid w:val="77430769"/>
    <w:rsid w:val="77554E39"/>
    <w:rsid w:val="775D7F99"/>
    <w:rsid w:val="777519E2"/>
    <w:rsid w:val="777D1E86"/>
    <w:rsid w:val="77940F04"/>
    <w:rsid w:val="77955421"/>
    <w:rsid w:val="77996CC0"/>
    <w:rsid w:val="779B7915"/>
    <w:rsid w:val="77CB2D2F"/>
    <w:rsid w:val="77F14573"/>
    <w:rsid w:val="77FF289B"/>
    <w:rsid w:val="78101336"/>
    <w:rsid w:val="781A0349"/>
    <w:rsid w:val="781C3334"/>
    <w:rsid w:val="7827085A"/>
    <w:rsid w:val="782F13D2"/>
    <w:rsid w:val="7855323B"/>
    <w:rsid w:val="78A25FC3"/>
    <w:rsid w:val="78A74E1C"/>
    <w:rsid w:val="78B33A12"/>
    <w:rsid w:val="78B410C1"/>
    <w:rsid w:val="78F14974"/>
    <w:rsid w:val="7917715F"/>
    <w:rsid w:val="795B7FA5"/>
    <w:rsid w:val="795C4A93"/>
    <w:rsid w:val="796B01E8"/>
    <w:rsid w:val="798B075D"/>
    <w:rsid w:val="79A60B66"/>
    <w:rsid w:val="79AD76D8"/>
    <w:rsid w:val="79C142AC"/>
    <w:rsid w:val="79C30024"/>
    <w:rsid w:val="79C9773E"/>
    <w:rsid w:val="79D73ACF"/>
    <w:rsid w:val="79E35140"/>
    <w:rsid w:val="79F10352"/>
    <w:rsid w:val="79FA5A10"/>
    <w:rsid w:val="79FE105C"/>
    <w:rsid w:val="7A066163"/>
    <w:rsid w:val="7A1F5BDD"/>
    <w:rsid w:val="7A230AC3"/>
    <w:rsid w:val="7A2D7B93"/>
    <w:rsid w:val="7A3743B5"/>
    <w:rsid w:val="7A4131B6"/>
    <w:rsid w:val="7A55402C"/>
    <w:rsid w:val="7A756769"/>
    <w:rsid w:val="7A791842"/>
    <w:rsid w:val="7A9521FB"/>
    <w:rsid w:val="7A980753"/>
    <w:rsid w:val="7AA339B1"/>
    <w:rsid w:val="7AA5597C"/>
    <w:rsid w:val="7ADD5115"/>
    <w:rsid w:val="7AE04C06"/>
    <w:rsid w:val="7AEA5A84"/>
    <w:rsid w:val="7AF95CC7"/>
    <w:rsid w:val="7B3B5D1E"/>
    <w:rsid w:val="7B474C85"/>
    <w:rsid w:val="7B4A4AE8"/>
    <w:rsid w:val="7B512E8E"/>
    <w:rsid w:val="7B5C2D88"/>
    <w:rsid w:val="7B713AB0"/>
    <w:rsid w:val="7B7703D1"/>
    <w:rsid w:val="7B810197"/>
    <w:rsid w:val="7B95105C"/>
    <w:rsid w:val="7B9B28DB"/>
    <w:rsid w:val="7BBA5457"/>
    <w:rsid w:val="7BE95A94"/>
    <w:rsid w:val="7BF5648F"/>
    <w:rsid w:val="7BFC781D"/>
    <w:rsid w:val="7BFF3890"/>
    <w:rsid w:val="7C0B413F"/>
    <w:rsid w:val="7C134B67"/>
    <w:rsid w:val="7C136915"/>
    <w:rsid w:val="7C3D13B9"/>
    <w:rsid w:val="7C567507"/>
    <w:rsid w:val="7C5E5DE2"/>
    <w:rsid w:val="7C63164A"/>
    <w:rsid w:val="7C8204B4"/>
    <w:rsid w:val="7CA3413D"/>
    <w:rsid w:val="7CBD2C36"/>
    <w:rsid w:val="7CD3115D"/>
    <w:rsid w:val="7CFB1883"/>
    <w:rsid w:val="7CFBD1B6"/>
    <w:rsid w:val="7D1444F3"/>
    <w:rsid w:val="7D2A2168"/>
    <w:rsid w:val="7D412A8D"/>
    <w:rsid w:val="7D576338"/>
    <w:rsid w:val="7D58558B"/>
    <w:rsid w:val="7D731D61"/>
    <w:rsid w:val="7D7D2BE0"/>
    <w:rsid w:val="7D8B1E26"/>
    <w:rsid w:val="7D9F4904"/>
    <w:rsid w:val="7DA22646"/>
    <w:rsid w:val="7DA95783"/>
    <w:rsid w:val="7DB53857"/>
    <w:rsid w:val="7DBF46FC"/>
    <w:rsid w:val="7DD86068"/>
    <w:rsid w:val="7DDC7906"/>
    <w:rsid w:val="7DE71E07"/>
    <w:rsid w:val="7DF52673"/>
    <w:rsid w:val="7E3E236F"/>
    <w:rsid w:val="7E453AB3"/>
    <w:rsid w:val="7E4E5490"/>
    <w:rsid w:val="7E524281"/>
    <w:rsid w:val="7E6B3FF2"/>
    <w:rsid w:val="7E924469"/>
    <w:rsid w:val="7EB119B6"/>
    <w:rsid w:val="7EC55276"/>
    <w:rsid w:val="7EC565EC"/>
    <w:rsid w:val="7F054C3B"/>
    <w:rsid w:val="7F0828CC"/>
    <w:rsid w:val="7F086780"/>
    <w:rsid w:val="7F3A1ACE"/>
    <w:rsid w:val="7F442425"/>
    <w:rsid w:val="7F9703BE"/>
    <w:rsid w:val="7FB977D3"/>
    <w:rsid w:val="7FBC6124"/>
    <w:rsid w:val="7FBE4DEA"/>
    <w:rsid w:val="7FC461CE"/>
    <w:rsid w:val="7FDD432A"/>
    <w:rsid w:val="DFDA3238"/>
    <w:rsid w:val="FBEFC1C6"/>
    <w:rsid w:val="FFD7E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45"/>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46"/>
    <w:autoRedefine/>
    <w:qFormat/>
    <w:uiPriority w:val="0"/>
    <w:pPr>
      <w:keepNext/>
      <w:keepLines/>
      <w:spacing w:before="260" w:after="260" w:line="413" w:lineRule="auto"/>
      <w:jc w:val="center"/>
      <w:outlineLvl w:val="2"/>
    </w:pPr>
    <w:rPr>
      <w:b/>
      <w:sz w:val="44"/>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napToGrid w:val="0"/>
      <w:spacing w:line="360" w:lineRule="auto"/>
      <w:ind w:firstLine="420"/>
    </w:pPr>
    <w:rPr>
      <w:sz w:val="24"/>
    </w:rPr>
  </w:style>
  <w:style w:type="paragraph" w:styleId="9">
    <w:name w:val="toa heading"/>
    <w:basedOn w:val="1"/>
    <w:next w:val="1"/>
    <w:autoRedefine/>
    <w:qFormat/>
    <w:uiPriority w:val="0"/>
    <w:pPr>
      <w:spacing w:before="120"/>
    </w:pPr>
    <w:rPr>
      <w:rFonts w:ascii="Arial" w:hAnsi="Arial"/>
      <w:sz w:val="24"/>
    </w:rPr>
  </w:style>
  <w:style w:type="paragraph" w:styleId="10">
    <w:name w:val="annotation text"/>
    <w:basedOn w:val="1"/>
    <w:link w:val="47"/>
    <w:autoRedefine/>
    <w:qFormat/>
    <w:uiPriority w:val="0"/>
    <w:pPr>
      <w:jc w:val="left"/>
    </w:pPr>
  </w:style>
  <w:style w:type="paragraph" w:styleId="11">
    <w:name w:val="Body Text"/>
    <w:basedOn w:val="1"/>
    <w:next w:val="1"/>
    <w:autoRedefine/>
    <w:qFormat/>
    <w:uiPriority w:val="0"/>
  </w:style>
  <w:style w:type="paragraph" w:styleId="12">
    <w:name w:val="Body Text Indent"/>
    <w:basedOn w:val="1"/>
    <w:autoRedefine/>
    <w:qFormat/>
    <w:uiPriority w:val="0"/>
    <w:pPr>
      <w:spacing w:line="700" w:lineRule="exact"/>
      <w:ind w:left="960"/>
    </w:pPr>
    <w:rPr>
      <w:sz w:val="44"/>
    </w:rPr>
  </w:style>
  <w:style w:type="paragraph" w:styleId="13">
    <w:name w:val="toc 3"/>
    <w:basedOn w:val="1"/>
    <w:next w:val="1"/>
    <w:qFormat/>
    <w:uiPriority w:val="0"/>
    <w:pPr>
      <w:ind w:left="840" w:leftChars="400"/>
    </w:pPr>
  </w:style>
  <w:style w:type="paragraph" w:styleId="14">
    <w:name w:val="Plain Text"/>
    <w:basedOn w:val="1"/>
    <w:autoRedefine/>
    <w:qFormat/>
    <w:uiPriority w:val="0"/>
    <w:rPr>
      <w:rFonts w:hAnsi="Courier New"/>
      <w:kern w:val="0"/>
      <w:sz w:val="20"/>
      <w:szCs w:val="20"/>
    </w:rPr>
  </w:style>
  <w:style w:type="paragraph" w:styleId="15">
    <w:name w:val="Date"/>
    <w:basedOn w:val="1"/>
    <w:next w:val="1"/>
    <w:autoRedefine/>
    <w:qFormat/>
    <w:uiPriority w:val="0"/>
  </w:style>
  <w:style w:type="paragraph" w:styleId="16">
    <w:name w:val="Body Text Indent 2"/>
    <w:basedOn w:val="1"/>
    <w:autoRedefine/>
    <w:qFormat/>
    <w:uiPriority w:val="99"/>
    <w:pPr>
      <w:snapToGrid w:val="0"/>
      <w:spacing w:line="560" w:lineRule="atLeast"/>
      <w:ind w:firstLine="540"/>
    </w:pPr>
  </w:style>
  <w:style w:type="paragraph" w:styleId="17">
    <w:name w:val="Balloon Text"/>
    <w:basedOn w:val="1"/>
    <w:autoRedefine/>
    <w:qFormat/>
    <w:uiPriority w:val="0"/>
    <w:rPr>
      <w:sz w:val="18"/>
    </w:rPr>
  </w:style>
  <w:style w:type="paragraph" w:styleId="18">
    <w:name w:val="footer"/>
    <w:basedOn w:val="1"/>
    <w:autoRedefine/>
    <w:qFormat/>
    <w:uiPriority w:val="0"/>
    <w:pPr>
      <w:tabs>
        <w:tab w:val="center" w:pos="4153"/>
        <w:tab w:val="right" w:pos="8306"/>
      </w:tabs>
      <w:snapToGrid w:val="0"/>
      <w:jc w:val="left"/>
    </w:pPr>
    <w:rPr>
      <w:rFonts w:eastAsia="宋体"/>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eastAsia="宋体"/>
      <w:sz w:val="18"/>
    </w:rPr>
  </w:style>
  <w:style w:type="paragraph" w:styleId="20">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21">
    <w:name w:val="toc 2"/>
    <w:basedOn w:val="1"/>
    <w:next w:val="1"/>
    <w:autoRedefine/>
    <w:qFormat/>
    <w:uiPriority w:val="39"/>
    <w:pPr>
      <w:tabs>
        <w:tab w:val="right" w:leader="dot" w:pos="8400"/>
      </w:tabs>
      <w:spacing w:line="440" w:lineRule="exact"/>
      <w:ind w:left="280" w:leftChars="100" w:right="-91" w:rightChars="-91"/>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4">
    <w:name w:val="annotation subject"/>
    <w:basedOn w:val="10"/>
    <w:next w:val="10"/>
    <w:link w:val="48"/>
    <w:autoRedefine/>
    <w:qFormat/>
    <w:uiPriority w:val="0"/>
    <w:rPr>
      <w:b/>
      <w:bCs/>
    </w:rPr>
  </w:style>
  <w:style w:type="paragraph" w:styleId="25">
    <w:name w:val="Body Text First Indent"/>
    <w:basedOn w:val="11"/>
    <w:next w:val="1"/>
    <w:autoRedefine/>
    <w:qFormat/>
    <w:uiPriority w:val="0"/>
    <w:pPr>
      <w:spacing w:line="360" w:lineRule="auto"/>
      <w:ind w:firstLine="420"/>
    </w:pPr>
    <w:rPr>
      <w:rFonts w:ascii="宋体" w:hAnsi="宋体"/>
      <w:sz w:val="24"/>
    </w:rPr>
  </w:style>
  <w:style w:type="paragraph" w:styleId="26">
    <w:name w:val="Body Text First Indent 2"/>
    <w:basedOn w:val="12"/>
    <w:autoRedefine/>
    <w:qFormat/>
    <w:uiPriority w:val="0"/>
    <w:pPr>
      <w:spacing w:line="240" w:lineRule="auto"/>
      <w:ind w:left="420" w:leftChars="200" w:firstLine="420" w:firstLineChars="200"/>
    </w:pPr>
    <w:rPr>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000000"/>
      <w:u w:val="none"/>
    </w:rPr>
  </w:style>
  <w:style w:type="character" w:styleId="33">
    <w:name w:val="Emphasis"/>
    <w:basedOn w:val="29"/>
    <w:autoRedefine/>
    <w:qFormat/>
    <w:uiPriority w:val="0"/>
    <w:rPr>
      <w:i/>
      <w:iCs/>
    </w:rPr>
  </w:style>
  <w:style w:type="character" w:styleId="34">
    <w:name w:val="Hyperlink"/>
    <w:autoRedefine/>
    <w:qFormat/>
    <w:uiPriority w:val="99"/>
    <w:rPr>
      <w:color w:val="0000FF"/>
      <w:u w:val="single"/>
    </w:rPr>
  </w:style>
  <w:style w:type="character" w:styleId="35">
    <w:name w:val="HTML Code"/>
    <w:basedOn w:val="29"/>
    <w:autoRedefine/>
    <w:qFormat/>
    <w:uiPriority w:val="0"/>
    <w:rPr>
      <w:rFonts w:ascii="Consolas" w:hAnsi="Consolas" w:eastAsia="Consolas" w:cs="Consolas"/>
      <w:color w:val="DD1144"/>
      <w:sz w:val="12"/>
      <w:szCs w:val="12"/>
      <w:bdr w:val="single" w:color="E1E1E8" w:sz="4" w:space="0"/>
      <w:shd w:val="clear" w:fill="F7F7F9"/>
    </w:rPr>
  </w:style>
  <w:style w:type="character" w:styleId="36">
    <w:name w:val="annotation reference"/>
    <w:basedOn w:val="29"/>
    <w:autoRedefine/>
    <w:qFormat/>
    <w:uiPriority w:val="0"/>
    <w:rPr>
      <w:sz w:val="21"/>
      <w:szCs w:val="21"/>
    </w:rPr>
  </w:style>
  <w:style w:type="character" w:styleId="37">
    <w:name w:val="HTML Cite"/>
    <w:basedOn w:val="29"/>
    <w:autoRedefine/>
    <w:qFormat/>
    <w:uiPriority w:val="0"/>
  </w:style>
  <w:style w:type="paragraph" w:customStyle="1" w:styleId="38">
    <w:name w:val="NormalIndent"/>
    <w:basedOn w:val="1"/>
    <w:next w:val="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39">
    <w:name w:val="样式 宋体 五号 行距: 单倍行距"/>
    <w:basedOn w:val="1"/>
    <w:autoRedefine/>
    <w:qFormat/>
    <w:uiPriority w:val="0"/>
    <w:pPr>
      <w:adjustRightInd w:val="0"/>
      <w:jc w:val="left"/>
    </w:pPr>
    <w:rPr>
      <w:rFonts w:ascii="宋体" w:hAnsi="宋体"/>
      <w:kern w:val="0"/>
      <w:sz w:val="21"/>
    </w:rPr>
  </w:style>
  <w:style w:type="paragraph" w:customStyle="1" w:styleId="40">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41">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1"/>
    <w:basedOn w:val="1"/>
    <w:autoRedefine/>
    <w:qFormat/>
    <w:uiPriority w:val="0"/>
    <w:rPr>
      <w:rFonts w:ascii="Tahoma" w:hAnsi="Tahoma"/>
      <w:sz w:val="24"/>
    </w:rPr>
  </w:style>
  <w:style w:type="paragraph" w:customStyle="1" w:styleId="44">
    <w:name w:val="标书正文1"/>
    <w:basedOn w:val="1"/>
    <w:autoRedefine/>
    <w:qFormat/>
    <w:uiPriority w:val="0"/>
    <w:pPr>
      <w:spacing w:line="520" w:lineRule="exact"/>
      <w:ind w:firstLine="640" w:firstLineChars="200"/>
    </w:pPr>
  </w:style>
  <w:style w:type="character" w:customStyle="1" w:styleId="45">
    <w:name w:val="标题 2 字符"/>
    <w:link w:val="3"/>
    <w:autoRedefine/>
    <w:qFormat/>
    <w:uiPriority w:val="0"/>
    <w:rPr>
      <w:rFonts w:ascii="宋体" w:hAnsi="宋体"/>
    </w:rPr>
  </w:style>
  <w:style w:type="character" w:customStyle="1" w:styleId="46">
    <w:name w:val="标题 3 字符"/>
    <w:link w:val="4"/>
    <w:autoRedefine/>
    <w:qFormat/>
    <w:uiPriority w:val="0"/>
    <w:rPr>
      <w:b/>
      <w:sz w:val="44"/>
    </w:rPr>
  </w:style>
  <w:style w:type="character" w:customStyle="1" w:styleId="47">
    <w:name w:val="批注文字 字符"/>
    <w:basedOn w:val="29"/>
    <w:link w:val="10"/>
    <w:autoRedefine/>
    <w:qFormat/>
    <w:uiPriority w:val="0"/>
    <w:rPr>
      <w:rFonts w:ascii="等线" w:hAnsi="等线" w:eastAsia="等线"/>
      <w:kern w:val="2"/>
      <w:sz w:val="21"/>
      <w:szCs w:val="22"/>
    </w:rPr>
  </w:style>
  <w:style w:type="character" w:customStyle="1" w:styleId="48">
    <w:name w:val="批注主题 字符"/>
    <w:basedOn w:val="47"/>
    <w:link w:val="24"/>
    <w:autoRedefine/>
    <w:qFormat/>
    <w:uiPriority w:val="0"/>
    <w:rPr>
      <w:rFonts w:ascii="等线" w:hAnsi="等线" w:eastAsia="等线"/>
      <w:b/>
      <w:bCs/>
      <w:kern w:val="2"/>
      <w:sz w:val="21"/>
      <w:szCs w:val="22"/>
    </w:rPr>
  </w:style>
  <w:style w:type="paragraph" w:customStyle="1" w:styleId="49">
    <w:name w:val="p0"/>
    <w:basedOn w:val="1"/>
    <w:autoRedefine/>
    <w:qFormat/>
    <w:uiPriority w:val="0"/>
    <w:pPr>
      <w:widowControl/>
    </w:pPr>
    <w:rPr>
      <w:kern w:val="0"/>
      <w:sz w:val="20"/>
      <w:szCs w:val="21"/>
    </w:rPr>
  </w:style>
  <w:style w:type="paragraph" w:customStyle="1" w:styleId="50">
    <w:name w:val="图例"/>
    <w:basedOn w:val="1"/>
    <w:autoRedefine/>
    <w:qFormat/>
    <w:uiPriority w:val="99"/>
    <w:pPr>
      <w:spacing w:before="120" w:after="120" w:line="360" w:lineRule="auto"/>
      <w:jc w:val="center"/>
    </w:pPr>
    <w:rPr>
      <w:rFonts w:eastAsia="仿宋_GB2312"/>
      <w:b/>
      <w:sz w:val="24"/>
    </w:rPr>
  </w:style>
  <w:style w:type="paragraph" w:customStyle="1" w:styleId="51">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kern w:val="2"/>
      <w:sz w:val="44"/>
      <w:lang w:val="en-US" w:eastAsia="zh-CN" w:bidi="ar-SA"/>
    </w:rPr>
  </w:style>
  <w:style w:type="paragraph" w:customStyle="1" w:styleId="52">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3">
    <w:name w:val="正文1"/>
    <w:basedOn w:val="1"/>
    <w:next w:val="1"/>
    <w:autoRedefine/>
    <w:qFormat/>
    <w:uiPriority w:val="0"/>
    <w:pPr>
      <w:spacing w:line="300" w:lineRule="auto"/>
      <w:ind w:firstLine="200" w:firstLineChars="200"/>
    </w:pPr>
    <w:rPr>
      <w:sz w:val="24"/>
    </w:rPr>
  </w:style>
  <w:style w:type="character" w:customStyle="1" w:styleId="54">
    <w:name w:val="active7"/>
    <w:basedOn w:val="29"/>
    <w:autoRedefine/>
    <w:qFormat/>
    <w:uiPriority w:val="0"/>
    <w:rPr>
      <w:color w:val="FFFFFF"/>
      <w:shd w:val="clear" w:fill="E02F23"/>
    </w:rPr>
  </w:style>
  <w:style w:type="paragraph" w:customStyle="1" w:styleId="55">
    <w:name w:val="BodyText"/>
    <w:basedOn w:val="1"/>
    <w:autoRedefine/>
    <w:qFormat/>
    <w:uiPriority w:val="99"/>
    <w:pPr>
      <w:textAlignment w:val="baseline"/>
    </w:pPr>
    <w:rPr>
      <w:rFonts w:ascii="仿宋_GB2312" w:eastAsia="仿宋_GB2312"/>
      <w:sz w:val="32"/>
    </w:rPr>
  </w:style>
  <w:style w:type="character" w:customStyle="1" w:styleId="56">
    <w:name w:val="NormalCharacter"/>
    <w:autoRedefine/>
    <w:qFormat/>
    <w:uiPriority w:val="0"/>
  </w:style>
  <w:style w:type="paragraph" w:customStyle="1" w:styleId="57">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58">
    <w:name w:val="active"/>
    <w:basedOn w:val="29"/>
    <w:autoRedefine/>
    <w:qFormat/>
    <w:uiPriority w:val="0"/>
    <w:rPr>
      <w:color w:val="FFFFFF"/>
      <w:shd w:val="clear" w:fill="E02F23"/>
    </w:rPr>
  </w:style>
  <w:style w:type="paragraph" w:customStyle="1" w:styleId="59">
    <w:name w:val="列出段落1"/>
    <w:autoRedefine/>
    <w:qFormat/>
    <w:uiPriority w:val="0"/>
    <w:pPr>
      <w:widowControl/>
      <w:ind w:left="720" w:firstLine="360"/>
      <w:jc w:val="left"/>
    </w:pPr>
    <w:rPr>
      <w:rFonts w:ascii="Calibri" w:hAnsi="Calibri" w:eastAsia="宋体" w:cs="Times New Roman"/>
      <w:kern w:val="2"/>
      <w:sz w:val="22"/>
      <w:szCs w:val="20"/>
      <w:lang w:val="en-US" w:eastAsia="en-US" w:bidi="ar-SA"/>
    </w:rPr>
  </w:style>
  <w:style w:type="character" w:customStyle="1" w:styleId="60">
    <w:name w:val="hover"/>
    <w:basedOn w:val="29"/>
    <w:qFormat/>
    <w:uiPriority w:val="0"/>
    <w:rPr>
      <w:color w:val="315EFB"/>
    </w:rPr>
  </w:style>
  <w:style w:type="character" w:customStyle="1" w:styleId="61">
    <w:name w:val="hover1"/>
    <w:basedOn w:val="29"/>
    <w:qFormat/>
    <w:uiPriority w:val="0"/>
  </w:style>
  <w:style w:type="character" w:customStyle="1" w:styleId="62">
    <w:name w:val="hover2"/>
    <w:basedOn w:val="29"/>
    <w:qFormat/>
    <w:uiPriority w:val="0"/>
    <w:rPr>
      <w:color w:val="315EFB"/>
    </w:rPr>
  </w:style>
  <w:style w:type="character" w:customStyle="1" w:styleId="63">
    <w:name w:val="c-icon28"/>
    <w:basedOn w:val="29"/>
    <w:qFormat/>
    <w:uiPriority w:val="0"/>
  </w:style>
  <w:style w:type="character" w:customStyle="1" w:styleId="64">
    <w:name w:val="hover15"/>
    <w:basedOn w:val="29"/>
    <w:qFormat/>
    <w:uiPriority w:val="0"/>
  </w:style>
  <w:style w:type="character" w:customStyle="1" w:styleId="65">
    <w:name w:val="hover16"/>
    <w:basedOn w:val="29"/>
    <w:qFormat/>
    <w:uiPriority w:val="0"/>
    <w:rPr>
      <w:color w:val="315EFB"/>
    </w:rPr>
  </w:style>
  <w:style w:type="character" w:customStyle="1" w:styleId="66">
    <w:name w:val="hover17"/>
    <w:basedOn w:val="29"/>
    <w:qFormat/>
    <w:uiPriority w:val="0"/>
    <w:rPr>
      <w:color w:val="315EFB"/>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paragraph" w:customStyle="1" w:styleId="68">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6678</Words>
  <Characters>6948</Characters>
  <Lines>232</Lines>
  <Paragraphs>65</Paragraphs>
  <TotalTime>14</TotalTime>
  <ScaleCrop>false</ScaleCrop>
  <LinksUpToDate>false</LinksUpToDate>
  <CharactersWithSpaces>7128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Administrator</dc:creator>
  <cp:lastModifiedBy>高扬武</cp:lastModifiedBy>
  <cp:lastPrinted>2025-03-26T08:03:00Z</cp:lastPrinted>
  <dcterms:modified xsi:type="dcterms:W3CDTF">2025-04-08T08:03:48Z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1E78C5F7B6474059A3AD93CA0A0EF9B1_13</vt:lpwstr>
  </property>
  <property fmtid="{D5CDD505-2E9C-101B-9397-08002B2CF9AE}" pid="4" name="KSOTemplateDocerSaveRecord">
    <vt:lpwstr>eyJoZGlkIjoiZGQ5NzM0NjUwOGExNDA5MDhjNmQ2MDI0Y2UxMjlkZWUiLCJ1c2VySWQiOiI0NDY0NTc1NjcifQ==</vt:lpwstr>
  </property>
</Properties>
</file>