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E305C">
      <w:pPr>
        <w:keepNext w:val="0"/>
        <w:keepLines w:val="0"/>
        <w:pageBreakBefore w:val="0"/>
        <w:widowControl w:val="0"/>
        <w:kinsoku/>
        <w:wordWrap w:val="0"/>
        <w:overflowPunct/>
        <w:topLinePunct w:val="0"/>
        <w:autoSpaceDE/>
        <w:autoSpaceDN/>
        <w:bidi w:val="0"/>
        <w:spacing w:line="660" w:lineRule="exact"/>
        <w:ind w:left="0" w:leftChars="0" w:firstLine="0" w:firstLineChars="0"/>
        <w:jc w:val="center"/>
        <w:textAlignment w:val="auto"/>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项目名称：</w:t>
      </w:r>
      <w:r>
        <w:rPr>
          <w:rFonts w:hint="eastAsia" w:ascii="宋体" w:hAnsi="宋体" w:cs="宋体"/>
          <w:b/>
          <w:color w:val="auto"/>
          <w:kern w:val="2"/>
          <w:sz w:val="32"/>
          <w:szCs w:val="32"/>
          <w:highlight w:val="none"/>
          <w:lang w:val="en-US" w:eastAsia="zh-CN" w:bidi="ar-SA"/>
        </w:rPr>
        <w:t>北山一碗水周边环境提升项目</w:t>
      </w:r>
    </w:p>
    <w:p w14:paraId="04FA82F1">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7E2A8524">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F53DCD2">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4BB4DC09">
      <w:pPr>
        <w:keepNext w:val="0"/>
        <w:keepLines w:val="0"/>
        <w:pageBreakBefore w:val="0"/>
        <w:widowControl w:val="0"/>
        <w:kinsoku/>
        <w:topLinePunct w:val="0"/>
        <w:bidi w:val="0"/>
        <w:rPr>
          <w:rFonts w:hint="eastAsia" w:ascii="宋体" w:hAnsi="宋体" w:eastAsia="宋体" w:cs="宋体"/>
          <w:color w:val="auto"/>
          <w:sz w:val="32"/>
          <w:szCs w:val="32"/>
          <w:highlight w:val="none"/>
        </w:rPr>
      </w:pPr>
      <w:bookmarkStart w:id="0" w:name="_Toc109721475"/>
      <w:bookmarkStart w:id="1" w:name="_Toc110000690"/>
      <w:bookmarkStart w:id="2" w:name="_Toc110328768"/>
      <w:bookmarkStart w:id="3" w:name="_Toc17688"/>
      <w:bookmarkStart w:id="4" w:name="_Toc110443976"/>
    </w:p>
    <w:p w14:paraId="0CF0DF64">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A6EBEA9">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4F8911B4">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9ACC744">
      <w:pPr>
        <w:pStyle w:val="76"/>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EC1E6D8">
      <w:pPr>
        <w:pStyle w:val="23"/>
        <w:keepNext w:val="0"/>
        <w:keepLines w:val="0"/>
        <w:pageBreakBefore w:val="0"/>
        <w:widowControl w:val="0"/>
        <w:kinsoku/>
        <w:topLinePunct w:val="0"/>
        <w:bidi w:val="0"/>
        <w:rPr>
          <w:rFonts w:hint="eastAsia" w:ascii="宋体" w:hAnsi="宋体" w:eastAsia="宋体" w:cs="宋体"/>
          <w:color w:val="auto"/>
          <w:sz w:val="40"/>
          <w:szCs w:val="40"/>
          <w:highlight w:val="none"/>
        </w:rPr>
      </w:pPr>
    </w:p>
    <w:p w14:paraId="1DC7E026">
      <w:pPr>
        <w:keepNext w:val="0"/>
        <w:keepLines w:val="0"/>
        <w:pageBreakBefore w:val="0"/>
        <w:widowControl w:val="0"/>
        <w:kinsoku/>
        <w:topLinePunct w:val="0"/>
        <w:bidi w:val="0"/>
        <w:spacing w:line="240" w:lineRule="auto"/>
        <w:jc w:val="center"/>
        <w:outlineLvl w:val="0"/>
        <w:rPr>
          <w:rFonts w:hint="eastAsia" w:ascii="宋体" w:hAnsi="宋体" w:eastAsia="宋体" w:cs="宋体"/>
          <w:b/>
          <w:bCs/>
          <w:color w:val="auto"/>
          <w:spacing w:val="0"/>
          <w:w w:val="90"/>
          <w:sz w:val="60"/>
          <w:szCs w:val="60"/>
          <w:highlight w:val="none"/>
          <w:lang w:eastAsia="zh-CN"/>
        </w:rPr>
      </w:pPr>
      <w:bookmarkStart w:id="5" w:name="_Toc17681"/>
      <w:bookmarkStart w:id="6" w:name="_Toc4287"/>
      <w:bookmarkStart w:id="7" w:name="_Toc2389"/>
      <w:bookmarkStart w:id="8" w:name="_Toc18063"/>
      <w:bookmarkStart w:id="9" w:name="_Toc16443"/>
      <w:r>
        <w:rPr>
          <w:rFonts w:hint="eastAsia" w:ascii="宋体" w:hAnsi="宋体" w:eastAsia="宋体" w:cs="宋体"/>
          <w:b/>
          <w:bCs/>
          <w:color w:val="auto"/>
          <w:spacing w:val="0"/>
          <w:w w:val="90"/>
          <w:sz w:val="60"/>
          <w:szCs w:val="60"/>
          <w:highlight w:val="none"/>
          <w:lang w:eastAsia="zh-CN"/>
        </w:rPr>
        <w:t>竞</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争</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性</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比</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选</w:t>
      </w:r>
      <w:bookmarkEnd w:id="5"/>
      <w:bookmarkEnd w:id="6"/>
      <w:bookmarkEnd w:id="7"/>
    </w:p>
    <w:p w14:paraId="0052F6A4">
      <w:pPr>
        <w:keepNext w:val="0"/>
        <w:keepLines w:val="0"/>
        <w:pageBreakBefore w:val="0"/>
        <w:widowControl w:val="0"/>
        <w:kinsoku/>
        <w:topLinePunct w:val="0"/>
        <w:bidi w:val="0"/>
        <w:spacing w:line="240" w:lineRule="auto"/>
        <w:jc w:val="center"/>
        <w:outlineLvl w:val="0"/>
        <w:rPr>
          <w:rFonts w:hint="eastAsia" w:ascii="宋体" w:hAnsi="宋体" w:eastAsia="宋体" w:cs="宋体"/>
          <w:b/>
          <w:bCs/>
          <w:color w:val="auto"/>
          <w:spacing w:val="0"/>
          <w:w w:val="90"/>
          <w:sz w:val="60"/>
          <w:szCs w:val="60"/>
          <w:highlight w:val="none"/>
        </w:rPr>
      </w:pPr>
      <w:bookmarkStart w:id="10" w:name="_Toc23263"/>
      <w:bookmarkStart w:id="11" w:name="_Toc8523"/>
      <w:bookmarkStart w:id="12" w:name="_Toc24743"/>
      <w:r>
        <w:rPr>
          <w:rFonts w:hint="eastAsia" w:ascii="宋体" w:hAnsi="宋体" w:eastAsia="宋体" w:cs="宋体"/>
          <w:b/>
          <w:bCs/>
          <w:color w:val="auto"/>
          <w:spacing w:val="0"/>
          <w:w w:val="90"/>
          <w:sz w:val="60"/>
          <w:szCs w:val="60"/>
          <w:highlight w:val="none"/>
        </w:rPr>
        <w:t>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购</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件</w:t>
      </w:r>
      <w:bookmarkEnd w:id="0"/>
      <w:bookmarkEnd w:id="1"/>
      <w:bookmarkEnd w:id="2"/>
      <w:bookmarkEnd w:id="3"/>
      <w:bookmarkEnd w:id="4"/>
      <w:bookmarkEnd w:id="8"/>
      <w:bookmarkEnd w:id="9"/>
      <w:bookmarkEnd w:id="10"/>
      <w:bookmarkEnd w:id="11"/>
      <w:bookmarkEnd w:id="12"/>
    </w:p>
    <w:p w14:paraId="672563FD">
      <w:pPr>
        <w:keepNext w:val="0"/>
        <w:keepLines w:val="0"/>
        <w:pageBreakBefore w:val="0"/>
        <w:widowControl w:val="0"/>
        <w:kinsoku/>
        <w:wordWrap w:val="0"/>
        <w:overflowPunct/>
        <w:topLinePunct w:val="0"/>
        <w:autoSpaceDE/>
        <w:autoSpaceDN/>
        <w:bidi w:val="0"/>
        <w:spacing w:line="660" w:lineRule="exact"/>
        <w:jc w:val="both"/>
        <w:textAlignment w:val="auto"/>
        <w:outlineLvl w:val="0"/>
        <w:rPr>
          <w:rFonts w:hint="eastAsia" w:ascii="宋体" w:hAnsi="宋体" w:eastAsia="宋体" w:cs="宋体"/>
          <w:b/>
          <w:color w:val="auto"/>
          <w:kern w:val="2"/>
          <w:sz w:val="32"/>
          <w:szCs w:val="32"/>
          <w:highlight w:val="none"/>
          <w:lang w:val="en-US" w:eastAsia="zh-CN" w:bidi="ar-SA"/>
        </w:rPr>
      </w:pPr>
    </w:p>
    <w:p w14:paraId="2645189E">
      <w:pPr>
        <w:keepNext w:val="0"/>
        <w:keepLines w:val="0"/>
        <w:pageBreakBefore w:val="0"/>
        <w:widowControl w:val="0"/>
        <w:kinsoku/>
        <w:wordWrap w:val="0"/>
        <w:overflowPunct/>
        <w:topLinePunct w:val="0"/>
        <w:autoSpaceDE/>
        <w:autoSpaceDN/>
        <w:bidi w:val="0"/>
        <w:spacing w:line="660" w:lineRule="exact"/>
        <w:jc w:val="center"/>
        <w:textAlignment w:val="auto"/>
        <w:outlineLvl w:val="0"/>
        <w:rPr>
          <w:rFonts w:hint="default" w:ascii="宋体" w:hAnsi="宋体" w:eastAsia="宋体" w:cs="宋体"/>
          <w:b/>
          <w:color w:val="auto"/>
          <w:kern w:val="2"/>
          <w:sz w:val="28"/>
          <w:szCs w:val="28"/>
          <w:highlight w:val="none"/>
          <w:lang w:val="en-US" w:eastAsia="zh-CN" w:bidi="ar-SA"/>
        </w:rPr>
      </w:pPr>
      <w:bookmarkStart w:id="13" w:name="_Toc26859"/>
      <w:bookmarkStart w:id="14" w:name="_Toc22223"/>
      <w:bookmarkStart w:id="15" w:name="_Toc1829"/>
      <w:r>
        <w:rPr>
          <w:rFonts w:hint="eastAsia" w:ascii="宋体" w:hAnsi="宋体" w:eastAsia="宋体" w:cs="宋体"/>
          <w:b/>
          <w:color w:val="auto"/>
          <w:kern w:val="2"/>
          <w:sz w:val="28"/>
          <w:szCs w:val="28"/>
          <w:highlight w:val="none"/>
          <w:lang w:val="en-US" w:eastAsia="zh-CN" w:bidi="ar-SA"/>
        </w:rPr>
        <w:t>项目编号：</w:t>
      </w:r>
      <w:bookmarkEnd w:id="13"/>
      <w:bookmarkEnd w:id="14"/>
      <w:bookmarkEnd w:id="15"/>
      <w:r>
        <w:rPr>
          <w:rFonts w:hint="eastAsia" w:ascii="宋体" w:hAnsi="宋体" w:eastAsia="宋体" w:cs="宋体"/>
          <w:b/>
          <w:color w:val="auto"/>
          <w:kern w:val="2"/>
          <w:sz w:val="28"/>
          <w:szCs w:val="28"/>
          <w:highlight w:val="none"/>
          <w:lang w:val="en-US" w:eastAsia="zh-CN" w:bidi="ar-SA"/>
        </w:rPr>
        <w:t>CQ</w:t>
      </w:r>
      <w:r>
        <w:rPr>
          <w:rFonts w:hint="eastAsia" w:ascii="宋体" w:hAnsi="宋体" w:cs="宋体"/>
          <w:b/>
          <w:color w:val="auto"/>
          <w:kern w:val="2"/>
          <w:sz w:val="28"/>
          <w:szCs w:val="28"/>
          <w:highlight w:val="none"/>
          <w:lang w:val="en-US" w:eastAsia="zh-CN" w:bidi="ar-SA"/>
        </w:rPr>
        <w:t>HY</w:t>
      </w:r>
      <w:r>
        <w:rPr>
          <w:rFonts w:hint="eastAsia" w:ascii="宋体" w:hAnsi="宋体" w:eastAsia="宋体" w:cs="宋体"/>
          <w:b/>
          <w:color w:val="auto"/>
          <w:kern w:val="2"/>
          <w:sz w:val="28"/>
          <w:szCs w:val="28"/>
          <w:highlight w:val="none"/>
          <w:lang w:val="en-US" w:eastAsia="zh-CN" w:bidi="ar-SA"/>
        </w:rPr>
        <w:t>-HC-202605</w:t>
      </w:r>
      <w:r>
        <w:rPr>
          <w:rFonts w:hint="eastAsia" w:ascii="宋体" w:hAnsi="宋体" w:cs="宋体"/>
          <w:b/>
          <w:color w:val="auto"/>
          <w:kern w:val="2"/>
          <w:sz w:val="28"/>
          <w:szCs w:val="28"/>
          <w:highlight w:val="none"/>
          <w:lang w:val="en-US" w:eastAsia="zh-CN" w:bidi="ar-SA"/>
        </w:rPr>
        <w:t>22</w:t>
      </w:r>
    </w:p>
    <w:p w14:paraId="4F606B81">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1EA4E557">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F6EA0D8">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2E323921">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6DA00C9">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1FA80D9">
      <w:pPr>
        <w:pStyle w:val="76"/>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14C6D12C">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4483D17">
      <w:pPr>
        <w:pStyle w:val="6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45CC2C90">
      <w:pPr>
        <w:pStyle w:val="6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3A134C8">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eastAsia" w:ascii="宋体" w:hAnsi="宋体" w:eastAsia="宋体" w:cs="宋体"/>
          <w:b/>
          <w:color w:val="auto"/>
          <w:kern w:val="2"/>
          <w:sz w:val="32"/>
          <w:szCs w:val="32"/>
          <w:highlight w:val="none"/>
          <w:lang w:val="en-US" w:eastAsia="zh-CN" w:bidi="ar-SA"/>
        </w:rPr>
      </w:pPr>
      <w:bookmarkStart w:id="16" w:name="_Toc7282"/>
      <w:bookmarkStart w:id="17" w:name="_Toc853"/>
      <w:bookmarkStart w:id="18" w:name="_Toc30843"/>
      <w:r>
        <w:rPr>
          <w:rFonts w:hint="eastAsia" w:ascii="宋体" w:hAnsi="宋体" w:eastAsia="宋体" w:cs="宋体"/>
          <w:b/>
          <w:color w:val="auto"/>
          <w:kern w:val="2"/>
          <w:sz w:val="32"/>
          <w:szCs w:val="32"/>
          <w:highlight w:val="none"/>
          <w:lang w:val="en-US" w:eastAsia="zh-CN" w:bidi="ar-SA"/>
        </w:rPr>
        <w:t>采   购  人：重庆大足石刻国际文化旅游集团有限公司</w:t>
      </w:r>
      <w:bookmarkEnd w:id="16"/>
      <w:bookmarkEnd w:id="17"/>
      <w:bookmarkEnd w:id="18"/>
    </w:p>
    <w:p w14:paraId="46AAD709">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default" w:ascii="宋体" w:hAnsi="宋体" w:eastAsia="宋体" w:cs="宋体"/>
          <w:b/>
          <w:color w:val="auto"/>
          <w:kern w:val="2"/>
          <w:sz w:val="32"/>
          <w:szCs w:val="32"/>
          <w:highlight w:val="none"/>
          <w:lang w:val="en-US" w:eastAsia="zh-CN" w:bidi="ar-SA"/>
        </w:rPr>
      </w:pPr>
      <w:bookmarkStart w:id="19" w:name="_Toc14270"/>
      <w:bookmarkStart w:id="20" w:name="_Toc16394"/>
      <w:bookmarkStart w:id="21" w:name="_Toc30580"/>
      <w:r>
        <w:rPr>
          <w:rFonts w:hint="eastAsia" w:ascii="宋体" w:hAnsi="宋体" w:eastAsia="宋体" w:cs="宋体"/>
          <w:b/>
          <w:color w:val="auto"/>
          <w:kern w:val="2"/>
          <w:sz w:val="32"/>
          <w:szCs w:val="32"/>
          <w:highlight w:val="none"/>
          <w:lang w:val="en-US" w:eastAsia="zh-CN" w:bidi="ar-SA"/>
        </w:rPr>
        <w:t>代 理 机 构：</w:t>
      </w:r>
      <w:bookmarkEnd w:id="19"/>
      <w:bookmarkEnd w:id="20"/>
      <w:bookmarkEnd w:id="21"/>
      <w:r>
        <w:rPr>
          <w:rFonts w:hint="eastAsia" w:ascii="宋体" w:hAnsi="宋体" w:cs="宋体"/>
          <w:b/>
          <w:color w:val="auto"/>
          <w:kern w:val="2"/>
          <w:sz w:val="32"/>
          <w:szCs w:val="32"/>
          <w:highlight w:val="none"/>
          <w:lang w:val="en-US" w:eastAsia="zh-CN" w:bidi="ar-SA"/>
        </w:rPr>
        <w:t>重庆颢越工程管理有限公司</w:t>
      </w:r>
    </w:p>
    <w:p w14:paraId="78FAB187">
      <w:pPr>
        <w:keepNext w:val="0"/>
        <w:keepLines w:val="0"/>
        <w:pageBreakBefore w:val="0"/>
        <w:widowControl w:val="0"/>
        <w:kinsoku/>
        <w:wordWrap w:val="0"/>
        <w:overflowPunct/>
        <w:topLinePunct w:val="0"/>
        <w:autoSpaceDE/>
        <w:autoSpaceDN/>
        <w:bidi w:val="0"/>
        <w:spacing w:line="660" w:lineRule="exact"/>
        <w:ind w:firstLine="3855" w:firstLineChars="1200"/>
        <w:jc w:val="left"/>
        <w:textAlignment w:val="auto"/>
        <w:rPr>
          <w:rFonts w:hint="default"/>
          <w:color w:val="auto"/>
          <w:highlight w:val="none"/>
          <w:lang w:val="en-US"/>
        </w:rPr>
        <w:sectPr>
          <w:headerReference r:id="rId4" w:type="first"/>
          <w:headerReference r:id="rId3" w:type="default"/>
          <w:pgSz w:w="11907" w:h="16840"/>
          <w:pgMar w:top="1440" w:right="1080" w:bottom="1440" w:left="1080" w:header="851" w:footer="992" w:gutter="0"/>
          <w:pgNumType w:fmt="decimal" w:start="1"/>
          <w:cols w:space="720" w:num="1"/>
          <w:titlePg/>
          <w:docGrid w:linePitch="381" w:charSpace="-5735"/>
        </w:sectPr>
      </w:pPr>
      <w:r>
        <w:rPr>
          <w:rFonts w:hint="eastAsia" w:ascii="宋体" w:hAnsi="宋体" w:eastAsia="宋体" w:cs="宋体"/>
          <w:b/>
          <w:color w:val="auto"/>
          <w:kern w:val="2"/>
          <w:sz w:val="32"/>
          <w:szCs w:val="32"/>
          <w:highlight w:val="none"/>
          <w:lang w:val="en-US" w:eastAsia="zh-CN" w:bidi="ar-SA"/>
        </w:rPr>
        <w:t>202</w:t>
      </w:r>
      <w:r>
        <w:rPr>
          <w:rFonts w:hint="eastAsia" w:ascii="宋体" w:hAnsi="宋体" w:cs="宋体"/>
          <w:b/>
          <w:color w:val="auto"/>
          <w:kern w:val="2"/>
          <w:sz w:val="32"/>
          <w:szCs w:val="32"/>
          <w:highlight w:val="none"/>
          <w:lang w:val="en-US" w:eastAsia="zh-CN" w:bidi="ar-SA"/>
        </w:rPr>
        <w:t>6</w:t>
      </w:r>
      <w:r>
        <w:rPr>
          <w:rFonts w:hint="eastAsia" w:ascii="宋体" w:hAnsi="宋体" w:eastAsia="宋体" w:cs="宋体"/>
          <w:b/>
          <w:color w:val="auto"/>
          <w:kern w:val="2"/>
          <w:sz w:val="32"/>
          <w:szCs w:val="32"/>
          <w:highlight w:val="none"/>
          <w:lang w:val="en-US" w:eastAsia="zh-CN" w:bidi="ar-SA"/>
        </w:rPr>
        <w:t>年</w:t>
      </w:r>
      <w:r>
        <w:rPr>
          <w:rFonts w:hint="eastAsia" w:ascii="宋体" w:hAnsi="宋体" w:cs="宋体"/>
          <w:b/>
          <w:color w:val="auto"/>
          <w:kern w:val="2"/>
          <w:sz w:val="32"/>
          <w:szCs w:val="32"/>
          <w:highlight w:val="none"/>
          <w:lang w:val="en-US" w:eastAsia="zh-CN" w:bidi="ar-SA"/>
        </w:rPr>
        <w:t>5月</w:t>
      </w:r>
    </w:p>
    <w:sdt>
      <w:sdtPr>
        <w:rPr>
          <w:rFonts w:ascii="宋体" w:hAnsi="宋体" w:eastAsia="宋体" w:cs="Times New Roman"/>
          <w:color w:val="auto"/>
          <w:kern w:val="2"/>
          <w:sz w:val="21"/>
          <w:highlight w:val="none"/>
          <w:lang w:val="en-US" w:eastAsia="zh-CN" w:bidi="ar-SA"/>
        </w:rPr>
        <w:id w:val="147473279"/>
        <w15:color w:val="DBDBDB"/>
        <w:docPartObj>
          <w:docPartGallery w:val="Table of Contents"/>
          <w:docPartUnique/>
        </w:docPartObj>
      </w:sdtPr>
      <w:sdtEndPr>
        <w:rPr>
          <w:rFonts w:hint="eastAsia" w:ascii="Times New Roman" w:hAnsi="Times New Roman" w:eastAsia="宋体" w:cs="Times New Roman"/>
          <w:color w:val="auto"/>
          <w:kern w:val="2"/>
          <w:sz w:val="28"/>
          <w:highlight w:val="none"/>
          <w:lang w:val="en-US" w:eastAsia="zh-CN" w:bidi="ar-SA"/>
        </w:rPr>
      </w:sdtEndPr>
      <w:sdtContent>
        <w:p w14:paraId="2C1C0006">
          <w:pPr>
            <w:keepNext w:val="0"/>
            <w:keepLines w:val="0"/>
            <w:pageBreakBefore w:val="0"/>
            <w:widowControl w:val="0"/>
            <w:kinsoku/>
            <w:topLinePunct w:val="0"/>
            <w:bidi w:val="0"/>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p>
        <w:p w14:paraId="79C63F06">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_Toc15689 </w:instrText>
          </w:r>
          <w:r>
            <w:rPr>
              <w:rFonts w:hint="eastAsia"/>
              <w:color w:val="auto"/>
              <w:highlight w:val="none"/>
            </w:rPr>
            <w:fldChar w:fldCharType="separate"/>
          </w:r>
          <w:r>
            <w:rPr>
              <w:rFonts w:hint="eastAsia" w:eastAsia="宋体" w:cs="宋体"/>
              <w:bCs w:val="0"/>
              <w:color w:val="auto"/>
              <w:szCs w:val="36"/>
              <w:highlight w:val="none"/>
              <w:lang w:val="en-US" w:eastAsia="zh-CN"/>
            </w:rPr>
            <w:t>第一篇 比选公告</w:t>
          </w:r>
          <w:r>
            <w:rPr>
              <w:color w:val="auto"/>
              <w:highlight w:val="none"/>
            </w:rPr>
            <w:tab/>
          </w:r>
          <w:r>
            <w:rPr>
              <w:color w:val="auto"/>
              <w:highlight w:val="none"/>
            </w:rPr>
            <w:fldChar w:fldCharType="begin"/>
          </w:r>
          <w:r>
            <w:rPr>
              <w:color w:val="auto"/>
              <w:highlight w:val="none"/>
            </w:rPr>
            <w:instrText xml:space="preserve"> PAGEREF _Toc15689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7871FD8E">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_Toc12413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一、比选内容</w:t>
          </w:r>
          <w:r>
            <w:rPr>
              <w:color w:val="auto"/>
              <w:highlight w:val="none"/>
            </w:rPr>
            <w:tab/>
          </w:r>
          <w:r>
            <w:rPr>
              <w:color w:val="auto"/>
              <w:highlight w:val="none"/>
            </w:rPr>
            <w:fldChar w:fldCharType="begin"/>
          </w:r>
          <w:r>
            <w:rPr>
              <w:color w:val="auto"/>
              <w:highlight w:val="none"/>
            </w:rPr>
            <w:instrText xml:space="preserve"> PAGEREF _Toc12413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3C8CFB37">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_Toc8693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二、供应商的资格条件</w:t>
          </w:r>
          <w:r>
            <w:rPr>
              <w:color w:val="auto"/>
              <w:highlight w:val="none"/>
            </w:rPr>
            <w:tab/>
          </w:r>
          <w:r>
            <w:rPr>
              <w:color w:val="auto"/>
              <w:highlight w:val="none"/>
            </w:rPr>
            <w:fldChar w:fldCharType="begin"/>
          </w:r>
          <w:r>
            <w:rPr>
              <w:color w:val="auto"/>
              <w:highlight w:val="none"/>
            </w:rPr>
            <w:instrText xml:space="preserve"> PAGEREF _Toc8693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7237927A">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_Toc24774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三、比选的有关说明</w:t>
          </w:r>
          <w:r>
            <w:rPr>
              <w:color w:val="auto"/>
              <w:highlight w:val="none"/>
            </w:rPr>
            <w:tab/>
          </w:r>
          <w:r>
            <w:rPr>
              <w:color w:val="auto"/>
              <w:highlight w:val="none"/>
            </w:rPr>
            <w:fldChar w:fldCharType="begin"/>
          </w:r>
          <w:r>
            <w:rPr>
              <w:color w:val="auto"/>
              <w:highlight w:val="none"/>
            </w:rPr>
            <w:instrText xml:space="preserve"> PAGEREF _Toc24774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3DBC0951">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_Toc19799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四、报名方式及投标程序</w:t>
          </w:r>
          <w:r>
            <w:rPr>
              <w:color w:val="auto"/>
              <w:highlight w:val="none"/>
            </w:rPr>
            <w:tab/>
          </w:r>
          <w:r>
            <w:rPr>
              <w:color w:val="auto"/>
              <w:highlight w:val="none"/>
            </w:rPr>
            <w:fldChar w:fldCharType="begin"/>
          </w:r>
          <w:r>
            <w:rPr>
              <w:color w:val="auto"/>
              <w:highlight w:val="none"/>
            </w:rPr>
            <w:instrText xml:space="preserve"> PAGEREF _Toc19799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14:paraId="56EE3C2A">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_Toc9350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五、投标保证金</w:t>
          </w:r>
          <w:r>
            <w:rPr>
              <w:color w:val="auto"/>
              <w:highlight w:val="none"/>
            </w:rPr>
            <w:tab/>
          </w:r>
          <w:r>
            <w:rPr>
              <w:color w:val="auto"/>
              <w:highlight w:val="none"/>
            </w:rPr>
            <w:fldChar w:fldCharType="begin"/>
          </w:r>
          <w:r>
            <w:rPr>
              <w:color w:val="auto"/>
              <w:highlight w:val="none"/>
            </w:rPr>
            <w:instrText xml:space="preserve"> PAGEREF _Toc9350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14:paraId="778F7A09">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_Toc16519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六、其它有关规定</w:t>
          </w:r>
          <w:r>
            <w:rPr>
              <w:color w:val="auto"/>
              <w:highlight w:val="none"/>
            </w:rPr>
            <w:tab/>
          </w:r>
          <w:r>
            <w:rPr>
              <w:color w:val="auto"/>
              <w:highlight w:val="none"/>
            </w:rPr>
            <w:fldChar w:fldCharType="begin"/>
          </w:r>
          <w:r>
            <w:rPr>
              <w:color w:val="auto"/>
              <w:highlight w:val="none"/>
            </w:rPr>
            <w:instrText xml:space="preserve"> PAGEREF _Toc16519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14:paraId="4DDFED4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_Toc24392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七、联系方式</w:t>
          </w:r>
          <w:r>
            <w:rPr>
              <w:color w:val="auto"/>
              <w:highlight w:val="none"/>
            </w:rPr>
            <w:tab/>
          </w:r>
          <w:r>
            <w:rPr>
              <w:color w:val="auto"/>
              <w:highlight w:val="none"/>
            </w:rPr>
            <w:fldChar w:fldCharType="begin"/>
          </w:r>
          <w:r>
            <w:rPr>
              <w:color w:val="auto"/>
              <w:highlight w:val="none"/>
            </w:rPr>
            <w:instrText xml:space="preserve"> PAGEREF _Toc24392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rPr>
            <w:fldChar w:fldCharType="end"/>
          </w:r>
        </w:p>
        <w:p w14:paraId="5D484E56">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_Toc25709 </w:instrText>
          </w:r>
          <w:r>
            <w:rPr>
              <w:rFonts w:hint="eastAsia"/>
              <w:color w:val="auto"/>
              <w:highlight w:val="none"/>
            </w:rPr>
            <w:fldChar w:fldCharType="separate"/>
          </w:r>
          <w:r>
            <w:rPr>
              <w:rFonts w:hint="eastAsia" w:eastAsia="宋体" w:cs="宋体"/>
              <w:bCs w:val="0"/>
              <w:color w:val="auto"/>
              <w:szCs w:val="36"/>
              <w:highlight w:val="none"/>
              <w:lang w:val="en-US" w:eastAsia="zh-CN"/>
            </w:rPr>
            <w:t xml:space="preserve">第二篇  </w:t>
          </w:r>
          <w:r>
            <w:rPr>
              <w:rFonts w:hint="eastAsia" w:cs="宋体"/>
              <w:bCs w:val="0"/>
              <w:color w:val="auto"/>
              <w:szCs w:val="36"/>
              <w:highlight w:val="none"/>
              <w:lang w:val="en-US" w:eastAsia="zh-CN"/>
            </w:rPr>
            <w:t>项目技术需求</w:t>
          </w:r>
          <w:r>
            <w:rPr>
              <w:color w:val="auto"/>
              <w:highlight w:val="none"/>
            </w:rPr>
            <w:tab/>
          </w:r>
          <w:r>
            <w:rPr>
              <w:color w:val="auto"/>
              <w:highlight w:val="none"/>
            </w:rPr>
            <w:fldChar w:fldCharType="begin"/>
          </w:r>
          <w:r>
            <w:rPr>
              <w:color w:val="auto"/>
              <w:highlight w:val="none"/>
            </w:rPr>
            <w:instrText xml:space="preserve"> PAGEREF _Toc25709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376A9FEF">
          <w:pPr>
            <w:pStyle w:val="33"/>
            <w:keepNext w:val="0"/>
            <w:keepLines w:val="0"/>
            <w:pageBreakBefore w:val="0"/>
            <w:widowControl w:val="0"/>
            <w:tabs>
              <w:tab w:val="right" w:leader="dot" w:pos="9071"/>
            </w:tabs>
            <w:kinsoku/>
            <w:topLinePunct w:val="0"/>
            <w:bidi w:val="0"/>
            <w:spacing w:line="240" w:lineRule="auto"/>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\l _Toc17333 </w:instrText>
          </w:r>
          <w:r>
            <w:rPr>
              <w:rFonts w:hint="eastAsia"/>
              <w:color w:val="auto"/>
              <w:highlight w:val="none"/>
            </w:rPr>
            <w:fldChar w:fldCharType="separate"/>
          </w:r>
          <w:r>
            <w:rPr>
              <w:rFonts w:hint="eastAsia" w:ascii="宋体" w:hAnsi="宋体" w:eastAsia="宋体" w:cs="宋体"/>
              <w:color w:val="auto"/>
              <w:szCs w:val="24"/>
              <w:highlight w:val="none"/>
              <w:lang w:eastAsia="zh-CN"/>
            </w:rPr>
            <w:t>一、项目一览表</w:t>
          </w:r>
          <w:r>
            <w:rPr>
              <w:color w:val="auto"/>
              <w:highlight w:val="none"/>
            </w:rPr>
            <w:tab/>
          </w:r>
          <w:r>
            <w:rPr>
              <w:color w:val="auto"/>
              <w:highlight w:val="none"/>
            </w:rPr>
            <w:fldChar w:fldCharType="begin"/>
          </w:r>
          <w:r>
            <w:rPr>
              <w:color w:val="auto"/>
              <w:highlight w:val="none"/>
            </w:rPr>
            <w:instrText xml:space="preserve"> PAGEREF _Toc17333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7B11C399">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_Toc17333 </w:instrText>
          </w:r>
          <w:r>
            <w:rPr>
              <w:rFonts w:hint="eastAsia"/>
              <w:color w:val="auto"/>
              <w:highlight w:val="none"/>
            </w:rPr>
            <w:fldChar w:fldCharType="separate"/>
          </w:r>
          <w:r>
            <w:rPr>
              <w:rFonts w:hint="eastAsia"/>
              <w:color w:val="auto"/>
              <w:highlight w:val="none"/>
              <w:lang w:val="en-US" w:eastAsia="zh-CN"/>
            </w:rPr>
            <w:t>二</w:t>
          </w:r>
          <w:r>
            <w:rPr>
              <w:rFonts w:hint="eastAsia" w:ascii="宋体" w:hAnsi="宋体" w:eastAsia="宋体" w:cs="宋体"/>
              <w:color w:val="auto"/>
              <w:szCs w:val="24"/>
              <w:highlight w:val="none"/>
              <w:lang w:eastAsia="zh-CN"/>
            </w:rPr>
            <w:t>、比选</w:t>
          </w:r>
          <w:r>
            <w:rPr>
              <w:rFonts w:hint="eastAsia" w:ascii="宋体" w:hAnsi="宋体" w:eastAsia="宋体" w:cs="宋体"/>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_Toc17333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1CE185F7">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_Toc24805 </w:instrText>
          </w:r>
          <w:r>
            <w:rPr>
              <w:rFonts w:hint="eastAsia"/>
              <w:color w:val="auto"/>
              <w:highlight w:val="none"/>
            </w:rPr>
            <w:fldChar w:fldCharType="separate"/>
          </w:r>
          <w:r>
            <w:rPr>
              <w:rFonts w:hint="eastAsia"/>
              <w:color w:val="auto"/>
              <w:highlight w:val="none"/>
              <w:lang w:val="en-US" w:eastAsia="zh-CN"/>
            </w:rPr>
            <w:t>三</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安全要求</w:t>
          </w:r>
          <w:r>
            <w:rPr>
              <w:color w:val="auto"/>
              <w:highlight w:val="none"/>
            </w:rPr>
            <w:tab/>
          </w:r>
          <w:r>
            <w:rPr>
              <w:color w:val="auto"/>
              <w:highlight w:val="none"/>
            </w:rPr>
            <w:fldChar w:fldCharType="begin"/>
          </w:r>
          <w:r>
            <w:rPr>
              <w:color w:val="auto"/>
              <w:highlight w:val="none"/>
            </w:rPr>
            <w:instrText xml:space="preserve"> PAGEREF _Toc24805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5A87889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_Toc686 </w:instrText>
          </w:r>
          <w:r>
            <w:rPr>
              <w:rFonts w:hint="eastAsia"/>
              <w:color w:val="auto"/>
              <w:highlight w:val="none"/>
            </w:rPr>
            <w:fldChar w:fldCharType="separate"/>
          </w:r>
          <w:r>
            <w:rPr>
              <w:rFonts w:hint="eastAsia"/>
              <w:color w:val="auto"/>
              <w:highlight w:val="none"/>
              <w:lang w:val="en-US" w:eastAsia="zh-CN"/>
            </w:rPr>
            <w:t>四</w:t>
          </w:r>
          <w:r>
            <w:rPr>
              <w:rFonts w:hint="eastAsia" w:ascii="宋体" w:hAnsi="宋体" w:eastAsia="宋体" w:cs="宋体"/>
              <w:color w:val="auto"/>
              <w:szCs w:val="24"/>
              <w:highlight w:val="none"/>
              <w:lang w:val="en-US" w:eastAsia="zh-CN"/>
            </w:rPr>
            <w:t>、质量要求</w:t>
          </w:r>
          <w:r>
            <w:rPr>
              <w:color w:val="auto"/>
              <w:highlight w:val="none"/>
            </w:rPr>
            <w:tab/>
          </w:r>
          <w:r>
            <w:rPr>
              <w:color w:val="auto"/>
              <w:highlight w:val="none"/>
            </w:rPr>
            <w:fldChar w:fldCharType="begin"/>
          </w:r>
          <w:r>
            <w:rPr>
              <w:color w:val="auto"/>
              <w:highlight w:val="none"/>
            </w:rPr>
            <w:instrText xml:space="preserve"> PAGEREF _Toc686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6C12E1B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_Toc29177 </w:instrText>
          </w:r>
          <w:r>
            <w:rPr>
              <w:rFonts w:hint="eastAsia"/>
              <w:color w:val="auto"/>
              <w:highlight w:val="none"/>
            </w:rPr>
            <w:fldChar w:fldCharType="separate"/>
          </w:r>
          <w:r>
            <w:rPr>
              <w:rFonts w:hint="eastAsia"/>
              <w:color w:val="auto"/>
              <w:highlight w:val="none"/>
              <w:lang w:val="en-US" w:eastAsia="zh-CN"/>
            </w:rPr>
            <w:t>五</w:t>
          </w:r>
          <w:r>
            <w:rPr>
              <w:rFonts w:hint="eastAsia" w:ascii="宋体" w:hAnsi="宋体" w:eastAsia="宋体" w:cs="宋体"/>
              <w:color w:val="auto"/>
              <w:szCs w:val="24"/>
              <w:highlight w:val="none"/>
              <w:lang w:val="en-US" w:eastAsia="zh-CN"/>
            </w:rPr>
            <w:t>、现场踏勘</w:t>
          </w:r>
          <w:r>
            <w:rPr>
              <w:color w:val="auto"/>
              <w:highlight w:val="none"/>
            </w:rPr>
            <w:tab/>
          </w:r>
          <w:r>
            <w:rPr>
              <w:color w:val="auto"/>
              <w:highlight w:val="none"/>
            </w:rPr>
            <w:fldChar w:fldCharType="begin"/>
          </w:r>
          <w:r>
            <w:rPr>
              <w:color w:val="auto"/>
              <w:highlight w:val="none"/>
            </w:rPr>
            <w:instrText xml:space="preserve"> PAGEREF _Toc29177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1C1A617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_Toc9235 </w:instrText>
          </w:r>
          <w:r>
            <w:rPr>
              <w:rFonts w:hint="eastAsia"/>
              <w:color w:val="auto"/>
              <w:highlight w:val="none"/>
            </w:rPr>
            <w:fldChar w:fldCharType="separate"/>
          </w:r>
          <w:r>
            <w:rPr>
              <w:rFonts w:hint="eastAsia"/>
              <w:color w:val="auto"/>
              <w:highlight w:val="none"/>
              <w:lang w:val="en-US" w:eastAsia="zh-CN"/>
            </w:rPr>
            <w:t>六</w:t>
          </w:r>
          <w:r>
            <w:rPr>
              <w:rFonts w:hint="eastAsia" w:ascii="宋体" w:hAnsi="宋体" w:eastAsia="宋体" w:cs="宋体"/>
              <w:color w:val="auto"/>
              <w:szCs w:val="24"/>
              <w:highlight w:val="none"/>
              <w:lang w:val="en-US" w:eastAsia="zh-CN"/>
            </w:rPr>
            <w:t>、结合本工程特点提出切实可行的服务方案</w:t>
          </w:r>
          <w:r>
            <w:rPr>
              <w:color w:val="auto"/>
              <w:highlight w:val="none"/>
            </w:rPr>
            <w:tab/>
          </w:r>
          <w:r>
            <w:rPr>
              <w:color w:val="auto"/>
              <w:highlight w:val="none"/>
            </w:rPr>
            <w:fldChar w:fldCharType="begin"/>
          </w:r>
          <w:r>
            <w:rPr>
              <w:color w:val="auto"/>
              <w:highlight w:val="none"/>
            </w:rPr>
            <w:instrText xml:space="preserve"> PAGEREF _Toc9235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14:paraId="6BBE0DC4">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_Toc21506 </w:instrText>
          </w:r>
          <w:r>
            <w:rPr>
              <w:rFonts w:hint="eastAsia"/>
              <w:color w:val="auto"/>
              <w:highlight w:val="none"/>
            </w:rPr>
            <w:fldChar w:fldCharType="separate"/>
          </w:r>
          <w:r>
            <w:rPr>
              <w:rFonts w:hint="eastAsia" w:ascii="Times New Roman" w:hAnsi="Times New Roman" w:eastAsia="宋体" w:cs="宋体"/>
              <w:bCs w:val="0"/>
              <w:color w:val="auto"/>
              <w:kern w:val="2"/>
              <w:szCs w:val="36"/>
              <w:highlight w:val="none"/>
              <w:lang w:val="en-US" w:eastAsia="zh-CN" w:bidi="ar-SA"/>
            </w:rPr>
            <w:t>第三篇  项目商务需求</w:t>
          </w:r>
          <w:r>
            <w:rPr>
              <w:color w:val="auto"/>
              <w:highlight w:val="none"/>
            </w:rPr>
            <w:tab/>
          </w:r>
          <w:r>
            <w:rPr>
              <w:color w:val="auto"/>
              <w:highlight w:val="none"/>
            </w:rPr>
            <w:fldChar w:fldCharType="begin"/>
          </w:r>
          <w:r>
            <w:rPr>
              <w:color w:val="auto"/>
              <w:highlight w:val="none"/>
            </w:rPr>
            <w:instrText xml:space="preserve"> PAGEREF _Toc21506 \h </w:instrText>
          </w:r>
          <w:r>
            <w:rPr>
              <w:color w:val="auto"/>
              <w:highlight w:val="none"/>
            </w:rPr>
            <w:fldChar w:fldCharType="separate"/>
          </w:r>
          <w:r>
            <w:rPr>
              <w:color w:val="auto"/>
              <w:highlight w:val="none"/>
            </w:rPr>
            <w:t>6</w:t>
          </w:r>
          <w:r>
            <w:rPr>
              <w:color w:val="auto"/>
              <w:highlight w:val="none"/>
            </w:rPr>
            <w:fldChar w:fldCharType="end"/>
          </w:r>
          <w:r>
            <w:rPr>
              <w:rFonts w:hint="eastAsia"/>
              <w:color w:val="auto"/>
              <w:highlight w:val="none"/>
            </w:rPr>
            <w:fldChar w:fldCharType="end"/>
          </w:r>
        </w:p>
        <w:p w14:paraId="4735F5B5">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_Toc26026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一、工期、建设地点、验收方式及安全目标</w:t>
          </w:r>
          <w:r>
            <w:rPr>
              <w:color w:val="auto"/>
              <w:highlight w:val="none"/>
            </w:rPr>
            <w:tab/>
          </w:r>
          <w:r>
            <w:rPr>
              <w:color w:val="auto"/>
              <w:highlight w:val="none"/>
            </w:rPr>
            <w:fldChar w:fldCharType="begin"/>
          </w:r>
          <w:r>
            <w:rPr>
              <w:color w:val="auto"/>
              <w:highlight w:val="none"/>
            </w:rPr>
            <w:instrText xml:space="preserve"> PAGEREF _Toc26026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14:paraId="25A80C5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_Toc13283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二、</w:t>
          </w:r>
          <w:r>
            <w:rPr>
              <w:rFonts w:hint="eastAsia" w:ascii="宋体" w:hAnsi="宋体" w:cs="宋体"/>
              <w:color w:val="auto"/>
              <w:szCs w:val="24"/>
              <w:highlight w:val="none"/>
              <w:lang w:val="en-US" w:eastAsia="zh-CN"/>
            </w:rPr>
            <w:t>人员</w:t>
          </w:r>
          <w:r>
            <w:rPr>
              <w:rFonts w:hint="eastAsia" w:ascii="宋体" w:hAnsi="宋体" w:eastAsia="宋体" w:cs="宋体"/>
              <w:color w:val="auto"/>
              <w:szCs w:val="24"/>
              <w:highlight w:val="none"/>
              <w:lang w:val="en-US" w:eastAsia="zh-CN"/>
            </w:rPr>
            <w:t>要求</w:t>
          </w:r>
          <w:r>
            <w:rPr>
              <w:color w:val="auto"/>
              <w:highlight w:val="none"/>
            </w:rPr>
            <w:tab/>
          </w:r>
          <w:r>
            <w:rPr>
              <w:color w:val="auto"/>
              <w:highlight w:val="none"/>
            </w:rPr>
            <w:fldChar w:fldCharType="begin"/>
          </w:r>
          <w:r>
            <w:rPr>
              <w:color w:val="auto"/>
              <w:highlight w:val="none"/>
            </w:rPr>
            <w:instrText xml:space="preserve"> PAGEREF _Toc13283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14:paraId="4C04190D">
          <w:pPr>
            <w:pStyle w:val="33"/>
            <w:keepNext w:val="0"/>
            <w:keepLines w:val="0"/>
            <w:pageBreakBefore w:val="0"/>
            <w:widowControl w:val="0"/>
            <w:tabs>
              <w:tab w:val="right" w:leader="dot" w:pos="9071"/>
            </w:tabs>
            <w:kinsoku/>
            <w:topLinePunct w:val="0"/>
            <w:bidi w:val="0"/>
            <w:spacing w:line="240" w:lineRule="auto"/>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\l _Toc13283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三、报价要求</w:t>
          </w:r>
          <w:r>
            <w:rPr>
              <w:color w:val="auto"/>
              <w:highlight w:val="none"/>
            </w:rPr>
            <w:tab/>
          </w:r>
          <w:r>
            <w:rPr>
              <w:color w:val="auto"/>
              <w:highlight w:val="none"/>
            </w:rPr>
            <w:fldChar w:fldCharType="begin"/>
          </w:r>
          <w:r>
            <w:rPr>
              <w:color w:val="auto"/>
              <w:highlight w:val="none"/>
            </w:rPr>
            <w:instrText xml:space="preserve"> PAGEREF _Toc13283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14:paraId="116DE0B1">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_Toc25603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四、付款方式</w:t>
          </w:r>
          <w:r>
            <w:rPr>
              <w:color w:val="auto"/>
              <w:highlight w:val="none"/>
            </w:rPr>
            <w:tab/>
          </w:r>
          <w:r>
            <w:rPr>
              <w:color w:val="auto"/>
              <w:highlight w:val="none"/>
            </w:rPr>
            <w:fldChar w:fldCharType="begin"/>
          </w:r>
          <w:r>
            <w:rPr>
              <w:color w:val="auto"/>
              <w:highlight w:val="none"/>
            </w:rPr>
            <w:instrText xml:space="preserve"> PAGEREF _Toc25603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rPr>
            <w:fldChar w:fldCharType="end"/>
          </w:r>
        </w:p>
        <w:p w14:paraId="74E508D1">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_Toc14374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五、</w:t>
          </w:r>
          <w:r>
            <w:rPr>
              <w:rFonts w:hint="eastAsia" w:ascii="宋体" w:hAnsi="宋体" w:eastAsia="宋体" w:cs="宋体"/>
              <w:color w:val="auto"/>
              <w:szCs w:val="24"/>
              <w:highlight w:val="none"/>
            </w:rPr>
            <w:t>结算原则</w:t>
          </w:r>
          <w:r>
            <w:rPr>
              <w:color w:val="auto"/>
              <w:highlight w:val="none"/>
            </w:rPr>
            <w:tab/>
          </w:r>
          <w:r>
            <w:rPr>
              <w:color w:val="auto"/>
              <w:highlight w:val="none"/>
            </w:rPr>
            <w:fldChar w:fldCharType="begin"/>
          </w:r>
          <w:r>
            <w:rPr>
              <w:color w:val="auto"/>
              <w:highlight w:val="none"/>
            </w:rPr>
            <w:instrText xml:space="preserve"> PAGEREF _Toc14374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rPr>
            <w:fldChar w:fldCharType="end"/>
          </w:r>
        </w:p>
        <w:p w14:paraId="24D0889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_Toc28549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六、履约担保</w:t>
          </w:r>
          <w:r>
            <w:rPr>
              <w:rFonts w:hint="eastAsia" w:ascii="宋体" w:hAnsi="宋体" w:cs="宋体"/>
              <w:color w:val="auto"/>
              <w:szCs w:val="24"/>
              <w:highlight w:val="none"/>
              <w:lang w:val="en-US" w:eastAsia="zh-CN"/>
            </w:rPr>
            <w:t>及农民工工资保证金</w:t>
          </w:r>
          <w:r>
            <w:rPr>
              <w:color w:val="auto"/>
              <w:highlight w:val="none"/>
            </w:rPr>
            <w:tab/>
          </w:r>
          <w:r>
            <w:rPr>
              <w:color w:val="auto"/>
              <w:highlight w:val="none"/>
            </w:rPr>
            <w:fldChar w:fldCharType="begin"/>
          </w:r>
          <w:r>
            <w:rPr>
              <w:color w:val="auto"/>
              <w:highlight w:val="none"/>
            </w:rPr>
            <w:instrText xml:space="preserve"> PAGEREF _Toc28549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rPr>
            <w:fldChar w:fldCharType="end"/>
          </w:r>
        </w:p>
        <w:p w14:paraId="7169EAEA">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_Toc579 </w:instrText>
          </w:r>
          <w:r>
            <w:rPr>
              <w:rFonts w:hint="eastAsia"/>
              <w:color w:val="auto"/>
              <w:highlight w:val="none"/>
            </w:rPr>
            <w:fldChar w:fldCharType="separate"/>
          </w:r>
          <w:r>
            <w:rPr>
              <w:rFonts w:hint="eastAsia" w:ascii="宋体" w:hAnsi="宋体" w:eastAsia="宋体" w:cs="宋体"/>
              <w:color w:val="auto"/>
              <w:kern w:val="2"/>
              <w:szCs w:val="24"/>
              <w:highlight w:val="none"/>
              <w:lang w:val="en-US" w:eastAsia="zh-CN" w:bidi="ar-SA"/>
            </w:rPr>
            <w:t>七、知识产权</w:t>
          </w:r>
          <w:r>
            <w:rPr>
              <w:color w:val="auto"/>
              <w:highlight w:val="none"/>
            </w:rPr>
            <w:tab/>
          </w:r>
          <w:r>
            <w:rPr>
              <w:color w:val="auto"/>
              <w:highlight w:val="none"/>
            </w:rPr>
            <w:fldChar w:fldCharType="begin"/>
          </w:r>
          <w:r>
            <w:rPr>
              <w:color w:val="auto"/>
              <w:highlight w:val="none"/>
            </w:rPr>
            <w:instrText xml:space="preserve"> PAGEREF _Toc579 \h </w:instrText>
          </w:r>
          <w:r>
            <w:rPr>
              <w:color w:val="auto"/>
              <w:highlight w:val="none"/>
            </w:rPr>
            <w:fldChar w:fldCharType="separate"/>
          </w:r>
          <w:r>
            <w:rPr>
              <w:color w:val="auto"/>
              <w:highlight w:val="none"/>
            </w:rPr>
            <w:t>11</w:t>
          </w:r>
          <w:r>
            <w:rPr>
              <w:color w:val="auto"/>
              <w:highlight w:val="none"/>
            </w:rPr>
            <w:fldChar w:fldCharType="end"/>
          </w:r>
          <w:r>
            <w:rPr>
              <w:rFonts w:hint="eastAsia"/>
              <w:color w:val="auto"/>
              <w:highlight w:val="none"/>
            </w:rPr>
            <w:fldChar w:fldCharType="end"/>
          </w:r>
        </w:p>
        <w:p w14:paraId="5CC0824F">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_Toc25323 </w:instrText>
          </w:r>
          <w:r>
            <w:rPr>
              <w:rFonts w:hint="eastAsia"/>
              <w:color w:val="auto"/>
              <w:highlight w:val="none"/>
            </w:rPr>
            <w:fldChar w:fldCharType="separate"/>
          </w:r>
          <w:r>
            <w:rPr>
              <w:rFonts w:hint="eastAsia" w:ascii="宋体" w:hAnsi="宋体" w:cs="宋体"/>
              <w:color w:val="auto"/>
              <w:szCs w:val="24"/>
              <w:highlight w:val="none"/>
              <w:lang w:val="en-US" w:eastAsia="zh-CN"/>
            </w:rPr>
            <w:t>八</w:t>
          </w:r>
          <w:r>
            <w:rPr>
              <w:rFonts w:hint="eastAsia" w:ascii="宋体" w:hAnsi="宋体" w:eastAsia="宋体" w:cs="宋体"/>
              <w:color w:val="auto"/>
              <w:szCs w:val="24"/>
              <w:highlight w:val="none"/>
              <w:lang w:val="en-US" w:eastAsia="zh-CN"/>
            </w:rPr>
            <w:t>、其他</w:t>
          </w:r>
          <w:r>
            <w:rPr>
              <w:color w:val="auto"/>
              <w:highlight w:val="none"/>
            </w:rPr>
            <w:tab/>
          </w:r>
          <w:r>
            <w:rPr>
              <w:color w:val="auto"/>
              <w:highlight w:val="none"/>
            </w:rPr>
            <w:fldChar w:fldCharType="begin"/>
          </w:r>
          <w:r>
            <w:rPr>
              <w:color w:val="auto"/>
              <w:highlight w:val="none"/>
            </w:rPr>
            <w:instrText xml:space="preserve"> PAGEREF _Toc25323 \h </w:instrText>
          </w:r>
          <w:r>
            <w:rPr>
              <w:color w:val="auto"/>
              <w:highlight w:val="none"/>
            </w:rPr>
            <w:fldChar w:fldCharType="separate"/>
          </w:r>
          <w:r>
            <w:rPr>
              <w:color w:val="auto"/>
              <w:highlight w:val="none"/>
            </w:rPr>
            <w:t>11</w:t>
          </w:r>
          <w:r>
            <w:rPr>
              <w:color w:val="auto"/>
              <w:highlight w:val="none"/>
            </w:rPr>
            <w:fldChar w:fldCharType="end"/>
          </w:r>
          <w:r>
            <w:rPr>
              <w:rFonts w:hint="eastAsia"/>
              <w:color w:val="auto"/>
              <w:highlight w:val="none"/>
            </w:rPr>
            <w:fldChar w:fldCharType="end"/>
          </w:r>
        </w:p>
        <w:p w14:paraId="529D0492">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_Toc27644 </w:instrText>
          </w:r>
          <w:r>
            <w:rPr>
              <w:rFonts w:hint="eastAsia"/>
              <w:color w:val="auto"/>
              <w:highlight w:val="none"/>
            </w:rPr>
            <w:fldChar w:fldCharType="separate"/>
          </w:r>
          <w:r>
            <w:rPr>
              <w:rFonts w:hint="eastAsia" w:ascii="Times New Roman" w:hAnsi="Times New Roman" w:eastAsia="宋体" w:cs="宋体"/>
              <w:bCs w:val="0"/>
              <w:color w:val="auto"/>
              <w:kern w:val="2"/>
              <w:szCs w:val="36"/>
              <w:highlight w:val="none"/>
              <w:lang w:val="en-US" w:eastAsia="zh-CN" w:bidi="ar-SA"/>
            </w:rPr>
            <w:t>第四篇  比选程序及方法、评审标准、无效比选及采购终止</w:t>
          </w:r>
          <w:r>
            <w:rPr>
              <w:color w:val="auto"/>
              <w:highlight w:val="none"/>
            </w:rPr>
            <w:tab/>
          </w:r>
          <w:r>
            <w:rPr>
              <w:color w:val="auto"/>
              <w:highlight w:val="none"/>
            </w:rPr>
            <w:fldChar w:fldCharType="begin"/>
          </w:r>
          <w:r>
            <w:rPr>
              <w:color w:val="auto"/>
              <w:highlight w:val="none"/>
            </w:rPr>
            <w:instrText xml:space="preserve"> PAGEREF _Toc27644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09A4D543">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_Toc11930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一、比选程序</w:t>
          </w:r>
          <w:r>
            <w:rPr>
              <w:color w:val="auto"/>
              <w:highlight w:val="none"/>
            </w:rPr>
            <w:tab/>
          </w:r>
          <w:r>
            <w:rPr>
              <w:color w:val="auto"/>
              <w:highlight w:val="none"/>
            </w:rPr>
            <w:fldChar w:fldCharType="begin"/>
          </w:r>
          <w:r>
            <w:rPr>
              <w:color w:val="auto"/>
              <w:highlight w:val="none"/>
            </w:rPr>
            <w:instrText xml:space="preserve"> PAGEREF _Toc11930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28CE3C52">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_Toc28802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二、</w:t>
          </w:r>
          <w:r>
            <w:rPr>
              <w:rFonts w:hint="eastAsia" w:ascii="宋体" w:hAnsi="宋体" w:cs="宋体"/>
              <w:color w:val="auto"/>
              <w:szCs w:val="24"/>
              <w:highlight w:val="none"/>
              <w:lang w:val="en-US" w:eastAsia="zh-CN"/>
            </w:rPr>
            <w:t>评标方法</w:t>
          </w:r>
          <w:r>
            <w:rPr>
              <w:color w:val="auto"/>
              <w:highlight w:val="none"/>
            </w:rPr>
            <w:tab/>
          </w:r>
          <w:r>
            <w:rPr>
              <w:color w:val="auto"/>
              <w:highlight w:val="none"/>
            </w:rPr>
            <w:fldChar w:fldCharType="begin"/>
          </w:r>
          <w:r>
            <w:rPr>
              <w:color w:val="auto"/>
              <w:highlight w:val="none"/>
            </w:rPr>
            <w:instrText xml:space="preserve"> PAGEREF _Toc28802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14:paraId="546D6341">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_Toc25587 </w:instrText>
          </w:r>
          <w:r>
            <w:rPr>
              <w:rFonts w:hint="eastAsia"/>
              <w:color w:val="auto"/>
              <w:highlight w:val="none"/>
            </w:rPr>
            <w:fldChar w:fldCharType="separate"/>
          </w:r>
          <w:r>
            <w:rPr>
              <w:rFonts w:hint="eastAsia" w:ascii="宋体" w:hAnsi="宋体" w:cs="宋体"/>
              <w:bCs/>
              <w:smallCaps w:val="0"/>
              <w:color w:val="auto"/>
              <w:kern w:val="2"/>
              <w:szCs w:val="24"/>
              <w:highlight w:val="none"/>
              <w:lang w:val="en-US" w:eastAsia="zh-CN" w:bidi="ar-SA"/>
            </w:rPr>
            <w:t>三、 评审标准</w:t>
          </w:r>
          <w:r>
            <w:rPr>
              <w:color w:val="auto"/>
              <w:highlight w:val="none"/>
            </w:rPr>
            <w:tab/>
          </w:r>
          <w:r>
            <w:rPr>
              <w:color w:val="auto"/>
              <w:highlight w:val="none"/>
            </w:rPr>
            <w:fldChar w:fldCharType="begin"/>
          </w:r>
          <w:r>
            <w:rPr>
              <w:color w:val="auto"/>
              <w:highlight w:val="none"/>
            </w:rPr>
            <w:instrText xml:space="preserve"> PAGEREF _Toc25587 \h </w:instrText>
          </w:r>
          <w:r>
            <w:rPr>
              <w:color w:val="auto"/>
              <w:highlight w:val="none"/>
            </w:rPr>
            <w:fldChar w:fldCharType="separate"/>
          </w:r>
          <w:r>
            <w:rPr>
              <w:color w:val="auto"/>
              <w:highlight w:val="none"/>
            </w:rPr>
            <w:t>14</w:t>
          </w:r>
          <w:r>
            <w:rPr>
              <w:color w:val="auto"/>
              <w:highlight w:val="none"/>
            </w:rPr>
            <w:fldChar w:fldCharType="end"/>
          </w:r>
          <w:r>
            <w:rPr>
              <w:rFonts w:hint="eastAsia"/>
              <w:color w:val="auto"/>
              <w:highlight w:val="none"/>
            </w:rPr>
            <w:fldChar w:fldCharType="end"/>
          </w:r>
        </w:p>
        <w:p w14:paraId="776FB77D">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_Toc6873 </w:instrText>
          </w:r>
          <w:r>
            <w:rPr>
              <w:rFonts w:hint="eastAsia"/>
              <w:color w:val="auto"/>
              <w:highlight w:val="none"/>
            </w:rPr>
            <w:fldChar w:fldCharType="separate"/>
          </w:r>
          <w:r>
            <w:rPr>
              <w:rFonts w:hint="eastAsia" w:ascii="宋体" w:hAnsi="宋体" w:eastAsia="宋体" w:cs="宋体"/>
              <w:bCs/>
              <w:color w:val="auto"/>
              <w:szCs w:val="24"/>
              <w:highlight w:val="none"/>
              <w:lang w:val="en-US" w:eastAsia="zh-CN"/>
            </w:rPr>
            <w:t>四、无效响应</w:t>
          </w:r>
          <w:r>
            <w:rPr>
              <w:color w:val="auto"/>
              <w:highlight w:val="none"/>
            </w:rPr>
            <w:tab/>
          </w:r>
          <w:r>
            <w:rPr>
              <w:color w:val="auto"/>
              <w:highlight w:val="none"/>
            </w:rPr>
            <w:fldChar w:fldCharType="begin"/>
          </w:r>
          <w:r>
            <w:rPr>
              <w:color w:val="auto"/>
              <w:highlight w:val="none"/>
            </w:rPr>
            <w:instrText xml:space="preserve"> PAGEREF _Toc6873 \h </w:instrText>
          </w:r>
          <w:r>
            <w:rPr>
              <w:color w:val="auto"/>
              <w:highlight w:val="none"/>
            </w:rPr>
            <w:fldChar w:fldCharType="separate"/>
          </w:r>
          <w:r>
            <w:rPr>
              <w:color w:val="auto"/>
              <w:highlight w:val="none"/>
            </w:rPr>
            <w:t>14</w:t>
          </w:r>
          <w:r>
            <w:rPr>
              <w:color w:val="auto"/>
              <w:highlight w:val="none"/>
            </w:rPr>
            <w:fldChar w:fldCharType="end"/>
          </w:r>
          <w:r>
            <w:rPr>
              <w:rFonts w:hint="eastAsia"/>
              <w:color w:val="auto"/>
              <w:highlight w:val="none"/>
            </w:rPr>
            <w:fldChar w:fldCharType="end"/>
          </w:r>
        </w:p>
        <w:p w14:paraId="35A8A3AD">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_Toc19561 </w:instrText>
          </w:r>
          <w:r>
            <w:rPr>
              <w:rFonts w:hint="eastAsia"/>
              <w:color w:val="auto"/>
              <w:highlight w:val="none"/>
            </w:rPr>
            <w:fldChar w:fldCharType="separate"/>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、采购终止</w:t>
          </w:r>
          <w:r>
            <w:rPr>
              <w:color w:val="auto"/>
              <w:highlight w:val="none"/>
            </w:rPr>
            <w:tab/>
          </w:r>
          <w:r>
            <w:rPr>
              <w:color w:val="auto"/>
              <w:highlight w:val="none"/>
            </w:rPr>
            <w:fldChar w:fldCharType="begin"/>
          </w:r>
          <w:r>
            <w:rPr>
              <w:color w:val="auto"/>
              <w:highlight w:val="none"/>
            </w:rPr>
            <w:instrText xml:space="preserve"> PAGEREF _Toc19561 \h </w:instrText>
          </w:r>
          <w:r>
            <w:rPr>
              <w:color w:val="auto"/>
              <w:highlight w:val="none"/>
            </w:rPr>
            <w:fldChar w:fldCharType="separate"/>
          </w:r>
          <w:r>
            <w:rPr>
              <w:color w:val="auto"/>
              <w:highlight w:val="none"/>
            </w:rPr>
            <w:t>14</w:t>
          </w:r>
          <w:r>
            <w:rPr>
              <w:color w:val="auto"/>
              <w:highlight w:val="none"/>
            </w:rPr>
            <w:fldChar w:fldCharType="end"/>
          </w:r>
          <w:r>
            <w:rPr>
              <w:rFonts w:hint="eastAsia"/>
              <w:color w:val="auto"/>
              <w:highlight w:val="none"/>
            </w:rPr>
            <w:fldChar w:fldCharType="end"/>
          </w:r>
        </w:p>
        <w:p w14:paraId="1F032336">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_Toc22304 </w:instrText>
          </w:r>
          <w:r>
            <w:rPr>
              <w:rFonts w:hint="eastAsia"/>
              <w:color w:val="auto"/>
              <w:highlight w:val="none"/>
            </w:rPr>
            <w:fldChar w:fldCharType="separate"/>
          </w:r>
          <w:r>
            <w:rPr>
              <w:rFonts w:hint="eastAsia" w:cs="宋体"/>
              <w:bCs w:val="0"/>
              <w:color w:val="auto"/>
              <w:szCs w:val="36"/>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15</w:t>
          </w:r>
          <w:r>
            <w:rPr>
              <w:color w:val="auto"/>
              <w:highlight w:val="none"/>
            </w:rPr>
            <w:fldChar w:fldCharType="end"/>
          </w:r>
          <w:r>
            <w:rPr>
              <w:rFonts w:hint="eastAsia"/>
              <w:color w:val="auto"/>
              <w:highlight w:val="none"/>
            </w:rPr>
            <w:fldChar w:fldCharType="end"/>
          </w:r>
        </w:p>
        <w:p w14:paraId="260B8541">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_Toc22304 </w:instrText>
          </w:r>
          <w:r>
            <w:rPr>
              <w:rFonts w:hint="eastAsia"/>
              <w:color w:val="auto"/>
              <w:highlight w:val="none"/>
            </w:rPr>
            <w:fldChar w:fldCharType="separate"/>
          </w:r>
          <w:r>
            <w:rPr>
              <w:rFonts w:hint="eastAsia" w:cs="宋体"/>
              <w:bCs w:val="0"/>
              <w:color w:val="auto"/>
              <w:szCs w:val="36"/>
              <w:highlight w:val="none"/>
            </w:rPr>
            <w:t>第</w:t>
          </w:r>
          <w:r>
            <w:rPr>
              <w:rFonts w:hint="eastAsia" w:cs="宋体"/>
              <w:bCs w:val="0"/>
              <w:color w:val="auto"/>
              <w:szCs w:val="36"/>
              <w:highlight w:val="none"/>
              <w:lang w:val="en-US" w:eastAsia="zh-CN"/>
            </w:rPr>
            <w:t>六</w:t>
          </w:r>
          <w:r>
            <w:rPr>
              <w:rFonts w:hint="eastAsia" w:cs="宋体"/>
              <w:bCs w:val="0"/>
              <w:color w:val="auto"/>
              <w:szCs w:val="36"/>
              <w:highlight w:val="none"/>
            </w:rPr>
            <w:t xml:space="preserve">篇  </w:t>
          </w:r>
          <w:r>
            <w:rPr>
              <w:rFonts w:hint="eastAsia" w:cs="宋体"/>
              <w:bCs w:val="0"/>
              <w:color w:val="auto"/>
              <w:szCs w:val="36"/>
              <w:highlight w:val="none"/>
              <w:lang w:val="en-US" w:eastAsia="zh-CN"/>
            </w:rPr>
            <w:t>采购合同</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15</w:t>
          </w:r>
          <w:r>
            <w:rPr>
              <w:color w:val="auto"/>
              <w:highlight w:val="none"/>
            </w:rPr>
            <w:fldChar w:fldCharType="end"/>
          </w:r>
          <w:r>
            <w:rPr>
              <w:rFonts w:hint="eastAsia"/>
              <w:color w:val="auto"/>
              <w:highlight w:val="none"/>
            </w:rPr>
            <w:fldChar w:fldCharType="end"/>
          </w:r>
        </w:p>
        <w:p w14:paraId="7112E741">
          <w:pPr>
            <w:pStyle w:val="52"/>
            <w:keepNext w:val="0"/>
            <w:keepLines w:val="0"/>
            <w:pageBreakBefore w:val="0"/>
            <w:widowControl w:val="0"/>
            <w:tabs>
              <w:tab w:val="right" w:leader="dot" w:pos="9071"/>
            </w:tabs>
            <w:kinsoku/>
            <w:topLinePunct w:val="0"/>
            <w:bidi w:val="0"/>
            <w:spacing w:line="240" w:lineRule="auto"/>
            <w:rPr>
              <w:rFonts w:hint="eastAsia" w:eastAsia="宋体"/>
              <w:color w:val="auto"/>
              <w:highlight w:val="none"/>
              <w:lang w:val="en-US" w:eastAsia="zh-CN"/>
            </w:rPr>
          </w:pPr>
          <w:r>
            <w:rPr>
              <w:rFonts w:hint="eastAsia"/>
              <w:color w:val="auto"/>
              <w:highlight w:val="none"/>
            </w:rPr>
            <w:fldChar w:fldCharType="begin"/>
          </w:r>
          <w:r>
            <w:rPr>
              <w:rFonts w:hint="eastAsia"/>
              <w:color w:val="auto"/>
              <w:highlight w:val="none"/>
            </w:rPr>
            <w:instrText xml:space="preserve"> HYPERLINK \l _Toc25342 </w:instrText>
          </w:r>
          <w:r>
            <w:rPr>
              <w:rFonts w:hint="eastAsia"/>
              <w:color w:val="auto"/>
              <w:highlight w:val="none"/>
            </w:rPr>
            <w:fldChar w:fldCharType="separate"/>
          </w:r>
          <w:r>
            <w:rPr>
              <w:rFonts w:hint="eastAsia" w:ascii="宋体" w:hAnsi="宋体" w:eastAsia="宋体" w:cs="宋体"/>
              <w:color w:val="auto"/>
              <w:szCs w:val="44"/>
              <w:highlight w:val="none"/>
            </w:rPr>
            <w:t>第一部分 合同协议书</w:t>
          </w:r>
          <w:r>
            <w:rPr>
              <w:color w:val="auto"/>
              <w:highlight w:val="none"/>
            </w:rPr>
            <w:tab/>
          </w:r>
          <w:r>
            <w:rPr>
              <w:rFonts w:hint="eastAsia"/>
              <w:color w:val="auto"/>
              <w:highlight w:val="none"/>
            </w:rPr>
            <w:fldChar w:fldCharType="end"/>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15</w:t>
          </w:r>
          <w:r>
            <w:rPr>
              <w:color w:val="auto"/>
              <w:highlight w:val="none"/>
            </w:rPr>
            <w:fldChar w:fldCharType="end"/>
          </w:r>
        </w:p>
        <w:p w14:paraId="7A43ACC8">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_Toc12162 </w:instrText>
          </w:r>
          <w:r>
            <w:rPr>
              <w:rFonts w:hint="eastAsia"/>
              <w:color w:val="auto"/>
              <w:highlight w:val="none"/>
            </w:rPr>
            <w:fldChar w:fldCharType="separate"/>
          </w:r>
          <w:r>
            <w:rPr>
              <w:rFonts w:hint="eastAsia" w:ascii="宋体" w:hAnsi="宋体" w:eastAsia="宋体" w:cs="宋体"/>
              <w:bCs w:val="0"/>
              <w:color w:val="auto"/>
              <w:szCs w:val="28"/>
              <w:highlight w:val="none"/>
              <w:lang w:val="en-US" w:eastAsia="zh-CN"/>
            </w:rPr>
            <w:t>第二部分</w:t>
          </w:r>
          <w:r>
            <w:rPr>
              <w:rFonts w:hint="eastAsia" w:ascii="宋体" w:hAnsi="宋体" w:cs="宋体"/>
              <w:bCs w:val="0"/>
              <w:color w:val="auto"/>
              <w:szCs w:val="28"/>
              <w:highlight w:val="none"/>
              <w:lang w:val="en-US" w:eastAsia="zh-CN"/>
            </w:rPr>
            <w:t xml:space="preserve"> </w:t>
          </w:r>
          <w:r>
            <w:rPr>
              <w:rFonts w:hint="eastAsia" w:ascii="宋体" w:hAnsi="宋体" w:eastAsia="宋体" w:cs="宋体"/>
              <w:bCs w:val="0"/>
              <w:color w:val="auto"/>
              <w:szCs w:val="28"/>
              <w:highlight w:val="none"/>
            </w:rPr>
            <w:t>通用合同条款</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15</w:t>
          </w:r>
          <w:r>
            <w:rPr>
              <w:color w:val="auto"/>
              <w:highlight w:val="none"/>
            </w:rPr>
            <w:fldChar w:fldCharType="end"/>
          </w:r>
          <w:r>
            <w:rPr>
              <w:rFonts w:hint="eastAsia"/>
              <w:color w:val="auto"/>
              <w:highlight w:val="none"/>
            </w:rPr>
            <w:fldChar w:fldCharType="end"/>
          </w:r>
        </w:p>
        <w:p w14:paraId="1AC1000E">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_Toc32384 </w:instrText>
          </w:r>
          <w:r>
            <w:rPr>
              <w:rFonts w:hint="eastAsia"/>
              <w:color w:val="auto"/>
              <w:highlight w:val="none"/>
            </w:rPr>
            <w:fldChar w:fldCharType="separate"/>
          </w:r>
          <w:r>
            <w:rPr>
              <w:rFonts w:hint="eastAsia" w:ascii="宋体" w:hAnsi="宋体" w:eastAsia="宋体" w:cs="宋体"/>
              <w:color w:val="auto"/>
              <w:szCs w:val="28"/>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15</w:t>
          </w:r>
          <w:r>
            <w:rPr>
              <w:color w:val="auto"/>
              <w:highlight w:val="none"/>
            </w:rPr>
            <w:fldChar w:fldCharType="end"/>
          </w:r>
          <w:r>
            <w:rPr>
              <w:rFonts w:hint="eastAsia"/>
              <w:color w:val="auto"/>
              <w:highlight w:val="none"/>
            </w:rPr>
            <w:fldChar w:fldCharType="end"/>
          </w:r>
        </w:p>
        <w:p w14:paraId="082A248F">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_Toc16476 </w:instrText>
          </w:r>
          <w:r>
            <w:rPr>
              <w:rFonts w:hint="eastAsia"/>
              <w:color w:val="auto"/>
              <w:highlight w:val="none"/>
            </w:rPr>
            <w:fldChar w:fldCharType="separate"/>
          </w:r>
          <w:r>
            <w:rPr>
              <w:rFonts w:hint="eastAsia" w:ascii="Times New Roman" w:hAnsi="Times New Roman" w:eastAsia="宋体" w:cs="宋体"/>
              <w:bCs w:val="0"/>
              <w:color w:val="auto"/>
              <w:kern w:val="2"/>
              <w:szCs w:val="36"/>
              <w:highlight w:val="none"/>
              <w:lang w:val="en-US" w:eastAsia="zh-CN" w:bidi="ar-SA"/>
            </w:rPr>
            <w:t>第七篇  响应文件编制要求</w:t>
          </w:r>
          <w:r>
            <w:rPr>
              <w:color w:val="auto"/>
              <w:highlight w:val="none"/>
            </w:rPr>
            <w:tab/>
          </w:r>
          <w:r>
            <w:rPr>
              <w:color w:val="auto"/>
              <w:highlight w:val="none"/>
            </w:rPr>
            <w:fldChar w:fldCharType="begin"/>
          </w:r>
          <w:r>
            <w:rPr>
              <w:color w:val="auto"/>
              <w:highlight w:val="none"/>
            </w:rPr>
            <w:instrText xml:space="preserve"> PAGEREF _Toc16476 \h </w:instrText>
          </w:r>
          <w:r>
            <w:rPr>
              <w:color w:val="auto"/>
              <w:highlight w:val="none"/>
            </w:rPr>
            <w:fldChar w:fldCharType="separate"/>
          </w:r>
          <w:r>
            <w:rPr>
              <w:color w:val="auto"/>
              <w:highlight w:val="none"/>
            </w:rPr>
            <w:t>126</w:t>
          </w:r>
          <w:r>
            <w:rPr>
              <w:color w:val="auto"/>
              <w:highlight w:val="none"/>
            </w:rPr>
            <w:fldChar w:fldCharType="end"/>
          </w:r>
          <w:r>
            <w:rPr>
              <w:rFonts w:hint="eastAsia"/>
              <w:color w:val="auto"/>
              <w:highlight w:val="none"/>
            </w:rPr>
            <w:fldChar w:fldCharType="end"/>
          </w:r>
        </w:p>
        <w:p w14:paraId="7FC5E346">
          <w:pPr>
            <w:keepNext w:val="0"/>
            <w:keepLines w:val="0"/>
            <w:pageBreakBefore w:val="0"/>
            <w:widowControl w:val="0"/>
            <w:kinsoku/>
            <w:topLinePunct w:val="0"/>
            <w:bidi w:val="0"/>
            <w:rPr>
              <w:rFonts w:hint="eastAsia" w:ascii="Times New Roman" w:hAnsi="Times New Roman" w:eastAsia="宋体" w:cs="Times New Roman"/>
              <w:color w:val="auto"/>
              <w:kern w:val="2"/>
              <w:sz w:val="28"/>
              <w:highlight w:val="none"/>
              <w:lang w:val="en-US" w:eastAsia="zh-CN" w:bidi="ar-SA"/>
            </w:rPr>
          </w:pPr>
          <w:r>
            <w:rPr>
              <w:rFonts w:hint="eastAsia"/>
              <w:color w:val="auto"/>
              <w:highlight w:val="none"/>
            </w:rPr>
            <w:fldChar w:fldCharType="end"/>
          </w:r>
        </w:p>
      </w:sdtContent>
    </w:sdt>
    <w:p w14:paraId="16015719">
      <w:pPr>
        <w:pStyle w:val="23"/>
        <w:keepNext w:val="0"/>
        <w:keepLines w:val="0"/>
        <w:pageBreakBefore w:val="0"/>
        <w:widowControl w:val="0"/>
        <w:kinsoku/>
        <w:topLinePunct w:val="0"/>
        <w:bidi w:val="0"/>
        <w:rPr>
          <w:rFonts w:hint="eastAsia"/>
          <w:color w:val="auto"/>
          <w:highlight w:val="none"/>
        </w:rPr>
        <w:sectPr>
          <w:footerReference r:id="rId6" w:type="first"/>
          <w:footerReference r:id="rId5" w:type="default"/>
          <w:pgSz w:w="11907" w:h="16840"/>
          <w:pgMar w:top="1440" w:right="1080" w:bottom="1440" w:left="1080" w:header="851" w:footer="992" w:gutter="0"/>
          <w:pgNumType w:fmt="decimal" w:start="1"/>
          <w:cols w:space="720" w:num="1"/>
          <w:titlePg/>
          <w:docGrid w:linePitch="381" w:charSpace="-5735"/>
        </w:sectPr>
      </w:pPr>
    </w:p>
    <w:p w14:paraId="45068F41">
      <w:pPr>
        <w:keepNext w:val="0"/>
        <w:keepLines w:val="0"/>
        <w:pageBreakBefore w:val="0"/>
        <w:widowControl w:val="0"/>
        <w:numPr>
          <w:ilvl w:val="0"/>
          <w:numId w:val="14"/>
        </w:numPr>
        <w:kinsoku/>
        <w:wordWrap/>
        <w:topLinePunct w:val="0"/>
        <w:bidi w:val="0"/>
        <w:spacing w:line="400" w:lineRule="exact"/>
        <w:jc w:val="center"/>
        <w:textAlignment w:val="auto"/>
        <w:outlineLvl w:val="0"/>
        <w:rPr>
          <w:rFonts w:hint="eastAsia" w:eastAsia="宋体" w:cs="宋体"/>
          <w:b/>
          <w:bCs w:val="0"/>
          <w:color w:val="auto"/>
          <w:sz w:val="36"/>
          <w:szCs w:val="36"/>
          <w:highlight w:val="none"/>
          <w:lang w:val="en-US" w:eastAsia="zh-CN"/>
        </w:rPr>
      </w:pPr>
      <w:bookmarkStart w:id="22" w:name="_Toc11641050"/>
      <w:bookmarkStart w:id="23" w:name="_Toc12789052"/>
      <w:r>
        <w:rPr>
          <w:rFonts w:hint="eastAsia" w:eastAsia="宋体" w:cs="宋体"/>
          <w:b/>
          <w:bCs w:val="0"/>
          <w:color w:val="auto"/>
          <w:sz w:val="36"/>
          <w:szCs w:val="36"/>
          <w:highlight w:val="none"/>
          <w:lang w:val="en-US" w:eastAsia="zh-CN"/>
        </w:rPr>
        <w:t xml:space="preserve"> </w:t>
      </w:r>
      <w:bookmarkEnd w:id="22"/>
      <w:bookmarkEnd w:id="23"/>
      <w:bookmarkStart w:id="24" w:name="_Toc21805"/>
      <w:bookmarkStart w:id="25" w:name="_Toc15689"/>
      <w:bookmarkStart w:id="26" w:name="_Toc28152"/>
      <w:r>
        <w:rPr>
          <w:rFonts w:hint="eastAsia" w:eastAsia="宋体" w:cs="宋体"/>
          <w:b/>
          <w:bCs w:val="0"/>
          <w:color w:val="auto"/>
          <w:sz w:val="36"/>
          <w:szCs w:val="36"/>
          <w:highlight w:val="none"/>
          <w:lang w:val="en-US" w:eastAsia="zh-CN"/>
        </w:rPr>
        <w:t>比选公告</w:t>
      </w:r>
      <w:bookmarkEnd w:id="24"/>
      <w:bookmarkEnd w:id="25"/>
      <w:bookmarkEnd w:id="26"/>
    </w:p>
    <w:p w14:paraId="0ABA1D11">
      <w:pPr>
        <w:pStyle w:val="23"/>
        <w:keepNext w:val="0"/>
        <w:keepLines w:val="0"/>
        <w:pageBreakBefore w:val="0"/>
        <w:widowControl w:val="0"/>
        <w:numPr>
          <w:ilvl w:val="0"/>
          <w:numId w:val="0"/>
        </w:numPr>
        <w:kinsoku/>
        <w:topLinePunct w:val="0"/>
        <w:bidi w:val="0"/>
        <w:rPr>
          <w:rFonts w:hint="eastAsia"/>
          <w:color w:val="auto"/>
          <w:highlight w:val="none"/>
          <w:lang w:val="en-US" w:eastAsia="zh-CN"/>
        </w:rPr>
      </w:pPr>
    </w:p>
    <w:p w14:paraId="0E3E5F4E">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重庆颢越工程管理有限公司</w:t>
      </w:r>
      <w:r>
        <w:rPr>
          <w:rFonts w:hint="eastAsia" w:ascii="宋体" w:hAnsi="宋体" w:eastAsia="宋体" w:cs="宋体"/>
          <w:color w:val="auto"/>
          <w:sz w:val="24"/>
          <w:szCs w:val="24"/>
          <w:highlight w:val="none"/>
        </w:rPr>
        <w:t>（以下简称：采购代理机构）受</w:t>
      </w:r>
      <w:r>
        <w:rPr>
          <w:rFonts w:hint="eastAsia" w:ascii="宋体" w:hAnsi="宋体" w:eastAsia="宋体" w:cs="宋体"/>
          <w:color w:val="auto"/>
          <w:sz w:val="24"/>
          <w:szCs w:val="24"/>
          <w:highlight w:val="none"/>
          <w:u w:val="single"/>
          <w:lang w:eastAsia="zh-CN"/>
        </w:rPr>
        <w:t>重庆大足石刻国际文化旅游集团有限公司</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val="en-US" w:eastAsia="zh-CN"/>
        </w:rPr>
        <w:t>北山一碗水周边环境提升项目</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。欢迎有资格的供应商前来参加。</w:t>
      </w:r>
    </w:p>
    <w:p w14:paraId="43B1E485">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27" w:name="_Toc313893526"/>
      <w:bookmarkStart w:id="28" w:name="_Toc51660705"/>
      <w:bookmarkStart w:id="29" w:name="_Toc317775175"/>
      <w:bookmarkStart w:id="30" w:name="_Toc12413"/>
      <w:bookmarkStart w:id="31" w:name="_Toc28440"/>
      <w:r>
        <w:rPr>
          <w:rFonts w:hint="eastAsia" w:ascii="宋体" w:hAnsi="宋体" w:eastAsia="宋体" w:cs="宋体"/>
          <w:color w:val="auto"/>
          <w:sz w:val="24"/>
          <w:szCs w:val="24"/>
          <w:highlight w:val="none"/>
          <w:lang w:val="en-US" w:eastAsia="zh-CN"/>
        </w:rPr>
        <w:t>一、比选内容</w:t>
      </w:r>
      <w:bookmarkEnd w:id="27"/>
      <w:bookmarkEnd w:id="28"/>
      <w:bookmarkEnd w:id="29"/>
      <w:bookmarkEnd w:id="30"/>
      <w:bookmarkEnd w:id="31"/>
    </w:p>
    <w:tbl>
      <w:tblPr>
        <w:tblStyle w:val="65"/>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59"/>
        <w:gridCol w:w="1537"/>
        <w:gridCol w:w="1243"/>
        <w:gridCol w:w="1293"/>
        <w:gridCol w:w="742"/>
      </w:tblGrid>
      <w:tr w14:paraId="0E99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35" w:type="dxa"/>
            <w:tcBorders>
              <w:top w:val="single" w:color="auto" w:sz="4" w:space="0"/>
              <w:left w:val="single" w:color="auto" w:sz="4" w:space="0"/>
              <w:right w:val="single" w:color="auto" w:sz="4" w:space="0"/>
            </w:tcBorders>
            <w:vAlign w:val="center"/>
          </w:tcPr>
          <w:p w14:paraId="697F954E">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459" w:type="dxa"/>
            <w:tcBorders>
              <w:top w:val="single" w:color="auto" w:sz="4" w:space="0"/>
              <w:left w:val="single" w:color="auto" w:sz="4" w:space="0"/>
              <w:right w:val="single" w:color="auto" w:sz="4" w:space="0"/>
            </w:tcBorders>
            <w:vAlign w:val="center"/>
          </w:tcPr>
          <w:p w14:paraId="4353831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比选</w:t>
            </w:r>
            <w:r>
              <w:rPr>
                <w:rFonts w:hint="eastAsia" w:ascii="宋体" w:hAnsi="宋体" w:eastAsia="宋体" w:cs="宋体"/>
                <w:b/>
                <w:color w:val="auto"/>
                <w:kern w:val="0"/>
                <w:sz w:val="24"/>
                <w:szCs w:val="24"/>
                <w:highlight w:val="none"/>
              </w:rPr>
              <w:t>内容</w:t>
            </w:r>
          </w:p>
        </w:tc>
        <w:tc>
          <w:tcPr>
            <w:tcW w:w="1537" w:type="dxa"/>
            <w:tcBorders>
              <w:top w:val="single" w:color="auto" w:sz="4" w:space="0"/>
              <w:left w:val="single" w:color="auto" w:sz="4" w:space="0"/>
              <w:right w:val="single" w:color="auto" w:sz="4" w:space="0"/>
            </w:tcBorders>
            <w:vAlign w:val="center"/>
          </w:tcPr>
          <w:p w14:paraId="0356980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最高限价</w:t>
            </w:r>
          </w:p>
          <w:p w14:paraId="4126D2E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（元）</w:t>
            </w:r>
          </w:p>
        </w:tc>
        <w:tc>
          <w:tcPr>
            <w:tcW w:w="1243" w:type="dxa"/>
            <w:tcBorders>
              <w:top w:val="single" w:color="auto" w:sz="4" w:space="0"/>
              <w:left w:val="single" w:color="auto" w:sz="4" w:space="0"/>
              <w:right w:val="single" w:color="auto" w:sz="4" w:space="0"/>
            </w:tcBorders>
            <w:shd w:val="clear" w:color="auto" w:fill="auto"/>
            <w:vAlign w:val="center"/>
          </w:tcPr>
          <w:p w14:paraId="6662F574">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cs="宋体"/>
                <w:b/>
                <w:color w:val="auto"/>
                <w:kern w:val="0"/>
                <w:sz w:val="24"/>
                <w:szCs w:val="24"/>
                <w:highlight w:val="none"/>
                <w:lang w:val="en-US" w:eastAsia="zh-CN" w:bidi="ar-SA"/>
              </w:rPr>
              <w:t>投标保证金（元）</w:t>
            </w:r>
          </w:p>
        </w:tc>
        <w:tc>
          <w:tcPr>
            <w:tcW w:w="1293" w:type="dxa"/>
            <w:tcBorders>
              <w:top w:val="single" w:color="auto" w:sz="4" w:space="0"/>
              <w:left w:val="single" w:color="auto" w:sz="4" w:space="0"/>
              <w:right w:val="single" w:color="auto" w:sz="4" w:space="0"/>
            </w:tcBorders>
            <w:shd w:val="clear" w:color="auto" w:fill="auto"/>
            <w:vAlign w:val="center"/>
          </w:tcPr>
          <w:p w14:paraId="5DED7285">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rPr>
              <w:t>资金来源</w:t>
            </w:r>
          </w:p>
        </w:tc>
        <w:tc>
          <w:tcPr>
            <w:tcW w:w="742" w:type="dxa"/>
            <w:tcBorders>
              <w:top w:val="single" w:color="auto" w:sz="4" w:space="0"/>
              <w:left w:val="single" w:color="auto" w:sz="4" w:space="0"/>
              <w:right w:val="single" w:color="auto" w:sz="4" w:space="0"/>
            </w:tcBorders>
            <w:vAlign w:val="center"/>
          </w:tcPr>
          <w:p w14:paraId="6522B649">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14:paraId="7FB1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A9B0E78">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459" w:type="dxa"/>
            <w:tcBorders>
              <w:top w:val="single" w:color="auto" w:sz="4" w:space="0"/>
              <w:left w:val="single" w:color="auto" w:sz="4" w:space="0"/>
              <w:bottom w:val="single" w:color="auto" w:sz="4" w:space="0"/>
              <w:right w:val="single" w:color="auto" w:sz="4" w:space="0"/>
            </w:tcBorders>
            <w:vAlign w:val="center"/>
          </w:tcPr>
          <w:p w14:paraId="740F2A42">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北山一碗水周边环境提升项目</w:t>
            </w:r>
          </w:p>
        </w:tc>
        <w:tc>
          <w:tcPr>
            <w:tcW w:w="1537" w:type="dxa"/>
            <w:tcBorders>
              <w:top w:val="single" w:color="auto" w:sz="4" w:space="0"/>
              <w:left w:val="single" w:color="auto" w:sz="4" w:space="0"/>
              <w:bottom w:val="single" w:color="auto" w:sz="4" w:space="0"/>
              <w:right w:val="single" w:color="auto" w:sz="4" w:space="0"/>
            </w:tcBorders>
            <w:vAlign w:val="center"/>
          </w:tcPr>
          <w:p w14:paraId="51BDE3C3">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860797.12</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1321A8C8">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5000</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0647E97D">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业主自筹</w:t>
            </w:r>
          </w:p>
        </w:tc>
        <w:tc>
          <w:tcPr>
            <w:tcW w:w="742" w:type="dxa"/>
            <w:tcBorders>
              <w:top w:val="single" w:color="auto" w:sz="4" w:space="0"/>
              <w:left w:val="single" w:color="auto" w:sz="4" w:space="0"/>
              <w:bottom w:val="single" w:color="auto" w:sz="4" w:space="0"/>
              <w:right w:val="single" w:color="auto" w:sz="4" w:space="0"/>
            </w:tcBorders>
            <w:vAlign w:val="center"/>
          </w:tcPr>
          <w:p w14:paraId="7D669990">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kern w:val="0"/>
                <w:sz w:val="24"/>
                <w:szCs w:val="24"/>
                <w:highlight w:val="none"/>
              </w:rPr>
            </w:pPr>
          </w:p>
        </w:tc>
      </w:tr>
    </w:tbl>
    <w:p w14:paraId="6D50646E">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32" w:name="_Toc8693"/>
      <w:bookmarkStart w:id="33" w:name="_Toc51660707"/>
      <w:bookmarkStart w:id="34" w:name="_Toc14041"/>
      <w:bookmarkStart w:id="35" w:name="_Toc373860293"/>
      <w:bookmarkStart w:id="36" w:name="_Toc317775178"/>
      <w:r>
        <w:rPr>
          <w:rFonts w:hint="eastAsia" w:ascii="宋体" w:hAnsi="宋体" w:eastAsia="宋体" w:cs="宋体"/>
          <w:color w:val="auto"/>
          <w:sz w:val="24"/>
          <w:szCs w:val="24"/>
          <w:highlight w:val="none"/>
          <w:lang w:val="en-US" w:eastAsia="zh-CN"/>
        </w:rPr>
        <w:t>二、供应商的资格条件</w:t>
      </w:r>
      <w:bookmarkEnd w:id="32"/>
      <w:bookmarkEnd w:id="33"/>
      <w:bookmarkEnd w:id="34"/>
      <w:bookmarkStart w:id="1944" w:name="_GoBack"/>
      <w:bookmarkEnd w:id="1944"/>
    </w:p>
    <w:p w14:paraId="38B117ED">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基本资格</w:t>
      </w:r>
      <w:r>
        <w:rPr>
          <w:rFonts w:hint="eastAsia" w:ascii="宋体" w:hAnsi="宋体" w:eastAsia="宋体" w:cs="宋体"/>
          <w:b/>
          <w:color w:val="auto"/>
          <w:sz w:val="24"/>
          <w:szCs w:val="24"/>
          <w:highlight w:val="none"/>
        </w:rPr>
        <w:t>条件</w:t>
      </w:r>
    </w:p>
    <w:p w14:paraId="497D412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E15DCF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033C88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97A3E7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736004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p>
    <w:p w14:paraId="00413E0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41DA1897">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（二）特定资格条件</w:t>
      </w:r>
    </w:p>
    <w:p w14:paraId="7BA5F7DD">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1、资质条件：</w:t>
      </w:r>
      <w:r>
        <w:rPr>
          <w:rFonts w:hint="eastAsia" w:ascii="宋体" w:hAnsi="宋体" w:cs="宋体"/>
          <w:color w:val="auto"/>
          <w:sz w:val="24"/>
          <w:szCs w:val="24"/>
          <w:highlight w:val="none"/>
          <w:u w:val="single"/>
          <w:lang w:val="en-US" w:eastAsia="zh-CN"/>
        </w:rPr>
        <w:t>具备建设行政主管部门颁发的有效的</w:t>
      </w:r>
      <w:r>
        <w:rPr>
          <w:rFonts w:hint="eastAsia" w:ascii="宋体" w:hAnsi="宋体" w:eastAsia="宋体" w:cs="宋体"/>
          <w:color w:val="333333"/>
          <w:spacing w:val="2"/>
          <w:kern w:val="0"/>
          <w:sz w:val="24"/>
          <w:szCs w:val="24"/>
          <w:u w:val="single"/>
          <w:shd w:val="clear" w:color="auto" w:fill="FFFFFF"/>
          <w:lang w:val="en-US" w:eastAsia="zh-CN" w:bidi="ar"/>
        </w:rPr>
        <w:t>市政</w:t>
      </w:r>
      <w:r>
        <w:rPr>
          <w:rFonts w:hint="eastAsia" w:ascii="宋体" w:hAnsi="宋体" w:eastAsia="宋体" w:cs="宋体"/>
          <w:color w:val="333333"/>
          <w:kern w:val="0"/>
          <w:sz w:val="24"/>
          <w:szCs w:val="24"/>
          <w:u w:val="single"/>
          <w:shd w:val="clear" w:color="auto" w:fill="FFFFFF"/>
          <w:lang w:val="en-US" w:eastAsia="zh-CN" w:bidi="ar"/>
        </w:rPr>
        <w:t>公用工程</w:t>
      </w:r>
      <w:r>
        <w:rPr>
          <w:rFonts w:hint="eastAsia" w:ascii="宋体" w:hAnsi="宋体" w:eastAsia="宋体" w:cs="宋体"/>
          <w:b w:val="0"/>
          <w:bCs w:val="0"/>
          <w:snapToGrid w:val="0"/>
          <w:color w:val="auto"/>
          <w:sz w:val="24"/>
          <w:szCs w:val="24"/>
          <w:highlight w:val="none"/>
          <w:u w:val="single"/>
          <w:lang w:eastAsia="zh-CN"/>
        </w:rPr>
        <w:t>施工总承包</w:t>
      </w:r>
      <w:r>
        <w:rPr>
          <w:rFonts w:hint="eastAsia" w:ascii="宋体" w:hAnsi="宋体" w:eastAsia="宋体" w:cs="宋体"/>
          <w:b w:val="0"/>
          <w:bCs w:val="0"/>
          <w:snapToGrid w:val="0"/>
          <w:color w:val="auto"/>
          <w:sz w:val="24"/>
          <w:szCs w:val="24"/>
          <w:highlight w:val="none"/>
          <w:u w:val="single"/>
        </w:rPr>
        <w:t>三级</w:t>
      </w:r>
      <w:r>
        <w:rPr>
          <w:rFonts w:hint="eastAsia" w:ascii="宋体" w:hAnsi="宋体" w:cs="宋体"/>
          <w:color w:val="auto"/>
          <w:sz w:val="24"/>
          <w:szCs w:val="24"/>
          <w:highlight w:val="none"/>
          <w:u w:val="single"/>
          <w:lang w:val="en-US" w:eastAsia="zh-CN"/>
        </w:rPr>
        <w:t>及以上资质</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提供有效的资质证书复印件加盖供应商公章</w:t>
      </w:r>
      <w:r>
        <w:rPr>
          <w:rFonts w:hint="eastAsia" w:ascii="宋体" w:hAnsi="宋体" w:cs="宋体"/>
          <w:color w:val="auto"/>
          <w:sz w:val="24"/>
          <w:szCs w:val="24"/>
          <w:highlight w:val="none"/>
          <w:u w:val="none"/>
          <w:lang w:val="en-US" w:eastAsia="zh-CN"/>
        </w:rPr>
        <w:t>。）</w:t>
      </w:r>
    </w:p>
    <w:p w14:paraId="1EA9EFCD">
      <w:pPr>
        <w:keepNext w:val="0"/>
        <w:keepLines w:val="0"/>
        <w:pageBreakBefore w:val="0"/>
        <w:widowControl w:val="0"/>
        <w:numPr>
          <w:ilvl w:val="0"/>
          <w:numId w:val="15"/>
        </w:numPr>
        <w:kinsoku/>
        <w:wordWrap/>
        <w:overflowPunct/>
        <w:topLinePunct w:val="0"/>
        <w:autoSpaceDE/>
        <w:autoSpaceDN/>
        <w:bidi w:val="0"/>
        <w:adjustRightInd/>
        <w:spacing w:line="44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具备有效的企业法人营业执照。</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提供有效的营业执照副本复印件并加盖供应商公章。</w:t>
      </w:r>
      <w:r>
        <w:rPr>
          <w:rFonts w:hint="eastAsia" w:ascii="宋体" w:hAnsi="宋体" w:cs="宋体"/>
          <w:color w:val="auto"/>
          <w:sz w:val="24"/>
          <w:szCs w:val="24"/>
          <w:highlight w:val="none"/>
          <w:u w:val="none"/>
          <w:lang w:val="en-US" w:eastAsia="zh-CN"/>
        </w:rPr>
        <w:t>）</w:t>
      </w:r>
    </w:p>
    <w:p w14:paraId="3EF0E054">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color w:val="auto"/>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安全生产条件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具备有效的安全生产许可证。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提供有效的安全生产许可证复印件并加盖供应商公章</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6B4BC2B8">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37" w:name="_Toc24774"/>
      <w:bookmarkStart w:id="38" w:name="_Toc14073"/>
      <w:bookmarkStart w:id="39" w:name="_Toc51660708"/>
      <w:r>
        <w:rPr>
          <w:rFonts w:hint="eastAsia" w:ascii="宋体" w:hAnsi="宋体" w:eastAsia="宋体" w:cs="宋体"/>
          <w:color w:val="auto"/>
          <w:sz w:val="24"/>
          <w:szCs w:val="24"/>
          <w:highlight w:val="none"/>
          <w:lang w:val="en-US" w:eastAsia="zh-CN"/>
        </w:rPr>
        <w:t>三、比选的有关说明</w:t>
      </w:r>
      <w:bookmarkEnd w:id="35"/>
      <w:bookmarkEnd w:id="37"/>
      <w:bookmarkEnd w:id="38"/>
      <w:bookmarkEnd w:id="39"/>
    </w:p>
    <w:p w14:paraId="3164AF9F">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（一）供应商应通过行采家平台登记加入“行采家供应商库”。</w:t>
      </w:r>
    </w:p>
    <w:p w14:paraId="46FDCF34">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（二）凡有意参加比选的供应商，请自行在行采家（https：//www.gec123.com/）上下载本项目采购文件及补遗等比选前公布的所有项目资料，无论供应商下载与否，均视为已知晓所有实质性要求内容。</w:t>
      </w:r>
    </w:p>
    <w:p w14:paraId="2C07AF1B">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40" w:name="_Toc19799"/>
      <w:bookmarkStart w:id="41" w:name="_Toc30500"/>
      <w:r>
        <w:rPr>
          <w:rFonts w:hint="eastAsia" w:ascii="宋体" w:hAnsi="宋体" w:eastAsia="宋体" w:cs="宋体"/>
          <w:color w:val="auto"/>
          <w:sz w:val="24"/>
          <w:szCs w:val="24"/>
          <w:highlight w:val="none"/>
          <w:lang w:val="en-US" w:eastAsia="zh-CN"/>
        </w:rPr>
        <w:t>四、报名方式及投标程序</w:t>
      </w:r>
      <w:bookmarkEnd w:id="40"/>
      <w:bookmarkEnd w:id="41"/>
    </w:p>
    <w:p w14:paraId="4402AA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（一）报名方式</w:t>
      </w:r>
    </w:p>
    <w:p w14:paraId="2B8EE27D">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1.报名和采购文件发售期：2026年5月22日至2026年5月27日17：00（工作时间）。</w:t>
      </w:r>
    </w:p>
    <w:p w14:paraId="1AE46534">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2.采购文件售价：人民币500元/份（售后不退）。</w:t>
      </w:r>
    </w:p>
    <w:p w14:paraId="74AF1A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3.报名方式：在规定的报名和采购文件发售期内，供应商将本项目报名表（格式详见附件）填写完整加盖供应商公章扫描后同文件购买费转账截图一起发送至指定邮箱</w:t>
      </w:r>
      <w:r>
        <w:rPr>
          <w:rFonts w:hint="eastAsia" w:ascii="宋体" w:hAnsi="宋体" w:cs="宋体"/>
          <w:color w:val="auto"/>
          <w:kern w:val="2"/>
          <w:sz w:val="24"/>
          <w:szCs w:val="24"/>
          <w:highlight w:val="none"/>
          <w:lang w:val="en-US" w:eastAsia="zh-CN" w:bidi="ar-SA"/>
        </w:rPr>
        <w:t>2606654674@qq.com</w:t>
      </w:r>
      <w:r>
        <w:rPr>
          <w:rFonts w:hint="eastAsia" w:ascii="宋体" w:hAnsi="宋体" w:eastAsia="宋体" w:cs="宋体"/>
          <w:color w:val="auto"/>
          <w:kern w:val="2"/>
          <w:sz w:val="24"/>
          <w:szCs w:val="24"/>
          <w:highlight w:val="none"/>
          <w:lang w:val="en-US" w:eastAsia="zh-CN" w:bidi="ar-SA"/>
        </w:rPr>
        <w:t>，按要求发送邮箱后方才报名成功。</w:t>
      </w:r>
    </w:p>
    <w:p w14:paraId="670F46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投标程序</w:t>
      </w:r>
    </w:p>
    <w:p w14:paraId="7176CD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线上报价：公告发布之日起即可</w:t>
      </w:r>
      <w:r>
        <w:rPr>
          <w:rFonts w:hint="eastAsia" w:ascii="宋体" w:hAnsi="宋体" w:eastAsia="宋体" w:cs="宋体"/>
          <w:color w:val="auto"/>
          <w:sz w:val="24"/>
          <w:szCs w:val="24"/>
          <w:highlight w:val="none"/>
          <w:lang w:val="en-US" w:eastAsia="zh-CN"/>
        </w:rPr>
        <w:t>在行采家平台</w:t>
      </w:r>
      <w:r>
        <w:rPr>
          <w:rFonts w:hint="eastAsia" w:ascii="宋体" w:hAnsi="宋体" w:eastAsia="宋体" w:cs="宋体"/>
          <w:color w:val="auto"/>
          <w:sz w:val="24"/>
          <w:szCs w:val="24"/>
          <w:highlight w:val="none"/>
          <w:lang w:eastAsia="zh-CN"/>
        </w:rPr>
        <w:t>报价，报价截止时间为：</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28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10:00 </w:t>
      </w:r>
      <w:r>
        <w:rPr>
          <w:rFonts w:hint="eastAsia" w:ascii="宋体" w:hAnsi="宋体" w:eastAsia="宋体" w:cs="宋体"/>
          <w:color w:val="auto"/>
          <w:sz w:val="24"/>
          <w:szCs w:val="24"/>
          <w:highlight w:val="none"/>
          <w:lang w:val="en-US" w:eastAsia="zh-CN"/>
        </w:rPr>
        <w:t>（报价时需</w:t>
      </w:r>
      <w:r>
        <w:rPr>
          <w:rFonts w:hint="eastAsia" w:ascii="宋体" w:hAnsi="宋体" w:eastAsia="宋体" w:cs="宋体"/>
          <w:color w:val="auto"/>
          <w:sz w:val="24"/>
          <w:szCs w:val="24"/>
          <w:highlight w:val="none"/>
          <w:lang w:eastAsia="zh-CN"/>
        </w:rPr>
        <w:t>上传签字盖章完整的PDF格式的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lang w:eastAsia="zh-CN"/>
        </w:rPr>
        <w:t>不一致以纸质文件正本为准，未在规定时间内报价并上传响应文件的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将视为无效投标）。</w:t>
      </w:r>
    </w:p>
    <w:p w14:paraId="2A6667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线下递交响应文件时间：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28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9：30  </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u w:val="single"/>
          <w:lang w:val="en-US" w:eastAsia="zh-CN"/>
        </w:rPr>
        <w:t xml:space="preserve"> 10:00  </w:t>
      </w:r>
      <w:r>
        <w:rPr>
          <w:rFonts w:hint="eastAsia" w:ascii="宋体" w:hAnsi="宋体" w:eastAsia="宋体" w:cs="宋体"/>
          <w:color w:val="auto"/>
          <w:sz w:val="24"/>
          <w:szCs w:val="24"/>
          <w:highlight w:val="none"/>
          <w:lang w:val="en-US" w:eastAsia="zh-CN"/>
        </w:rPr>
        <w:t>（以北京时间为准，逾期不予受理）。</w:t>
      </w:r>
    </w:p>
    <w:p w14:paraId="406E6B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线下开标时间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28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10:00 </w:t>
      </w:r>
      <w:r>
        <w:rPr>
          <w:rFonts w:hint="eastAsia" w:ascii="宋体" w:hAnsi="宋体" w:eastAsia="宋体" w:cs="宋体"/>
          <w:color w:val="auto"/>
          <w:sz w:val="24"/>
          <w:szCs w:val="24"/>
          <w:highlight w:val="none"/>
          <w:u w:val="none"/>
          <w:lang w:val="en-US" w:eastAsia="zh-CN"/>
        </w:rPr>
        <w:t>(北京时间）。</w:t>
      </w:r>
    </w:p>
    <w:p w14:paraId="2CE4A8FC">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4.比选地点</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重庆颢越工程管理有限公司开标室（</w:t>
      </w:r>
      <w:r>
        <w:rPr>
          <w:rFonts w:hint="eastAsia" w:ascii="宋体" w:hAnsi="宋体" w:eastAsia="宋体" w:cs="宋体"/>
          <w:color w:val="auto"/>
          <w:sz w:val="24"/>
          <w:szCs w:val="24"/>
          <w:highlight w:val="none"/>
          <w:lang w:val="en-US" w:eastAsia="zh-CN"/>
        </w:rPr>
        <w:t>重庆市大足区海棠路63号</w:t>
      </w:r>
      <w:r>
        <w:rPr>
          <w:rFonts w:hint="eastAsia" w:ascii="宋体" w:hAnsi="宋体" w:eastAsia="宋体" w:cs="宋体"/>
          <w:color w:val="auto"/>
          <w:kern w:val="2"/>
          <w:sz w:val="24"/>
          <w:szCs w:val="24"/>
          <w:highlight w:val="none"/>
          <w:lang w:val="en-US" w:eastAsia="zh-CN" w:bidi="ar-SA"/>
        </w:rPr>
        <w:t>）。</w:t>
      </w:r>
    </w:p>
    <w:p w14:paraId="733C4E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（三）供应商须满足以下要件，其响应文件才被接受：</w:t>
      </w:r>
    </w:p>
    <w:p w14:paraId="6C975D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1.按时在行采家-电子比选中心报名，并上传了响应文件电子档；</w:t>
      </w:r>
    </w:p>
    <w:p w14:paraId="27A9BB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2.在采购文件发售期内，按时间要求报名；</w:t>
      </w:r>
    </w:p>
    <w:p w14:paraId="26042B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3.按时在线下比选地点递交了纸质版响应文件。</w:t>
      </w:r>
    </w:p>
    <w:p w14:paraId="70CE0F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4.提交投标保证金银行转账凭据，加盖供应商公章；</w:t>
      </w:r>
    </w:p>
    <w:p w14:paraId="24CB36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6.递交“供应商信息卡”（格式详见附件），内容填写完整，加盖供应商公章；</w:t>
      </w:r>
    </w:p>
    <w:p w14:paraId="45505F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7.递交供应商银行“基本账户信息”或“开户许可证”复印件，加盖供应商公章；</w:t>
      </w:r>
    </w:p>
    <w:p w14:paraId="4367F4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说明：相关原件递交起止时间：如果采购文件要求必须提交的相关原件，其递交时间与投标文件递交时间一致（逾期不予受理）。</w:t>
      </w:r>
    </w:p>
    <w:p w14:paraId="3695FC60">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bookmarkStart w:id="42" w:name="_Toc24820"/>
      <w:bookmarkStart w:id="43" w:name="_Toc51660709"/>
      <w:bookmarkStart w:id="44" w:name="_Toc9350"/>
      <w:bookmarkStart w:id="45" w:name="_Toc373860294"/>
      <w:r>
        <w:rPr>
          <w:rFonts w:hint="eastAsia" w:ascii="宋体" w:hAnsi="宋体" w:eastAsia="宋体" w:cs="宋体"/>
          <w:color w:val="auto"/>
          <w:sz w:val="24"/>
          <w:szCs w:val="24"/>
          <w:highlight w:val="none"/>
          <w:lang w:val="en-US" w:eastAsia="zh-CN"/>
        </w:rPr>
        <w:t>五、投标保证金</w:t>
      </w:r>
      <w:bookmarkEnd w:id="42"/>
      <w:bookmarkEnd w:id="43"/>
      <w:bookmarkEnd w:id="44"/>
      <w:bookmarkEnd w:id="45"/>
    </w:p>
    <w:p w14:paraId="3AFD1E4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bookmarkStart w:id="46" w:name="_Toc16519"/>
      <w:bookmarkStart w:id="47" w:name="_Toc8383"/>
      <w:bookmarkStart w:id="48" w:name="_Toc51660711"/>
      <w:r>
        <w:rPr>
          <w:rFonts w:hint="eastAsia" w:ascii="宋体" w:hAnsi="宋体" w:eastAsia="宋体" w:cs="宋体"/>
          <w:color w:val="auto"/>
          <w:sz w:val="24"/>
          <w:szCs w:val="24"/>
          <w:highlight w:val="none"/>
          <w:lang w:eastAsia="zh-CN"/>
        </w:rPr>
        <w:t>1.缴纳金额：</w:t>
      </w:r>
      <w:r>
        <w:rPr>
          <w:rFonts w:hint="eastAsia" w:ascii="宋体" w:hAnsi="宋体" w:cs="宋体"/>
          <w:color w:val="auto"/>
          <w:sz w:val="24"/>
          <w:szCs w:val="24"/>
          <w:highlight w:val="none"/>
          <w:lang w:val="en-US" w:eastAsia="zh-CN"/>
        </w:rPr>
        <w:t>5000</w:t>
      </w:r>
      <w:r>
        <w:rPr>
          <w:rFonts w:hint="eastAsia" w:ascii="宋体" w:hAnsi="宋体" w:eastAsia="宋体" w:cs="宋体"/>
          <w:color w:val="auto"/>
          <w:sz w:val="24"/>
          <w:szCs w:val="24"/>
          <w:highlight w:val="none"/>
          <w:lang w:eastAsia="zh-CN"/>
        </w:rPr>
        <w:t>元。</w:t>
      </w:r>
    </w:p>
    <w:p w14:paraId="1CEC6A5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2.缴纳方式：由供应商从其账户将投标保证金汇至以下指定账户：</w:t>
      </w:r>
    </w:p>
    <w:p w14:paraId="4FBF4FB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户  名：</w:t>
      </w:r>
      <w:r>
        <w:rPr>
          <w:rFonts w:hint="eastAsia" w:ascii="宋体" w:hAnsi="宋体" w:cs="宋体"/>
          <w:color w:val="000000"/>
          <w:sz w:val="24"/>
          <w:szCs w:val="24"/>
          <w:lang w:val="en-US" w:eastAsia="zh-CN"/>
        </w:rPr>
        <w:t>重庆颢越工程管理有限公司</w:t>
      </w:r>
    </w:p>
    <w:p w14:paraId="2105D15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开户行：中国银行股份有限公司重庆大足龙棠支行</w:t>
      </w:r>
    </w:p>
    <w:p w14:paraId="0FF8897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sz w:val="36"/>
          <w:szCs w:val="36"/>
          <w:lang w:val="en-US" w:eastAsia="zh-CN"/>
        </w:rPr>
      </w:pPr>
      <w:r>
        <w:rPr>
          <w:rFonts w:hint="eastAsia" w:ascii="宋体" w:hAnsi="宋体" w:eastAsia="宋体" w:cs="宋体"/>
          <w:color w:val="auto"/>
          <w:sz w:val="24"/>
          <w:szCs w:val="24"/>
          <w:highlight w:val="none"/>
          <w:lang w:eastAsia="zh-CN"/>
        </w:rPr>
        <w:t>账  号：</w:t>
      </w:r>
      <w:r>
        <w:rPr>
          <w:rFonts w:hint="eastAsia" w:ascii="宋体" w:hAnsi="宋体" w:eastAsia="宋体" w:cs="宋体"/>
          <w:color w:val="auto"/>
          <w:sz w:val="24"/>
          <w:szCs w:val="24"/>
          <w:highlight w:val="none"/>
          <w:lang w:val="en-US" w:eastAsia="zh-CN"/>
        </w:rPr>
        <w:t>114471563282</w:t>
      </w:r>
    </w:p>
    <w:p w14:paraId="64FB313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3.保证金到账时间及备注填写要求</w:t>
      </w:r>
    </w:p>
    <w:p w14:paraId="49B414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（1）到账时间要求</w:t>
      </w:r>
    </w:p>
    <w:p w14:paraId="7D1DCB9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本项目投标保证金的到账截止时间同提交响应文件截止时间（供应商在银行转账汇款时，须充分考虑转账汇款的时间差风险，如同城转账、异地转账或汇款、跨行转账或电汇的时间要求）。</w:t>
      </w:r>
    </w:p>
    <w:p w14:paraId="0295DC6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（2）备注填写要求</w:t>
      </w:r>
    </w:p>
    <w:p w14:paraId="3DAA0DD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供应商应在银行转账（汇款）凭证备注栏中注明“投标保证金—</w:t>
      </w:r>
      <w:r>
        <w:rPr>
          <w:rFonts w:hint="eastAsia" w:ascii="宋体" w:hAnsi="宋体" w:cs="宋体"/>
          <w:color w:val="auto"/>
          <w:sz w:val="24"/>
          <w:szCs w:val="24"/>
          <w:highlight w:val="none"/>
          <w:lang w:val="en-US" w:eastAsia="zh-CN"/>
        </w:rPr>
        <w:t>CQHY-HC-20260522</w:t>
      </w:r>
      <w:r>
        <w:rPr>
          <w:rFonts w:hint="eastAsia" w:ascii="宋体" w:hAnsi="宋体" w:eastAsia="宋体" w:cs="宋体"/>
          <w:color w:val="auto"/>
          <w:sz w:val="24"/>
          <w:szCs w:val="24"/>
          <w:highlight w:val="none"/>
          <w:lang w:eastAsia="zh-CN"/>
        </w:rPr>
        <w:t>”，不按要求填写备注和缴纳保证金入指定账户的，投标现场不予接收投标文件，由供应商自行承担后果。</w:t>
      </w:r>
    </w:p>
    <w:p w14:paraId="57454AF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4.保证金退还方式</w:t>
      </w:r>
    </w:p>
    <w:p w14:paraId="4E2173E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（1）未成交供应商的投标保证金，在中标通知书发出后，</w:t>
      </w:r>
      <w:r>
        <w:rPr>
          <w:rFonts w:hint="eastAsia" w:ascii="宋体" w:hAnsi="宋体" w:cs="宋体"/>
          <w:color w:val="000000"/>
          <w:sz w:val="24"/>
          <w:szCs w:val="24"/>
          <w:lang w:val="en-US" w:eastAsia="zh-CN"/>
        </w:rPr>
        <w:t>重庆颢越工程管理有限公司</w:t>
      </w:r>
      <w:r>
        <w:rPr>
          <w:rFonts w:hint="eastAsia" w:ascii="宋体" w:hAnsi="宋体" w:eastAsia="宋体" w:cs="宋体"/>
          <w:color w:val="auto"/>
          <w:sz w:val="24"/>
          <w:szCs w:val="24"/>
          <w:highlight w:val="none"/>
          <w:lang w:eastAsia="zh-CN"/>
        </w:rPr>
        <w:t>在五个工作日内按来款渠道直接退还。</w:t>
      </w:r>
    </w:p>
    <w:p w14:paraId="1CDEC42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（2）成交供应商的投标保证金，在成交供应商将与采购人签订合同</w:t>
      </w:r>
      <w:r>
        <w:rPr>
          <w:rFonts w:hint="eastAsia" w:ascii="宋体" w:hAnsi="宋体" w:cs="宋体"/>
          <w:color w:val="auto"/>
          <w:sz w:val="24"/>
          <w:szCs w:val="24"/>
          <w:highlight w:val="none"/>
          <w:lang w:val="en-US" w:eastAsia="zh-CN"/>
        </w:rPr>
        <w:t>后，由</w:t>
      </w:r>
      <w:r>
        <w:rPr>
          <w:rFonts w:hint="eastAsia" w:ascii="宋体" w:hAnsi="宋体" w:cs="宋体"/>
          <w:color w:val="000000"/>
          <w:sz w:val="24"/>
          <w:szCs w:val="24"/>
          <w:lang w:val="en-US" w:eastAsia="zh-CN"/>
        </w:rPr>
        <w:t>重庆颢越工程管理有限公司</w:t>
      </w:r>
      <w:r>
        <w:rPr>
          <w:rFonts w:hint="eastAsia" w:ascii="宋体" w:hAnsi="宋体" w:eastAsia="宋体" w:cs="宋体"/>
          <w:color w:val="000000"/>
          <w:sz w:val="24"/>
          <w:szCs w:val="24"/>
          <w:lang w:val="en-US" w:eastAsia="zh-CN"/>
        </w:rPr>
        <w:t>在</w:t>
      </w:r>
      <w:r>
        <w:rPr>
          <w:rFonts w:hint="eastAsia" w:ascii="宋体" w:hAnsi="宋体" w:eastAsia="宋体" w:cs="宋体"/>
          <w:color w:val="auto"/>
          <w:sz w:val="24"/>
          <w:szCs w:val="24"/>
          <w:highlight w:val="none"/>
          <w:lang w:eastAsia="zh-CN"/>
        </w:rPr>
        <w:t>五个工作日内按资金来款渠道直接退还。</w:t>
      </w:r>
    </w:p>
    <w:p w14:paraId="6439DB4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保证金咨询电话：</w:t>
      </w:r>
      <w:r>
        <w:rPr>
          <w:rFonts w:hint="eastAsia" w:ascii="宋体" w:hAnsi="宋体" w:cs="宋体"/>
          <w:color w:val="auto"/>
          <w:sz w:val="24"/>
          <w:szCs w:val="24"/>
          <w:highlight w:val="none"/>
          <w:lang w:val="en-US" w:eastAsia="zh-CN"/>
        </w:rPr>
        <w:t>023-43331699</w:t>
      </w:r>
    </w:p>
    <w:p w14:paraId="0C8DB7FB">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bookmarkEnd w:id="36"/>
      <w:r>
        <w:rPr>
          <w:rFonts w:hint="eastAsia" w:ascii="宋体" w:hAnsi="宋体" w:eastAsia="宋体" w:cs="宋体"/>
          <w:color w:val="auto"/>
          <w:sz w:val="24"/>
          <w:szCs w:val="24"/>
          <w:highlight w:val="none"/>
          <w:lang w:val="en-US" w:eastAsia="zh-CN"/>
        </w:rPr>
        <w:t>其它有关规定</w:t>
      </w:r>
      <w:bookmarkEnd w:id="46"/>
      <w:bookmarkEnd w:id="47"/>
      <w:bookmarkEnd w:id="48"/>
    </w:p>
    <w:p w14:paraId="08169B7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活动，否则均为无效响应。</w:t>
      </w:r>
    </w:p>
    <w:p w14:paraId="684495B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（二）为采购项目提供整体设计、规范编制或者项目管理、监理、检测等服务的供应商，不得再参加本项目的采购活动，否则均为无效响应。</w:t>
      </w:r>
    </w:p>
    <w:p w14:paraId="1038A36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（三）本项目在响应文件提交截止时间前发布的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及补遗文件（如果有）一律在</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https://www.gec123.com/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上发布，请各供应商注意下载；无论供应商下载与否，均视同供应商已知晓本项目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、补遗文件（如果有）的内容。</w:t>
      </w:r>
    </w:p>
    <w:p w14:paraId="306AF80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（四）超过响应文件截止时间递交的响应文件，恕不接收</w:t>
      </w:r>
      <w:r>
        <w:rPr>
          <w:rFonts w:hint="eastAsia" w:ascii="宋体" w:hAnsi="宋体" w:cs="宋体"/>
          <w:color w:val="auto"/>
          <w:sz w:val="24"/>
          <w:szCs w:val="24"/>
          <w:highlight w:val="none"/>
          <w:lang w:eastAsia="zh-CN"/>
        </w:rPr>
        <w:t>。</w:t>
      </w:r>
    </w:p>
    <w:p w14:paraId="31166D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254F2CF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（六）本项目不接受联合体参与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05BA46A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（七）按照《财政部关于在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活动中查询及使用信用记录有关问题的通知》财库〔2016〕125号，供应商列入失信被执行人、重大税收违法案件当事人名单、</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严重违法失信行为记录名单及其他不符合《中华人民共和国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法》第二十二条规定条件的供应商，将拒绝其参与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w:t>
      </w:r>
      <w:bookmarkStart w:id="49" w:name="_Toc51660712"/>
    </w:p>
    <w:p w14:paraId="696197D5">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50" w:name="_Toc24392"/>
      <w:bookmarkStart w:id="51" w:name="_Toc13595"/>
      <w:r>
        <w:rPr>
          <w:rFonts w:hint="eastAsia" w:ascii="宋体" w:hAnsi="宋体" w:eastAsia="宋体" w:cs="宋体"/>
          <w:color w:val="auto"/>
          <w:sz w:val="24"/>
          <w:szCs w:val="24"/>
          <w:highlight w:val="none"/>
          <w:lang w:val="en-US" w:eastAsia="zh-CN"/>
        </w:rPr>
        <w:t>七、联系方式</w:t>
      </w:r>
      <w:bookmarkEnd w:id="49"/>
      <w:bookmarkEnd w:id="50"/>
      <w:bookmarkEnd w:id="51"/>
    </w:p>
    <w:p w14:paraId="1AD3FC92">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eastAsia="宋体" w:cs="宋体"/>
          <w:color w:val="auto"/>
          <w:kern w:val="2"/>
          <w:sz w:val="24"/>
          <w:szCs w:val="24"/>
          <w:highlight w:val="none"/>
          <w:lang w:val="en-US" w:eastAsia="zh-CN" w:bidi="ar-SA"/>
        </w:rPr>
        <w:t>重庆大足石刻国际文化旅游集团有限公司</w:t>
      </w:r>
    </w:p>
    <w:p w14:paraId="6C175608">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址：重庆市大足区棠香街道大铜路污水处理厂内</w:t>
      </w:r>
    </w:p>
    <w:p w14:paraId="69E8BD10">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张老师</w:t>
      </w:r>
    </w:p>
    <w:p w14:paraId="6775F5AD">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  话：</w:t>
      </w:r>
      <w:bookmarkStart w:id="52" w:name="_Toc102227313"/>
      <w:r>
        <w:rPr>
          <w:rFonts w:hint="eastAsia" w:ascii="宋体" w:hAnsi="宋体" w:eastAsia="宋体" w:cs="宋体"/>
          <w:color w:val="auto"/>
          <w:kern w:val="2"/>
          <w:sz w:val="24"/>
          <w:szCs w:val="24"/>
          <w:highlight w:val="none"/>
          <w:lang w:val="en-US" w:eastAsia="zh-CN" w:bidi="ar-SA"/>
        </w:rPr>
        <w:t>17623606033</w:t>
      </w:r>
    </w:p>
    <w:p w14:paraId="484FE8CC">
      <w:pPr>
        <w:pStyle w:val="63"/>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p>
    <w:p w14:paraId="495A181D">
      <w:pPr>
        <w:pStyle w:val="63"/>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（二）采购代理机构：</w:t>
      </w:r>
      <w:r>
        <w:rPr>
          <w:rFonts w:hint="eastAsia" w:eastAsia="宋体" w:cs="宋体"/>
          <w:color w:val="auto"/>
          <w:sz w:val="24"/>
          <w:szCs w:val="24"/>
          <w:highlight w:val="none"/>
          <w:lang w:val="en-US" w:eastAsia="zh-CN"/>
        </w:rPr>
        <w:t>重庆颢越工程管理有限公司</w:t>
      </w:r>
    </w:p>
    <w:p w14:paraId="156EDF6C">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eastAsia="宋体" w:cs="宋体"/>
          <w:color w:val="auto"/>
          <w:sz w:val="24"/>
          <w:szCs w:val="24"/>
          <w:highlight w:val="none"/>
          <w:lang w:val="en-US" w:eastAsia="zh-CN"/>
        </w:rPr>
        <w:t>重庆市大足区海棠路63号</w:t>
      </w:r>
    </w:p>
    <w:p w14:paraId="6D5D849A">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钱老师</w:t>
      </w:r>
    </w:p>
    <w:p w14:paraId="666295E1">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lang w:val="en-US" w:eastAsia="zh-CN" w:bidi="ar-SA"/>
        </w:rPr>
        <w:t>电  话：</w:t>
      </w:r>
      <w:r>
        <w:rPr>
          <w:rFonts w:hint="eastAsia" w:eastAsia="宋体" w:cs="宋体"/>
          <w:color w:val="auto"/>
          <w:kern w:val="2"/>
          <w:sz w:val="24"/>
          <w:szCs w:val="24"/>
          <w:highlight w:val="none"/>
          <w:lang w:val="en-US" w:eastAsia="zh-CN" w:bidi="ar-SA"/>
        </w:rPr>
        <w:t>023-43331699</w:t>
      </w:r>
      <w:r>
        <w:rPr>
          <w:rFonts w:hint="eastAsia" w:ascii="宋体" w:hAnsi="宋体" w:eastAsia="宋体" w:cs="宋体"/>
          <w:color w:val="auto"/>
          <w:sz w:val="24"/>
          <w:szCs w:val="24"/>
          <w:highlight w:val="none"/>
        </w:rPr>
        <w:br w:type="page"/>
      </w:r>
    </w:p>
    <w:p w14:paraId="2BEF2B1D">
      <w:pPr>
        <w:keepNext w:val="0"/>
        <w:keepLines w:val="0"/>
        <w:pageBreakBefore w:val="0"/>
        <w:widowControl w:val="0"/>
        <w:kinsoku/>
        <w:wordWrap/>
        <w:topLinePunct w:val="0"/>
        <w:bidi w:val="0"/>
        <w:spacing w:line="400" w:lineRule="exact"/>
        <w:jc w:val="center"/>
        <w:textAlignment w:val="auto"/>
        <w:outlineLvl w:val="0"/>
        <w:rPr>
          <w:rFonts w:hint="eastAsia" w:eastAsia="宋体" w:cs="宋体"/>
          <w:b/>
          <w:bCs w:val="0"/>
          <w:color w:val="auto"/>
          <w:sz w:val="36"/>
          <w:szCs w:val="36"/>
          <w:highlight w:val="none"/>
          <w:lang w:val="en-US" w:eastAsia="zh-CN"/>
        </w:rPr>
      </w:pPr>
      <w:bookmarkStart w:id="53" w:name="_Toc9902"/>
      <w:bookmarkStart w:id="54" w:name="_Toc25709"/>
      <w:bookmarkStart w:id="55" w:name="_Toc19860"/>
      <w:r>
        <w:rPr>
          <w:rFonts w:hint="eastAsia" w:eastAsia="宋体" w:cs="宋体"/>
          <w:b/>
          <w:bCs w:val="0"/>
          <w:color w:val="auto"/>
          <w:sz w:val="36"/>
          <w:szCs w:val="36"/>
          <w:highlight w:val="none"/>
          <w:lang w:val="en-US" w:eastAsia="zh-CN"/>
        </w:rPr>
        <w:t xml:space="preserve">第二篇 </w:t>
      </w:r>
      <w:bookmarkEnd w:id="52"/>
      <w:r>
        <w:rPr>
          <w:rFonts w:hint="eastAsia" w:eastAsia="宋体" w:cs="宋体"/>
          <w:b/>
          <w:bCs w:val="0"/>
          <w:color w:val="auto"/>
          <w:sz w:val="36"/>
          <w:szCs w:val="36"/>
          <w:highlight w:val="none"/>
          <w:lang w:val="en-US" w:eastAsia="zh-CN"/>
        </w:rPr>
        <w:t xml:space="preserve"> </w:t>
      </w:r>
      <w:bookmarkEnd w:id="53"/>
      <w:bookmarkEnd w:id="54"/>
      <w:bookmarkEnd w:id="55"/>
      <w:r>
        <w:rPr>
          <w:rFonts w:hint="eastAsia" w:cs="宋体"/>
          <w:b/>
          <w:bCs w:val="0"/>
          <w:color w:val="auto"/>
          <w:sz w:val="36"/>
          <w:szCs w:val="36"/>
          <w:highlight w:val="none"/>
          <w:lang w:val="en-US" w:eastAsia="zh-CN"/>
        </w:rPr>
        <w:t>项目技术需求</w:t>
      </w:r>
    </w:p>
    <w:p w14:paraId="39825C4F">
      <w:pPr>
        <w:pStyle w:val="4"/>
        <w:pageBreakBefore w:val="0"/>
        <w:kinsoku/>
        <w:wordWrap/>
        <w:topLinePunct w:val="0"/>
        <w:bidi w:val="0"/>
        <w:spacing w:line="400" w:lineRule="exact"/>
        <w:textAlignment w:val="auto"/>
        <w:rPr>
          <w:rFonts w:hint="eastAsia" w:ascii="宋体" w:hAnsi="宋体" w:eastAsia="宋体" w:cs="宋体"/>
          <w:color w:val="auto"/>
          <w:sz w:val="24"/>
          <w:szCs w:val="24"/>
          <w:highlight w:val="none"/>
          <w:lang w:eastAsia="zh-CN"/>
        </w:rPr>
      </w:pPr>
      <w:bookmarkStart w:id="56" w:name="_Toc23171"/>
      <w:bookmarkStart w:id="57" w:name="_Toc17333"/>
      <w:bookmarkStart w:id="58" w:name="_Toc24805"/>
      <w:bookmarkStart w:id="59" w:name="_Toc27075"/>
      <w:bookmarkStart w:id="60" w:name="_Toc345321101"/>
      <w:bookmarkStart w:id="61" w:name="_Toc427852462"/>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一览表</w:t>
      </w:r>
      <w:bookmarkEnd w:id="56"/>
      <w:bookmarkEnd w:id="57"/>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3012"/>
        <w:gridCol w:w="3013"/>
      </w:tblGrid>
      <w:tr w14:paraId="408A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209" w:type="dxa"/>
            <w:vAlign w:val="center"/>
          </w:tcPr>
          <w:p w14:paraId="357B1EB2">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项目内容</w:t>
            </w:r>
          </w:p>
        </w:tc>
        <w:tc>
          <w:tcPr>
            <w:tcW w:w="3209" w:type="dxa"/>
            <w:vAlign w:val="center"/>
          </w:tcPr>
          <w:p w14:paraId="1D963563">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数量/单位</w:t>
            </w:r>
          </w:p>
        </w:tc>
        <w:tc>
          <w:tcPr>
            <w:tcW w:w="3210" w:type="dxa"/>
            <w:vAlign w:val="center"/>
          </w:tcPr>
          <w:p w14:paraId="52C5B0C8">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14:paraId="3F1D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209" w:type="dxa"/>
            <w:vAlign w:val="center"/>
          </w:tcPr>
          <w:p w14:paraId="0998B978">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北山一碗水周边环境提升项目</w:t>
            </w:r>
          </w:p>
        </w:tc>
        <w:tc>
          <w:tcPr>
            <w:tcW w:w="3209" w:type="dxa"/>
            <w:vAlign w:val="center"/>
          </w:tcPr>
          <w:p w14:paraId="1614DA17">
            <w:pPr>
              <w:pStyle w:val="23"/>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w:t>
            </w:r>
          </w:p>
        </w:tc>
        <w:tc>
          <w:tcPr>
            <w:tcW w:w="3210" w:type="dxa"/>
            <w:vAlign w:val="center"/>
          </w:tcPr>
          <w:p w14:paraId="35DA4D79">
            <w:pPr>
              <w:pStyle w:val="23"/>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详见下文</w:t>
            </w:r>
          </w:p>
        </w:tc>
      </w:tr>
    </w:tbl>
    <w:p w14:paraId="5F892482">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、比选内容</w:t>
      </w:r>
      <w:bookmarkEnd w:id="58"/>
      <w:bookmarkEnd w:id="59"/>
    </w:p>
    <w:p w14:paraId="2E56A5B6">
      <w:pPr>
        <w:pStyle w:val="79"/>
        <w:keepNext w:val="0"/>
        <w:keepLines w:val="0"/>
        <w:pageBreakBefore w:val="0"/>
        <w:widowControl w:val="0"/>
        <w:kinsoku/>
        <w:wordWrap/>
        <w:topLinePunct w:val="0"/>
        <w:bidi w:val="0"/>
        <w:adjustRightInd/>
        <w:snapToGrid/>
        <w:spacing w:before="0" w:after="0"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w:t>
      </w:r>
      <w:r>
        <w:rPr>
          <w:rFonts w:hint="eastAsia" w:ascii="宋体" w:hAnsi="宋体" w:cs="宋体"/>
          <w:color w:val="auto"/>
          <w:sz w:val="24"/>
          <w:szCs w:val="24"/>
          <w:highlight w:val="none"/>
          <w:lang w:val="en-US" w:eastAsia="zh-CN"/>
        </w:rPr>
        <w:t>北山一碗水周边环境提升项目</w:t>
      </w:r>
    </w:p>
    <w:p w14:paraId="44AE0D20">
      <w:pPr>
        <w:pStyle w:val="79"/>
        <w:keepNext w:val="0"/>
        <w:keepLines w:val="0"/>
        <w:pageBreakBefore w:val="0"/>
        <w:widowControl w:val="0"/>
        <w:kinsoku/>
        <w:wordWrap/>
        <w:topLinePunct w:val="0"/>
        <w:bidi w:val="0"/>
        <w:adjustRightInd/>
        <w:snapToGrid/>
        <w:spacing w:before="0" w:after="0"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2.建设地点：采购人指定地点。</w:t>
      </w:r>
    </w:p>
    <w:p w14:paraId="45BBB1C2">
      <w:pPr>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3.工程概况：主要包含一碗水路口转角房屋花台整改提升，一碗水至老游客中心污水管网约420米，原址复建23.79㎡公共卫生间，约277.27㎡现状建筑外立面改造</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具体内容详见施工图及工程量清单。</w:t>
      </w:r>
    </w:p>
    <w:p w14:paraId="48308948">
      <w:pPr>
        <w:pStyle w:val="79"/>
        <w:keepNext w:val="0"/>
        <w:keepLines w:val="0"/>
        <w:pageBreakBefore w:val="0"/>
        <w:widowControl w:val="0"/>
        <w:kinsoku/>
        <w:wordWrap/>
        <w:topLinePunct w:val="0"/>
        <w:bidi w:val="0"/>
        <w:adjustRightInd/>
        <w:snapToGrid/>
        <w:spacing w:before="0" w:after="0"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4.招标范围：</w:t>
      </w:r>
      <w:r>
        <w:rPr>
          <w:rFonts w:hint="eastAsia" w:ascii="宋体" w:hAnsi="宋体" w:cs="宋体"/>
          <w:color w:val="auto"/>
          <w:sz w:val="24"/>
          <w:szCs w:val="24"/>
          <w:highlight w:val="none"/>
          <w:lang w:val="en-US" w:eastAsia="zh-CN"/>
        </w:rPr>
        <w:t>北山一碗水周边环境提升项目</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相关资料所包括的建设内容，具体内容详见采购人发布的施工图纸及工程量清单,以及采购人提供的采购文件、答疑资料、澄清资料、其他补遗资料等包含的其他相关内容。</w:t>
      </w:r>
    </w:p>
    <w:bookmarkEnd w:id="60"/>
    <w:bookmarkEnd w:id="61"/>
    <w:p w14:paraId="786CEDD0">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bookmarkStart w:id="62" w:name="_Toc9174"/>
      <w:bookmarkStart w:id="63" w:name="_Toc29177"/>
      <w:bookmarkStart w:id="64" w:name="_Toc11993"/>
      <w:bookmarkStart w:id="65" w:name="_Toc12789058"/>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、安全要求</w:t>
      </w:r>
      <w:bookmarkEnd w:id="62"/>
      <w:bookmarkEnd w:id="63"/>
      <w:bookmarkEnd w:id="64"/>
    </w:p>
    <w:p w14:paraId="0D59964C">
      <w:pPr>
        <w:keepNext w:val="0"/>
        <w:keepLines w:val="0"/>
        <w:pageBreakBefore w:val="0"/>
        <w:widowControl w:val="0"/>
        <w:kinsoku/>
        <w:wordWrap/>
        <w:topLinePunct w:val="0"/>
        <w:bidi w:val="0"/>
        <w:adjustRightInd/>
        <w:snapToGrid/>
        <w:spacing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78467599">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bookmarkStart w:id="66" w:name="_Toc3836"/>
      <w:bookmarkStart w:id="67" w:name="_Toc9235"/>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、质量要求</w:t>
      </w:r>
      <w:bookmarkEnd w:id="66"/>
      <w:bookmarkEnd w:id="67"/>
    </w:p>
    <w:p w14:paraId="04365CEC">
      <w:pPr>
        <w:keepNext w:val="0"/>
        <w:keepLines w:val="0"/>
        <w:pageBreakBefore w:val="0"/>
        <w:widowControl w:val="0"/>
        <w:kinsoku/>
        <w:wordWrap/>
        <w:topLinePunct w:val="0"/>
        <w:bidi w:val="0"/>
        <w:adjustRightInd/>
        <w:snapToGrid/>
        <w:spacing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工程质量符合强制性质量标准，符合国家和重庆市现行有关施工质量验收规范要求，并达到合格标准。</w:t>
      </w:r>
    </w:p>
    <w:p w14:paraId="428EF555">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bookmarkStart w:id="68" w:name="_Toc2250"/>
      <w:bookmarkStart w:id="69" w:name="_Toc686"/>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w:t>
      </w:r>
      <w:bookmarkStart w:id="70" w:name="_Toc80863889"/>
      <w:r>
        <w:rPr>
          <w:rFonts w:hint="eastAsia" w:ascii="宋体" w:hAnsi="宋体" w:eastAsia="宋体" w:cs="宋体"/>
          <w:color w:val="auto"/>
          <w:sz w:val="24"/>
          <w:szCs w:val="24"/>
          <w:highlight w:val="none"/>
          <w:lang w:val="en-US" w:eastAsia="zh-CN"/>
        </w:rPr>
        <w:t>现场踏勘</w:t>
      </w:r>
      <w:bookmarkEnd w:id="68"/>
      <w:bookmarkEnd w:id="69"/>
      <w:bookmarkEnd w:id="70"/>
    </w:p>
    <w:p w14:paraId="0255A760">
      <w:pPr>
        <w:keepNext w:val="0"/>
        <w:keepLines w:val="0"/>
        <w:pageBreakBefore w:val="0"/>
        <w:widowControl w:val="0"/>
        <w:kinsoku/>
        <w:wordWrap/>
        <w:topLinePunct w:val="0"/>
        <w:bidi w:val="0"/>
        <w:adjustRightInd/>
        <w:snapToGrid/>
        <w:spacing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（一）采购人不组织现场踏勘，由各供应商在比选开始前自行到现场进行踏勘了解实际情况，根据实际踏勘情况做服务方案。踏勘产生的费用和风险等均由供应商自行承担。</w:t>
      </w:r>
    </w:p>
    <w:p w14:paraId="238FDCC7">
      <w:pPr>
        <w:keepNext w:val="0"/>
        <w:keepLines w:val="0"/>
        <w:pageBreakBefore w:val="0"/>
        <w:widowControl w:val="0"/>
        <w:kinsoku/>
        <w:wordWrap/>
        <w:topLinePunct w:val="0"/>
        <w:bidi w:val="0"/>
        <w:adjustRightInd/>
        <w:snapToGrid/>
        <w:spacing w:line="37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二）无论供应商是否踏勘过现场，均视为在响应截止时间之前踏勘过现场且对本项目潜在的风险和义务已完全了解，已充分考虑了本项目可能面临的不确定因素可能导致的风险，成交供应商不得以不完全了解现场情况为借口而提出延长服务期限或提出额外赔偿等要求。</w:t>
      </w:r>
    </w:p>
    <w:p w14:paraId="1E423D9B">
      <w:pPr>
        <w:pStyle w:val="4"/>
        <w:keepNext w:val="0"/>
        <w:keepLines w:val="0"/>
        <w:pageBreakBefore w:val="0"/>
        <w:widowControl w:val="0"/>
        <w:kinsoku/>
        <w:wordWrap/>
        <w:topLinePunct w:val="0"/>
        <w:bidi w:val="0"/>
        <w:adjustRightInd/>
        <w:spacing w:line="240" w:lineRule="auto"/>
        <w:textAlignment w:val="auto"/>
        <w:rPr>
          <w:rFonts w:hint="eastAsia" w:ascii="宋体" w:hAnsi="宋体" w:cs="宋体"/>
          <w:b w:val="0"/>
          <w:bCs/>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、结合本工程特点提出切实可行的服务方案</w:t>
      </w:r>
      <w:bookmarkStart w:id="71" w:name="_Toc27288"/>
      <w:bookmarkStart w:id="72" w:name="_Toc3420"/>
      <w:bookmarkStart w:id="73" w:name="_Toc21506"/>
      <w:bookmarkStart w:id="74" w:name="_Toc29141"/>
    </w:p>
    <w:p w14:paraId="5A8BA888">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安全管理体系与措施：编制要点：针对本项目安全控制有透彻的认识，明确施工现场管理人员安全生产职责、达到施工安全目标，针对工程特点、确定危险源并制定具体的保护措施。对施工过程中可能发生的各种安全问题有合理的预见，并提出相应的应对措施，从安全体系建设、安全预案可靠性、安全经费保障、安全措施保障计划、安全管理机构设置科学、充分、有效并符合本项目实际需要。</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3833E190">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环境保护管理体系措施：编制要点：编制相应的环境保护组织机构，根据项目特征，识别评价环境影响因素，制定相应预防控制措施，切合实际，采取有效的措施防止扬尘、噪音等物质对大气的污染，施工产生的废渣有合理的处理方案，设有专人负责协调处理施工过程中产生的环境保护、水土保持相关问题及应急处置方案和措施，环境保护、水土保持体系健全有效，环境保护、水土保持保证措施得当具有针对性，与本项目周边环境情况相符合。</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546F1190">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工程进度计划与措施：编制要点：合理规划施工总体进度计划、控制性项目安排得当，工程进度补救措施可行，进度管理有提前预想方案以及补救措施，有理想可靠的提前工期方案。针对本项目</w:t>
      </w:r>
      <w:r>
        <w:rPr>
          <w:rFonts w:hint="eastAsia" w:ascii="宋体" w:hAnsi="宋体" w:cs="宋体"/>
          <w:b w:val="0"/>
          <w:bCs/>
          <w:color w:val="auto"/>
          <w:sz w:val="24"/>
          <w:szCs w:val="24"/>
          <w:highlight w:val="none"/>
          <w:lang w:val="en-US" w:eastAsia="zh-CN"/>
        </w:rPr>
        <w:t>施工内容</w:t>
      </w:r>
      <w:r>
        <w:rPr>
          <w:rFonts w:hint="eastAsia" w:ascii="宋体" w:hAnsi="宋体" w:eastAsia="宋体" w:cs="宋体"/>
          <w:b w:val="0"/>
          <w:bCs/>
          <w:color w:val="auto"/>
          <w:sz w:val="24"/>
          <w:szCs w:val="24"/>
          <w:highlight w:val="none"/>
          <w:lang w:val="en-US" w:eastAsia="zh-CN"/>
        </w:rPr>
        <w:t>制定保证工期专项措施。总计划满足</w:t>
      </w:r>
      <w:r>
        <w:rPr>
          <w:rFonts w:hint="eastAsia" w:ascii="宋体" w:hAnsi="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val="en-US" w:eastAsia="zh-CN"/>
        </w:rPr>
        <w:t>文件要求，逻辑关系正确，可操作行强，关键线路节点清晰准确完整，并绘制出双代号网络图。施工总体进度计划是否合理（附网络图），控制性项目是否安排得当，工程进度补救措施是否可行。提供工程进度计划表，明确开、竣工日期，各工作的自由时差及总时差，六个时间参数及相关措施。</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79A30783">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资源配备计划：编制要点：审查投入本工程施工的机具和设备是否符合本项目要求，以表格形式明确施工设备的名称、型号、数量、功率、施工部位、归属、已使用年限等方面充分满足施工需要；试验设备结合本项目明确用途；提供劳动力计划、主要机具设备配置计划，满足本项目需要的主要材料供应计划。</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73BEDE1C">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237AAB8">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3D8844A">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2DA99369">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160CFF9">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F917BB0">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42C3C1B">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9BFF375">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08275FD">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C36C5E1">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C73DBC4">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2381C5E3">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0729A0A8">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r>
        <w:rPr>
          <w:rFonts w:hint="eastAsia" w:ascii="Times New Roman" w:hAnsi="Times New Roman" w:eastAsia="宋体" w:cs="宋体"/>
          <w:b/>
          <w:bCs w:val="0"/>
          <w:color w:val="auto"/>
          <w:kern w:val="2"/>
          <w:sz w:val="36"/>
          <w:szCs w:val="36"/>
          <w:highlight w:val="none"/>
          <w:lang w:val="en-US" w:eastAsia="zh-CN" w:bidi="ar-SA"/>
        </w:rPr>
        <w:t>第三篇  项目商务需求</w:t>
      </w:r>
      <w:bookmarkEnd w:id="65"/>
      <w:bookmarkEnd w:id="71"/>
      <w:bookmarkEnd w:id="72"/>
      <w:bookmarkEnd w:id="73"/>
      <w:bookmarkEnd w:id="74"/>
    </w:p>
    <w:p w14:paraId="147BAFDB">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75" w:name="_Toc15498"/>
      <w:bookmarkStart w:id="76" w:name="_Toc51655840"/>
      <w:bookmarkStart w:id="77" w:name="_Toc19148"/>
      <w:bookmarkStart w:id="78" w:name="_Toc26026"/>
      <w:bookmarkStart w:id="79" w:name="_Toc525909820"/>
      <w:bookmarkStart w:id="80" w:name="_Toc486325801"/>
      <w:bookmarkStart w:id="81" w:name="_Toc267320049"/>
      <w:bookmarkStart w:id="82" w:name="_Toc344475123"/>
      <w:bookmarkStart w:id="83" w:name="_Toc344475120"/>
      <w:bookmarkStart w:id="84" w:name="_Toc12789059"/>
      <w:bookmarkStart w:id="85" w:name="_Toc11641055"/>
      <w:r>
        <w:rPr>
          <w:rFonts w:hint="eastAsia" w:ascii="宋体" w:hAnsi="宋体" w:eastAsia="宋体" w:cs="宋体"/>
          <w:color w:val="auto"/>
          <w:sz w:val="24"/>
          <w:szCs w:val="24"/>
          <w:highlight w:val="none"/>
          <w:lang w:val="en-US" w:eastAsia="zh-CN"/>
        </w:rPr>
        <w:t>一、工期、建设地点、验收方式</w:t>
      </w:r>
      <w:bookmarkEnd w:id="75"/>
      <w:bookmarkEnd w:id="76"/>
      <w:r>
        <w:rPr>
          <w:rFonts w:hint="eastAsia" w:ascii="宋体" w:hAnsi="宋体" w:eastAsia="宋体" w:cs="宋体"/>
          <w:color w:val="auto"/>
          <w:sz w:val="24"/>
          <w:szCs w:val="24"/>
          <w:highlight w:val="none"/>
          <w:lang w:val="en-US" w:eastAsia="zh-CN"/>
        </w:rPr>
        <w:t>及安全目标</w:t>
      </w:r>
      <w:bookmarkEnd w:id="77"/>
      <w:bookmarkEnd w:id="78"/>
    </w:p>
    <w:p w14:paraId="1B4F3923">
      <w:pPr>
        <w:keepNext w:val="0"/>
        <w:keepLines w:val="0"/>
        <w:pageBreakBefore w:val="0"/>
        <w:widowControl w:val="0"/>
        <w:numPr>
          <w:ilvl w:val="0"/>
          <w:numId w:val="0"/>
        </w:numPr>
        <w:kinsoku/>
        <w:wordWrap/>
        <w:overflowPunct/>
        <w:topLinePunct w:val="0"/>
        <w:autoSpaceDE/>
        <w:autoSpaceDN/>
        <w:bidi w:val="0"/>
        <w:snapToGrid w:val="0"/>
        <w:spacing w:line="40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sz w:val="24"/>
          <w:szCs w:val="24"/>
          <w:highlight w:val="none"/>
          <w:lang w:val="en-US" w:eastAsia="zh-CN"/>
        </w:rPr>
        <w:t>工期</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60日历天</w:t>
      </w:r>
      <w:r>
        <w:rPr>
          <w:rFonts w:hint="eastAsia" w:ascii="宋体" w:hAnsi="宋体" w:eastAsia="宋体" w:cs="宋体"/>
          <w:color w:val="auto"/>
          <w:kern w:val="2"/>
          <w:sz w:val="24"/>
          <w:szCs w:val="24"/>
          <w:highlight w:val="none"/>
          <w:lang w:val="en-US" w:eastAsia="zh-CN" w:bidi="ar-SA"/>
        </w:rPr>
        <w:t>。</w:t>
      </w:r>
    </w:p>
    <w:p w14:paraId="7BFB4D94">
      <w:pPr>
        <w:keepNext w:val="0"/>
        <w:keepLines w:val="0"/>
        <w:pageBreakBefore w:val="0"/>
        <w:widowControl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（二）建设</w:t>
      </w:r>
      <w:r>
        <w:rPr>
          <w:rFonts w:hint="eastAsia" w:ascii="宋体" w:hAnsi="宋体" w:eastAsia="宋体" w:cs="宋体"/>
          <w:color w:val="auto"/>
          <w:sz w:val="24"/>
          <w:szCs w:val="24"/>
          <w:highlight w:val="none"/>
        </w:rPr>
        <w:t>地点：</w:t>
      </w:r>
      <w:r>
        <w:rPr>
          <w:rFonts w:hint="eastAsia" w:ascii="宋体" w:hAnsi="宋体" w:eastAsia="宋体" w:cs="宋体"/>
          <w:color w:val="auto"/>
          <w:kern w:val="2"/>
          <w:sz w:val="24"/>
          <w:szCs w:val="24"/>
          <w:highlight w:val="none"/>
          <w:lang w:val="en-US" w:eastAsia="zh-CN" w:bidi="ar-SA"/>
        </w:rPr>
        <w:t>采购人指定地点。</w:t>
      </w:r>
    </w:p>
    <w:p w14:paraId="262EA922">
      <w:pPr>
        <w:keepNext w:val="0"/>
        <w:keepLines w:val="0"/>
        <w:pageBreakBefore w:val="0"/>
        <w:widowControl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验收方式</w:t>
      </w:r>
    </w:p>
    <w:p w14:paraId="0EA85BD0">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施工过程应遵照现行国家有关规范进行，按照图级进行及有关要求进行检查验收。成交供应商应保证工程质量，工程用建筑材料须符合国家及行业标准，项目工程达到国家现行有关施工质量验收规范要求，并达到合格标准。</w:t>
      </w:r>
    </w:p>
    <w:p w14:paraId="04B00CC0">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2.工程完工后，按国家相关标准验收程序和规程进行验收。验收的相关费用由成交供应商承担。</w:t>
      </w:r>
    </w:p>
    <w:p w14:paraId="565932EF">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3.成交供应商未达到采购文件的要求，且对采购人造成损失的，由成交供应商承担一切责任，并赔偿所造成的损失。</w:t>
      </w:r>
    </w:p>
    <w:p w14:paraId="37F48780">
      <w:pPr>
        <w:pStyle w:val="23"/>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（四）安全目标</w:t>
      </w:r>
    </w:p>
    <w:p w14:paraId="7963AB27">
      <w:pPr>
        <w:keepNext w:val="0"/>
        <w:keepLines w:val="0"/>
        <w:pageBreakBefore w:val="0"/>
        <w:widowControl w:val="0"/>
        <w:suppressLineNumbers w:val="0"/>
        <w:kinsoku/>
        <w:wordWrap/>
        <w:overflowPunct/>
        <w:topLinePunct w:val="0"/>
        <w:autoSpaceDE/>
        <w:autoSpaceDN/>
        <w:bidi w:val="0"/>
        <w:spacing w:line="400" w:lineRule="exact"/>
        <w:ind w:left="0" w:firstLine="480" w:firstLineChars="200"/>
        <w:jc w:val="left"/>
        <w:textAlignment w:val="auto"/>
        <w:rPr>
          <w:rFonts w:hint="eastAsia"/>
          <w:color w:val="auto"/>
          <w:highlight w:val="none"/>
          <w:lang w:val="en-US" w:eastAsia="zh-CN"/>
        </w:rPr>
      </w:pPr>
      <w:r>
        <w:rPr>
          <w:rFonts w:hint="eastAsia" w:ascii="宋体" w:hAnsi="宋体" w:eastAsia="宋体" w:cs="宋体"/>
          <w:color w:val="auto"/>
          <w:kern w:val="2"/>
          <w:sz w:val="24"/>
          <w:szCs w:val="24"/>
          <w:highlight w:val="none"/>
          <w:lang w:val="en-US" w:eastAsia="zh-CN" w:bidi="ar-SA"/>
        </w:rPr>
        <w:t>达到国家安全技术规范和标准的要求，无大小安全责任事故。</w:t>
      </w:r>
    </w:p>
    <w:p w14:paraId="05C211B7">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86" w:name="_Toc2507"/>
      <w:r>
        <w:rPr>
          <w:rFonts w:hint="eastAsia" w:ascii="宋体" w:hAnsi="宋体" w:eastAsia="宋体" w:cs="宋体"/>
          <w:color w:val="auto"/>
          <w:sz w:val="24"/>
          <w:szCs w:val="24"/>
          <w:highlight w:val="none"/>
          <w:lang w:val="en-US" w:eastAsia="zh-CN"/>
        </w:rPr>
        <w:t>二、人员要求</w:t>
      </w:r>
    </w:p>
    <w:bookmarkEnd w:id="86"/>
    <w:p w14:paraId="6E4C6214">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bookmarkStart w:id="87" w:name="_Toc267320050"/>
      <w:r>
        <w:rPr>
          <w:rFonts w:hint="eastAsia" w:asciiTheme="minorEastAsia" w:hAnsiTheme="minorEastAsia" w:eastAsiaTheme="minorEastAsia" w:cstheme="minorEastAsia"/>
          <w:color w:val="auto"/>
          <w:kern w:val="2"/>
          <w:sz w:val="24"/>
          <w:szCs w:val="24"/>
          <w:highlight w:val="none"/>
          <w:lang w:val="en-US" w:eastAsia="zh-CN" w:bidi="ar-SA"/>
        </w:rPr>
        <w:t>1.项目经理：拟派的项目经理须在供应商单位注册，并应具有</w:t>
      </w:r>
      <w:r>
        <w:rPr>
          <w:rFonts w:hint="eastAsia" w:asciiTheme="minorEastAsia" w:hAnsiTheme="minorEastAsia" w:eastAsiaTheme="minorEastAsia" w:cstheme="minorEastAsia"/>
          <w:color w:val="auto"/>
          <w:kern w:val="2"/>
          <w:sz w:val="24"/>
          <w:szCs w:val="24"/>
          <w:highlight w:val="none"/>
          <w:u w:val="single"/>
          <w:lang w:val="en-US" w:eastAsia="zh-CN" w:bidi="ar-SA"/>
        </w:rPr>
        <w:t>市政公用工程</w:t>
      </w:r>
      <w:r>
        <w:rPr>
          <w:rFonts w:hint="eastAsia" w:asciiTheme="minorEastAsia" w:hAnsiTheme="minorEastAsia" w:eastAsiaTheme="minorEastAsia" w:cstheme="minorEastAsia"/>
          <w:color w:val="auto"/>
          <w:kern w:val="2"/>
          <w:sz w:val="24"/>
          <w:szCs w:val="24"/>
          <w:highlight w:val="none"/>
          <w:lang w:val="en-US" w:eastAsia="zh-CN" w:bidi="ar-SA"/>
        </w:rPr>
        <w:t>专业</w:t>
      </w:r>
      <w:r>
        <w:rPr>
          <w:rFonts w:hint="eastAsia" w:asciiTheme="minorEastAsia" w:hAnsiTheme="minorEastAsia" w:eastAsiaTheme="minorEastAsia" w:cstheme="minorEastAsia"/>
          <w:color w:val="auto"/>
          <w:kern w:val="2"/>
          <w:sz w:val="24"/>
          <w:szCs w:val="24"/>
          <w:highlight w:val="none"/>
          <w:u w:val="single"/>
          <w:lang w:val="en-US" w:eastAsia="zh-CN" w:bidi="ar-SA"/>
        </w:rPr>
        <w:t>二级</w:t>
      </w:r>
      <w:r>
        <w:rPr>
          <w:rFonts w:hint="eastAsia" w:asciiTheme="minorEastAsia" w:hAnsiTheme="minorEastAsia" w:eastAsiaTheme="minorEastAsia" w:cstheme="minorEastAsia"/>
          <w:color w:val="auto"/>
          <w:kern w:val="2"/>
          <w:sz w:val="24"/>
          <w:szCs w:val="24"/>
          <w:highlight w:val="none"/>
          <w:lang w:val="en-US" w:eastAsia="zh-CN" w:bidi="ar-SA"/>
        </w:rPr>
        <w:t>及以上注册建造师执业资格（提供拟派项目经理身份证、建造师注册证、安全生产考核合格证书（B类）复印件）。</w:t>
      </w:r>
    </w:p>
    <w:p w14:paraId="46B6C35A">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2.项目技术负责人：应具有</w:t>
      </w:r>
      <w:r>
        <w:rPr>
          <w:rFonts w:hint="eastAsia" w:asciiTheme="minorEastAsia" w:hAnsiTheme="minorEastAsia" w:eastAsiaTheme="minorEastAsia" w:cstheme="minorEastAsia"/>
          <w:color w:val="auto"/>
          <w:kern w:val="2"/>
          <w:sz w:val="24"/>
          <w:szCs w:val="24"/>
          <w:highlight w:val="none"/>
          <w:u w:val="single"/>
          <w:lang w:val="en-US" w:eastAsia="zh-CN" w:bidi="ar-SA"/>
        </w:rPr>
        <w:t>工程类中级</w:t>
      </w:r>
      <w:r>
        <w:rPr>
          <w:rFonts w:hint="eastAsia" w:asciiTheme="minorEastAsia" w:hAnsiTheme="minorEastAsia" w:eastAsiaTheme="minorEastAsia" w:cstheme="minorEastAsia"/>
          <w:color w:val="auto"/>
          <w:kern w:val="2"/>
          <w:sz w:val="24"/>
          <w:szCs w:val="24"/>
          <w:highlight w:val="none"/>
          <w:lang w:val="en-US" w:eastAsia="zh-CN" w:bidi="ar-SA"/>
        </w:rPr>
        <w:t>及以上职称（提供身份证、职称证复印件）。</w:t>
      </w:r>
    </w:p>
    <w:p w14:paraId="2B145F50">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主要管理人员：供应商自行承诺（格式自拟）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成交后不能满足该要求的，取消其成交资格，给采购人造成损失的，供应商依法承担违约赔偿责任。</w:t>
      </w:r>
    </w:p>
    <w:p w14:paraId="66C63423">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4.委托代理人：委托代理人必须为供应商本单位人员。</w:t>
      </w:r>
    </w:p>
    <w:p w14:paraId="610A241E">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注：项目经理、项目技术负责人及委托代理人须提供本单位为其缴纳的2025年11月至2026年4月连续养老保险证明（提供养老保险证明复印件）。</w:t>
      </w:r>
    </w:p>
    <w:bookmarkEnd w:id="79"/>
    <w:bookmarkEnd w:id="80"/>
    <w:bookmarkEnd w:id="81"/>
    <w:bookmarkEnd w:id="82"/>
    <w:bookmarkEnd w:id="87"/>
    <w:p w14:paraId="3FB2211F">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88" w:name="_Toc13283"/>
      <w:bookmarkStart w:id="89" w:name="_Toc12932"/>
      <w:bookmarkStart w:id="90" w:name="_Toc17129"/>
      <w:bookmarkStart w:id="91" w:name="_Toc51655843"/>
      <w:bookmarkStart w:id="92" w:name="_Toc376184485"/>
      <w:bookmarkStart w:id="93" w:name="_Toc267320051"/>
      <w:r>
        <w:rPr>
          <w:rFonts w:hint="eastAsia" w:ascii="宋体" w:hAnsi="宋体" w:eastAsia="宋体" w:cs="宋体"/>
          <w:color w:val="auto"/>
          <w:sz w:val="24"/>
          <w:szCs w:val="24"/>
          <w:highlight w:val="none"/>
          <w:lang w:val="en-US" w:eastAsia="zh-CN"/>
        </w:rPr>
        <w:t>三、报价要求</w:t>
      </w:r>
      <w:bookmarkEnd w:id="88"/>
      <w:bookmarkEnd w:id="89"/>
    </w:p>
    <w:p w14:paraId="73949D06">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宋体" w:hAnsi="宋体" w:eastAsia="宋体" w:cs="宋体"/>
          <w:color w:val="auto"/>
          <w:sz w:val="24"/>
          <w:szCs w:val="24"/>
          <w:highlight w:val="none"/>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报价</w:t>
      </w:r>
      <w:r>
        <w:rPr>
          <w:rFonts w:hint="eastAsia" w:ascii="宋体" w:hAnsi="宋体" w:eastAsia="宋体" w:cs="宋体"/>
          <w:color w:val="auto"/>
          <w:kern w:val="0"/>
          <w:sz w:val="24"/>
          <w:szCs w:val="24"/>
          <w:highlight w:val="none"/>
        </w:rPr>
        <w:t>须为人民币报价</w:t>
      </w:r>
      <w:r>
        <w:rPr>
          <w:rFonts w:hint="eastAsia" w:ascii="宋体" w:hAnsi="宋体" w:eastAsia="宋体" w:cs="宋体"/>
          <w:color w:val="auto"/>
          <w:sz w:val="24"/>
          <w:szCs w:val="24"/>
          <w:highlight w:val="none"/>
        </w:rPr>
        <w:t>，包含完成该项目的全部工作内容，亦包含建设工程一般风险费、安全生产费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管理费、利润、税金、采购代理服务费等所有费用。因成交供应商自身原因造成漏报、少报皆由其自行承担责任，采购人不再补偿。</w:t>
      </w:r>
    </w:p>
    <w:p w14:paraId="7E25C587">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、本项目必须采用工程量清单计价。工程量清单应采用综合单价计价。</w:t>
      </w:r>
    </w:p>
    <w:p w14:paraId="2EE7FE9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供应商应按相应的配套定额和文件，结合自身实力、市场行情自主合理报价。</w:t>
      </w:r>
    </w:p>
    <w:p w14:paraId="0BBFEA05">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认真填写工程量清单中所列的本合同各工程子目的单价或总价。供应商没有填入单价或总价的工程子目，采购人将认为该子目的价款已包括在工程量清单其他子目的单价和总价中。供应商必须按招标工程量清单填报价格。</w:t>
      </w:r>
      <w:r>
        <w:rPr>
          <w:rFonts w:hint="eastAsia" w:ascii="宋体" w:hAnsi="宋体" w:cs="宋体"/>
          <w:color w:val="auto"/>
          <w:sz w:val="24"/>
          <w:szCs w:val="24"/>
          <w:highlight w:val="none"/>
          <w:lang w:val="en-US" w:eastAsia="zh-CN"/>
        </w:rPr>
        <w:t>序号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工程项目及名称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单位、数量</w:t>
      </w:r>
      <w:r>
        <w:rPr>
          <w:rFonts w:hint="eastAsia" w:ascii="宋体" w:hAnsi="宋体" w:eastAsia="宋体" w:cs="宋体"/>
          <w:color w:val="auto"/>
          <w:sz w:val="24"/>
          <w:szCs w:val="24"/>
          <w:highlight w:val="none"/>
        </w:rPr>
        <w:t>必须与招标工程量清单一致。</w:t>
      </w:r>
    </w:p>
    <w:p w14:paraId="1974F40D">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、报价函中的总报价必须与已标价工程量清单总报价一致。否则由评审小组作无效报价处理。</w:t>
      </w:r>
    </w:p>
    <w:p w14:paraId="73660296">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、采购人在工程量清单中所列出的暂列金额、暂估价</w:t>
      </w:r>
      <w:r>
        <w:rPr>
          <w:rFonts w:hint="eastAsia" w:ascii="宋体" w:hAnsi="宋体" w:cs="宋体"/>
          <w:color w:val="auto"/>
          <w:sz w:val="24"/>
          <w:szCs w:val="24"/>
          <w:highlight w:val="none"/>
          <w:lang w:val="en-US" w:eastAsia="zh-CN"/>
        </w:rPr>
        <w:t>等暂定金额</w:t>
      </w:r>
      <w:r>
        <w:rPr>
          <w:rFonts w:hint="eastAsia" w:ascii="宋体" w:hAnsi="宋体" w:eastAsia="宋体" w:cs="宋体"/>
          <w:color w:val="auto"/>
          <w:sz w:val="24"/>
          <w:szCs w:val="24"/>
          <w:highlight w:val="none"/>
        </w:rPr>
        <w:t>，供应商不得修改。否则由评审小组作无效报价处理。</w:t>
      </w:r>
    </w:p>
    <w:p w14:paraId="2C348DC5">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、本工程投标总报价</w:t>
      </w:r>
      <w:r>
        <w:rPr>
          <w:rFonts w:hint="eastAsia" w:ascii="宋体" w:hAnsi="宋体" w:eastAsia="宋体" w:cs="宋体"/>
          <w:b/>
          <w:bCs/>
          <w:color w:val="auto"/>
          <w:sz w:val="24"/>
          <w:szCs w:val="24"/>
          <w:highlight w:val="none"/>
        </w:rPr>
        <w:t>最高限价为：</w:t>
      </w:r>
      <w:r>
        <w:rPr>
          <w:rFonts w:hint="eastAsia" w:ascii="宋体" w:hAnsi="宋体" w:cs="宋体"/>
          <w:b/>
          <w:bCs/>
          <w:color w:val="auto"/>
          <w:sz w:val="24"/>
          <w:szCs w:val="24"/>
          <w:highlight w:val="none"/>
          <w:u w:val="single"/>
          <w:lang w:val="en-US" w:eastAsia="zh-CN"/>
        </w:rPr>
        <w:t xml:space="preserve"> 860797.12 </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u w:val="single"/>
          <w:lang w:val="en-US" w:eastAsia="zh-CN"/>
        </w:rPr>
        <w:t xml:space="preserve"> 捌拾陆万零柒佰玖拾柒元壹角贰分</w:t>
      </w:r>
      <w:r>
        <w:rPr>
          <w:rFonts w:hint="eastAsia" w:ascii="宋体" w:hAnsi="宋体" w:eastAsia="宋体" w:cs="宋体"/>
          <w:b/>
          <w:bCs/>
          <w:color w:val="auto"/>
          <w:sz w:val="24"/>
          <w:szCs w:val="24"/>
          <w:highlight w:val="none"/>
          <w:u w:val="singl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其中安全生产费：</w:t>
      </w:r>
      <w:r>
        <w:rPr>
          <w:rFonts w:hint="eastAsia" w:ascii="宋体" w:hAnsi="宋体" w:cs="宋体"/>
          <w:b/>
          <w:bCs/>
          <w:color w:val="auto"/>
          <w:sz w:val="24"/>
          <w:szCs w:val="24"/>
          <w:highlight w:val="none"/>
          <w:u w:val="single"/>
          <w:lang w:val="en-US" w:eastAsia="zh-CN"/>
        </w:rPr>
        <w:t xml:space="preserve"> 25607.73 </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u w:val="single"/>
          <w:lang w:val="en-US" w:eastAsia="zh-CN"/>
        </w:rPr>
        <w:t xml:space="preserve"> 贰万伍仟陆佰零柒元柒角叁分</w:t>
      </w:r>
      <w:r>
        <w:rPr>
          <w:rFonts w:hint="eastAsia" w:ascii="宋体" w:hAnsi="宋体" w:eastAsia="宋体" w:cs="宋体"/>
          <w:b/>
          <w:bCs/>
          <w:color w:val="auto"/>
          <w:sz w:val="24"/>
          <w:szCs w:val="24"/>
          <w:highlight w:val="none"/>
          <w:u w:val="single"/>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供应商的投标总报价不得超过投标总报价最高限价，否则由评审小组作无效报价处理。</w:t>
      </w:r>
    </w:p>
    <w:p w14:paraId="7CBAE662">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本工程招标将设置全部工程量清单</w:t>
      </w:r>
      <w:r>
        <w:rPr>
          <w:rFonts w:hint="eastAsia" w:ascii="宋体" w:hAnsi="宋体" w:eastAsia="宋体" w:cs="宋体"/>
          <w:b/>
          <w:bCs/>
          <w:color w:val="auto"/>
          <w:sz w:val="24"/>
          <w:szCs w:val="24"/>
          <w:highlight w:val="none"/>
        </w:rPr>
        <w:t>综合单价最高限价，</w:t>
      </w:r>
      <w:r>
        <w:rPr>
          <w:rFonts w:hint="eastAsia" w:ascii="宋体" w:hAnsi="宋体" w:eastAsia="宋体" w:cs="宋体"/>
          <w:color w:val="auto"/>
          <w:sz w:val="24"/>
          <w:szCs w:val="24"/>
          <w:highlight w:val="none"/>
        </w:rPr>
        <w:t>供应商的每项清单综合单价报价不得超过每项清单综合单价最高限价，否则由评审小组作无效处理。</w:t>
      </w:r>
    </w:p>
    <w:p w14:paraId="0790641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关于不平衡报价：在本项目投标工程量清单中，实行分部分项报价按最高限价均衡下浮，任意分部分项单价下浮率不得超过投标总报价下浮率【（最高限价-投标总报价）/最高限价】的±5%。采购人在发出结果公告前将对拟成交供应商的分部分项工程量清单综合单价报价进行复核，若发现拟成交供应商的分部分项工程量清单综合单价报价存在不平衡报价的情形，采购人有权要求进行修正，若不按采购人要求修正，取消其中标资格，拟成交供应商承担因此造成的相关责任并赔偿相应损失，采购人可以按照评审小组提出的成交候选供应商名单排序依次确定其他候选人为成交供应商，也可以重新招标。</w:t>
      </w:r>
    </w:p>
    <w:p w14:paraId="07380CD3">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）、异常低价警戒线要求：</w:t>
      </w:r>
      <w:r>
        <w:rPr>
          <w:rFonts w:hint="eastAsia" w:ascii="宋体" w:hAnsi="宋体" w:eastAsia="宋体" w:cs="宋体"/>
          <w:b/>
          <w:bCs/>
          <w:color w:val="auto"/>
          <w:sz w:val="24"/>
          <w:szCs w:val="24"/>
          <w:highlight w:val="none"/>
          <w:lang w:val="en-US" w:eastAsia="zh-CN"/>
        </w:rPr>
        <w:t>最高限价的85%</w:t>
      </w:r>
      <w:r>
        <w:rPr>
          <w:rFonts w:hint="eastAsia" w:ascii="宋体" w:hAnsi="宋体" w:eastAsia="宋体" w:cs="宋体"/>
          <w:color w:val="auto"/>
          <w:sz w:val="24"/>
          <w:szCs w:val="24"/>
          <w:highlight w:val="none"/>
          <w:lang w:val="en-US" w:eastAsia="zh-CN"/>
        </w:rPr>
        <w:t>。</w:t>
      </w:r>
    </w:p>
    <w:p w14:paraId="733EF61A">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投标总报价或者部分单项报价低于采购文件规定的对应的异常低价警戒线的，应提供报价合理性说明，并提供必要的证明材料。供应商提供的说明不得降低或者改变原设计方案、技术工艺、施工标准，不得影响项目的质量、安全、工期、结算等正常履约。</w:t>
      </w:r>
    </w:p>
    <w:p w14:paraId="1E6540B4">
      <w:pPr>
        <w:keepNext w:val="0"/>
        <w:keepLines w:val="0"/>
        <w:pageBreakBefore w:val="0"/>
        <w:widowControl w:val="0"/>
        <w:numPr>
          <w:ilvl w:val="0"/>
          <w:numId w:val="0"/>
        </w:numPr>
        <w:kinsoku/>
        <w:wordWrap/>
        <w:topLinePunct w:val="0"/>
        <w:bidi w:val="0"/>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供应商投标总报价或者部分单项报价低于采购文件规定的对应的异常低价警戒线的，供应商未提供报价合理性说明或者提供的说明不能证明其报价合理性的，由评审小组作否决投标处理。</w:t>
      </w:r>
    </w:p>
    <w:bookmarkEnd w:id="90"/>
    <w:p w14:paraId="11E013FA">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94" w:name="_Toc25603"/>
      <w:bookmarkStart w:id="95" w:name="_Toc32275"/>
      <w:r>
        <w:rPr>
          <w:rFonts w:hint="eastAsia" w:ascii="宋体" w:hAnsi="宋体" w:eastAsia="宋体" w:cs="宋体"/>
          <w:color w:val="auto"/>
          <w:sz w:val="24"/>
          <w:szCs w:val="24"/>
          <w:highlight w:val="none"/>
          <w:lang w:val="en-US" w:eastAsia="zh-CN"/>
        </w:rPr>
        <w:t>四、付款方式</w:t>
      </w:r>
      <w:bookmarkEnd w:id="91"/>
      <w:bookmarkEnd w:id="92"/>
      <w:bookmarkEnd w:id="93"/>
      <w:bookmarkEnd w:id="94"/>
      <w:bookmarkEnd w:id="95"/>
    </w:p>
    <w:p w14:paraId="5D947BE2">
      <w:pPr>
        <w:pStyle w:val="4"/>
        <w:keepNext w:val="0"/>
        <w:keepLines w:val="0"/>
        <w:pageBreakBefore w:val="0"/>
        <w:widowControl w:val="0"/>
        <w:numPr>
          <w:ilvl w:val="0"/>
          <w:numId w:val="0"/>
        </w:numPr>
        <w:kinsoku/>
        <w:wordWrap/>
        <w:topLinePunct w:val="0"/>
        <w:bidi w:val="0"/>
        <w:spacing w:line="400" w:lineRule="exact"/>
        <w:ind w:firstLine="480" w:firstLineChars="200"/>
        <w:textAlignment w:val="auto"/>
        <w:rPr>
          <w:rFonts w:hint="eastAsia" w:ascii="宋体" w:hAnsi="宋体" w:cs="宋体"/>
          <w:color w:val="auto"/>
          <w:sz w:val="24"/>
          <w:szCs w:val="24"/>
          <w:highlight w:val="none"/>
          <w:lang w:val="en-US" w:eastAsia="zh-CN"/>
        </w:rPr>
      </w:pPr>
      <w:bookmarkStart w:id="96" w:name="_Toc51"/>
      <w:bookmarkStart w:id="97" w:name="_Toc267320053"/>
      <w:bookmarkStart w:id="98" w:name="_Toc14374"/>
      <w:bookmarkStart w:id="99" w:name="_Toc376184487"/>
      <w:bookmarkStart w:id="100" w:name="_Toc51655845"/>
      <w:bookmarkStart w:id="101" w:name="_Toc27504"/>
      <w:bookmarkStart w:id="102" w:name="_Toc28549"/>
      <w:bookmarkStart w:id="103" w:name="_Toc267320054"/>
      <w:r>
        <w:rPr>
          <w:rFonts w:hint="eastAsia" w:ascii="宋体" w:hAnsi="宋体" w:eastAsia="宋体" w:cs="Times New Roman"/>
          <w:b w:val="0"/>
          <w:bCs/>
          <w:szCs w:val="21"/>
        </w:rPr>
        <w:t>工程竣工验收合格且完成发包人（业主单位）聘请的跟审或内审结算审核后支付至审核金额的85%，完成区审计局审计或区财政局审核后支付至审定金额的97%（超出合同部分的新增工程量需根据大足发改〔2025〕9号履行相关程序审批后再支付），剩余3%留作质量保证金，缺陷责任期满后发包人向承包人无息支付剩余工程款。</w:t>
      </w:r>
      <w:bookmarkEnd w:id="96"/>
      <w:bookmarkEnd w:id="97"/>
      <w:bookmarkEnd w:id="98"/>
      <w:bookmarkEnd w:id="99"/>
      <w:bookmarkEnd w:id="100"/>
    </w:p>
    <w:p w14:paraId="38B16B08">
      <w:pPr>
        <w:pStyle w:val="4"/>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五、结算原则</w:t>
      </w:r>
    </w:p>
    <w:p w14:paraId="1B433C3C">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1、结算总价=中标单价*实际完成工程量±增减（变更）工程造价±合同约定的其他费用，以审核审定的金额为准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施工单位提供的工程结算价款，审减率超过5%以上的，超过部分的审减效益费用由施工单位承担，由建设单位从工程结算价中扣除。</w:t>
      </w:r>
    </w:p>
    <w:p w14:paraId="51010FDA">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2、增减（变更）工程结算： </w:t>
      </w:r>
    </w:p>
    <w:p w14:paraId="686A7694">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（1）已标价工程量清单中有相同项目的，按照相同项目单价计算；</w:t>
      </w:r>
    </w:p>
    <w:p w14:paraId="6DBCDB7E">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已标价工程量清单中有类似项目的，参考类似项目单价计算</w:t>
      </w:r>
    </w:p>
    <w:p w14:paraId="1ED5A1FC">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工程内容与</w:t>
      </w:r>
      <w:r>
        <w:rPr>
          <w:rFonts w:hint="eastAsia" w:ascii="宋体" w:hAnsi="宋体" w:eastAsia="宋体" w:cs="宋体"/>
          <w:color w:val="auto"/>
          <w:sz w:val="24"/>
          <w:szCs w:val="24"/>
          <w:highlight w:val="none"/>
        </w:rPr>
        <w:t>已标价工程量清单中无相同项目亦无类似项目的，按照以下原则执行；《重庆市建设工程费用定额》（CQFYDE-2018）、《重庆市市政工程计价定额》（CQSZDE-2018）、《重庆市房屋建筑与装饰工程计价定额》（CQJZZSDE-2018）、《重庆市通用安装工程计价定额》（CQAZDE-2018）、《重庆市园林绿化工程计价定额》（CQYLLHDE-2018）、《重庆市绿色建筑工程计价定额》（CQLSJZDE-2018）、《重庆市装配式建筑工程计价定额》（CQZPDE-2022）、《重庆市爆破工程计价定额》（CQBPDE-2018）、《重庆市构筑物工程计价定额》（CQGZWDE-2018）、《重庆市房屋修缮工程计价定额》（CQXSDE-2018）、《重庆市建设工程施工机械台班定额》（CQJXDE-2018）、《重庆市建设工程混凝土及砂浆配合比表》（CQPHBB-2018）、《重庆市建设工程施工仪器仪表台班定额》（CQYQYBDE-2018）及配套文件进行组价并按承包人报价浮动率下浮(认质核价的设备和材料不参与浮动)，承包人报价浮动率按下列公式计算：承包人报价浮动率=(1-中标价/最高限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100%。</w:t>
      </w:r>
    </w:p>
    <w:p w14:paraId="78906364">
      <w:pPr>
        <w:pStyle w:val="4"/>
        <w:keepNext w:val="0"/>
        <w:keepLines w:val="0"/>
        <w:pageBreakBefore w:val="0"/>
        <w:widowControl w:val="0"/>
        <w:kinsoku/>
        <w:wordWrap/>
        <w:topLinePunct w:val="0"/>
        <w:bidi w:val="0"/>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、履约担保</w:t>
      </w:r>
      <w:bookmarkEnd w:id="101"/>
      <w:r>
        <w:rPr>
          <w:rFonts w:hint="eastAsia" w:ascii="宋体" w:hAnsi="宋体" w:cs="宋体"/>
          <w:color w:val="auto"/>
          <w:sz w:val="24"/>
          <w:szCs w:val="24"/>
          <w:highlight w:val="none"/>
          <w:lang w:val="en-US" w:eastAsia="zh-CN"/>
        </w:rPr>
        <w:t>及农民工工资保证金</w:t>
      </w:r>
      <w:bookmarkEnd w:id="102"/>
    </w:p>
    <w:p w14:paraId="63B2E169">
      <w:pPr>
        <w:pStyle w:val="23"/>
        <w:keepNext w:val="0"/>
        <w:keepLines w:val="0"/>
        <w:pageBreakBefore w:val="0"/>
        <w:widowControl w:val="0"/>
        <w:numPr>
          <w:ilvl w:val="0"/>
          <w:numId w:val="0"/>
        </w:numPr>
        <w:kinsoku/>
        <w:topLinePunct w:val="0"/>
        <w:bidi w:val="0"/>
        <w:ind w:firstLine="480" w:firstLineChars="200"/>
        <w:rPr>
          <w:rFonts w:hint="eastAsia" w:ascii="宋体" w:hAnsi="宋体" w:eastAsia="宋体" w:cs="宋体"/>
          <w:color w:val="auto"/>
          <w:kern w:val="2"/>
          <w:sz w:val="24"/>
          <w:szCs w:val="24"/>
          <w:highlight w:val="none"/>
          <w:lang w:val="en-US" w:eastAsia="zh-CN" w:bidi="ar-SA"/>
        </w:rPr>
      </w:pPr>
      <w:bookmarkStart w:id="104" w:name="_Toc19421"/>
      <w:r>
        <w:rPr>
          <w:rFonts w:hint="eastAsia" w:ascii="宋体" w:hAnsi="宋体" w:eastAsia="宋体" w:cs="宋体"/>
          <w:color w:val="auto"/>
          <w:kern w:val="2"/>
          <w:sz w:val="24"/>
          <w:szCs w:val="24"/>
          <w:highlight w:val="none"/>
          <w:lang w:val="en-US" w:eastAsia="zh-CN" w:bidi="ar-SA"/>
        </w:rPr>
        <w:t>1、履约担保</w:t>
      </w:r>
    </w:p>
    <w:p w14:paraId="08BBE9AB">
      <w:pPr>
        <w:keepNext w:val="0"/>
        <w:keepLines w:val="0"/>
        <w:pageBreakBefore w:val="0"/>
        <w:widowControl w:val="0"/>
        <w:kinsoku/>
        <w:wordWrap/>
        <w:overflowPunct/>
        <w:topLinePunct w:val="0"/>
        <w:bidi w:val="0"/>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履约担保的形式：现金或现金+履约保函的组合（采用现金+履约保函的组合提交的，现金比例不低于应缴纳金额的50%），履约保函包括银行保函、保证保险和担保保函。</w:t>
      </w:r>
    </w:p>
    <w:p w14:paraId="34EFFE9A">
      <w:pPr>
        <w:keepNext w:val="0"/>
        <w:keepLines w:val="0"/>
        <w:pageBreakBefore w:val="0"/>
        <w:widowControl w:val="0"/>
        <w:kinsoku/>
        <w:wordWrap/>
        <w:overflowPunct/>
        <w:topLinePunct w:val="0"/>
        <w:bidi w:val="0"/>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根据《关于印发重庆市融资担保公司监管评级及分类监管办法的通知》(渝金发(2021)5号)文件，担保公司须在《重庆市地方金融监督管理局关于开展2022年度监管评级有关工作的通知》《重庆市地方金融监督管理局关于开展2023年度监管评级有关工作的通知》中监管评级等级在B级及以上。</w:t>
      </w:r>
    </w:p>
    <w:p w14:paraId="7E2BB243">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7DAF8DC8">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3、履约担保的金额：中选合同金额的10%（不包含农民工工资保证金）；</w:t>
      </w:r>
    </w:p>
    <w:p w14:paraId="12237102">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4、提交时间：中选承包商领取中选通知书之日起10个工作日内，并作为签订施工合同的必备条件。</w:t>
      </w:r>
    </w:p>
    <w:p w14:paraId="4B49FF37">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5、退还时间：采用现金担保的，工程</w:t>
      </w:r>
      <w:r>
        <w:rPr>
          <w:rFonts w:hint="eastAsia" w:ascii="宋体" w:hAnsi="宋体" w:cs="宋体"/>
          <w:color w:val="auto"/>
          <w:kern w:val="2"/>
          <w:sz w:val="24"/>
          <w:szCs w:val="24"/>
          <w:highlight w:val="none"/>
          <w:lang w:val="en-US" w:eastAsia="zh-CN" w:bidi="ar-SA"/>
        </w:rPr>
        <w:t>完工</w:t>
      </w:r>
      <w:r>
        <w:rPr>
          <w:rFonts w:hint="eastAsia" w:ascii="宋体" w:hAnsi="宋体" w:eastAsia="宋体" w:cs="宋体"/>
          <w:color w:val="auto"/>
          <w:kern w:val="2"/>
          <w:sz w:val="24"/>
          <w:szCs w:val="24"/>
          <w:highlight w:val="none"/>
          <w:lang w:val="en-US" w:eastAsia="zh-CN" w:bidi="ar-SA"/>
        </w:rPr>
        <w:t>验收合格后14天内退还；采用银行保函的，工程</w:t>
      </w:r>
      <w:r>
        <w:rPr>
          <w:rFonts w:hint="eastAsia" w:ascii="宋体" w:hAnsi="宋体" w:cs="宋体"/>
          <w:color w:val="auto"/>
          <w:kern w:val="2"/>
          <w:sz w:val="24"/>
          <w:szCs w:val="24"/>
          <w:highlight w:val="none"/>
          <w:lang w:val="en-US" w:eastAsia="zh-CN" w:bidi="ar-SA"/>
        </w:rPr>
        <w:t>完工</w:t>
      </w:r>
      <w:r>
        <w:rPr>
          <w:rFonts w:hint="eastAsia" w:ascii="宋体" w:hAnsi="宋体" w:eastAsia="宋体" w:cs="宋体"/>
          <w:color w:val="auto"/>
          <w:kern w:val="2"/>
          <w:sz w:val="24"/>
          <w:szCs w:val="24"/>
          <w:highlight w:val="none"/>
          <w:lang w:val="en-US" w:eastAsia="zh-CN" w:bidi="ar-SA"/>
        </w:rPr>
        <w:t>验收合格后14天内退还。</w:t>
      </w:r>
    </w:p>
    <w:p w14:paraId="1406EE5E">
      <w:pPr>
        <w:pStyle w:val="23"/>
        <w:keepNext w:val="0"/>
        <w:keepLines w:val="0"/>
        <w:pageBreakBefore w:val="0"/>
        <w:widowControl w:val="0"/>
        <w:numPr>
          <w:ilvl w:val="0"/>
          <w:numId w:val="0"/>
        </w:numPr>
        <w:kinsoku/>
        <w:topLinePunct w:val="0"/>
        <w:bidi w:val="0"/>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6、农民工工资保证金</w:t>
      </w:r>
    </w:p>
    <w:p w14:paraId="1BDDBFB3">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为确保施工过程中农民工工资实时、足额发放到位，承包人应按照下列条款约定的时间和金额缴存农民工工资保证金。</w:t>
      </w:r>
    </w:p>
    <w:p w14:paraId="648F06A5">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农民工工资保证金的缴存时间</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发出中选通知书之日起7个工作日内，并作为签订施工合同的必备条件。</w:t>
      </w:r>
    </w:p>
    <w:p w14:paraId="51FADC2A">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农民工工资保证金的缴存金额：</w:t>
      </w:r>
      <w:bookmarkStart w:id="105" w:name="OLE_LINK2"/>
      <w:r>
        <w:rPr>
          <w:rFonts w:hint="eastAsia" w:ascii="宋体" w:hAnsi="宋体" w:eastAsia="宋体" w:cs="宋体"/>
          <w:color w:val="auto"/>
          <w:kern w:val="2"/>
          <w:sz w:val="24"/>
          <w:szCs w:val="24"/>
          <w:highlight w:val="none"/>
          <w:lang w:val="en-US" w:eastAsia="zh-CN" w:bidi="ar-SA"/>
        </w:rPr>
        <w:t>按照渝人社规[2025]18号、渝人社规[2025]16号文件</w:t>
      </w:r>
      <w:r>
        <w:rPr>
          <w:rFonts w:hint="eastAsia" w:ascii="宋体" w:hAnsi="宋体" w:cs="宋体"/>
          <w:color w:val="auto"/>
          <w:kern w:val="2"/>
          <w:sz w:val="24"/>
          <w:szCs w:val="24"/>
          <w:highlight w:val="none"/>
          <w:lang w:val="en-US" w:eastAsia="zh-CN" w:bidi="ar-SA"/>
        </w:rPr>
        <w:t>等相关文件</w:t>
      </w:r>
      <w:r>
        <w:rPr>
          <w:rFonts w:hint="eastAsia" w:ascii="宋体" w:hAnsi="宋体" w:eastAsia="宋体" w:cs="宋体"/>
          <w:color w:val="auto"/>
          <w:kern w:val="2"/>
          <w:sz w:val="24"/>
          <w:szCs w:val="24"/>
          <w:highlight w:val="none"/>
          <w:lang w:val="en-US" w:eastAsia="zh-CN" w:bidi="ar-SA"/>
        </w:rPr>
        <w:t xml:space="preserve">执行 </w:t>
      </w:r>
      <w:bookmarkEnd w:id="105"/>
      <w:r>
        <w:rPr>
          <w:rFonts w:hint="eastAsia" w:ascii="宋体" w:hAnsi="宋体" w:eastAsia="宋体" w:cs="宋体"/>
          <w:color w:val="auto"/>
          <w:kern w:val="2"/>
          <w:sz w:val="24"/>
          <w:szCs w:val="24"/>
          <w:highlight w:val="none"/>
          <w:lang w:val="en-US" w:eastAsia="zh-CN" w:bidi="ar-SA"/>
        </w:rPr>
        <w:t>。</w:t>
      </w:r>
    </w:p>
    <w:p w14:paraId="3B91E2C8">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7、农民工工资保证金可采用银行保函或现金、支票形式。采用银行保函时，出具保函的银行须具有相应担保能力，且按照发包人批准的格式出具，所需费用由承包人承担。</w:t>
      </w:r>
    </w:p>
    <w:p w14:paraId="096B63DB">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8、农民工工资保证金的扣留条件、返还时间按照下列条款的约定执行。</w:t>
      </w:r>
    </w:p>
    <w:p w14:paraId="0BEBD7AE">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扣留条件：经重庆市大足区人力资源和社会保障行政部门及以上劳动保障行政主管部门查证属实、或经施工企业（含授权项目负责人）确认拖欠属实，并取得相关书面凭证的，建设单位可以启用农民工工资保证金。特殊应急状态下，一时无法查证、且农民工能出具有效的拖欠工资证明材料的，建设单位也可启用农民工工资保证金应急。</w:t>
      </w:r>
    </w:p>
    <w:p w14:paraId="2223BBCB">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农民工工资保证金的返还时间： 农民工工资保证金的返还时间：竣工验收合格后，建设单位应在工地现场和网站进行不少于 10 日的公告，对在规定时限内未接到拖欠投诉或有投诉已及时足额支付的，按相关规定程序返还。</w:t>
      </w:r>
    </w:p>
    <w:p w14:paraId="53307D49">
      <w:pPr>
        <w:pStyle w:val="23"/>
        <w:keepNext w:val="0"/>
        <w:keepLines w:val="0"/>
        <w:pageBreakBefore w:val="0"/>
        <w:widowControl w:val="0"/>
        <w:kinsoku/>
        <w:topLinePunct w:val="0"/>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发包人应按行业主管部门的相关规定将合同价款支付至承包人指定的开户银行及银行账户。</w:t>
      </w:r>
    </w:p>
    <w:p w14:paraId="077E8A29">
      <w:pPr>
        <w:pStyle w:val="4"/>
        <w:keepNext w:val="0"/>
        <w:keepLines w:val="0"/>
        <w:pageBreakBefore w:val="0"/>
        <w:widowControl w:val="0"/>
        <w:numPr>
          <w:ilvl w:val="0"/>
          <w:numId w:val="0"/>
        </w:numPr>
        <w:kinsoku/>
        <w:wordWrap/>
        <w:topLinePunct w:val="0"/>
        <w:bidi w:val="0"/>
        <w:spacing w:line="400" w:lineRule="exact"/>
        <w:textAlignment w:val="auto"/>
        <w:rPr>
          <w:rFonts w:hint="eastAsia" w:ascii="宋体" w:hAnsi="宋体" w:eastAsia="宋体" w:cs="宋体"/>
          <w:color w:val="auto"/>
          <w:kern w:val="2"/>
          <w:sz w:val="24"/>
          <w:szCs w:val="24"/>
          <w:highlight w:val="none"/>
          <w:lang w:val="en-US" w:eastAsia="zh-CN" w:bidi="ar-SA"/>
        </w:rPr>
      </w:pPr>
      <w:bookmarkStart w:id="106" w:name="_Toc579"/>
      <w:r>
        <w:rPr>
          <w:rFonts w:hint="eastAsia" w:ascii="宋体" w:hAnsi="宋体" w:cs="宋体"/>
          <w:color w:val="auto"/>
          <w:kern w:val="2"/>
          <w:sz w:val="24"/>
          <w:szCs w:val="24"/>
          <w:highlight w:val="none"/>
          <w:lang w:val="en-US" w:eastAsia="zh-CN" w:bidi="ar-SA"/>
        </w:rPr>
        <w:t xml:space="preserve">七 </w:t>
      </w:r>
      <w:r>
        <w:rPr>
          <w:rFonts w:hint="eastAsia" w:ascii="宋体" w:hAnsi="宋体" w:eastAsia="宋体" w:cs="宋体"/>
          <w:color w:val="auto"/>
          <w:kern w:val="2"/>
          <w:sz w:val="24"/>
          <w:szCs w:val="24"/>
          <w:highlight w:val="none"/>
          <w:lang w:val="en-US" w:eastAsia="zh-CN" w:bidi="ar-SA"/>
        </w:rPr>
        <w:t>、知识产权</w:t>
      </w:r>
      <w:bookmarkEnd w:id="104"/>
      <w:bookmarkEnd w:id="106"/>
    </w:p>
    <w:p w14:paraId="45C1815F">
      <w:pPr>
        <w:keepNext w:val="0"/>
        <w:keepLines w:val="0"/>
        <w:pageBreakBefore w:val="0"/>
        <w:widowControl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FAF9FFA">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bookmarkStart w:id="107" w:name="_Toc2923"/>
      <w:bookmarkStart w:id="108" w:name="_Toc376184488"/>
      <w:bookmarkStart w:id="109" w:name="_Toc25323"/>
      <w:bookmarkStart w:id="110" w:name="_Toc51655846"/>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、其他</w:t>
      </w:r>
      <w:bookmarkEnd w:id="103"/>
      <w:bookmarkEnd w:id="107"/>
      <w:bookmarkEnd w:id="108"/>
      <w:bookmarkEnd w:id="109"/>
      <w:bookmarkEnd w:id="110"/>
    </w:p>
    <w:p w14:paraId="7F268637">
      <w:pPr>
        <w:keepNext w:val="0"/>
        <w:keepLines w:val="0"/>
        <w:pageBreakBefore w:val="0"/>
        <w:widowControl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其他未尽事宜由供需双方在采购合同中详细约定。</w:t>
      </w:r>
      <w:bookmarkEnd w:id="83"/>
    </w:p>
    <w:p w14:paraId="55C448E1">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C2760EF">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bookmarkStart w:id="111" w:name="_Toc7689"/>
      <w:bookmarkStart w:id="112" w:name="_Toc24050"/>
      <w:bookmarkStart w:id="113" w:name="_Toc25564"/>
      <w:bookmarkStart w:id="114" w:name="_Toc27644"/>
      <w:r>
        <w:rPr>
          <w:rFonts w:hint="eastAsia" w:ascii="Times New Roman" w:hAnsi="Times New Roman" w:eastAsia="宋体" w:cs="宋体"/>
          <w:b/>
          <w:bCs w:val="0"/>
          <w:color w:val="auto"/>
          <w:kern w:val="2"/>
          <w:sz w:val="36"/>
          <w:szCs w:val="36"/>
          <w:highlight w:val="none"/>
          <w:lang w:val="en-US" w:eastAsia="zh-CN" w:bidi="ar-SA"/>
        </w:rPr>
        <w:t xml:space="preserve">第四篇  </w:t>
      </w:r>
      <w:bookmarkEnd w:id="84"/>
      <w:bookmarkEnd w:id="85"/>
      <w:r>
        <w:rPr>
          <w:rFonts w:hint="eastAsia" w:ascii="Times New Roman" w:hAnsi="Times New Roman" w:eastAsia="宋体" w:cs="宋体"/>
          <w:b/>
          <w:bCs w:val="0"/>
          <w:color w:val="auto"/>
          <w:kern w:val="2"/>
          <w:sz w:val="36"/>
          <w:szCs w:val="36"/>
          <w:highlight w:val="none"/>
          <w:lang w:val="en-US" w:eastAsia="zh-CN" w:bidi="ar-SA"/>
        </w:rPr>
        <w:t>比选程序及方法、评审标准、无效比选及采购终止</w:t>
      </w:r>
      <w:bookmarkEnd w:id="111"/>
      <w:bookmarkEnd w:id="112"/>
      <w:bookmarkEnd w:id="113"/>
      <w:bookmarkEnd w:id="114"/>
    </w:p>
    <w:p w14:paraId="4C1F9252">
      <w:pPr>
        <w:pStyle w:val="3"/>
        <w:keepNext w:val="0"/>
        <w:keepLines w:val="0"/>
        <w:pageBreakBefore w:val="0"/>
        <w:widowControl w:val="0"/>
        <w:kinsoku/>
        <w:wordWrap/>
        <w:topLinePunct w:val="0"/>
        <w:bidi w:val="0"/>
        <w:spacing w:line="400" w:lineRule="exact"/>
        <w:textAlignment w:val="auto"/>
        <w:outlineLvl w:val="1"/>
        <w:rPr>
          <w:rFonts w:hint="eastAsia" w:ascii="宋体" w:hAnsi="宋体" w:eastAsia="宋体" w:cs="宋体"/>
          <w:color w:val="auto"/>
          <w:sz w:val="24"/>
          <w:szCs w:val="24"/>
          <w:highlight w:val="none"/>
          <w:lang w:val="en-US" w:eastAsia="zh-CN"/>
        </w:rPr>
      </w:pPr>
      <w:bookmarkStart w:id="115" w:name="_Toc12009"/>
      <w:bookmarkStart w:id="116" w:name="_Toc26614"/>
      <w:bookmarkStart w:id="117" w:name="_Toc11930"/>
      <w:bookmarkStart w:id="118" w:name="_Toc23485"/>
      <w:r>
        <w:rPr>
          <w:rFonts w:hint="eastAsia" w:ascii="宋体" w:hAnsi="宋体" w:eastAsia="宋体" w:cs="宋体"/>
          <w:color w:val="auto"/>
          <w:sz w:val="24"/>
          <w:szCs w:val="24"/>
          <w:highlight w:val="none"/>
          <w:lang w:val="en-US" w:eastAsia="zh-CN"/>
        </w:rPr>
        <w:t>一、比选程序</w:t>
      </w:r>
      <w:bookmarkEnd w:id="115"/>
      <w:bookmarkEnd w:id="116"/>
      <w:bookmarkEnd w:id="117"/>
      <w:bookmarkEnd w:id="118"/>
    </w:p>
    <w:p w14:paraId="2D5BCE6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kern w:val="0"/>
          <w:sz w:val="24"/>
          <w:szCs w:val="24"/>
          <w:highlight w:val="none"/>
        </w:rPr>
        <w:t>按采购文件规定的时间和地点进行，供应商须有法定代表人或授权代表参加并签到</w:t>
      </w:r>
      <w:r>
        <w:rPr>
          <w:rFonts w:hint="eastAsia" w:ascii="宋体" w:hAnsi="宋体" w:eastAsia="宋体" w:cs="宋体"/>
          <w:color w:val="auto"/>
          <w:sz w:val="24"/>
          <w:szCs w:val="24"/>
          <w:highlight w:val="none"/>
        </w:rPr>
        <w:t>。</w:t>
      </w:r>
    </w:p>
    <w:p w14:paraId="7B53CB2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评审小组对各供应商的资格条件、响应文件的有效性、完整性和响应程度进行审查。评审小组由采购人按规定组建。各供应商只有在完全符合要求的前提下，才能参与正式评审。</w:t>
      </w:r>
    </w:p>
    <w:p w14:paraId="76D113C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1.资格性检查。依据法律法规和</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的规定，对响应文件中的资格证明等进行审查，以确定供应商是否具备</w:t>
      </w:r>
      <w:r>
        <w:rPr>
          <w:rFonts w:hint="eastAsia" w:ascii="宋体" w:hAnsi="宋体" w:eastAsia="宋体" w:cs="宋体"/>
          <w:color w:val="auto"/>
          <w:kern w:val="0"/>
          <w:sz w:val="24"/>
          <w:szCs w:val="24"/>
          <w:highlight w:val="none"/>
          <w:lang w:eastAsia="zh-CN"/>
        </w:rPr>
        <w:t>比选</w:t>
      </w:r>
      <w:r>
        <w:rPr>
          <w:rFonts w:hint="eastAsia" w:ascii="宋体" w:hAnsi="宋体" w:eastAsia="宋体" w:cs="宋体"/>
          <w:color w:val="auto"/>
          <w:kern w:val="0"/>
          <w:sz w:val="24"/>
          <w:szCs w:val="24"/>
          <w:highlight w:val="none"/>
        </w:rPr>
        <w:t>资格。资格性检查资料表如下：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46CF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noWrap w:val="0"/>
            <w:vAlign w:val="center"/>
          </w:tcPr>
          <w:p w14:paraId="7142DA1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689" w:type="dxa"/>
            <w:gridSpan w:val="2"/>
            <w:noWrap w:val="0"/>
            <w:vAlign w:val="center"/>
          </w:tcPr>
          <w:p w14:paraId="7F6B182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241" w:type="dxa"/>
            <w:noWrap w:val="0"/>
            <w:vAlign w:val="center"/>
          </w:tcPr>
          <w:p w14:paraId="049F1A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032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noWrap w:val="0"/>
            <w:vAlign w:val="center"/>
          </w:tcPr>
          <w:p w14:paraId="69288C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noWrap w:val="0"/>
            <w:vAlign w:val="center"/>
          </w:tcPr>
          <w:p w14:paraId="5BAD760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应符合的基本资格条件</w:t>
            </w:r>
          </w:p>
        </w:tc>
        <w:tc>
          <w:tcPr>
            <w:tcW w:w="3980" w:type="dxa"/>
            <w:noWrap w:val="0"/>
            <w:vAlign w:val="center"/>
          </w:tcPr>
          <w:p w14:paraId="7D4C787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241" w:type="dxa"/>
            <w:noWrap w:val="0"/>
            <w:vAlign w:val="center"/>
          </w:tcPr>
          <w:p w14:paraId="5A7E9C2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供应商法人营业执照（副本）或事业单位法人证书（副本）或个体工商户营业执照或有效的自然人身份证明或社会团体法人登记证书复印件（注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,1)</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p>
          <w:p w14:paraId="7F9567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供应商法定代表人身份证明和法定代表人授权代表委托书。</w:t>
            </w:r>
          </w:p>
          <w:p w14:paraId="65D1D7A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不具有独立法人的分公司、办事处等分支机构不能参加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tc>
      </w:tr>
      <w:tr w14:paraId="5216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noWrap w:val="0"/>
            <w:vAlign w:val="center"/>
          </w:tcPr>
          <w:p w14:paraId="41C1611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3F2159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409030C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241" w:type="dxa"/>
            <w:vMerge w:val="restart"/>
            <w:noWrap w:val="0"/>
            <w:vAlign w:val="center"/>
          </w:tcPr>
          <w:p w14:paraId="68588E7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提供“基本资格条件承诺函”（格式详见</w:t>
            </w:r>
            <w:r>
              <w:rPr>
                <w:rFonts w:hint="eastAsia" w:ascii="宋体" w:hAnsi="宋体" w:cs="宋体"/>
                <w:color w:val="auto"/>
                <w:sz w:val="24"/>
                <w:szCs w:val="24"/>
                <w:highlight w:val="none"/>
                <w:lang w:val="en-US" w:eastAsia="zh-CN"/>
              </w:rPr>
              <w:t>第七篇</w:t>
            </w:r>
            <w:r>
              <w:rPr>
                <w:rFonts w:hint="eastAsia" w:ascii="宋体" w:hAnsi="宋体" w:eastAsia="宋体" w:cs="宋体"/>
                <w:color w:val="auto"/>
                <w:sz w:val="24"/>
                <w:szCs w:val="24"/>
                <w:highlight w:val="none"/>
              </w:rPr>
              <w:t>）。</w:t>
            </w:r>
          </w:p>
        </w:tc>
      </w:tr>
      <w:tr w14:paraId="314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noWrap w:val="0"/>
            <w:vAlign w:val="center"/>
          </w:tcPr>
          <w:p w14:paraId="351D3FC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7D8625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D315B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241" w:type="dxa"/>
            <w:vMerge w:val="continue"/>
            <w:noWrap w:val="0"/>
            <w:vAlign w:val="center"/>
          </w:tcPr>
          <w:p w14:paraId="553CC1C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r w14:paraId="5042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noWrap w:val="0"/>
            <w:vAlign w:val="center"/>
          </w:tcPr>
          <w:p w14:paraId="0942977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5BCA06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3C7A12D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241" w:type="dxa"/>
            <w:vMerge w:val="continue"/>
            <w:noWrap w:val="0"/>
            <w:vAlign w:val="center"/>
          </w:tcPr>
          <w:p w14:paraId="1066290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r w14:paraId="1EE5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3AB2CDE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5B9BF5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F8CA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,2)</w:instrText>
            </w:r>
            <w:r>
              <w:rPr>
                <w:rFonts w:hint="eastAsia" w:ascii="宋体" w:hAnsi="宋体" w:eastAsia="宋体" w:cs="宋体"/>
                <w:color w:val="auto"/>
                <w:sz w:val="24"/>
                <w:szCs w:val="24"/>
                <w:highlight w:val="none"/>
              </w:rPr>
              <w:fldChar w:fldCharType="end"/>
            </w:r>
          </w:p>
        </w:tc>
        <w:tc>
          <w:tcPr>
            <w:tcW w:w="4241" w:type="dxa"/>
            <w:vMerge w:val="continue"/>
            <w:noWrap w:val="0"/>
            <w:vAlign w:val="center"/>
          </w:tcPr>
          <w:p w14:paraId="461E5F8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r>
      <w:tr w14:paraId="4887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noWrap w:val="0"/>
            <w:vAlign w:val="center"/>
          </w:tcPr>
          <w:p w14:paraId="21CEB0D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7E31C0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2E071F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241" w:type="dxa"/>
            <w:noWrap w:val="0"/>
            <w:vAlign w:val="center"/>
          </w:tcPr>
          <w:p w14:paraId="00C40EC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p>
        </w:tc>
      </w:tr>
      <w:tr w14:paraId="2BA5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7E30CFF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89" w:type="dxa"/>
            <w:gridSpan w:val="2"/>
            <w:noWrap w:val="0"/>
            <w:vAlign w:val="center"/>
          </w:tcPr>
          <w:p w14:paraId="6DF4895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c>
          <w:tcPr>
            <w:tcW w:w="4241" w:type="dxa"/>
            <w:noWrap w:val="0"/>
            <w:vAlign w:val="center"/>
          </w:tcPr>
          <w:p w14:paraId="1112430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按第一篇“（二）特定资格条件”的要求提交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如果有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tc>
      </w:tr>
    </w:tbl>
    <w:p w14:paraId="7157A99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773CBC7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法实施条例》第十九条“参加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活动前三年内，在经营活动中没有重大违法记录”中“重大违法记录”，是指供应商因违法经营受到刑事处罚或者责令停产停业、吊销许可证或者执照、较大数额罚款等行政处罚。</w:t>
      </w:r>
    </w:p>
    <w:p w14:paraId="7AC70C3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kern w:val="0"/>
          <w:sz w:val="24"/>
          <w:szCs w:val="24"/>
          <w:highlight w:val="none"/>
        </w:rPr>
        <w:t>从响应文件的有效性、完整性和对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的响应程度进行审查，以确定是否对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的实质性要求作出响应。符合性检查资料表如下：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454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noWrap w:val="0"/>
            <w:vAlign w:val="center"/>
          </w:tcPr>
          <w:p w14:paraId="19CC189F">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734" w:type="dxa"/>
            <w:gridSpan w:val="2"/>
            <w:noWrap w:val="0"/>
            <w:vAlign w:val="center"/>
          </w:tcPr>
          <w:p w14:paraId="6674F77E">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156" w:type="dxa"/>
            <w:noWrap w:val="0"/>
            <w:vAlign w:val="center"/>
          </w:tcPr>
          <w:p w14:paraId="5AE8928D">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3B3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noWrap w:val="0"/>
            <w:vAlign w:val="center"/>
          </w:tcPr>
          <w:p w14:paraId="003EEBF5">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97" w:type="dxa"/>
            <w:vMerge w:val="restart"/>
            <w:noWrap w:val="0"/>
            <w:vAlign w:val="center"/>
          </w:tcPr>
          <w:p w14:paraId="3A404903">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2237" w:type="dxa"/>
            <w:noWrap w:val="0"/>
            <w:vAlign w:val="center"/>
          </w:tcPr>
          <w:p w14:paraId="3ADC78A2">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sz w:val="24"/>
                <w:szCs w:val="24"/>
                <w:highlight w:val="none"/>
              </w:rPr>
              <w:t>签署或盖章</w:t>
            </w:r>
          </w:p>
        </w:tc>
        <w:tc>
          <w:tcPr>
            <w:tcW w:w="5156" w:type="dxa"/>
            <w:noWrap w:val="0"/>
            <w:vAlign w:val="center"/>
          </w:tcPr>
          <w:p w14:paraId="2C2162B2">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按照采购文件</w:t>
            </w:r>
            <w:r>
              <w:rPr>
                <w:rFonts w:hint="eastAsia" w:ascii="宋体" w:hAnsi="宋体" w:eastAsia="宋体" w:cs="宋体"/>
                <w:color w:val="auto"/>
                <w:sz w:val="24"/>
                <w:szCs w:val="24"/>
                <w:highlight w:val="none"/>
              </w:rPr>
              <w:t>“第七篇 响应文件格式要求”要求签署或盖章。</w:t>
            </w:r>
          </w:p>
        </w:tc>
      </w:tr>
      <w:tr w14:paraId="0BC2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38" w:type="dxa"/>
            <w:vMerge w:val="continue"/>
            <w:noWrap w:val="0"/>
            <w:vAlign w:val="center"/>
          </w:tcPr>
          <w:p w14:paraId="23161EAE">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39C96F9E">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04D22B37">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156" w:type="dxa"/>
            <w:noWrap w:val="0"/>
            <w:vAlign w:val="center"/>
          </w:tcPr>
          <w:p w14:paraId="33A73395">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法定代表人身份证明及授权委托书有效，符合比选采购文件规定的格式，签署或盖章齐全。</w:t>
            </w:r>
          </w:p>
        </w:tc>
      </w:tr>
      <w:tr w14:paraId="759B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noWrap w:val="0"/>
            <w:vAlign w:val="center"/>
          </w:tcPr>
          <w:p w14:paraId="11191F4D">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4280F2D2">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13AFC1F7">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156" w:type="dxa"/>
            <w:noWrap w:val="0"/>
            <w:vAlign w:val="center"/>
          </w:tcPr>
          <w:p w14:paraId="1137F833">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65D1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noWrap w:val="0"/>
            <w:vAlign w:val="center"/>
          </w:tcPr>
          <w:p w14:paraId="14919234">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3F33E0F0">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049BA104">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156" w:type="dxa"/>
            <w:noWrap w:val="0"/>
            <w:vAlign w:val="center"/>
          </w:tcPr>
          <w:p w14:paraId="7B970BF2">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w:t>
            </w:r>
            <w:r>
              <w:rPr>
                <w:rFonts w:hint="eastAsia" w:ascii="宋体" w:hAnsi="宋体" w:eastAsia="宋体" w:cs="宋体"/>
                <w:color w:val="auto"/>
                <w:sz w:val="24"/>
                <w:szCs w:val="24"/>
                <w:highlight w:val="none"/>
              </w:rPr>
              <w:t>或限价内</w:t>
            </w:r>
            <w:r>
              <w:rPr>
                <w:rFonts w:hint="eastAsia" w:ascii="宋体" w:hAnsi="宋体" w:eastAsia="宋体" w:cs="宋体"/>
                <w:color w:val="auto"/>
                <w:sz w:val="24"/>
                <w:szCs w:val="24"/>
                <w:highlight w:val="none"/>
                <w:lang w:val="zh-CN"/>
              </w:rPr>
              <w:t>报价，</w:t>
            </w:r>
            <w:r>
              <w:rPr>
                <w:rFonts w:hint="eastAsia" w:ascii="宋体" w:hAnsi="宋体" w:eastAsia="宋体" w:cs="宋体"/>
                <w:color w:val="auto"/>
                <w:sz w:val="24"/>
                <w:szCs w:val="24"/>
                <w:highlight w:val="none"/>
              </w:rPr>
              <w:t>只能有一个有效报价，不得提交选择性报价。</w:t>
            </w:r>
          </w:p>
        </w:tc>
      </w:tr>
      <w:tr w14:paraId="38B0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0B68BFC3">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97" w:type="dxa"/>
            <w:noWrap w:val="0"/>
            <w:vAlign w:val="center"/>
          </w:tcPr>
          <w:p w14:paraId="412343F0">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2237" w:type="dxa"/>
            <w:noWrap w:val="0"/>
            <w:vAlign w:val="center"/>
          </w:tcPr>
          <w:p w14:paraId="57659B29">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份数</w:t>
            </w:r>
          </w:p>
        </w:tc>
        <w:tc>
          <w:tcPr>
            <w:tcW w:w="5156" w:type="dxa"/>
            <w:noWrap w:val="0"/>
            <w:vAlign w:val="center"/>
          </w:tcPr>
          <w:p w14:paraId="42686293">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正、副本数量符合</w:t>
            </w:r>
            <w:r>
              <w:rPr>
                <w:rFonts w:hint="eastAsia" w:ascii="宋体" w:hAnsi="宋体" w:eastAsia="宋体" w:cs="宋体"/>
                <w:color w:val="auto"/>
                <w:kern w:val="0"/>
                <w:sz w:val="24"/>
                <w:szCs w:val="24"/>
                <w:highlight w:val="none"/>
              </w:rPr>
              <w:t>采购文件</w:t>
            </w:r>
            <w:r>
              <w:rPr>
                <w:rFonts w:hint="eastAsia" w:ascii="宋体" w:hAnsi="宋体" w:eastAsia="宋体" w:cs="宋体"/>
                <w:color w:val="auto"/>
                <w:kern w:val="0"/>
                <w:sz w:val="24"/>
                <w:szCs w:val="24"/>
                <w:highlight w:val="none"/>
                <w:lang w:val="zh-CN"/>
              </w:rPr>
              <w:t>要求。</w:t>
            </w:r>
          </w:p>
        </w:tc>
      </w:tr>
      <w:tr w14:paraId="3DD8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noWrap w:val="0"/>
            <w:vAlign w:val="center"/>
          </w:tcPr>
          <w:p w14:paraId="68E9A4A9">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97" w:type="dxa"/>
            <w:vMerge w:val="restart"/>
            <w:noWrap w:val="0"/>
            <w:vAlign w:val="center"/>
          </w:tcPr>
          <w:p w14:paraId="66085775">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采购文件的响应程度审查</w:t>
            </w:r>
          </w:p>
        </w:tc>
        <w:tc>
          <w:tcPr>
            <w:tcW w:w="2237" w:type="dxa"/>
            <w:noWrap w:val="0"/>
            <w:vAlign w:val="center"/>
          </w:tcPr>
          <w:p w14:paraId="163A4C9C">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rPr>
              <w:t>内容</w:t>
            </w:r>
          </w:p>
        </w:tc>
        <w:tc>
          <w:tcPr>
            <w:tcW w:w="5156" w:type="dxa"/>
            <w:noWrap w:val="0"/>
            <w:vAlign w:val="center"/>
          </w:tcPr>
          <w:p w14:paraId="5225F333">
            <w:pPr>
              <w:pStyle w:val="36"/>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对采购文件内容进行响应。</w:t>
            </w:r>
          </w:p>
        </w:tc>
      </w:tr>
      <w:tr w14:paraId="2554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noWrap w:val="0"/>
            <w:vAlign w:val="center"/>
          </w:tcPr>
          <w:p w14:paraId="48E84CD3">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67DB2F19">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p>
        </w:tc>
        <w:tc>
          <w:tcPr>
            <w:tcW w:w="2237" w:type="dxa"/>
            <w:noWrap w:val="0"/>
            <w:vAlign w:val="center"/>
          </w:tcPr>
          <w:p w14:paraId="2A02D07F">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采购有效期</w:t>
            </w:r>
          </w:p>
        </w:tc>
        <w:tc>
          <w:tcPr>
            <w:tcW w:w="5156" w:type="dxa"/>
            <w:noWrap w:val="0"/>
            <w:vAlign w:val="center"/>
          </w:tcPr>
          <w:p w14:paraId="20C35469">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响应文件及有关承诺文件有效期为提交响应文件截止时间起90天。</w:t>
            </w:r>
          </w:p>
        </w:tc>
      </w:tr>
    </w:tbl>
    <w:p w14:paraId="47D49B7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C1782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F4C904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（五）在</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的任何一方不得向他人透露与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有关的技术资料、价格或其他信息。</w:t>
      </w:r>
      <w:bookmarkStart w:id="119" w:name="_Toc453076389"/>
    </w:p>
    <w:p w14:paraId="581EC44C">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b/>
          <w:bCs/>
          <w:color w:val="auto"/>
          <w:sz w:val="24"/>
          <w:szCs w:val="24"/>
          <w:highlight w:val="none"/>
          <w:lang w:val="en-US" w:eastAsia="zh-CN"/>
        </w:rPr>
      </w:pPr>
      <w:bookmarkStart w:id="120" w:name="_Toc23393"/>
      <w:bookmarkStart w:id="121" w:name="_Toc17300"/>
      <w:bookmarkStart w:id="122" w:name="_Toc4674"/>
      <w:bookmarkStart w:id="123" w:name="_Toc28802"/>
      <w:r>
        <w:rPr>
          <w:rFonts w:hint="eastAsia" w:ascii="宋体" w:hAnsi="宋体" w:eastAsia="宋体" w:cs="宋体"/>
          <w:b/>
          <w:bCs/>
          <w:color w:val="auto"/>
          <w:sz w:val="24"/>
          <w:szCs w:val="24"/>
          <w:highlight w:val="none"/>
          <w:lang w:val="en-US" w:eastAsia="zh-CN"/>
        </w:rPr>
        <w:t>二、</w:t>
      </w:r>
      <w:bookmarkEnd w:id="119"/>
      <w:r>
        <w:rPr>
          <w:rFonts w:hint="eastAsia" w:ascii="宋体" w:hAnsi="宋体" w:eastAsia="宋体" w:cs="宋体"/>
          <w:b/>
          <w:bCs/>
          <w:color w:val="auto"/>
          <w:sz w:val="24"/>
          <w:szCs w:val="24"/>
          <w:highlight w:val="none"/>
          <w:lang w:val="en-US" w:eastAsia="zh-CN"/>
        </w:rPr>
        <w:t>评标方法</w:t>
      </w:r>
      <w:bookmarkEnd w:id="120"/>
      <w:bookmarkEnd w:id="121"/>
      <w:bookmarkEnd w:id="122"/>
      <w:bookmarkEnd w:id="123"/>
    </w:p>
    <w:p w14:paraId="4564BFC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（一）本项目采用最低评标价法进行评标。</w:t>
      </w:r>
    </w:p>
    <w:p w14:paraId="3B21AB7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bookmarkStart w:id="124" w:name="_Toc8748"/>
      <w:bookmarkStart w:id="125" w:name="_Toc24888"/>
      <w:r>
        <w:rPr>
          <w:rFonts w:hint="eastAsia" w:ascii="宋体" w:hAnsi="宋体" w:eastAsia="宋体" w:cs="宋体"/>
          <w:color w:val="auto"/>
          <w:sz w:val="24"/>
          <w:szCs w:val="24"/>
          <w:highlight w:val="none"/>
        </w:rPr>
        <w:t>最低评标价法，是指响应文件满足</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文件全部实质性要求且投标报价最低的投标供应商为中标候选人的评标方法。</w:t>
      </w:r>
    </w:p>
    <w:p w14:paraId="1497521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（二）推荐中标候选人名单。</w:t>
      </w:r>
      <w:bookmarkEnd w:id="124"/>
      <w:bookmarkEnd w:id="125"/>
    </w:p>
    <w:p w14:paraId="497BF74F">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推荐投标文件满足</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文件全部实质性要求，并依据价格按照由低到高的顺序排名前三的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为成交候选人，其中排名第一的投标供应商为第一成交候选人。</w:t>
      </w:r>
    </w:p>
    <w:p w14:paraId="0C0D34C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评标结果按投标报价由低到高顺序排列；若投标报价相同的，</w:t>
      </w:r>
      <w:r>
        <w:rPr>
          <w:rFonts w:hint="eastAsia" w:ascii="宋体" w:hAnsi="宋体" w:cs="宋体"/>
          <w:color w:val="auto"/>
          <w:sz w:val="24"/>
          <w:szCs w:val="24"/>
          <w:highlight w:val="none"/>
          <w:lang w:val="en-US" w:eastAsia="zh-CN"/>
        </w:rPr>
        <w:t>评审小组</w:t>
      </w:r>
      <w:r>
        <w:rPr>
          <w:rFonts w:hint="eastAsia" w:ascii="宋体" w:hAnsi="宋体" w:eastAsia="宋体" w:cs="宋体"/>
          <w:color w:val="auto"/>
          <w:sz w:val="24"/>
          <w:szCs w:val="24"/>
          <w:highlight w:val="none"/>
        </w:rPr>
        <w:t>按照项目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需求的优劣顺序排列；以上都相同的，按项目商务需求的优劣顺序排列；以上所有都相同的，由</w:t>
      </w:r>
      <w:r>
        <w:rPr>
          <w:rFonts w:hint="eastAsia" w:ascii="宋体" w:hAnsi="宋体" w:cs="宋体"/>
          <w:color w:val="auto"/>
          <w:sz w:val="24"/>
          <w:szCs w:val="24"/>
          <w:highlight w:val="none"/>
          <w:lang w:val="en-US" w:eastAsia="zh-CN"/>
        </w:rPr>
        <w:t>评审小组投票决</w:t>
      </w:r>
      <w:r>
        <w:rPr>
          <w:rFonts w:hint="eastAsia" w:ascii="宋体" w:hAnsi="宋体" w:eastAsia="宋体" w:cs="宋体"/>
          <w:color w:val="auto"/>
          <w:sz w:val="24"/>
          <w:szCs w:val="24"/>
          <w:highlight w:val="none"/>
        </w:rPr>
        <w:t>定。</w:t>
      </w:r>
    </w:p>
    <w:p w14:paraId="189CDF52">
      <w:pPr>
        <w:keepNext w:val="0"/>
        <w:keepLines w:val="0"/>
        <w:pageBreakBefore w:val="0"/>
        <w:widowControl w:val="0"/>
        <w:numPr>
          <w:ilvl w:val="0"/>
          <w:numId w:val="0"/>
        </w:numPr>
        <w:kinsoku/>
        <w:wordWrap/>
        <w:topLinePunct w:val="0"/>
        <w:bidi w:val="0"/>
        <w:spacing w:line="400" w:lineRule="exact"/>
        <w:ind w:leftChars="0"/>
        <w:jc w:val="both"/>
        <w:textAlignment w:val="auto"/>
        <w:outlineLvl w:val="1"/>
        <w:rPr>
          <w:rFonts w:hint="eastAsia" w:ascii="宋体" w:hAnsi="宋体" w:cs="宋体"/>
          <w:b/>
          <w:bCs/>
          <w:smallCaps w:val="0"/>
          <w:color w:val="auto"/>
          <w:kern w:val="2"/>
          <w:sz w:val="24"/>
          <w:szCs w:val="24"/>
          <w:highlight w:val="none"/>
          <w:lang w:val="en-US" w:eastAsia="zh-CN" w:bidi="ar-SA"/>
        </w:rPr>
      </w:pPr>
      <w:bookmarkStart w:id="126" w:name="_Toc25587"/>
      <w:bookmarkStart w:id="127" w:name="_Toc23125"/>
      <w:bookmarkStart w:id="128" w:name="_Toc24594"/>
      <w:r>
        <w:rPr>
          <w:rFonts w:hint="eastAsia" w:ascii="宋体" w:hAnsi="宋体" w:cs="宋体"/>
          <w:b/>
          <w:bCs/>
          <w:smallCaps w:val="0"/>
          <w:color w:val="auto"/>
          <w:kern w:val="2"/>
          <w:sz w:val="24"/>
          <w:szCs w:val="24"/>
          <w:highlight w:val="none"/>
          <w:lang w:val="en-US" w:eastAsia="zh-CN" w:bidi="ar-SA"/>
        </w:rPr>
        <w:t>三、评审标准</w:t>
      </w:r>
      <w:bookmarkEnd w:id="126"/>
      <w:bookmarkEnd w:id="127"/>
      <w:bookmarkEnd w:id="128"/>
    </w:p>
    <w:p w14:paraId="44F2CE93">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29" w:name="_Toc17751"/>
      <w:r>
        <w:rPr>
          <w:rFonts w:hint="eastAsia" w:ascii="宋体" w:hAnsi="宋体" w:eastAsia="宋体" w:cs="宋体"/>
          <w:color w:val="auto"/>
          <w:sz w:val="24"/>
          <w:szCs w:val="24"/>
          <w:highlight w:val="none"/>
        </w:rPr>
        <w:t>（一）响应文件投标应答有一条及以上不满足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文件“第二篇 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需求”要求的，投标供应商将失去成为成交候选人的资格；</w:t>
      </w:r>
    </w:p>
    <w:p w14:paraId="0A6ED44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（二）响应投标文件投标应答有一条及以上不满足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文件“第三篇 项目商务需求”要求的，投标供应商将失去成为成交候选人的资格；</w:t>
      </w:r>
      <w:bookmarkEnd w:id="129"/>
    </w:p>
    <w:p w14:paraId="505832E8">
      <w:pPr>
        <w:pStyle w:val="23"/>
        <w:keepNext w:val="0"/>
        <w:keepLines w:val="0"/>
        <w:pageBreakBefore w:val="0"/>
        <w:widowControl w:val="0"/>
        <w:kinsoku/>
        <w:wordWrap/>
        <w:topLinePunct w:val="0"/>
        <w:bidi w:val="0"/>
        <w:spacing w:line="400" w:lineRule="exact"/>
        <w:textAlignment w:val="auto"/>
        <w:outlineLvl w:val="1"/>
        <w:rPr>
          <w:rFonts w:hint="default" w:eastAsia="宋体"/>
          <w:b/>
          <w:bCs/>
          <w:color w:val="auto"/>
          <w:highlight w:val="none"/>
          <w:lang w:val="en-US" w:eastAsia="zh-CN"/>
        </w:rPr>
      </w:pPr>
      <w:bookmarkStart w:id="130" w:name="_Toc6873"/>
      <w:bookmarkStart w:id="131" w:name="_Toc8635"/>
      <w:bookmarkStart w:id="132" w:name="_Toc26892"/>
      <w:r>
        <w:rPr>
          <w:rFonts w:hint="eastAsia" w:ascii="宋体" w:hAnsi="宋体" w:eastAsia="宋体" w:cs="宋体"/>
          <w:b/>
          <w:bCs/>
          <w:color w:val="auto"/>
          <w:sz w:val="24"/>
          <w:szCs w:val="24"/>
          <w:highlight w:val="none"/>
          <w:lang w:val="en-US" w:eastAsia="zh-CN"/>
        </w:rPr>
        <w:t>四、无效响应</w:t>
      </w:r>
      <w:bookmarkEnd w:id="130"/>
      <w:bookmarkEnd w:id="131"/>
      <w:bookmarkEnd w:id="132"/>
    </w:p>
    <w:p w14:paraId="5B2711D4">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33" w:name="_Toc25586"/>
      <w:bookmarkStart w:id="134" w:name="_Toc18545"/>
      <w:bookmarkStart w:id="135" w:name="_Toc7641"/>
      <w:bookmarkStart w:id="136" w:name="_Toc31634"/>
      <w:bookmarkStart w:id="137" w:name="_Toc76462336"/>
      <w:bookmarkStart w:id="138" w:name="_Toc2583"/>
      <w:bookmarkStart w:id="139" w:name="_Toc292"/>
      <w:bookmarkStart w:id="140" w:name="_Toc1791"/>
      <w:bookmarkStart w:id="141" w:name="_Toc16039"/>
      <w:bookmarkStart w:id="142" w:name="_Toc31151"/>
      <w:bookmarkStart w:id="143" w:name="_Toc14566"/>
      <w:bookmarkStart w:id="144" w:name="_Toc22944"/>
      <w:bookmarkStart w:id="145" w:name="_Toc10466"/>
      <w:bookmarkStart w:id="146" w:name="_Toc27420"/>
      <w:bookmarkStart w:id="147" w:name="_Toc4767"/>
      <w:bookmarkStart w:id="148" w:name="_Toc12197"/>
      <w:bookmarkStart w:id="149" w:name="_Toc10254"/>
      <w:bookmarkStart w:id="150" w:name="_Toc31623"/>
      <w:bookmarkStart w:id="151" w:name="_Toc18459"/>
      <w:bookmarkStart w:id="152" w:name="_Toc9827"/>
      <w:bookmarkStart w:id="153" w:name="_Toc19865"/>
      <w:bookmarkStart w:id="154" w:name="_Toc11456"/>
      <w:bookmarkStart w:id="155" w:name="_Toc3990"/>
      <w:bookmarkStart w:id="156" w:name="_Toc23959"/>
      <w:bookmarkStart w:id="157" w:name="_Toc12510"/>
      <w:bookmarkStart w:id="158" w:name="_Toc2027"/>
      <w:bookmarkStart w:id="159" w:name="_Toc28982"/>
      <w:r>
        <w:rPr>
          <w:rFonts w:hint="eastAsia" w:ascii="宋体" w:hAnsi="宋体" w:eastAsia="宋体" w:cs="宋体"/>
          <w:color w:val="auto"/>
          <w:sz w:val="24"/>
          <w:szCs w:val="24"/>
          <w:highlight w:val="none"/>
        </w:rPr>
        <w:t>供应商发生以下条款情况之一者，视为无效报价：</w:t>
      </w:r>
    </w:p>
    <w:p w14:paraId="41706623">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1199769E">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（二）供应商未通过实质性响应审查的；</w:t>
      </w:r>
    </w:p>
    <w:p w14:paraId="66D2253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（三）供应商所提交的响应文件未按“第七篇响应文件格式要求”要求签署或盖章的；</w:t>
      </w:r>
    </w:p>
    <w:p w14:paraId="3D360064">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（四）供应商的报价超过采购预算或最高限价的；</w:t>
      </w:r>
    </w:p>
    <w:p w14:paraId="03BE20ED">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（五）单位负责人为同一人或者存在直接控股、管理关系的不同供应商，参加同一合同项（包）报价的；</w:t>
      </w:r>
    </w:p>
    <w:p w14:paraId="7517067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（六）为采购项目提供整体设计、规范编制或者项目管理、监理、检测等服务的供应商再参加该采购项目的其他采购活动的；</w:t>
      </w:r>
    </w:p>
    <w:p w14:paraId="33606E7F">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（七）法律、法规和</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邀请书规定的其他无效情形。</w:t>
      </w:r>
    </w:p>
    <w:p w14:paraId="64BAFE3D">
      <w:pPr>
        <w:pStyle w:val="3"/>
        <w:keepNext w:val="0"/>
        <w:keepLines w:val="0"/>
        <w:pageBreakBefore w:val="0"/>
        <w:widowControl w:val="0"/>
        <w:kinsoku/>
        <w:wordWrap/>
        <w:topLinePunct w:val="0"/>
        <w:bidi w:val="0"/>
        <w:adjustRightInd w:val="0"/>
        <w:snapToGrid w:val="0"/>
        <w:spacing w:before="0" w:after="0" w:line="400" w:lineRule="exact"/>
        <w:jc w:val="left"/>
        <w:textAlignment w:val="auto"/>
        <w:outlineLvl w:val="1"/>
        <w:rPr>
          <w:rFonts w:hint="eastAsia" w:ascii="宋体" w:hAnsi="宋体" w:eastAsia="宋体" w:cs="宋体"/>
          <w:color w:val="auto"/>
          <w:sz w:val="24"/>
          <w:highlight w:val="none"/>
        </w:rPr>
      </w:pPr>
      <w:bookmarkStart w:id="160" w:name="_Toc26599"/>
      <w:bookmarkStart w:id="161" w:name="_Toc19561"/>
      <w:bookmarkStart w:id="162" w:name="_Toc19108"/>
      <w:bookmarkStart w:id="163" w:name="_Toc4324"/>
      <w:bookmarkStart w:id="164" w:name="_Toc5163"/>
      <w:bookmarkStart w:id="165" w:name="_Toc2898"/>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、采购终止</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30D0B4F">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采购活动，发布项目终止公告并说明原因，重新开展采购活动：</w:t>
      </w:r>
    </w:p>
    <w:p w14:paraId="60D837E5">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（一）因情况变化，不再符合规定的采购方式适用情形的；</w:t>
      </w:r>
    </w:p>
    <w:p w14:paraId="48563F01">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bookmarkStart w:id="166" w:name="_Toc25919"/>
      <w:r>
        <w:rPr>
          <w:rFonts w:hint="eastAsia" w:ascii="宋体" w:hAnsi="宋体" w:cs="宋体"/>
          <w:color w:val="auto"/>
          <w:sz w:val="24"/>
          <w:szCs w:val="24"/>
          <w:highlight w:val="none"/>
        </w:rPr>
        <w:t>（二）出现影响采购公正的违法、违规行为的；</w:t>
      </w:r>
      <w:bookmarkEnd w:id="166"/>
    </w:p>
    <w:p w14:paraId="5F7CBAF2">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（三）在采购过程中符合要求的供应商或者报价未超过采购预算的供应商不足3家的</w:t>
      </w:r>
      <w:r>
        <w:rPr>
          <w:rFonts w:hint="eastAsia" w:ascii="宋体" w:hAnsi="宋体" w:cs="宋体"/>
          <w:color w:val="auto"/>
          <w:sz w:val="24"/>
          <w:szCs w:val="24"/>
          <w:highlight w:val="none"/>
          <w:lang w:eastAsia="zh-CN"/>
        </w:rPr>
        <w:t>。</w:t>
      </w:r>
    </w:p>
    <w:p w14:paraId="587ADBDB">
      <w:pPr>
        <w:pStyle w:val="14"/>
        <w:keepNext w:val="0"/>
        <w:keepLines w:val="0"/>
        <w:pageBreakBefore w:val="0"/>
        <w:widowControl w:val="0"/>
        <w:kinsoku/>
        <w:wordWrap/>
        <w:topLinePunct w:val="0"/>
        <w:bidi w:val="0"/>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（四）项目出现其他实质性影响，可能导致项目无法正常开展的情形。</w:t>
      </w:r>
    </w:p>
    <w:p w14:paraId="2B173003">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1B33865D">
      <w:pPr>
        <w:keepNext w:val="0"/>
        <w:keepLines w:val="0"/>
        <w:pageBreakBefore w:val="0"/>
        <w:widowControl w:val="0"/>
        <w:kinsoku/>
        <w:wordWrap/>
        <w:topLinePunct w:val="0"/>
        <w:bidi w:val="0"/>
        <w:spacing w:line="400" w:lineRule="exact"/>
        <w:jc w:val="center"/>
        <w:textAlignment w:val="auto"/>
        <w:outlineLvl w:val="0"/>
        <w:rPr>
          <w:rFonts w:hint="eastAsia" w:cs="宋体"/>
          <w:b/>
          <w:bCs w:val="0"/>
          <w:color w:val="auto"/>
          <w:sz w:val="36"/>
          <w:szCs w:val="36"/>
          <w:highlight w:val="none"/>
        </w:rPr>
      </w:pPr>
      <w:bookmarkStart w:id="167" w:name="_Toc8251"/>
      <w:bookmarkStart w:id="168" w:name="_Toc13956"/>
      <w:bookmarkStart w:id="169" w:name="_Toc10699"/>
      <w:bookmarkStart w:id="170" w:name="_Toc21246"/>
      <w:bookmarkStart w:id="171" w:name="_Toc27032"/>
      <w:bookmarkStart w:id="172" w:name="_Toc21331"/>
      <w:bookmarkStart w:id="173" w:name="_Toc6272"/>
      <w:bookmarkStart w:id="174" w:name="_Toc1279"/>
      <w:bookmarkStart w:id="175" w:name="_Toc32541"/>
      <w:bookmarkStart w:id="176" w:name="_Toc14313"/>
      <w:bookmarkStart w:id="177" w:name="_Toc1938"/>
      <w:bookmarkStart w:id="178" w:name="_Toc16742"/>
      <w:bookmarkStart w:id="179" w:name="_Toc20096"/>
      <w:bookmarkStart w:id="180" w:name="_Toc8196"/>
      <w:bookmarkStart w:id="181" w:name="_Toc10078"/>
      <w:bookmarkStart w:id="182" w:name="_Toc26130"/>
      <w:bookmarkStart w:id="183" w:name="_Toc16632"/>
      <w:bookmarkStart w:id="184" w:name="_Toc20264"/>
      <w:bookmarkStart w:id="185" w:name="_Toc21867"/>
      <w:bookmarkStart w:id="186" w:name="_Toc76462337"/>
      <w:bookmarkStart w:id="187" w:name="_Toc18985"/>
      <w:bookmarkStart w:id="188" w:name="_Toc23618"/>
      <w:bookmarkStart w:id="189" w:name="_Toc22304"/>
      <w:bookmarkStart w:id="190" w:name="_Toc28660"/>
      <w:bookmarkStart w:id="191" w:name="_Toc28618"/>
      <w:bookmarkStart w:id="192" w:name="_Toc8009"/>
      <w:bookmarkStart w:id="193" w:name="_Toc20039"/>
      <w:bookmarkStart w:id="194" w:name="_Toc15373"/>
      <w:bookmarkStart w:id="195" w:name="_Toc11095"/>
      <w:bookmarkStart w:id="196" w:name="_Toc706"/>
      <w:bookmarkStart w:id="197" w:name="_Toc15885"/>
      <w:bookmarkStart w:id="198" w:name="_Toc3741"/>
    </w:p>
    <w:p w14:paraId="1E3F160D">
      <w:pPr>
        <w:keepNext w:val="0"/>
        <w:keepLines w:val="0"/>
        <w:pageBreakBefore w:val="0"/>
        <w:widowControl w:val="0"/>
        <w:kinsoku/>
        <w:wordWrap/>
        <w:topLinePunct w:val="0"/>
        <w:bidi w:val="0"/>
        <w:spacing w:line="400" w:lineRule="exact"/>
        <w:jc w:val="center"/>
        <w:textAlignment w:val="auto"/>
        <w:outlineLvl w:val="0"/>
        <w:rPr>
          <w:rFonts w:hint="eastAsia" w:cs="宋体"/>
          <w:b/>
          <w:bCs w:val="0"/>
          <w:color w:val="auto"/>
          <w:sz w:val="36"/>
          <w:szCs w:val="36"/>
          <w:highlight w:val="none"/>
        </w:rPr>
      </w:pPr>
    </w:p>
    <w:p w14:paraId="63DA48E1">
      <w:pPr>
        <w:keepNext w:val="0"/>
        <w:keepLines w:val="0"/>
        <w:pageBreakBefore w:val="0"/>
        <w:widowControl w:val="0"/>
        <w:kinsoku/>
        <w:wordWrap/>
        <w:topLinePunct w:val="0"/>
        <w:bidi w:val="0"/>
        <w:spacing w:line="400" w:lineRule="exact"/>
        <w:jc w:val="center"/>
        <w:textAlignment w:val="auto"/>
        <w:outlineLvl w:val="0"/>
        <w:rPr>
          <w:rFonts w:hint="eastAsia" w:cs="宋体"/>
          <w:bCs/>
          <w:color w:val="auto"/>
          <w:highlight w:val="none"/>
        </w:rPr>
      </w:pPr>
      <w:r>
        <w:rPr>
          <w:rFonts w:hint="eastAsia" w:cs="宋体"/>
          <w:b/>
          <w:bCs w:val="0"/>
          <w:color w:val="auto"/>
          <w:sz w:val="36"/>
          <w:szCs w:val="36"/>
          <w:highlight w:val="none"/>
        </w:rPr>
        <w:t>第五篇  供应商须知</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74C4F00">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199" w:name="_Toc21252"/>
      <w:bookmarkStart w:id="200" w:name="_Toc5692"/>
      <w:bookmarkStart w:id="201" w:name="_Toc16478"/>
      <w:bookmarkStart w:id="202" w:name="_Toc19124"/>
      <w:bookmarkStart w:id="203" w:name="_Toc21556"/>
      <w:bookmarkStart w:id="204" w:name="_Toc23240"/>
      <w:bookmarkStart w:id="205" w:name="_Toc11819"/>
      <w:bookmarkStart w:id="206" w:name="_Toc14616"/>
      <w:bookmarkStart w:id="207" w:name="_Toc12390"/>
      <w:bookmarkStart w:id="208" w:name="_Toc7713"/>
      <w:bookmarkStart w:id="209" w:name="_Toc27450"/>
      <w:bookmarkStart w:id="210" w:name="_Toc17186"/>
      <w:bookmarkStart w:id="211" w:name="_Toc7999"/>
      <w:bookmarkStart w:id="212" w:name="_Toc17232"/>
      <w:bookmarkStart w:id="213" w:name="_Toc25138"/>
      <w:bookmarkStart w:id="214" w:name="_Toc27580"/>
      <w:bookmarkStart w:id="215" w:name="_Toc24846"/>
      <w:bookmarkStart w:id="216" w:name="_Toc16292"/>
      <w:bookmarkStart w:id="217" w:name="_Toc342913389"/>
      <w:bookmarkStart w:id="218" w:name="_Toc793"/>
      <w:bookmarkStart w:id="219" w:name="_Toc76462338"/>
      <w:bookmarkStart w:id="220" w:name="_Toc13127"/>
      <w:bookmarkStart w:id="221" w:name="_Toc19632"/>
      <w:r>
        <w:rPr>
          <w:rFonts w:hint="eastAsia" w:ascii="宋体" w:hAnsi="宋体" w:cs="宋体"/>
          <w:b/>
          <w:bCs/>
          <w:color w:val="auto"/>
          <w:sz w:val="24"/>
          <w:highlight w:val="none"/>
        </w:rPr>
        <w:t>一、</w:t>
      </w:r>
      <w:r>
        <w:rPr>
          <w:rFonts w:hint="eastAsia" w:ascii="宋体" w:hAnsi="宋体" w:cs="宋体"/>
          <w:b/>
          <w:bCs/>
          <w:color w:val="auto"/>
          <w:sz w:val="24"/>
          <w:highlight w:val="none"/>
          <w:lang w:eastAsia="zh-CN"/>
        </w:rPr>
        <w:t>比选</w:t>
      </w:r>
      <w:r>
        <w:rPr>
          <w:rFonts w:hint="eastAsia" w:ascii="宋体" w:hAnsi="宋体" w:cs="宋体"/>
          <w:b/>
          <w:bCs/>
          <w:color w:val="auto"/>
          <w:sz w:val="24"/>
          <w:highlight w:val="none"/>
        </w:rPr>
        <w:t>费用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899CB5F">
      <w:pPr>
        <w:pStyle w:val="147"/>
        <w:keepNext w:val="0"/>
        <w:keepLines w:val="0"/>
        <w:pageBreakBefore w:val="0"/>
        <w:widowControl w:val="0"/>
        <w:kinsoku/>
        <w:wordWrap/>
        <w:topLinePunct w:val="0"/>
        <w:bidi w:val="0"/>
        <w:spacing w:line="40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参与</w:t>
      </w:r>
      <w:r>
        <w:rPr>
          <w:rFonts w:hint="eastAsia" w:hAnsi="宋体" w:cs="宋体"/>
          <w:color w:val="auto"/>
          <w:sz w:val="24"/>
          <w:szCs w:val="24"/>
          <w:highlight w:val="none"/>
          <w:lang w:val="en-US" w:eastAsia="zh-CN"/>
        </w:rPr>
        <w:t>比选</w:t>
      </w:r>
      <w:r>
        <w:rPr>
          <w:rFonts w:hint="eastAsia" w:hAnsi="宋体" w:cs="宋体"/>
          <w:color w:val="auto"/>
          <w:sz w:val="24"/>
          <w:szCs w:val="24"/>
          <w:highlight w:val="none"/>
        </w:rPr>
        <w:t>的供应商应承担其编制响应文件与递交响应文件所涉及的一切费用，不论</w:t>
      </w:r>
      <w:r>
        <w:rPr>
          <w:rFonts w:hint="eastAsia" w:hAnsi="宋体" w:cs="宋体"/>
          <w:color w:val="auto"/>
          <w:sz w:val="24"/>
          <w:szCs w:val="24"/>
          <w:highlight w:val="none"/>
          <w:lang w:val="en-US" w:eastAsia="zh-CN"/>
        </w:rPr>
        <w:t>比选</w:t>
      </w:r>
      <w:r>
        <w:rPr>
          <w:rFonts w:hint="eastAsia" w:hAnsi="宋体" w:cs="宋体"/>
          <w:color w:val="auto"/>
          <w:sz w:val="24"/>
          <w:szCs w:val="24"/>
          <w:highlight w:val="none"/>
        </w:rPr>
        <w:t>结果如何，采购人和采购代理机构在任何情况下无义务也无责任承担这些费用。</w:t>
      </w:r>
    </w:p>
    <w:p w14:paraId="09488D6A">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222" w:name="_Toc16337"/>
      <w:bookmarkStart w:id="223" w:name="_Toc342913391"/>
      <w:bookmarkStart w:id="224" w:name="_Toc8698"/>
      <w:bookmarkStart w:id="225" w:name="_Toc8038"/>
      <w:bookmarkStart w:id="226" w:name="_Toc20922"/>
      <w:bookmarkStart w:id="227" w:name="_Toc22221"/>
      <w:bookmarkStart w:id="228" w:name="_Toc8461"/>
      <w:bookmarkStart w:id="229" w:name="_Toc16008"/>
      <w:bookmarkStart w:id="230" w:name="_Toc9497"/>
      <w:bookmarkStart w:id="231" w:name="_Toc4199"/>
      <w:bookmarkStart w:id="232" w:name="_Toc12006"/>
      <w:bookmarkStart w:id="233" w:name="_Toc15704"/>
      <w:bookmarkStart w:id="234" w:name="_Toc76462339"/>
      <w:bookmarkStart w:id="235" w:name="_Toc30080"/>
      <w:bookmarkStart w:id="236" w:name="_Toc26606"/>
      <w:bookmarkStart w:id="237" w:name="_Toc29521"/>
      <w:bookmarkStart w:id="238" w:name="_Toc9045"/>
      <w:bookmarkStart w:id="239" w:name="_Toc4573"/>
      <w:bookmarkStart w:id="240" w:name="_Toc4418"/>
      <w:bookmarkStart w:id="241" w:name="_Toc18508"/>
      <w:bookmarkStart w:id="242" w:name="_Toc18232"/>
      <w:bookmarkStart w:id="243" w:name="_Toc18966"/>
      <w:bookmarkStart w:id="244" w:name="_Toc7754"/>
      <w:r>
        <w:rPr>
          <w:rFonts w:hint="eastAsia" w:ascii="宋体" w:hAnsi="宋体" w:cs="宋体"/>
          <w:b/>
          <w:bCs/>
          <w:color w:val="auto"/>
          <w:sz w:val="24"/>
          <w:highlight w:val="none"/>
        </w:rPr>
        <w:t>二、</w:t>
      </w:r>
      <w:r>
        <w:rPr>
          <w:rFonts w:hint="eastAsia" w:ascii="宋体" w:hAnsi="宋体" w:cs="宋体"/>
          <w:b/>
          <w:bCs/>
          <w:color w:val="auto"/>
          <w:sz w:val="24"/>
          <w:highlight w:val="none"/>
          <w:lang w:eastAsia="zh-CN"/>
        </w:rPr>
        <w:t>比选</w:t>
      </w:r>
      <w:r>
        <w:rPr>
          <w:rFonts w:hint="eastAsia" w:ascii="宋体" w:hAnsi="宋体" w:cs="宋体"/>
          <w:b/>
          <w:bCs/>
          <w:color w:val="auto"/>
          <w:sz w:val="24"/>
          <w:highlight w:val="none"/>
        </w:rPr>
        <w:t>文件</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674E62F">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（一）竞争性</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文件由采购邀请书、项目</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需求、项目商务需求、</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政府采购合同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4A37C7CD">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文件不可分割的部分。</w:t>
      </w:r>
    </w:p>
    <w:p w14:paraId="49AAE9A4">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45" w:name="_Toc13149"/>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文件的解释</w:t>
      </w:r>
      <w:bookmarkEnd w:id="245"/>
    </w:p>
    <w:p w14:paraId="3243F13A">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供应商如对</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文件有疑问，必须以书面形式在提交响应文件截止时间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个工作日前向采购人（或采购代理机构）要求澄清，采购人（或采购代理机构）可视具体情况做出处理或答复。如供应商未提出疑问，视为完全理解并同意本</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文件。一经进入</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程序，即视为供应商已详细阅读全部文件资料，完全理解</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文件所有条款内容并同意放弃对这方面有不明白及误解的权利。</w:t>
      </w:r>
      <w:bookmarkStart w:id="246" w:name="_Toc318166429"/>
      <w:bookmarkStart w:id="247" w:name="_Toc318159780"/>
      <w:bookmarkStart w:id="248" w:name="_Toc318159160"/>
      <w:bookmarkStart w:id="249" w:name="_Toc318159349"/>
    </w:p>
    <w:p w14:paraId="59666B6C">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val="en-US" w:eastAsia="zh-CN"/>
        </w:rPr>
        <w:t>本</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文件中，</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小组根据与供应商进行</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可能实质性变动的内容为竞争性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文件第二、三、六篇全部内容。</w:t>
      </w:r>
    </w:p>
    <w:p w14:paraId="477ACBE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（五）评审的依据为</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文件和响应文件（含有效的书面承诺）。</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小组判断响应文件对</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文件的响应，仅基于响应文件本身而不靠外部证据。</w:t>
      </w:r>
    </w:p>
    <w:bookmarkEnd w:id="246"/>
    <w:bookmarkEnd w:id="247"/>
    <w:bookmarkEnd w:id="248"/>
    <w:bookmarkEnd w:id="249"/>
    <w:p w14:paraId="74C50DED">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250" w:name="_Toc8303"/>
      <w:bookmarkStart w:id="251" w:name="_Toc14191"/>
      <w:bookmarkStart w:id="252" w:name="_Toc2735"/>
      <w:bookmarkStart w:id="253" w:name="_Toc20791"/>
      <w:bookmarkStart w:id="254" w:name="_Toc22657"/>
      <w:bookmarkStart w:id="255" w:name="_Toc23552"/>
      <w:bookmarkStart w:id="256" w:name="_Toc5232"/>
      <w:bookmarkStart w:id="257" w:name="_Toc632"/>
      <w:bookmarkStart w:id="258" w:name="_Toc102227318"/>
      <w:bookmarkStart w:id="259" w:name="_Toc28796"/>
      <w:bookmarkStart w:id="260" w:name="_Toc28415"/>
      <w:bookmarkStart w:id="261" w:name="_Toc29340"/>
      <w:bookmarkStart w:id="262" w:name="_Toc342913392"/>
      <w:bookmarkStart w:id="263" w:name="_Toc76462340"/>
      <w:bookmarkStart w:id="264" w:name="_Toc6100"/>
      <w:bookmarkStart w:id="265" w:name="_Toc31661"/>
      <w:bookmarkStart w:id="266" w:name="_Toc179714297"/>
      <w:bookmarkStart w:id="267" w:name="_Toc19500"/>
      <w:bookmarkStart w:id="268" w:name="_Toc21811"/>
      <w:bookmarkStart w:id="269" w:name="_Toc13838"/>
      <w:bookmarkStart w:id="270" w:name="_Toc25054"/>
      <w:bookmarkStart w:id="271" w:name="_Toc11189"/>
      <w:bookmarkStart w:id="272" w:name="_Toc11304"/>
      <w:bookmarkStart w:id="273" w:name="_Toc9407"/>
      <w:bookmarkStart w:id="274" w:name="_Toc20247"/>
      <w:r>
        <w:rPr>
          <w:rFonts w:hint="eastAsia" w:ascii="宋体" w:hAnsi="宋体" w:cs="宋体"/>
          <w:b/>
          <w:bCs/>
          <w:color w:val="auto"/>
          <w:sz w:val="24"/>
          <w:highlight w:val="none"/>
        </w:rPr>
        <w:t>三、</w:t>
      </w:r>
      <w:r>
        <w:rPr>
          <w:rFonts w:hint="eastAsia" w:ascii="宋体" w:hAnsi="宋体" w:cs="宋体"/>
          <w:b/>
          <w:bCs/>
          <w:color w:val="auto"/>
          <w:sz w:val="24"/>
          <w:highlight w:val="none"/>
          <w:lang w:eastAsia="zh-CN"/>
        </w:rPr>
        <w:t>比选</w:t>
      </w:r>
      <w:r>
        <w:rPr>
          <w:rFonts w:hint="eastAsia" w:ascii="宋体" w:hAnsi="宋体" w:cs="宋体"/>
          <w:b/>
          <w:bCs/>
          <w:color w:val="auto"/>
          <w:sz w:val="24"/>
          <w:highlight w:val="none"/>
        </w:rPr>
        <w:t>要求</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22C4B7E">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275" w:name="_Toc23693"/>
      <w:r>
        <w:rPr>
          <w:rFonts w:hint="eastAsia" w:ascii="宋体" w:hAnsi="宋体" w:cs="宋体"/>
          <w:color w:val="auto"/>
          <w:sz w:val="24"/>
          <w:szCs w:val="24"/>
          <w:highlight w:val="none"/>
        </w:rPr>
        <w:t>（一）响应文件</w:t>
      </w:r>
      <w:bookmarkEnd w:id="275"/>
    </w:p>
    <w:p w14:paraId="636443DD">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1.供应商应当按照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文件的要求编制响应文件，并对竞争性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文件提出的要求和条件作出实质性响应，响应文件原则上采用软面订本，同时应编制完整的页码、目录。</w:t>
      </w:r>
    </w:p>
    <w:p w14:paraId="75ABE73A">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0433E86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2976F9F">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276" w:name="_Toc20197"/>
      <w:r>
        <w:rPr>
          <w:rFonts w:hint="eastAsia" w:ascii="宋体" w:hAnsi="宋体" w:cs="宋体"/>
          <w:color w:val="auto"/>
          <w:sz w:val="24"/>
          <w:szCs w:val="24"/>
          <w:highlight w:val="none"/>
        </w:rPr>
        <w:t>（二）联合体</w:t>
      </w:r>
      <w:bookmarkEnd w:id="276"/>
    </w:p>
    <w:p w14:paraId="6882CF35">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w:t>
      </w:r>
    </w:p>
    <w:p w14:paraId="0A540EC7">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有效期：响应文件及有关承诺文件有效期为提交响应文件截止时间起90天。</w:t>
      </w:r>
    </w:p>
    <w:p w14:paraId="0BC8993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277" w:name="_Toc12725"/>
      <w:r>
        <w:rPr>
          <w:rFonts w:hint="eastAsia" w:ascii="宋体" w:hAnsi="宋体" w:cs="宋体"/>
          <w:color w:val="auto"/>
          <w:sz w:val="24"/>
          <w:szCs w:val="24"/>
          <w:highlight w:val="none"/>
        </w:rPr>
        <w:t>（四）修正错误</w:t>
      </w:r>
      <w:bookmarkEnd w:id="277"/>
    </w:p>
    <w:p w14:paraId="1FAE82C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5F80D91C">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小组按上述修正错误的原则及方法修正供应商的报价，供应商同意并签署确认后，修正后的报价对供应商具有约束作用。如果供应商不接受修正后的价格，将失去成为成交供应商的资格。</w:t>
      </w:r>
    </w:p>
    <w:p w14:paraId="30570CB1">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78" w:name="_Toc4591"/>
      <w:r>
        <w:rPr>
          <w:rFonts w:hint="eastAsia" w:ascii="宋体" w:hAnsi="宋体" w:cs="宋体"/>
          <w:color w:val="auto"/>
          <w:sz w:val="24"/>
          <w:szCs w:val="24"/>
          <w:highlight w:val="none"/>
        </w:rPr>
        <w:t>（五）提交响应文件的份数和签署</w:t>
      </w:r>
      <w:bookmarkEnd w:id="278"/>
    </w:p>
    <w:p w14:paraId="508FEAB8">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0A2A51D">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响应文件按</w:t>
      </w:r>
      <w:r>
        <w:rPr>
          <w:rFonts w:hint="eastAsia" w:ascii="宋体" w:hAnsi="宋体" w:cs="宋体"/>
          <w:color w:val="auto"/>
          <w:sz w:val="24"/>
          <w:highlight w:val="none"/>
          <w:lang w:eastAsia="zh-CN"/>
        </w:rPr>
        <w:t>比选</w:t>
      </w:r>
      <w:r>
        <w:rPr>
          <w:rFonts w:hint="eastAsia" w:ascii="宋体" w:hAnsi="宋体" w:cs="宋体"/>
          <w:color w:val="auto"/>
          <w:sz w:val="24"/>
          <w:highlight w:val="none"/>
        </w:rPr>
        <w:t>文件“第七篇响应文件编制要求”要求签署或盖章。</w:t>
      </w:r>
    </w:p>
    <w:p w14:paraId="10FF0D22">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79" w:name="_Toc29878"/>
      <w:r>
        <w:rPr>
          <w:rFonts w:hint="eastAsia" w:ascii="宋体" w:hAnsi="宋体" w:cs="宋体"/>
          <w:color w:val="auto"/>
          <w:sz w:val="24"/>
          <w:szCs w:val="24"/>
          <w:highlight w:val="none"/>
        </w:rPr>
        <w:t>（六）响应文件的递交</w:t>
      </w:r>
      <w:bookmarkEnd w:id="279"/>
    </w:p>
    <w:p w14:paraId="40B1BBF7">
      <w:pPr>
        <w:pStyle w:val="34"/>
        <w:keepNext w:val="0"/>
        <w:keepLines w:val="0"/>
        <w:pageBreakBefore w:val="0"/>
        <w:widowControl w:val="0"/>
        <w:kinsoku/>
        <w:wordWrap/>
        <w:topLinePunct w:val="0"/>
        <w:bidi w:val="0"/>
        <w:spacing w:line="400" w:lineRule="exact"/>
        <w:ind w:firstLine="480" w:firstLineChars="200"/>
        <w:textAlignment w:val="auto"/>
        <w:rPr>
          <w:rFonts w:hint="eastAsia" w:hAnsi="宋体" w:cs="宋体"/>
          <w:color w:val="auto"/>
          <w:sz w:val="24"/>
          <w:highlight w:val="none"/>
        </w:rPr>
      </w:pPr>
      <w:r>
        <w:rPr>
          <w:rFonts w:hint="eastAsia" w:hAnsi="宋体" w:cs="宋体"/>
          <w:color w:val="auto"/>
          <w:sz w:val="24"/>
          <w:highlight w:val="none"/>
        </w:rPr>
        <w:t>响应文件的正本、副本以及电子文档均应密封送达</w:t>
      </w:r>
      <w:r>
        <w:rPr>
          <w:rFonts w:hint="eastAsia" w:hAnsi="宋体" w:cs="宋体"/>
          <w:color w:val="auto"/>
          <w:sz w:val="24"/>
          <w:highlight w:val="none"/>
          <w:lang w:eastAsia="zh-CN"/>
        </w:rPr>
        <w:t>比选</w:t>
      </w:r>
      <w:r>
        <w:rPr>
          <w:rFonts w:hint="eastAsia" w:hAnsi="宋体" w:cs="宋体"/>
          <w:color w:val="auto"/>
          <w:sz w:val="24"/>
          <w:highlight w:val="none"/>
        </w:rPr>
        <w:t>地点，应在封套上注明</w:t>
      </w:r>
      <w:r>
        <w:rPr>
          <w:rFonts w:hint="eastAsia" w:hAnsi="宋体" w:cs="宋体"/>
          <w:color w:val="auto"/>
          <w:sz w:val="24"/>
          <w:highlight w:val="none"/>
          <w:lang w:eastAsia="zh-CN"/>
        </w:rPr>
        <w:t>比选</w:t>
      </w:r>
      <w:r>
        <w:rPr>
          <w:rFonts w:hint="eastAsia" w:hAnsi="宋体" w:cs="宋体"/>
          <w:color w:val="auto"/>
          <w:sz w:val="24"/>
          <w:highlight w:val="none"/>
        </w:rPr>
        <w:t>项目名称、供应商名称。若正本、副本以及电子文档分别进行密封的，还应在封套上注明“正本”、“副本”、“电子文档”字样。</w:t>
      </w:r>
    </w:p>
    <w:p w14:paraId="2B224C88">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80" w:name="_Toc10669"/>
      <w:r>
        <w:rPr>
          <w:rFonts w:hint="eastAsia" w:ascii="宋体" w:hAnsi="宋体" w:cs="宋体"/>
          <w:color w:val="auto"/>
          <w:sz w:val="24"/>
          <w:szCs w:val="24"/>
          <w:highlight w:val="none"/>
        </w:rPr>
        <w:t>（七）供应商参与人员</w:t>
      </w:r>
      <w:bookmarkEnd w:id="280"/>
    </w:p>
    <w:p w14:paraId="6402A23E">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，至少1人应为法定代表人（或其授权代表）或自然人（供应商为自然人）。</w:t>
      </w:r>
    </w:p>
    <w:p w14:paraId="0CB567F4">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281" w:name="_Toc6872"/>
      <w:bookmarkStart w:id="282" w:name="_Toc28339"/>
      <w:bookmarkStart w:id="283" w:name="_Toc27253"/>
      <w:bookmarkStart w:id="284" w:name="_Toc10146"/>
      <w:bookmarkStart w:id="285" w:name="_Toc8819"/>
      <w:bookmarkStart w:id="286" w:name="_Toc4255"/>
      <w:bookmarkStart w:id="287" w:name="_Toc1654"/>
      <w:bookmarkStart w:id="288" w:name="_Toc16815"/>
      <w:bookmarkStart w:id="289" w:name="_Toc29902"/>
      <w:bookmarkStart w:id="290" w:name="_Toc2807"/>
      <w:bookmarkStart w:id="291" w:name="_Toc13618"/>
      <w:bookmarkStart w:id="292" w:name="_Toc31697"/>
      <w:bookmarkStart w:id="293" w:name="_Toc76462341"/>
      <w:bookmarkStart w:id="294" w:name="_Toc8867"/>
      <w:bookmarkStart w:id="295" w:name="_Toc11240"/>
      <w:bookmarkStart w:id="296" w:name="_Toc10675"/>
      <w:bookmarkStart w:id="297" w:name="_Toc26891"/>
      <w:bookmarkStart w:id="298" w:name="_Toc6975"/>
      <w:bookmarkStart w:id="299" w:name="_Toc3211"/>
      <w:bookmarkStart w:id="300" w:name="_Toc3816"/>
      <w:bookmarkStart w:id="301" w:name="_Toc4358"/>
      <w:bookmarkStart w:id="302" w:name="_Toc21037"/>
      <w:r>
        <w:rPr>
          <w:rFonts w:hint="eastAsia" w:ascii="宋体" w:hAnsi="宋体" w:cs="宋体"/>
          <w:b/>
          <w:bCs/>
          <w:color w:val="auto"/>
          <w:sz w:val="24"/>
          <w:highlight w:val="none"/>
        </w:rPr>
        <w:t>四、成交供应商的确认和变更</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4648C5DA">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303" w:name="_Toc22399"/>
      <w:r>
        <w:rPr>
          <w:rFonts w:hint="eastAsia" w:ascii="宋体" w:hAnsi="宋体" w:cs="宋体"/>
          <w:color w:val="auto"/>
          <w:sz w:val="24"/>
          <w:szCs w:val="24"/>
          <w:highlight w:val="none"/>
        </w:rPr>
        <w:t>（一）成交供应商的确认</w:t>
      </w:r>
      <w:bookmarkEnd w:id="303"/>
    </w:p>
    <w:p w14:paraId="534778A3">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小组直接确定成交供应商。采购人逾期未确定成交供应商且不提出异议的，视为确定评审报告提出的排序第一的供应商为成交供应商。</w:t>
      </w:r>
    </w:p>
    <w:p w14:paraId="54E14440">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304" w:name="_Toc7832"/>
      <w:r>
        <w:rPr>
          <w:rFonts w:hint="eastAsia" w:ascii="宋体" w:hAnsi="宋体" w:cs="宋体"/>
          <w:color w:val="auto"/>
          <w:sz w:val="24"/>
          <w:szCs w:val="24"/>
          <w:highlight w:val="none"/>
        </w:rPr>
        <w:t>（二）成交供应商的变更</w:t>
      </w:r>
      <w:bookmarkEnd w:id="304"/>
    </w:p>
    <w:p w14:paraId="61142828">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091E36F5">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305" w:name="_Toc17733"/>
      <w:bookmarkStart w:id="306" w:name="_Toc102227321"/>
      <w:bookmarkStart w:id="307" w:name="_Toc21706"/>
      <w:bookmarkStart w:id="308" w:name="_Toc7024"/>
      <w:bookmarkStart w:id="309" w:name="_Toc21638"/>
      <w:bookmarkStart w:id="310" w:name="_Toc7139"/>
      <w:bookmarkStart w:id="311" w:name="_Toc27893"/>
      <w:bookmarkStart w:id="312" w:name="_Toc1942"/>
      <w:bookmarkStart w:id="313" w:name="_Toc1927"/>
      <w:bookmarkStart w:id="314" w:name="_Toc13900"/>
      <w:bookmarkStart w:id="315" w:name="_Toc9729"/>
      <w:bookmarkStart w:id="316" w:name="_Toc17789"/>
      <w:bookmarkStart w:id="317" w:name="_Toc20539"/>
      <w:bookmarkStart w:id="318" w:name="_Toc15326"/>
      <w:bookmarkStart w:id="319" w:name="_Toc3600"/>
      <w:bookmarkStart w:id="320" w:name="_Toc4036"/>
      <w:bookmarkStart w:id="321" w:name="_Toc11566"/>
      <w:bookmarkStart w:id="322" w:name="_Toc5669"/>
      <w:bookmarkStart w:id="323" w:name="_Toc16227"/>
      <w:bookmarkStart w:id="324" w:name="_Toc342913395"/>
      <w:bookmarkStart w:id="325" w:name="_Toc2450"/>
      <w:bookmarkStart w:id="326" w:name="_Toc76462342"/>
      <w:bookmarkStart w:id="327" w:name="_Toc1176"/>
      <w:bookmarkStart w:id="328" w:name="_Toc9305"/>
      <w:r>
        <w:rPr>
          <w:rFonts w:hint="eastAsia" w:ascii="宋体" w:hAnsi="宋体" w:cs="宋体"/>
          <w:b/>
          <w:bCs/>
          <w:color w:val="auto"/>
          <w:sz w:val="24"/>
          <w:highlight w:val="none"/>
        </w:rPr>
        <w:t>五、成交通知</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4A36BB9E">
      <w:pPr>
        <w:keepNext w:val="0"/>
        <w:keepLines w:val="0"/>
        <w:pageBreakBefore w:val="0"/>
        <w:widowControl w:val="0"/>
        <w:kinsoku/>
        <w:wordWrap/>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成交供应商确定后，采购代理机构将在行采家（</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"https://www.gec123.com/"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https://www.gec123.com/</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）上发布成交结果公告。</w:t>
      </w:r>
    </w:p>
    <w:p w14:paraId="21A85156">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49892CF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329" w:name="_Toc23493"/>
      <w:r>
        <w:rPr>
          <w:rFonts w:hint="eastAsia" w:ascii="宋体" w:hAnsi="宋体" w:cs="宋体"/>
          <w:color w:val="auto"/>
          <w:sz w:val="24"/>
          <w:szCs w:val="24"/>
          <w:highlight w:val="none"/>
        </w:rPr>
        <w:t>（三）《成交通知书》将作为签订合同的依据。</w:t>
      </w:r>
      <w:bookmarkEnd w:id="329"/>
    </w:p>
    <w:p w14:paraId="741CBDF7">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330" w:name="_Toc102227322"/>
      <w:bookmarkStart w:id="331" w:name="_Toc28716"/>
      <w:bookmarkStart w:id="332" w:name="_Toc17565"/>
      <w:bookmarkStart w:id="333" w:name="_Toc27598"/>
      <w:bookmarkStart w:id="334" w:name="_Toc2209"/>
      <w:bookmarkStart w:id="335" w:name="_Toc26372"/>
      <w:bookmarkStart w:id="336" w:name="_Toc7501"/>
      <w:bookmarkStart w:id="337" w:name="_Toc342913396"/>
      <w:bookmarkStart w:id="338" w:name="_Toc8595"/>
      <w:bookmarkStart w:id="339" w:name="_Toc3327"/>
      <w:bookmarkStart w:id="340" w:name="_Toc24303"/>
      <w:bookmarkStart w:id="341" w:name="_Toc11278"/>
      <w:bookmarkStart w:id="342" w:name="_Toc18211"/>
      <w:bookmarkStart w:id="343" w:name="_Toc14130"/>
      <w:bookmarkStart w:id="344" w:name="_Toc20308"/>
      <w:bookmarkStart w:id="345" w:name="_Toc26629"/>
      <w:bookmarkStart w:id="346" w:name="_Toc24713"/>
      <w:bookmarkStart w:id="347" w:name="_Toc16077"/>
      <w:bookmarkStart w:id="348" w:name="_Toc8704"/>
      <w:bookmarkStart w:id="349" w:name="_Toc9122"/>
      <w:bookmarkStart w:id="350" w:name="_Toc76462346"/>
      <w:bookmarkStart w:id="351" w:name="_Toc17651"/>
      <w:bookmarkStart w:id="352" w:name="_Toc31502"/>
      <w:bookmarkStart w:id="353" w:name="_Toc17728"/>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、签订</w:t>
      </w:r>
      <w:bookmarkEnd w:id="330"/>
      <w:r>
        <w:rPr>
          <w:rFonts w:hint="eastAsia" w:ascii="宋体" w:hAnsi="宋体" w:cs="宋体"/>
          <w:b/>
          <w:bCs/>
          <w:color w:val="auto"/>
          <w:sz w:val="24"/>
          <w:highlight w:val="none"/>
        </w:rPr>
        <w:t>合同</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C88C9F7">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（一）采购人原则上应在成交通知书发出之日起二十日内和成交供应商签订采购合同，无正当理由不得拒绝或拖延合同签订。所签订的合同不得对性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文件和供应商的响应文件作实质性修改。其他未尽事宜由采购人和成交供应商在采购合同中详细约定。</w:t>
      </w:r>
    </w:p>
    <w:p w14:paraId="12EAADF0">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文件、供应商的响应文件及澄清文件等，均为签订合同的依据。</w:t>
      </w:r>
    </w:p>
    <w:p w14:paraId="7D1EE5C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）合同生效条款由供需双方约定，法律、行政法规规定应当办理批准、登记等手续后生效的合同，依照其规定。</w:t>
      </w:r>
    </w:p>
    <w:p w14:paraId="5C9E7D39">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）采购人要求成交供应商提供履约保证金的，应当在</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文件中予以约定。成交供应商履约完毕后，采购人根据采购文件规定无息退还其履约保证金。</w:t>
      </w:r>
    </w:p>
    <w:p w14:paraId="17540F45">
      <w:pPr>
        <w:keepNext w:val="0"/>
        <w:keepLines w:val="0"/>
        <w:pageBreakBefore w:val="0"/>
        <w:widowControl w:val="0"/>
        <w:kinsoku/>
        <w:wordWrap/>
        <w:topLinePunct w:val="0"/>
        <w:bidi w:val="0"/>
        <w:adjustRightInd w:val="0"/>
        <w:snapToGrid w:val="0"/>
        <w:spacing w:line="400" w:lineRule="exact"/>
        <w:textAlignment w:val="auto"/>
        <w:outlineLvl w:val="9"/>
        <w:rPr>
          <w:rFonts w:hint="eastAsia" w:ascii="宋体" w:hAnsi="宋体" w:cs="宋体"/>
          <w:b/>
          <w:bCs/>
          <w:color w:val="auto"/>
          <w:sz w:val="24"/>
          <w:highlight w:val="none"/>
        </w:rPr>
      </w:pPr>
      <w:bookmarkStart w:id="354" w:name="_Toc1244"/>
      <w:bookmarkStart w:id="355" w:name="_Toc2536"/>
      <w:bookmarkStart w:id="356" w:name="_Toc3479"/>
      <w:bookmarkStart w:id="357" w:name="_Toc106030899"/>
      <w:bookmarkStart w:id="358" w:name="_Toc23347"/>
      <w:bookmarkStart w:id="359" w:name="_Toc24806"/>
      <w:bookmarkStart w:id="360" w:name="_Toc1663"/>
      <w:bookmarkStart w:id="361" w:name="_Toc76462344"/>
      <w:bookmarkStart w:id="362" w:name="_Toc16513"/>
      <w:bookmarkStart w:id="363" w:name="_Toc28018"/>
      <w:bookmarkStart w:id="364" w:name="_Toc11071"/>
      <w:bookmarkStart w:id="365" w:name="_Toc27572"/>
      <w:bookmarkStart w:id="366" w:name="_Toc10155"/>
      <w:bookmarkStart w:id="367" w:name="_Toc22843"/>
      <w:bookmarkStart w:id="368" w:name="_Toc14780"/>
      <w:bookmarkStart w:id="369" w:name="_Toc23925"/>
      <w:bookmarkStart w:id="370" w:name="_Toc32592"/>
      <w:bookmarkStart w:id="371" w:name="_Toc76462347"/>
      <w:bookmarkStart w:id="372" w:name="_Toc21537"/>
      <w:bookmarkStart w:id="373" w:name="_Toc1728"/>
      <w:bookmarkStart w:id="374" w:name="_Toc22910"/>
      <w:bookmarkStart w:id="375" w:name="_Toc29361"/>
      <w:bookmarkStart w:id="376" w:name="_Toc18676"/>
      <w:bookmarkStart w:id="377" w:name="_Toc24073"/>
      <w:bookmarkStart w:id="378" w:name="_Toc1276"/>
      <w:bookmarkStart w:id="379" w:name="_Toc2355"/>
      <w:bookmarkStart w:id="380" w:name="_Toc23133"/>
      <w:bookmarkStart w:id="381" w:name="_Toc15781"/>
      <w:r>
        <w:rPr>
          <w:rFonts w:hint="eastAsia" w:ascii="宋体" w:hAnsi="宋体" w:cs="宋体"/>
          <w:b/>
          <w:bCs/>
          <w:color w:val="auto"/>
          <w:sz w:val="24"/>
          <w:highlight w:val="none"/>
          <w:lang w:eastAsia="zh-CN"/>
        </w:rPr>
        <w:t>七</w:t>
      </w:r>
      <w:r>
        <w:rPr>
          <w:rFonts w:hint="eastAsia" w:ascii="宋体" w:hAnsi="宋体" w:cs="宋体"/>
          <w:b/>
          <w:bCs/>
          <w:color w:val="auto"/>
          <w:sz w:val="24"/>
          <w:highlight w:val="none"/>
        </w:rPr>
        <w:t>、采购代理服务费</w:t>
      </w:r>
      <w:bookmarkEnd w:id="354"/>
      <w:bookmarkEnd w:id="355"/>
      <w:bookmarkEnd w:id="356"/>
      <w:bookmarkEnd w:id="357"/>
      <w:bookmarkEnd w:id="358"/>
      <w:bookmarkEnd w:id="359"/>
      <w:bookmarkEnd w:id="360"/>
      <w:bookmarkEnd w:id="361"/>
    </w:p>
    <w:p w14:paraId="77720485">
      <w:pPr>
        <w:keepNext w:val="0"/>
        <w:keepLines w:val="0"/>
        <w:pageBreakBefore w:val="0"/>
        <w:widowControl w:val="0"/>
        <w:kinsoku/>
        <w:wordWrap/>
        <w:topLinePunct w:val="0"/>
        <w:bidi w:val="0"/>
        <w:spacing w:line="400" w:lineRule="exact"/>
        <w:ind w:firstLine="480" w:firstLineChars="200"/>
        <w:textAlignment w:val="auto"/>
        <w:rPr>
          <w:rFonts w:hint="default" w:ascii="宋体" w:hAnsi="宋体" w:cs="宋体"/>
          <w:b/>
          <w:color w:val="auto"/>
          <w:sz w:val="24"/>
          <w:highlight w:val="none"/>
          <w:lang w:val="en-US"/>
        </w:rPr>
      </w:pPr>
      <w:bookmarkStart w:id="382" w:name="_Toc7792"/>
      <w:bookmarkStart w:id="383" w:name="_Toc25784"/>
      <w:bookmarkStart w:id="384" w:name="_Toc106030902"/>
      <w:bookmarkStart w:id="385" w:name="_Toc15872"/>
      <w:r>
        <w:rPr>
          <w:rFonts w:hint="eastAsia" w:ascii="宋体" w:hAnsi="宋体" w:cs="宋体"/>
          <w:color w:val="auto"/>
          <w:sz w:val="24"/>
          <w:highlight w:val="none"/>
        </w:rPr>
        <w:t>（一）本</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代理服务费由中标单位支付，</w:t>
      </w:r>
      <w:r>
        <w:rPr>
          <w:rFonts w:hint="eastAsia" w:ascii="宋体" w:hAnsi="宋体" w:cs="宋体"/>
          <w:sz w:val="24"/>
          <w:highlight w:val="none"/>
        </w:rPr>
        <w:t>代理服务费</w:t>
      </w:r>
      <w:r>
        <w:rPr>
          <w:rFonts w:hint="eastAsia" w:ascii="宋体" w:hAnsi="宋体" w:cs="宋体"/>
          <w:color w:val="auto"/>
          <w:sz w:val="24"/>
          <w:highlight w:val="none"/>
        </w:rPr>
        <w:t>参照计价格〔2002〕1980号文件规定标准计取</w:t>
      </w:r>
      <w:r>
        <w:rPr>
          <w:rFonts w:hint="eastAsia" w:ascii="宋体" w:hAnsi="宋体" w:eastAsia="宋体" w:cs="宋体"/>
          <w:color w:val="auto"/>
          <w:kern w:val="2"/>
          <w:sz w:val="24"/>
          <w:szCs w:val="20"/>
          <w:highlight w:val="none"/>
          <w:lang w:val="en-US" w:eastAsia="zh-CN" w:bidi="ar"/>
        </w:rPr>
        <w:t>。</w:t>
      </w:r>
      <w:r>
        <w:rPr>
          <w:rFonts w:hint="eastAsia" w:ascii="宋体" w:hAnsi="宋体" w:cs="宋体"/>
          <w:color w:val="auto"/>
          <w:kern w:val="2"/>
          <w:sz w:val="24"/>
          <w:szCs w:val="20"/>
          <w:highlight w:val="none"/>
          <w:lang w:val="en-US" w:eastAsia="zh-CN" w:bidi="ar"/>
        </w:rPr>
        <w:t>由成交供应商在领取成交通知书时一次性向代理机构缴纳。</w:t>
      </w:r>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14:paraId="71132E78">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41CAA011">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58391F4F">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6224F4AC">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2970143">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18D3D89D">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FB4B718">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76B4FD56">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5228CD5A">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74CE2C01">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06E575F">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16502E70">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625B61F6">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79FF40F2">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bookmarkStart w:id="386" w:name="_Toc20413"/>
      <w:bookmarkStart w:id="387" w:name="_Toc84"/>
      <w:bookmarkStart w:id="388" w:name="_Toc18187"/>
      <w:bookmarkStart w:id="389" w:name="_Toc6204"/>
      <w:bookmarkStart w:id="390" w:name="_Toc21896"/>
      <w:bookmarkStart w:id="391" w:name="_Toc23229"/>
      <w:bookmarkStart w:id="392" w:name="_Toc6442"/>
      <w:bookmarkStart w:id="393" w:name="_Toc1505"/>
      <w:bookmarkStart w:id="394" w:name="_Toc14340"/>
      <w:bookmarkStart w:id="395" w:name="_Toc18306"/>
      <w:bookmarkStart w:id="396" w:name="_Toc76462348"/>
      <w:bookmarkStart w:id="397" w:name="_Toc28948"/>
      <w:bookmarkStart w:id="398" w:name="_Toc17453"/>
      <w:bookmarkStart w:id="399" w:name="_Toc18910"/>
      <w:bookmarkStart w:id="400" w:name="_Toc3221"/>
      <w:bookmarkStart w:id="401" w:name="_Toc32562"/>
      <w:bookmarkStart w:id="402" w:name="_Toc130"/>
      <w:bookmarkStart w:id="403" w:name="_Toc20965"/>
      <w:bookmarkStart w:id="404" w:name="_Toc6967"/>
      <w:bookmarkStart w:id="405" w:name="_Toc229"/>
      <w:bookmarkStart w:id="406" w:name="_Toc424"/>
      <w:bookmarkStart w:id="407" w:name="_Toc1411"/>
      <w:bookmarkStart w:id="408" w:name="_Toc27280"/>
      <w:bookmarkStart w:id="409" w:name="_Toc19076"/>
      <w:bookmarkStart w:id="410" w:name="_Toc18101"/>
      <w:bookmarkStart w:id="411" w:name="_Toc16313"/>
      <w:bookmarkStart w:id="412" w:name="_Toc32599"/>
      <w:bookmarkStart w:id="413" w:name="_Toc14964"/>
      <w:bookmarkStart w:id="414" w:name="_Toc11593"/>
      <w:bookmarkStart w:id="415" w:name="_Toc7864"/>
      <w:bookmarkStart w:id="416" w:name="_Toc20244"/>
      <w:bookmarkStart w:id="417" w:name="_Toc19622"/>
      <w:bookmarkStart w:id="418" w:name="_Toc29988"/>
      <w:bookmarkStart w:id="419" w:name="_Toc11449"/>
    </w:p>
    <w:p w14:paraId="1DF2602D">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3B2F13A">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3B5E7CC">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7E3640C">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120F795">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25862613">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C413C20">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A26F6A1">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338D3BC">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184D083">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A83662F">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宋体" w:hAnsi="宋体" w:cs="宋体"/>
          <w:color w:val="auto"/>
          <w:highlight w:val="none"/>
        </w:rPr>
      </w:pPr>
      <w:r>
        <w:rPr>
          <w:rFonts w:hint="eastAsia" w:ascii="Times New Roman" w:hAnsi="Times New Roman" w:eastAsia="宋体" w:cs="宋体"/>
          <w:b/>
          <w:bCs w:val="0"/>
          <w:color w:val="auto"/>
          <w:kern w:val="2"/>
          <w:sz w:val="36"/>
          <w:szCs w:val="36"/>
          <w:highlight w:val="none"/>
          <w:lang w:val="en-US" w:eastAsia="zh-CN" w:bidi="ar-SA"/>
        </w:rPr>
        <w:t>第六篇  采购合同</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Times New Roman" w:hAnsi="Times New Roman" w:eastAsia="宋体" w:cs="宋体"/>
          <w:b/>
          <w:bCs w:val="0"/>
          <w:color w:val="auto"/>
          <w:kern w:val="2"/>
          <w:sz w:val="36"/>
          <w:szCs w:val="36"/>
          <w:highlight w:val="none"/>
          <w:lang w:val="en-US" w:eastAsia="zh-CN" w:bidi="ar-SA"/>
        </w:rPr>
        <w:t>（样本）</w:t>
      </w:r>
      <w:bookmarkEnd w:id="413"/>
      <w:bookmarkEnd w:id="414"/>
      <w:bookmarkEnd w:id="415"/>
      <w:bookmarkEnd w:id="416"/>
      <w:bookmarkEnd w:id="417"/>
      <w:bookmarkEnd w:id="418"/>
      <w:bookmarkEnd w:id="419"/>
      <w:bookmarkStart w:id="420" w:name="_Toc322559720"/>
      <w:bookmarkStart w:id="421" w:name="_Toc325910652"/>
      <w:bookmarkStart w:id="422" w:name="_Toc26878"/>
      <w:bookmarkStart w:id="423" w:name="_Toc298010387"/>
      <w:bookmarkStart w:id="424" w:name="_Toc330980512"/>
      <w:bookmarkStart w:id="425" w:name="_Toc29379"/>
      <w:bookmarkStart w:id="426" w:name="_Toc23433"/>
      <w:bookmarkStart w:id="427" w:name="_Toc2705"/>
      <w:bookmarkStart w:id="428" w:name="_Toc30441"/>
      <w:bookmarkStart w:id="429" w:name="_Toc5872"/>
      <w:bookmarkStart w:id="430" w:name="_Toc9338"/>
      <w:bookmarkStart w:id="431" w:name="_Toc22311"/>
      <w:bookmarkStart w:id="432" w:name="_Toc30260"/>
      <w:bookmarkStart w:id="433" w:name="_Toc31068"/>
      <w:bookmarkStart w:id="434" w:name="_Toc7605"/>
      <w:bookmarkStart w:id="435" w:name="_Toc13040"/>
      <w:bookmarkStart w:id="436" w:name="_Toc2393"/>
      <w:bookmarkStart w:id="437" w:name="_Toc26077"/>
      <w:bookmarkStart w:id="438" w:name="_Toc6342"/>
      <w:bookmarkStart w:id="439" w:name="_Toc15809"/>
      <w:bookmarkStart w:id="440" w:name="_Toc8650"/>
      <w:bookmarkStart w:id="441" w:name="_Toc5150"/>
      <w:bookmarkStart w:id="442" w:name="_Toc23212"/>
      <w:bookmarkStart w:id="443" w:name="_Toc429"/>
      <w:bookmarkStart w:id="444" w:name="_Toc11195"/>
      <w:bookmarkStart w:id="445" w:name="_Toc19195"/>
      <w:bookmarkStart w:id="446" w:name="_Toc76462349"/>
      <w:bookmarkStart w:id="447" w:name="_Toc17879"/>
      <w:bookmarkStart w:id="448" w:name="_Toc27521"/>
      <w:bookmarkStart w:id="449" w:name="_Toc16351"/>
      <w:bookmarkStart w:id="450" w:name="_Toc12180"/>
      <w:bookmarkStart w:id="451" w:name="_Toc24148"/>
    </w:p>
    <w:p w14:paraId="4BAD4AEB">
      <w:pPr>
        <w:rPr>
          <w:rFonts w:hint="eastAsia" w:ascii="宋体" w:hAnsi="宋体" w:cs="宋体"/>
          <w:color w:val="auto"/>
          <w:highlight w:val="none"/>
        </w:rPr>
      </w:pPr>
    </w:p>
    <w:bookmarkEnd w:id="420"/>
    <w:bookmarkEnd w:id="421"/>
    <w:bookmarkEnd w:id="422"/>
    <w:bookmarkEnd w:id="423"/>
    <w:bookmarkEnd w:id="424"/>
    <w:p w14:paraId="55C8C67C">
      <w:pPr>
        <w:rPr>
          <w:rFonts w:ascii="宋体" w:hAnsi="宋体" w:cs="宋体"/>
          <w:sz w:val="21"/>
          <w:szCs w:val="21"/>
        </w:rPr>
      </w:pPr>
      <w:bookmarkStart w:id="452" w:name="_Toc9194"/>
      <w:bookmarkEnd w:id="452"/>
      <w:bookmarkStart w:id="453" w:name="_Toc11406"/>
      <w:bookmarkEnd w:id="453"/>
      <w:bookmarkStart w:id="454" w:name="_Toc509218786"/>
      <w:bookmarkEnd w:id="454"/>
      <w:bookmarkStart w:id="455" w:name="_Toc534185765"/>
      <w:bookmarkEnd w:id="455"/>
      <w:bookmarkStart w:id="456" w:name="_Toc5965"/>
      <w:bookmarkEnd w:id="456"/>
      <w:bookmarkStart w:id="457" w:name="_Toc351203494"/>
      <w:bookmarkEnd w:id="457"/>
      <w:bookmarkStart w:id="458" w:name="_Toc351203632"/>
      <w:r>
        <w:rPr>
          <w:rFonts w:hint="eastAsia" w:ascii="宋体" w:hAnsi="宋体" w:cs="宋体"/>
          <w:sz w:val="21"/>
          <w:szCs w:val="21"/>
        </w:rPr>
        <w:t>合同编号：</w:t>
      </w:r>
    </w:p>
    <w:p w14:paraId="784D0D08">
      <w:pPr>
        <w:rPr>
          <w:rFonts w:ascii="宋体" w:hAnsi="宋体" w:cs="宋体"/>
          <w:sz w:val="21"/>
          <w:szCs w:val="21"/>
        </w:rPr>
      </w:pPr>
    </w:p>
    <w:p w14:paraId="79F18BA9">
      <w:pPr>
        <w:rPr>
          <w:rFonts w:ascii="宋体" w:hAnsi="宋体" w:cs="宋体"/>
          <w:sz w:val="21"/>
          <w:szCs w:val="21"/>
        </w:rPr>
      </w:pPr>
    </w:p>
    <w:p w14:paraId="23FAE7BC">
      <w:pPr>
        <w:pStyle w:val="2"/>
        <w:jc w:val="center"/>
        <w:rPr>
          <w:rFonts w:hint="eastAsia" w:hAnsi="宋体" w:cs="宋体"/>
          <w:sz w:val="21"/>
          <w:szCs w:val="21"/>
        </w:rPr>
      </w:pPr>
      <w:bookmarkStart w:id="459" w:name="_Toc25848"/>
      <w:bookmarkStart w:id="460" w:name="_Toc536106521"/>
      <w:bookmarkStart w:id="461" w:name="_Toc487025778"/>
    </w:p>
    <w:p w14:paraId="08C13A7B">
      <w:pPr>
        <w:rPr>
          <w:rFonts w:hint="eastAsia" w:hAnsi="宋体" w:cs="宋体"/>
          <w:sz w:val="21"/>
          <w:szCs w:val="21"/>
        </w:rPr>
      </w:pPr>
    </w:p>
    <w:p w14:paraId="4708C706">
      <w:pPr>
        <w:rPr>
          <w:rFonts w:hint="eastAsia" w:hAnsi="宋体" w:cs="宋体"/>
          <w:sz w:val="21"/>
          <w:szCs w:val="21"/>
        </w:rPr>
      </w:pPr>
    </w:p>
    <w:p w14:paraId="31B20787">
      <w:pPr>
        <w:pStyle w:val="2"/>
        <w:jc w:val="center"/>
        <w:rPr>
          <w:rFonts w:hint="eastAsia" w:hAnsi="宋体" w:cs="宋体"/>
          <w:sz w:val="21"/>
          <w:szCs w:val="21"/>
        </w:rPr>
      </w:pPr>
    </w:p>
    <w:p w14:paraId="513E3F49">
      <w:pPr>
        <w:pStyle w:val="2"/>
        <w:jc w:val="center"/>
        <w:rPr>
          <w:rFonts w:hint="eastAsia" w:hAnsi="宋体" w:cs="宋体"/>
          <w:sz w:val="52"/>
          <w:szCs w:val="52"/>
        </w:rPr>
      </w:pPr>
    </w:p>
    <w:p w14:paraId="78158A91">
      <w:pPr>
        <w:rPr>
          <w:rFonts w:hint="eastAsia"/>
        </w:rPr>
      </w:pPr>
    </w:p>
    <w:p w14:paraId="652D46B4">
      <w:pPr>
        <w:pStyle w:val="2"/>
        <w:jc w:val="center"/>
        <w:rPr>
          <w:rFonts w:hAnsi="宋体" w:cs="宋体"/>
          <w:sz w:val="52"/>
          <w:szCs w:val="52"/>
        </w:rPr>
      </w:pPr>
      <w:r>
        <w:rPr>
          <w:rFonts w:hint="eastAsia" w:hAnsi="宋体" w:cs="宋体"/>
          <w:sz w:val="52"/>
          <w:szCs w:val="52"/>
        </w:rPr>
        <w:t>建设工程项目施工合同</w:t>
      </w:r>
      <w:bookmarkEnd w:id="459"/>
      <w:bookmarkEnd w:id="460"/>
      <w:bookmarkEnd w:id="461"/>
    </w:p>
    <w:p w14:paraId="3B1E3CB3">
      <w:pPr>
        <w:jc w:val="center"/>
        <w:rPr>
          <w:rFonts w:ascii="宋体" w:hAnsi="宋体" w:cs="宋体"/>
          <w:b/>
          <w:sz w:val="21"/>
          <w:szCs w:val="21"/>
        </w:rPr>
      </w:pPr>
    </w:p>
    <w:p w14:paraId="49C10ED5">
      <w:pPr>
        <w:jc w:val="center"/>
        <w:rPr>
          <w:rFonts w:ascii="宋体" w:hAnsi="宋体" w:cs="宋体"/>
          <w:b/>
          <w:sz w:val="21"/>
          <w:szCs w:val="21"/>
        </w:rPr>
      </w:pPr>
    </w:p>
    <w:p w14:paraId="5C04C418">
      <w:pPr>
        <w:jc w:val="center"/>
        <w:rPr>
          <w:rFonts w:ascii="宋体" w:hAnsi="宋体" w:cs="宋体"/>
          <w:b/>
          <w:sz w:val="21"/>
          <w:szCs w:val="21"/>
        </w:rPr>
      </w:pPr>
    </w:p>
    <w:p w14:paraId="547580F9">
      <w:pPr>
        <w:jc w:val="center"/>
        <w:rPr>
          <w:rFonts w:ascii="宋体" w:hAnsi="宋体" w:cs="宋体"/>
          <w:b/>
          <w:sz w:val="21"/>
          <w:szCs w:val="21"/>
        </w:rPr>
      </w:pPr>
    </w:p>
    <w:p w14:paraId="3E1B2E8D">
      <w:pPr>
        <w:rPr>
          <w:rFonts w:ascii="宋体" w:hAnsi="宋体" w:cs="宋体"/>
          <w:b/>
          <w:sz w:val="21"/>
          <w:szCs w:val="21"/>
        </w:rPr>
      </w:pPr>
    </w:p>
    <w:p w14:paraId="28B293CC">
      <w:pPr>
        <w:pStyle w:val="23"/>
        <w:rPr>
          <w:rFonts w:ascii="宋体" w:hAnsi="宋体"/>
          <w:b/>
          <w:sz w:val="21"/>
          <w:szCs w:val="21"/>
        </w:rPr>
      </w:pPr>
    </w:p>
    <w:p w14:paraId="2315399B">
      <w:pPr>
        <w:rPr>
          <w:rFonts w:ascii="宋体" w:hAnsi="宋体" w:cs="宋体"/>
          <w:sz w:val="21"/>
          <w:szCs w:val="21"/>
        </w:rPr>
      </w:pPr>
    </w:p>
    <w:p w14:paraId="3965D07A">
      <w:pPr>
        <w:pStyle w:val="63"/>
        <w:ind w:firstLine="210"/>
        <w:rPr>
          <w:sz w:val="21"/>
          <w:szCs w:val="21"/>
        </w:rPr>
      </w:pPr>
    </w:p>
    <w:p w14:paraId="16FFF937">
      <w:pPr>
        <w:rPr>
          <w:rFonts w:ascii="宋体" w:hAnsi="宋体" w:cs="宋体"/>
          <w:sz w:val="21"/>
          <w:szCs w:val="21"/>
        </w:rPr>
      </w:pPr>
    </w:p>
    <w:p w14:paraId="53E3C02C">
      <w:pPr>
        <w:pStyle w:val="63"/>
        <w:ind w:firstLine="210"/>
        <w:rPr>
          <w:sz w:val="21"/>
          <w:szCs w:val="21"/>
        </w:rPr>
      </w:pPr>
    </w:p>
    <w:p w14:paraId="03D3EEE9">
      <w:pPr>
        <w:rPr>
          <w:rFonts w:ascii="宋体" w:hAnsi="宋体" w:cs="宋体"/>
          <w:sz w:val="21"/>
          <w:szCs w:val="21"/>
        </w:rPr>
      </w:pPr>
    </w:p>
    <w:p w14:paraId="6CB50F13">
      <w:pPr>
        <w:pStyle w:val="63"/>
        <w:ind w:firstLine="210"/>
        <w:rPr>
          <w:sz w:val="21"/>
          <w:szCs w:val="21"/>
        </w:rPr>
      </w:pPr>
    </w:p>
    <w:p w14:paraId="5BDE6550">
      <w:pPr>
        <w:jc w:val="center"/>
        <w:rPr>
          <w:rFonts w:ascii="宋体" w:hAnsi="宋体" w:cs="宋体"/>
          <w:b/>
          <w:sz w:val="21"/>
          <w:szCs w:val="21"/>
        </w:rPr>
      </w:pPr>
    </w:p>
    <w:p w14:paraId="31D768D5">
      <w:pPr>
        <w:jc w:val="center"/>
        <w:rPr>
          <w:rFonts w:ascii="宋体" w:hAnsi="宋体" w:cs="宋体"/>
          <w:b/>
          <w:sz w:val="21"/>
          <w:szCs w:val="21"/>
        </w:rPr>
      </w:pPr>
    </w:p>
    <w:p w14:paraId="2D49B276">
      <w:pPr>
        <w:pStyle w:val="63"/>
        <w:ind w:firstLine="211"/>
        <w:rPr>
          <w:b/>
          <w:sz w:val="21"/>
          <w:szCs w:val="21"/>
        </w:rPr>
      </w:pPr>
    </w:p>
    <w:p w14:paraId="0D29AC9C">
      <w:pPr>
        <w:rPr>
          <w:rFonts w:ascii="宋体" w:hAnsi="宋体" w:cs="宋体"/>
          <w:b/>
          <w:sz w:val="21"/>
          <w:szCs w:val="21"/>
        </w:rPr>
      </w:pPr>
    </w:p>
    <w:p w14:paraId="1EE920DA">
      <w:pPr>
        <w:pStyle w:val="63"/>
        <w:ind w:left="0" w:leftChars="0" w:firstLine="0" w:firstLineChars="0"/>
        <w:rPr>
          <w:sz w:val="21"/>
          <w:szCs w:val="21"/>
        </w:rPr>
      </w:pPr>
    </w:p>
    <w:p w14:paraId="7452B30D">
      <w:pPr>
        <w:spacing w:line="320" w:lineRule="atLeast"/>
        <w:textAlignment w:val="center"/>
        <w:rPr>
          <w:rFonts w:ascii="宋体" w:hAnsi="宋体" w:cs="宋体"/>
          <w:spacing w:val="-20"/>
          <w:kern w:val="10"/>
          <w:sz w:val="21"/>
          <w:szCs w:val="21"/>
        </w:rPr>
      </w:pPr>
    </w:p>
    <w:p w14:paraId="00CACEB3">
      <w:pPr>
        <w:spacing w:line="320" w:lineRule="atLeast"/>
        <w:textAlignment w:val="center"/>
        <w:rPr>
          <w:rFonts w:ascii="宋体" w:hAnsi="宋体" w:cs="宋体"/>
          <w:spacing w:val="-20"/>
          <w:kern w:val="10"/>
          <w:sz w:val="21"/>
          <w:szCs w:val="21"/>
        </w:rPr>
      </w:pPr>
    </w:p>
    <w:p w14:paraId="1D5AADEC">
      <w:pPr>
        <w:spacing w:line="320" w:lineRule="atLeast"/>
        <w:textAlignment w:val="center"/>
        <w:rPr>
          <w:rFonts w:ascii="宋体" w:hAnsi="宋体" w:cs="宋体"/>
          <w:spacing w:val="-20"/>
          <w:kern w:val="10"/>
          <w:sz w:val="21"/>
          <w:szCs w:val="21"/>
        </w:rPr>
      </w:pPr>
    </w:p>
    <w:p w14:paraId="2A426754">
      <w:pPr>
        <w:spacing w:line="320" w:lineRule="atLeast"/>
        <w:textAlignment w:val="center"/>
        <w:rPr>
          <w:rFonts w:ascii="宋体" w:hAnsi="宋体" w:cs="宋体"/>
          <w:b/>
          <w:spacing w:val="-20"/>
          <w:kern w:val="10"/>
          <w:sz w:val="21"/>
          <w:szCs w:val="21"/>
        </w:rPr>
      </w:pPr>
      <w:r>
        <w:rPr>
          <w:rFonts w:hint="eastAsia" w:ascii="宋体" w:hAnsi="宋体" w:cs="宋体"/>
          <w:b/>
          <w:spacing w:val="-20"/>
          <w:kern w:val="10"/>
          <w:sz w:val="21"/>
          <w:szCs w:val="21"/>
        </w:rPr>
        <w:t xml:space="preserve">                         中华人民共和国建设部　　</w:t>
      </w:r>
    </w:p>
    <w:p w14:paraId="70DA7CF2">
      <w:pPr>
        <w:spacing w:line="320" w:lineRule="atLeast"/>
        <w:jc w:val="center"/>
        <w:textAlignment w:val="center"/>
        <w:rPr>
          <w:rFonts w:ascii="宋体" w:hAnsi="宋体" w:cs="宋体"/>
          <w:b/>
          <w:spacing w:val="-20"/>
          <w:kern w:val="10"/>
          <w:sz w:val="21"/>
          <w:szCs w:val="21"/>
        </w:rPr>
      </w:pPr>
      <w:r>
        <w:rPr>
          <w:rFonts w:hint="eastAsia" w:ascii="宋体" w:hAnsi="宋体" w:cs="宋体"/>
          <w:b/>
          <w:spacing w:val="-20"/>
          <w:kern w:val="10"/>
          <w:sz w:val="21"/>
          <w:szCs w:val="21"/>
        </w:rPr>
        <w:t xml:space="preserve">                                    制定</w:t>
      </w:r>
    </w:p>
    <w:p w14:paraId="57E62FAE">
      <w:pPr>
        <w:spacing w:line="320" w:lineRule="atLeast"/>
        <w:textAlignment w:val="center"/>
        <w:rPr>
          <w:rFonts w:ascii="宋体" w:hAnsi="宋体" w:cs="宋体"/>
          <w:b/>
          <w:spacing w:val="-20"/>
          <w:kern w:val="10"/>
          <w:sz w:val="21"/>
          <w:szCs w:val="21"/>
        </w:rPr>
      </w:pPr>
      <w:r>
        <w:rPr>
          <w:rFonts w:hint="eastAsia" w:ascii="宋体" w:hAnsi="宋体" w:cs="宋体"/>
          <w:b/>
          <w:spacing w:val="-20"/>
          <w:kern w:val="10"/>
          <w:sz w:val="21"/>
          <w:szCs w:val="21"/>
        </w:rPr>
        <w:t xml:space="preserve">                         国家工商行政管理总局 </w:t>
      </w:r>
    </w:p>
    <w:p w14:paraId="4D019B0D">
      <w:pPr>
        <w:keepNext/>
        <w:keepLines/>
        <w:spacing w:before="260" w:after="260" w:line="415" w:lineRule="auto"/>
        <w:jc w:val="center"/>
        <w:outlineLvl w:val="2"/>
        <w:rPr>
          <w:rFonts w:ascii="宋体" w:hAnsi="宋体" w:eastAsia="宋体" w:cs="Times New Roman"/>
          <w:bCs/>
          <w:sz w:val="21"/>
          <w:szCs w:val="21"/>
        </w:rPr>
      </w:pPr>
      <w:r>
        <w:rPr>
          <w:rFonts w:hint="eastAsia" w:ascii="宋体" w:hAnsi="宋体" w:eastAsia="宋体" w:cs="Times New Roman"/>
          <w:b/>
          <w:bCs/>
          <w:sz w:val="21"/>
          <w:szCs w:val="21"/>
        </w:rPr>
        <w:t>第一部分 合同协议书</w:t>
      </w:r>
      <w:bookmarkEnd w:id="458"/>
    </w:p>
    <w:p w14:paraId="5796429D">
      <w:pPr>
        <w:autoSpaceDE w:val="0"/>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发包人（全称）：</w:t>
      </w:r>
      <w:r>
        <w:rPr>
          <w:rFonts w:hint="eastAsia" w:ascii="宋体" w:hAnsi="宋体" w:eastAsia="宋体" w:cs="Times New Roman"/>
          <w:sz w:val="21"/>
          <w:szCs w:val="21"/>
          <w:u w:val="single"/>
        </w:rPr>
        <w:t xml:space="preserve">                             </w:t>
      </w:r>
    </w:p>
    <w:p w14:paraId="50DD28EE">
      <w:pPr>
        <w:autoSpaceDE w:val="0"/>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承包人（全称）：</w:t>
      </w:r>
      <w:r>
        <w:rPr>
          <w:rFonts w:hint="eastAsia" w:ascii="宋体" w:hAnsi="宋体" w:eastAsia="宋体" w:cs="Times New Roman"/>
          <w:sz w:val="21"/>
          <w:szCs w:val="21"/>
          <w:u w:val="single"/>
        </w:rPr>
        <w:t xml:space="preserve">                                 </w:t>
      </w:r>
    </w:p>
    <w:p w14:paraId="4250DF54">
      <w:pPr>
        <w:autoSpaceDE w:val="0"/>
        <w:spacing w:line="360" w:lineRule="auto"/>
        <w:rPr>
          <w:rFonts w:ascii="宋体" w:hAnsi="宋体" w:eastAsia="宋体" w:cs="Times New Roman"/>
          <w:b/>
          <w:sz w:val="21"/>
          <w:szCs w:val="21"/>
          <w:u w:val="single"/>
        </w:rPr>
      </w:pPr>
      <w:r>
        <w:rPr>
          <w:rFonts w:hint="eastAsia" w:ascii="宋体" w:hAnsi="宋体" w:eastAsia="宋体" w:cs="Times New Roman"/>
          <w:sz w:val="21"/>
          <w:szCs w:val="21"/>
        </w:rPr>
        <w:t>根据《中华人民共和国民法典》、《中华人民共和国建筑法》及有关法律、法规规定，遵循平等、自愿、公平和诚实信用的原则，双方就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工程施工及有关事项协商一致，共同达成如下协议：</w:t>
      </w:r>
    </w:p>
    <w:p w14:paraId="01E19193">
      <w:pPr>
        <w:keepNext/>
        <w:keepLines/>
        <w:autoSpaceDE w:val="0"/>
        <w:spacing w:line="360" w:lineRule="auto"/>
        <w:outlineLvl w:val="3"/>
        <w:rPr>
          <w:rFonts w:ascii="宋体" w:hAnsi="宋体" w:eastAsia="宋体" w:cs="宋体"/>
          <w:b/>
          <w:bCs/>
          <w:sz w:val="21"/>
          <w:szCs w:val="21"/>
        </w:rPr>
      </w:pPr>
      <w:bookmarkStart w:id="462" w:name="_Toc532377166"/>
      <w:bookmarkEnd w:id="462"/>
      <w:bookmarkStart w:id="463" w:name="_Toc532375573"/>
      <w:bookmarkEnd w:id="463"/>
      <w:bookmarkStart w:id="464" w:name="_Toc351203481"/>
      <w:r>
        <w:rPr>
          <w:rFonts w:hint="eastAsia" w:ascii="宋体" w:hAnsi="宋体" w:eastAsia="宋体" w:cs="宋体"/>
          <w:b/>
          <w:bCs/>
          <w:sz w:val="21"/>
          <w:szCs w:val="21"/>
        </w:rPr>
        <w:t>一、工程概况</w:t>
      </w:r>
      <w:bookmarkEnd w:id="464"/>
    </w:p>
    <w:p w14:paraId="65B1967E">
      <w:pPr>
        <w:autoSpaceDE w:val="0"/>
        <w:snapToGrid w:val="0"/>
        <w:spacing w:line="360" w:lineRule="auto"/>
        <w:rPr>
          <w:rFonts w:ascii="宋体" w:hAnsi="宋体" w:eastAsia="宋体" w:cs="Times New Roman"/>
          <w:sz w:val="21"/>
          <w:szCs w:val="21"/>
          <w:u w:val="single"/>
        </w:rPr>
      </w:pPr>
      <w:r>
        <w:rPr>
          <w:rFonts w:hint="eastAsia" w:ascii="宋体" w:hAnsi="宋体" w:eastAsia="宋体" w:cs="Times New Roman"/>
          <w:bCs/>
          <w:sz w:val="21"/>
          <w:szCs w:val="21"/>
        </w:rPr>
        <w:t>1.工程名称</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16F00B9">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bCs/>
          <w:sz w:val="21"/>
          <w:szCs w:val="21"/>
        </w:rPr>
        <w:t>2.工程地点：</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6B55509">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bCs/>
          <w:sz w:val="21"/>
          <w:szCs w:val="21"/>
        </w:rPr>
        <w:t>3.工程立项批准文号：</w:t>
      </w:r>
      <w:r>
        <w:rPr>
          <w:rFonts w:hint="eastAsia" w:ascii="宋体" w:hAnsi="宋体" w:eastAsia="宋体" w:cs="Times New Roman"/>
          <w:sz w:val="21"/>
          <w:szCs w:val="21"/>
          <w:u w:val="single"/>
        </w:rPr>
        <w:t xml:space="preserve">                        </w:t>
      </w:r>
      <w:r>
        <w:rPr>
          <w:rFonts w:hint="eastAsia" w:ascii="宋体" w:hAnsi="宋体" w:eastAsia="宋体" w:cs="Times New Roman"/>
          <w:bCs/>
          <w:sz w:val="21"/>
          <w:szCs w:val="21"/>
        </w:rPr>
        <w:t>。</w:t>
      </w:r>
    </w:p>
    <w:p w14:paraId="3FC96D25">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bCs/>
          <w:sz w:val="21"/>
          <w:szCs w:val="21"/>
        </w:rPr>
        <w:t>4.资金来源：</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B73DDC7">
      <w:pPr>
        <w:autoSpaceDE w:val="0"/>
        <w:snapToGrid w:val="0"/>
        <w:spacing w:line="360" w:lineRule="auto"/>
        <w:rPr>
          <w:rFonts w:ascii="宋体" w:hAnsi="宋体" w:eastAsia="宋体" w:cs="Times New Roman"/>
          <w:sz w:val="21"/>
          <w:szCs w:val="21"/>
        </w:rPr>
      </w:pPr>
      <w:r>
        <w:rPr>
          <w:rFonts w:hint="eastAsia" w:ascii="宋体" w:hAnsi="宋体" w:eastAsia="宋体" w:cs="Times New Roman"/>
          <w:bCs/>
          <w:sz w:val="21"/>
          <w:szCs w:val="21"/>
        </w:rPr>
        <w:t>5.工程内容：</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BD4F05E">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sz w:val="21"/>
          <w:szCs w:val="21"/>
        </w:rPr>
        <w:t>群体工程应附《承包人承揽工程项目一览表》（附件1）。</w:t>
      </w:r>
    </w:p>
    <w:p w14:paraId="25D7D5D6">
      <w:pPr>
        <w:autoSpaceDE w:val="0"/>
        <w:snapToGrid w:val="0"/>
        <w:spacing w:line="360" w:lineRule="auto"/>
        <w:jc w:val="left"/>
        <w:rPr>
          <w:rFonts w:ascii="宋体" w:hAnsi="宋体" w:eastAsia="宋体" w:cs="Times New Roman"/>
          <w:bCs/>
          <w:sz w:val="21"/>
          <w:szCs w:val="21"/>
        </w:rPr>
      </w:pPr>
      <w:r>
        <w:rPr>
          <w:rFonts w:hint="eastAsia" w:ascii="宋体" w:hAnsi="宋体" w:eastAsia="宋体" w:cs="Times New Roman"/>
          <w:bCs/>
          <w:sz w:val="21"/>
          <w:szCs w:val="21"/>
        </w:rPr>
        <w:t>6.工程承包范围：</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A07CE5D">
      <w:pPr>
        <w:keepNext/>
        <w:keepLines/>
        <w:autoSpaceDE w:val="0"/>
        <w:spacing w:line="360" w:lineRule="auto"/>
        <w:outlineLvl w:val="3"/>
        <w:rPr>
          <w:rFonts w:ascii="宋体" w:hAnsi="宋体" w:eastAsia="宋体" w:cs="宋体"/>
          <w:b/>
          <w:bCs/>
          <w:sz w:val="21"/>
          <w:szCs w:val="21"/>
        </w:rPr>
      </w:pPr>
      <w:bookmarkStart w:id="465" w:name="_Toc351203482"/>
      <w:bookmarkEnd w:id="465"/>
      <w:bookmarkStart w:id="466" w:name="_Toc532377167"/>
      <w:bookmarkEnd w:id="466"/>
      <w:bookmarkStart w:id="467" w:name="_Toc532375574"/>
      <w:r>
        <w:rPr>
          <w:rFonts w:hint="eastAsia" w:ascii="宋体" w:hAnsi="宋体" w:eastAsia="宋体" w:cs="宋体"/>
          <w:b/>
          <w:bCs/>
          <w:sz w:val="21"/>
          <w:szCs w:val="21"/>
        </w:rPr>
        <w:t>二、合同工期</w:t>
      </w:r>
      <w:bookmarkEnd w:id="467"/>
    </w:p>
    <w:p w14:paraId="5D695A29">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计划开工日期：</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年</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月</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日。</w:t>
      </w:r>
    </w:p>
    <w:p w14:paraId="069F6FD3">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计划竣工日期：</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年</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月</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日。</w:t>
      </w:r>
    </w:p>
    <w:p w14:paraId="3CF8CBA9">
      <w:pPr>
        <w:autoSpaceDE w:val="0"/>
        <w:spacing w:line="360" w:lineRule="auto"/>
        <w:rPr>
          <w:rFonts w:ascii="宋体" w:hAnsi="宋体" w:eastAsia="宋体" w:cs="Times New Roman"/>
          <w:sz w:val="21"/>
          <w:szCs w:val="21"/>
        </w:rPr>
      </w:pPr>
      <w:r>
        <w:rPr>
          <w:rFonts w:hint="eastAsia" w:ascii="宋体" w:hAnsi="宋体" w:eastAsia="宋体" w:cs="Times New Roman"/>
          <w:bCs/>
          <w:sz w:val="21"/>
          <w:szCs w:val="21"/>
        </w:rPr>
        <w:t>工期总日历天数</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天。工期总日历天数与根据前述计划开竣工日期计算的工期天数不一</w:t>
      </w:r>
      <w:r>
        <w:rPr>
          <w:rFonts w:hint="eastAsia" w:ascii="宋体" w:hAnsi="宋体" w:eastAsia="宋体" w:cs="Times New Roman"/>
          <w:sz w:val="21"/>
          <w:szCs w:val="21"/>
        </w:rPr>
        <w:t>致的，以工期总日历天数为准。</w:t>
      </w:r>
    </w:p>
    <w:p w14:paraId="710B0701">
      <w:pPr>
        <w:keepNext/>
        <w:keepLines/>
        <w:autoSpaceDE w:val="0"/>
        <w:spacing w:line="360" w:lineRule="auto"/>
        <w:outlineLvl w:val="3"/>
        <w:rPr>
          <w:rFonts w:ascii="宋体" w:hAnsi="宋体" w:eastAsia="宋体" w:cs="宋体"/>
          <w:b/>
          <w:bCs/>
          <w:sz w:val="21"/>
          <w:szCs w:val="21"/>
        </w:rPr>
      </w:pPr>
      <w:bookmarkStart w:id="468" w:name="_Toc532377168"/>
      <w:bookmarkEnd w:id="468"/>
      <w:bookmarkStart w:id="469" w:name="_Toc532375575"/>
      <w:bookmarkEnd w:id="469"/>
      <w:bookmarkStart w:id="470" w:name="_Toc351203483"/>
      <w:r>
        <w:rPr>
          <w:rFonts w:hint="eastAsia" w:ascii="宋体" w:hAnsi="宋体" w:eastAsia="宋体" w:cs="宋体"/>
          <w:b/>
          <w:bCs/>
          <w:sz w:val="21"/>
          <w:szCs w:val="21"/>
        </w:rPr>
        <w:t>三、质量标准</w:t>
      </w:r>
      <w:bookmarkEnd w:id="470"/>
    </w:p>
    <w:p w14:paraId="6BFB9A6C">
      <w:pPr>
        <w:autoSpaceDE w:val="0"/>
        <w:snapToGrid w:val="0"/>
        <w:spacing w:line="360" w:lineRule="auto"/>
        <w:rPr>
          <w:rFonts w:ascii="宋体" w:hAnsi="宋体" w:eastAsia="宋体" w:cs="Times New Roman"/>
          <w:sz w:val="21"/>
          <w:szCs w:val="21"/>
        </w:rPr>
      </w:pPr>
      <w:r>
        <w:rPr>
          <w:rFonts w:hint="eastAsia" w:ascii="宋体" w:hAnsi="宋体" w:eastAsia="宋体" w:cs="Times New Roman"/>
          <w:sz w:val="21"/>
          <w:szCs w:val="21"/>
        </w:rPr>
        <w:t>工程质量符合</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标准。</w:t>
      </w:r>
    </w:p>
    <w:p w14:paraId="60420641">
      <w:pPr>
        <w:keepNext/>
        <w:keepLines/>
        <w:autoSpaceDE w:val="0"/>
        <w:spacing w:line="360" w:lineRule="auto"/>
        <w:outlineLvl w:val="3"/>
        <w:rPr>
          <w:rFonts w:ascii="宋体" w:hAnsi="宋体" w:eastAsia="宋体" w:cs="宋体"/>
          <w:b/>
          <w:bCs/>
          <w:sz w:val="21"/>
          <w:szCs w:val="21"/>
        </w:rPr>
      </w:pPr>
      <w:bookmarkStart w:id="471" w:name="_Toc351203484"/>
      <w:bookmarkEnd w:id="471"/>
      <w:bookmarkStart w:id="472" w:name="_Toc532377169"/>
      <w:bookmarkEnd w:id="472"/>
      <w:bookmarkStart w:id="473" w:name="_Toc532375576"/>
      <w:r>
        <w:rPr>
          <w:rFonts w:hint="eastAsia" w:ascii="宋体" w:hAnsi="宋体" w:eastAsia="宋体" w:cs="宋体"/>
          <w:b/>
          <w:bCs/>
          <w:sz w:val="21"/>
          <w:szCs w:val="21"/>
        </w:rPr>
        <w:t>四、签约合同价与合同价格形式</w:t>
      </w:r>
      <w:bookmarkEnd w:id="473"/>
      <w:r>
        <w:rPr>
          <w:rFonts w:hint="eastAsia" w:ascii="宋体" w:hAnsi="宋体" w:eastAsia="宋体" w:cs="宋体"/>
          <w:b/>
          <w:bCs/>
          <w:sz w:val="21"/>
          <w:szCs w:val="21"/>
        </w:rPr>
        <w:tab/>
      </w:r>
    </w:p>
    <w:p w14:paraId="5B3EF5E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1.签约合同价为：</w:t>
      </w:r>
    </w:p>
    <w:p w14:paraId="69829AD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7E7ECA32">
      <w:pPr>
        <w:autoSpaceDE w:val="0"/>
        <w:snapToGrid w:val="0"/>
        <w:spacing w:line="360" w:lineRule="auto"/>
        <w:rPr>
          <w:rFonts w:ascii="宋体" w:hAnsi="宋体" w:eastAsia="宋体" w:cs="Times New Roman"/>
          <w:sz w:val="21"/>
          <w:szCs w:val="21"/>
        </w:rPr>
      </w:pPr>
      <w:r>
        <w:rPr>
          <w:rFonts w:hint="eastAsia" w:ascii="宋体" w:hAnsi="宋体" w:eastAsia="宋体" w:cs="Times New Roman"/>
          <w:sz w:val="21"/>
          <w:szCs w:val="21"/>
        </w:rPr>
        <w:t>其中：</w:t>
      </w:r>
    </w:p>
    <w:p w14:paraId="4155099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（1）安全文明施工费：</w:t>
      </w:r>
    </w:p>
    <w:p w14:paraId="63E532A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1CE4378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（2）材料和工程设备暂估价金额：</w:t>
      </w:r>
    </w:p>
    <w:p w14:paraId="0B2DD02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0611C52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（3）专业工程暂估价金额：</w:t>
      </w:r>
    </w:p>
    <w:p w14:paraId="3A640DB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23F0896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（4）暂列金额：</w:t>
      </w:r>
    </w:p>
    <w:p w14:paraId="0D15B89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5D367DF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2.合同价格形式：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C53E85B">
      <w:pPr>
        <w:keepNext/>
        <w:keepLines/>
        <w:autoSpaceDE w:val="0"/>
        <w:spacing w:line="360" w:lineRule="auto"/>
        <w:outlineLvl w:val="3"/>
        <w:rPr>
          <w:rFonts w:ascii="宋体" w:hAnsi="宋体" w:eastAsia="宋体" w:cs="宋体"/>
          <w:b/>
          <w:bCs/>
          <w:sz w:val="21"/>
          <w:szCs w:val="21"/>
        </w:rPr>
      </w:pPr>
      <w:bookmarkStart w:id="474" w:name="_Toc351203485"/>
      <w:bookmarkEnd w:id="474"/>
      <w:bookmarkStart w:id="475" w:name="_Toc532377170"/>
      <w:bookmarkEnd w:id="475"/>
      <w:bookmarkStart w:id="476" w:name="_Toc532375577"/>
      <w:r>
        <w:rPr>
          <w:rFonts w:hint="eastAsia" w:ascii="宋体" w:hAnsi="宋体" w:eastAsia="宋体" w:cs="宋体"/>
          <w:b/>
          <w:bCs/>
          <w:sz w:val="21"/>
          <w:szCs w:val="21"/>
        </w:rPr>
        <w:t>五、</w:t>
      </w:r>
      <w:bookmarkEnd w:id="476"/>
      <w:r>
        <w:rPr>
          <w:rFonts w:hint="eastAsia" w:ascii="宋体" w:hAnsi="宋体" w:eastAsia="宋体" w:cs="宋体"/>
          <w:b/>
          <w:bCs/>
          <w:sz w:val="21"/>
          <w:szCs w:val="21"/>
        </w:rPr>
        <w:t>项目经理</w:t>
      </w:r>
    </w:p>
    <w:p w14:paraId="0685B41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承包人项目经理：</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67185BF3">
      <w:pPr>
        <w:keepNext/>
        <w:keepLines/>
        <w:autoSpaceDE w:val="0"/>
        <w:spacing w:line="360" w:lineRule="auto"/>
        <w:outlineLvl w:val="3"/>
        <w:rPr>
          <w:rFonts w:ascii="宋体" w:hAnsi="宋体" w:eastAsia="宋体" w:cs="宋体"/>
          <w:b/>
          <w:bCs/>
          <w:sz w:val="21"/>
          <w:szCs w:val="21"/>
        </w:rPr>
      </w:pPr>
      <w:bookmarkStart w:id="477" w:name="_Toc351203486"/>
      <w:bookmarkEnd w:id="477"/>
      <w:bookmarkStart w:id="478" w:name="_Toc532377171"/>
      <w:bookmarkEnd w:id="478"/>
      <w:bookmarkStart w:id="479" w:name="_Toc532375578"/>
      <w:r>
        <w:rPr>
          <w:rFonts w:hint="eastAsia" w:ascii="宋体" w:hAnsi="宋体" w:eastAsia="宋体" w:cs="宋体"/>
          <w:b/>
          <w:bCs/>
          <w:sz w:val="21"/>
          <w:szCs w:val="21"/>
        </w:rPr>
        <w:t>六、合同文件构成</w:t>
      </w:r>
      <w:bookmarkEnd w:id="479"/>
    </w:p>
    <w:p w14:paraId="5252A4CB">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本协议书与下列文件一起构成合同文件：</w:t>
      </w:r>
    </w:p>
    <w:p w14:paraId="419D5302">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（1）中标通知书（如果有）；</w:t>
      </w:r>
    </w:p>
    <w:p w14:paraId="570A3D5D">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 xml:space="preserve">（2）投标函及其附录（如果有）； </w:t>
      </w:r>
    </w:p>
    <w:p w14:paraId="53CF11D8">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（3）专用合同条款及其附件；</w:t>
      </w:r>
    </w:p>
    <w:p w14:paraId="6D6A7ABE">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（4）通用合同条款；</w:t>
      </w:r>
    </w:p>
    <w:p w14:paraId="6E2B8EB2">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（5）技术标准和要求；</w:t>
      </w:r>
    </w:p>
    <w:p w14:paraId="0128946A">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（6）图纸；</w:t>
      </w:r>
    </w:p>
    <w:p w14:paraId="4F7315BD">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（7）已标价工程量清单或预算书；</w:t>
      </w:r>
    </w:p>
    <w:p w14:paraId="49FAA7EB">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（8）其他合同文件。</w:t>
      </w:r>
    </w:p>
    <w:p w14:paraId="6CEF96F1">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在合同订立及履行过程中形成的与合同有关的文件均构成合同文件组成部分。</w:t>
      </w:r>
    </w:p>
    <w:p w14:paraId="67443EE0">
      <w:pPr>
        <w:autoSpaceDE w:val="0"/>
        <w:spacing w:line="360" w:lineRule="auto"/>
        <w:rPr>
          <w:rFonts w:ascii="宋体" w:hAnsi="宋体" w:eastAsia="宋体" w:cs="Times New Roman"/>
          <w:sz w:val="21"/>
          <w:szCs w:val="21"/>
        </w:rPr>
      </w:pPr>
      <w:r>
        <w:rPr>
          <w:rFonts w:hint="eastAsia" w:ascii="宋体" w:hAnsi="宋体" w:eastAsia="宋体" w:cs="Times New Roman"/>
          <w:bCs/>
          <w:sz w:val="21"/>
          <w:szCs w:val="21"/>
        </w:rPr>
        <w:t>上述各项合同文件包括合同当事人就该项合同文件所作出的补充和修改，属于同一类内容的文件，应以最新签署的为准。专用合同条款及其附件须经合同当事人签名或盖章。</w:t>
      </w:r>
    </w:p>
    <w:p w14:paraId="1CA458D0">
      <w:pPr>
        <w:keepNext/>
        <w:keepLines/>
        <w:autoSpaceDE w:val="0"/>
        <w:spacing w:line="360" w:lineRule="auto"/>
        <w:outlineLvl w:val="3"/>
        <w:rPr>
          <w:rFonts w:ascii="宋体" w:hAnsi="宋体" w:eastAsia="宋体" w:cs="宋体"/>
          <w:b/>
          <w:bCs/>
          <w:sz w:val="21"/>
          <w:szCs w:val="21"/>
        </w:rPr>
      </w:pPr>
      <w:bookmarkStart w:id="480" w:name="_Toc532377172"/>
      <w:bookmarkEnd w:id="480"/>
      <w:bookmarkStart w:id="481" w:name="_Toc351203487"/>
      <w:bookmarkEnd w:id="481"/>
      <w:bookmarkStart w:id="482" w:name="_Toc532375579"/>
      <w:r>
        <w:rPr>
          <w:rFonts w:hint="eastAsia" w:ascii="宋体" w:hAnsi="宋体" w:eastAsia="宋体" w:cs="宋体"/>
          <w:b/>
          <w:bCs/>
          <w:sz w:val="21"/>
          <w:szCs w:val="21"/>
        </w:rPr>
        <w:t>七、承诺</w:t>
      </w:r>
      <w:bookmarkEnd w:id="482"/>
    </w:p>
    <w:p w14:paraId="0567350E">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1.发包人承诺按照法律规定履行项目审批手续、筹集工程建设资金并按照合同约定的期限和方式支付合同价款。</w:t>
      </w:r>
    </w:p>
    <w:p w14:paraId="3A8AD840">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2.承包人承诺按照法律规定及合同约定组织完成工程施工，确保工程质量和安全，不进行转包及违法分包，并在缺陷责任期及保修期内承担相应的工程维修责任。</w:t>
      </w:r>
    </w:p>
    <w:p w14:paraId="308E1211">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3.发包人和承包人通过招投标形式签订合同的，双方理解并承诺不再就同一工程另行签订与合同实质性内容相背离的协议。</w:t>
      </w:r>
    </w:p>
    <w:p w14:paraId="71611C27">
      <w:pPr>
        <w:keepNext/>
        <w:keepLines/>
        <w:autoSpaceDE w:val="0"/>
        <w:spacing w:line="360" w:lineRule="auto"/>
        <w:outlineLvl w:val="3"/>
        <w:rPr>
          <w:rFonts w:ascii="宋体" w:hAnsi="宋体" w:eastAsia="宋体" w:cs="宋体"/>
          <w:b/>
          <w:bCs/>
          <w:sz w:val="21"/>
          <w:szCs w:val="21"/>
        </w:rPr>
      </w:pPr>
      <w:bookmarkStart w:id="483" w:name="_Toc532377173"/>
      <w:bookmarkEnd w:id="483"/>
      <w:bookmarkStart w:id="484" w:name="_Toc351203488"/>
      <w:bookmarkEnd w:id="484"/>
      <w:bookmarkStart w:id="485" w:name="_Toc532375580"/>
      <w:r>
        <w:rPr>
          <w:rFonts w:hint="eastAsia" w:ascii="宋体" w:hAnsi="宋体" w:eastAsia="宋体" w:cs="宋体"/>
          <w:b/>
          <w:bCs/>
          <w:sz w:val="21"/>
          <w:szCs w:val="21"/>
        </w:rPr>
        <w:t>八、词语含义</w:t>
      </w:r>
      <w:bookmarkEnd w:id="485"/>
    </w:p>
    <w:p w14:paraId="3493ADC4">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本协议书中词语含义与第二部分通用合同条款中赋予的含义相同。</w:t>
      </w:r>
    </w:p>
    <w:p w14:paraId="2186AFA1">
      <w:pPr>
        <w:keepNext/>
        <w:keepLines/>
        <w:autoSpaceDE w:val="0"/>
        <w:spacing w:line="360" w:lineRule="auto"/>
        <w:outlineLvl w:val="3"/>
        <w:rPr>
          <w:rFonts w:ascii="宋体" w:hAnsi="宋体" w:eastAsia="宋体" w:cs="宋体"/>
          <w:b/>
          <w:bCs/>
          <w:sz w:val="21"/>
          <w:szCs w:val="21"/>
        </w:rPr>
      </w:pPr>
      <w:bookmarkStart w:id="486" w:name="_Toc532377174"/>
      <w:bookmarkEnd w:id="486"/>
      <w:bookmarkStart w:id="487" w:name="_Toc532375581"/>
      <w:r>
        <w:rPr>
          <w:rFonts w:hint="eastAsia" w:ascii="宋体" w:hAnsi="宋体" w:eastAsia="宋体" w:cs="宋体"/>
          <w:b/>
          <w:bCs/>
          <w:sz w:val="21"/>
          <w:szCs w:val="21"/>
        </w:rPr>
        <w:t>九、签订时间</w:t>
      </w:r>
      <w:bookmarkEnd w:id="487"/>
    </w:p>
    <w:p w14:paraId="70BBB1D5">
      <w:pPr>
        <w:autoSpaceDE w:val="0"/>
        <w:spacing w:line="360" w:lineRule="auto"/>
        <w:rPr>
          <w:rFonts w:ascii="宋体" w:hAnsi="宋体" w:eastAsia="宋体" w:cs="Times New Roman"/>
          <w:sz w:val="21"/>
          <w:szCs w:val="21"/>
        </w:rPr>
      </w:pPr>
      <w:r>
        <w:rPr>
          <w:rFonts w:hint="eastAsia" w:ascii="宋体" w:hAnsi="宋体" w:eastAsia="宋体" w:cs="Times New Roman"/>
          <w:bCs/>
          <w:sz w:val="21"/>
          <w:szCs w:val="21"/>
        </w:rPr>
        <w:t>本合同于</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年</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月</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日签订</w:t>
      </w:r>
    </w:p>
    <w:p w14:paraId="4A0F6D22">
      <w:pPr>
        <w:keepNext/>
        <w:keepLines/>
        <w:autoSpaceDE w:val="0"/>
        <w:spacing w:line="360" w:lineRule="auto"/>
        <w:outlineLvl w:val="3"/>
        <w:rPr>
          <w:rFonts w:ascii="宋体" w:hAnsi="宋体" w:eastAsia="宋体" w:cs="宋体"/>
          <w:b/>
          <w:bCs/>
          <w:sz w:val="21"/>
          <w:szCs w:val="21"/>
        </w:rPr>
      </w:pPr>
      <w:bookmarkStart w:id="488" w:name="_Toc532377175"/>
      <w:bookmarkEnd w:id="488"/>
      <w:bookmarkStart w:id="489" w:name="_Toc532375582"/>
      <w:bookmarkEnd w:id="489"/>
      <w:bookmarkStart w:id="490" w:name="_Toc351203489"/>
      <w:r>
        <w:rPr>
          <w:rFonts w:hint="eastAsia" w:ascii="宋体" w:hAnsi="宋体" w:eastAsia="宋体" w:cs="宋体"/>
          <w:b/>
          <w:bCs/>
          <w:sz w:val="21"/>
          <w:szCs w:val="21"/>
        </w:rPr>
        <w:t>十、</w:t>
      </w:r>
      <w:bookmarkEnd w:id="490"/>
      <w:bookmarkStart w:id="491" w:name="_Toc351203490"/>
      <w:bookmarkEnd w:id="491"/>
      <w:r>
        <w:rPr>
          <w:rFonts w:hint="eastAsia" w:ascii="宋体" w:hAnsi="宋体" w:eastAsia="宋体" w:cs="宋体"/>
          <w:b/>
          <w:bCs/>
          <w:sz w:val="21"/>
          <w:szCs w:val="21"/>
        </w:rPr>
        <w:t>签订地点</w:t>
      </w:r>
    </w:p>
    <w:p w14:paraId="67BDEB0A">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本合同在</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签订。</w:t>
      </w:r>
    </w:p>
    <w:p w14:paraId="1DFFE265">
      <w:pPr>
        <w:keepNext/>
        <w:keepLines/>
        <w:autoSpaceDE w:val="0"/>
        <w:spacing w:line="360" w:lineRule="auto"/>
        <w:outlineLvl w:val="3"/>
        <w:rPr>
          <w:rFonts w:ascii="宋体" w:hAnsi="宋体" w:eastAsia="宋体" w:cs="宋体"/>
          <w:b/>
          <w:bCs/>
          <w:sz w:val="21"/>
          <w:szCs w:val="21"/>
        </w:rPr>
      </w:pPr>
      <w:bookmarkStart w:id="492" w:name="_Toc351203491"/>
      <w:bookmarkEnd w:id="492"/>
      <w:bookmarkStart w:id="493" w:name="_Toc532377176"/>
      <w:bookmarkEnd w:id="493"/>
      <w:bookmarkStart w:id="494" w:name="_Toc532375583"/>
      <w:r>
        <w:rPr>
          <w:rFonts w:hint="eastAsia" w:ascii="宋体" w:hAnsi="宋体" w:eastAsia="宋体" w:cs="宋体"/>
          <w:b/>
          <w:bCs/>
          <w:sz w:val="21"/>
          <w:szCs w:val="21"/>
        </w:rPr>
        <w:t>十一、补充协议</w:t>
      </w:r>
      <w:bookmarkEnd w:id="494"/>
    </w:p>
    <w:p w14:paraId="197611B4">
      <w:pPr>
        <w:autoSpaceDE w:val="0"/>
        <w:spacing w:line="360" w:lineRule="auto"/>
        <w:rPr>
          <w:rFonts w:ascii="宋体" w:hAnsi="宋体" w:eastAsia="宋体" w:cs="Times New Roman"/>
          <w:b/>
          <w:bCs/>
          <w:sz w:val="21"/>
          <w:szCs w:val="21"/>
        </w:rPr>
      </w:pPr>
      <w:r>
        <w:rPr>
          <w:rFonts w:hint="eastAsia" w:ascii="宋体" w:hAnsi="宋体" w:eastAsia="宋体" w:cs="Times New Roman"/>
          <w:bCs/>
          <w:sz w:val="21"/>
          <w:szCs w:val="21"/>
        </w:rPr>
        <w:t>合同未尽事宜，合同当事人另行签订补充协议，补充协议是合同的组成部分。</w:t>
      </w:r>
    </w:p>
    <w:p w14:paraId="7A09D3B0">
      <w:pPr>
        <w:keepNext/>
        <w:keepLines/>
        <w:autoSpaceDE w:val="0"/>
        <w:spacing w:line="360" w:lineRule="auto"/>
        <w:outlineLvl w:val="3"/>
        <w:rPr>
          <w:rFonts w:ascii="宋体" w:hAnsi="宋体" w:eastAsia="宋体" w:cs="宋体"/>
          <w:b/>
          <w:bCs/>
          <w:sz w:val="21"/>
          <w:szCs w:val="21"/>
        </w:rPr>
      </w:pPr>
      <w:bookmarkStart w:id="495" w:name="_Toc351203492"/>
      <w:bookmarkEnd w:id="495"/>
      <w:bookmarkStart w:id="496" w:name="_Toc532375584"/>
      <w:bookmarkEnd w:id="496"/>
      <w:bookmarkStart w:id="497" w:name="_Toc532377177"/>
      <w:r>
        <w:rPr>
          <w:rFonts w:hint="eastAsia" w:ascii="宋体" w:hAnsi="宋体" w:eastAsia="宋体" w:cs="宋体"/>
          <w:b/>
          <w:bCs/>
          <w:sz w:val="21"/>
          <w:szCs w:val="21"/>
        </w:rPr>
        <w:t>十二、合同生效</w:t>
      </w:r>
      <w:bookmarkEnd w:id="497"/>
    </w:p>
    <w:p w14:paraId="60B5F5ED">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本合同自</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生效</w:t>
      </w:r>
      <w:r>
        <w:rPr>
          <w:rFonts w:hint="eastAsia" w:ascii="宋体" w:hAnsi="宋体" w:eastAsia="宋体" w:cs="Times New Roman"/>
          <w:sz w:val="21"/>
          <w:szCs w:val="21"/>
        </w:rPr>
        <w:t>。</w:t>
      </w:r>
    </w:p>
    <w:p w14:paraId="5E00A721">
      <w:pPr>
        <w:keepNext/>
        <w:keepLines/>
        <w:autoSpaceDE w:val="0"/>
        <w:spacing w:line="360" w:lineRule="auto"/>
        <w:outlineLvl w:val="3"/>
        <w:rPr>
          <w:rFonts w:ascii="宋体" w:hAnsi="宋体" w:eastAsia="宋体" w:cs="宋体"/>
          <w:b/>
          <w:bCs/>
          <w:sz w:val="21"/>
          <w:szCs w:val="21"/>
        </w:rPr>
      </w:pPr>
      <w:bookmarkStart w:id="498" w:name="_Toc532377178"/>
      <w:bookmarkEnd w:id="498"/>
      <w:bookmarkStart w:id="499" w:name="_Toc351203493"/>
      <w:bookmarkEnd w:id="499"/>
      <w:bookmarkStart w:id="500" w:name="_Toc532375585"/>
      <w:r>
        <w:rPr>
          <w:rFonts w:hint="eastAsia" w:ascii="宋体" w:hAnsi="宋体" w:eastAsia="宋体" w:cs="宋体"/>
          <w:b/>
          <w:bCs/>
          <w:sz w:val="21"/>
          <w:szCs w:val="21"/>
        </w:rPr>
        <w:t>十三、合同份数</w:t>
      </w:r>
      <w:bookmarkEnd w:id="500"/>
    </w:p>
    <w:p w14:paraId="0C13343B">
      <w:pPr>
        <w:autoSpaceDE w:val="0"/>
        <w:spacing w:line="360" w:lineRule="auto"/>
        <w:rPr>
          <w:rFonts w:ascii="宋体" w:hAnsi="宋体" w:eastAsia="宋体" w:cs="Times New Roman"/>
          <w:bCs/>
          <w:sz w:val="21"/>
          <w:szCs w:val="21"/>
        </w:rPr>
      </w:pPr>
      <w:r>
        <w:rPr>
          <w:rFonts w:hint="eastAsia" w:ascii="宋体" w:hAnsi="宋体" w:eastAsia="宋体" w:cs="Microsoft Sans Serif"/>
          <w:bCs/>
          <w:sz w:val="21"/>
          <w:szCs w:val="21"/>
        </w:rPr>
        <w:t>本合同一式</w:t>
      </w:r>
      <w:r>
        <w:rPr>
          <w:rFonts w:hint="eastAsia" w:ascii="宋体" w:hAnsi="宋体" w:eastAsia="宋体" w:cs="Microsoft Sans Serif"/>
          <w:bCs/>
          <w:sz w:val="21"/>
          <w:szCs w:val="21"/>
          <w:u w:val="single"/>
        </w:rPr>
        <w:t xml:space="preserve">    </w:t>
      </w:r>
      <w:r>
        <w:rPr>
          <w:rFonts w:hint="eastAsia" w:ascii="宋体" w:hAnsi="宋体" w:eastAsia="宋体" w:cs="Microsoft Sans Serif"/>
          <w:bCs/>
          <w:sz w:val="21"/>
          <w:szCs w:val="21"/>
        </w:rPr>
        <w:t>份，均具有同等法律效力，发包人执</w:t>
      </w:r>
      <w:r>
        <w:rPr>
          <w:rFonts w:hint="eastAsia" w:ascii="宋体" w:hAnsi="宋体" w:eastAsia="宋体" w:cs="Microsoft Sans Serif"/>
          <w:bCs/>
          <w:sz w:val="21"/>
          <w:szCs w:val="21"/>
          <w:u w:val="single"/>
        </w:rPr>
        <w:t xml:space="preserve">    </w:t>
      </w:r>
      <w:r>
        <w:rPr>
          <w:rFonts w:hint="eastAsia" w:ascii="宋体" w:hAnsi="宋体" w:eastAsia="宋体" w:cs="Microsoft Sans Serif"/>
          <w:bCs/>
          <w:sz w:val="21"/>
          <w:szCs w:val="21"/>
        </w:rPr>
        <w:t>份，承包人执</w:t>
      </w:r>
      <w:r>
        <w:rPr>
          <w:rFonts w:hint="eastAsia" w:ascii="宋体" w:hAnsi="宋体" w:eastAsia="宋体" w:cs="Microsoft Sans Serif"/>
          <w:bCs/>
          <w:sz w:val="21"/>
          <w:szCs w:val="21"/>
          <w:u w:val="single"/>
        </w:rPr>
        <w:t xml:space="preserve">    </w:t>
      </w:r>
      <w:r>
        <w:rPr>
          <w:rFonts w:hint="eastAsia" w:ascii="宋体" w:hAnsi="宋体" w:eastAsia="宋体" w:cs="Microsoft Sans Serif"/>
          <w:bCs/>
          <w:sz w:val="21"/>
          <w:szCs w:val="21"/>
        </w:rPr>
        <w:t>份</w:t>
      </w:r>
      <w:r>
        <w:rPr>
          <w:rFonts w:hint="eastAsia" w:ascii="宋体" w:hAnsi="宋体" w:eastAsia="宋体" w:cs="Times New Roman"/>
          <w:bCs/>
          <w:sz w:val="21"/>
          <w:szCs w:val="21"/>
        </w:rPr>
        <w:t>。</w:t>
      </w:r>
    </w:p>
    <w:p w14:paraId="0F603C98">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 xml:space="preserve"> </w:t>
      </w:r>
    </w:p>
    <w:p w14:paraId="43D27BFA">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 xml:space="preserve"> </w:t>
      </w:r>
    </w:p>
    <w:p w14:paraId="4DB00E8B">
      <w:pPr>
        <w:autoSpaceDE w:val="0"/>
        <w:spacing w:before="100" w:beforeAutospacing="1"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2D2E770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  (公章)             承包人：  (公章)</w:t>
      </w:r>
    </w:p>
    <w:p w14:paraId="4CA2A1B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2324EA0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法定代表人或其委托代理人：   法定代表人或其委托代理人：</w:t>
      </w:r>
    </w:p>
    <w:p w14:paraId="343653B3">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（签名）                    （签名）</w:t>
      </w:r>
    </w:p>
    <w:p w14:paraId="08CC17F3">
      <w:pPr>
        <w:autoSpaceDE w:val="0"/>
        <w:spacing w:line="360" w:lineRule="auto"/>
        <w:jc w:val="right"/>
        <w:rPr>
          <w:rFonts w:ascii="宋体" w:hAnsi="宋体" w:eastAsia="宋体" w:cs="Times New Roman"/>
          <w:sz w:val="21"/>
          <w:szCs w:val="21"/>
        </w:rPr>
      </w:pPr>
      <w:r>
        <w:rPr>
          <w:rFonts w:hint="eastAsia" w:ascii="宋体" w:hAnsi="宋体" w:eastAsia="宋体" w:cs="Times New Roman"/>
          <w:sz w:val="21"/>
          <w:szCs w:val="21"/>
        </w:rPr>
        <w:t xml:space="preserve"> </w:t>
      </w:r>
    </w:p>
    <w:p w14:paraId="37B98D4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组织机构代码：         组织机构代码：           </w:t>
      </w:r>
    </w:p>
    <w:p w14:paraId="531DD15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地  址：       地  址：        </w:t>
      </w:r>
    </w:p>
    <w:p w14:paraId="74BC19C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邮政编码：       邮政编码：   </w:t>
      </w:r>
    </w:p>
    <w:p w14:paraId="474EA9E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法定代表人：             法定代表人：             </w:t>
      </w:r>
    </w:p>
    <w:p w14:paraId="0CD84C1D">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委托代理人：             委托代理人：             </w:t>
      </w:r>
    </w:p>
    <w:p w14:paraId="7CA5E7B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电  话：     电  话：     </w:t>
      </w:r>
    </w:p>
    <w:p w14:paraId="5A85498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传  真：     传  真：     </w:t>
      </w:r>
    </w:p>
    <w:p w14:paraId="34B9EA8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电子信箱：                   电子信箱：   </w:t>
      </w:r>
    </w:p>
    <w:p w14:paraId="6AE8BF8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开户银行：     开户银行：   </w:t>
      </w:r>
    </w:p>
    <w:p w14:paraId="0B8DFC3E">
      <w:pPr>
        <w:autoSpaceDE w:val="0"/>
        <w:spacing w:line="360" w:lineRule="auto"/>
        <w:rPr>
          <w:rFonts w:ascii="宋体" w:hAnsi="宋体" w:eastAsia="宋体" w:cs="Times New Roman"/>
          <w:kern w:val="0"/>
          <w:sz w:val="21"/>
          <w:szCs w:val="21"/>
        </w:rPr>
      </w:pPr>
      <w:r>
        <w:rPr>
          <w:rFonts w:hint="eastAsia" w:ascii="宋体" w:hAnsi="宋体" w:eastAsia="宋体" w:cs="Times New Roman"/>
          <w:sz w:val="21"/>
          <w:szCs w:val="21"/>
        </w:rPr>
        <w:t xml:space="preserve">账  号：          账  号：     </w:t>
      </w:r>
    </w:p>
    <w:p w14:paraId="7F3127C8">
      <w:pPr>
        <w:keepNext/>
        <w:keepLines/>
        <w:spacing w:before="260" w:after="260" w:line="415" w:lineRule="auto"/>
        <w:jc w:val="center"/>
        <w:outlineLvl w:val="2"/>
        <w:rPr>
          <w:rFonts w:ascii="宋体" w:hAnsi="宋体" w:eastAsia="宋体" w:cs="Times New Roman"/>
          <w:b/>
          <w:sz w:val="21"/>
          <w:szCs w:val="21"/>
        </w:rPr>
      </w:pPr>
      <w:r>
        <w:rPr>
          <w:rFonts w:hint="eastAsia" w:ascii="宋体" w:hAnsi="宋体" w:eastAsia="宋体" w:cs="Times New Roman"/>
          <w:bCs/>
          <w:sz w:val="21"/>
          <w:szCs w:val="21"/>
        </w:rPr>
        <w:br w:type="page"/>
      </w:r>
      <w:bookmarkStart w:id="501" w:name="_Toc16411"/>
      <w:bookmarkEnd w:id="501"/>
      <w:bookmarkStart w:id="502" w:name="_Toc6949"/>
      <w:bookmarkEnd w:id="502"/>
      <w:bookmarkStart w:id="503" w:name="_Toc17274"/>
      <w:bookmarkEnd w:id="503"/>
      <w:bookmarkStart w:id="504" w:name="_Toc532375586"/>
      <w:bookmarkEnd w:id="504"/>
      <w:bookmarkStart w:id="505" w:name="_Toc532377179"/>
      <w:bookmarkEnd w:id="505"/>
      <w:bookmarkStart w:id="506" w:name="_Toc529388289"/>
      <w:r>
        <w:rPr>
          <w:rFonts w:hint="eastAsia" w:ascii="宋体" w:hAnsi="宋体" w:eastAsia="宋体" w:cs="Times New Roman"/>
          <w:b/>
          <w:bCs/>
          <w:sz w:val="21"/>
          <w:szCs w:val="21"/>
        </w:rPr>
        <w:t>第二部分 通用合同条款</w:t>
      </w:r>
      <w:bookmarkEnd w:id="506"/>
    </w:p>
    <w:p w14:paraId="78E50403">
      <w:pPr>
        <w:keepNext/>
        <w:keepLines/>
        <w:spacing w:before="156" w:beforeLines="50" w:after="156" w:afterLines="50" w:line="360" w:lineRule="auto"/>
        <w:outlineLvl w:val="3"/>
        <w:rPr>
          <w:rFonts w:ascii="宋体" w:hAnsi="宋体" w:eastAsia="宋体" w:cs="宋体"/>
          <w:b/>
          <w:bCs/>
          <w:sz w:val="21"/>
          <w:szCs w:val="21"/>
        </w:rPr>
      </w:pPr>
      <w:bookmarkStart w:id="507" w:name="_Toc532375587"/>
      <w:bookmarkEnd w:id="507"/>
      <w:bookmarkStart w:id="508" w:name="_Toc532377180"/>
      <w:bookmarkEnd w:id="508"/>
      <w:bookmarkStart w:id="509" w:name="_Toc351203495"/>
      <w:r>
        <w:rPr>
          <w:rFonts w:hint="eastAsia" w:ascii="宋体" w:hAnsi="宋体" w:eastAsia="宋体" w:cs="宋体"/>
          <w:b/>
          <w:bCs/>
          <w:sz w:val="21"/>
          <w:szCs w:val="21"/>
        </w:rPr>
        <w:t>1.</w:t>
      </w:r>
      <w:bookmarkEnd w:id="509"/>
      <w:bookmarkStart w:id="510" w:name="_Toc296503027"/>
      <w:bookmarkEnd w:id="510"/>
      <w:bookmarkStart w:id="511" w:name="_Toc303538973"/>
      <w:bookmarkEnd w:id="511"/>
      <w:bookmarkStart w:id="512" w:name="_Toc303538975"/>
      <w:bookmarkEnd w:id="512"/>
      <w:bookmarkStart w:id="513" w:name="_Toc303538974"/>
      <w:bookmarkEnd w:id="513"/>
      <w:bookmarkStart w:id="514" w:name="_Toc303538972"/>
      <w:bookmarkEnd w:id="514"/>
      <w:bookmarkStart w:id="515" w:name="_Toc303538976"/>
      <w:bookmarkEnd w:id="515"/>
      <w:bookmarkStart w:id="516" w:name="_Toc296346528"/>
      <w:r>
        <w:rPr>
          <w:rFonts w:hint="eastAsia" w:ascii="宋体" w:hAnsi="宋体" w:eastAsia="宋体" w:cs="宋体"/>
          <w:b/>
          <w:bCs/>
          <w:sz w:val="21"/>
          <w:szCs w:val="21"/>
        </w:rPr>
        <w:t>一般约定</w:t>
      </w:r>
      <w:bookmarkEnd w:id="516"/>
    </w:p>
    <w:p w14:paraId="3BE7444A">
      <w:pPr>
        <w:widowControl/>
        <w:spacing w:line="360" w:lineRule="auto"/>
        <w:jc w:val="left"/>
        <w:outlineLvl w:val="4"/>
        <w:rPr>
          <w:rFonts w:ascii="宋体" w:hAnsi="宋体" w:eastAsia="宋体" w:cs="宋体"/>
          <w:b/>
          <w:bCs/>
          <w:kern w:val="0"/>
          <w:sz w:val="21"/>
          <w:szCs w:val="21"/>
        </w:rPr>
      </w:pPr>
      <w:bookmarkStart w:id="517" w:name="_Toc337558728"/>
      <w:bookmarkEnd w:id="517"/>
      <w:bookmarkStart w:id="518" w:name="_Toc351203496"/>
      <w:bookmarkEnd w:id="518"/>
      <w:bookmarkStart w:id="519" w:name="_Toc296346529"/>
      <w:bookmarkEnd w:id="519"/>
      <w:bookmarkStart w:id="520" w:name="_Toc296503028"/>
      <w:bookmarkEnd w:id="520"/>
      <w:bookmarkStart w:id="521" w:name="_Toc532377181"/>
      <w:r>
        <w:rPr>
          <w:rFonts w:hint="eastAsia" w:ascii="宋体" w:hAnsi="宋体" w:eastAsia="宋体" w:cs="宋体"/>
          <w:b/>
          <w:bCs/>
          <w:kern w:val="0"/>
          <w:sz w:val="21"/>
          <w:szCs w:val="21"/>
        </w:rPr>
        <w:t>1.1词语定义</w:t>
      </w:r>
      <w:bookmarkEnd w:id="521"/>
      <w:r>
        <w:rPr>
          <w:rFonts w:hint="eastAsia" w:ascii="宋体" w:hAnsi="宋体" w:eastAsia="宋体" w:cs="宋体"/>
          <w:b/>
          <w:bCs/>
          <w:kern w:val="0"/>
          <w:sz w:val="21"/>
          <w:szCs w:val="21"/>
        </w:rPr>
        <w:t>与解释</w:t>
      </w:r>
    </w:p>
    <w:p w14:paraId="4E5CEFC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合同协议书、通用合同条款、专用合同条款中的下列词语具有本款所赋予的含义：</w:t>
      </w:r>
    </w:p>
    <w:p w14:paraId="45FE3879">
      <w:pPr>
        <w:widowControl/>
        <w:spacing w:line="360" w:lineRule="auto"/>
        <w:jc w:val="left"/>
        <w:outlineLvl w:val="4"/>
        <w:rPr>
          <w:rFonts w:ascii="宋体" w:hAnsi="宋体" w:eastAsia="宋体" w:cs="宋体"/>
          <w:kern w:val="0"/>
          <w:sz w:val="21"/>
          <w:szCs w:val="21"/>
        </w:rPr>
      </w:pPr>
      <w:bookmarkStart w:id="522" w:name="_Toc532377182"/>
      <w:bookmarkEnd w:id="522"/>
      <w:r>
        <w:rPr>
          <w:rFonts w:hint="eastAsia" w:ascii="宋体" w:hAnsi="宋体" w:eastAsia="宋体" w:cs="宋体"/>
          <w:kern w:val="0"/>
          <w:sz w:val="21"/>
          <w:szCs w:val="21"/>
        </w:rPr>
        <w:t>1.1.1 合同</w:t>
      </w:r>
    </w:p>
    <w:p w14:paraId="733D241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1.1.1.1 合同：是指根据法律规定和合同当事人约定具有约束力的文件，构成合同的文件包括合同协议书、中标通知书（如有）、投标函及其附录（如有）、专用合同条款</w:t>
      </w:r>
      <w:r>
        <w:rPr>
          <w:rFonts w:hint="eastAsia" w:ascii="宋体" w:hAnsi="宋体" w:eastAsia="宋体" w:cs="Times New Roman"/>
          <w:sz w:val="21"/>
          <w:szCs w:val="21"/>
        </w:rPr>
        <w:t>及其附件</w:t>
      </w:r>
      <w:r>
        <w:rPr>
          <w:rFonts w:hint="eastAsia" w:ascii="宋体" w:hAnsi="宋体" w:eastAsia="宋体" w:cs="Times New Roman"/>
          <w:kern w:val="0"/>
          <w:sz w:val="21"/>
          <w:szCs w:val="21"/>
        </w:rPr>
        <w:t>、通用合同条款、技术标准和要求、图纸、已标价工程量清单或预算书以及其他合同文件。</w:t>
      </w:r>
    </w:p>
    <w:p w14:paraId="25935DD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1.1.1.2 合同协议书：是指构成合同的由发包人和承包人共同签署的称为“合同协议书”的书面文件。</w:t>
      </w:r>
    </w:p>
    <w:p w14:paraId="7419BD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1.1.1.3 中标通知书：是指构成合同的由发包人通知承包人中标的书面文件。</w:t>
      </w:r>
    </w:p>
    <w:p w14:paraId="6C7361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1.1.1.4 投标函：是指构成合同的由承包人填写并签署的用于投标的称为“投标函”的文件。</w:t>
      </w:r>
    </w:p>
    <w:p w14:paraId="56F4CEA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1.1.1.5 投标函附录：是指构成合同的附在投标函后的称为“投标函附录”的文件。</w:t>
      </w:r>
    </w:p>
    <w:p w14:paraId="3352F3C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1.1.1.6 技术标准和要求：是指构成合同的施工应当遵守的或指导施工的国家、行业或地方的技术标准和要求，以及合同约定的技术标准和要求。</w:t>
      </w:r>
    </w:p>
    <w:p w14:paraId="4CF132D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4058394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1.1.1.8 已标价工程量清单：是指构成合同的由承包人按照规定的格式和要求填写并标明价格的工程量清单，包括说明和表格。</w:t>
      </w:r>
    </w:p>
    <w:p w14:paraId="48D8CDF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1.1.1.9 预算书：是指构成合同的由承包人按照发包人规定的格式和要求编制的工程预算文件。</w:t>
      </w:r>
    </w:p>
    <w:p w14:paraId="030922E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1.1.1.10 其他合同文件：是指经合同当事人约定的与工程施工有关的具有合同约束力的文件或书面协议。合同当事人可以在专用合同条款中进行约定。</w:t>
      </w:r>
    </w:p>
    <w:p w14:paraId="3EBC639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 合同当事人及其他相关方</w:t>
      </w:r>
    </w:p>
    <w:p w14:paraId="605EAB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1.1.2.1 合同当事人：是指发包人和（或）承包人。</w:t>
      </w:r>
    </w:p>
    <w:p w14:paraId="7248A23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1.1.2.2 发包人：是指与承包人签订合同协议书的当事人及取得该当事人资格的合法继承人。</w:t>
      </w:r>
    </w:p>
    <w:p w14:paraId="5558344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1.1.2.3 承包人：是指与发包人签订合同协议书的，具有相应工程施工承包资质的当事人及取得该当事人资格的合法继承人。</w:t>
      </w:r>
    </w:p>
    <w:p w14:paraId="27E4B4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1.1.2.4 监理人：是指在专用合同条款中指明的，受发包人委托按照法律规定进行工程监督管理的法人或其他组织。</w:t>
      </w:r>
    </w:p>
    <w:p w14:paraId="5CE4A22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1.1.2.5 设计人：是指在专用合同条款中指明的，受发包人委托负责工程设计并具备相应工程设计资质的法人或其他组织。</w:t>
      </w:r>
    </w:p>
    <w:p w14:paraId="0DF8FDA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1.1.2.6 分包人：</w:t>
      </w:r>
      <w:bookmarkStart w:id="523" w:name="#go5"/>
      <w:bookmarkEnd w:id="523"/>
      <w:r>
        <w:rPr>
          <w:rFonts w:hint="eastAsia" w:ascii="宋体" w:hAnsi="宋体" w:eastAsia="宋体" w:cs="Times New Roman"/>
          <w:kern w:val="0"/>
          <w:sz w:val="21"/>
          <w:szCs w:val="21"/>
        </w:rPr>
        <w:t>是指按照法律规定和合同约定，分包部分工程或工作，并与承包人签订分包合同的具有相应资质的法人。</w:t>
      </w:r>
    </w:p>
    <w:p w14:paraId="49EFE98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1.1.2.7 发包人代表：是指由发包人任命并派驻施工现场在发包人授权范围内行使发包人权利的人。</w:t>
      </w:r>
    </w:p>
    <w:p w14:paraId="797CC38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1.1.2.8 项目经理：是指由承包人任命并派驻施工现场，在承包人授权范围内负责合同履行，且按照法律规定具有相应资格的项目负责人。</w:t>
      </w:r>
    </w:p>
    <w:p w14:paraId="3675751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1.1.2.9 总监理工程师：是指由监理人任命并派驻施工现场进行工程监理的总负责人。</w:t>
      </w:r>
    </w:p>
    <w:p w14:paraId="1165404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 工程和设备</w:t>
      </w:r>
    </w:p>
    <w:p w14:paraId="23EFD79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1.1.3.1 工程：是指与合同协议书中工程承包范围对应的永久工程和（或）临时工程。</w:t>
      </w:r>
    </w:p>
    <w:p w14:paraId="57392A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1.1.3.2 永久工程：是指按合同约定建造并移交给发包人的工程，包括工程设备。</w:t>
      </w:r>
    </w:p>
    <w:p w14:paraId="76BD400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1.1.3.3 临时工程：是指为完成合同约定的永久工程所修建的各类临时性工程，不包括施工设备。</w:t>
      </w:r>
    </w:p>
    <w:p w14:paraId="24116DD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1.1.3.4 单位工程：是指在合同协议书中指明的，具备独立施工条件并能形成独立使用功能的永久工程。</w:t>
      </w:r>
    </w:p>
    <w:p w14:paraId="43F3353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1.1.3.5 工程设备：是指构成永久工程的机电设备、金属结构设备、仪器及其他类似的设备和装置。</w:t>
      </w:r>
    </w:p>
    <w:p w14:paraId="7859461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1.1.3.6 施工设备：是指为完成合同约定的各项工作所需的设备、器具和其他物品，但不包括工程设备、临时工程和材料。</w:t>
      </w:r>
    </w:p>
    <w:p w14:paraId="7AF4D82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1.1.3.7 施工现场：是指用于工程施工的场所，以及在专用合同条款中指明作为施工场所组成部分的其他场所，包括永久占地和临时占地。</w:t>
      </w:r>
    </w:p>
    <w:p w14:paraId="71078B7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1.1.3.8临时设施：是指为完成合同约定的各项工作所服务的临时性生产和生活设施。</w:t>
      </w:r>
    </w:p>
    <w:p w14:paraId="52BEC76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1.1.3.9 永久占地：是指专用合同条款中指明为实施工程需永久占用的土地。</w:t>
      </w:r>
    </w:p>
    <w:p w14:paraId="4B05350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1.1.3.10 临时占地：是指专用合同条款中指明为实施工程需要临时占用的土地。</w:t>
      </w:r>
    </w:p>
    <w:p w14:paraId="1F8BFE3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 日期和期限</w:t>
      </w:r>
    </w:p>
    <w:p w14:paraId="3FB1C6D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43DC99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1.1.4.2 竣工日期：包括计划竣工日期和实际竣工日期。计划竣工日期是指合同协议书约定的竣工日期；实际竣工日期按照第13.2.3项〔竣工日期〕的约定确定。 </w:t>
      </w:r>
    </w:p>
    <w:p w14:paraId="2E961ACC">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1.1.4.3 工期：是指在合同协议书约定的承包人完成工程所需的期限，包括按照合同约定所作的期限变更。</w:t>
      </w:r>
    </w:p>
    <w:p w14:paraId="1B7FD2E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1.1.4.4 缺陷责任期：是指承包人按照合同约定承担缺陷修复义务，且发包人预留质量保证金（已缴纳履约保证金的除外）的期限，自工程实际竣工日期起计算。</w:t>
      </w:r>
    </w:p>
    <w:p w14:paraId="56A7D12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1.1.4.5 保修期：是指承包人按照合同约定对工程承担保修责任的期限，从工程竣工验收合格之日起计算。</w:t>
      </w:r>
    </w:p>
    <w:p w14:paraId="4A3A1A8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1.1.4.6 基准日期：招标发包的工程以投标截止日前28天的日期为基准日期，直接发包的工程以合同签订日前28天的日期为基准日期。</w:t>
      </w:r>
    </w:p>
    <w:p w14:paraId="6A92235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1.1.4.7 天：除特别指明外，均指日历天。合同中按天计算时间的，开始当天不计入，从次日开始计算，期限最后一天的截止时间为当天24：00时。</w:t>
      </w:r>
    </w:p>
    <w:p w14:paraId="7BE4857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 合同价格和费用</w:t>
      </w:r>
    </w:p>
    <w:p w14:paraId="46441A77">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1.1.5.1 签约合同价：是指</w:t>
      </w:r>
      <w:r>
        <w:rPr>
          <w:rFonts w:hint="eastAsia" w:ascii="宋体" w:hAnsi="宋体" w:eastAsia="宋体" w:cs="Times New Roman"/>
          <w:sz w:val="21"/>
          <w:szCs w:val="21"/>
        </w:rPr>
        <w:t>发包人和承包人在合同协议书中确定的总金额，包括安全文明施工费、暂估价及暂列金额等。</w:t>
      </w:r>
    </w:p>
    <w:p w14:paraId="1B2CDC5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1.1.5.2 合同价格：是指发包人用于支付承包人按照合同约定完成承包范围内全部工作的金额，包括合同履行过程中按合同约定发生的价格变化。</w:t>
      </w:r>
    </w:p>
    <w:p w14:paraId="3622A1B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1.1.5.3 费用：是指为履行合同所发生的或将要发生的所有必需的开支，包括管理费和应分摊的其他费用，但不包括利润。</w:t>
      </w:r>
    </w:p>
    <w:p w14:paraId="721CDC5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1.1.5.4 暂估价：是指发包人在工程量清单或预算书中提供的用于支付必然发生但暂时不能确定价格的材料、工程设备的单价、专业工程以及服务工作的金额。</w:t>
      </w:r>
    </w:p>
    <w:p w14:paraId="20DAF46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776C2F3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1.1.5.6 计日工：是指合同履行过程中，承包人完成发包人提出的零星工作或需要采用计日工计价的变更工作时，按合同中约定的单价计价的一种方式。</w:t>
      </w:r>
    </w:p>
    <w:p w14:paraId="49011EC9">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1.1.5.7 质量保证金</w:t>
      </w:r>
      <w:bookmarkStart w:id="524" w:name="#go2"/>
      <w:bookmarkEnd w:id="524"/>
      <w:r>
        <w:rPr>
          <w:rFonts w:hint="eastAsia" w:ascii="宋体" w:hAnsi="宋体" w:eastAsia="宋体" w:cs="Times New Roman"/>
          <w:kern w:val="0"/>
          <w:sz w:val="21"/>
          <w:szCs w:val="21"/>
        </w:rPr>
        <w:t>：是指按照第15.3款〔质量保证金〕约定承包人用于保证其在缺陷责任期内履行缺陷修补义务的担保</w:t>
      </w:r>
      <w:r>
        <w:rPr>
          <w:rFonts w:hint="eastAsia" w:ascii="宋体" w:hAnsi="宋体" w:eastAsia="宋体" w:cs="Times New Roman"/>
          <w:sz w:val="21"/>
          <w:szCs w:val="21"/>
        </w:rPr>
        <w:t>。</w:t>
      </w:r>
    </w:p>
    <w:p w14:paraId="3C1CA8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1.1.5.8 总价项目：是指在现行国家、行业以及地方的计量规则中无工程量计算规则，在已标价工程量清单或预算书中以总价或以费率形式计算的项目。</w:t>
      </w:r>
    </w:p>
    <w:p w14:paraId="1DF433B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1.1.6 其他</w:t>
      </w:r>
    </w:p>
    <w:p w14:paraId="4E61EB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1.1.6.1 书面形式：是指合同文件、信函、电报、传真等可以有形地表现所载内容的形式。</w:t>
      </w:r>
    </w:p>
    <w:p w14:paraId="7DAB5BDD">
      <w:pPr>
        <w:widowControl/>
        <w:spacing w:line="360" w:lineRule="auto"/>
        <w:jc w:val="left"/>
        <w:outlineLvl w:val="4"/>
        <w:rPr>
          <w:rFonts w:ascii="宋体" w:hAnsi="宋体" w:eastAsia="宋体" w:cs="宋体"/>
          <w:b/>
          <w:bCs/>
          <w:kern w:val="0"/>
          <w:sz w:val="21"/>
          <w:szCs w:val="21"/>
        </w:rPr>
      </w:pPr>
      <w:bookmarkStart w:id="525" w:name="_Toc532377183"/>
      <w:bookmarkEnd w:id="525"/>
      <w:r>
        <w:rPr>
          <w:rFonts w:hint="eastAsia" w:ascii="宋体" w:hAnsi="宋体" w:eastAsia="宋体" w:cs="宋体"/>
          <w:b/>
          <w:bCs/>
          <w:kern w:val="0"/>
          <w:sz w:val="21"/>
          <w:szCs w:val="21"/>
        </w:rPr>
        <w:t>1.2 语言文字</w:t>
      </w:r>
    </w:p>
    <w:p w14:paraId="70743A7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合同以中国的汉语简体文字编写、解释和说明。合同当事人在专用合同条款中约定使用两种以上语言时，汉语为优先解释和说明合同的语言。</w:t>
      </w:r>
    </w:p>
    <w:p w14:paraId="24BBF1AF">
      <w:pPr>
        <w:widowControl/>
        <w:spacing w:line="360" w:lineRule="auto"/>
        <w:jc w:val="left"/>
        <w:outlineLvl w:val="4"/>
        <w:rPr>
          <w:rFonts w:ascii="宋体" w:hAnsi="宋体" w:eastAsia="宋体" w:cs="宋体"/>
          <w:b/>
          <w:bCs/>
          <w:kern w:val="0"/>
          <w:sz w:val="21"/>
          <w:szCs w:val="21"/>
        </w:rPr>
      </w:pPr>
      <w:bookmarkStart w:id="526" w:name="_Toc351203498"/>
      <w:bookmarkEnd w:id="526"/>
      <w:bookmarkStart w:id="527" w:name="_Toc532377184"/>
      <w:bookmarkEnd w:id="527"/>
      <w:bookmarkStart w:id="528" w:name="_Toc296503030"/>
      <w:bookmarkEnd w:id="528"/>
      <w:bookmarkStart w:id="529" w:name="_Toc337558730"/>
      <w:bookmarkEnd w:id="529"/>
      <w:bookmarkStart w:id="530" w:name="_Toc296346531"/>
      <w:r>
        <w:rPr>
          <w:rFonts w:hint="eastAsia" w:ascii="宋体" w:hAnsi="宋体" w:eastAsia="宋体" w:cs="宋体"/>
          <w:b/>
          <w:bCs/>
          <w:kern w:val="0"/>
          <w:sz w:val="21"/>
          <w:szCs w:val="21"/>
        </w:rPr>
        <w:t>1.3法律</w:t>
      </w:r>
      <w:bookmarkEnd w:id="530"/>
    </w:p>
    <w:p w14:paraId="5543AEB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合同所称法律是指中华人民共和国法律、行政法规、部门规章，以及工程所在地的地方性法规、自治条例、单行条例和地方政府规章等。</w:t>
      </w:r>
    </w:p>
    <w:p w14:paraId="1BD6B02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合同当事人可以在专用合同条款中约定合同适用的其他规范性文件。</w:t>
      </w:r>
    </w:p>
    <w:p w14:paraId="45D0DF1C">
      <w:pPr>
        <w:widowControl/>
        <w:spacing w:line="360" w:lineRule="auto"/>
        <w:jc w:val="left"/>
        <w:outlineLvl w:val="4"/>
        <w:rPr>
          <w:rFonts w:ascii="宋体" w:hAnsi="宋体" w:eastAsia="宋体" w:cs="宋体"/>
          <w:b/>
          <w:bCs/>
          <w:kern w:val="0"/>
          <w:sz w:val="21"/>
          <w:szCs w:val="21"/>
        </w:rPr>
      </w:pPr>
      <w:bookmarkStart w:id="531" w:name="_Toc351203499"/>
      <w:bookmarkEnd w:id="531"/>
      <w:bookmarkStart w:id="532" w:name="_Toc532377185"/>
      <w:r>
        <w:rPr>
          <w:rFonts w:hint="eastAsia" w:ascii="宋体" w:hAnsi="宋体" w:eastAsia="宋体" w:cs="宋体"/>
          <w:b/>
          <w:bCs/>
          <w:kern w:val="0"/>
          <w:sz w:val="21"/>
          <w:szCs w:val="21"/>
        </w:rPr>
        <w:t>1.4 标准和规范</w:t>
      </w:r>
      <w:bookmarkEnd w:id="532"/>
    </w:p>
    <w:p w14:paraId="67C7AB7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1.4.1 适用于工程的国家标准、行业标准、工程所在地的地方性标准，以及相应的规范、规程等，合同当事人有特别要求的，应在专用合同条款中约定。</w:t>
      </w:r>
    </w:p>
    <w:p w14:paraId="761DE53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1.4.2 发包人要求使用国外标准、规范的，发包人负责提供原文版本和中文译本，并在专用合同条款中约定提供标准规范的名称、份数和时间。</w:t>
      </w:r>
    </w:p>
    <w:p w14:paraId="7B02F90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43F3E9A">
      <w:pPr>
        <w:widowControl/>
        <w:spacing w:line="360" w:lineRule="auto"/>
        <w:jc w:val="left"/>
        <w:outlineLvl w:val="4"/>
        <w:rPr>
          <w:rFonts w:ascii="宋体" w:hAnsi="宋体" w:eastAsia="宋体" w:cs="宋体"/>
          <w:b/>
          <w:bCs/>
          <w:kern w:val="0"/>
          <w:sz w:val="21"/>
          <w:szCs w:val="21"/>
        </w:rPr>
      </w:pPr>
      <w:bookmarkStart w:id="533" w:name="_Toc351203500"/>
      <w:bookmarkEnd w:id="533"/>
      <w:bookmarkStart w:id="534" w:name="_Toc532377186"/>
      <w:r>
        <w:rPr>
          <w:rFonts w:hint="eastAsia" w:ascii="宋体" w:hAnsi="宋体" w:eastAsia="宋体" w:cs="宋体"/>
          <w:b/>
          <w:bCs/>
          <w:kern w:val="0"/>
          <w:sz w:val="21"/>
          <w:szCs w:val="21"/>
        </w:rPr>
        <w:t>1</w:t>
      </w:r>
      <w:bookmarkEnd w:id="534"/>
      <w:bookmarkStart w:id="535" w:name="_Toc296346532"/>
      <w:bookmarkEnd w:id="535"/>
      <w:bookmarkStart w:id="536" w:name="_Toc337558731"/>
      <w:bookmarkEnd w:id="536"/>
      <w:bookmarkStart w:id="537" w:name="_Toc296503031"/>
      <w:r>
        <w:rPr>
          <w:rFonts w:hint="eastAsia" w:ascii="宋体" w:hAnsi="宋体" w:eastAsia="宋体" w:cs="宋体"/>
          <w:b/>
          <w:bCs/>
          <w:kern w:val="0"/>
          <w:sz w:val="21"/>
          <w:szCs w:val="21"/>
        </w:rPr>
        <w:t>.5 合同文件的优先顺序</w:t>
      </w:r>
      <w:bookmarkEnd w:id="537"/>
    </w:p>
    <w:p w14:paraId="0F028E9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组成合同的各项文件应互相解释，互为说明。除专用合同条款另有约定外，解释合同文件的优先顺序如下：</w:t>
      </w:r>
    </w:p>
    <w:p w14:paraId="1A1121B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（1）合同协议书；</w:t>
      </w:r>
    </w:p>
    <w:p w14:paraId="4BBF78C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（2）中标通知书（如有）；</w:t>
      </w:r>
    </w:p>
    <w:p w14:paraId="2CF87EF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（3）投标函及其附录（如有）；</w:t>
      </w:r>
    </w:p>
    <w:p w14:paraId="6B5542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（4）专用合同条款及其附件；</w:t>
      </w:r>
    </w:p>
    <w:p w14:paraId="630456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（5）通用合同条款；</w:t>
      </w:r>
    </w:p>
    <w:p w14:paraId="2894686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（6）技术标准和要求；</w:t>
      </w:r>
    </w:p>
    <w:p w14:paraId="5A7A68E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（7）图纸；</w:t>
      </w:r>
    </w:p>
    <w:p w14:paraId="715D276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（8）已标价工程量清单或预算书；</w:t>
      </w:r>
    </w:p>
    <w:p w14:paraId="6B0DB47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（9）其他合同文件。</w:t>
      </w:r>
    </w:p>
    <w:p w14:paraId="53FA131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上述各项合同文件包括合同当事人就该项合同文件所作出的补充和修改，属于同一类内容的文件，应以最新签署的为准。</w:t>
      </w:r>
    </w:p>
    <w:p w14:paraId="24033AD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在合同订立及履行过程中形成的与合同有关的文件均构成合同文件组成部分，并根据其性质确定优先解释顺序。</w:t>
      </w:r>
    </w:p>
    <w:p w14:paraId="36732E84">
      <w:pPr>
        <w:widowControl/>
        <w:spacing w:line="360" w:lineRule="auto"/>
        <w:jc w:val="left"/>
        <w:outlineLvl w:val="4"/>
        <w:rPr>
          <w:rFonts w:ascii="宋体" w:hAnsi="宋体" w:eastAsia="宋体" w:cs="宋体"/>
          <w:b/>
          <w:bCs/>
          <w:kern w:val="0"/>
          <w:sz w:val="21"/>
          <w:szCs w:val="21"/>
        </w:rPr>
      </w:pPr>
      <w:bookmarkStart w:id="538" w:name="_Toc351203501"/>
      <w:bookmarkEnd w:id="538"/>
      <w:bookmarkStart w:id="539" w:name="_Toc532377187"/>
      <w:r>
        <w:rPr>
          <w:rFonts w:hint="eastAsia" w:ascii="宋体" w:hAnsi="宋体" w:eastAsia="宋体" w:cs="宋体"/>
          <w:b/>
          <w:bCs/>
          <w:kern w:val="0"/>
          <w:sz w:val="21"/>
          <w:szCs w:val="21"/>
        </w:rPr>
        <w:t>1</w:t>
      </w:r>
      <w:bookmarkEnd w:id="539"/>
      <w:bookmarkStart w:id="540" w:name="_Toc296503032"/>
      <w:bookmarkEnd w:id="540"/>
      <w:bookmarkStart w:id="541" w:name="_Toc296346533"/>
      <w:bookmarkEnd w:id="541"/>
      <w:bookmarkStart w:id="542" w:name="_Toc337558732"/>
      <w:r>
        <w:rPr>
          <w:rFonts w:hint="eastAsia" w:ascii="宋体" w:hAnsi="宋体" w:eastAsia="宋体" w:cs="宋体"/>
          <w:b/>
          <w:bCs/>
          <w:kern w:val="0"/>
          <w:sz w:val="21"/>
          <w:szCs w:val="21"/>
        </w:rPr>
        <w:t>.6图纸和承包人文件</w:t>
      </w:r>
      <w:bookmarkEnd w:id="542"/>
    </w:p>
    <w:p w14:paraId="40793DA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 图纸的提供和交底</w:t>
      </w:r>
    </w:p>
    <w:p w14:paraId="0521A2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C96520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因发包人未按合同约定提供图纸导致承包人费用增加和（或）工期延误的，按照第7.5.1项〔因发包人原因导致工期延误〕约定办理。</w:t>
      </w:r>
    </w:p>
    <w:p w14:paraId="274EBE3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 图纸的错误</w:t>
      </w:r>
    </w:p>
    <w:p w14:paraId="1599840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163580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1.6.3 图纸的修改和补充</w:t>
      </w:r>
    </w:p>
    <w:p w14:paraId="1E4C22A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图纸需要修改和补充的，应经图纸原设计人及审批部门同意，并由监理人在工程或工程相应部位施工前将修改后的图纸或补充图纸提交给承包人，承包人应按修改或补充后的图纸施工。</w:t>
      </w:r>
    </w:p>
    <w:p w14:paraId="122F6F0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1.6.4 承包人文件</w:t>
      </w:r>
    </w:p>
    <w:p w14:paraId="773F2C7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承包人应按照专用合同条款的约定提供应当由其编制的与工程施工有关的文件，并按照专用合同条款约定的期限、数量和形式提交监理人，并由监理人报送发包人。</w:t>
      </w:r>
    </w:p>
    <w:p w14:paraId="3A0C8CF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D876BF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1.6.5 图纸和承包人文件的保管</w:t>
      </w:r>
    </w:p>
    <w:p w14:paraId="607CA1A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除专用合同条款另有约定外，承包人应在施工现场另外保存一套完整的图纸和承包人文件，供发包人、监理人及有关人员进行工程检查时使用。</w:t>
      </w:r>
    </w:p>
    <w:p w14:paraId="6EF7CA36">
      <w:pPr>
        <w:widowControl/>
        <w:spacing w:line="360" w:lineRule="auto"/>
        <w:jc w:val="left"/>
        <w:outlineLvl w:val="4"/>
        <w:rPr>
          <w:rFonts w:ascii="宋体" w:hAnsi="宋体" w:eastAsia="宋体" w:cs="宋体"/>
          <w:b/>
          <w:bCs/>
          <w:kern w:val="0"/>
          <w:sz w:val="21"/>
          <w:szCs w:val="21"/>
        </w:rPr>
      </w:pPr>
      <w:bookmarkStart w:id="543" w:name="_Toc351203502"/>
      <w:bookmarkEnd w:id="543"/>
      <w:bookmarkStart w:id="544" w:name="_Toc532377188"/>
      <w:r>
        <w:rPr>
          <w:rFonts w:hint="eastAsia" w:ascii="宋体" w:hAnsi="宋体" w:eastAsia="宋体" w:cs="宋体"/>
          <w:b/>
          <w:bCs/>
          <w:kern w:val="0"/>
          <w:sz w:val="21"/>
          <w:szCs w:val="21"/>
        </w:rPr>
        <w:t>1</w:t>
      </w:r>
      <w:bookmarkEnd w:id="544"/>
      <w:bookmarkStart w:id="545" w:name="_Toc296346534"/>
      <w:bookmarkEnd w:id="545"/>
      <w:bookmarkStart w:id="546" w:name="_Toc337558733"/>
      <w:bookmarkEnd w:id="546"/>
      <w:bookmarkStart w:id="547" w:name="_Toc296503033"/>
      <w:r>
        <w:rPr>
          <w:rFonts w:hint="eastAsia" w:ascii="宋体" w:hAnsi="宋体" w:eastAsia="宋体" w:cs="宋体"/>
          <w:b/>
          <w:bCs/>
          <w:kern w:val="0"/>
          <w:sz w:val="21"/>
          <w:szCs w:val="21"/>
        </w:rPr>
        <w:t>.7联络</w:t>
      </w:r>
      <w:bookmarkEnd w:id="547"/>
    </w:p>
    <w:p w14:paraId="1D3F7E7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1.7.1 与合同有关的通知、批准、证明、证书、指示、指令、要求、请求、同意、意见、确定和决定等，均应采用书面形式，并应在合同约定的期限内送达接收人和送达地点。</w:t>
      </w:r>
    </w:p>
    <w:p w14:paraId="316868A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1.7.2 发包人和承包人应在专用合同条款中约定各自的送达接收人和送达地点。任何一方合同当事人指定的接收人或送达地点发生变动的，应提前3天以书面形式通知对方。</w:t>
      </w:r>
    </w:p>
    <w:p w14:paraId="3525AC5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1.7.3 发包人和承包人应当及时签收另一方送达至送达地点和指定接收人的来往信函。拒不签收的，由此增加的费用和（或）延误的工期由拒绝接收一方承担。</w:t>
      </w:r>
    </w:p>
    <w:p w14:paraId="5CB8A64C">
      <w:pPr>
        <w:widowControl/>
        <w:spacing w:line="360" w:lineRule="auto"/>
        <w:jc w:val="left"/>
        <w:outlineLvl w:val="4"/>
        <w:rPr>
          <w:rFonts w:ascii="宋体" w:hAnsi="宋体" w:eastAsia="宋体" w:cs="宋体"/>
          <w:b/>
          <w:bCs/>
          <w:kern w:val="0"/>
          <w:sz w:val="21"/>
          <w:szCs w:val="21"/>
        </w:rPr>
      </w:pPr>
      <w:bookmarkStart w:id="548" w:name="_Toc532377189"/>
      <w:bookmarkEnd w:id="548"/>
      <w:bookmarkStart w:id="549" w:name="_Toc351203503"/>
      <w:r>
        <w:rPr>
          <w:rFonts w:hint="eastAsia" w:ascii="宋体" w:hAnsi="宋体" w:eastAsia="宋体" w:cs="宋体"/>
          <w:b/>
          <w:bCs/>
          <w:kern w:val="0"/>
          <w:sz w:val="21"/>
          <w:szCs w:val="21"/>
        </w:rPr>
        <w:t>1</w:t>
      </w:r>
      <w:bookmarkEnd w:id="549"/>
      <w:bookmarkStart w:id="550" w:name="_Toc337558734"/>
      <w:bookmarkEnd w:id="550"/>
      <w:bookmarkStart w:id="551" w:name="_Toc296346536"/>
      <w:bookmarkEnd w:id="551"/>
      <w:bookmarkStart w:id="552" w:name="_Toc296503035"/>
      <w:r>
        <w:rPr>
          <w:rFonts w:hint="eastAsia" w:ascii="宋体" w:hAnsi="宋体" w:eastAsia="宋体" w:cs="宋体"/>
          <w:b/>
          <w:bCs/>
          <w:kern w:val="0"/>
          <w:sz w:val="21"/>
          <w:szCs w:val="21"/>
        </w:rPr>
        <w:t>.8严禁贿赂</w:t>
      </w:r>
      <w:bookmarkEnd w:id="552"/>
    </w:p>
    <w:p w14:paraId="4D69568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合同当事人不得以贿赂或变相贿赂的方式，谋取非法利益或损害对方权益。因一方合同当事人的贿赂造成对方损失的，应赔偿损失，并承担相应的法律责任。</w:t>
      </w:r>
    </w:p>
    <w:p w14:paraId="1F48437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42C6CEA7">
      <w:pPr>
        <w:widowControl/>
        <w:spacing w:line="360" w:lineRule="auto"/>
        <w:jc w:val="left"/>
        <w:outlineLvl w:val="4"/>
        <w:rPr>
          <w:rFonts w:ascii="宋体" w:hAnsi="宋体" w:eastAsia="宋体" w:cs="宋体"/>
          <w:b/>
          <w:bCs/>
          <w:kern w:val="0"/>
          <w:sz w:val="21"/>
          <w:szCs w:val="21"/>
        </w:rPr>
      </w:pPr>
      <w:bookmarkStart w:id="553" w:name="_Toc532377190"/>
      <w:bookmarkEnd w:id="553"/>
      <w:bookmarkStart w:id="554" w:name="_Toc351203504"/>
      <w:r>
        <w:rPr>
          <w:rFonts w:hint="eastAsia" w:ascii="宋体" w:hAnsi="宋体" w:eastAsia="宋体" w:cs="宋体"/>
          <w:b/>
          <w:bCs/>
          <w:kern w:val="0"/>
          <w:sz w:val="21"/>
          <w:szCs w:val="21"/>
        </w:rPr>
        <w:t>1</w:t>
      </w:r>
      <w:bookmarkEnd w:id="554"/>
      <w:bookmarkStart w:id="555" w:name="_Toc337558735"/>
      <w:bookmarkEnd w:id="555"/>
      <w:bookmarkStart w:id="556" w:name="_Toc296503036"/>
      <w:bookmarkEnd w:id="556"/>
      <w:bookmarkStart w:id="557" w:name="_Toc296346537"/>
      <w:r>
        <w:rPr>
          <w:rFonts w:hint="eastAsia" w:ascii="宋体" w:hAnsi="宋体" w:eastAsia="宋体" w:cs="宋体"/>
          <w:b/>
          <w:bCs/>
          <w:kern w:val="0"/>
          <w:sz w:val="21"/>
          <w:szCs w:val="21"/>
        </w:rPr>
        <w:t>.9化石、文物</w:t>
      </w:r>
      <w:bookmarkEnd w:id="557"/>
    </w:p>
    <w:p w14:paraId="638A3BE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6C580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发包人、监理人和承包人应按有关政府行政管理部门要求采取妥善的保护措施，由此增加的费用和（或）延误的工期由发包人承担。</w:t>
      </w:r>
    </w:p>
    <w:p w14:paraId="5CAA00A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承包人发现文物后不及时报告或隐瞒不报，致使文物丢失或损坏的，应赔偿损失，并承担相应的法律责任。</w:t>
      </w:r>
    </w:p>
    <w:p w14:paraId="46C6DD6D">
      <w:pPr>
        <w:widowControl/>
        <w:spacing w:line="360" w:lineRule="auto"/>
        <w:jc w:val="left"/>
        <w:outlineLvl w:val="4"/>
        <w:rPr>
          <w:rFonts w:ascii="宋体" w:hAnsi="宋体" w:eastAsia="宋体" w:cs="宋体"/>
          <w:b/>
          <w:bCs/>
          <w:kern w:val="0"/>
          <w:sz w:val="21"/>
          <w:szCs w:val="21"/>
        </w:rPr>
      </w:pPr>
      <w:bookmarkStart w:id="558" w:name="_Toc351203505"/>
      <w:bookmarkEnd w:id="558"/>
      <w:bookmarkStart w:id="559" w:name="_Toc532377191"/>
      <w:r>
        <w:rPr>
          <w:rFonts w:hint="eastAsia" w:ascii="宋体" w:hAnsi="宋体" w:eastAsia="宋体" w:cs="宋体"/>
          <w:b/>
          <w:bCs/>
          <w:kern w:val="0"/>
          <w:sz w:val="21"/>
          <w:szCs w:val="21"/>
        </w:rPr>
        <w:t>1</w:t>
      </w:r>
      <w:bookmarkEnd w:id="559"/>
      <w:bookmarkStart w:id="560" w:name="_Toc337558736"/>
      <w:r>
        <w:rPr>
          <w:rFonts w:hint="eastAsia" w:ascii="宋体" w:hAnsi="宋体" w:eastAsia="宋体" w:cs="宋体"/>
          <w:b/>
          <w:bCs/>
          <w:kern w:val="0"/>
          <w:sz w:val="21"/>
          <w:szCs w:val="21"/>
        </w:rPr>
        <w:t>.10交通运输</w:t>
      </w:r>
      <w:bookmarkEnd w:id="560"/>
    </w:p>
    <w:p w14:paraId="459B8D5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1.10.1 出入现场的权利</w:t>
      </w:r>
    </w:p>
    <w:p w14:paraId="1C76EB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3835B6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4C8620F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1.10.2 场外交通</w:t>
      </w:r>
    </w:p>
    <w:p w14:paraId="13329B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1FCFB0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1.10.3场内交通</w:t>
      </w:r>
    </w:p>
    <w:p w14:paraId="4B7A24C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36E505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646758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场外交通和场内交通的边界由合同当事人在专用合同条款中约定。</w:t>
      </w:r>
    </w:p>
    <w:p w14:paraId="5E19A5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1.10.4 超大件和超重件的运输</w:t>
      </w:r>
    </w:p>
    <w:p w14:paraId="14369E8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3BB2C5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1.10.5 道路和桥梁的损坏责任</w:t>
      </w:r>
    </w:p>
    <w:p w14:paraId="3F478A8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因承包人运输造成施工场地内外公共道路和桥梁损坏的，由承包人承担修复损坏的全部费用和可能引起的赔偿。</w:t>
      </w:r>
    </w:p>
    <w:p w14:paraId="6813B1D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1.10.6 水路和航空运输</w:t>
      </w:r>
    </w:p>
    <w:p w14:paraId="276C49A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本款前述各项的内容适用于水路运输和航空运输，其中“道路”一词的涵义包括河道、航线、船闸、机场、码头、堤防以及水路或航空运输中其他相似结构物；“车辆”一词的涵义包括船舶和飞机等。</w:t>
      </w:r>
    </w:p>
    <w:p w14:paraId="237DDC71">
      <w:pPr>
        <w:widowControl/>
        <w:spacing w:line="360" w:lineRule="auto"/>
        <w:jc w:val="left"/>
        <w:outlineLvl w:val="4"/>
        <w:rPr>
          <w:rFonts w:ascii="宋体" w:hAnsi="宋体" w:eastAsia="宋体" w:cs="宋体"/>
          <w:b/>
          <w:bCs/>
          <w:kern w:val="0"/>
          <w:sz w:val="21"/>
          <w:szCs w:val="21"/>
        </w:rPr>
      </w:pPr>
      <w:bookmarkStart w:id="561" w:name="_Toc532377192"/>
      <w:bookmarkEnd w:id="561"/>
      <w:bookmarkStart w:id="562" w:name="_Toc351203506"/>
      <w:r>
        <w:rPr>
          <w:rFonts w:hint="eastAsia" w:ascii="宋体" w:hAnsi="宋体" w:eastAsia="宋体" w:cs="宋体"/>
          <w:b/>
          <w:bCs/>
          <w:kern w:val="0"/>
          <w:sz w:val="21"/>
          <w:szCs w:val="21"/>
        </w:rPr>
        <w:t>1</w:t>
      </w:r>
      <w:bookmarkEnd w:id="562"/>
      <w:bookmarkStart w:id="563" w:name="_Toc296503037"/>
      <w:bookmarkEnd w:id="563"/>
      <w:bookmarkStart w:id="564" w:name="_Toc296346538"/>
      <w:bookmarkEnd w:id="564"/>
      <w:bookmarkStart w:id="565" w:name="_Toc337558737"/>
      <w:r>
        <w:rPr>
          <w:rFonts w:hint="eastAsia" w:ascii="宋体" w:hAnsi="宋体" w:eastAsia="宋体" w:cs="宋体"/>
          <w:b/>
          <w:bCs/>
          <w:kern w:val="0"/>
          <w:sz w:val="21"/>
          <w:szCs w:val="21"/>
        </w:rPr>
        <w:t>.11知识产权</w:t>
      </w:r>
      <w:bookmarkEnd w:id="565"/>
    </w:p>
    <w:p w14:paraId="2DA31F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3DC2EB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A6F806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1CADA7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1.11.4 除专用合同条款另有约定外，承包人在合同签订前和签订时已确定采用的专利、专有技术、技术秘密的使用费已包含在签约合同价中。</w:t>
      </w:r>
    </w:p>
    <w:p w14:paraId="018157C9">
      <w:pPr>
        <w:widowControl/>
        <w:spacing w:line="360" w:lineRule="auto"/>
        <w:jc w:val="left"/>
        <w:outlineLvl w:val="4"/>
        <w:rPr>
          <w:rFonts w:ascii="宋体" w:hAnsi="宋体" w:eastAsia="宋体" w:cs="宋体"/>
          <w:b/>
          <w:bCs/>
          <w:kern w:val="0"/>
          <w:sz w:val="21"/>
          <w:szCs w:val="21"/>
        </w:rPr>
      </w:pPr>
      <w:bookmarkStart w:id="566" w:name="_Toc351203507"/>
      <w:bookmarkEnd w:id="566"/>
      <w:bookmarkStart w:id="567" w:name="_Toc532377193"/>
      <w:r>
        <w:rPr>
          <w:rFonts w:hint="eastAsia" w:ascii="宋体" w:hAnsi="宋体" w:eastAsia="宋体" w:cs="宋体"/>
          <w:b/>
          <w:bCs/>
          <w:kern w:val="0"/>
          <w:sz w:val="21"/>
          <w:szCs w:val="21"/>
        </w:rPr>
        <w:t>1</w:t>
      </w:r>
      <w:bookmarkEnd w:id="567"/>
      <w:bookmarkStart w:id="568" w:name="_Toc337558738"/>
      <w:r>
        <w:rPr>
          <w:rFonts w:hint="eastAsia" w:ascii="宋体" w:hAnsi="宋体" w:eastAsia="宋体" w:cs="宋体"/>
          <w:b/>
          <w:bCs/>
          <w:kern w:val="0"/>
          <w:sz w:val="21"/>
          <w:szCs w:val="21"/>
        </w:rPr>
        <w:t>.12保密</w:t>
      </w:r>
      <w:bookmarkEnd w:id="568"/>
    </w:p>
    <w:p w14:paraId="6A68AA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除法律规定或合同另有约定外，未经发包人同意，承包人不得将发包人提供的图纸、文件以及声明需要保密的资料信息等商业秘密泄露给第三方。</w:t>
      </w:r>
    </w:p>
    <w:p w14:paraId="1033A7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除法律规定或合同另有约定外，未经承包人同意，发包人不得将承包人提供的技术秘密及声明需要保密的资料信息等商业秘密泄露给第三方。</w:t>
      </w:r>
    </w:p>
    <w:p w14:paraId="74395DE4">
      <w:pPr>
        <w:widowControl/>
        <w:spacing w:line="360" w:lineRule="auto"/>
        <w:jc w:val="left"/>
        <w:outlineLvl w:val="4"/>
        <w:rPr>
          <w:rFonts w:ascii="宋体" w:hAnsi="宋体" w:eastAsia="宋体" w:cs="宋体"/>
          <w:b/>
          <w:bCs/>
          <w:kern w:val="0"/>
          <w:sz w:val="21"/>
          <w:szCs w:val="21"/>
        </w:rPr>
      </w:pPr>
      <w:bookmarkStart w:id="569" w:name="_Toc351203508"/>
      <w:bookmarkEnd w:id="569"/>
      <w:bookmarkStart w:id="570" w:name="_Toc532377194"/>
      <w:r>
        <w:rPr>
          <w:rFonts w:hint="eastAsia" w:ascii="宋体" w:hAnsi="宋体" w:eastAsia="宋体" w:cs="宋体"/>
          <w:b/>
          <w:bCs/>
          <w:kern w:val="0"/>
          <w:sz w:val="21"/>
          <w:szCs w:val="21"/>
        </w:rPr>
        <w:t>1.13工程量清单错误的修正</w:t>
      </w:r>
      <w:bookmarkEnd w:id="570"/>
    </w:p>
    <w:p w14:paraId="7D7292A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除专用合同条款另有约定外，发包人提供的工程量清单，应被认为是准确的和完整的。出现下列情形之一时，发包人应予以修正，并相应调整合同价格：</w:t>
      </w:r>
    </w:p>
    <w:p w14:paraId="779371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（1）工程量清单存在缺项、漏项的；</w:t>
      </w:r>
    </w:p>
    <w:p w14:paraId="1D8F50F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（2）工程量清单偏差超出专用合同条款约定的工程量偏差范围的；</w:t>
      </w:r>
    </w:p>
    <w:p w14:paraId="7DDB61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（3）未按照国家现行计量规范强制性规定计量的。</w:t>
      </w:r>
    </w:p>
    <w:p w14:paraId="1F4A018F">
      <w:pPr>
        <w:keepNext/>
        <w:keepLines/>
        <w:spacing w:before="156" w:beforeLines="50" w:after="156" w:afterLines="50" w:line="360" w:lineRule="auto"/>
        <w:outlineLvl w:val="3"/>
        <w:rPr>
          <w:rFonts w:ascii="宋体" w:hAnsi="宋体" w:eastAsia="宋体" w:cs="宋体"/>
          <w:b/>
          <w:bCs/>
          <w:sz w:val="21"/>
          <w:szCs w:val="21"/>
        </w:rPr>
      </w:pPr>
      <w:bookmarkStart w:id="571" w:name="_Toc351203509"/>
      <w:bookmarkEnd w:id="571"/>
      <w:bookmarkStart w:id="572" w:name="_Toc532375588"/>
      <w:bookmarkEnd w:id="572"/>
      <w:bookmarkStart w:id="573" w:name="_Toc532377195"/>
      <w:r>
        <w:rPr>
          <w:rFonts w:hint="eastAsia" w:ascii="宋体" w:hAnsi="宋体" w:eastAsia="宋体" w:cs="宋体"/>
          <w:b/>
          <w:bCs/>
          <w:sz w:val="21"/>
          <w:szCs w:val="21"/>
        </w:rPr>
        <w:t>2</w:t>
      </w:r>
      <w:bookmarkEnd w:id="573"/>
      <w:bookmarkStart w:id="574" w:name="_Toc296346539"/>
      <w:bookmarkEnd w:id="574"/>
      <w:bookmarkStart w:id="575" w:name="_Toc296503038"/>
      <w:bookmarkEnd w:id="575"/>
      <w:bookmarkStart w:id="576" w:name="_Toc337558739"/>
      <w:bookmarkEnd w:id="576"/>
      <w:r>
        <w:rPr>
          <w:rFonts w:hint="eastAsia" w:ascii="宋体" w:hAnsi="宋体" w:eastAsia="宋体" w:cs="宋体"/>
          <w:b/>
          <w:bCs/>
          <w:sz w:val="21"/>
          <w:szCs w:val="21"/>
        </w:rPr>
        <w:t>. 发包人</w:t>
      </w:r>
    </w:p>
    <w:p w14:paraId="4151B711">
      <w:pPr>
        <w:widowControl/>
        <w:spacing w:line="360" w:lineRule="auto"/>
        <w:jc w:val="left"/>
        <w:outlineLvl w:val="4"/>
        <w:rPr>
          <w:rFonts w:ascii="宋体" w:hAnsi="宋体" w:eastAsia="宋体" w:cs="宋体"/>
          <w:b/>
          <w:bCs/>
          <w:kern w:val="0"/>
          <w:sz w:val="21"/>
          <w:szCs w:val="21"/>
        </w:rPr>
      </w:pPr>
      <w:bookmarkStart w:id="577" w:name="_Toc351203510"/>
      <w:bookmarkEnd w:id="577"/>
      <w:bookmarkStart w:id="578" w:name="_Toc532377196"/>
      <w:bookmarkEnd w:id="578"/>
      <w:r>
        <w:rPr>
          <w:rFonts w:hint="eastAsia" w:ascii="宋体" w:hAnsi="宋体" w:eastAsia="宋体" w:cs="宋体"/>
          <w:b/>
          <w:bCs/>
          <w:kern w:val="0"/>
          <w:sz w:val="21"/>
          <w:szCs w:val="21"/>
        </w:rPr>
        <w:t>2</w:t>
      </w:r>
      <w:bookmarkStart w:id="579" w:name="_Toc296346540"/>
      <w:bookmarkEnd w:id="579"/>
      <w:bookmarkStart w:id="580" w:name="_Toc337558740"/>
      <w:bookmarkEnd w:id="580"/>
      <w:bookmarkStart w:id="581" w:name="_Toc296503039"/>
      <w:r>
        <w:rPr>
          <w:rFonts w:hint="eastAsia" w:ascii="宋体" w:hAnsi="宋体" w:eastAsia="宋体" w:cs="宋体"/>
          <w:b/>
          <w:bCs/>
          <w:kern w:val="0"/>
          <w:sz w:val="21"/>
          <w:szCs w:val="21"/>
        </w:rPr>
        <w:t>.1 许可或批准</w:t>
      </w:r>
      <w:bookmarkEnd w:id="581"/>
    </w:p>
    <w:p w14:paraId="3A8FFEC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30E142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因发包人原因未能及时办理完毕前述许可、批准或备案，由发包人承担由此增加的费用和（或）延误的工期，并支付承包人合理的利润。</w:t>
      </w:r>
    </w:p>
    <w:p w14:paraId="3F556A1F">
      <w:pPr>
        <w:widowControl/>
        <w:spacing w:line="360" w:lineRule="auto"/>
        <w:jc w:val="left"/>
        <w:outlineLvl w:val="4"/>
        <w:rPr>
          <w:rFonts w:ascii="宋体" w:hAnsi="宋体" w:eastAsia="宋体" w:cs="宋体"/>
          <w:b/>
          <w:bCs/>
          <w:kern w:val="0"/>
          <w:sz w:val="21"/>
          <w:szCs w:val="21"/>
        </w:rPr>
      </w:pPr>
      <w:bookmarkStart w:id="582" w:name="_Toc351203511"/>
      <w:bookmarkEnd w:id="582"/>
      <w:bookmarkStart w:id="583" w:name="_Toc532377197"/>
      <w:r>
        <w:rPr>
          <w:rFonts w:hint="eastAsia" w:ascii="宋体" w:hAnsi="宋体" w:eastAsia="宋体" w:cs="宋体"/>
          <w:b/>
          <w:bCs/>
          <w:kern w:val="0"/>
          <w:sz w:val="21"/>
          <w:szCs w:val="21"/>
        </w:rPr>
        <w:t>2.2 发包人代表</w:t>
      </w:r>
      <w:bookmarkEnd w:id="583"/>
    </w:p>
    <w:p w14:paraId="71DAC1E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4D0D0A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发包人代表不能按照合同约定履行其职责及义务，并导致合同无法继续正常履行的，承包人可以要求发包人撤换发包人代表。</w:t>
      </w:r>
    </w:p>
    <w:p w14:paraId="05A0AE3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不属于法定必须监理的工程，监理人的职权可以由发包人代表或发包人指定的其他人员行使。</w:t>
      </w:r>
    </w:p>
    <w:p w14:paraId="01828C41">
      <w:pPr>
        <w:widowControl/>
        <w:spacing w:line="360" w:lineRule="auto"/>
        <w:jc w:val="left"/>
        <w:outlineLvl w:val="4"/>
        <w:rPr>
          <w:rFonts w:ascii="宋体" w:hAnsi="宋体" w:eastAsia="宋体" w:cs="宋体"/>
          <w:b/>
          <w:bCs/>
          <w:kern w:val="0"/>
          <w:sz w:val="21"/>
          <w:szCs w:val="21"/>
        </w:rPr>
      </w:pPr>
      <w:bookmarkStart w:id="584" w:name="_Toc532377198"/>
      <w:bookmarkEnd w:id="584"/>
      <w:bookmarkStart w:id="585" w:name="_Toc351203512"/>
      <w:r>
        <w:rPr>
          <w:rFonts w:hint="eastAsia" w:ascii="宋体" w:hAnsi="宋体" w:eastAsia="宋体" w:cs="宋体"/>
          <w:b/>
          <w:bCs/>
          <w:kern w:val="0"/>
          <w:sz w:val="21"/>
          <w:szCs w:val="21"/>
        </w:rPr>
        <w:t>2.3 发包人人员</w:t>
      </w:r>
      <w:bookmarkEnd w:id="585"/>
    </w:p>
    <w:p w14:paraId="56602A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发包人应要求在施工现场的发包人人员遵守法律及有关安全、质量、环境保护、文明施工等规定，并保障承包人免于承受因发包人人员未遵守上述要求给承包人造成的损失和责任。</w:t>
      </w:r>
    </w:p>
    <w:p w14:paraId="62503D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发包人人员包括发包人代表及其他由发包人派驻施工现场的人员。</w:t>
      </w:r>
    </w:p>
    <w:p w14:paraId="6AED3978">
      <w:pPr>
        <w:widowControl/>
        <w:spacing w:line="360" w:lineRule="auto"/>
        <w:jc w:val="left"/>
        <w:outlineLvl w:val="4"/>
        <w:rPr>
          <w:rFonts w:ascii="宋体" w:hAnsi="宋体" w:eastAsia="宋体" w:cs="宋体"/>
          <w:b/>
          <w:bCs/>
          <w:kern w:val="0"/>
          <w:sz w:val="21"/>
          <w:szCs w:val="21"/>
        </w:rPr>
      </w:pPr>
      <w:bookmarkStart w:id="586" w:name="_Toc351203513"/>
      <w:bookmarkEnd w:id="586"/>
      <w:bookmarkStart w:id="587" w:name="_Toc532377199"/>
      <w:r>
        <w:rPr>
          <w:rFonts w:hint="eastAsia" w:ascii="宋体" w:hAnsi="宋体" w:eastAsia="宋体" w:cs="宋体"/>
          <w:b/>
          <w:bCs/>
          <w:kern w:val="0"/>
          <w:sz w:val="21"/>
          <w:szCs w:val="21"/>
        </w:rPr>
        <w:t>2</w:t>
      </w:r>
      <w:bookmarkEnd w:id="587"/>
      <w:bookmarkStart w:id="588" w:name="_Toc296346541"/>
      <w:bookmarkEnd w:id="588"/>
      <w:bookmarkStart w:id="589" w:name="_Toc296503040"/>
      <w:bookmarkEnd w:id="589"/>
      <w:bookmarkStart w:id="590" w:name="_Toc337558741"/>
      <w:r>
        <w:rPr>
          <w:rFonts w:hint="eastAsia" w:ascii="宋体" w:hAnsi="宋体" w:eastAsia="宋体" w:cs="宋体"/>
          <w:b/>
          <w:bCs/>
          <w:kern w:val="0"/>
          <w:sz w:val="21"/>
          <w:szCs w:val="21"/>
        </w:rPr>
        <w:t>.4 施工现场、施工条件和基础资料的提供</w:t>
      </w:r>
      <w:bookmarkEnd w:id="590"/>
    </w:p>
    <w:p w14:paraId="3B2B10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2.4.1 提供施工现场</w:t>
      </w:r>
    </w:p>
    <w:p w14:paraId="1266548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除专用合同条款另有约定外，发包人应最迟于开工日期7天前向承包人移交施工现场。</w:t>
      </w:r>
    </w:p>
    <w:p w14:paraId="7F3AEC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2.4.2 提供施工条件</w:t>
      </w:r>
    </w:p>
    <w:p w14:paraId="3FACDE7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除专用合同条款另有约定外，发包人应负责提供施工所需要的条件，包括：</w:t>
      </w:r>
    </w:p>
    <w:p w14:paraId="5FFEBF3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（1）将施工用水、电力、通讯线路等施工所必需的条件接至施工现场内；</w:t>
      </w:r>
    </w:p>
    <w:p w14:paraId="663AE73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（2）保证向承包人提供正常施工所需要的进入施工现场的交通条件；</w:t>
      </w:r>
    </w:p>
    <w:p w14:paraId="5D62AFD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（3）协调处理施工现场周围地下管线和邻近建筑物、构筑物、古树名木的保护工作，并承担相关费用；</w:t>
      </w:r>
    </w:p>
    <w:p w14:paraId="2A1A2E3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（4）按照专用合同条款约定应提供的其他设施和条件。</w:t>
      </w:r>
    </w:p>
    <w:p w14:paraId="30CF5E6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2.4.3 提供基础资料</w:t>
      </w:r>
    </w:p>
    <w:p w14:paraId="4C4F15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D44B8F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按照法律规定确需在开工后方能提供的基础资料，发包人应尽其努力及时地在相应工程施工前的合理期限内提供，合理期限应以不影响承包人的正常施工为限。</w:t>
      </w:r>
    </w:p>
    <w:p w14:paraId="698DEB0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2.4.4 逾期提供的责任</w:t>
      </w:r>
    </w:p>
    <w:p w14:paraId="1C8F248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因发包人原因未能按合同约定及时向承包人提供施工现场、施工条件、基础资料的，由发包人承担由此增加的费用和（或）延误的工期。</w:t>
      </w:r>
    </w:p>
    <w:p w14:paraId="273DF2A9">
      <w:pPr>
        <w:widowControl/>
        <w:spacing w:line="360" w:lineRule="auto"/>
        <w:jc w:val="left"/>
        <w:outlineLvl w:val="4"/>
        <w:rPr>
          <w:rFonts w:ascii="宋体" w:hAnsi="宋体" w:eastAsia="宋体" w:cs="宋体"/>
          <w:b/>
          <w:bCs/>
          <w:kern w:val="0"/>
          <w:sz w:val="21"/>
          <w:szCs w:val="21"/>
        </w:rPr>
      </w:pPr>
      <w:bookmarkStart w:id="591" w:name="_Toc351203514"/>
      <w:bookmarkEnd w:id="591"/>
      <w:bookmarkStart w:id="592" w:name="_Toc532377200"/>
      <w:r>
        <w:rPr>
          <w:rFonts w:hint="eastAsia" w:ascii="宋体" w:hAnsi="宋体" w:eastAsia="宋体" w:cs="宋体"/>
          <w:b/>
          <w:bCs/>
          <w:kern w:val="0"/>
          <w:sz w:val="21"/>
          <w:szCs w:val="21"/>
        </w:rPr>
        <w:t>2</w:t>
      </w:r>
      <w:bookmarkEnd w:id="592"/>
      <w:bookmarkStart w:id="593" w:name="_Toc296503042"/>
      <w:bookmarkEnd w:id="593"/>
      <w:bookmarkStart w:id="594" w:name="_Toc296346543"/>
      <w:bookmarkEnd w:id="594"/>
      <w:bookmarkStart w:id="595" w:name="_Toc337558745"/>
      <w:r>
        <w:rPr>
          <w:rFonts w:hint="eastAsia" w:ascii="宋体" w:hAnsi="宋体" w:eastAsia="宋体" w:cs="宋体"/>
          <w:b/>
          <w:bCs/>
          <w:kern w:val="0"/>
          <w:sz w:val="21"/>
          <w:szCs w:val="21"/>
        </w:rPr>
        <w:t>.5 资</w:t>
      </w:r>
      <w:bookmarkEnd w:id="595"/>
      <w:r>
        <w:rPr>
          <w:rFonts w:hint="eastAsia" w:ascii="宋体" w:hAnsi="宋体" w:eastAsia="宋体" w:cs="宋体"/>
          <w:b/>
          <w:bCs/>
          <w:kern w:val="0"/>
          <w:sz w:val="21"/>
          <w:szCs w:val="21"/>
        </w:rPr>
        <w:t>金来源证明及支付担保</w:t>
      </w:r>
    </w:p>
    <w:p w14:paraId="3897FD1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除专用合同条款另有约定外，发包人应在收到承包人要求提供资金来源证明的书面通知后28天内，向承包人提供能够按照合同约定支付合同价款的相应资金来源证明。</w:t>
      </w:r>
    </w:p>
    <w:p w14:paraId="5FDE99B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09DFA4A6">
      <w:pPr>
        <w:widowControl/>
        <w:spacing w:line="360" w:lineRule="auto"/>
        <w:jc w:val="left"/>
        <w:outlineLvl w:val="4"/>
        <w:rPr>
          <w:rFonts w:ascii="宋体" w:hAnsi="宋体" w:eastAsia="宋体" w:cs="宋体"/>
          <w:b/>
          <w:bCs/>
          <w:kern w:val="0"/>
          <w:sz w:val="21"/>
          <w:szCs w:val="21"/>
        </w:rPr>
      </w:pPr>
      <w:bookmarkStart w:id="596" w:name="_Toc532377201"/>
      <w:bookmarkEnd w:id="596"/>
      <w:bookmarkStart w:id="597" w:name="_Toc351203515"/>
      <w:r>
        <w:rPr>
          <w:rFonts w:hint="eastAsia" w:ascii="宋体" w:hAnsi="宋体" w:eastAsia="宋体" w:cs="宋体"/>
          <w:b/>
          <w:bCs/>
          <w:kern w:val="0"/>
          <w:sz w:val="21"/>
          <w:szCs w:val="21"/>
        </w:rPr>
        <w:t>2.6 支付合同价款</w:t>
      </w:r>
      <w:bookmarkEnd w:id="597"/>
    </w:p>
    <w:p w14:paraId="58565F6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发包人应按合同约定向承包人及时支付合同价款。</w:t>
      </w:r>
    </w:p>
    <w:p w14:paraId="423C01C8">
      <w:pPr>
        <w:widowControl/>
        <w:spacing w:line="360" w:lineRule="auto"/>
        <w:jc w:val="left"/>
        <w:outlineLvl w:val="4"/>
        <w:rPr>
          <w:rFonts w:ascii="宋体" w:hAnsi="宋体" w:eastAsia="宋体" w:cs="宋体"/>
          <w:b/>
          <w:bCs/>
          <w:kern w:val="0"/>
          <w:sz w:val="21"/>
          <w:szCs w:val="21"/>
        </w:rPr>
      </w:pPr>
      <w:bookmarkStart w:id="598" w:name="_Toc532377202"/>
      <w:bookmarkEnd w:id="598"/>
      <w:bookmarkStart w:id="599" w:name="_Toc351203516"/>
      <w:r>
        <w:rPr>
          <w:rFonts w:hint="eastAsia" w:ascii="宋体" w:hAnsi="宋体" w:eastAsia="宋体" w:cs="宋体"/>
          <w:b/>
          <w:bCs/>
          <w:kern w:val="0"/>
          <w:sz w:val="21"/>
          <w:szCs w:val="21"/>
        </w:rPr>
        <w:t>2.7 组织竣工验收</w:t>
      </w:r>
      <w:bookmarkEnd w:id="599"/>
    </w:p>
    <w:p w14:paraId="53C1D80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发包人应按合同约定及时组织竣工验收。</w:t>
      </w:r>
    </w:p>
    <w:p w14:paraId="6C483346">
      <w:pPr>
        <w:widowControl/>
        <w:spacing w:line="360" w:lineRule="auto"/>
        <w:jc w:val="left"/>
        <w:outlineLvl w:val="4"/>
        <w:rPr>
          <w:rFonts w:ascii="宋体" w:hAnsi="宋体" w:eastAsia="宋体" w:cs="宋体"/>
          <w:b/>
          <w:bCs/>
          <w:kern w:val="0"/>
          <w:sz w:val="21"/>
          <w:szCs w:val="21"/>
        </w:rPr>
      </w:pPr>
      <w:bookmarkStart w:id="600" w:name="_Toc532377203"/>
      <w:bookmarkEnd w:id="600"/>
      <w:bookmarkStart w:id="601" w:name="_Toc351203517"/>
      <w:r>
        <w:rPr>
          <w:rFonts w:hint="eastAsia" w:ascii="宋体" w:hAnsi="宋体" w:eastAsia="宋体" w:cs="宋体"/>
          <w:b/>
          <w:bCs/>
          <w:kern w:val="0"/>
          <w:sz w:val="21"/>
          <w:szCs w:val="21"/>
        </w:rPr>
        <w:t>2.8 现场统一管理协议</w:t>
      </w:r>
      <w:bookmarkEnd w:id="601"/>
    </w:p>
    <w:p w14:paraId="72E2F3A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发包人应与承包人、由发包人直接发包的专业工程的承包人签订施工现场统一管理协议，明确各方的权利义务。施工现场统一管理协议作为专用合同条款的附件。</w:t>
      </w:r>
    </w:p>
    <w:p w14:paraId="0911695A">
      <w:pPr>
        <w:keepNext/>
        <w:keepLines/>
        <w:spacing w:before="156" w:beforeLines="50" w:after="156" w:afterLines="50" w:line="360" w:lineRule="auto"/>
        <w:outlineLvl w:val="3"/>
        <w:rPr>
          <w:rFonts w:ascii="宋体" w:hAnsi="宋体" w:eastAsia="宋体" w:cs="宋体"/>
          <w:b/>
          <w:sz w:val="21"/>
          <w:szCs w:val="21"/>
        </w:rPr>
      </w:pPr>
      <w:bookmarkStart w:id="602" w:name="_Toc532375589"/>
      <w:bookmarkEnd w:id="602"/>
      <w:bookmarkStart w:id="603" w:name="_Toc351203518"/>
      <w:bookmarkEnd w:id="603"/>
      <w:bookmarkStart w:id="604" w:name="_Toc532377204"/>
      <w:r>
        <w:rPr>
          <w:rFonts w:hint="eastAsia" w:ascii="宋体" w:hAnsi="宋体" w:eastAsia="宋体" w:cs="宋体"/>
          <w:b/>
          <w:bCs/>
          <w:sz w:val="21"/>
          <w:szCs w:val="21"/>
        </w:rPr>
        <w:t>3</w:t>
      </w:r>
      <w:bookmarkEnd w:id="604"/>
      <w:bookmarkStart w:id="605" w:name="_Toc337558746"/>
      <w:bookmarkEnd w:id="605"/>
      <w:bookmarkStart w:id="606" w:name="_Toc296346546"/>
      <w:bookmarkEnd w:id="606"/>
      <w:bookmarkStart w:id="607" w:name="_Toc296503045"/>
      <w:r>
        <w:rPr>
          <w:rFonts w:hint="eastAsia" w:ascii="宋体" w:hAnsi="宋体" w:eastAsia="宋体" w:cs="宋体"/>
          <w:b/>
          <w:bCs/>
          <w:sz w:val="21"/>
          <w:szCs w:val="21"/>
        </w:rPr>
        <w:t>. 承包人</w:t>
      </w:r>
      <w:bookmarkEnd w:id="607"/>
    </w:p>
    <w:p w14:paraId="5A2DF00C">
      <w:pPr>
        <w:widowControl/>
        <w:spacing w:line="360" w:lineRule="auto"/>
        <w:jc w:val="left"/>
        <w:outlineLvl w:val="4"/>
        <w:rPr>
          <w:rFonts w:ascii="宋体" w:hAnsi="宋体" w:eastAsia="宋体" w:cs="宋体"/>
          <w:b/>
          <w:bCs/>
          <w:kern w:val="0"/>
          <w:sz w:val="21"/>
          <w:szCs w:val="21"/>
        </w:rPr>
      </w:pPr>
      <w:bookmarkStart w:id="608" w:name="_Toc351203519"/>
      <w:bookmarkEnd w:id="608"/>
      <w:bookmarkStart w:id="609" w:name="_Toc532377205"/>
      <w:bookmarkEnd w:id="609"/>
      <w:r>
        <w:rPr>
          <w:rFonts w:hint="eastAsia" w:ascii="宋体" w:hAnsi="宋体" w:eastAsia="宋体" w:cs="宋体"/>
          <w:b/>
          <w:bCs/>
          <w:kern w:val="0"/>
          <w:sz w:val="21"/>
          <w:szCs w:val="21"/>
        </w:rPr>
        <w:t>3</w:t>
      </w:r>
      <w:bookmarkStart w:id="610" w:name="_Toc337558747"/>
      <w:bookmarkEnd w:id="610"/>
      <w:bookmarkStart w:id="611" w:name="_Toc296503046"/>
      <w:bookmarkEnd w:id="611"/>
      <w:bookmarkStart w:id="612" w:name="_Toc296346547"/>
      <w:r>
        <w:rPr>
          <w:rFonts w:hint="eastAsia" w:ascii="宋体" w:hAnsi="宋体" w:eastAsia="宋体" w:cs="宋体"/>
          <w:b/>
          <w:bCs/>
          <w:kern w:val="0"/>
          <w:sz w:val="21"/>
          <w:szCs w:val="21"/>
        </w:rPr>
        <w:t>.1 承包人的一般义务</w:t>
      </w:r>
      <w:bookmarkEnd w:id="612"/>
    </w:p>
    <w:p w14:paraId="48BB219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承包人在履行合同过程中应遵守法律和工程建设标准规范，并履行以下义务：</w:t>
      </w:r>
    </w:p>
    <w:p w14:paraId="449908F9">
      <w:pPr>
        <w:numPr>
          <w:ilvl w:val="0"/>
          <w:numId w:val="16"/>
        </w:numPr>
        <w:autoSpaceDE w:val="0"/>
        <w:autoSpaceDN w:val="0"/>
        <w:spacing w:line="360" w:lineRule="auto"/>
        <w:ind w:firstLine="420"/>
        <w:jc w:val="left"/>
        <w:rPr>
          <w:rFonts w:ascii="宋体" w:hAnsi="宋体" w:eastAsia="宋体" w:cs="Times New Roman"/>
          <w:kern w:val="0"/>
          <w:sz w:val="21"/>
          <w:szCs w:val="21"/>
        </w:rPr>
      </w:pPr>
      <w:r>
        <w:rPr>
          <w:rFonts w:hint="eastAsia" w:ascii="宋体" w:hAnsi="宋体" w:eastAsia="宋体" w:cs="Times New Roman"/>
          <w:kern w:val="0"/>
          <w:sz w:val="21"/>
          <w:szCs w:val="21"/>
        </w:rPr>
        <w:t>办理法律规定应由承包人办理的许可和批准，并将办理结果书面报送发包人留存；</w:t>
      </w:r>
    </w:p>
    <w:p w14:paraId="7E56776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（2）按法律规定和合同约定完成工程，并在保修期内承担保修义务；</w:t>
      </w:r>
    </w:p>
    <w:p w14:paraId="03DD904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（3）按法律规定和合同约定采取施工安全和环境保护措施，办理工伤保险，确保工程及人员、材料、设备和设施的安全；</w:t>
      </w:r>
    </w:p>
    <w:p w14:paraId="39C2B1B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（4）按合同约定的工作内容和施工进度要求，编制施工组织设计和施工措施计划，并对所有施工作业和施工方法的完备性和安全可靠性负责；</w:t>
      </w:r>
    </w:p>
    <w:p w14:paraId="36C4A4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009D9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（6）按照第6.3款〔环境保护〕约定负责施工场地及其周边环境与生态的保护工作；</w:t>
      </w:r>
    </w:p>
    <w:p w14:paraId="317FC9F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（7）按第6.1款〔安全文明施工〕约定采取施工安全措施，确保工程及其人员、材料、设备和设施的安全，防止因工程施工造成的人身伤害和财产损失；</w:t>
      </w:r>
    </w:p>
    <w:p w14:paraId="3DBCBEB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（8）将发包人按合同约定支付的各项价款专用于合同工程，且应及时支付其雇用人员工资，并及时向分包人支付合同价款；</w:t>
      </w:r>
    </w:p>
    <w:p w14:paraId="75CC163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（9）按照法律规定和合同约定编制竣工资料，完成竣工资料立卷及归档，并按专用合同条款约定的竣工资料的套数、内容、时间等要求移交发包人；</w:t>
      </w:r>
    </w:p>
    <w:p w14:paraId="561058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（10）应履行的其他义务。</w:t>
      </w:r>
    </w:p>
    <w:p w14:paraId="22676C3B">
      <w:pPr>
        <w:widowControl/>
        <w:spacing w:line="360" w:lineRule="auto"/>
        <w:jc w:val="left"/>
        <w:outlineLvl w:val="4"/>
        <w:rPr>
          <w:rFonts w:ascii="宋体" w:hAnsi="宋体" w:eastAsia="宋体" w:cs="宋体"/>
          <w:b/>
          <w:bCs/>
          <w:kern w:val="0"/>
          <w:sz w:val="21"/>
          <w:szCs w:val="21"/>
        </w:rPr>
      </w:pPr>
      <w:bookmarkStart w:id="613" w:name="_Toc351203520"/>
      <w:bookmarkEnd w:id="613"/>
      <w:bookmarkStart w:id="614" w:name="_Toc532377206"/>
      <w:r>
        <w:rPr>
          <w:rFonts w:hint="eastAsia" w:ascii="宋体" w:hAnsi="宋体" w:eastAsia="宋体" w:cs="宋体"/>
          <w:b/>
          <w:bCs/>
          <w:kern w:val="0"/>
          <w:sz w:val="21"/>
          <w:szCs w:val="21"/>
        </w:rPr>
        <w:t>3</w:t>
      </w:r>
      <w:bookmarkEnd w:id="614"/>
      <w:bookmarkStart w:id="615" w:name="_Toc296346548"/>
      <w:bookmarkEnd w:id="615"/>
      <w:bookmarkStart w:id="616" w:name="_Toc337558748"/>
      <w:bookmarkEnd w:id="616"/>
      <w:bookmarkStart w:id="617" w:name="_Toc296503047"/>
      <w:r>
        <w:rPr>
          <w:rFonts w:hint="eastAsia" w:ascii="宋体" w:hAnsi="宋体" w:eastAsia="宋体" w:cs="宋体"/>
          <w:b/>
          <w:bCs/>
          <w:kern w:val="0"/>
          <w:sz w:val="21"/>
          <w:szCs w:val="21"/>
        </w:rPr>
        <w:t xml:space="preserve">.2 </w:t>
      </w:r>
      <w:bookmarkEnd w:id="617"/>
      <w:r>
        <w:rPr>
          <w:rFonts w:hint="eastAsia" w:ascii="宋体" w:hAnsi="宋体" w:eastAsia="宋体" w:cs="宋体"/>
          <w:b/>
          <w:bCs/>
          <w:kern w:val="0"/>
          <w:sz w:val="21"/>
          <w:szCs w:val="21"/>
        </w:rPr>
        <w:t>项目经理</w:t>
      </w:r>
    </w:p>
    <w:p w14:paraId="109C8CF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948061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2D7366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承包人违反上述约定的，应按照专用合同条款的约定，承担违约责任。</w:t>
      </w:r>
    </w:p>
    <w:p w14:paraId="7F8A490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584933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CF641D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67A12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722FC43D">
      <w:pPr>
        <w:widowControl/>
        <w:spacing w:line="360" w:lineRule="auto"/>
        <w:jc w:val="left"/>
        <w:outlineLvl w:val="4"/>
        <w:rPr>
          <w:rFonts w:ascii="宋体" w:hAnsi="宋体" w:eastAsia="宋体" w:cs="宋体"/>
          <w:b/>
          <w:bCs/>
          <w:kern w:val="0"/>
          <w:sz w:val="21"/>
          <w:szCs w:val="21"/>
        </w:rPr>
      </w:pPr>
      <w:bookmarkStart w:id="618" w:name="_Toc532377207"/>
      <w:bookmarkEnd w:id="618"/>
      <w:bookmarkStart w:id="619" w:name="_Toc351203521"/>
      <w:r>
        <w:rPr>
          <w:rFonts w:hint="eastAsia" w:ascii="宋体" w:hAnsi="宋体" w:eastAsia="宋体" w:cs="宋体"/>
          <w:b/>
          <w:bCs/>
          <w:kern w:val="0"/>
          <w:sz w:val="21"/>
          <w:szCs w:val="21"/>
        </w:rPr>
        <w:t>3</w:t>
      </w:r>
      <w:bookmarkEnd w:id="619"/>
      <w:bookmarkStart w:id="620" w:name="_Toc296503048"/>
      <w:bookmarkEnd w:id="620"/>
      <w:bookmarkStart w:id="621" w:name="_Toc296346549"/>
      <w:bookmarkEnd w:id="621"/>
      <w:bookmarkStart w:id="622" w:name="_Toc337558749"/>
      <w:r>
        <w:rPr>
          <w:rFonts w:hint="eastAsia" w:ascii="宋体" w:hAnsi="宋体" w:eastAsia="宋体" w:cs="宋体"/>
          <w:b/>
          <w:bCs/>
          <w:kern w:val="0"/>
          <w:sz w:val="21"/>
          <w:szCs w:val="21"/>
        </w:rPr>
        <w:t xml:space="preserve">.3 </w:t>
      </w:r>
      <w:bookmarkEnd w:id="622"/>
      <w:r>
        <w:rPr>
          <w:rFonts w:hint="eastAsia" w:ascii="宋体" w:hAnsi="宋体" w:eastAsia="宋体" w:cs="宋体"/>
          <w:b/>
          <w:bCs/>
          <w:kern w:val="0"/>
          <w:sz w:val="21"/>
          <w:szCs w:val="21"/>
        </w:rPr>
        <w:t>承包人人员</w:t>
      </w:r>
    </w:p>
    <w:p w14:paraId="0F37E7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B0807C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35278DF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特殊工种作业人员均应持有相应的资格证明，监理人可以随时检查。</w:t>
      </w:r>
    </w:p>
    <w:p w14:paraId="4C3A4F3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D1B589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60A7AE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3.3.5 承包人擅自更换主要施工管理人员，或前述人员未经监理人或发包人同意擅自离开施工现场的，应按照专用合同条款约定承担违约责任。</w:t>
      </w:r>
    </w:p>
    <w:p w14:paraId="42825184">
      <w:pPr>
        <w:widowControl/>
        <w:spacing w:line="360" w:lineRule="auto"/>
        <w:jc w:val="left"/>
        <w:outlineLvl w:val="4"/>
        <w:rPr>
          <w:rFonts w:ascii="宋体" w:hAnsi="宋体" w:eastAsia="宋体" w:cs="宋体"/>
          <w:b/>
          <w:bCs/>
          <w:kern w:val="0"/>
          <w:sz w:val="21"/>
          <w:szCs w:val="21"/>
        </w:rPr>
      </w:pPr>
      <w:bookmarkStart w:id="623" w:name="_Toc532377208"/>
      <w:bookmarkEnd w:id="623"/>
      <w:bookmarkStart w:id="624" w:name="_Toc351203522"/>
      <w:r>
        <w:rPr>
          <w:rFonts w:hint="eastAsia" w:ascii="宋体" w:hAnsi="宋体" w:eastAsia="宋体" w:cs="宋体"/>
          <w:b/>
          <w:bCs/>
          <w:kern w:val="0"/>
          <w:sz w:val="21"/>
          <w:szCs w:val="21"/>
        </w:rPr>
        <w:t>3</w:t>
      </w:r>
      <w:bookmarkEnd w:id="624"/>
      <w:bookmarkStart w:id="625" w:name="_Toc296346551"/>
      <w:bookmarkEnd w:id="625"/>
      <w:bookmarkStart w:id="626" w:name="_Toc337558750"/>
      <w:bookmarkEnd w:id="626"/>
      <w:bookmarkStart w:id="627" w:name="_Toc296503050"/>
      <w:r>
        <w:rPr>
          <w:rFonts w:hint="eastAsia" w:ascii="宋体" w:hAnsi="宋体" w:eastAsia="宋体" w:cs="宋体"/>
          <w:b/>
          <w:bCs/>
          <w:kern w:val="0"/>
          <w:sz w:val="21"/>
          <w:szCs w:val="21"/>
        </w:rPr>
        <w:t>.4 承包人现场查勘</w:t>
      </w:r>
      <w:bookmarkEnd w:id="627"/>
    </w:p>
    <w:p w14:paraId="044540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承包人应对基于发包人按照第2.4.3项〔提供基础资料〕提交的基础资料所做出的解释和推断负责，但因基础资料存在错误、遗漏导致承包人解释或推断失实的，由发包人承担责任。</w:t>
      </w:r>
    </w:p>
    <w:p w14:paraId="54C1073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4ECE741">
      <w:pPr>
        <w:widowControl/>
        <w:spacing w:line="360" w:lineRule="auto"/>
        <w:jc w:val="left"/>
        <w:outlineLvl w:val="4"/>
        <w:rPr>
          <w:rFonts w:ascii="宋体" w:hAnsi="宋体" w:eastAsia="宋体" w:cs="宋体"/>
          <w:b/>
          <w:bCs/>
          <w:kern w:val="0"/>
          <w:sz w:val="21"/>
          <w:szCs w:val="21"/>
        </w:rPr>
      </w:pPr>
      <w:bookmarkStart w:id="628" w:name="_Toc532377209"/>
      <w:bookmarkEnd w:id="628"/>
      <w:bookmarkStart w:id="629" w:name="_Toc351203523"/>
      <w:r>
        <w:rPr>
          <w:rFonts w:hint="eastAsia" w:ascii="宋体" w:hAnsi="宋体" w:eastAsia="宋体" w:cs="宋体"/>
          <w:b/>
          <w:bCs/>
          <w:kern w:val="0"/>
          <w:sz w:val="21"/>
          <w:szCs w:val="21"/>
        </w:rPr>
        <w:t>3</w:t>
      </w:r>
      <w:bookmarkEnd w:id="629"/>
      <w:bookmarkStart w:id="630" w:name="_Toc337558751"/>
      <w:bookmarkEnd w:id="630"/>
      <w:bookmarkStart w:id="631" w:name="_Toc296503051"/>
      <w:bookmarkEnd w:id="631"/>
      <w:bookmarkStart w:id="632" w:name="_Toc296346552"/>
      <w:r>
        <w:rPr>
          <w:rFonts w:hint="eastAsia" w:ascii="宋体" w:hAnsi="宋体" w:eastAsia="宋体" w:cs="宋体"/>
          <w:b/>
          <w:bCs/>
          <w:kern w:val="0"/>
          <w:sz w:val="21"/>
          <w:szCs w:val="21"/>
        </w:rPr>
        <w:t>.5 分包</w:t>
      </w:r>
      <w:bookmarkEnd w:id="632"/>
    </w:p>
    <w:p w14:paraId="66D1A59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3.5.1 分包的一般约定</w:t>
      </w:r>
    </w:p>
    <w:p w14:paraId="7680837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9311CA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承包人不得以劳务分包的名义转包或违法分包工程。</w:t>
      </w:r>
    </w:p>
    <w:p w14:paraId="283CD4A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3.5.2 分包的确定</w:t>
      </w:r>
    </w:p>
    <w:p w14:paraId="045F1DA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7E0599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3.5.3 分包管理</w:t>
      </w:r>
    </w:p>
    <w:p w14:paraId="614ED0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承包人应向监理人提交分包人的主要施工管理人员表，并对分包人的施工人员进行实名制管理，包括但不限于进出场管理、登记造册以及各种证照的办理。</w:t>
      </w:r>
    </w:p>
    <w:p w14:paraId="74C0D1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3.5.4 分包合同价款</w:t>
      </w:r>
    </w:p>
    <w:p w14:paraId="00D3A31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（1）除本项第（2）目约定的情况或专用合同条款另有约定外，分包合同价款由承包人与分包人结算，未经承包人同意，发包人不得向分包人支付分包工程价款；</w:t>
      </w:r>
    </w:p>
    <w:p w14:paraId="06828E6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（2）生效法律文书要求发包人向分包人支付分包合同价款的，发包人有权从应付承包人工程款中扣除该部分款项。</w:t>
      </w:r>
    </w:p>
    <w:p w14:paraId="58E8285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3.5.5 分包合同权益的转让</w:t>
      </w:r>
    </w:p>
    <w:p w14:paraId="37DAE71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633" w:name="_Toc351203524"/>
      <w:bookmarkEnd w:id="633"/>
    </w:p>
    <w:p w14:paraId="52F65A34">
      <w:pPr>
        <w:widowControl/>
        <w:spacing w:line="360" w:lineRule="auto"/>
        <w:jc w:val="left"/>
        <w:outlineLvl w:val="4"/>
        <w:rPr>
          <w:rFonts w:ascii="宋体" w:hAnsi="宋体" w:eastAsia="宋体" w:cs="宋体"/>
          <w:b/>
          <w:bCs/>
          <w:kern w:val="0"/>
          <w:sz w:val="21"/>
          <w:szCs w:val="21"/>
        </w:rPr>
      </w:pPr>
      <w:bookmarkStart w:id="634" w:name="_Toc532377210"/>
      <w:bookmarkEnd w:id="634"/>
      <w:r>
        <w:rPr>
          <w:rFonts w:hint="eastAsia" w:ascii="宋体" w:hAnsi="宋体" w:eastAsia="宋体" w:cs="宋体"/>
          <w:b/>
          <w:bCs/>
          <w:kern w:val="0"/>
          <w:sz w:val="21"/>
          <w:szCs w:val="21"/>
        </w:rPr>
        <w:t>3.6 工程照管与成品、半成品保护</w:t>
      </w:r>
    </w:p>
    <w:p w14:paraId="743CB1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（1）除专用合同条款另有约定外，自发包人向承包人移交施工现场之日起，承包人应负责照管工程及工程相关的材料、工程设备，直到颁发工程接收证书之日止。</w:t>
      </w:r>
    </w:p>
    <w:p w14:paraId="027AAB6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（2）在承包人负责照管期间，因承包人原因造成工程、材料、工程设备损坏的，由承包人负责修复或更换，并承担由此增加的费用和（或）延误的工期。</w:t>
      </w:r>
    </w:p>
    <w:p w14:paraId="39F073D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6846210A">
      <w:pPr>
        <w:widowControl/>
        <w:spacing w:line="360" w:lineRule="auto"/>
        <w:jc w:val="left"/>
        <w:outlineLvl w:val="4"/>
        <w:rPr>
          <w:rFonts w:ascii="宋体" w:hAnsi="宋体" w:eastAsia="宋体" w:cs="宋体"/>
          <w:b/>
          <w:bCs/>
          <w:kern w:val="0"/>
          <w:sz w:val="21"/>
          <w:szCs w:val="21"/>
        </w:rPr>
      </w:pPr>
      <w:bookmarkStart w:id="635" w:name="_Toc532377211"/>
      <w:bookmarkEnd w:id="635"/>
      <w:bookmarkStart w:id="636" w:name="_Toc351203525"/>
      <w:r>
        <w:rPr>
          <w:rFonts w:hint="eastAsia" w:ascii="宋体" w:hAnsi="宋体" w:eastAsia="宋体" w:cs="宋体"/>
          <w:b/>
          <w:bCs/>
          <w:kern w:val="0"/>
          <w:sz w:val="21"/>
          <w:szCs w:val="21"/>
        </w:rPr>
        <w:t>3</w:t>
      </w:r>
      <w:bookmarkEnd w:id="636"/>
      <w:bookmarkStart w:id="637" w:name="_Toc296503052"/>
      <w:bookmarkEnd w:id="637"/>
      <w:bookmarkStart w:id="638" w:name="_Toc296346553"/>
      <w:bookmarkEnd w:id="638"/>
      <w:bookmarkStart w:id="639" w:name="_Toc337558752"/>
      <w:r>
        <w:rPr>
          <w:rFonts w:hint="eastAsia" w:ascii="宋体" w:hAnsi="宋体" w:eastAsia="宋体" w:cs="宋体"/>
          <w:b/>
          <w:bCs/>
          <w:kern w:val="0"/>
          <w:sz w:val="21"/>
          <w:szCs w:val="21"/>
        </w:rPr>
        <w:t>.7 履约担保</w:t>
      </w:r>
      <w:bookmarkEnd w:id="639"/>
    </w:p>
    <w:p w14:paraId="04132FC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8690AB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因承包人原因导致工期延长的，继续提供履约担保所增加的费用由承包人承担；非因承包人原因导致工期延长的，继续提供履约担保所增加的费用由发包人承担。</w:t>
      </w:r>
    </w:p>
    <w:p w14:paraId="39F53458">
      <w:pPr>
        <w:widowControl/>
        <w:spacing w:line="360" w:lineRule="auto"/>
        <w:jc w:val="left"/>
        <w:outlineLvl w:val="4"/>
        <w:rPr>
          <w:rFonts w:ascii="宋体" w:hAnsi="宋体" w:eastAsia="宋体" w:cs="宋体"/>
          <w:b/>
          <w:bCs/>
          <w:kern w:val="0"/>
          <w:sz w:val="21"/>
          <w:szCs w:val="21"/>
        </w:rPr>
      </w:pPr>
      <w:bookmarkStart w:id="640" w:name="_Toc351203526"/>
      <w:bookmarkEnd w:id="640"/>
      <w:bookmarkStart w:id="641" w:name="_Toc532377212"/>
      <w:r>
        <w:rPr>
          <w:rFonts w:hint="eastAsia" w:ascii="宋体" w:hAnsi="宋体" w:eastAsia="宋体" w:cs="宋体"/>
          <w:b/>
          <w:bCs/>
          <w:kern w:val="0"/>
          <w:sz w:val="21"/>
          <w:szCs w:val="21"/>
        </w:rPr>
        <w:t>3.8 联合体</w:t>
      </w:r>
      <w:bookmarkEnd w:id="641"/>
    </w:p>
    <w:p w14:paraId="53DC812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3.8.1 联合体各方应共同与发包人签订合同协议书。联合体各方应为履行合同向发包人承担连带责任。</w:t>
      </w:r>
    </w:p>
    <w:p w14:paraId="23B5E9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3.8.2 </w:t>
      </w:r>
      <w:r>
        <w:rPr>
          <w:rFonts w:hint="eastAsia" w:ascii="宋体" w:hAnsi="宋体" w:eastAsia="宋体" w:cs="Times New Roman"/>
          <w:sz w:val="21"/>
          <w:szCs w:val="21"/>
        </w:rPr>
        <w:t>共同投标协议</w:t>
      </w:r>
      <w:r>
        <w:rPr>
          <w:rFonts w:hint="eastAsia" w:ascii="宋体" w:hAnsi="宋体" w:eastAsia="宋体" w:cs="Times New Roman"/>
          <w:kern w:val="0"/>
          <w:sz w:val="21"/>
          <w:szCs w:val="21"/>
        </w:rPr>
        <w:t>经发包人确认后作为合同附件。在履行合同过程中，未经发包人同意，不得修改</w:t>
      </w:r>
      <w:r>
        <w:rPr>
          <w:rFonts w:hint="eastAsia" w:ascii="宋体" w:hAnsi="宋体" w:eastAsia="宋体" w:cs="Times New Roman"/>
          <w:sz w:val="21"/>
          <w:szCs w:val="21"/>
        </w:rPr>
        <w:t>共同投标协议</w:t>
      </w:r>
      <w:r>
        <w:rPr>
          <w:rFonts w:hint="eastAsia" w:ascii="宋体" w:hAnsi="宋体" w:eastAsia="宋体" w:cs="Times New Roman"/>
          <w:kern w:val="0"/>
          <w:sz w:val="21"/>
          <w:szCs w:val="21"/>
        </w:rPr>
        <w:t>。</w:t>
      </w:r>
    </w:p>
    <w:p w14:paraId="794A867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3.8.3 联合体牵头人负责与发包人和监理人联系，并接受指示，负责组织联合体各成员全面履行合同。</w:t>
      </w:r>
    </w:p>
    <w:p w14:paraId="7783317E">
      <w:pPr>
        <w:keepNext/>
        <w:keepLines/>
        <w:spacing w:before="156" w:beforeLines="50" w:after="156" w:afterLines="50" w:line="360" w:lineRule="auto"/>
        <w:outlineLvl w:val="3"/>
        <w:rPr>
          <w:rFonts w:ascii="宋体" w:hAnsi="宋体" w:eastAsia="宋体" w:cs="宋体"/>
          <w:b/>
          <w:sz w:val="21"/>
          <w:szCs w:val="21"/>
        </w:rPr>
      </w:pPr>
      <w:bookmarkStart w:id="642" w:name="_Toc532375590"/>
      <w:bookmarkEnd w:id="642"/>
      <w:bookmarkStart w:id="643" w:name="_Toc351203527"/>
      <w:bookmarkEnd w:id="643"/>
      <w:bookmarkStart w:id="644" w:name="_Toc532377213"/>
      <w:r>
        <w:rPr>
          <w:rFonts w:hint="eastAsia" w:ascii="宋体" w:hAnsi="宋体" w:eastAsia="宋体" w:cs="宋体"/>
          <w:b/>
          <w:bCs/>
          <w:sz w:val="21"/>
          <w:szCs w:val="21"/>
        </w:rPr>
        <w:t>4</w:t>
      </w:r>
      <w:bookmarkEnd w:id="644"/>
      <w:bookmarkStart w:id="645" w:name="_Toc296503053"/>
      <w:bookmarkEnd w:id="645"/>
      <w:bookmarkStart w:id="646" w:name="_Toc296346554"/>
      <w:bookmarkEnd w:id="646"/>
      <w:bookmarkStart w:id="647" w:name="_Toc337558753"/>
      <w:r>
        <w:rPr>
          <w:rFonts w:hint="eastAsia" w:ascii="宋体" w:hAnsi="宋体" w:eastAsia="宋体" w:cs="宋体"/>
          <w:b/>
          <w:bCs/>
          <w:sz w:val="21"/>
          <w:szCs w:val="21"/>
        </w:rPr>
        <w:t>. 监</w:t>
      </w:r>
      <w:bookmarkEnd w:id="647"/>
      <w:r>
        <w:rPr>
          <w:rFonts w:hint="eastAsia" w:ascii="宋体" w:hAnsi="宋体" w:eastAsia="宋体" w:cs="宋体"/>
          <w:b/>
          <w:bCs/>
          <w:sz w:val="21"/>
          <w:szCs w:val="21"/>
        </w:rPr>
        <w:t>理人</w:t>
      </w:r>
    </w:p>
    <w:p w14:paraId="53B97A0A">
      <w:pPr>
        <w:widowControl/>
        <w:spacing w:line="360" w:lineRule="auto"/>
        <w:jc w:val="left"/>
        <w:outlineLvl w:val="4"/>
        <w:rPr>
          <w:rFonts w:ascii="宋体" w:hAnsi="宋体" w:eastAsia="宋体" w:cs="宋体"/>
          <w:b/>
          <w:bCs/>
          <w:kern w:val="0"/>
          <w:sz w:val="21"/>
          <w:szCs w:val="21"/>
        </w:rPr>
      </w:pPr>
      <w:bookmarkStart w:id="648" w:name="_Toc532377214"/>
      <w:bookmarkEnd w:id="648"/>
      <w:bookmarkStart w:id="649" w:name="_Toc351203528"/>
      <w:r>
        <w:rPr>
          <w:rFonts w:hint="eastAsia" w:ascii="宋体" w:hAnsi="宋体" w:eastAsia="宋体" w:cs="宋体"/>
          <w:b/>
          <w:bCs/>
          <w:kern w:val="0"/>
          <w:sz w:val="21"/>
          <w:szCs w:val="21"/>
        </w:rPr>
        <w:t>4</w:t>
      </w:r>
      <w:bookmarkEnd w:id="649"/>
      <w:bookmarkStart w:id="650" w:name="_Toc337558754"/>
      <w:bookmarkEnd w:id="650"/>
      <w:bookmarkStart w:id="651" w:name="_Toc296503054"/>
      <w:bookmarkEnd w:id="651"/>
      <w:bookmarkStart w:id="652" w:name="_Toc296346555"/>
      <w:r>
        <w:rPr>
          <w:rFonts w:hint="eastAsia" w:ascii="宋体" w:hAnsi="宋体" w:eastAsia="宋体" w:cs="宋体"/>
          <w:b/>
          <w:bCs/>
          <w:kern w:val="0"/>
          <w:sz w:val="21"/>
          <w:szCs w:val="21"/>
        </w:rPr>
        <w:t>.1监理人的一般规定</w:t>
      </w:r>
      <w:bookmarkEnd w:id="652"/>
    </w:p>
    <w:p w14:paraId="1803EC8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C70DCB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除专用合同条款另有约定外，监理人在施工现场的办公场所、生活场所由承包人提供，所发生的费用由发包人承担。</w:t>
      </w:r>
    </w:p>
    <w:p w14:paraId="62FBC9F4">
      <w:pPr>
        <w:widowControl/>
        <w:spacing w:line="360" w:lineRule="auto"/>
        <w:jc w:val="left"/>
        <w:outlineLvl w:val="4"/>
        <w:rPr>
          <w:rFonts w:ascii="宋体" w:hAnsi="宋体" w:eastAsia="宋体" w:cs="宋体"/>
          <w:b/>
          <w:bCs/>
          <w:kern w:val="0"/>
          <w:sz w:val="21"/>
          <w:szCs w:val="21"/>
        </w:rPr>
      </w:pPr>
      <w:bookmarkStart w:id="653" w:name="_Toc351203529"/>
      <w:bookmarkEnd w:id="653"/>
      <w:bookmarkStart w:id="654" w:name="_Toc532377215"/>
      <w:r>
        <w:rPr>
          <w:rFonts w:hint="eastAsia" w:ascii="宋体" w:hAnsi="宋体" w:eastAsia="宋体" w:cs="宋体"/>
          <w:b/>
          <w:bCs/>
          <w:kern w:val="0"/>
          <w:sz w:val="21"/>
          <w:szCs w:val="21"/>
        </w:rPr>
        <w:t>4</w:t>
      </w:r>
      <w:bookmarkEnd w:id="654"/>
      <w:bookmarkStart w:id="655" w:name="_Toc337558755"/>
      <w:r>
        <w:rPr>
          <w:rFonts w:hint="eastAsia" w:ascii="宋体" w:hAnsi="宋体" w:eastAsia="宋体" w:cs="宋体"/>
          <w:b/>
          <w:bCs/>
          <w:kern w:val="0"/>
          <w:sz w:val="21"/>
          <w:szCs w:val="21"/>
        </w:rPr>
        <w:t>.2监理人员</w:t>
      </w:r>
      <w:bookmarkEnd w:id="655"/>
    </w:p>
    <w:p w14:paraId="0B7E707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5403980">
      <w:pPr>
        <w:widowControl/>
        <w:spacing w:line="360" w:lineRule="auto"/>
        <w:jc w:val="left"/>
        <w:outlineLvl w:val="4"/>
        <w:rPr>
          <w:rFonts w:ascii="宋体" w:hAnsi="宋体" w:eastAsia="宋体" w:cs="宋体"/>
          <w:b/>
          <w:bCs/>
          <w:kern w:val="0"/>
          <w:sz w:val="21"/>
          <w:szCs w:val="21"/>
        </w:rPr>
      </w:pPr>
      <w:bookmarkStart w:id="656" w:name="_Toc351203530"/>
      <w:bookmarkEnd w:id="656"/>
      <w:bookmarkStart w:id="657" w:name="_Toc532377216"/>
      <w:r>
        <w:rPr>
          <w:rFonts w:hint="eastAsia" w:ascii="宋体" w:hAnsi="宋体" w:eastAsia="宋体" w:cs="宋体"/>
          <w:b/>
          <w:bCs/>
          <w:kern w:val="0"/>
          <w:sz w:val="21"/>
          <w:szCs w:val="21"/>
        </w:rPr>
        <w:t>4</w:t>
      </w:r>
      <w:bookmarkEnd w:id="657"/>
      <w:bookmarkStart w:id="658" w:name="_Toc296503055"/>
      <w:bookmarkEnd w:id="658"/>
      <w:bookmarkStart w:id="659" w:name="_Toc296346556"/>
      <w:bookmarkEnd w:id="659"/>
      <w:bookmarkStart w:id="660" w:name="_Toc337558756"/>
      <w:r>
        <w:rPr>
          <w:rFonts w:hint="eastAsia" w:ascii="宋体" w:hAnsi="宋体" w:eastAsia="宋体" w:cs="宋体"/>
          <w:b/>
          <w:bCs/>
          <w:kern w:val="0"/>
          <w:sz w:val="21"/>
          <w:szCs w:val="21"/>
        </w:rPr>
        <w:t>.3</w:t>
      </w:r>
      <w:bookmarkEnd w:id="660"/>
      <w:r>
        <w:rPr>
          <w:rFonts w:hint="eastAsia" w:ascii="宋体" w:hAnsi="宋体" w:eastAsia="宋体" w:cs="宋体"/>
          <w:b/>
          <w:bCs/>
          <w:kern w:val="0"/>
          <w:sz w:val="21"/>
          <w:szCs w:val="21"/>
        </w:rPr>
        <w:t>监理人的指示</w:t>
      </w:r>
    </w:p>
    <w:p w14:paraId="3B200CB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33738B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033C12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承包人对监理人发出的指示有疑问的，应向监理人提出书面异议，监理人应在48小时内对该指示予以确认、更改或撤销，监理人逾期未回复的，承包人有权拒绝执行上述指示。</w:t>
      </w:r>
    </w:p>
    <w:p w14:paraId="451F89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监理人对承包人的任何工作、工程或其采用的材料和工程设备未在约定的或合理期限内提出意见的，视为批准，但不免除或减轻承包人对该工作、工程、材料、工程设备等应承担的责任和义务。</w:t>
      </w:r>
    </w:p>
    <w:p w14:paraId="75774DA4">
      <w:pPr>
        <w:widowControl/>
        <w:spacing w:line="360" w:lineRule="auto"/>
        <w:jc w:val="left"/>
        <w:outlineLvl w:val="4"/>
        <w:rPr>
          <w:rFonts w:ascii="宋体" w:hAnsi="宋体" w:eastAsia="宋体" w:cs="宋体"/>
          <w:b/>
          <w:bCs/>
          <w:kern w:val="0"/>
          <w:sz w:val="21"/>
          <w:szCs w:val="21"/>
        </w:rPr>
      </w:pPr>
      <w:bookmarkStart w:id="661" w:name="_Toc351203531"/>
      <w:bookmarkEnd w:id="661"/>
      <w:bookmarkStart w:id="662" w:name="_Toc532377217"/>
      <w:r>
        <w:rPr>
          <w:rFonts w:hint="eastAsia" w:ascii="宋体" w:hAnsi="宋体" w:eastAsia="宋体" w:cs="宋体"/>
          <w:b/>
          <w:bCs/>
          <w:kern w:val="0"/>
          <w:sz w:val="21"/>
          <w:szCs w:val="21"/>
        </w:rPr>
        <w:t>4</w:t>
      </w:r>
      <w:bookmarkEnd w:id="662"/>
      <w:bookmarkStart w:id="663" w:name="_Toc337558757"/>
      <w:bookmarkEnd w:id="663"/>
      <w:bookmarkStart w:id="664" w:name="_Toc296503057"/>
      <w:bookmarkEnd w:id="664"/>
      <w:bookmarkStart w:id="665" w:name="_Toc296346558"/>
      <w:r>
        <w:rPr>
          <w:rFonts w:hint="eastAsia" w:ascii="宋体" w:hAnsi="宋体" w:eastAsia="宋体" w:cs="宋体"/>
          <w:b/>
          <w:bCs/>
          <w:kern w:val="0"/>
          <w:sz w:val="21"/>
          <w:szCs w:val="21"/>
        </w:rPr>
        <w:t>.4 商定或确定</w:t>
      </w:r>
      <w:bookmarkEnd w:id="665"/>
    </w:p>
    <w:p w14:paraId="0EAE9FE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合同当事人进行商定或确定时，总监理工程师应当会同合同当事人尽量通过协商达成一致，不能达成一致的，由总监理工程师按照合同约定审慎做出公正的确定。</w:t>
      </w:r>
    </w:p>
    <w:p w14:paraId="2E98C03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D2C8668">
      <w:pPr>
        <w:keepNext/>
        <w:keepLines/>
        <w:spacing w:before="156" w:beforeLines="50" w:after="156" w:afterLines="50" w:line="360" w:lineRule="auto"/>
        <w:outlineLvl w:val="3"/>
        <w:rPr>
          <w:rFonts w:ascii="宋体" w:hAnsi="宋体" w:eastAsia="宋体" w:cs="宋体"/>
          <w:b/>
          <w:sz w:val="21"/>
          <w:szCs w:val="21"/>
        </w:rPr>
      </w:pPr>
      <w:bookmarkStart w:id="666" w:name="_Toc532377218"/>
      <w:bookmarkEnd w:id="666"/>
      <w:bookmarkStart w:id="667" w:name="_Toc351203532"/>
      <w:bookmarkEnd w:id="667"/>
      <w:bookmarkStart w:id="668" w:name="_Toc532375591"/>
      <w:r>
        <w:rPr>
          <w:rFonts w:hint="eastAsia" w:ascii="宋体" w:hAnsi="宋体" w:eastAsia="宋体" w:cs="宋体"/>
          <w:b/>
          <w:bCs/>
          <w:sz w:val="21"/>
          <w:szCs w:val="21"/>
        </w:rPr>
        <w:t>5</w:t>
      </w:r>
      <w:bookmarkEnd w:id="668"/>
      <w:bookmarkStart w:id="669" w:name="_Toc337558758"/>
      <w:r>
        <w:rPr>
          <w:rFonts w:hint="eastAsia" w:ascii="宋体" w:hAnsi="宋体" w:eastAsia="宋体" w:cs="宋体"/>
          <w:b/>
          <w:bCs/>
          <w:sz w:val="21"/>
          <w:szCs w:val="21"/>
        </w:rPr>
        <w:t>. 工程质量</w:t>
      </w:r>
      <w:bookmarkEnd w:id="669"/>
    </w:p>
    <w:p w14:paraId="6777B88B">
      <w:pPr>
        <w:widowControl/>
        <w:spacing w:line="360" w:lineRule="auto"/>
        <w:jc w:val="left"/>
        <w:outlineLvl w:val="4"/>
        <w:rPr>
          <w:rFonts w:ascii="宋体" w:hAnsi="宋体" w:eastAsia="宋体" w:cs="宋体"/>
          <w:b/>
          <w:bCs/>
          <w:kern w:val="0"/>
          <w:sz w:val="21"/>
          <w:szCs w:val="21"/>
        </w:rPr>
      </w:pPr>
      <w:bookmarkStart w:id="670" w:name="_Toc351203533"/>
      <w:bookmarkEnd w:id="670"/>
      <w:bookmarkStart w:id="671" w:name="_Toc532377219"/>
      <w:r>
        <w:rPr>
          <w:rFonts w:hint="eastAsia" w:ascii="宋体" w:hAnsi="宋体" w:eastAsia="宋体" w:cs="宋体"/>
          <w:b/>
          <w:bCs/>
          <w:kern w:val="0"/>
          <w:sz w:val="21"/>
          <w:szCs w:val="21"/>
        </w:rPr>
        <w:t>5</w:t>
      </w:r>
      <w:bookmarkEnd w:id="671"/>
      <w:bookmarkStart w:id="672" w:name="_Toc337558759"/>
      <w:r>
        <w:rPr>
          <w:rFonts w:hint="eastAsia" w:ascii="宋体" w:hAnsi="宋体" w:eastAsia="宋体" w:cs="宋体"/>
          <w:b/>
          <w:bCs/>
          <w:kern w:val="0"/>
          <w:sz w:val="21"/>
          <w:szCs w:val="21"/>
        </w:rPr>
        <w:t>.1质量要求</w:t>
      </w:r>
      <w:bookmarkEnd w:id="672"/>
    </w:p>
    <w:p w14:paraId="6EF1DE7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5.1.1 工程质量标准必须符合现行国家有关工程施工质量验收规范和标准的要求。有关工程质量的特殊标准或要求由合同当事人在专用合同条款中约定。</w:t>
      </w:r>
    </w:p>
    <w:p w14:paraId="0307BFE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5.1.2 因发包人原因造成工程质量未达到合同约定标准的，由发包人承担由此增加的费用和（或）延误的工期，并支付承包人合理的利润。</w:t>
      </w:r>
    </w:p>
    <w:p w14:paraId="3773C9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5.1.3 因承包人原因造成工程质量未达到合同约定标准的，发包人有权要求承包人返工直至工程质量达到合同约定的标准为止，并由承包人承担由此增加的费用和（或）延误的工期。</w:t>
      </w:r>
    </w:p>
    <w:p w14:paraId="63CD0D1A">
      <w:pPr>
        <w:widowControl/>
        <w:spacing w:line="360" w:lineRule="auto"/>
        <w:jc w:val="left"/>
        <w:outlineLvl w:val="4"/>
        <w:rPr>
          <w:rFonts w:ascii="宋体" w:hAnsi="宋体" w:eastAsia="宋体" w:cs="宋体"/>
          <w:b/>
          <w:bCs/>
          <w:kern w:val="0"/>
          <w:sz w:val="21"/>
          <w:szCs w:val="21"/>
        </w:rPr>
      </w:pPr>
      <w:bookmarkStart w:id="673" w:name="_Toc532377220"/>
      <w:bookmarkEnd w:id="673"/>
      <w:bookmarkStart w:id="674" w:name="_Toc351203534"/>
      <w:r>
        <w:rPr>
          <w:rFonts w:hint="eastAsia" w:ascii="宋体" w:hAnsi="宋体" w:eastAsia="宋体" w:cs="宋体"/>
          <w:b/>
          <w:bCs/>
          <w:kern w:val="0"/>
          <w:sz w:val="21"/>
          <w:szCs w:val="21"/>
        </w:rPr>
        <w:t>5</w:t>
      </w:r>
      <w:bookmarkEnd w:id="674"/>
      <w:bookmarkStart w:id="675" w:name="_Toc337558760"/>
      <w:r>
        <w:rPr>
          <w:rFonts w:hint="eastAsia" w:ascii="宋体" w:hAnsi="宋体" w:eastAsia="宋体" w:cs="宋体"/>
          <w:b/>
          <w:bCs/>
          <w:kern w:val="0"/>
          <w:sz w:val="21"/>
          <w:szCs w:val="21"/>
        </w:rPr>
        <w:t>.2质量保证措施</w:t>
      </w:r>
      <w:bookmarkEnd w:id="675"/>
    </w:p>
    <w:p w14:paraId="7EF72DC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5.2.1 发包人的质量管理</w:t>
      </w:r>
    </w:p>
    <w:p w14:paraId="4A75F80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发包人应按照法律规定及合同约定完成与工程质量有关的各项工作。</w:t>
      </w:r>
    </w:p>
    <w:p w14:paraId="6E775B6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5.2.2 承包人的质量管理</w:t>
      </w:r>
    </w:p>
    <w:p w14:paraId="4D16ED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A98F63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承包人应对施工人员进行质量教育和技术培训，定期考核施工人员的劳动技能，严格执行施工规范和操作规程。</w:t>
      </w:r>
    </w:p>
    <w:p w14:paraId="4996553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DA9777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5.2.3 监理人的质量检查和检验</w:t>
      </w:r>
    </w:p>
    <w:p w14:paraId="4D889E0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DAD827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FA9A47D">
      <w:pPr>
        <w:widowControl/>
        <w:spacing w:line="360" w:lineRule="auto"/>
        <w:jc w:val="left"/>
        <w:outlineLvl w:val="4"/>
        <w:rPr>
          <w:rFonts w:ascii="宋体" w:hAnsi="宋体" w:eastAsia="宋体" w:cs="宋体"/>
          <w:b/>
          <w:bCs/>
          <w:kern w:val="0"/>
          <w:sz w:val="21"/>
          <w:szCs w:val="21"/>
        </w:rPr>
      </w:pPr>
      <w:bookmarkStart w:id="676" w:name="_Toc532377221"/>
      <w:bookmarkEnd w:id="676"/>
      <w:bookmarkStart w:id="677" w:name="_Toc351203535"/>
      <w:r>
        <w:rPr>
          <w:rFonts w:hint="eastAsia" w:ascii="宋体" w:hAnsi="宋体" w:eastAsia="宋体" w:cs="宋体"/>
          <w:b/>
          <w:bCs/>
          <w:kern w:val="0"/>
          <w:sz w:val="21"/>
          <w:szCs w:val="21"/>
        </w:rPr>
        <w:t>5</w:t>
      </w:r>
      <w:bookmarkEnd w:id="677"/>
      <w:bookmarkStart w:id="678" w:name="_Toc337558761"/>
      <w:r>
        <w:rPr>
          <w:rFonts w:hint="eastAsia" w:ascii="宋体" w:hAnsi="宋体" w:eastAsia="宋体" w:cs="宋体"/>
          <w:b/>
          <w:bCs/>
          <w:kern w:val="0"/>
          <w:sz w:val="21"/>
          <w:szCs w:val="21"/>
        </w:rPr>
        <w:t>.3 隐蔽工程检查</w:t>
      </w:r>
      <w:bookmarkEnd w:id="678"/>
    </w:p>
    <w:p w14:paraId="367D570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5.3.1承包人自检</w:t>
      </w:r>
    </w:p>
    <w:p w14:paraId="0698DC0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承包人应当对工程隐蔽部位进行自检，并经自检确认是否具备覆盖条件。</w:t>
      </w:r>
    </w:p>
    <w:p w14:paraId="60AAF42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5.3.2检查程序</w:t>
      </w:r>
    </w:p>
    <w:p w14:paraId="0240992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7B045D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1588F01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6D8C9E2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5.3.3 重新检查</w:t>
      </w:r>
    </w:p>
    <w:p w14:paraId="65DB497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8D1E37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5.3.4 承包人私自覆盖</w:t>
      </w:r>
    </w:p>
    <w:p w14:paraId="37036BB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承包人未通知监理人到场检查，私自将工程隐蔽部位覆盖的，监理人有权指示承包人钻孔探测或揭开检查，无论工程隐蔽部位质量是否合格，由此增加的费用和（或）延误的工期均由承包人承担。</w:t>
      </w:r>
    </w:p>
    <w:p w14:paraId="1FB8DE03">
      <w:pPr>
        <w:widowControl/>
        <w:spacing w:line="360" w:lineRule="auto"/>
        <w:jc w:val="left"/>
        <w:outlineLvl w:val="4"/>
        <w:rPr>
          <w:rFonts w:ascii="宋体" w:hAnsi="宋体" w:eastAsia="宋体" w:cs="宋体"/>
          <w:b/>
          <w:bCs/>
          <w:kern w:val="0"/>
          <w:sz w:val="21"/>
          <w:szCs w:val="21"/>
        </w:rPr>
      </w:pPr>
      <w:bookmarkStart w:id="679" w:name="_Toc532377222"/>
      <w:bookmarkEnd w:id="679"/>
      <w:r>
        <w:rPr>
          <w:rFonts w:hint="eastAsia" w:ascii="宋体" w:hAnsi="宋体" w:eastAsia="宋体" w:cs="宋体"/>
          <w:b/>
          <w:bCs/>
          <w:kern w:val="0"/>
          <w:sz w:val="21"/>
          <w:szCs w:val="21"/>
        </w:rPr>
        <w:t>5.4不合格工程的处理</w:t>
      </w:r>
    </w:p>
    <w:p w14:paraId="219D702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90C758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5.4.2 因发包人原因造成工程不合格的，由此增加的费用和（或）延误的工期由发包人承担，并支付承包人合理的利润。</w:t>
      </w:r>
    </w:p>
    <w:p w14:paraId="6234ADF8">
      <w:pPr>
        <w:widowControl/>
        <w:spacing w:line="360" w:lineRule="auto"/>
        <w:jc w:val="left"/>
        <w:outlineLvl w:val="4"/>
        <w:rPr>
          <w:rFonts w:ascii="宋体" w:hAnsi="宋体" w:eastAsia="宋体" w:cs="宋体"/>
          <w:b/>
          <w:bCs/>
          <w:kern w:val="0"/>
          <w:sz w:val="21"/>
          <w:szCs w:val="21"/>
        </w:rPr>
      </w:pPr>
      <w:bookmarkStart w:id="680" w:name="_Toc351203537"/>
      <w:bookmarkEnd w:id="680"/>
      <w:bookmarkStart w:id="681" w:name="_Toc532377223"/>
      <w:r>
        <w:rPr>
          <w:rFonts w:hint="eastAsia" w:ascii="宋体" w:hAnsi="宋体" w:eastAsia="宋体" w:cs="宋体"/>
          <w:b/>
          <w:bCs/>
          <w:kern w:val="0"/>
          <w:sz w:val="21"/>
          <w:szCs w:val="21"/>
        </w:rPr>
        <w:t>5.5 质量争议检测</w:t>
      </w:r>
      <w:bookmarkEnd w:id="681"/>
    </w:p>
    <w:p w14:paraId="675EB5E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合同当事人对工程质量有争议的，由双方协商确定的工程质量检测机构鉴定，由此产生的费用及因此造成的损失，由责任方承担。</w:t>
      </w:r>
    </w:p>
    <w:p w14:paraId="6705BE3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合同当事人均有责任的，由双方根据其责任分别承担。合同当事人无法达成一致的，按照第4.4款〔商定或确定〕执行。</w:t>
      </w:r>
    </w:p>
    <w:p w14:paraId="78C89109">
      <w:pPr>
        <w:keepNext/>
        <w:keepLines/>
        <w:spacing w:before="156" w:beforeLines="50" w:after="156" w:afterLines="50" w:line="360" w:lineRule="auto"/>
        <w:outlineLvl w:val="3"/>
        <w:rPr>
          <w:rFonts w:ascii="宋体" w:hAnsi="宋体" w:eastAsia="宋体" w:cs="宋体"/>
          <w:b/>
          <w:sz w:val="21"/>
          <w:szCs w:val="21"/>
        </w:rPr>
      </w:pPr>
      <w:bookmarkStart w:id="682" w:name="_Toc351203538"/>
      <w:bookmarkEnd w:id="682"/>
      <w:bookmarkStart w:id="683" w:name="_Toc532375592"/>
      <w:bookmarkEnd w:id="683"/>
      <w:bookmarkStart w:id="684" w:name="_Toc532377224"/>
      <w:r>
        <w:rPr>
          <w:rFonts w:hint="eastAsia" w:ascii="宋体" w:hAnsi="宋体" w:eastAsia="宋体" w:cs="宋体"/>
          <w:b/>
          <w:bCs/>
          <w:sz w:val="21"/>
          <w:szCs w:val="21"/>
        </w:rPr>
        <w:t>6</w:t>
      </w:r>
      <w:bookmarkEnd w:id="684"/>
      <w:bookmarkStart w:id="685" w:name="_Toc337558763"/>
      <w:r>
        <w:rPr>
          <w:rFonts w:hint="eastAsia" w:ascii="宋体" w:hAnsi="宋体" w:eastAsia="宋体" w:cs="宋体"/>
          <w:b/>
          <w:bCs/>
          <w:sz w:val="21"/>
          <w:szCs w:val="21"/>
        </w:rPr>
        <w:t>. 安全文明施工与环境保护</w:t>
      </w:r>
      <w:bookmarkEnd w:id="685"/>
    </w:p>
    <w:p w14:paraId="0593A1DC">
      <w:pPr>
        <w:widowControl/>
        <w:spacing w:line="360" w:lineRule="auto"/>
        <w:jc w:val="left"/>
        <w:outlineLvl w:val="4"/>
        <w:rPr>
          <w:rFonts w:ascii="宋体" w:hAnsi="宋体" w:eastAsia="宋体" w:cs="宋体"/>
          <w:b/>
          <w:bCs/>
          <w:kern w:val="0"/>
          <w:sz w:val="21"/>
          <w:szCs w:val="21"/>
        </w:rPr>
      </w:pPr>
      <w:bookmarkStart w:id="686" w:name="_Toc351203539"/>
      <w:bookmarkEnd w:id="686"/>
      <w:bookmarkStart w:id="687" w:name="_Toc532377225"/>
      <w:r>
        <w:rPr>
          <w:rFonts w:hint="eastAsia" w:ascii="宋体" w:hAnsi="宋体" w:eastAsia="宋体" w:cs="宋体"/>
          <w:b/>
          <w:bCs/>
          <w:kern w:val="0"/>
          <w:sz w:val="21"/>
          <w:szCs w:val="21"/>
        </w:rPr>
        <w:t>6</w:t>
      </w:r>
      <w:bookmarkEnd w:id="687"/>
      <w:bookmarkStart w:id="688" w:name="_Toc337558764"/>
      <w:r>
        <w:rPr>
          <w:rFonts w:hint="eastAsia" w:ascii="宋体" w:hAnsi="宋体" w:eastAsia="宋体" w:cs="宋体"/>
          <w:b/>
          <w:bCs/>
          <w:kern w:val="0"/>
          <w:sz w:val="21"/>
          <w:szCs w:val="21"/>
        </w:rPr>
        <w:t>.1安全文明施工</w:t>
      </w:r>
      <w:bookmarkEnd w:id="688"/>
    </w:p>
    <w:p w14:paraId="67C589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6.1.1安全生产要求</w:t>
      </w:r>
    </w:p>
    <w:p w14:paraId="3AC6247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09743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114777F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因安全生产需要暂停施工的，按照第7.8款〔暂停施工〕的约定执行。</w:t>
      </w:r>
    </w:p>
    <w:p w14:paraId="5D502D2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6.1.2 安全生产保证措施</w:t>
      </w:r>
    </w:p>
    <w:p w14:paraId="4695FC3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184496A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6.1.3特别安全生产事项</w:t>
      </w:r>
    </w:p>
    <w:p w14:paraId="5E4D73C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DFAC3E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承包人在动力设备、输电线路、地下管道、密封防震车间、易燃易爆地段以及临街交通要道附近施工时，施工开始前应向发包人和监理人提出安全防护措施，经发包人认可后实施。 </w:t>
      </w:r>
    </w:p>
    <w:p w14:paraId="6E5F7D9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7EE08B5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需单独编制危险性较大分部分项专项工程施工方案的，及要求进行专家论证的超过一定规模的危险性较大的分部分项工程，承包人应及时编制和组织论证。</w:t>
      </w:r>
    </w:p>
    <w:p w14:paraId="1785B80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6.1.4 治安保卫</w:t>
      </w:r>
    </w:p>
    <w:p w14:paraId="1268263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除专用合同条款另有约定外，发包人应与当地公安部门协商，在现场建立治安管理机构或联防组织，统一管理施工场地的治安保卫事项，履行合同工程的治安保卫职责。</w:t>
      </w:r>
    </w:p>
    <w:p w14:paraId="0B8D802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发包人和承包人除应协助现场治安管理机构或联防组织维护施工场地的社会治安外，还应做好包括生活区在内的各自管辖区的治安保卫工作。</w:t>
      </w:r>
    </w:p>
    <w:p w14:paraId="1F622A9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1B0F47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6.1.5 文明施工</w:t>
      </w:r>
    </w:p>
    <w:p w14:paraId="25407A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FBD6C3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1030D7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6.1.6 安全文明施工费</w:t>
      </w:r>
    </w:p>
    <w:p w14:paraId="5BF4A6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安全文明施工费由发包人承担，发包人不得以任何形式扣减该部分费用。因基准日期后合同所适用的法律或政府有关规定发生变化，增加的安全文明施工费由发包人承担。</w:t>
      </w:r>
    </w:p>
    <w:p w14:paraId="53E2D9B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5C8069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E7A1B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2D8C1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6.1.7 紧急情况处理</w:t>
      </w:r>
    </w:p>
    <w:p w14:paraId="7D03EE4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8303B6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6.1.8 事故处理</w:t>
      </w:r>
    </w:p>
    <w:p w14:paraId="7D5D11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BDA3E4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6.1.9 安全生产责任</w:t>
      </w:r>
    </w:p>
    <w:p w14:paraId="080679F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6.1.9.1 发包人的安全责任</w:t>
      </w:r>
    </w:p>
    <w:p w14:paraId="44E7E12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发包人应负责赔偿以下各种情况造成的损失：</w:t>
      </w:r>
    </w:p>
    <w:p w14:paraId="000C0D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（1）工程或工程的任何部分对土地的占用所造成的第三者财产损失；</w:t>
      </w:r>
    </w:p>
    <w:p w14:paraId="65429B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（2）由于发包人原因在施工场地及其毗邻地带造成的第三者人身伤亡和财产损失；</w:t>
      </w:r>
    </w:p>
    <w:p w14:paraId="122EDEA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（3）由于发包人原因对承包人、监理人造成的人员人身伤亡和财产损失；</w:t>
      </w:r>
    </w:p>
    <w:p w14:paraId="14120B0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（4）由于发包人原因造成的发包人自身人员的人身伤害以及财产损失。</w:t>
      </w:r>
    </w:p>
    <w:p w14:paraId="6535F22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6.1.9.2 承包人的安全责任</w:t>
      </w:r>
    </w:p>
    <w:p w14:paraId="0D76568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由于承包人原因在施工场地内及其毗邻地带造成的发包人、监理人以及第三者人员伤亡和财产损失，由承包人负责赔偿。</w:t>
      </w:r>
    </w:p>
    <w:p w14:paraId="4C3DF425">
      <w:pPr>
        <w:widowControl/>
        <w:spacing w:line="360" w:lineRule="auto"/>
        <w:jc w:val="left"/>
        <w:outlineLvl w:val="4"/>
        <w:rPr>
          <w:rFonts w:ascii="宋体" w:hAnsi="宋体" w:eastAsia="宋体" w:cs="宋体"/>
          <w:b/>
          <w:bCs/>
          <w:kern w:val="0"/>
          <w:sz w:val="21"/>
          <w:szCs w:val="21"/>
        </w:rPr>
      </w:pPr>
      <w:bookmarkStart w:id="689" w:name="_Toc532377226"/>
      <w:bookmarkEnd w:id="689"/>
      <w:bookmarkStart w:id="690" w:name="_Toc351203540"/>
      <w:r>
        <w:rPr>
          <w:rFonts w:hint="eastAsia" w:ascii="宋体" w:hAnsi="宋体" w:eastAsia="宋体" w:cs="宋体"/>
          <w:b/>
          <w:bCs/>
          <w:kern w:val="0"/>
          <w:sz w:val="21"/>
          <w:szCs w:val="21"/>
        </w:rPr>
        <w:t>6</w:t>
      </w:r>
      <w:bookmarkEnd w:id="690"/>
      <w:bookmarkStart w:id="691" w:name="_Toc337558765"/>
      <w:r>
        <w:rPr>
          <w:rFonts w:hint="eastAsia" w:ascii="宋体" w:hAnsi="宋体" w:eastAsia="宋体" w:cs="宋体"/>
          <w:b/>
          <w:bCs/>
          <w:kern w:val="0"/>
          <w:sz w:val="21"/>
          <w:szCs w:val="21"/>
        </w:rPr>
        <w:t>.2 职业健康</w:t>
      </w:r>
      <w:bookmarkEnd w:id="691"/>
    </w:p>
    <w:p w14:paraId="792EF78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6.2.1 劳动保护</w:t>
      </w:r>
    </w:p>
    <w:p w14:paraId="71B6D64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68492E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F4CC40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承包人应按法律规定安排工作时间，保证其雇佣人员享有休息和休假的权利。因工程施工的特殊需要占用休假日或延长工作时间的，应不超过法律规定的限度，并按法律规定给予补休或付酬。</w:t>
      </w:r>
    </w:p>
    <w:p w14:paraId="6C8FCA3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6.2.2 生活条件</w:t>
      </w:r>
    </w:p>
    <w:p w14:paraId="3FDC3C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ACBF919">
      <w:pPr>
        <w:widowControl/>
        <w:spacing w:line="360" w:lineRule="auto"/>
        <w:jc w:val="left"/>
        <w:outlineLvl w:val="4"/>
        <w:rPr>
          <w:rFonts w:ascii="宋体" w:hAnsi="宋体" w:eastAsia="宋体" w:cs="宋体"/>
          <w:b/>
          <w:bCs/>
          <w:kern w:val="0"/>
          <w:sz w:val="21"/>
          <w:szCs w:val="21"/>
        </w:rPr>
      </w:pPr>
      <w:bookmarkStart w:id="692" w:name="_Toc351203541"/>
      <w:bookmarkEnd w:id="692"/>
      <w:bookmarkStart w:id="693" w:name="_Toc532377227"/>
      <w:r>
        <w:rPr>
          <w:rFonts w:hint="eastAsia" w:ascii="宋体" w:hAnsi="宋体" w:eastAsia="宋体" w:cs="宋体"/>
          <w:b/>
          <w:bCs/>
          <w:kern w:val="0"/>
          <w:sz w:val="21"/>
          <w:szCs w:val="21"/>
        </w:rPr>
        <w:t>6</w:t>
      </w:r>
      <w:bookmarkEnd w:id="693"/>
      <w:bookmarkStart w:id="694" w:name="_Toc337558766"/>
      <w:r>
        <w:rPr>
          <w:rFonts w:hint="eastAsia" w:ascii="宋体" w:hAnsi="宋体" w:eastAsia="宋体" w:cs="宋体"/>
          <w:b/>
          <w:bCs/>
          <w:kern w:val="0"/>
          <w:sz w:val="21"/>
          <w:szCs w:val="21"/>
        </w:rPr>
        <w:t>.3 环境保护</w:t>
      </w:r>
      <w:bookmarkEnd w:id="694"/>
    </w:p>
    <w:p w14:paraId="4F2E69E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66E357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承包人应当承担因其原因引起的环境污染侵权损害赔偿责任，因上述环境污染引起纠纷而导致暂停施工的，由此增加的费用和（或）延误的工期由承包人承担。</w:t>
      </w:r>
    </w:p>
    <w:p w14:paraId="0B3089CA">
      <w:pPr>
        <w:keepNext/>
        <w:keepLines/>
        <w:spacing w:before="156" w:beforeLines="50" w:after="156" w:afterLines="50" w:line="360" w:lineRule="auto"/>
        <w:outlineLvl w:val="3"/>
        <w:rPr>
          <w:rFonts w:ascii="宋体" w:hAnsi="宋体" w:eastAsia="宋体" w:cs="宋体"/>
          <w:b/>
          <w:sz w:val="21"/>
          <w:szCs w:val="21"/>
        </w:rPr>
      </w:pPr>
      <w:bookmarkStart w:id="695" w:name="_Toc532377228"/>
      <w:bookmarkEnd w:id="695"/>
      <w:bookmarkStart w:id="696" w:name="_Toc351203542"/>
      <w:bookmarkEnd w:id="696"/>
      <w:bookmarkStart w:id="697" w:name="_Toc532375593"/>
      <w:r>
        <w:rPr>
          <w:rFonts w:hint="eastAsia" w:ascii="宋体" w:hAnsi="宋体" w:eastAsia="宋体" w:cs="宋体"/>
          <w:b/>
          <w:bCs/>
          <w:sz w:val="21"/>
          <w:szCs w:val="21"/>
        </w:rPr>
        <w:t>7</w:t>
      </w:r>
      <w:bookmarkEnd w:id="697"/>
      <w:bookmarkStart w:id="698" w:name="_Toc337558767"/>
      <w:r>
        <w:rPr>
          <w:rFonts w:hint="eastAsia" w:ascii="宋体" w:hAnsi="宋体" w:eastAsia="宋体" w:cs="宋体"/>
          <w:b/>
          <w:bCs/>
          <w:sz w:val="21"/>
          <w:szCs w:val="21"/>
        </w:rPr>
        <w:t>. 工期和进度</w:t>
      </w:r>
      <w:bookmarkEnd w:id="698"/>
    </w:p>
    <w:p w14:paraId="02992353">
      <w:pPr>
        <w:widowControl/>
        <w:spacing w:line="360" w:lineRule="auto"/>
        <w:jc w:val="left"/>
        <w:outlineLvl w:val="4"/>
        <w:rPr>
          <w:rFonts w:ascii="宋体" w:hAnsi="宋体" w:eastAsia="宋体" w:cs="宋体"/>
          <w:b/>
          <w:bCs/>
          <w:kern w:val="0"/>
          <w:sz w:val="21"/>
          <w:szCs w:val="21"/>
        </w:rPr>
      </w:pPr>
      <w:bookmarkStart w:id="699" w:name="_Toc532377229"/>
      <w:bookmarkEnd w:id="699"/>
      <w:bookmarkStart w:id="700" w:name="_Toc351203543"/>
      <w:r>
        <w:rPr>
          <w:rFonts w:hint="eastAsia" w:ascii="宋体" w:hAnsi="宋体" w:eastAsia="宋体" w:cs="宋体"/>
          <w:b/>
          <w:bCs/>
          <w:kern w:val="0"/>
          <w:sz w:val="21"/>
          <w:szCs w:val="21"/>
        </w:rPr>
        <w:t>7</w:t>
      </w:r>
      <w:bookmarkEnd w:id="700"/>
      <w:bookmarkStart w:id="701" w:name="_Toc296503066"/>
      <w:bookmarkEnd w:id="701"/>
      <w:bookmarkStart w:id="702" w:name="_Toc337558768"/>
      <w:bookmarkEnd w:id="702"/>
      <w:bookmarkStart w:id="703" w:name="_Toc296346567"/>
      <w:r>
        <w:rPr>
          <w:rFonts w:hint="eastAsia" w:ascii="宋体" w:hAnsi="宋体" w:eastAsia="宋体" w:cs="宋体"/>
          <w:b/>
          <w:bCs/>
          <w:kern w:val="0"/>
          <w:sz w:val="21"/>
          <w:szCs w:val="21"/>
        </w:rPr>
        <w:t>.1施工组织设计</w:t>
      </w:r>
      <w:bookmarkEnd w:id="703"/>
    </w:p>
    <w:p w14:paraId="7D94E28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7.1.1 施工组织设计的内容</w:t>
      </w:r>
    </w:p>
    <w:p w14:paraId="4AA633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施工组织设计应包含以下内容：</w:t>
      </w:r>
    </w:p>
    <w:p w14:paraId="4971005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（1）施工方案； </w:t>
      </w:r>
    </w:p>
    <w:p w14:paraId="0A0DED4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（2）施工现场平面布置图；</w:t>
      </w:r>
    </w:p>
    <w:p w14:paraId="47B25D6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（3）施工进度计划和保证措施； </w:t>
      </w:r>
    </w:p>
    <w:p w14:paraId="5DE9723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（4）劳动力及材料供应计划；</w:t>
      </w:r>
    </w:p>
    <w:p w14:paraId="2B071E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（5）施工机械设备的选用；</w:t>
      </w:r>
    </w:p>
    <w:p w14:paraId="5125A35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（6）质量保证体系及措施；</w:t>
      </w:r>
    </w:p>
    <w:p w14:paraId="005B8B7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（7）安全生产、文明施工措施；</w:t>
      </w:r>
    </w:p>
    <w:p w14:paraId="2EB06C3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（8）环境保护、成本控制措施；</w:t>
      </w:r>
    </w:p>
    <w:p w14:paraId="55646E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（9）合同当事人约定的其他内容。</w:t>
      </w:r>
    </w:p>
    <w:p w14:paraId="35A1B12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7.1.2 施工组织设计的提交和修改</w:t>
      </w:r>
    </w:p>
    <w:p w14:paraId="704B018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5E724D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施工进度计划的编制和修改按照第7.2款〔施工进度计划〕执行。</w:t>
      </w:r>
    </w:p>
    <w:p w14:paraId="734882B6">
      <w:pPr>
        <w:widowControl/>
        <w:spacing w:line="360" w:lineRule="auto"/>
        <w:jc w:val="left"/>
        <w:outlineLvl w:val="4"/>
        <w:rPr>
          <w:rFonts w:ascii="宋体" w:hAnsi="宋体" w:eastAsia="宋体" w:cs="宋体"/>
          <w:b/>
          <w:bCs/>
          <w:kern w:val="0"/>
          <w:sz w:val="21"/>
          <w:szCs w:val="21"/>
        </w:rPr>
      </w:pPr>
      <w:bookmarkStart w:id="704" w:name="_Toc532377230"/>
      <w:bookmarkEnd w:id="704"/>
      <w:bookmarkStart w:id="705" w:name="_Toc351203544"/>
      <w:r>
        <w:rPr>
          <w:rFonts w:hint="eastAsia" w:ascii="宋体" w:hAnsi="宋体" w:eastAsia="宋体" w:cs="宋体"/>
          <w:b/>
          <w:bCs/>
          <w:kern w:val="0"/>
          <w:sz w:val="21"/>
          <w:szCs w:val="21"/>
        </w:rPr>
        <w:t>7</w:t>
      </w:r>
      <w:bookmarkEnd w:id="705"/>
      <w:bookmarkStart w:id="706" w:name="_Toc337558769"/>
      <w:r>
        <w:rPr>
          <w:rFonts w:hint="eastAsia" w:ascii="宋体" w:hAnsi="宋体" w:eastAsia="宋体" w:cs="宋体"/>
          <w:b/>
          <w:bCs/>
          <w:kern w:val="0"/>
          <w:sz w:val="21"/>
          <w:szCs w:val="21"/>
        </w:rPr>
        <w:t>.2 施工进度计划</w:t>
      </w:r>
      <w:bookmarkEnd w:id="706"/>
    </w:p>
    <w:p w14:paraId="4B80994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7.2.1 施工进度计划的编制</w:t>
      </w:r>
    </w:p>
    <w:p w14:paraId="7DB9C01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6928E4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7.2.2 施工进度计划的修订</w:t>
      </w:r>
    </w:p>
    <w:p w14:paraId="3E58CCE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FC6F154">
      <w:pPr>
        <w:widowControl/>
        <w:spacing w:line="360" w:lineRule="auto"/>
        <w:jc w:val="left"/>
        <w:outlineLvl w:val="4"/>
        <w:rPr>
          <w:rFonts w:ascii="宋体" w:hAnsi="宋体" w:eastAsia="宋体" w:cs="宋体"/>
          <w:b/>
          <w:bCs/>
          <w:kern w:val="0"/>
          <w:sz w:val="21"/>
          <w:szCs w:val="21"/>
        </w:rPr>
      </w:pPr>
      <w:bookmarkStart w:id="707" w:name="_Toc532377231"/>
      <w:bookmarkEnd w:id="707"/>
      <w:bookmarkStart w:id="708" w:name="_Toc351203545"/>
      <w:r>
        <w:rPr>
          <w:rFonts w:hint="eastAsia" w:ascii="宋体" w:hAnsi="宋体" w:eastAsia="宋体" w:cs="宋体"/>
          <w:b/>
          <w:bCs/>
          <w:kern w:val="0"/>
          <w:sz w:val="21"/>
          <w:szCs w:val="21"/>
        </w:rPr>
        <w:t>7</w:t>
      </w:r>
      <w:bookmarkEnd w:id="708"/>
      <w:bookmarkStart w:id="709" w:name="_Toc337558770"/>
      <w:r>
        <w:rPr>
          <w:rFonts w:hint="eastAsia" w:ascii="宋体" w:hAnsi="宋体" w:eastAsia="宋体" w:cs="宋体"/>
          <w:b/>
          <w:bCs/>
          <w:kern w:val="0"/>
          <w:sz w:val="21"/>
          <w:szCs w:val="21"/>
        </w:rPr>
        <w:t>.3 开工</w:t>
      </w:r>
      <w:bookmarkEnd w:id="709"/>
    </w:p>
    <w:p w14:paraId="628F99E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7.3.1 开工准备</w:t>
      </w:r>
    </w:p>
    <w:p w14:paraId="272B4C6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3BE6A3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除专用合同条款另有约定外，合同当事人应按约定完成开工准备工作。</w:t>
      </w:r>
    </w:p>
    <w:p w14:paraId="057C1D1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7.3.2 开工通知</w:t>
      </w:r>
    </w:p>
    <w:p w14:paraId="1A9DFAB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E6023D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697C350">
      <w:pPr>
        <w:widowControl/>
        <w:spacing w:line="360" w:lineRule="auto"/>
        <w:jc w:val="left"/>
        <w:outlineLvl w:val="4"/>
        <w:rPr>
          <w:rFonts w:ascii="宋体" w:hAnsi="宋体" w:eastAsia="宋体" w:cs="宋体"/>
          <w:b/>
          <w:bCs/>
          <w:kern w:val="0"/>
          <w:sz w:val="21"/>
          <w:szCs w:val="21"/>
        </w:rPr>
      </w:pPr>
      <w:bookmarkStart w:id="710" w:name="_Toc351203546"/>
      <w:bookmarkEnd w:id="710"/>
      <w:bookmarkStart w:id="711" w:name="_Toc532377232"/>
      <w:r>
        <w:rPr>
          <w:rFonts w:hint="eastAsia" w:ascii="宋体" w:hAnsi="宋体" w:eastAsia="宋体" w:cs="宋体"/>
          <w:b/>
          <w:bCs/>
          <w:kern w:val="0"/>
          <w:sz w:val="21"/>
          <w:szCs w:val="21"/>
        </w:rPr>
        <w:t>7.4测量放线</w:t>
      </w:r>
      <w:bookmarkEnd w:id="711"/>
    </w:p>
    <w:p w14:paraId="4682CB7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B65516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FA8045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F2A9DD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施工过程中对施工现场内水准点等测量标志物的保护工作由承包人负责。</w:t>
      </w:r>
      <w:bookmarkStart w:id="712" w:name="_Toc351203547"/>
      <w:bookmarkEnd w:id="712"/>
    </w:p>
    <w:p w14:paraId="3FA97560">
      <w:pPr>
        <w:widowControl/>
        <w:spacing w:line="360" w:lineRule="auto"/>
        <w:jc w:val="left"/>
        <w:outlineLvl w:val="4"/>
        <w:rPr>
          <w:rFonts w:ascii="宋体" w:hAnsi="宋体" w:eastAsia="宋体" w:cs="宋体"/>
          <w:b/>
          <w:bCs/>
          <w:kern w:val="0"/>
          <w:sz w:val="21"/>
          <w:szCs w:val="21"/>
        </w:rPr>
      </w:pPr>
      <w:bookmarkStart w:id="713" w:name="_Toc532377233"/>
      <w:bookmarkEnd w:id="713"/>
      <w:r>
        <w:rPr>
          <w:rFonts w:hint="eastAsia" w:ascii="宋体" w:hAnsi="宋体" w:eastAsia="宋体" w:cs="宋体"/>
          <w:b/>
          <w:bCs/>
          <w:kern w:val="0"/>
          <w:sz w:val="21"/>
          <w:szCs w:val="21"/>
        </w:rPr>
        <w:t>7</w:t>
      </w:r>
      <w:bookmarkStart w:id="714" w:name="_Toc296346574"/>
      <w:bookmarkEnd w:id="714"/>
      <w:bookmarkStart w:id="715" w:name="_Toc337558772"/>
      <w:bookmarkEnd w:id="715"/>
      <w:bookmarkStart w:id="716" w:name="_Toc296503073"/>
      <w:r>
        <w:rPr>
          <w:rFonts w:hint="eastAsia" w:ascii="宋体" w:hAnsi="宋体" w:eastAsia="宋体" w:cs="宋体"/>
          <w:b/>
          <w:bCs/>
          <w:kern w:val="0"/>
          <w:sz w:val="21"/>
          <w:szCs w:val="21"/>
        </w:rPr>
        <w:t>.5 工期延误</w:t>
      </w:r>
      <w:bookmarkEnd w:id="716"/>
    </w:p>
    <w:p w14:paraId="0B5E834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7.5.1 因发包人原因导致工期延误</w:t>
      </w:r>
    </w:p>
    <w:p w14:paraId="4BB3D9D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在合同履行过程中，因下列情况导致工期延误和（或）费用增加的，由发包人承担由此延误的工期和（或）增加的费用，且发包人应支付承包人合理的利润： </w:t>
      </w:r>
    </w:p>
    <w:p w14:paraId="6CD0DC0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（1）发包人未能按合同约定提供图纸或所提供图纸不符合合同约定的；</w:t>
      </w:r>
    </w:p>
    <w:p w14:paraId="6C57AD5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（2）发包人未能按合同约定提供施工现场、施工条件、基础资料、许可、批准等开工条件的；</w:t>
      </w:r>
    </w:p>
    <w:p w14:paraId="117541C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（3）发包人提供的测量基准点、基准线和水准点及其书面资料存在错误或疏漏的；</w:t>
      </w:r>
    </w:p>
    <w:p w14:paraId="3DABDB6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（4）发包人未能在计划开工日期之日起7天内同意下达开工通知的；</w:t>
      </w:r>
    </w:p>
    <w:p w14:paraId="0F5E545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（5）发包人未能按合同约定日期支付工程预付款、进度款或竣工结算款的；</w:t>
      </w:r>
    </w:p>
    <w:p w14:paraId="712D14F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（6）监理人未按合同约定发出指示、批准等文件的；</w:t>
      </w:r>
    </w:p>
    <w:p w14:paraId="44D7FBD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（7）专用合同条款中约定的其他情形。</w:t>
      </w:r>
    </w:p>
    <w:p w14:paraId="70A89B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F5F62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7.5.2 因承包人原因导致工期延误</w:t>
      </w:r>
    </w:p>
    <w:p w14:paraId="3E6F6815">
      <w:pPr>
        <w:autoSpaceDE w:val="0"/>
        <w:autoSpaceDN w:val="0"/>
        <w:spacing w:line="360" w:lineRule="auto"/>
        <w:jc w:val="left"/>
        <w:rPr>
          <w:rFonts w:ascii="宋体" w:hAnsi="宋体" w:eastAsia="宋体" w:cs="Times New Roman"/>
          <w:kern w:val="0"/>
          <w:sz w:val="21"/>
          <w:szCs w:val="21"/>
        </w:rPr>
      </w:pPr>
      <w:bookmarkStart w:id="717" w:name="_Toc296346577"/>
      <w:bookmarkEnd w:id="717"/>
      <w:bookmarkStart w:id="718" w:name="_Toc296503076"/>
      <w:r>
        <w:rPr>
          <w:rFonts w:hint="eastAsia" w:ascii="宋体" w:hAnsi="宋体" w:eastAsia="宋体" w:cs="Times New Roman"/>
          <w:kern w:val="0"/>
          <w:sz w:val="21"/>
          <w:szCs w:val="21"/>
        </w:rPr>
        <w:t>因</w:t>
      </w:r>
      <w:bookmarkEnd w:id="718"/>
      <w:r>
        <w:rPr>
          <w:rFonts w:hint="eastAsia" w:ascii="宋体" w:hAnsi="宋体" w:eastAsia="宋体" w:cs="Times New Roman"/>
          <w:kern w:val="0"/>
          <w:sz w:val="21"/>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61ED8E88">
      <w:pPr>
        <w:widowControl/>
        <w:spacing w:line="360" w:lineRule="auto"/>
        <w:jc w:val="left"/>
        <w:outlineLvl w:val="4"/>
        <w:rPr>
          <w:rFonts w:ascii="宋体" w:hAnsi="宋体" w:eastAsia="宋体" w:cs="宋体"/>
          <w:b/>
          <w:bCs/>
          <w:kern w:val="0"/>
          <w:sz w:val="21"/>
          <w:szCs w:val="21"/>
        </w:rPr>
      </w:pPr>
      <w:bookmarkStart w:id="719" w:name="_Toc532377234"/>
      <w:bookmarkEnd w:id="719"/>
      <w:bookmarkStart w:id="720" w:name="_Toc351203548"/>
      <w:r>
        <w:rPr>
          <w:rFonts w:hint="eastAsia" w:ascii="宋体" w:hAnsi="宋体" w:eastAsia="宋体" w:cs="宋体"/>
          <w:b/>
          <w:bCs/>
          <w:kern w:val="0"/>
          <w:sz w:val="21"/>
          <w:szCs w:val="21"/>
        </w:rPr>
        <w:t>7</w:t>
      </w:r>
      <w:bookmarkEnd w:id="720"/>
      <w:bookmarkStart w:id="721" w:name="_Toc296346575"/>
      <w:bookmarkEnd w:id="721"/>
      <w:bookmarkStart w:id="722" w:name="_Toc296503077"/>
      <w:bookmarkEnd w:id="722"/>
      <w:bookmarkStart w:id="723" w:name="_Toc296503074"/>
      <w:bookmarkEnd w:id="723"/>
      <w:bookmarkStart w:id="724" w:name="_Toc337558773"/>
      <w:bookmarkEnd w:id="724"/>
      <w:bookmarkStart w:id="725" w:name="_Toc296346578"/>
      <w:r>
        <w:rPr>
          <w:rFonts w:hint="eastAsia" w:ascii="宋体" w:hAnsi="宋体" w:eastAsia="宋体" w:cs="宋体"/>
          <w:b/>
          <w:bCs/>
          <w:kern w:val="0"/>
          <w:sz w:val="21"/>
          <w:szCs w:val="21"/>
        </w:rPr>
        <w:t>.6 不利物质条件</w:t>
      </w:r>
      <w:bookmarkEnd w:id="725"/>
    </w:p>
    <w:p w14:paraId="410795F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229CBF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C3CF7E0">
      <w:pPr>
        <w:widowControl/>
        <w:spacing w:line="360" w:lineRule="auto"/>
        <w:jc w:val="left"/>
        <w:outlineLvl w:val="4"/>
        <w:rPr>
          <w:rFonts w:ascii="宋体" w:hAnsi="宋体" w:eastAsia="宋体" w:cs="宋体"/>
          <w:b/>
          <w:bCs/>
          <w:kern w:val="0"/>
          <w:sz w:val="21"/>
          <w:szCs w:val="21"/>
        </w:rPr>
      </w:pPr>
      <w:bookmarkStart w:id="726" w:name="_Toc351203549"/>
      <w:bookmarkEnd w:id="726"/>
      <w:bookmarkStart w:id="727" w:name="_Toc532377235"/>
      <w:r>
        <w:rPr>
          <w:rFonts w:hint="eastAsia" w:ascii="宋体" w:hAnsi="宋体" w:eastAsia="宋体" w:cs="宋体"/>
          <w:b/>
          <w:bCs/>
          <w:kern w:val="0"/>
          <w:sz w:val="21"/>
          <w:szCs w:val="21"/>
        </w:rPr>
        <w:t>7</w:t>
      </w:r>
      <w:bookmarkEnd w:id="727"/>
      <w:bookmarkStart w:id="728" w:name="_Toc337558774"/>
      <w:bookmarkEnd w:id="728"/>
      <w:bookmarkStart w:id="729" w:name="_Toc296503075"/>
      <w:bookmarkEnd w:id="729"/>
      <w:bookmarkStart w:id="730" w:name="_Toc296346576"/>
      <w:r>
        <w:rPr>
          <w:rFonts w:hint="eastAsia" w:ascii="宋体" w:hAnsi="宋体" w:eastAsia="宋体" w:cs="宋体"/>
          <w:b/>
          <w:bCs/>
          <w:kern w:val="0"/>
          <w:sz w:val="21"/>
          <w:szCs w:val="21"/>
        </w:rPr>
        <w:t>.7 异常恶劣的气候条件</w:t>
      </w:r>
      <w:bookmarkEnd w:id="730"/>
    </w:p>
    <w:p w14:paraId="58FBFA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D4A5A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731" w:name="_Toc351203550"/>
      <w:bookmarkEnd w:id="731"/>
    </w:p>
    <w:p w14:paraId="2C3B0199">
      <w:pPr>
        <w:widowControl/>
        <w:spacing w:line="360" w:lineRule="auto"/>
        <w:jc w:val="left"/>
        <w:outlineLvl w:val="4"/>
        <w:rPr>
          <w:rFonts w:ascii="宋体" w:hAnsi="宋体" w:eastAsia="宋体" w:cs="宋体"/>
          <w:b/>
          <w:bCs/>
          <w:kern w:val="0"/>
          <w:sz w:val="21"/>
          <w:szCs w:val="21"/>
        </w:rPr>
      </w:pPr>
      <w:bookmarkStart w:id="732" w:name="_Toc532377236"/>
      <w:bookmarkEnd w:id="732"/>
      <w:r>
        <w:rPr>
          <w:rFonts w:hint="eastAsia" w:ascii="宋体" w:hAnsi="宋体" w:eastAsia="宋体" w:cs="宋体"/>
          <w:b/>
          <w:bCs/>
          <w:kern w:val="0"/>
          <w:sz w:val="21"/>
          <w:szCs w:val="21"/>
        </w:rPr>
        <w:t>7</w:t>
      </w:r>
      <w:bookmarkStart w:id="733" w:name="_Toc337558775"/>
      <w:r>
        <w:rPr>
          <w:rFonts w:hint="eastAsia" w:ascii="宋体" w:hAnsi="宋体" w:eastAsia="宋体" w:cs="宋体"/>
          <w:b/>
          <w:bCs/>
          <w:kern w:val="0"/>
          <w:sz w:val="21"/>
          <w:szCs w:val="21"/>
        </w:rPr>
        <w:t>.8 暂停施工</w:t>
      </w:r>
      <w:bookmarkEnd w:id="733"/>
    </w:p>
    <w:p w14:paraId="6D59863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7.8.1发包人原因引起的暂停施工</w:t>
      </w:r>
    </w:p>
    <w:p w14:paraId="030044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因发包人原因引起暂停施工的，监理人经发包人同意后，应及时下达暂停施工指示。情况紧急且监理人未及时下达暂停施工指示的，按照第7.8.4项〔紧急情况下的暂停施工〕执行。</w:t>
      </w:r>
    </w:p>
    <w:p w14:paraId="4D23834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因发包人原因引起的暂停施工，发包人应承担由此增加的费用和（或）延误的工期，并支付承包人合理的利润。</w:t>
      </w:r>
    </w:p>
    <w:p w14:paraId="781F855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7.8.2 承包人原因引起的暂停施工</w:t>
      </w:r>
    </w:p>
    <w:p w14:paraId="5062C4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117C7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7.8.3 指示暂停施工</w:t>
      </w:r>
    </w:p>
    <w:p w14:paraId="165E044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监理人认为有必要时，并经发包人批准后，可向承包人作出暂停施工的指示，承包人应按监理人指示暂停施工。</w:t>
      </w:r>
    </w:p>
    <w:p w14:paraId="4C1A25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7.8.4 紧急情况下的暂停施工</w:t>
      </w:r>
    </w:p>
    <w:p w14:paraId="6E1ACD3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146028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7.8.5 暂停施工后的复工</w:t>
      </w:r>
    </w:p>
    <w:p w14:paraId="325D62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60416F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承包人无故拖延和拒绝复工的，承包人承担由此增加的费用和（或）延误的工期；因发包人原因无法按时复工的，按照第7.5.1项〔因发包人原因导致工期延误〕约定办理。</w:t>
      </w:r>
    </w:p>
    <w:p w14:paraId="0A45B56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7.8.6 暂停施工持续56天以上</w:t>
      </w:r>
    </w:p>
    <w:p w14:paraId="4605E8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64FC7F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577185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7.8.7 暂停施工期间的工程照管</w:t>
      </w:r>
    </w:p>
    <w:p w14:paraId="3582CDC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暂停施工期间，承包人应负责妥善照管工程并提供安全保障，由此增加的费用由责任方承担。</w:t>
      </w:r>
    </w:p>
    <w:p w14:paraId="1A14EDF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7.8.8 暂停施工的措施</w:t>
      </w:r>
    </w:p>
    <w:p w14:paraId="360E4CF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暂停施工期间，发包人和承包人均应采取必要的措施确保工程质量及安全，防止因暂停施工扩大损失。</w:t>
      </w:r>
    </w:p>
    <w:p w14:paraId="5FCB52F1">
      <w:pPr>
        <w:widowControl/>
        <w:spacing w:line="360" w:lineRule="auto"/>
        <w:jc w:val="left"/>
        <w:outlineLvl w:val="4"/>
        <w:rPr>
          <w:rFonts w:ascii="宋体" w:hAnsi="宋体" w:eastAsia="宋体" w:cs="宋体"/>
          <w:b/>
          <w:bCs/>
          <w:kern w:val="0"/>
          <w:sz w:val="21"/>
          <w:szCs w:val="21"/>
        </w:rPr>
      </w:pPr>
      <w:bookmarkStart w:id="734" w:name="_Toc351203551"/>
      <w:bookmarkEnd w:id="734"/>
      <w:bookmarkStart w:id="735" w:name="_Toc532377237"/>
      <w:r>
        <w:rPr>
          <w:rFonts w:hint="eastAsia" w:ascii="宋体" w:hAnsi="宋体" w:eastAsia="宋体" w:cs="宋体"/>
          <w:b/>
          <w:bCs/>
          <w:kern w:val="0"/>
          <w:sz w:val="21"/>
          <w:szCs w:val="21"/>
        </w:rPr>
        <w:t>7.9提前竣工</w:t>
      </w:r>
      <w:bookmarkEnd w:id="735"/>
    </w:p>
    <w:p w14:paraId="421E0E2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46FDC0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7.9.2 发包人要求承包人提前竣工，或承包人提出提前竣工的建议能够给发包人带来效益的，合同当事人可以在专用合同条款中约定提前竣工的奖励。</w:t>
      </w:r>
    </w:p>
    <w:p w14:paraId="0D1531FC">
      <w:pPr>
        <w:keepNext/>
        <w:keepLines/>
        <w:spacing w:before="156" w:beforeLines="50" w:after="156" w:afterLines="50" w:line="360" w:lineRule="auto"/>
        <w:outlineLvl w:val="3"/>
        <w:rPr>
          <w:rFonts w:ascii="宋体" w:hAnsi="宋体" w:eastAsia="宋体" w:cs="宋体"/>
          <w:b/>
          <w:sz w:val="21"/>
          <w:szCs w:val="21"/>
        </w:rPr>
      </w:pPr>
      <w:bookmarkStart w:id="736" w:name="_Toc351203552"/>
      <w:bookmarkEnd w:id="736"/>
      <w:bookmarkStart w:id="737" w:name="_Toc532377238"/>
      <w:bookmarkEnd w:id="737"/>
      <w:bookmarkStart w:id="738" w:name="_Toc532375594"/>
      <w:r>
        <w:rPr>
          <w:rFonts w:hint="eastAsia" w:ascii="宋体" w:hAnsi="宋体" w:eastAsia="宋体" w:cs="宋体"/>
          <w:b/>
          <w:bCs/>
          <w:sz w:val="21"/>
          <w:szCs w:val="21"/>
        </w:rPr>
        <w:t>8</w:t>
      </w:r>
      <w:bookmarkEnd w:id="738"/>
      <w:bookmarkStart w:id="739" w:name="_Toc337558776"/>
      <w:bookmarkEnd w:id="739"/>
      <w:bookmarkStart w:id="740" w:name="_Toc296346559"/>
      <w:bookmarkEnd w:id="740"/>
      <w:bookmarkStart w:id="741" w:name="_Toc296503058"/>
      <w:r>
        <w:rPr>
          <w:rFonts w:hint="eastAsia" w:ascii="宋体" w:hAnsi="宋体" w:eastAsia="宋体" w:cs="宋体"/>
          <w:b/>
          <w:bCs/>
          <w:sz w:val="21"/>
          <w:szCs w:val="21"/>
        </w:rPr>
        <w:t>. 材料与设备</w:t>
      </w:r>
      <w:bookmarkEnd w:id="741"/>
    </w:p>
    <w:p w14:paraId="30760DA1">
      <w:pPr>
        <w:widowControl/>
        <w:spacing w:line="360" w:lineRule="auto"/>
        <w:jc w:val="left"/>
        <w:outlineLvl w:val="4"/>
        <w:rPr>
          <w:rFonts w:ascii="宋体" w:hAnsi="宋体" w:eastAsia="宋体" w:cs="宋体"/>
          <w:b/>
          <w:bCs/>
          <w:kern w:val="0"/>
          <w:sz w:val="21"/>
          <w:szCs w:val="21"/>
        </w:rPr>
      </w:pPr>
      <w:bookmarkStart w:id="742" w:name="_Toc351203553"/>
      <w:bookmarkEnd w:id="742"/>
      <w:bookmarkStart w:id="743" w:name="_Toc532377239"/>
      <w:bookmarkEnd w:id="743"/>
      <w:r>
        <w:rPr>
          <w:rFonts w:hint="eastAsia" w:ascii="宋体" w:hAnsi="宋体" w:eastAsia="宋体" w:cs="宋体"/>
          <w:b/>
          <w:bCs/>
          <w:kern w:val="0"/>
          <w:sz w:val="21"/>
          <w:szCs w:val="21"/>
        </w:rPr>
        <w:t>8</w:t>
      </w:r>
      <w:bookmarkStart w:id="744" w:name="_Toc296503059"/>
      <w:bookmarkEnd w:id="744"/>
      <w:bookmarkStart w:id="745" w:name="_Toc337558777"/>
      <w:bookmarkEnd w:id="745"/>
      <w:bookmarkStart w:id="746" w:name="_Toc296346560"/>
      <w:bookmarkEnd w:id="746"/>
      <w:bookmarkStart w:id="747" w:name="_Toc468936960"/>
      <w:r>
        <w:rPr>
          <w:rFonts w:hint="eastAsia" w:ascii="宋体" w:hAnsi="宋体" w:eastAsia="宋体" w:cs="宋体"/>
          <w:b/>
          <w:bCs/>
          <w:kern w:val="0"/>
          <w:sz w:val="21"/>
          <w:szCs w:val="21"/>
        </w:rPr>
        <w:t>.1发包人供应材料与工程设备</w:t>
      </w:r>
      <w:bookmarkEnd w:id="747"/>
    </w:p>
    <w:p w14:paraId="77444F1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发包人自行供应材料、工程设备的，应在签订合同时在专用合同条款的附件《发包人供应材料设备一览表》中明确材料、工程设备的品种、规格、型号、数量、单价、质量等级和送达地点。</w:t>
      </w:r>
    </w:p>
    <w:p w14:paraId="59487AF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B7529D2">
      <w:pPr>
        <w:widowControl/>
        <w:spacing w:line="360" w:lineRule="auto"/>
        <w:jc w:val="left"/>
        <w:outlineLvl w:val="4"/>
        <w:rPr>
          <w:rFonts w:ascii="宋体" w:hAnsi="宋体" w:eastAsia="宋体" w:cs="宋体"/>
          <w:b/>
          <w:bCs/>
          <w:kern w:val="0"/>
          <w:sz w:val="21"/>
          <w:szCs w:val="21"/>
        </w:rPr>
      </w:pPr>
      <w:bookmarkStart w:id="748" w:name="_Toc532377240"/>
      <w:bookmarkEnd w:id="748"/>
      <w:r>
        <w:rPr>
          <w:rFonts w:hint="eastAsia" w:ascii="宋体" w:hAnsi="宋体" w:eastAsia="宋体" w:cs="宋体"/>
          <w:b/>
          <w:bCs/>
          <w:kern w:val="0"/>
          <w:sz w:val="21"/>
          <w:szCs w:val="21"/>
        </w:rPr>
        <w:t>8.2承包人采购材料与工程设备</w:t>
      </w:r>
    </w:p>
    <w:p w14:paraId="7A31D67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7795296D">
      <w:pPr>
        <w:widowControl/>
        <w:spacing w:line="360" w:lineRule="auto"/>
        <w:jc w:val="left"/>
        <w:outlineLvl w:val="4"/>
        <w:rPr>
          <w:rFonts w:ascii="宋体" w:hAnsi="宋体" w:eastAsia="宋体" w:cs="宋体"/>
          <w:b/>
          <w:bCs/>
          <w:kern w:val="0"/>
          <w:sz w:val="21"/>
          <w:szCs w:val="21"/>
        </w:rPr>
      </w:pPr>
      <w:bookmarkStart w:id="749" w:name="_Toc351203555"/>
      <w:bookmarkEnd w:id="749"/>
      <w:bookmarkStart w:id="750" w:name="_Toc532377241"/>
      <w:r>
        <w:rPr>
          <w:rFonts w:hint="eastAsia" w:ascii="宋体" w:hAnsi="宋体" w:eastAsia="宋体" w:cs="宋体"/>
          <w:b/>
          <w:bCs/>
          <w:kern w:val="0"/>
          <w:sz w:val="21"/>
          <w:szCs w:val="21"/>
        </w:rPr>
        <w:t>8</w:t>
      </w:r>
      <w:bookmarkEnd w:id="750"/>
      <w:bookmarkStart w:id="751" w:name="_Toc296346562"/>
      <w:bookmarkEnd w:id="751"/>
      <w:bookmarkStart w:id="752" w:name="_Toc337558779"/>
      <w:bookmarkEnd w:id="752"/>
      <w:bookmarkStart w:id="753" w:name="_Toc296503061"/>
      <w:r>
        <w:rPr>
          <w:rFonts w:hint="eastAsia" w:ascii="宋体" w:hAnsi="宋体" w:eastAsia="宋体" w:cs="宋体"/>
          <w:b/>
          <w:bCs/>
          <w:kern w:val="0"/>
          <w:sz w:val="21"/>
          <w:szCs w:val="21"/>
        </w:rPr>
        <w:t>.3材料与工程设备的接收与拒收</w:t>
      </w:r>
      <w:bookmarkEnd w:id="753"/>
    </w:p>
    <w:p w14:paraId="351E362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C58D5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发包人提供的材料和工程设备的规格、数量或质量不符合合同约定的，或因发包人原因导致交货日期延误或交货地点变更等情况的，按照第16.1款〔发包人违约〕约定办理。</w:t>
      </w:r>
    </w:p>
    <w:p w14:paraId="297EF1B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8.3.2 承包人采购的材料和工程设备，应保证产品质量合格，承包人应在材料和工程设备到货前24小时通知监理人检验。承</w:t>
      </w:r>
      <w:bookmarkStart w:id="754" w:name="_Toc250655469"/>
      <w:r>
        <w:rPr>
          <w:rFonts w:hint="eastAsia" w:ascii="宋体" w:hAnsi="宋体" w:eastAsia="宋体" w:cs="Times New Roman"/>
          <w:kern w:val="0"/>
          <w:sz w:val="21"/>
          <w:szCs w:val="21"/>
        </w:rPr>
        <w:t>包人进行永久设备、材料的制造和生产的，应符合相关质量标准，并向监理人提交材料的样本以及有关资料，并应在使用该材料或工程设备之前获得监理人同意。</w:t>
      </w:r>
      <w:bookmarkEnd w:id="754"/>
    </w:p>
    <w:p w14:paraId="0A7FF0E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2F96DD8">
      <w:pPr>
        <w:widowControl/>
        <w:spacing w:line="360" w:lineRule="auto"/>
        <w:jc w:val="left"/>
        <w:outlineLvl w:val="4"/>
        <w:rPr>
          <w:rFonts w:ascii="宋体" w:hAnsi="宋体" w:eastAsia="宋体" w:cs="宋体"/>
          <w:b/>
          <w:bCs/>
          <w:kern w:val="0"/>
          <w:sz w:val="21"/>
          <w:szCs w:val="21"/>
        </w:rPr>
      </w:pPr>
      <w:bookmarkStart w:id="755" w:name="_Toc351203556"/>
      <w:bookmarkEnd w:id="755"/>
      <w:bookmarkStart w:id="756" w:name="_Toc532377242"/>
      <w:r>
        <w:rPr>
          <w:rFonts w:hint="eastAsia" w:ascii="宋体" w:hAnsi="宋体" w:eastAsia="宋体" w:cs="宋体"/>
          <w:b/>
          <w:bCs/>
          <w:kern w:val="0"/>
          <w:sz w:val="21"/>
          <w:szCs w:val="21"/>
        </w:rPr>
        <w:t>8</w:t>
      </w:r>
      <w:bookmarkEnd w:id="756"/>
      <w:bookmarkStart w:id="757" w:name="_Toc296346563"/>
      <w:bookmarkEnd w:id="757"/>
      <w:bookmarkStart w:id="758" w:name="_Toc296503062"/>
      <w:bookmarkEnd w:id="758"/>
      <w:bookmarkStart w:id="759" w:name="_Toc337558780"/>
      <w:r>
        <w:rPr>
          <w:rFonts w:hint="eastAsia" w:ascii="宋体" w:hAnsi="宋体" w:eastAsia="宋体" w:cs="宋体"/>
          <w:b/>
          <w:bCs/>
          <w:kern w:val="0"/>
          <w:sz w:val="21"/>
          <w:szCs w:val="21"/>
        </w:rPr>
        <w:t>.4材料与工程设备的保管与使用</w:t>
      </w:r>
      <w:bookmarkEnd w:id="759"/>
    </w:p>
    <w:p w14:paraId="0F96FC4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8.4.1 发包人供应材料与工程设备的保管与使用</w:t>
      </w:r>
    </w:p>
    <w:p w14:paraId="406907B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F9B2B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发包人供应的材料和工程设备使用前，由承包人负责检验，检验费用由发包人承担，不合格的不得使用。</w:t>
      </w:r>
    </w:p>
    <w:p w14:paraId="76E0AD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8.4.2 承包人采购材料与工程设备的保管与使用</w:t>
      </w:r>
    </w:p>
    <w:p w14:paraId="3E1C3F2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5E6703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发包人或监理人发现承包人使用不符合设计或有关标准要求的材料和工程设备时，有权要求承包人进行修复、拆除或重新采购，由此增加的费用和（或）延误的工期，由承包人承担。</w:t>
      </w:r>
    </w:p>
    <w:p w14:paraId="30633D03">
      <w:pPr>
        <w:widowControl/>
        <w:spacing w:line="360" w:lineRule="auto"/>
        <w:jc w:val="left"/>
        <w:outlineLvl w:val="4"/>
        <w:rPr>
          <w:rFonts w:ascii="宋体" w:hAnsi="宋体" w:eastAsia="宋体" w:cs="宋体"/>
          <w:b/>
          <w:bCs/>
          <w:kern w:val="0"/>
          <w:sz w:val="21"/>
          <w:szCs w:val="21"/>
        </w:rPr>
      </w:pPr>
      <w:bookmarkStart w:id="760" w:name="_Toc351203557"/>
      <w:bookmarkEnd w:id="760"/>
      <w:bookmarkStart w:id="761" w:name="_Toc532377243"/>
      <w:r>
        <w:rPr>
          <w:rFonts w:hint="eastAsia" w:ascii="宋体" w:hAnsi="宋体" w:eastAsia="宋体" w:cs="宋体"/>
          <w:b/>
          <w:bCs/>
          <w:kern w:val="0"/>
          <w:sz w:val="21"/>
          <w:szCs w:val="21"/>
        </w:rPr>
        <w:t>8.5禁止使用不合格的材料和工程设备</w:t>
      </w:r>
      <w:bookmarkEnd w:id="761"/>
    </w:p>
    <w:p w14:paraId="39CE28D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8.5.1 监理人有权拒绝承包人提供的不合格材料或工程设备，并要求承包人立即进行更换。监理人应在更换后再次进行检查和检验，由此增加的费用和（或）延误的工期由承包人承担。</w:t>
      </w:r>
    </w:p>
    <w:p w14:paraId="13357F8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8.5.2 监理人发现承包人使用了不合格的材料和工程设备，承包人应按照监理人的指示立即改正，并禁止在工程中继续使用不合格的材料和工程设备。</w:t>
      </w:r>
    </w:p>
    <w:p w14:paraId="77B1CA0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8.5.3 发包人提供的材料或工程设备不符合合同要求的，承包人有权拒绝，并可要求发包人更换，由此增加的费用和（或）延误的工期由发包人承担，并支付承包人合理的利润。</w:t>
      </w:r>
    </w:p>
    <w:p w14:paraId="54DB6560">
      <w:pPr>
        <w:widowControl/>
        <w:spacing w:line="360" w:lineRule="auto"/>
        <w:jc w:val="left"/>
        <w:outlineLvl w:val="4"/>
        <w:rPr>
          <w:rFonts w:ascii="宋体" w:hAnsi="宋体" w:eastAsia="宋体" w:cs="宋体"/>
          <w:b/>
          <w:bCs/>
          <w:kern w:val="0"/>
          <w:sz w:val="21"/>
          <w:szCs w:val="21"/>
        </w:rPr>
      </w:pPr>
      <w:bookmarkStart w:id="762" w:name="_Toc351203558"/>
      <w:bookmarkEnd w:id="762"/>
      <w:bookmarkStart w:id="763" w:name="_Toc532377244"/>
      <w:r>
        <w:rPr>
          <w:rFonts w:hint="eastAsia" w:ascii="宋体" w:hAnsi="宋体" w:eastAsia="宋体" w:cs="宋体"/>
          <w:b/>
          <w:bCs/>
          <w:kern w:val="0"/>
          <w:sz w:val="21"/>
          <w:szCs w:val="21"/>
        </w:rPr>
        <w:t>8.6 样品</w:t>
      </w:r>
      <w:bookmarkEnd w:id="763"/>
    </w:p>
    <w:p w14:paraId="53E9C2E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8.6.1</w:t>
      </w:r>
      <w:r>
        <w:rPr>
          <w:rFonts w:hint="eastAsia" w:ascii="宋体" w:hAnsi="宋体" w:eastAsia="宋体" w:cs="Times New Roman"/>
          <w:kern w:val="0"/>
          <w:sz w:val="21"/>
          <w:szCs w:val="21"/>
        </w:rPr>
        <w:tab/>
      </w:r>
      <w:r>
        <w:rPr>
          <w:rFonts w:hint="eastAsia" w:ascii="宋体" w:hAnsi="宋体" w:eastAsia="宋体" w:cs="Times New Roman"/>
          <w:kern w:val="0"/>
          <w:sz w:val="21"/>
          <w:szCs w:val="21"/>
        </w:rPr>
        <w:t>样品的报送与封存</w:t>
      </w:r>
    </w:p>
    <w:p w14:paraId="731AF7B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需要承包人报送样品的材料或工程设备，样品的种类、名称、规格、数量等要求均应在专用合同条款中约定。样品的报送程序如下：</w:t>
      </w:r>
    </w:p>
    <w:p w14:paraId="0654074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3BECE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975321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（3）经发包人和监理人审批确认的样品应按约定的方法封样，封存的样品作为检验工程相关部分的标准之一。承包人在施工过程中不得使用与样品不符的材料或工程设备。</w:t>
      </w:r>
    </w:p>
    <w:p w14:paraId="74C89E1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1B175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8.6.2 样品的保管</w:t>
      </w:r>
    </w:p>
    <w:p w14:paraId="603F25C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经批准的样品应由监理人负责封存于现场，承包人应在现场为保存样品提供适当和固定的场所并保持适当和良好的存储环境条件。</w:t>
      </w:r>
    </w:p>
    <w:p w14:paraId="70081CCF">
      <w:pPr>
        <w:widowControl/>
        <w:spacing w:line="360" w:lineRule="auto"/>
        <w:jc w:val="left"/>
        <w:outlineLvl w:val="4"/>
        <w:rPr>
          <w:rFonts w:ascii="宋体" w:hAnsi="宋体" w:eastAsia="宋体" w:cs="宋体"/>
          <w:b/>
          <w:bCs/>
          <w:kern w:val="0"/>
          <w:sz w:val="21"/>
          <w:szCs w:val="21"/>
        </w:rPr>
      </w:pPr>
      <w:bookmarkStart w:id="764" w:name="_Toc532377245"/>
      <w:bookmarkEnd w:id="764"/>
      <w:bookmarkStart w:id="765" w:name="_Toc351203559"/>
      <w:r>
        <w:rPr>
          <w:rFonts w:hint="eastAsia" w:ascii="宋体" w:hAnsi="宋体" w:eastAsia="宋体" w:cs="宋体"/>
          <w:b/>
          <w:bCs/>
          <w:kern w:val="0"/>
          <w:sz w:val="21"/>
          <w:szCs w:val="21"/>
        </w:rPr>
        <w:t>8.7材料与工程设备的替代</w:t>
      </w:r>
      <w:bookmarkEnd w:id="765"/>
    </w:p>
    <w:p w14:paraId="4511B08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8.7.1 出现下列情况需要使用替代材料和工程设备的，承包人应按照第8.7.2项约定的程序执行：</w:t>
      </w:r>
    </w:p>
    <w:p w14:paraId="2706FD1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（1）基准日期后生效的法律规定禁止使用的；</w:t>
      </w:r>
    </w:p>
    <w:p w14:paraId="0A4579D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（2）发包人要求使用替代品的；</w:t>
      </w:r>
    </w:p>
    <w:p w14:paraId="75A63AD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（3）因其他原因必须使用替代品的。</w:t>
      </w:r>
    </w:p>
    <w:p w14:paraId="35F2DAC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8.7.2 承包人应在使用替代材料和工程设备28天前书面通知监理人，并附下列文件：</w:t>
      </w:r>
    </w:p>
    <w:p w14:paraId="067DF3D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（1）被替代的材料和工程设备的名称、数量、规格、型号、品牌、性能、价格及其他相关资料；</w:t>
      </w:r>
    </w:p>
    <w:p w14:paraId="417A277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（2）替代品的名称、数量、规格、型号、品牌、性能、价格及其他相关资料；</w:t>
      </w:r>
    </w:p>
    <w:p w14:paraId="79460C9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（3）替代品与被替代产品之间的差异以及使用替代品可能对工程产生的影响；</w:t>
      </w:r>
    </w:p>
    <w:p w14:paraId="6AD985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（4）替代品与被替代产品的价格差异；</w:t>
      </w:r>
    </w:p>
    <w:p w14:paraId="5CCB12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（5）使用替代品的理由和原因说明；</w:t>
      </w:r>
    </w:p>
    <w:p w14:paraId="153A4E9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（6）监理人要求的其他文件。</w:t>
      </w:r>
    </w:p>
    <w:p w14:paraId="7F386AE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监理人应在收到通知后14天内向承包人发出经发包人签认的书面指示；监理人逾期发出书面指示的，视为发包人和监理人同意使用替代品。</w:t>
      </w:r>
    </w:p>
    <w:p w14:paraId="5E13D57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90C9781">
      <w:pPr>
        <w:widowControl/>
        <w:spacing w:line="360" w:lineRule="auto"/>
        <w:jc w:val="left"/>
        <w:outlineLvl w:val="4"/>
        <w:rPr>
          <w:rFonts w:ascii="宋体" w:hAnsi="宋体" w:eastAsia="宋体" w:cs="宋体"/>
          <w:b/>
          <w:bCs/>
          <w:kern w:val="0"/>
          <w:sz w:val="21"/>
          <w:szCs w:val="21"/>
        </w:rPr>
      </w:pPr>
      <w:bookmarkStart w:id="766" w:name="_Toc532377246"/>
      <w:bookmarkEnd w:id="766"/>
      <w:bookmarkStart w:id="767" w:name="_Toc351203560"/>
      <w:r>
        <w:rPr>
          <w:rFonts w:hint="eastAsia" w:ascii="宋体" w:hAnsi="宋体" w:eastAsia="宋体" w:cs="宋体"/>
          <w:b/>
          <w:bCs/>
          <w:kern w:val="0"/>
          <w:sz w:val="21"/>
          <w:szCs w:val="21"/>
        </w:rPr>
        <w:t>8.8施工设备和临时设施</w:t>
      </w:r>
      <w:bookmarkEnd w:id="767"/>
    </w:p>
    <w:p w14:paraId="0D44725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8.8.1 承包人提供的施工设备和临时设施</w:t>
      </w:r>
    </w:p>
    <w:p w14:paraId="234FCB6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承包人应按合同进度计划的要求，及时配置施工设备和修建临时设施。进入施工场地的承包人设备需经监理人核查后才能投入使用。承包人更换合同约定的承包人设备的，应报监理人批准。</w:t>
      </w:r>
    </w:p>
    <w:p w14:paraId="4C5CC13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除专用合同条款另有约定外，承包人应自行承担修建临时设施的费用，需要临时占地的，应由发包人办理申请手续并承担相应费用。</w:t>
      </w:r>
    </w:p>
    <w:p w14:paraId="6CD94BF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8.8.2发包人提供的施工设备和临时设施</w:t>
      </w:r>
    </w:p>
    <w:p w14:paraId="46C1325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发包人提供的施工设备或临时设施在专用合同条款中约定。</w:t>
      </w:r>
    </w:p>
    <w:p w14:paraId="5BDF2D7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8.8.3要求承包人增加或更换施工设备</w:t>
      </w:r>
    </w:p>
    <w:p w14:paraId="2A33B5C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承包人使用的施工设备不能满足合同进度计划和（或）质量要求时，监理人有权要求承包人增加或更换施工设备，承包人应及时增加或更换，由此增加的费用和（或）延误的工期由承包人承担。</w:t>
      </w:r>
    </w:p>
    <w:p w14:paraId="77BD72A9">
      <w:pPr>
        <w:widowControl/>
        <w:spacing w:line="360" w:lineRule="auto"/>
        <w:jc w:val="left"/>
        <w:outlineLvl w:val="4"/>
        <w:rPr>
          <w:rFonts w:ascii="宋体" w:hAnsi="宋体" w:eastAsia="宋体" w:cs="宋体"/>
          <w:b/>
          <w:bCs/>
          <w:kern w:val="0"/>
          <w:sz w:val="21"/>
          <w:szCs w:val="21"/>
        </w:rPr>
      </w:pPr>
      <w:bookmarkStart w:id="768" w:name="_Toc351203561"/>
      <w:bookmarkEnd w:id="768"/>
      <w:bookmarkStart w:id="769" w:name="_Toc532377247"/>
      <w:r>
        <w:rPr>
          <w:rFonts w:hint="eastAsia" w:ascii="宋体" w:hAnsi="宋体" w:eastAsia="宋体" w:cs="宋体"/>
          <w:b/>
          <w:bCs/>
          <w:kern w:val="0"/>
          <w:sz w:val="21"/>
          <w:szCs w:val="21"/>
        </w:rPr>
        <w:t>8</w:t>
      </w:r>
      <w:bookmarkEnd w:id="769"/>
      <w:bookmarkStart w:id="770" w:name="_Toc296503063"/>
      <w:bookmarkEnd w:id="770"/>
      <w:bookmarkStart w:id="771" w:name="_Toc337558781"/>
      <w:bookmarkEnd w:id="771"/>
      <w:bookmarkStart w:id="772" w:name="_Toc296346564"/>
      <w:r>
        <w:rPr>
          <w:rFonts w:hint="eastAsia" w:ascii="宋体" w:hAnsi="宋体" w:eastAsia="宋体" w:cs="宋体"/>
          <w:b/>
          <w:bCs/>
          <w:kern w:val="0"/>
          <w:sz w:val="21"/>
          <w:szCs w:val="21"/>
        </w:rPr>
        <w:t>.9材料与设备专用</w:t>
      </w:r>
      <w:bookmarkEnd w:id="772"/>
      <w:r>
        <w:rPr>
          <w:rFonts w:hint="eastAsia" w:ascii="宋体" w:hAnsi="宋体" w:eastAsia="宋体" w:cs="宋体"/>
          <w:b/>
          <w:bCs/>
          <w:kern w:val="0"/>
          <w:sz w:val="21"/>
          <w:szCs w:val="21"/>
        </w:rPr>
        <w:t>要求</w:t>
      </w:r>
    </w:p>
    <w:p w14:paraId="05A3A8E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8D9178A">
      <w:pPr>
        <w:keepNext/>
        <w:keepLines/>
        <w:spacing w:before="156" w:beforeLines="50" w:after="156" w:afterLines="50" w:line="360" w:lineRule="auto"/>
        <w:outlineLvl w:val="3"/>
        <w:rPr>
          <w:rFonts w:ascii="宋体" w:hAnsi="宋体" w:eastAsia="宋体" w:cs="宋体"/>
          <w:b/>
          <w:sz w:val="21"/>
          <w:szCs w:val="21"/>
        </w:rPr>
      </w:pPr>
      <w:bookmarkStart w:id="773" w:name="_Toc532375595"/>
      <w:bookmarkEnd w:id="773"/>
      <w:bookmarkStart w:id="774" w:name="_Toc351203562"/>
      <w:bookmarkEnd w:id="774"/>
      <w:bookmarkStart w:id="775" w:name="_Toc532377248"/>
      <w:r>
        <w:rPr>
          <w:rFonts w:hint="eastAsia" w:ascii="宋体" w:hAnsi="宋体" w:eastAsia="宋体" w:cs="宋体"/>
          <w:b/>
          <w:bCs/>
          <w:sz w:val="21"/>
          <w:szCs w:val="21"/>
        </w:rPr>
        <w:t>9</w:t>
      </w:r>
      <w:bookmarkEnd w:id="775"/>
      <w:bookmarkStart w:id="776" w:name="_Toc337558782"/>
      <w:bookmarkEnd w:id="776"/>
      <w:bookmarkStart w:id="777" w:name="_Toc296503083"/>
      <w:bookmarkEnd w:id="777"/>
      <w:bookmarkStart w:id="778" w:name="_Toc296346584"/>
      <w:r>
        <w:rPr>
          <w:rFonts w:hint="eastAsia" w:ascii="宋体" w:hAnsi="宋体" w:eastAsia="宋体" w:cs="宋体"/>
          <w:b/>
          <w:bCs/>
          <w:sz w:val="21"/>
          <w:szCs w:val="21"/>
        </w:rPr>
        <w:t>. 试验与检验</w:t>
      </w:r>
      <w:bookmarkEnd w:id="778"/>
    </w:p>
    <w:p w14:paraId="7F72DC56">
      <w:pPr>
        <w:widowControl/>
        <w:spacing w:line="360" w:lineRule="auto"/>
        <w:jc w:val="left"/>
        <w:outlineLvl w:val="4"/>
        <w:rPr>
          <w:rFonts w:ascii="宋体" w:hAnsi="宋体" w:eastAsia="宋体" w:cs="宋体"/>
          <w:b/>
          <w:bCs/>
          <w:kern w:val="0"/>
          <w:sz w:val="21"/>
          <w:szCs w:val="21"/>
        </w:rPr>
      </w:pPr>
      <w:bookmarkStart w:id="779" w:name="_Toc351203563"/>
      <w:bookmarkEnd w:id="779"/>
      <w:bookmarkStart w:id="780" w:name="_Toc532377249"/>
      <w:r>
        <w:rPr>
          <w:rFonts w:hint="eastAsia" w:ascii="宋体" w:hAnsi="宋体" w:eastAsia="宋体" w:cs="宋体"/>
          <w:b/>
          <w:bCs/>
          <w:kern w:val="0"/>
          <w:sz w:val="21"/>
          <w:szCs w:val="21"/>
        </w:rPr>
        <w:t>9</w:t>
      </w:r>
      <w:bookmarkEnd w:id="780"/>
      <w:bookmarkStart w:id="781" w:name="_Toc337558783"/>
      <w:r>
        <w:rPr>
          <w:rFonts w:hint="eastAsia" w:ascii="宋体" w:hAnsi="宋体" w:eastAsia="宋体" w:cs="宋体"/>
          <w:b/>
          <w:bCs/>
          <w:kern w:val="0"/>
          <w:sz w:val="21"/>
          <w:szCs w:val="21"/>
        </w:rPr>
        <w:t>.1试验设备与试验人员</w:t>
      </w:r>
      <w:bookmarkEnd w:id="781"/>
    </w:p>
    <w:p w14:paraId="7ABD3E6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2087DF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9.1.2 承包人应按专用合同条款的约定提供试验设备、取样装置、试验场所和试验条件，并向监理人提交相应进场计划表。</w:t>
      </w:r>
    </w:p>
    <w:p w14:paraId="2C3A740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承包人配置的试验设备要符合相应试验规程的要求并经过具有资质的检测单位检测，且在正式使用该试验设备前，需要经过监理人与承包人共同校定。</w:t>
      </w:r>
    </w:p>
    <w:p w14:paraId="659EB2C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9.1.3 承包人应向监理人提交试验人员的名单及其岗位、资格等证明资料，试验人员必须能够熟练进行相应的检测试验，承包人对试验人员的试验程序和试验结果的正确性负责。</w:t>
      </w:r>
    </w:p>
    <w:p w14:paraId="32DFC39B">
      <w:pPr>
        <w:widowControl/>
        <w:spacing w:line="360" w:lineRule="auto"/>
        <w:jc w:val="left"/>
        <w:outlineLvl w:val="4"/>
        <w:rPr>
          <w:rFonts w:ascii="宋体" w:hAnsi="宋体" w:eastAsia="宋体" w:cs="宋体"/>
          <w:b/>
          <w:bCs/>
          <w:kern w:val="0"/>
          <w:sz w:val="21"/>
          <w:szCs w:val="21"/>
        </w:rPr>
      </w:pPr>
      <w:bookmarkStart w:id="782" w:name="_Toc532377250"/>
      <w:bookmarkEnd w:id="782"/>
      <w:bookmarkStart w:id="783" w:name="_Toc351203564"/>
      <w:r>
        <w:rPr>
          <w:rFonts w:hint="eastAsia" w:ascii="宋体" w:hAnsi="宋体" w:eastAsia="宋体" w:cs="宋体"/>
          <w:b/>
          <w:bCs/>
          <w:kern w:val="0"/>
          <w:sz w:val="21"/>
          <w:szCs w:val="21"/>
        </w:rPr>
        <w:t>9</w:t>
      </w:r>
      <w:bookmarkEnd w:id="783"/>
      <w:bookmarkStart w:id="784" w:name="_Toc337558784"/>
      <w:r>
        <w:rPr>
          <w:rFonts w:hint="eastAsia" w:ascii="宋体" w:hAnsi="宋体" w:eastAsia="宋体" w:cs="宋体"/>
          <w:b/>
          <w:bCs/>
          <w:kern w:val="0"/>
          <w:sz w:val="21"/>
          <w:szCs w:val="21"/>
        </w:rPr>
        <w:t>.2取样</w:t>
      </w:r>
      <w:bookmarkEnd w:id="784"/>
    </w:p>
    <w:p w14:paraId="337BCC1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试验属于自检性质的，承包人可以单独取样。试验属于监理人抽检性质的，可由监理人取样，也可由承包人的试验人员在监理人的监督下取样。</w:t>
      </w:r>
    </w:p>
    <w:p w14:paraId="668DDDCF">
      <w:pPr>
        <w:widowControl/>
        <w:spacing w:line="360" w:lineRule="auto"/>
        <w:jc w:val="left"/>
        <w:outlineLvl w:val="4"/>
        <w:rPr>
          <w:rFonts w:ascii="宋体" w:hAnsi="宋体" w:eastAsia="宋体" w:cs="宋体"/>
          <w:b/>
          <w:bCs/>
          <w:kern w:val="0"/>
          <w:sz w:val="21"/>
          <w:szCs w:val="21"/>
        </w:rPr>
      </w:pPr>
      <w:bookmarkStart w:id="785" w:name="_Toc351203565"/>
      <w:bookmarkEnd w:id="785"/>
      <w:bookmarkStart w:id="786" w:name="_Toc532377251"/>
      <w:r>
        <w:rPr>
          <w:rFonts w:hint="eastAsia" w:ascii="宋体" w:hAnsi="宋体" w:eastAsia="宋体" w:cs="宋体"/>
          <w:b/>
          <w:bCs/>
          <w:kern w:val="0"/>
          <w:sz w:val="21"/>
          <w:szCs w:val="21"/>
        </w:rPr>
        <w:t>9</w:t>
      </w:r>
      <w:bookmarkEnd w:id="786"/>
      <w:bookmarkStart w:id="787" w:name="_Toc337558785"/>
      <w:r>
        <w:rPr>
          <w:rFonts w:hint="eastAsia" w:ascii="宋体" w:hAnsi="宋体" w:eastAsia="宋体" w:cs="宋体"/>
          <w:b/>
          <w:bCs/>
          <w:kern w:val="0"/>
          <w:sz w:val="21"/>
          <w:szCs w:val="21"/>
        </w:rPr>
        <w:t>.3材料、工程设备和工程的试验和检验</w:t>
      </w:r>
      <w:bookmarkEnd w:id="787"/>
    </w:p>
    <w:p w14:paraId="7EEAEFC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DA81E0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CD616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CC9277B">
      <w:pPr>
        <w:widowControl/>
        <w:spacing w:line="360" w:lineRule="auto"/>
        <w:jc w:val="left"/>
        <w:outlineLvl w:val="4"/>
        <w:rPr>
          <w:rFonts w:ascii="宋体" w:hAnsi="宋体" w:eastAsia="宋体" w:cs="宋体"/>
          <w:b/>
          <w:bCs/>
          <w:kern w:val="0"/>
          <w:sz w:val="21"/>
          <w:szCs w:val="21"/>
        </w:rPr>
      </w:pPr>
      <w:bookmarkStart w:id="788" w:name="_Toc351203566"/>
      <w:bookmarkEnd w:id="788"/>
      <w:bookmarkStart w:id="789" w:name="_Toc532377252"/>
      <w:r>
        <w:rPr>
          <w:rFonts w:hint="eastAsia" w:ascii="宋体" w:hAnsi="宋体" w:eastAsia="宋体" w:cs="宋体"/>
          <w:b/>
          <w:bCs/>
          <w:kern w:val="0"/>
          <w:sz w:val="21"/>
          <w:szCs w:val="21"/>
        </w:rPr>
        <w:t>9</w:t>
      </w:r>
      <w:bookmarkEnd w:id="789"/>
      <w:bookmarkStart w:id="790" w:name="_Toc337558786"/>
      <w:r>
        <w:rPr>
          <w:rFonts w:hint="eastAsia" w:ascii="宋体" w:hAnsi="宋体" w:eastAsia="宋体" w:cs="宋体"/>
          <w:b/>
          <w:bCs/>
          <w:kern w:val="0"/>
          <w:sz w:val="21"/>
          <w:szCs w:val="21"/>
        </w:rPr>
        <w:t>.4现场工艺试验</w:t>
      </w:r>
      <w:bookmarkEnd w:id="790"/>
    </w:p>
    <w:p w14:paraId="5322BB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承包人应按合同约定或监理人指示进行现场工艺试验。对大型的现场工艺试验，监理人认为必要时，承包人应根据监理人提出的工艺试验要求，编制工艺试验措施计划，报送监理人审查。</w:t>
      </w:r>
    </w:p>
    <w:p w14:paraId="47E19871">
      <w:pPr>
        <w:keepNext/>
        <w:keepLines/>
        <w:spacing w:before="156" w:beforeLines="50" w:after="156" w:afterLines="50" w:line="360" w:lineRule="auto"/>
        <w:outlineLvl w:val="3"/>
        <w:rPr>
          <w:rFonts w:ascii="宋体" w:hAnsi="宋体" w:eastAsia="宋体" w:cs="宋体"/>
          <w:b/>
          <w:sz w:val="21"/>
          <w:szCs w:val="21"/>
        </w:rPr>
      </w:pPr>
      <w:bookmarkStart w:id="791" w:name="_Toc532375596"/>
      <w:bookmarkEnd w:id="791"/>
      <w:bookmarkStart w:id="792" w:name="_Toc351203567"/>
      <w:bookmarkEnd w:id="792"/>
      <w:bookmarkStart w:id="793" w:name="_Toc532377253"/>
      <w:r>
        <w:rPr>
          <w:rFonts w:hint="eastAsia" w:ascii="宋体" w:hAnsi="宋体" w:eastAsia="宋体" w:cs="宋体"/>
          <w:b/>
          <w:bCs/>
          <w:sz w:val="21"/>
          <w:szCs w:val="21"/>
        </w:rPr>
        <w:t>1</w:t>
      </w:r>
      <w:bookmarkEnd w:id="793"/>
      <w:bookmarkStart w:id="794" w:name="_Toc337558787"/>
      <w:r>
        <w:rPr>
          <w:rFonts w:hint="eastAsia" w:ascii="宋体" w:hAnsi="宋体" w:eastAsia="宋体" w:cs="宋体"/>
          <w:b/>
          <w:bCs/>
          <w:sz w:val="21"/>
          <w:szCs w:val="21"/>
        </w:rPr>
        <w:t>0. 变更</w:t>
      </w:r>
      <w:bookmarkEnd w:id="794"/>
    </w:p>
    <w:p w14:paraId="6F69C7DE">
      <w:pPr>
        <w:widowControl/>
        <w:spacing w:line="360" w:lineRule="auto"/>
        <w:jc w:val="left"/>
        <w:outlineLvl w:val="4"/>
        <w:rPr>
          <w:rFonts w:ascii="宋体" w:hAnsi="宋体" w:eastAsia="宋体" w:cs="宋体"/>
          <w:b/>
          <w:bCs/>
          <w:kern w:val="0"/>
          <w:sz w:val="21"/>
          <w:szCs w:val="21"/>
        </w:rPr>
      </w:pPr>
      <w:bookmarkStart w:id="795" w:name="_Toc532377254"/>
      <w:bookmarkEnd w:id="795"/>
      <w:bookmarkStart w:id="796" w:name="_Toc351203568"/>
      <w:r>
        <w:rPr>
          <w:rFonts w:hint="eastAsia" w:ascii="宋体" w:hAnsi="宋体" w:eastAsia="宋体" w:cs="宋体"/>
          <w:b/>
          <w:bCs/>
          <w:kern w:val="0"/>
          <w:sz w:val="21"/>
          <w:szCs w:val="21"/>
        </w:rPr>
        <w:t>1</w:t>
      </w:r>
      <w:bookmarkEnd w:id="796"/>
      <w:bookmarkStart w:id="797" w:name="_Toc296346585"/>
      <w:bookmarkEnd w:id="797"/>
      <w:bookmarkStart w:id="798" w:name="_Toc296503084"/>
      <w:bookmarkEnd w:id="798"/>
      <w:bookmarkStart w:id="799" w:name="_Toc337558788"/>
      <w:r>
        <w:rPr>
          <w:rFonts w:hint="eastAsia" w:ascii="宋体" w:hAnsi="宋体" w:eastAsia="宋体" w:cs="宋体"/>
          <w:b/>
          <w:bCs/>
          <w:kern w:val="0"/>
          <w:sz w:val="21"/>
          <w:szCs w:val="21"/>
        </w:rPr>
        <w:t>0.1变更的范围</w:t>
      </w:r>
      <w:bookmarkEnd w:id="799"/>
    </w:p>
    <w:p w14:paraId="3DAF0D8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除专用合同条款另有约定外，合同履行过程中发生以下情形的，应按照本条约定进行变更：</w:t>
      </w:r>
    </w:p>
    <w:p w14:paraId="7F1F870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（1）增加或减少合同中任何工作，或追加额外的工作；</w:t>
      </w:r>
    </w:p>
    <w:p w14:paraId="1083C0D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（2）取消合同中任何工作，但转由他人实施的工作除外；</w:t>
      </w:r>
    </w:p>
    <w:p w14:paraId="6D7099B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（3）改变合同中任何工作的质量标准或其他特性；</w:t>
      </w:r>
    </w:p>
    <w:p w14:paraId="5D37132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（4）改变工程的基线、标高、位置和尺寸；</w:t>
      </w:r>
    </w:p>
    <w:p w14:paraId="6FAA333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（5）改变工程的时间安排或实施顺序。</w:t>
      </w:r>
    </w:p>
    <w:p w14:paraId="7DFE57B0">
      <w:pPr>
        <w:widowControl/>
        <w:spacing w:line="360" w:lineRule="auto"/>
        <w:jc w:val="left"/>
        <w:outlineLvl w:val="4"/>
        <w:rPr>
          <w:rFonts w:ascii="宋体" w:hAnsi="宋体" w:eastAsia="宋体" w:cs="宋体"/>
          <w:b/>
          <w:bCs/>
          <w:kern w:val="0"/>
          <w:sz w:val="21"/>
          <w:szCs w:val="21"/>
        </w:rPr>
      </w:pPr>
      <w:bookmarkStart w:id="800" w:name="_Toc532377255"/>
      <w:bookmarkEnd w:id="800"/>
      <w:r>
        <w:rPr>
          <w:rFonts w:hint="eastAsia" w:ascii="宋体" w:hAnsi="宋体" w:eastAsia="宋体" w:cs="宋体"/>
          <w:b/>
          <w:bCs/>
          <w:kern w:val="0"/>
          <w:sz w:val="21"/>
          <w:szCs w:val="21"/>
        </w:rPr>
        <w:t>10.2变更权</w:t>
      </w:r>
    </w:p>
    <w:p w14:paraId="6912298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FC63D0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涉及设计变更的，应由设计人提供变更后的图纸和说明。如变更超过原设计标准或批准的建设规模时，发包人应及时办理规划、设计变更等审批手续。</w:t>
      </w:r>
    </w:p>
    <w:p w14:paraId="13CB798E">
      <w:pPr>
        <w:widowControl/>
        <w:spacing w:line="360" w:lineRule="auto"/>
        <w:jc w:val="left"/>
        <w:outlineLvl w:val="4"/>
        <w:rPr>
          <w:rFonts w:ascii="宋体" w:hAnsi="宋体" w:eastAsia="宋体" w:cs="宋体"/>
          <w:b/>
          <w:bCs/>
          <w:kern w:val="0"/>
          <w:sz w:val="21"/>
          <w:szCs w:val="21"/>
        </w:rPr>
      </w:pPr>
      <w:bookmarkStart w:id="801" w:name="_Toc532377256"/>
      <w:bookmarkEnd w:id="801"/>
      <w:r>
        <w:rPr>
          <w:rFonts w:hint="eastAsia" w:ascii="宋体" w:hAnsi="宋体" w:eastAsia="宋体" w:cs="宋体"/>
          <w:b/>
          <w:bCs/>
          <w:kern w:val="0"/>
          <w:sz w:val="21"/>
          <w:szCs w:val="21"/>
        </w:rPr>
        <w:t>10.3变更程序</w:t>
      </w:r>
    </w:p>
    <w:p w14:paraId="3DD7D47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10.3.1 发包人提出变更</w:t>
      </w:r>
    </w:p>
    <w:p w14:paraId="76DD55B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发包人提出变更的，应通过监理人向承包人发出变更指示，变更指示应说明计划变更的工程范围和变更的内容。</w:t>
      </w:r>
    </w:p>
    <w:p w14:paraId="3C03A61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10.3.2 监理人提出变更建议</w:t>
      </w:r>
    </w:p>
    <w:p w14:paraId="26CBD90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5A12EA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10.3.3 变更执行</w:t>
      </w:r>
    </w:p>
    <w:p w14:paraId="4AB9BEC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BF89922">
      <w:pPr>
        <w:widowControl/>
        <w:spacing w:line="360" w:lineRule="auto"/>
        <w:jc w:val="left"/>
        <w:outlineLvl w:val="4"/>
        <w:rPr>
          <w:rFonts w:ascii="宋体" w:hAnsi="宋体" w:eastAsia="宋体" w:cs="宋体"/>
          <w:b/>
          <w:bCs/>
          <w:kern w:val="0"/>
          <w:sz w:val="21"/>
          <w:szCs w:val="21"/>
        </w:rPr>
      </w:pPr>
      <w:bookmarkStart w:id="802" w:name="_Toc351203571"/>
      <w:bookmarkEnd w:id="802"/>
      <w:bookmarkStart w:id="803" w:name="_Toc532377257"/>
      <w:r>
        <w:rPr>
          <w:rFonts w:hint="eastAsia" w:ascii="宋体" w:hAnsi="宋体" w:eastAsia="宋体" w:cs="宋体"/>
          <w:b/>
          <w:bCs/>
          <w:kern w:val="0"/>
          <w:sz w:val="21"/>
          <w:szCs w:val="21"/>
        </w:rPr>
        <w:t>1</w:t>
      </w:r>
      <w:bookmarkEnd w:id="803"/>
      <w:bookmarkStart w:id="804" w:name="_Toc296503087"/>
      <w:bookmarkEnd w:id="804"/>
      <w:bookmarkStart w:id="805" w:name="_Toc337558791"/>
      <w:bookmarkEnd w:id="805"/>
      <w:bookmarkStart w:id="806" w:name="_Toc296346588"/>
      <w:r>
        <w:rPr>
          <w:rFonts w:hint="eastAsia" w:ascii="宋体" w:hAnsi="宋体" w:eastAsia="宋体" w:cs="宋体"/>
          <w:b/>
          <w:bCs/>
          <w:kern w:val="0"/>
          <w:sz w:val="21"/>
          <w:szCs w:val="21"/>
        </w:rPr>
        <w:t>0.4变更估价</w:t>
      </w:r>
      <w:bookmarkEnd w:id="806"/>
    </w:p>
    <w:p w14:paraId="15DE3D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10.4.1 变更估价原则</w:t>
      </w:r>
    </w:p>
    <w:p w14:paraId="673960D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除专用合同条款另有约定外，变更估价按照本款约定处理：</w:t>
      </w:r>
    </w:p>
    <w:p w14:paraId="69EC139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（1）已标价工程量清单或预算书有相同项目的，按照相同项目单价认定；</w:t>
      </w:r>
    </w:p>
    <w:p w14:paraId="00A941E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（2）已标价工程量清单或预算书中无相同项目，但有类似项目的，参照类似项目的单价认定；</w:t>
      </w:r>
    </w:p>
    <w:p w14:paraId="6AEADC2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75124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10.4.2 变更估价程序</w:t>
      </w:r>
    </w:p>
    <w:p w14:paraId="26FD59C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45E257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因变更引起的价格调整应计入最近一期的进度款中支付。</w:t>
      </w:r>
    </w:p>
    <w:p w14:paraId="1959A46B">
      <w:pPr>
        <w:widowControl/>
        <w:spacing w:line="360" w:lineRule="auto"/>
        <w:jc w:val="left"/>
        <w:outlineLvl w:val="4"/>
        <w:rPr>
          <w:rFonts w:ascii="宋体" w:hAnsi="宋体" w:eastAsia="宋体" w:cs="宋体"/>
          <w:b/>
          <w:bCs/>
          <w:kern w:val="0"/>
          <w:sz w:val="21"/>
          <w:szCs w:val="21"/>
        </w:rPr>
      </w:pPr>
      <w:bookmarkStart w:id="807" w:name="_Toc532377258"/>
      <w:bookmarkEnd w:id="807"/>
      <w:bookmarkStart w:id="808" w:name="_Toc351203572"/>
      <w:r>
        <w:rPr>
          <w:rFonts w:hint="eastAsia" w:ascii="宋体" w:hAnsi="宋体" w:eastAsia="宋体" w:cs="宋体"/>
          <w:b/>
          <w:bCs/>
          <w:kern w:val="0"/>
          <w:sz w:val="21"/>
          <w:szCs w:val="21"/>
        </w:rPr>
        <w:t>1</w:t>
      </w:r>
      <w:bookmarkEnd w:id="808"/>
      <w:bookmarkStart w:id="809" w:name="_Toc296503094"/>
      <w:bookmarkEnd w:id="809"/>
      <w:bookmarkStart w:id="810" w:name="_Toc296346595"/>
      <w:bookmarkEnd w:id="810"/>
      <w:bookmarkStart w:id="811" w:name="_Toc337558792"/>
      <w:r>
        <w:rPr>
          <w:rFonts w:hint="eastAsia" w:ascii="宋体" w:hAnsi="宋体" w:eastAsia="宋体" w:cs="宋体"/>
          <w:b/>
          <w:bCs/>
          <w:kern w:val="0"/>
          <w:sz w:val="21"/>
          <w:szCs w:val="21"/>
        </w:rPr>
        <w:t>0.5承包人的合理化建议</w:t>
      </w:r>
      <w:bookmarkEnd w:id="811"/>
    </w:p>
    <w:p w14:paraId="1A6A694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承包人提出合理化建议的，应向监理人提交合理化建议说明，说明建议的内容和理由，以及实施该建议对合同价格和工期的影响。</w:t>
      </w:r>
    </w:p>
    <w:p w14:paraId="070E0D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199330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合理化建议降低了合同价格或者提高了工程经济效益的，发包人可对承包人给予奖励，奖励的方法和金额在专用合同条款中约定。</w:t>
      </w:r>
    </w:p>
    <w:p w14:paraId="3E0B7763">
      <w:pPr>
        <w:widowControl/>
        <w:spacing w:line="360" w:lineRule="auto"/>
        <w:jc w:val="left"/>
        <w:outlineLvl w:val="4"/>
        <w:rPr>
          <w:rFonts w:ascii="宋体" w:hAnsi="宋体" w:eastAsia="宋体" w:cs="宋体"/>
          <w:b/>
          <w:bCs/>
          <w:kern w:val="0"/>
          <w:sz w:val="21"/>
          <w:szCs w:val="21"/>
        </w:rPr>
      </w:pPr>
      <w:bookmarkStart w:id="812" w:name="_Toc532377259"/>
      <w:bookmarkEnd w:id="812"/>
      <w:bookmarkStart w:id="813" w:name="_Toc351203573"/>
      <w:r>
        <w:rPr>
          <w:rFonts w:hint="eastAsia" w:ascii="宋体" w:hAnsi="宋体" w:eastAsia="宋体" w:cs="宋体"/>
          <w:b/>
          <w:bCs/>
          <w:kern w:val="0"/>
          <w:sz w:val="21"/>
          <w:szCs w:val="21"/>
        </w:rPr>
        <w:t>1</w:t>
      </w:r>
      <w:bookmarkEnd w:id="813"/>
      <w:bookmarkStart w:id="814" w:name="_Toc337558793"/>
      <w:r>
        <w:rPr>
          <w:rFonts w:hint="eastAsia" w:ascii="宋体" w:hAnsi="宋体" w:eastAsia="宋体" w:cs="宋体"/>
          <w:b/>
          <w:bCs/>
          <w:kern w:val="0"/>
          <w:sz w:val="21"/>
          <w:szCs w:val="21"/>
        </w:rPr>
        <w:t>0.6变更引起的工期调整</w:t>
      </w:r>
      <w:bookmarkEnd w:id="814"/>
    </w:p>
    <w:p w14:paraId="1D10CA1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因变更引起工期变化的，合同当事人均可要求调整合同工期，由合同当事人按照第4.4款〔商定或确定〕并参考工程所在地的工期定额标准确定增减工期天数。</w:t>
      </w:r>
    </w:p>
    <w:p w14:paraId="0BCD642D">
      <w:pPr>
        <w:widowControl/>
        <w:spacing w:line="360" w:lineRule="auto"/>
        <w:jc w:val="left"/>
        <w:outlineLvl w:val="4"/>
        <w:rPr>
          <w:rFonts w:ascii="宋体" w:hAnsi="宋体" w:eastAsia="宋体" w:cs="宋体"/>
          <w:b/>
          <w:bCs/>
          <w:kern w:val="0"/>
          <w:sz w:val="21"/>
          <w:szCs w:val="21"/>
        </w:rPr>
      </w:pPr>
      <w:bookmarkStart w:id="815" w:name="_Toc532377260"/>
      <w:bookmarkEnd w:id="815"/>
      <w:bookmarkStart w:id="816" w:name="_Toc351203574"/>
      <w:r>
        <w:rPr>
          <w:rFonts w:hint="eastAsia" w:ascii="宋体" w:hAnsi="宋体" w:eastAsia="宋体" w:cs="宋体"/>
          <w:b/>
          <w:bCs/>
          <w:kern w:val="0"/>
          <w:sz w:val="21"/>
          <w:szCs w:val="21"/>
        </w:rPr>
        <w:t>10.7暂估价</w:t>
      </w:r>
      <w:bookmarkEnd w:id="816"/>
    </w:p>
    <w:p w14:paraId="183F32C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暂估价专业分包工程、服务、材料和工程设备的明细由合同当事人在专用合同条款中约定。</w:t>
      </w:r>
    </w:p>
    <w:p w14:paraId="1BDFC0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10.7.1 依法必须招标的暂估价项目</w:t>
      </w:r>
    </w:p>
    <w:p w14:paraId="28B5333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对于依法必须招标的暂估价项目，采取以下第1种方式确定。合同当事人也可以在专用合同条款中选择其他招标方式。</w:t>
      </w:r>
    </w:p>
    <w:p w14:paraId="241957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第1种方式：对于依法必须招标的暂估价项目，由承包人招标，对该暂估价项目的确认和批准按照以下约定执行：</w:t>
      </w:r>
    </w:p>
    <w:p w14:paraId="213D86E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1AA72C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08BF688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CEE154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C4D3E3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10.7.2不属于依法必须招标的暂估价项目</w:t>
      </w:r>
    </w:p>
    <w:p w14:paraId="1D9A50F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除专用合同条款另有约定外，对于不属于依法必须招标的暂估价项目，采取以下第1种方式确定： </w:t>
      </w:r>
    </w:p>
    <w:p w14:paraId="5F9E0F2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第1种方式：对于不属于依法必须招标的暂估价项目，按本项约定确认和批准：</w:t>
      </w:r>
    </w:p>
    <w:p w14:paraId="2273B86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85E8F5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（2）发包人认为承包人确定的供应商、分包人无法满足工程质量或合同要求的，发包人可以要求承包人重新确定暂估价项目的供应商、分包人;</w:t>
      </w:r>
    </w:p>
    <w:p w14:paraId="76E0FAD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（3）承包人应当在签订暂估价合同后7天内，将暂估价合同副本报送发包人留存。</w:t>
      </w:r>
    </w:p>
    <w:p w14:paraId="7B1238F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第2种方式：承包人按照第10.7.1项〔依法必须招标的暂估价项目〕约定的第1种方式确定暂估价项目。</w:t>
      </w:r>
    </w:p>
    <w:p w14:paraId="49B0D85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第3种方式：承包人直接实施的暂估价项目</w:t>
      </w:r>
    </w:p>
    <w:p w14:paraId="77F701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承包人具备实施暂估价项目的资格和条件的，经发包人和承包人协商一致后，可由承包人自行实施暂估价项目，合同当事人可以在专用合同条款约定具体事项。</w:t>
      </w:r>
    </w:p>
    <w:p w14:paraId="4AA99CE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3120931">
      <w:pPr>
        <w:widowControl/>
        <w:spacing w:line="360" w:lineRule="auto"/>
        <w:jc w:val="left"/>
        <w:outlineLvl w:val="4"/>
        <w:rPr>
          <w:rFonts w:ascii="宋体" w:hAnsi="宋体" w:eastAsia="宋体" w:cs="宋体"/>
          <w:b/>
          <w:bCs/>
          <w:kern w:val="0"/>
          <w:sz w:val="21"/>
          <w:szCs w:val="21"/>
        </w:rPr>
      </w:pPr>
      <w:bookmarkStart w:id="817" w:name="_Toc532377261"/>
      <w:bookmarkEnd w:id="817"/>
      <w:bookmarkStart w:id="818" w:name="_Toc351203575"/>
      <w:r>
        <w:rPr>
          <w:rFonts w:hint="eastAsia" w:ascii="宋体" w:hAnsi="宋体" w:eastAsia="宋体" w:cs="宋体"/>
          <w:b/>
          <w:bCs/>
          <w:kern w:val="0"/>
          <w:sz w:val="21"/>
          <w:szCs w:val="21"/>
        </w:rPr>
        <w:t>1</w:t>
      </w:r>
      <w:bookmarkEnd w:id="818"/>
      <w:bookmarkStart w:id="819" w:name="_Toc322522561"/>
      <w:bookmarkEnd w:id="819"/>
      <w:bookmarkStart w:id="820" w:name="_Toc296346591"/>
      <w:bookmarkEnd w:id="820"/>
      <w:bookmarkStart w:id="821" w:name="_Toc296503090"/>
      <w:bookmarkEnd w:id="821"/>
      <w:bookmarkStart w:id="822" w:name="_Toc337558794"/>
      <w:r>
        <w:rPr>
          <w:rFonts w:hint="eastAsia" w:ascii="宋体" w:hAnsi="宋体" w:eastAsia="宋体" w:cs="宋体"/>
          <w:b/>
          <w:bCs/>
          <w:kern w:val="0"/>
          <w:sz w:val="21"/>
          <w:szCs w:val="21"/>
        </w:rPr>
        <w:t>0.8暂列金额</w:t>
      </w:r>
      <w:bookmarkEnd w:id="822"/>
    </w:p>
    <w:p w14:paraId="0934040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暂列金额应按照发包人的要求使用，发包人的要求应通过监理人发出。合同当事人可以在专用合同条款中协商确定有关事项。</w:t>
      </w:r>
    </w:p>
    <w:p w14:paraId="3E7F1AC7">
      <w:pPr>
        <w:widowControl/>
        <w:spacing w:line="360" w:lineRule="auto"/>
        <w:jc w:val="left"/>
        <w:outlineLvl w:val="4"/>
        <w:rPr>
          <w:rFonts w:ascii="宋体" w:hAnsi="宋体" w:eastAsia="宋体" w:cs="宋体"/>
          <w:b/>
          <w:bCs/>
          <w:kern w:val="0"/>
          <w:sz w:val="21"/>
          <w:szCs w:val="21"/>
        </w:rPr>
      </w:pPr>
      <w:bookmarkStart w:id="823" w:name="_Toc532377262"/>
      <w:bookmarkEnd w:id="823"/>
      <w:bookmarkStart w:id="824" w:name="_Toc351203576"/>
      <w:bookmarkEnd w:id="824"/>
      <w:r>
        <w:rPr>
          <w:rFonts w:hint="eastAsia" w:ascii="宋体" w:hAnsi="宋体" w:eastAsia="宋体" w:cs="宋体"/>
          <w:b/>
          <w:bCs/>
          <w:kern w:val="0"/>
          <w:sz w:val="21"/>
          <w:szCs w:val="21"/>
        </w:rPr>
        <w:t>1</w:t>
      </w:r>
      <w:bookmarkStart w:id="825" w:name="_Toc337558796"/>
      <w:bookmarkEnd w:id="825"/>
      <w:bookmarkStart w:id="826" w:name="_Toc296503091"/>
      <w:bookmarkEnd w:id="826"/>
      <w:bookmarkStart w:id="827" w:name="_Toc296346592"/>
      <w:r>
        <w:rPr>
          <w:rFonts w:hint="eastAsia" w:ascii="宋体" w:hAnsi="宋体" w:eastAsia="宋体" w:cs="宋体"/>
          <w:b/>
          <w:bCs/>
          <w:kern w:val="0"/>
          <w:sz w:val="21"/>
          <w:szCs w:val="21"/>
        </w:rPr>
        <w:t>0.9计日工</w:t>
      </w:r>
      <w:bookmarkEnd w:id="827"/>
    </w:p>
    <w:p w14:paraId="5DA095F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B22D63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采用计日工计价的任何一项工作，承包人应在该项工作实施过程中，每天提交以下报表和有关凭证报送监理人审查：</w:t>
      </w:r>
    </w:p>
    <w:p w14:paraId="24724C8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（1）工作名称、内容和数量；</w:t>
      </w:r>
    </w:p>
    <w:p w14:paraId="2E5A45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（2）投入该工作的所有人员的姓名、专业、工种、级别和耗用工时；</w:t>
      </w:r>
    </w:p>
    <w:p w14:paraId="322C83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（3）投入该工作的材料类别和数量；</w:t>
      </w:r>
    </w:p>
    <w:p w14:paraId="13E7677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（4）投入该工作的施工设备型号、台数和耗用台时；</w:t>
      </w:r>
    </w:p>
    <w:p w14:paraId="17F856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（5）其他有关资料和凭证。</w:t>
      </w:r>
    </w:p>
    <w:p w14:paraId="118C745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 计日工由承包人汇总后，列入最近一期进度付款申请单，由监理人审查并经发包人批准后列入进度付款。</w:t>
      </w:r>
    </w:p>
    <w:p w14:paraId="56256954">
      <w:pPr>
        <w:keepNext/>
        <w:keepLines/>
        <w:spacing w:before="156" w:beforeLines="50" w:after="156" w:afterLines="50" w:line="360" w:lineRule="auto"/>
        <w:outlineLvl w:val="3"/>
        <w:rPr>
          <w:rFonts w:ascii="宋体" w:hAnsi="宋体" w:eastAsia="宋体" w:cs="宋体"/>
          <w:b/>
          <w:sz w:val="21"/>
          <w:szCs w:val="21"/>
        </w:rPr>
      </w:pPr>
      <w:bookmarkStart w:id="828" w:name="_Toc532375597"/>
      <w:bookmarkEnd w:id="828"/>
      <w:bookmarkStart w:id="829" w:name="_Toc351203577"/>
      <w:bookmarkEnd w:id="829"/>
      <w:bookmarkStart w:id="830" w:name="_Toc532377263"/>
      <w:r>
        <w:rPr>
          <w:rFonts w:hint="eastAsia" w:ascii="宋体" w:hAnsi="宋体" w:eastAsia="宋体" w:cs="宋体"/>
          <w:b/>
          <w:bCs/>
          <w:sz w:val="21"/>
          <w:szCs w:val="21"/>
        </w:rPr>
        <w:t>11. 价格调整</w:t>
      </w:r>
      <w:bookmarkEnd w:id="830"/>
    </w:p>
    <w:p w14:paraId="326047E3">
      <w:pPr>
        <w:widowControl/>
        <w:spacing w:line="360" w:lineRule="auto"/>
        <w:jc w:val="left"/>
        <w:outlineLvl w:val="4"/>
        <w:rPr>
          <w:rFonts w:ascii="宋体" w:hAnsi="宋体" w:eastAsia="宋体" w:cs="宋体"/>
          <w:b/>
          <w:bCs/>
          <w:kern w:val="0"/>
          <w:sz w:val="21"/>
          <w:szCs w:val="21"/>
        </w:rPr>
      </w:pPr>
      <w:bookmarkStart w:id="831" w:name="_Toc351203578"/>
      <w:bookmarkEnd w:id="831"/>
      <w:bookmarkStart w:id="832" w:name="_Toc532377264"/>
      <w:bookmarkEnd w:id="832"/>
      <w:bookmarkStart w:id="833" w:name="_Toc337558797"/>
      <w:bookmarkEnd w:id="833"/>
      <w:bookmarkStart w:id="834" w:name="_Toc296346593"/>
      <w:bookmarkEnd w:id="834"/>
      <w:bookmarkStart w:id="835" w:name="_Toc296503092"/>
      <w:r>
        <w:rPr>
          <w:rFonts w:hint="eastAsia" w:ascii="宋体" w:hAnsi="宋体" w:eastAsia="宋体" w:cs="宋体"/>
          <w:b/>
          <w:bCs/>
          <w:kern w:val="0"/>
          <w:sz w:val="21"/>
          <w:szCs w:val="21"/>
        </w:rPr>
        <w:t>11.1市场价格波动引起的调整</w:t>
      </w:r>
      <w:bookmarkEnd w:id="835"/>
    </w:p>
    <w:p w14:paraId="41674E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除专用合同条款另有约定外，市场价格波动超过合同当事人约定的范围，合同价格应当调整。合同当事人可以在专用合同条款中约定选择以下一种方式对合同价格进行调整：</w:t>
      </w:r>
    </w:p>
    <w:p w14:paraId="4E1DF81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第1种方式：采用价格指数进行价格调整。</w:t>
      </w:r>
    </w:p>
    <w:p w14:paraId="5A3A9EF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（1）价格调整公式</w:t>
      </w:r>
    </w:p>
    <w:p w14:paraId="44ED7F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因人工、材料和设备等价格波动影响合同价格时，根据专用合同条款中约定的数据，按以下公式计算差额并调整合同价格：</w:t>
      </w:r>
    </w:p>
    <w:p w14:paraId="7C36E00A">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4572000" cy="552450"/>
            <wp:effectExtent l="0" t="0" r="0" b="0"/>
            <wp:docPr id="1" name="图片 1" descr="C:\Users\Administrator\AppData\Local\Temp\ksohtml6832\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ksohtml6832\wps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72000" cy="552450"/>
                    </a:xfrm>
                    <a:prstGeom prst="rect">
                      <a:avLst/>
                    </a:prstGeom>
                    <a:noFill/>
                    <a:ln>
                      <a:noFill/>
                    </a:ln>
                  </pic:spPr>
                </pic:pic>
              </a:graphicData>
            </a:graphic>
          </wp:inline>
        </w:drawing>
      </w:r>
    </w:p>
    <w:p w14:paraId="177F794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公式中：ΔP——需调整的价格差额；</w:t>
      </w:r>
    </w:p>
    <w:p w14:paraId="7D393A66">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238125" cy="238125"/>
            <wp:effectExtent l="0" t="0" r="0" b="7620"/>
            <wp:docPr id="8" name="图片 8" descr="C:\Users\Administrator\AppData\Local\Temp\ksohtml6832\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AppData\Local\Temp\ksohtml6832\wps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r>
        <w:rPr>
          <w:rFonts w:hint="eastAsia" w:ascii="宋体" w:hAnsi="宋体" w:eastAsia="宋体" w:cs="Times New Roman"/>
          <w:kern w:val="0"/>
          <w:sz w:val="21"/>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120DCEA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A——定值权重（即不调部分的权重）；</w:t>
      </w:r>
    </w:p>
    <w:p w14:paraId="490E079C">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1285875" cy="285750"/>
            <wp:effectExtent l="0" t="0" r="0" b="0"/>
            <wp:docPr id="3" name="图片 3" descr="C:\Users\Administrator\AppData\Local\Temp\ksohtml6832\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Local\Temp\ksohtml6832\wps1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85875" cy="285750"/>
                    </a:xfrm>
                    <a:prstGeom prst="rect">
                      <a:avLst/>
                    </a:prstGeom>
                    <a:noFill/>
                    <a:ln>
                      <a:noFill/>
                    </a:ln>
                  </pic:spPr>
                </pic:pic>
              </a:graphicData>
            </a:graphic>
          </wp:inline>
        </w:drawing>
      </w:r>
      <w:r>
        <w:rPr>
          <w:rFonts w:hint="eastAsia" w:ascii="宋体" w:hAnsi="宋体" w:eastAsia="宋体" w:cs="Times New Roman"/>
          <w:kern w:val="0"/>
          <w:sz w:val="21"/>
          <w:szCs w:val="21"/>
        </w:rPr>
        <w:t>——各可调因子的变值权重（即可调部分的权重），为各可调因子在签约合同价中所占的比例；</w:t>
      </w:r>
    </w:p>
    <w:p w14:paraId="2A1E9873">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1295400" cy="285750"/>
            <wp:effectExtent l="0" t="0" r="0" b="0"/>
            <wp:docPr id="4" name="图片 4" descr="C:\Users\Administrator\AppData\Local\Temp\ksohtml6832\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Local\Temp\ksohtml6832\wps1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295400" cy="285750"/>
                    </a:xfrm>
                    <a:prstGeom prst="rect">
                      <a:avLst/>
                    </a:prstGeom>
                    <a:noFill/>
                    <a:ln>
                      <a:noFill/>
                    </a:ln>
                  </pic:spPr>
                </pic:pic>
              </a:graphicData>
            </a:graphic>
          </wp:inline>
        </w:drawing>
      </w:r>
      <w:r>
        <w:rPr>
          <w:rFonts w:hint="eastAsia" w:ascii="宋体" w:hAnsi="宋体" w:eastAsia="宋体" w:cs="Times New Roman"/>
          <w:kern w:val="0"/>
          <w:sz w:val="21"/>
          <w:szCs w:val="21"/>
        </w:rPr>
        <w:t>——各可调因子的现行价格指数，指约定的付款证书相关周期最后一天的前42天的各可调因子的价格指数；</w:t>
      </w:r>
    </w:p>
    <w:p w14:paraId="5320FF6A">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1390650" cy="285750"/>
            <wp:effectExtent l="0" t="0" r="0" b="0"/>
            <wp:docPr id="5" name="图片 5" descr="C:\Users\Administrator\AppData\Local\Temp\ksohtml6832\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Local\Temp\ksohtml6832\wps1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390650" cy="285750"/>
                    </a:xfrm>
                    <a:prstGeom prst="rect">
                      <a:avLst/>
                    </a:prstGeom>
                    <a:noFill/>
                    <a:ln>
                      <a:noFill/>
                    </a:ln>
                  </pic:spPr>
                </pic:pic>
              </a:graphicData>
            </a:graphic>
          </wp:inline>
        </w:drawing>
      </w:r>
      <w:r>
        <w:rPr>
          <w:rFonts w:hint="eastAsia" w:ascii="宋体" w:hAnsi="宋体" w:eastAsia="宋体" w:cs="Times New Roman"/>
          <w:kern w:val="0"/>
          <w:sz w:val="21"/>
          <w:szCs w:val="21"/>
        </w:rPr>
        <w:t>——各可调因子的基本价格指数，指基准日期的各可调因子的价格指数。</w:t>
      </w:r>
    </w:p>
    <w:p w14:paraId="2FD6F01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21B8D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（2）暂时确定调整差额</w:t>
      </w:r>
    </w:p>
    <w:p w14:paraId="51F1827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在计算调整差额时无现行价格指数的，合同当事人同意暂用前次价格指数计算。实际价格指数有调整的，合同当事人进行相应调整。</w:t>
      </w:r>
    </w:p>
    <w:p w14:paraId="5307799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（3）权重的调整</w:t>
      </w:r>
    </w:p>
    <w:p w14:paraId="47DDB27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因变更导致合同约定的权重不合理时，按照第4.4款〔商定或确定〕执行。</w:t>
      </w:r>
    </w:p>
    <w:p w14:paraId="3F98AE8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（4）因承包人原因工期延误后的价格调整</w:t>
      </w:r>
    </w:p>
    <w:p w14:paraId="02D3C7B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因承包人原因未按期竣工的，对合同约定的竣工日期后继续施工的工程，在使用价格调整公式时，应采用计划竣工日期与实际竣工日期的两个价格指数中较低的一个作为现行价格指数。</w:t>
      </w:r>
    </w:p>
    <w:p w14:paraId="5742F9D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第2种方式：采用造价信息进行价格调整。</w:t>
      </w:r>
    </w:p>
    <w:p w14:paraId="7954BE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3714DD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462665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（2）材料、工程设备价格变化的价款调整按照发包人提供的基准价格，按以下风险范围规定执行：</w:t>
      </w:r>
    </w:p>
    <w:p w14:paraId="5C868F7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B6AA2F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7CBE6E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③承包人在已标价工程量清单或预算书中载明材料单价等于基准价格的：除专用合同条款另有约定外，合同履行期间材料单价涨跌幅以基准价格为基础超过±5%时，其超过部分据实调整。</w:t>
      </w:r>
    </w:p>
    <w:p w14:paraId="67769AB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F4136F3">
      <w:pPr>
        <w:spacing w:line="360" w:lineRule="auto"/>
        <w:jc w:val="left"/>
        <w:rPr>
          <w:rFonts w:ascii="宋体" w:hAnsi="宋体" w:eastAsia="宋体" w:cs="Times New Roman"/>
          <w:kern w:val="0"/>
          <w:sz w:val="21"/>
          <w:szCs w:val="21"/>
        </w:rPr>
      </w:pPr>
      <w:bookmarkStart w:id="836" w:name="OLE_LINK3"/>
      <w:bookmarkEnd w:id="836"/>
      <w:r>
        <w:rPr>
          <w:rFonts w:hint="eastAsia" w:ascii="宋体" w:hAnsi="宋体" w:eastAsia="宋体" w:cs="Times New Roman"/>
          <w:kern w:val="0"/>
          <w:sz w:val="21"/>
          <w:szCs w:val="21"/>
        </w:rPr>
        <w:t>前述基准价格是指由发包人在招标文件或专用合同条款中给定的材料、工程设备的价格，该价格原则上应当按照省级或行业建设主管部门或其授权的工程造价管理机构发布的信息价编制。</w:t>
      </w:r>
    </w:p>
    <w:p w14:paraId="7E63776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（3）施工机械台班单价或施工机械使用费发生变化超过省级或行业建设主管部门或其授权的工程造价管理机构规定的范围时，按规定调整合同价格。</w:t>
      </w:r>
    </w:p>
    <w:p w14:paraId="4F6DBFC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第3种方式：专用合同条款约定的其他方式。</w:t>
      </w:r>
    </w:p>
    <w:p w14:paraId="37FD9021">
      <w:pPr>
        <w:widowControl/>
        <w:spacing w:line="360" w:lineRule="auto"/>
        <w:jc w:val="left"/>
        <w:outlineLvl w:val="4"/>
        <w:rPr>
          <w:rFonts w:ascii="宋体" w:hAnsi="宋体" w:eastAsia="宋体" w:cs="宋体"/>
          <w:b/>
          <w:bCs/>
          <w:kern w:val="0"/>
          <w:sz w:val="21"/>
          <w:szCs w:val="21"/>
        </w:rPr>
      </w:pPr>
      <w:bookmarkStart w:id="837" w:name="_Toc296503093"/>
      <w:bookmarkEnd w:id="837"/>
      <w:bookmarkStart w:id="838" w:name="_Toc337558798"/>
      <w:bookmarkEnd w:id="838"/>
      <w:bookmarkStart w:id="839" w:name="_Toc296346594"/>
      <w:bookmarkEnd w:id="839"/>
      <w:bookmarkStart w:id="840" w:name="_Toc351203579"/>
      <w:bookmarkEnd w:id="840"/>
      <w:bookmarkStart w:id="841" w:name="_Toc532377265"/>
      <w:r>
        <w:rPr>
          <w:rFonts w:hint="eastAsia" w:ascii="宋体" w:hAnsi="宋体" w:eastAsia="宋体" w:cs="宋体"/>
          <w:b/>
          <w:bCs/>
          <w:kern w:val="0"/>
          <w:sz w:val="21"/>
          <w:szCs w:val="21"/>
        </w:rPr>
        <w:t>11.2法律变化引起的调整</w:t>
      </w:r>
      <w:bookmarkEnd w:id="841"/>
    </w:p>
    <w:p w14:paraId="543A2A3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EFB01A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因法律变化引起的合同价格和工期调整，合同当事人无法达成一致的，由总监理工程师按第4.4款〔商定或确定〕的约定处理。</w:t>
      </w:r>
    </w:p>
    <w:p w14:paraId="3E7679E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因承包人原因造成工期延误，在工期延误期间出现法律变化的，由此增加的费用和（或）延误的工期由承包人承担。</w:t>
      </w:r>
    </w:p>
    <w:p w14:paraId="1BB4F00D">
      <w:pPr>
        <w:keepNext/>
        <w:keepLines/>
        <w:spacing w:before="156" w:beforeLines="50" w:after="156" w:afterLines="50" w:line="360" w:lineRule="auto"/>
        <w:outlineLvl w:val="3"/>
        <w:rPr>
          <w:rFonts w:ascii="宋体" w:hAnsi="宋体" w:eastAsia="宋体" w:cs="宋体"/>
          <w:b/>
          <w:sz w:val="21"/>
          <w:szCs w:val="21"/>
        </w:rPr>
      </w:pPr>
      <w:bookmarkStart w:id="842" w:name="_Toc532377266"/>
      <w:bookmarkEnd w:id="842"/>
      <w:bookmarkStart w:id="843" w:name="_Toc337558799"/>
      <w:bookmarkEnd w:id="843"/>
      <w:bookmarkStart w:id="844" w:name="_Toc296346597"/>
      <w:bookmarkEnd w:id="844"/>
      <w:bookmarkStart w:id="845" w:name="_Toc296503096"/>
      <w:bookmarkEnd w:id="845"/>
      <w:bookmarkStart w:id="846" w:name="_Toc351203580"/>
      <w:bookmarkEnd w:id="846"/>
      <w:bookmarkStart w:id="847" w:name="_Toc532375598"/>
      <w:r>
        <w:rPr>
          <w:rFonts w:hint="eastAsia" w:ascii="宋体" w:hAnsi="宋体" w:eastAsia="宋体" w:cs="宋体"/>
          <w:b/>
          <w:bCs/>
          <w:sz w:val="21"/>
          <w:szCs w:val="21"/>
        </w:rPr>
        <w:t>12. 合同价格、计量与支付</w:t>
      </w:r>
      <w:bookmarkEnd w:id="847"/>
    </w:p>
    <w:p w14:paraId="09ECD003">
      <w:pPr>
        <w:widowControl/>
        <w:spacing w:line="360" w:lineRule="auto"/>
        <w:jc w:val="left"/>
        <w:outlineLvl w:val="4"/>
        <w:rPr>
          <w:rFonts w:ascii="宋体" w:hAnsi="宋体" w:eastAsia="宋体" w:cs="宋体"/>
          <w:b/>
          <w:bCs/>
          <w:kern w:val="0"/>
          <w:sz w:val="21"/>
          <w:szCs w:val="21"/>
        </w:rPr>
      </w:pPr>
      <w:bookmarkStart w:id="848" w:name="_Toc351203581"/>
      <w:bookmarkEnd w:id="848"/>
      <w:bookmarkStart w:id="849" w:name="_Toc532377267"/>
      <w:bookmarkEnd w:id="849"/>
      <w:bookmarkStart w:id="850" w:name="_Toc337558800"/>
      <w:r>
        <w:rPr>
          <w:rFonts w:hint="eastAsia" w:ascii="宋体" w:hAnsi="宋体" w:eastAsia="宋体" w:cs="宋体"/>
          <w:b/>
          <w:bCs/>
          <w:kern w:val="0"/>
          <w:sz w:val="21"/>
          <w:szCs w:val="21"/>
        </w:rPr>
        <w:t>12.1 合同价</w:t>
      </w:r>
      <w:bookmarkEnd w:id="850"/>
      <w:r>
        <w:rPr>
          <w:rFonts w:hint="eastAsia" w:ascii="宋体" w:hAnsi="宋体" w:eastAsia="宋体" w:cs="宋体"/>
          <w:b/>
          <w:bCs/>
          <w:kern w:val="0"/>
          <w:sz w:val="21"/>
          <w:szCs w:val="21"/>
        </w:rPr>
        <w:t>格形式</w:t>
      </w:r>
    </w:p>
    <w:p w14:paraId="0DC0907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发包人和承包人应在合同协议书中选择下列一种合同价格形式： </w:t>
      </w:r>
    </w:p>
    <w:p w14:paraId="511D41B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1.单价合同</w:t>
      </w:r>
    </w:p>
    <w:p w14:paraId="3A78020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90A4CF0">
      <w:pPr>
        <w:widowControl/>
        <w:spacing w:line="360" w:lineRule="auto"/>
        <w:jc w:val="left"/>
        <w:outlineLvl w:val="4"/>
        <w:rPr>
          <w:rFonts w:ascii="宋体" w:hAnsi="宋体" w:eastAsia="宋体" w:cs="宋体"/>
          <w:bCs/>
          <w:kern w:val="0"/>
          <w:sz w:val="21"/>
          <w:szCs w:val="21"/>
        </w:rPr>
      </w:pPr>
      <w:bookmarkStart w:id="851" w:name="_Toc532377268"/>
      <w:bookmarkEnd w:id="851"/>
      <w:r>
        <w:rPr>
          <w:rFonts w:hint="eastAsia" w:ascii="宋体" w:hAnsi="宋体" w:eastAsia="宋体" w:cs="宋体"/>
          <w:bCs/>
          <w:kern w:val="0"/>
          <w:sz w:val="21"/>
          <w:szCs w:val="21"/>
        </w:rPr>
        <w:t>2.总价合同</w:t>
      </w:r>
    </w:p>
    <w:p w14:paraId="2CC518F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E9E9C80">
      <w:pPr>
        <w:widowControl/>
        <w:spacing w:line="360" w:lineRule="auto"/>
        <w:jc w:val="left"/>
        <w:outlineLvl w:val="4"/>
        <w:rPr>
          <w:rFonts w:ascii="宋体" w:hAnsi="宋体" w:eastAsia="宋体" w:cs="宋体"/>
          <w:bCs/>
          <w:kern w:val="0"/>
          <w:sz w:val="21"/>
          <w:szCs w:val="21"/>
        </w:rPr>
      </w:pPr>
      <w:bookmarkStart w:id="852" w:name="_Toc532377269"/>
      <w:bookmarkEnd w:id="852"/>
      <w:r>
        <w:rPr>
          <w:rFonts w:hint="eastAsia" w:ascii="宋体" w:hAnsi="宋体" w:eastAsia="宋体" w:cs="宋体"/>
          <w:bCs/>
          <w:kern w:val="0"/>
          <w:sz w:val="21"/>
          <w:szCs w:val="21"/>
        </w:rPr>
        <w:t>3.其它价格形式</w:t>
      </w:r>
    </w:p>
    <w:p w14:paraId="3AA7886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合同当事人可在专用合同条款中约定其他合同价格形式。</w:t>
      </w:r>
    </w:p>
    <w:p w14:paraId="6DD0B838">
      <w:pPr>
        <w:widowControl/>
        <w:spacing w:line="360" w:lineRule="auto"/>
        <w:jc w:val="left"/>
        <w:outlineLvl w:val="4"/>
        <w:rPr>
          <w:rFonts w:ascii="宋体" w:hAnsi="宋体" w:eastAsia="宋体" w:cs="宋体"/>
          <w:b/>
          <w:bCs/>
          <w:kern w:val="0"/>
          <w:sz w:val="21"/>
          <w:szCs w:val="21"/>
        </w:rPr>
      </w:pPr>
      <w:bookmarkStart w:id="853" w:name="_Toc296346598"/>
      <w:bookmarkEnd w:id="853"/>
      <w:bookmarkStart w:id="854" w:name="_Toc296503097"/>
      <w:bookmarkEnd w:id="854"/>
      <w:bookmarkStart w:id="855" w:name="_Toc532377270"/>
      <w:bookmarkEnd w:id="855"/>
      <w:bookmarkStart w:id="856" w:name="_Toc351203582"/>
      <w:bookmarkEnd w:id="856"/>
      <w:bookmarkStart w:id="857" w:name="_Toc337558801"/>
      <w:r>
        <w:rPr>
          <w:rFonts w:hint="eastAsia" w:ascii="宋体" w:hAnsi="宋体" w:eastAsia="宋体" w:cs="宋体"/>
          <w:b/>
          <w:bCs/>
          <w:kern w:val="0"/>
          <w:sz w:val="21"/>
          <w:szCs w:val="21"/>
        </w:rPr>
        <w:t>12.2预</w:t>
      </w:r>
      <w:bookmarkEnd w:id="857"/>
      <w:bookmarkStart w:id="858" w:name="_Toc296346601"/>
      <w:bookmarkEnd w:id="858"/>
      <w:bookmarkStart w:id="859" w:name="_Toc296503100"/>
      <w:bookmarkEnd w:id="859"/>
      <w:r>
        <w:rPr>
          <w:rFonts w:hint="eastAsia" w:ascii="宋体" w:hAnsi="宋体" w:eastAsia="宋体" w:cs="宋体"/>
          <w:b/>
          <w:bCs/>
          <w:kern w:val="0"/>
          <w:sz w:val="21"/>
          <w:szCs w:val="21"/>
        </w:rPr>
        <w:t>付款</w:t>
      </w:r>
    </w:p>
    <w:p w14:paraId="55C0413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12.2.1预付款的支付</w:t>
      </w:r>
    </w:p>
    <w:p w14:paraId="7547F1D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预付款的支付按照专用合同条款约定执行，但至迟应在开工通知载明的开工日期7天前支付。预付款应当用于材料、工程设备、施工设备的采购及修建临时工程、组织施工队伍进场等。</w:t>
      </w:r>
    </w:p>
    <w:p w14:paraId="501897B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除专用合同条款另有约定外，预付款在进度付款中同比例扣回。在颁发工程接收证书前，提前解除合同的，尚未扣完的预付款应与合同价款一并结算。</w:t>
      </w:r>
    </w:p>
    <w:p w14:paraId="7FE0AB8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发包人逾期支付预付款超过7天的，承包人有权向发包人发出要求预付的催告通知，发包人收到通知后7天内仍未支付的，承包人有权暂停施工，并按第16.1.1项〔发包人违约的情形〕执行。</w:t>
      </w:r>
    </w:p>
    <w:p w14:paraId="5335734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12.2.2 预付款担保</w:t>
      </w:r>
    </w:p>
    <w:p w14:paraId="4AF7053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FE897D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发包人在工程款中逐期扣回预付款后，预付款担保额度应相应减少，但剩余的预付款担保金额不得低于未被扣回的预付款金额。</w:t>
      </w:r>
    </w:p>
    <w:p w14:paraId="63AC567E">
      <w:pPr>
        <w:widowControl/>
        <w:spacing w:line="360" w:lineRule="auto"/>
        <w:jc w:val="left"/>
        <w:outlineLvl w:val="4"/>
        <w:rPr>
          <w:rFonts w:ascii="宋体" w:hAnsi="宋体" w:eastAsia="宋体" w:cs="宋体"/>
          <w:b/>
          <w:bCs/>
          <w:kern w:val="0"/>
          <w:sz w:val="21"/>
          <w:szCs w:val="21"/>
        </w:rPr>
      </w:pPr>
      <w:bookmarkStart w:id="860" w:name="_Toc337558802"/>
      <w:bookmarkEnd w:id="860"/>
      <w:bookmarkStart w:id="861" w:name="_Toc351203583"/>
      <w:bookmarkEnd w:id="861"/>
      <w:bookmarkStart w:id="862" w:name="_Toc532377271"/>
      <w:r>
        <w:rPr>
          <w:rFonts w:hint="eastAsia" w:ascii="宋体" w:hAnsi="宋体" w:eastAsia="宋体" w:cs="宋体"/>
          <w:b/>
          <w:bCs/>
          <w:kern w:val="0"/>
          <w:sz w:val="21"/>
          <w:szCs w:val="21"/>
        </w:rPr>
        <w:t>12.3计量</w:t>
      </w:r>
      <w:bookmarkEnd w:id="862"/>
    </w:p>
    <w:p w14:paraId="56161BE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12.3.1 计量原则</w:t>
      </w:r>
    </w:p>
    <w:p w14:paraId="79E54F9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工程量计量按照合同约定的工程量计算规则、图纸及变更指示等进行计量。工程量计算规则应以相关的国家标准、行业标准等为依据，由合同当事人在专用合同条款中约定。</w:t>
      </w:r>
    </w:p>
    <w:p w14:paraId="6DB8E09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12.3.2 计量周期</w:t>
      </w:r>
    </w:p>
    <w:p w14:paraId="7D336D3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除专用合同条款另有约定外，工程量的计量按月进行。</w:t>
      </w:r>
    </w:p>
    <w:p w14:paraId="7882BC1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12.3.3 单价合同的计量</w:t>
      </w:r>
    </w:p>
    <w:p w14:paraId="28FBE56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除专用合同条款另有约定外，单价合同的计量按照本项约定执行：</w:t>
      </w:r>
    </w:p>
    <w:p w14:paraId="4DC9991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（1）承包人应于每月25日向监理人报送上月20日至当月19日已完成的工程量报告，并附具进度付款申请单、已完成工程量报表和有关资料。</w:t>
      </w:r>
    </w:p>
    <w:p w14:paraId="71D94DC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1D600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（3）监理人未在收到承包人提交的工程量报表后的7天内完成审核的，承包人报送的工程量报告中的工程量视为承包人实际完成的工程量，据此计算工程价款。</w:t>
      </w:r>
    </w:p>
    <w:p w14:paraId="6C3E32C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12.3.4 总价合同的计量</w:t>
      </w:r>
    </w:p>
    <w:p w14:paraId="0702F4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除专用合同条款另有约定外，按月计量支付的总价合同，按照本项约定执行：</w:t>
      </w:r>
    </w:p>
    <w:p w14:paraId="27F1F44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（1）承包人应于每月25日向监理人报送上月20日至当月19日已完成的工程量报告，并附具进度付款申请单、已完成工程量报表和有关资料。</w:t>
      </w:r>
    </w:p>
    <w:p w14:paraId="5421560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2A7BF9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（3）监理人未在收到承包人提交的工程量报表后的7天内完成复核的，承包人提交的工程量报告中的工程量视为承包人实际完成的工程量。</w:t>
      </w:r>
    </w:p>
    <w:p w14:paraId="1928BF4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12.3.5 总价合同采用支付分解表计量支付的，可以按照第12.3.4项〔总价合同的计量〕约定进行计量，但合同价款按照支付分解表进行支付。</w:t>
      </w:r>
    </w:p>
    <w:p w14:paraId="43E70B2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12.3.6 其他价格形式合同的计量</w:t>
      </w:r>
    </w:p>
    <w:p w14:paraId="0CF8E8F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合同当事人可在专用合同条款中约定其他价格形式合同的计量方式和程序。</w:t>
      </w:r>
    </w:p>
    <w:p w14:paraId="1FA3E7BD">
      <w:pPr>
        <w:widowControl/>
        <w:spacing w:line="360" w:lineRule="auto"/>
        <w:jc w:val="left"/>
        <w:outlineLvl w:val="4"/>
        <w:rPr>
          <w:rFonts w:ascii="宋体" w:hAnsi="宋体" w:eastAsia="宋体" w:cs="宋体"/>
          <w:b/>
          <w:bCs/>
          <w:kern w:val="0"/>
          <w:sz w:val="21"/>
          <w:szCs w:val="21"/>
        </w:rPr>
      </w:pPr>
      <w:bookmarkStart w:id="863" w:name="_Toc296503101"/>
      <w:bookmarkEnd w:id="863"/>
      <w:bookmarkStart w:id="864" w:name="_Toc532377272"/>
      <w:bookmarkEnd w:id="864"/>
      <w:bookmarkStart w:id="865" w:name="_Toc296346602"/>
      <w:bookmarkEnd w:id="865"/>
      <w:bookmarkStart w:id="866" w:name="_Toc351203584"/>
      <w:bookmarkEnd w:id="866"/>
      <w:bookmarkStart w:id="867" w:name="_Toc337558803"/>
      <w:r>
        <w:rPr>
          <w:rFonts w:hint="eastAsia" w:ascii="宋体" w:hAnsi="宋体" w:eastAsia="宋体" w:cs="宋体"/>
          <w:b/>
          <w:bCs/>
          <w:kern w:val="0"/>
          <w:sz w:val="21"/>
          <w:szCs w:val="21"/>
        </w:rPr>
        <w:t>12.4工程进度款支</w:t>
      </w:r>
      <w:bookmarkEnd w:id="867"/>
      <w:r>
        <w:rPr>
          <w:rFonts w:hint="eastAsia" w:ascii="宋体" w:hAnsi="宋体" w:eastAsia="宋体" w:cs="宋体"/>
          <w:b/>
          <w:bCs/>
          <w:kern w:val="0"/>
          <w:sz w:val="21"/>
          <w:szCs w:val="21"/>
        </w:rPr>
        <w:t>付</w:t>
      </w:r>
    </w:p>
    <w:p w14:paraId="4D30EBC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12.4.1 付款周期</w:t>
      </w:r>
    </w:p>
    <w:p w14:paraId="25FA3A9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除专用合同条款另有约定外，付款周期应按照第12.3.2项〔计量周期〕的约定与计量周期保持一致。</w:t>
      </w:r>
    </w:p>
    <w:p w14:paraId="18BE0E7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12.4.2 进度付款申请单的编制</w:t>
      </w:r>
    </w:p>
    <w:p w14:paraId="5E7594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除专用合同条款另有约定外，进度付款申请单应包括下列内容：</w:t>
      </w:r>
    </w:p>
    <w:p w14:paraId="7771FED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（1）截至本次付款周期已完成工作对应的金额；</w:t>
      </w:r>
    </w:p>
    <w:p w14:paraId="1D041F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（2）根据第10条〔变更〕应增加和扣减的变更金额；</w:t>
      </w:r>
    </w:p>
    <w:p w14:paraId="608705F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（3）根据第12.2款〔预付款〕约定应支付的预付款和扣减的返还预付款；</w:t>
      </w:r>
    </w:p>
    <w:p w14:paraId="646A050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（4）根据第15.3款〔质量保证金〕约定应扣减的质量保证金；</w:t>
      </w:r>
    </w:p>
    <w:p w14:paraId="45F160A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（5）根据第19条〔索赔〕应增加和扣减的索赔金额；</w:t>
      </w:r>
    </w:p>
    <w:p w14:paraId="3AB8C04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（6）对已签发的进度款支付证书中出现错误的修正，应在本次进度付款中支付或扣除的金额；</w:t>
      </w:r>
    </w:p>
    <w:p w14:paraId="403DBB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（7）根据合同约定应增加和扣减的其他金额。</w:t>
      </w:r>
    </w:p>
    <w:p w14:paraId="7F5289F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12.4.3 进度付款申请单的提交</w:t>
      </w:r>
    </w:p>
    <w:p w14:paraId="03C654E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（1）单价合同进度付款申请单的提交</w:t>
      </w:r>
    </w:p>
    <w:p w14:paraId="7121426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3B8328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（2）总价合同进度付款申请单的提交</w:t>
      </w:r>
    </w:p>
    <w:p w14:paraId="13F8B74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总价合同按月计量支付的，承包人按照第12.3.4项〔总价合同的计量〕约定的时间按月向监理人提交进度付款申请单，并附上已完成工程量报表和有关资料。</w:t>
      </w:r>
    </w:p>
    <w:p w14:paraId="6771C04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总价合同按支付分解表支付的，承包人应按照第12.4.6项〔支付分解表〕及第12.4.2项〔进度付款申请单的编制〕的约定向监理人提交进度付款申请单。</w:t>
      </w:r>
    </w:p>
    <w:p w14:paraId="59ACC3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（3）其他价格形式合同的进度付款申请单的提交</w:t>
      </w:r>
    </w:p>
    <w:p w14:paraId="361EA4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合同当事人可在专用合同条款中约定其他价格形式合同的进度付款申请单的编制和提交程序。</w:t>
      </w:r>
    </w:p>
    <w:p w14:paraId="02E3DC5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12.4.4 进度款审核和支付</w:t>
      </w:r>
    </w:p>
    <w:p w14:paraId="006615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A48B78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4918E9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39E2569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（3）发包人签发进度款支付证书或临时进度款支付证书，不表明发包人已同意、批准或接受了承包人完成的相应部分的工作。</w:t>
      </w:r>
    </w:p>
    <w:p w14:paraId="442A9C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12.4.5 进度付款的修正</w:t>
      </w:r>
    </w:p>
    <w:p w14:paraId="05153F1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在对已签发的进度款支付证书进行阶段汇总和复核中发现错误、遗漏或重复的，发包人和承包人均有权提出修正申请。经发包人和承包人同意的修正，应在下期进度付款中支付或扣除。</w:t>
      </w:r>
    </w:p>
    <w:p w14:paraId="557BB57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12.4.6 支付分解表</w:t>
      </w:r>
    </w:p>
    <w:p w14:paraId="621E3C8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1.支付分解表的编制要求</w:t>
      </w:r>
    </w:p>
    <w:p w14:paraId="73D934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（1）支付分解表中所列的每期付款金额，应为第12.4.2项〔进度付款申请单的编制〕第（1）目的估算金额；</w:t>
      </w:r>
    </w:p>
    <w:p w14:paraId="0514DC6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（2）实际进度与施工进度计划不一致的，合同当事人可按照第4.4款〔商定或确定〕修改支付分解表；</w:t>
      </w:r>
    </w:p>
    <w:p w14:paraId="6EF2515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（3）不采用支付分解表的，承包人应向发包人和监理人提交按季度编制的支付估算分解表，用于支付参考。</w:t>
      </w:r>
    </w:p>
    <w:p w14:paraId="69ECF41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2.总价合同支付分解表的编制与审批</w:t>
      </w:r>
    </w:p>
    <w:p w14:paraId="69DE269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EA4F43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（2）监理人应在收到支付分解表后7天内完成审核并报送发包人。发包人应在收到经监理人审核的支付分解表后7天内完成审批，经发包人批准的支付分解表为有约束力的支付分解表。</w:t>
      </w:r>
    </w:p>
    <w:p w14:paraId="5A1A49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（3）发包人逾期未完成支付分解表审批的，也未及时要求承包人进行修正和提供补充资料的，则承包人提交的支付分解表视为已经获得发包人批准。</w:t>
      </w:r>
    </w:p>
    <w:p w14:paraId="5EAF2C9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3.单价合同的总价项目支付分解表的编制与审批</w:t>
      </w:r>
    </w:p>
    <w:p w14:paraId="2A79E44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AB23D24">
      <w:pPr>
        <w:widowControl/>
        <w:spacing w:line="360" w:lineRule="auto"/>
        <w:jc w:val="left"/>
        <w:outlineLvl w:val="4"/>
        <w:rPr>
          <w:rFonts w:ascii="宋体" w:hAnsi="宋体" w:eastAsia="宋体" w:cs="宋体"/>
          <w:b/>
          <w:bCs/>
          <w:kern w:val="0"/>
          <w:sz w:val="21"/>
          <w:szCs w:val="21"/>
        </w:rPr>
      </w:pPr>
      <w:bookmarkStart w:id="868" w:name="_Toc532377273"/>
      <w:bookmarkEnd w:id="868"/>
      <w:r>
        <w:rPr>
          <w:rFonts w:hint="eastAsia" w:ascii="宋体" w:hAnsi="宋体" w:eastAsia="宋体" w:cs="宋体"/>
          <w:b/>
          <w:bCs/>
          <w:kern w:val="0"/>
          <w:sz w:val="21"/>
          <w:szCs w:val="21"/>
        </w:rPr>
        <w:t>12.5支付账户</w:t>
      </w:r>
    </w:p>
    <w:p w14:paraId="6E4D11A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发包人应将合同价款支付至合同协议书中约定的承包人账户。</w:t>
      </w:r>
    </w:p>
    <w:p w14:paraId="4DBA663E">
      <w:pPr>
        <w:keepNext/>
        <w:keepLines/>
        <w:spacing w:before="156" w:beforeLines="50" w:after="156" w:afterLines="50" w:line="360" w:lineRule="auto"/>
        <w:outlineLvl w:val="3"/>
        <w:rPr>
          <w:rFonts w:ascii="宋体" w:hAnsi="宋体" w:eastAsia="宋体" w:cs="宋体"/>
          <w:b/>
          <w:sz w:val="21"/>
          <w:szCs w:val="21"/>
        </w:rPr>
      </w:pPr>
      <w:bookmarkStart w:id="869" w:name="_Toc532375599"/>
      <w:bookmarkEnd w:id="869"/>
      <w:bookmarkStart w:id="870" w:name="_Toc351203586"/>
      <w:bookmarkEnd w:id="870"/>
      <w:bookmarkStart w:id="871" w:name="_Toc532377274"/>
      <w:bookmarkEnd w:id="871"/>
      <w:bookmarkStart w:id="872" w:name="_Toc296346607"/>
      <w:bookmarkEnd w:id="872"/>
      <w:bookmarkStart w:id="873" w:name="_Toc296503106"/>
      <w:bookmarkEnd w:id="873"/>
      <w:bookmarkStart w:id="874" w:name="_Toc322522574"/>
      <w:bookmarkEnd w:id="874"/>
      <w:bookmarkStart w:id="875" w:name="_Toc337558804"/>
      <w:r>
        <w:rPr>
          <w:rFonts w:hint="eastAsia" w:ascii="宋体" w:hAnsi="宋体" w:eastAsia="宋体" w:cs="宋体"/>
          <w:b/>
          <w:bCs/>
          <w:sz w:val="21"/>
          <w:szCs w:val="21"/>
        </w:rPr>
        <w:t>13. 验收和工程试车</w:t>
      </w:r>
      <w:bookmarkEnd w:id="875"/>
    </w:p>
    <w:p w14:paraId="5E5B04AC">
      <w:pPr>
        <w:widowControl/>
        <w:spacing w:line="360" w:lineRule="auto"/>
        <w:jc w:val="left"/>
        <w:outlineLvl w:val="4"/>
        <w:rPr>
          <w:rFonts w:ascii="宋体" w:hAnsi="宋体" w:eastAsia="宋体" w:cs="宋体"/>
          <w:b/>
          <w:bCs/>
          <w:kern w:val="0"/>
          <w:sz w:val="21"/>
          <w:szCs w:val="21"/>
        </w:rPr>
      </w:pPr>
      <w:bookmarkStart w:id="876" w:name="_Toc532377275"/>
      <w:bookmarkEnd w:id="876"/>
      <w:bookmarkStart w:id="877" w:name="_Toc337558805"/>
      <w:bookmarkEnd w:id="877"/>
      <w:bookmarkStart w:id="878" w:name="_Toc296346611"/>
      <w:bookmarkEnd w:id="878"/>
      <w:bookmarkStart w:id="879" w:name="_Toc351203587"/>
      <w:bookmarkEnd w:id="879"/>
      <w:bookmarkStart w:id="880" w:name="_Toc296503110"/>
      <w:r>
        <w:rPr>
          <w:rFonts w:hint="eastAsia" w:ascii="宋体" w:hAnsi="宋体" w:eastAsia="宋体" w:cs="宋体"/>
          <w:b/>
          <w:bCs/>
          <w:kern w:val="0"/>
          <w:sz w:val="21"/>
          <w:szCs w:val="21"/>
        </w:rPr>
        <w:t>13.1分部分项工程验收</w:t>
      </w:r>
      <w:bookmarkEnd w:id="880"/>
    </w:p>
    <w:p w14:paraId="366D64A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13.1.1 分部分项工程质量应符合国家有关工程施工验收规范、标准及合同约定，承包人应按照施工组织设计的要求完成分部分项工程施工。</w:t>
      </w:r>
    </w:p>
    <w:p w14:paraId="44D6A36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A8639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分部分项工程的验收资料应当作为竣工资料的组成部分。</w:t>
      </w:r>
    </w:p>
    <w:p w14:paraId="1265E814">
      <w:pPr>
        <w:widowControl/>
        <w:spacing w:line="360" w:lineRule="auto"/>
        <w:jc w:val="left"/>
        <w:outlineLvl w:val="4"/>
        <w:rPr>
          <w:rFonts w:ascii="宋体" w:hAnsi="宋体" w:eastAsia="宋体" w:cs="宋体"/>
          <w:b/>
          <w:bCs/>
          <w:kern w:val="0"/>
          <w:sz w:val="21"/>
          <w:szCs w:val="21"/>
        </w:rPr>
      </w:pPr>
      <w:bookmarkStart w:id="881" w:name="_Toc532377276"/>
      <w:bookmarkEnd w:id="881"/>
      <w:bookmarkStart w:id="882" w:name="_Toc337558806"/>
      <w:bookmarkEnd w:id="882"/>
      <w:bookmarkStart w:id="883" w:name="_Toc351203588"/>
      <w:r>
        <w:rPr>
          <w:rFonts w:hint="eastAsia" w:ascii="宋体" w:hAnsi="宋体" w:eastAsia="宋体" w:cs="宋体"/>
          <w:b/>
          <w:bCs/>
          <w:kern w:val="0"/>
          <w:sz w:val="21"/>
          <w:szCs w:val="21"/>
        </w:rPr>
        <w:t>13.2竣工验收</w:t>
      </w:r>
      <w:bookmarkEnd w:id="883"/>
    </w:p>
    <w:p w14:paraId="75180DA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13.2.1竣工验收条件</w:t>
      </w:r>
    </w:p>
    <w:p w14:paraId="4B4A44B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工程具备以下条件的，承包人可以申请竣工验收：</w:t>
      </w:r>
    </w:p>
    <w:p w14:paraId="114B1AD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（1）除发包人同意的甩项工作和缺陷修补工作外，合同范围内的全部工程以及有关工作，包括合同要求的试验、试运行以及检验均已完成，并符合合同要求；</w:t>
      </w:r>
    </w:p>
    <w:p w14:paraId="74489CD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（2）已按合同约定编制了甩项工作和缺陷修补工作清单以及相应的施工计划；</w:t>
      </w:r>
    </w:p>
    <w:p w14:paraId="5B15F61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（3）已按合同约定的内容和份数备齐竣工资料。</w:t>
      </w:r>
    </w:p>
    <w:p w14:paraId="664E096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13.2.2竣工验收程序</w:t>
      </w:r>
    </w:p>
    <w:p w14:paraId="683B236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除专用合同条款另有约定外，承包人申请竣工验收的，应当按照以下程序进行：</w:t>
      </w:r>
    </w:p>
    <w:p w14:paraId="4A1AA77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0A49F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9150EA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（3）竣工验收合格的，发包人应在验收合格后14天内向承包人签发工程接收证书。发包人无正当理由逾期不颁发工程接收证书的，自验收合格后第15天起视为已颁发工程接收证书。</w:t>
      </w:r>
    </w:p>
    <w:p w14:paraId="43BE559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737ED4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E89986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除专用合同条款另有约定外，发包人不按照本项约定组织竣工验收、颁发工程接收证书的，每逾期一天，应以签约合同价为基数，按照中国人民银行发布的同期同类贷款基准利率支付违约金。</w:t>
      </w:r>
    </w:p>
    <w:p w14:paraId="56F693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13.2.3竣工日期</w:t>
      </w:r>
    </w:p>
    <w:p w14:paraId="56C2E92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884" w:name="#go14"/>
      <w:bookmarkEnd w:id="884"/>
      <w:r>
        <w:rPr>
          <w:rFonts w:hint="eastAsia" w:ascii="宋体" w:hAnsi="宋体" w:eastAsia="宋体" w:cs="Times New Roman"/>
          <w:kern w:val="0"/>
          <w:sz w:val="21"/>
          <w:szCs w:val="21"/>
        </w:rPr>
        <w:t>收申请报告的日期为实际竣工日期；工程未经竣工验收，发包人擅自使用的，以转移占有工程之日为实际竣工日期。</w:t>
      </w:r>
    </w:p>
    <w:p w14:paraId="5BB752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13.2.4 拒绝接收全部或部分工程</w:t>
      </w:r>
    </w:p>
    <w:p w14:paraId="08DE3A2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4AF45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13.2.5 移交、接收全部与部分工程</w:t>
      </w:r>
    </w:p>
    <w:p w14:paraId="67B9D45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除专用合同条款另有约定外，合同当事人应当在颁发工程接收证书后7天内完成工程的移交。</w:t>
      </w:r>
    </w:p>
    <w:p w14:paraId="7EE76E3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0F0440B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承包人无正当理由不移交工程的，承包人应承担工程照管、成品保护、保管等与工程有关的各项费用，合同当事人可以在专用合同条款中另行约定承包人无正当理由不移交工程的违约责任。</w:t>
      </w:r>
    </w:p>
    <w:p w14:paraId="7DA476AA">
      <w:pPr>
        <w:widowControl/>
        <w:spacing w:line="360" w:lineRule="auto"/>
        <w:jc w:val="left"/>
        <w:outlineLvl w:val="4"/>
        <w:rPr>
          <w:rFonts w:ascii="宋体" w:hAnsi="宋体" w:eastAsia="宋体" w:cs="宋体"/>
          <w:b/>
          <w:bCs/>
          <w:kern w:val="0"/>
          <w:sz w:val="21"/>
          <w:szCs w:val="21"/>
        </w:rPr>
      </w:pPr>
      <w:bookmarkStart w:id="885" w:name="_Toc351203589"/>
      <w:bookmarkEnd w:id="885"/>
      <w:bookmarkStart w:id="886" w:name="_Toc296346612"/>
      <w:bookmarkEnd w:id="886"/>
      <w:bookmarkStart w:id="887" w:name="_Toc532377277"/>
      <w:bookmarkEnd w:id="887"/>
      <w:bookmarkStart w:id="888" w:name="_Toc296503111"/>
      <w:bookmarkEnd w:id="888"/>
      <w:bookmarkStart w:id="889" w:name="_Toc337558807"/>
      <w:r>
        <w:rPr>
          <w:rFonts w:hint="eastAsia" w:ascii="宋体" w:hAnsi="宋体" w:eastAsia="宋体" w:cs="宋体"/>
          <w:b/>
          <w:bCs/>
          <w:kern w:val="0"/>
          <w:sz w:val="21"/>
          <w:szCs w:val="21"/>
        </w:rPr>
        <w:t>13.3工程试车</w:t>
      </w:r>
      <w:bookmarkEnd w:id="889"/>
    </w:p>
    <w:p w14:paraId="3782069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13.3.1试车程序</w:t>
      </w:r>
    </w:p>
    <w:p w14:paraId="6DDE1FA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工程需要试车的，除专用合同条款另有约定外，试车内容应与承包人承包范围相一致，试车费用由承包人承担。工程试车应按如下程序进行：</w:t>
      </w:r>
    </w:p>
    <w:p w14:paraId="194C71B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3B5BF84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AE2A31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5AF924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13.3.2 试车中的责任</w:t>
      </w:r>
    </w:p>
    <w:p w14:paraId="3AC8C3D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BC6786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6663168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13.3.3 投料试车</w:t>
      </w:r>
    </w:p>
    <w:p w14:paraId="74DA8E6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如需进行投料试车的，发包人应在工程竣工验收后组织投料试车。发包人要求在工程竣工验收前进行或需要承包人配合时，应征得承包人同意，并在专用合同条款中约定有关事项。</w:t>
      </w:r>
    </w:p>
    <w:p w14:paraId="693B807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0C7A59C">
      <w:pPr>
        <w:widowControl/>
        <w:spacing w:line="360" w:lineRule="auto"/>
        <w:jc w:val="left"/>
        <w:outlineLvl w:val="4"/>
        <w:rPr>
          <w:rFonts w:ascii="宋体" w:hAnsi="宋体" w:eastAsia="宋体" w:cs="宋体"/>
          <w:b/>
          <w:bCs/>
          <w:kern w:val="0"/>
          <w:sz w:val="21"/>
          <w:szCs w:val="21"/>
        </w:rPr>
      </w:pPr>
      <w:bookmarkStart w:id="890" w:name="_Toc532377278"/>
      <w:bookmarkEnd w:id="890"/>
      <w:r>
        <w:rPr>
          <w:rFonts w:hint="eastAsia" w:ascii="宋体" w:hAnsi="宋体" w:eastAsia="宋体" w:cs="宋体"/>
          <w:b/>
          <w:bCs/>
          <w:kern w:val="0"/>
          <w:sz w:val="21"/>
          <w:szCs w:val="21"/>
        </w:rPr>
        <w:t>13.4提前交付单位工程的验收</w:t>
      </w:r>
    </w:p>
    <w:p w14:paraId="7F4B9E5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13.4.1 发包人需要在工程竣工前使用单位工程的，或承包人提出提前交付已经竣工的单位工程且经发包人同意的，可进行单位工程验收，验收的程序按照第13.2款〔竣工验收〕的约定进行。</w:t>
      </w:r>
    </w:p>
    <w:p w14:paraId="574963C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2E057D1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13.4.2 发包人要求在工程竣工前交付单位工程，由此导致承包人费用增加和（或）工期延误的，由发包人承担由此增加的费用和（或）延误的工期，并支付承包人合理的利润。</w:t>
      </w:r>
    </w:p>
    <w:p w14:paraId="59018880">
      <w:pPr>
        <w:widowControl/>
        <w:spacing w:line="360" w:lineRule="auto"/>
        <w:jc w:val="left"/>
        <w:outlineLvl w:val="4"/>
        <w:rPr>
          <w:rFonts w:ascii="宋体" w:hAnsi="宋体" w:eastAsia="宋体" w:cs="宋体"/>
          <w:b/>
          <w:bCs/>
          <w:kern w:val="0"/>
          <w:sz w:val="21"/>
          <w:szCs w:val="21"/>
        </w:rPr>
      </w:pPr>
      <w:bookmarkStart w:id="891" w:name="_Toc532377279"/>
      <w:bookmarkEnd w:id="891"/>
      <w:bookmarkStart w:id="892" w:name="_Toc351203591"/>
      <w:r>
        <w:rPr>
          <w:rFonts w:hint="eastAsia" w:ascii="宋体" w:hAnsi="宋体" w:eastAsia="宋体" w:cs="宋体"/>
          <w:b/>
          <w:bCs/>
          <w:kern w:val="0"/>
          <w:sz w:val="21"/>
          <w:szCs w:val="21"/>
        </w:rPr>
        <w:t>13.5 施工期运行</w:t>
      </w:r>
      <w:bookmarkEnd w:id="892"/>
    </w:p>
    <w:p w14:paraId="3D7BEE1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F4ED67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13.5.2 在施工期运行中发现工程或工程设备损坏或存在缺陷的，由承包人按第15.2款〔缺陷责任期〕约定进行修复。</w:t>
      </w:r>
    </w:p>
    <w:p w14:paraId="0CD81C48">
      <w:pPr>
        <w:widowControl/>
        <w:spacing w:line="360" w:lineRule="auto"/>
        <w:jc w:val="left"/>
        <w:outlineLvl w:val="4"/>
        <w:rPr>
          <w:rFonts w:ascii="宋体" w:hAnsi="宋体" w:eastAsia="宋体" w:cs="宋体"/>
          <w:b/>
          <w:bCs/>
          <w:kern w:val="0"/>
          <w:sz w:val="21"/>
          <w:szCs w:val="21"/>
        </w:rPr>
      </w:pPr>
      <w:bookmarkStart w:id="893" w:name="_Toc296346613"/>
      <w:bookmarkEnd w:id="893"/>
      <w:bookmarkStart w:id="894" w:name="_Toc351203592"/>
      <w:bookmarkEnd w:id="894"/>
      <w:bookmarkStart w:id="895" w:name="_Toc296503112"/>
      <w:bookmarkEnd w:id="895"/>
      <w:bookmarkStart w:id="896" w:name="_Toc532377280"/>
      <w:bookmarkEnd w:id="896"/>
      <w:bookmarkStart w:id="897" w:name="_Toc337558809"/>
      <w:r>
        <w:rPr>
          <w:rFonts w:hint="eastAsia" w:ascii="宋体" w:hAnsi="宋体" w:eastAsia="宋体" w:cs="宋体"/>
          <w:b/>
          <w:bCs/>
          <w:kern w:val="0"/>
          <w:sz w:val="21"/>
          <w:szCs w:val="21"/>
        </w:rPr>
        <w:t>13.6 竣工退</w:t>
      </w:r>
      <w:bookmarkEnd w:id="897"/>
      <w:r>
        <w:rPr>
          <w:rFonts w:hint="eastAsia" w:ascii="宋体" w:hAnsi="宋体" w:eastAsia="宋体" w:cs="宋体"/>
          <w:b/>
          <w:bCs/>
          <w:kern w:val="0"/>
          <w:sz w:val="21"/>
          <w:szCs w:val="21"/>
        </w:rPr>
        <w:t>场</w:t>
      </w:r>
    </w:p>
    <w:p w14:paraId="512C66E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13.6.1 竣工退场</w:t>
      </w:r>
    </w:p>
    <w:p w14:paraId="6DD2807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颁发工程接收证书后，承包人应按以下要求对施工现场进行清理：</w:t>
      </w:r>
    </w:p>
    <w:p w14:paraId="60FE2F3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（1）施工现场内残留的垃圾已全部清除出场；</w:t>
      </w:r>
    </w:p>
    <w:p w14:paraId="0A18B42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（2）临时工程已拆除，场地已进行清理、平整或复原；</w:t>
      </w:r>
    </w:p>
    <w:p w14:paraId="1D6A87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（3）按合同约定应撤离的人员、承包人施工设备和剩余的材料，包括废弃的施工设备和材料，已按计划撤离施工现场；</w:t>
      </w:r>
    </w:p>
    <w:p w14:paraId="1409981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（4）施工现场周边及其附近道路、河道的施工堆积物，已全部清理；</w:t>
      </w:r>
    </w:p>
    <w:p w14:paraId="63D40D0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（5）施工现场其他场地清理工作已全部完成。</w:t>
      </w:r>
    </w:p>
    <w:p w14:paraId="6E6DE28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D15EFD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13.6.2 地表还原</w:t>
      </w:r>
    </w:p>
    <w:p w14:paraId="1B35156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4E34246D">
      <w:pPr>
        <w:keepNext/>
        <w:keepLines/>
        <w:spacing w:before="156" w:beforeLines="50" w:after="156" w:afterLines="50" w:line="360" w:lineRule="auto"/>
        <w:outlineLvl w:val="3"/>
        <w:rPr>
          <w:rFonts w:ascii="宋体" w:hAnsi="宋体" w:eastAsia="宋体" w:cs="宋体"/>
          <w:b/>
          <w:sz w:val="21"/>
          <w:szCs w:val="21"/>
        </w:rPr>
      </w:pPr>
      <w:bookmarkStart w:id="898" w:name="_Toc296346614"/>
      <w:bookmarkEnd w:id="898"/>
      <w:bookmarkStart w:id="899" w:name="_Toc532375600"/>
      <w:bookmarkEnd w:id="899"/>
      <w:bookmarkStart w:id="900" w:name="_Toc351203593"/>
      <w:bookmarkEnd w:id="900"/>
      <w:bookmarkStart w:id="901" w:name="_Toc532377281"/>
      <w:bookmarkEnd w:id="901"/>
      <w:bookmarkStart w:id="902" w:name="_Toc337558810"/>
      <w:bookmarkEnd w:id="902"/>
      <w:bookmarkStart w:id="903" w:name="_Toc296503113"/>
      <w:r>
        <w:rPr>
          <w:rFonts w:hint="eastAsia" w:ascii="宋体" w:hAnsi="宋体" w:eastAsia="宋体" w:cs="宋体"/>
          <w:b/>
          <w:bCs/>
          <w:sz w:val="21"/>
          <w:szCs w:val="21"/>
        </w:rPr>
        <w:t>14. 竣工结算</w:t>
      </w:r>
      <w:bookmarkEnd w:id="903"/>
    </w:p>
    <w:p w14:paraId="2125FB41">
      <w:pPr>
        <w:widowControl/>
        <w:spacing w:line="360" w:lineRule="auto"/>
        <w:jc w:val="left"/>
        <w:outlineLvl w:val="4"/>
        <w:rPr>
          <w:rFonts w:ascii="宋体" w:hAnsi="宋体" w:eastAsia="宋体" w:cs="宋体"/>
          <w:b/>
          <w:bCs/>
          <w:kern w:val="0"/>
          <w:sz w:val="21"/>
          <w:szCs w:val="21"/>
        </w:rPr>
      </w:pPr>
      <w:bookmarkStart w:id="904" w:name="_Toc337558811"/>
      <w:bookmarkEnd w:id="904"/>
      <w:bookmarkStart w:id="905" w:name="_Toc351203594"/>
      <w:bookmarkEnd w:id="905"/>
      <w:bookmarkStart w:id="906" w:name="_Toc532377282"/>
      <w:r>
        <w:rPr>
          <w:rFonts w:hint="eastAsia" w:ascii="宋体" w:hAnsi="宋体" w:eastAsia="宋体" w:cs="宋体"/>
          <w:b/>
          <w:bCs/>
          <w:kern w:val="0"/>
          <w:sz w:val="21"/>
          <w:szCs w:val="21"/>
        </w:rPr>
        <w:t>14.1 竣工结算申请</w:t>
      </w:r>
      <w:bookmarkEnd w:id="906"/>
    </w:p>
    <w:p w14:paraId="0F23128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3C7B26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除专用合同条款另有约定外，竣工结算申请单应包括以下内容：</w:t>
      </w:r>
    </w:p>
    <w:p w14:paraId="5CA48E2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（1）竣工结算合同价格；</w:t>
      </w:r>
    </w:p>
    <w:p w14:paraId="53557A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（2）发包人已支付承包人的款项；</w:t>
      </w:r>
    </w:p>
    <w:p w14:paraId="3CBF9A9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（3）应扣留的质量保证金。已缴纳履约保证金的或提供其他工程质量担保方式的除外； </w:t>
      </w:r>
    </w:p>
    <w:p w14:paraId="29A6BB1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（4）发包人应支付承包人的合同价款。</w:t>
      </w:r>
    </w:p>
    <w:p w14:paraId="7FCA6092">
      <w:pPr>
        <w:widowControl/>
        <w:spacing w:line="360" w:lineRule="auto"/>
        <w:jc w:val="left"/>
        <w:outlineLvl w:val="4"/>
        <w:rPr>
          <w:rFonts w:ascii="宋体" w:hAnsi="宋体" w:eastAsia="宋体" w:cs="宋体"/>
          <w:b/>
          <w:bCs/>
          <w:kern w:val="0"/>
          <w:sz w:val="21"/>
          <w:szCs w:val="21"/>
        </w:rPr>
      </w:pPr>
      <w:bookmarkStart w:id="907" w:name="_Toc351203595"/>
      <w:bookmarkEnd w:id="907"/>
      <w:bookmarkStart w:id="908" w:name="_Toc337558812"/>
      <w:bookmarkEnd w:id="908"/>
      <w:bookmarkStart w:id="909" w:name="_Toc532377283"/>
      <w:r>
        <w:rPr>
          <w:rFonts w:hint="eastAsia" w:ascii="宋体" w:hAnsi="宋体" w:eastAsia="宋体" w:cs="宋体"/>
          <w:b/>
          <w:bCs/>
          <w:kern w:val="0"/>
          <w:sz w:val="21"/>
          <w:szCs w:val="21"/>
        </w:rPr>
        <w:t>14.2 竣工结算审核</w:t>
      </w:r>
      <w:bookmarkEnd w:id="909"/>
    </w:p>
    <w:p w14:paraId="37C9397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79EDF8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C3CCE0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80B756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E10CA7B">
      <w:pPr>
        <w:widowControl/>
        <w:spacing w:line="360" w:lineRule="auto"/>
        <w:jc w:val="left"/>
        <w:outlineLvl w:val="4"/>
        <w:rPr>
          <w:rFonts w:ascii="宋体" w:hAnsi="宋体" w:eastAsia="宋体" w:cs="宋体"/>
          <w:b/>
          <w:bCs/>
          <w:kern w:val="0"/>
          <w:sz w:val="21"/>
          <w:szCs w:val="21"/>
        </w:rPr>
      </w:pPr>
      <w:bookmarkStart w:id="910" w:name="_Toc532377284"/>
      <w:bookmarkEnd w:id="910"/>
      <w:bookmarkStart w:id="911" w:name="_Toc351203596"/>
      <w:bookmarkEnd w:id="911"/>
      <w:bookmarkStart w:id="912" w:name="_Toc337558813"/>
      <w:r>
        <w:rPr>
          <w:rFonts w:hint="eastAsia" w:ascii="宋体" w:hAnsi="宋体" w:eastAsia="宋体" w:cs="宋体"/>
          <w:b/>
          <w:bCs/>
          <w:kern w:val="0"/>
          <w:sz w:val="21"/>
          <w:szCs w:val="21"/>
        </w:rPr>
        <w:t>14.3 甩项竣工协议</w:t>
      </w:r>
      <w:bookmarkEnd w:id="912"/>
    </w:p>
    <w:p w14:paraId="03E70C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7E732C84">
      <w:pPr>
        <w:widowControl/>
        <w:spacing w:line="360" w:lineRule="auto"/>
        <w:jc w:val="left"/>
        <w:outlineLvl w:val="4"/>
        <w:rPr>
          <w:rFonts w:ascii="宋体" w:hAnsi="宋体" w:eastAsia="宋体" w:cs="宋体"/>
          <w:b/>
          <w:bCs/>
          <w:kern w:val="0"/>
          <w:sz w:val="21"/>
          <w:szCs w:val="21"/>
        </w:rPr>
      </w:pPr>
      <w:bookmarkStart w:id="913" w:name="_Toc532377285"/>
      <w:bookmarkEnd w:id="913"/>
      <w:bookmarkStart w:id="914" w:name="_Toc351203597"/>
      <w:bookmarkEnd w:id="914"/>
      <w:bookmarkStart w:id="915" w:name="_Toc337558814"/>
      <w:r>
        <w:rPr>
          <w:rFonts w:hint="eastAsia" w:ascii="宋体" w:hAnsi="宋体" w:eastAsia="宋体" w:cs="宋体"/>
          <w:b/>
          <w:bCs/>
          <w:kern w:val="0"/>
          <w:sz w:val="21"/>
          <w:szCs w:val="21"/>
        </w:rPr>
        <w:t>14.4 最终结清</w:t>
      </w:r>
      <w:bookmarkEnd w:id="915"/>
    </w:p>
    <w:p w14:paraId="71EC465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14.4.1 最终结清申请单</w:t>
      </w:r>
    </w:p>
    <w:p w14:paraId="56690B4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（1）除专用合同条款另有约定外，承包人应在缺陷责任期终止证书颁发后7天内，按专用合同条款约定的份数向发包人提交最终结清申请单，并提供相关证明材料。</w:t>
      </w:r>
    </w:p>
    <w:p w14:paraId="291EA14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除专用合同条款另有约定外，最终结清申请单应列明质量保证金、应扣除的质量保证金、缺陷责任期内发生的增减费用。</w:t>
      </w:r>
    </w:p>
    <w:p w14:paraId="0C3324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（2）发包人对最终结清申请单内容有异议的，有权要求承包人进行修正和提供补充资料，承包人应向发包人提交修正后的最终结清申请单。</w:t>
      </w:r>
    </w:p>
    <w:p w14:paraId="6EEAC93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14.4.2 最终结清证书和支付</w:t>
      </w:r>
    </w:p>
    <w:p w14:paraId="2D3155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AAD88E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4FA9D3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（3）承包人对发包人颁发的最终结清证书有异议的，按第20条〔争议解决〕的约定办理。</w:t>
      </w:r>
    </w:p>
    <w:p w14:paraId="726140DF">
      <w:pPr>
        <w:keepNext/>
        <w:keepLines/>
        <w:spacing w:before="156" w:beforeLines="50" w:after="156" w:afterLines="50" w:line="360" w:lineRule="auto"/>
        <w:outlineLvl w:val="3"/>
        <w:rPr>
          <w:rFonts w:ascii="宋体" w:hAnsi="宋体" w:eastAsia="宋体" w:cs="宋体"/>
          <w:b/>
          <w:sz w:val="21"/>
          <w:szCs w:val="21"/>
        </w:rPr>
      </w:pPr>
      <w:bookmarkStart w:id="916" w:name="_Toc532377286"/>
      <w:bookmarkEnd w:id="916"/>
      <w:bookmarkStart w:id="917" w:name="_Toc532375601"/>
      <w:bookmarkEnd w:id="917"/>
      <w:bookmarkStart w:id="918" w:name="_Toc351203598"/>
      <w:bookmarkEnd w:id="918"/>
      <w:bookmarkStart w:id="919" w:name="_Toc337558815"/>
      <w:r>
        <w:rPr>
          <w:rFonts w:hint="eastAsia" w:ascii="宋体" w:hAnsi="宋体" w:eastAsia="宋体" w:cs="宋体"/>
          <w:b/>
          <w:bCs/>
          <w:sz w:val="21"/>
          <w:szCs w:val="21"/>
        </w:rPr>
        <w:t>15. 缺陷责任与保修</w:t>
      </w:r>
      <w:bookmarkEnd w:id="919"/>
    </w:p>
    <w:p w14:paraId="249B779E">
      <w:pPr>
        <w:widowControl/>
        <w:spacing w:line="360" w:lineRule="auto"/>
        <w:jc w:val="left"/>
        <w:outlineLvl w:val="4"/>
        <w:rPr>
          <w:rFonts w:ascii="宋体" w:hAnsi="宋体" w:eastAsia="宋体" w:cs="宋体"/>
          <w:b/>
          <w:bCs/>
          <w:kern w:val="0"/>
          <w:sz w:val="21"/>
          <w:szCs w:val="21"/>
        </w:rPr>
      </w:pPr>
      <w:bookmarkStart w:id="920" w:name="_Toc337558816"/>
      <w:bookmarkEnd w:id="920"/>
      <w:bookmarkStart w:id="921" w:name="_Toc296503114"/>
      <w:bookmarkEnd w:id="921"/>
      <w:bookmarkStart w:id="922" w:name="_Toc532377287"/>
      <w:bookmarkEnd w:id="922"/>
      <w:bookmarkStart w:id="923" w:name="_Toc351203599"/>
      <w:bookmarkEnd w:id="923"/>
      <w:bookmarkStart w:id="924" w:name="_Toc296346615"/>
      <w:r>
        <w:rPr>
          <w:rFonts w:hint="eastAsia" w:ascii="宋体" w:hAnsi="宋体" w:eastAsia="宋体" w:cs="宋体"/>
          <w:b/>
          <w:bCs/>
          <w:kern w:val="0"/>
          <w:sz w:val="21"/>
          <w:szCs w:val="21"/>
        </w:rPr>
        <w:t>15.1 工程保修的原则</w:t>
      </w:r>
      <w:bookmarkEnd w:id="924"/>
    </w:p>
    <w:p w14:paraId="61EB635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在工程移交发包人后，因承包人原因产生的质量缺陷，承包人应承担质量缺陷责任和保修义务。缺陷责任期届满，承包人仍应按合同约定的工程各部位保修年限承担保修义务。</w:t>
      </w:r>
    </w:p>
    <w:p w14:paraId="1C91E269">
      <w:pPr>
        <w:widowControl/>
        <w:spacing w:line="360" w:lineRule="auto"/>
        <w:jc w:val="left"/>
        <w:outlineLvl w:val="4"/>
        <w:rPr>
          <w:rFonts w:ascii="宋体" w:hAnsi="宋体" w:eastAsia="宋体" w:cs="宋体"/>
          <w:b/>
          <w:bCs/>
          <w:kern w:val="0"/>
          <w:sz w:val="21"/>
          <w:szCs w:val="21"/>
        </w:rPr>
      </w:pPr>
      <w:bookmarkStart w:id="925" w:name="_Toc351203600"/>
      <w:bookmarkEnd w:id="925"/>
      <w:bookmarkStart w:id="926" w:name="_Toc337558817"/>
      <w:bookmarkEnd w:id="926"/>
      <w:bookmarkStart w:id="927" w:name="_Toc532377288"/>
      <w:r>
        <w:rPr>
          <w:rFonts w:hint="eastAsia" w:ascii="宋体" w:hAnsi="宋体" w:eastAsia="宋体" w:cs="宋体"/>
          <w:b/>
          <w:bCs/>
          <w:kern w:val="0"/>
          <w:sz w:val="21"/>
          <w:szCs w:val="21"/>
        </w:rPr>
        <w:t>15.2 缺陷责任期</w:t>
      </w:r>
      <w:bookmarkEnd w:id="927"/>
    </w:p>
    <w:p w14:paraId="324032E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15.2.1 缺陷责任期从工程通过竣工验收之日起计算，合同当事人应在专用合同条款约定缺陷责任期的具体期限，但该期限最长不超过24个月。</w:t>
      </w:r>
    </w:p>
    <w:p w14:paraId="29B897C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78734DD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E397C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由他人原因造成的缺陷，发包人负责组织维修，承包人不承担费用，且发包人不得从保证金中扣除费用。</w:t>
      </w:r>
    </w:p>
    <w:p w14:paraId="7101C9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15.2.3 任何一项缺陷或损坏修复后，经检查证明其影响了工程或工程设备的使用性能，承包人应重新进行合同约定的试验和试运行，试验和试运行的全部费用应由责任方承担。</w:t>
      </w:r>
    </w:p>
    <w:p w14:paraId="7737835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47484DD0">
      <w:pPr>
        <w:widowControl/>
        <w:spacing w:line="360" w:lineRule="auto"/>
        <w:jc w:val="left"/>
        <w:outlineLvl w:val="4"/>
        <w:rPr>
          <w:rFonts w:ascii="宋体" w:hAnsi="宋体" w:eastAsia="宋体" w:cs="宋体"/>
          <w:b/>
          <w:bCs/>
          <w:kern w:val="0"/>
          <w:sz w:val="21"/>
          <w:szCs w:val="21"/>
        </w:rPr>
      </w:pPr>
      <w:bookmarkStart w:id="928" w:name="_Toc296503115"/>
      <w:bookmarkEnd w:id="928"/>
      <w:bookmarkStart w:id="929" w:name="_Toc337558818"/>
      <w:bookmarkEnd w:id="929"/>
      <w:bookmarkStart w:id="930" w:name="_Toc351203601"/>
      <w:bookmarkEnd w:id="930"/>
      <w:bookmarkStart w:id="931" w:name="_Toc532377289"/>
      <w:bookmarkEnd w:id="931"/>
      <w:bookmarkStart w:id="932" w:name="_Toc296346616"/>
      <w:r>
        <w:rPr>
          <w:rFonts w:hint="eastAsia" w:ascii="宋体" w:hAnsi="宋体" w:eastAsia="宋体" w:cs="宋体"/>
          <w:b/>
          <w:bCs/>
          <w:kern w:val="0"/>
          <w:sz w:val="21"/>
          <w:szCs w:val="21"/>
        </w:rPr>
        <w:t>15.3 质量保证金</w:t>
      </w:r>
      <w:bookmarkEnd w:id="932"/>
    </w:p>
    <w:p w14:paraId="37BAFFC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经合同当事人协商一致扣留质量保证金的，应在专用合同条款中予以明确。</w:t>
      </w:r>
    </w:p>
    <w:p w14:paraId="0BDE5DF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在工程项目竣工前，承包人已经提供履约担保的，发包人不得同时预留工程质量保证金。</w:t>
      </w:r>
    </w:p>
    <w:p w14:paraId="04DEC52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15.3.1 承包人提供质量保证金的方式</w:t>
      </w:r>
    </w:p>
    <w:p w14:paraId="3F2296D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承包人提供质量保证金有以下三种方式：</w:t>
      </w:r>
    </w:p>
    <w:p w14:paraId="56C86D2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（1）质量保证金保函；</w:t>
      </w:r>
    </w:p>
    <w:p w14:paraId="36D2987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（2）相应比例的工程款；</w:t>
      </w:r>
    </w:p>
    <w:p w14:paraId="2A028CB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（3）双方约定的其他方式。</w:t>
      </w:r>
    </w:p>
    <w:p w14:paraId="4662C2E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除专用合同条款另有约定外，质量保证金原则上采用上述第（1）种方式。</w:t>
      </w:r>
    </w:p>
    <w:p w14:paraId="1D666C5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15.3.2 质量保证金的扣留</w:t>
      </w:r>
    </w:p>
    <w:p w14:paraId="60595E5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质量保证金的扣留有以下三种方式：</w:t>
      </w:r>
    </w:p>
    <w:p w14:paraId="2A54ABE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（1）在支付工程进度款时逐次扣留，在此情形下，质量保证金的计算基数不包括预付款的支付、扣回以及价格调整的金额；</w:t>
      </w:r>
    </w:p>
    <w:p w14:paraId="663B8A9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（2）工</w:t>
      </w:r>
      <w:bookmarkStart w:id="933" w:name="#go6"/>
      <w:bookmarkEnd w:id="933"/>
      <w:r>
        <w:rPr>
          <w:rFonts w:hint="eastAsia" w:ascii="宋体" w:hAnsi="宋体" w:eastAsia="宋体" w:cs="Times New Roman"/>
          <w:kern w:val="0"/>
          <w:sz w:val="21"/>
          <w:szCs w:val="21"/>
        </w:rPr>
        <w:t>程竣工结算时一次性扣留质量保证金；</w:t>
      </w:r>
    </w:p>
    <w:p w14:paraId="7EC87DE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（3）双方约定的其他扣留方式。</w:t>
      </w:r>
    </w:p>
    <w:p w14:paraId="7C46EC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除专用合同条款另有约定外，质量保证金的扣留原则上采用上述第（1）种方式。</w:t>
      </w:r>
    </w:p>
    <w:p w14:paraId="1D78B9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w:t>
      </w:r>
      <w:bookmarkStart w:id="934" w:name="#go4"/>
      <w:bookmarkEnd w:id="934"/>
      <w:r>
        <w:rPr>
          <w:rFonts w:hint="eastAsia" w:ascii="宋体" w:hAnsi="宋体" w:eastAsia="宋体" w:cs="Times New Roman"/>
          <w:kern w:val="0"/>
          <w:sz w:val="21"/>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01CCE8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发包人在退还质量保证金的同时按照中国人民银行发布的同期同类贷款基准利率支付利息。</w:t>
      </w:r>
    </w:p>
    <w:p w14:paraId="32457E5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15.3.3 质量保证金的退还</w:t>
      </w:r>
    </w:p>
    <w:p w14:paraId="613D589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缺陷责任期内，承包人认真履行合同约定的责任，到期后，承包人可向发包人申请返还保证金。</w:t>
      </w:r>
    </w:p>
    <w:p w14:paraId="2D0667C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DAFEB9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发包人和承包人对保证金预留、返还以及工程维修质量、费用有争议的，按合同第20条约定的争议和纠纷解决程序处理。</w:t>
      </w:r>
    </w:p>
    <w:p w14:paraId="089016A8">
      <w:pPr>
        <w:widowControl/>
        <w:spacing w:line="360" w:lineRule="auto"/>
        <w:jc w:val="left"/>
        <w:outlineLvl w:val="4"/>
        <w:rPr>
          <w:rFonts w:ascii="宋体" w:hAnsi="宋体" w:eastAsia="宋体" w:cs="宋体"/>
          <w:b/>
          <w:bCs/>
          <w:kern w:val="0"/>
          <w:sz w:val="21"/>
          <w:szCs w:val="21"/>
        </w:rPr>
      </w:pPr>
      <w:bookmarkStart w:id="935" w:name="_Toc351203602"/>
      <w:bookmarkEnd w:id="935"/>
      <w:bookmarkStart w:id="936" w:name="_Toc532377290"/>
      <w:bookmarkEnd w:id="936"/>
      <w:bookmarkStart w:id="937" w:name="_Toc337558819"/>
      <w:r>
        <w:rPr>
          <w:rFonts w:hint="eastAsia" w:ascii="宋体" w:hAnsi="宋体" w:eastAsia="宋体" w:cs="宋体"/>
          <w:b/>
          <w:bCs/>
          <w:kern w:val="0"/>
          <w:sz w:val="21"/>
          <w:szCs w:val="21"/>
        </w:rPr>
        <w:t>15.4 保修</w:t>
      </w:r>
      <w:bookmarkEnd w:id="937"/>
    </w:p>
    <w:p w14:paraId="2E43F36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15.4.1保修责任</w:t>
      </w:r>
    </w:p>
    <w:p w14:paraId="36473B3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54AB9E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发包人未经竣工验收擅自使用工程的，保修期自转移占有之日起算。</w:t>
      </w:r>
    </w:p>
    <w:p w14:paraId="47D5628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15.4.2 修复费用</w:t>
      </w:r>
    </w:p>
    <w:p w14:paraId="72A4E55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保修期内，修复的费用按照以下约定处理：</w:t>
      </w:r>
    </w:p>
    <w:p w14:paraId="6CED642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（1）保修期内，因承包人原因造成工程的缺陷、损坏，承包人应负责修复，并承担修复的费用以及因工程的缺陷、损坏造成的人身伤害和财产损失；</w:t>
      </w:r>
    </w:p>
    <w:p w14:paraId="2999DFA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（2）保修期内，因发包人使用不当造成工程的缺陷、损坏，可以委托承包人修复，但发包人应承担修复的费用，并支付承包人合理利润；</w:t>
      </w:r>
    </w:p>
    <w:p w14:paraId="7EB8CFA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（3）因其他原因造成工程的缺陷、损坏，可以委托承包人修复，发包人应承担修复的费用，并支付承包人合理的利润，因工程的缺陷、损坏造成的人身伤害和财产损失由责任方承担。</w:t>
      </w:r>
    </w:p>
    <w:p w14:paraId="51288F9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15.4.3 修复通知</w:t>
      </w:r>
    </w:p>
    <w:p w14:paraId="0D3D5FE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A17067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15.4.4 未能修复</w:t>
      </w:r>
    </w:p>
    <w:p w14:paraId="0E7C5D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8F7D35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15.4.5 承包人出入权</w:t>
      </w:r>
    </w:p>
    <w:p w14:paraId="5E3BEF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EDFC1F9">
      <w:pPr>
        <w:keepNext/>
        <w:keepLines/>
        <w:spacing w:before="156" w:beforeLines="50" w:after="156" w:afterLines="50" w:line="360" w:lineRule="auto"/>
        <w:outlineLvl w:val="3"/>
        <w:rPr>
          <w:rFonts w:ascii="宋体" w:hAnsi="宋体" w:eastAsia="宋体" w:cs="宋体"/>
          <w:b/>
          <w:sz w:val="21"/>
          <w:szCs w:val="21"/>
        </w:rPr>
      </w:pPr>
      <w:bookmarkStart w:id="938" w:name="_Toc532375602"/>
      <w:bookmarkEnd w:id="938"/>
      <w:bookmarkStart w:id="939" w:name="_Toc351203603"/>
      <w:bookmarkEnd w:id="939"/>
      <w:bookmarkStart w:id="940" w:name="_Toc532377291"/>
      <w:bookmarkEnd w:id="940"/>
      <w:bookmarkStart w:id="941" w:name="_Toc337558820"/>
      <w:r>
        <w:rPr>
          <w:rFonts w:hint="eastAsia" w:ascii="宋体" w:hAnsi="宋体" w:eastAsia="宋体" w:cs="宋体"/>
          <w:b/>
          <w:bCs/>
          <w:sz w:val="21"/>
          <w:szCs w:val="21"/>
        </w:rPr>
        <w:t>16. 违约</w:t>
      </w:r>
      <w:bookmarkEnd w:id="941"/>
    </w:p>
    <w:p w14:paraId="2E7FB81F">
      <w:pPr>
        <w:widowControl/>
        <w:spacing w:line="360" w:lineRule="auto"/>
        <w:jc w:val="left"/>
        <w:outlineLvl w:val="4"/>
        <w:rPr>
          <w:rFonts w:ascii="宋体" w:hAnsi="宋体" w:eastAsia="宋体" w:cs="宋体"/>
          <w:b/>
          <w:bCs/>
          <w:kern w:val="0"/>
          <w:sz w:val="21"/>
          <w:szCs w:val="21"/>
        </w:rPr>
      </w:pPr>
      <w:bookmarkStart w:id="942" w:name="_Toc337558821"/>
      <w:bookmarkEnd w:id="942"/>
      <w:bookmarkStart w:id="943" w:name="_Toc296346630"/>
      <w:bookmarkEnd w:id="943"/>
      <w:bookmarkStart w:id="944" w:name="_Toc296503129"/>
      <w:bookmarkEnd w:id="944"/>
      <w:bookmarkStart w:id="945" w:name="_Toc351203604"/>
      <w:bookmarkEnd w:id="945"/>
      <w:bookmarkStart w:id="946" w:name="_Toc532377292"/>
      <w:r>
        <w:rPr>
          <w:rFonts w:hint="eastAsia" w:ascii="宋体" w:hAnsi="宋体" w:eastAsia="宋体" w:cs="宋体"/>
          <w:b/>
          <w:bCs/>
          <w:kern w:val="0"/>
          <w:sz w:val="21"/>
          <w:szCs w:val="21"/>
        </w:rPr>
        <w:t>16.1 发</w:t>
      </w:r>
      <w:bookmarkEnd w:id="946"/>
      <w:r>
        <w:rPr>
          <w:rFonts w:hint="eastAsia" w:ascii="宋体" w:hAnsi="宋体" w:eastAsia="宋体" w:cs="宋体"/>
          <w:b/>
          <w:bCs/>
          <w:kern w:val="0"/>
          <w:sz w:val="21"/>
          <w:szCs w:val="21"/>
        </w:rPr>
        <w:t>包人违约</w:t>
      </w:r>
    </w:p>
    <w:p w14:paraId="038D2E2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16.1.1 发包人违约的情形</w:t>
      </w:r>
    </w:p>
    <w:p w14:paraId="1225AEE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在合同履行过程中发生的下列情形，属于发包人违约：</w:t>
      </w:r>
    </w:p>
    <w:p w14:paraId="1A55504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（1）因发包人原因未能在计划开工日期前7天内下达开工通知的；</w:t>
      </w:r>
    </w:p>
    <w:p w14:paraId="19957E7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（2）因发包人原因未能按合同约定支付合同价款的；</w:t>
      </w:r>
    </w:p>
    <w:p w14:paraId="2429309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（3）发包人违反第10.1款〔变更的范围〕第（2）项约定，自行实施被取消的工作或转由他人实施的；</w:t>
      </w:r>
    </w:p>
    <w:p w14:paraId="16C86E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（4）发包人提供的材料、工程设备的规格、数量或质量不符合合同约定，或因发包人原因导致交货日期延误或交货地点变更等情况的；</w:t>
      </w:r>
    </w:p>
    <w:p w14:paraId="4A50F5E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（5）因发包人违反合同约定造成暂停施工的；</w:t>
      </w:r>
    </w:p>
    <w:p w14:paraId="7790BEF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（6）发包人无正当理由没有在约定期限内发出复工指示，导致承包人无法复工的；</w:t>
      </w:r>
    </w:p>
    <w:p w14:paraId="6AA9CA2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（7）发包人明确表示或者以其行为表明不履行合同主要义务的；</w:t>
      </w:r>
    </w:p>
    <w:p w14:paraId="2A0620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（8）发包人未能按照合同约定履行其他义务的。</w:t>
      </w:r>
    </w:p>
    <w:p w14:paraId="410A951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4CE9AF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16.1.2 发包人违约的责任</w:t>
      </w:r>
    </w:p>
    <w:p w14:paraId="0A5E11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发包人应承担因其违约给承包人增加的费用和（或）延误的工期，并支付承包人合理的利润。此外，合同当事人可在专用合同条款中另行约定发包人违约责任的承担方式和计算方法。</w:t>
      </w:r>
    </w:p>
    <w:p w14:paraId="7F760A4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16.1.3 因发包人违约解除合同</w:t>
      </w:r>
    </w:p>
    <w:p w14:paraId="66EF1D0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5F246B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16.1.4 因发包人违约解除合同后的付款</w:t>
      </w:r>
    </w:p>
    <w:p w14:paraId="528582C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承包人按照本款约定解除合同的，发包人应在解除合同后28天内支付下列款项，并解除履约担保：</w:t>
      </w:r>
    </w:p>
    <w:p w14:paraId="45D39B2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（1）合同解除前所完成工作的价款；</w:t>
      </w:r>
    </w:p>
    <w:p w14:paraId="1814C06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（2）承包人为工程施工订购并已付款的材料、工程设备和其他物品的价款；</w:t>
      </w:r>
    </w:p>
    <w:p w14:paraId="514E1A2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（3）承包人撤离施工现场以及遣散承包人人员的款项；</w:t>
      </w:r>
    </w:p>
    <w:p w14:paraId="12133CE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（4）按照合同约定在合同解除前应支付的违约金；</w:t>
      </w:r>
    </w:p>
    <w:p w14:paraId="1575EEC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（5）按照合同约定应当支付给承包人的其他款项；</w:t>
      </w:r>
    </w:p>
    <w:p w14:paraId="7C0EAA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（6）按照合同约定应退还的质量保证金；</w:t>
      </w:r>
    </w:p>
    <w:p w14:paraId="4CCF7AE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（7）因解除合同给承包人造成的损失。</w:t>
      </w:r>
    </w:p>
    <w:p w14:paraId="0FC5D9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合同当事人未能就解除合同后的结清达成一致的，按照第20条〔争议解决〕的约定处理。</w:t>
      </w:r>
    </w:p>
    <w:p w14:paraId="2862D5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承包人应妥善做好已完工程和与工程有关的已购材料、工程设备的保护和移交工作，并将施工设备和人员撤出施工现场，发包人应为承包人撤出提供必要条件。</w:t>
      </w:r>
    </w:p>
    <w:p w14:paraId="6BFB3112">
      <w:pPr>
        <w:widowControl/>
        <w:spacing w:line="360" w:lineRule="auto"/>
        <w:jc w:val="left"/>
        <w:outlineLvl w:val="4"/>
        <w:rPr>
          <w:rFonts w:ascii="宋体" w:hAnsi="宋体" w:eastAsia="宋体" w:cs="宋体"/>
          <w:b/>
          <w:bCs/>
          <w:kern w:val="0"/>
          <w:sz w:val="21"/>
          <w:szCs w:val="21"/>
        </w:rPr>
      </w:pPr>
      <w:bookmarkStart w:id="947" w:name="_Toc351203605"/>
      <w:bookmarkEnd w:id="947"/>
      <w:bookmarkStart w:id="948" w:name="_Toc296346632"/>
      <w:bookmarkEnd w:id="948"/>
      <w:bookmarkStart w:id="949" w:name="_Toc296503131"/>
      <w:bookmarkEnd w:id="949"/>
      <w:bookmarkStart w:id="950" w:name="_Toc337558822"/>
      <w:bookmarkEnd w:id="950"/>
      <w:bookmarkStart w:id="951" w:name="_Toc532377293"/>
      <w:r>
        <w:rPr>
          <w:rFonts w:hint="eastAsia" w:ascii="宋体" w:hAnsi="宋体" w:eastAsia="宋体" w:cs="宋体"/>
          <w:b/>
          <w:bCs/>
          <w:kern w:val="0"/>
          <w:sz w:val="21"/>
          <w:szCs w:val="21"/>
        </w:rPr>
        <w:t>16.2 承包人违约</w:t>
      </w:r>
      <w:bookmarkEnd w:id="951"/>
    </w:p>
    <w:p w14:paraId="6D51168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16.2.1 承包人违约的情形</w:t>
      </w:r>
    </w:p>
    <w:p w14:paraId="787DC92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在合同履行过程中发生的下列情形，属于承包人违约：</w:t>
      </w:r>
    </w:p>
    <w:p w14:paraId="29130A6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（1）承包人违反合同约定进行转包或违法分包的；</w:t>
      </w:r>
    </w:p>
    <w:p w14:paraId="08474A1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（2）承包人违反合同约定采购和使用不合格的材料和工程设备的；</w:t>
      </w:r>
    </w:p>
    <w:p w14:paraId="038DBF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（3）因承包人原因导致工程质量不符合合同要求的； </w:t>
      </w:r>
    </w:p>
    <w:p w14:paraId="40B231B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（4）承包人违反第8.9款〔材料与设备专用要求〕的约定，未经批准，私自将已按照合同约定进入施工现场的材料或设备撤离施工现场的；</w:t>
      </w:r>
    </w:p>
    <w:p w14:paraId="5D0862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（5）承包人未能按施工进度计划及时完成合同约定的工作，造成工期延误的；</w:t>
      </w:r>
    </w:p>
    <w:p w14:paraId="052981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（6）承包人在缺陷责任期及保修期内，未能在合理期限对工程缺陷进行修复，或拒绝按发包人要求进行修复的；</w:t>
      </w:r>
    </w:p>
    <w:p w14:paraId="0E18AFB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（7）承包人明确表示或者以其行为表明不履行合同主要义务的；</w:t>
      </w:r>
    </w:p>
    <w:p w14:paraId="0080DE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（8）承包人未能按照合同约定履行其他义务的。</w:t>
      </w:r>
    </w:p>
    <w:p w14:paraId="244071C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承包人发生除本项第（7）目约定以外的其他违约情况时，监理人可向承包人发出整改通知，要求其在指定的期限内改正。</w:t>
      </w:r>
    </w:p>
    <w:p w14:paraId="1DC743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16.2.2 承包人违约的责任</w:t>
      </w:r>
    </w:p>
    <w:p w14:paraId="1D74A09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承包人应承担因其违约行为而增加的费用和（或）延误的工期。此外，合同当事人可在专用合同条款中另行约定承包人违约责任的承担方式和计算方法。</w:t>
      </w:r>
    </w:p>
    <w:p w14:paraId="2B7B2C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16.2.3 因承包人违约解除合同</w:t>
      </w:r>
    </w:p>
    <w:p w14:paraId="2BD54F4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E3F0FB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16.2.4因承包人违约解除合同后的处理</w:t>
      </w:r>
    </w:p>
    <w:p w14:paraId="34D2FBA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因承包人原因导致合同解除的，则合同当事人应在合同解除后28天内完成估价、付款和清算，并按以下约定执行：</w:t>
      </w:r>
    </w:p>
    <w:p w14:paraId="7165623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（1）合同解除后，按第4.4款〔商定或确定〕商定或确定承包人实际完成工作对应的合同价款，以及承包人已提供的材料、工程设备、施工设备和临时工程等的价值；</w:t>
      </w:r>
    </w:p>
    <w:p w14:paraId="231D68D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（2）合同解除后，承包人应支付的违约金；</w:t>
      </w:r>
    </w:p>
    <w:p w14:paraId="7255873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（3）合同解除后，因解除合同给发包人造成的损失；</w:t>
      </w:r>
    </w:p>
    <w:p w14:paraId="62D099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（4）合同解除后，承包人应按照发包人要求和监理人的指示完成现场的清理和撤离；</w:t>
      </w:r>
    </w:p>
    <w:p w14:paraId="594C854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（5）发包人和承包人应在合同解除后进行清算，出具最终结清付款证书，结清全部款项。</w:t>
      </w:r>
    </w:p>
    <w:p w14:paraId="3C05DAC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因承包人违约解除合同的，发包人有权暂停对承包人的付款，查清各项付款和已扣款项。发包人和承包人未能就合同解除后的清算和款项支付达成一致的，按照第20条〔争议解决〕的约定处理。</w:t>
      </w:r>
    </w:p>
    <w:p w14:paraId="240E118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16.2.5采购合同权益转让</w:t>
      </w:r>
    </w:p>
    <w:p w14:paraId="27099B3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CC54584">
      <w:pPr>
        <w:widowControl/>
        <w:spacing w:line="360" w:lineRule="auto"/>
        <w:jc w:val="left"/>
        <w:outlineLvl w:val="4"/>
        <w:rPr>
          <w:rFonts w:ascii="宋体" w:hAnsi="宋体" w:eastAsia="宋体" w:cs="宋体"/>
          <w:b/>
          <w:bCs/>
          <w:kern w:val="0"/>
          <w:sz w:val="21"/>
          <w:szCs w:val="21"/>
        </w:rPr>
      </w:pPr>
      <w:bookmarkStart w:id="952" w:name="_Toc532377294"/>
      <w:bookmarkEnd w:id="952"/>
      <w:bookmarkStart w:id="953" w:name="_Toc351203606"/>
      <w:r>
        <w:rPr>
          <w:rFonts w:hint="eastAsia" w:ascii="宋体" w:hAnsi="宋体" w:eastAsia="宋体" w:cs="宋体"/>
          <w:b/>
          <w:bCs/>
          <w:kern w:val="0"/>
          <w:sz w:val="21"/>
          <w:szCs w:val="21"/>
        </w:rPr>
        <w:t>16.3 第三人造成的违约</w:t>
      </w:r>
      <w:bookmarkEnd w:id="953"/>
    </w:p>
    <w:p w14:paraId="633C52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在履行合同过程中，一方当事人因第三人的原因造成违约的，应当向对方当事人承担违约责任。一方当事人和第三人之间的纠纷，依照法律规定或者按照约定解决。</w:t>
      </w:r>
    </w:p>
    <w:p w14:paraId="1E7AD64D">
      <w:pPr>
        <w:keepNext/>
        <w:keepLines/>
        <w:spacing w:before="156" w:beforeLines="50" w:after="156" w:afterLines="50" w:line="360" w:lineRule="auto"/>
        <w:outlineLvl w:val="3"/>
        <w:rPr>
          <w:rFonts w:ascii="宋体" w:hAnsi="宋体" w:eastAsia="宋体" w:cs="宋体"/>
          <w:b/>
          <w:sz w:val="21"/>
          <w:szCs w:val="21"/>
        </w:rPr>
      </w:pPr>
      <w:bookmarkStart w:id="954" w:name="_Toc296346617"/>
      <w:bookmarkEnd w:id="954"/>
      <w:bookmarkStart w:id="955" w:name="_Toc532377295"/>
      <w:bookmarkEnd w:id="955"/>
      <w:bookmarkStart w:id="956" w:name="_Toc296503116"/>
      <w:bookmarkEnd w:id="956"/>
      <w:bookmarkStart w:id="957" w:name="_Toc351203607"/>
      <w:bookmarkEnd w:id="957"/>
      <w:bookmarkStart w:id="958" w:name="_Toc532375603"/>
      <w:bookmarkEnd w:id="958"/>
      <w:bookmarkStart w:id="959" w:name="_Toc337558823"/>
      <w:r>
        <w:rPr>
          <w:rFonts w:hint="eastAsia" w:ascii="宋体" w:hAnsi="宋体" w:eastAsia="宋体" w:cs="宋体"/>
          <w:b/>
          <w:bCs/>
          <w:sz w:val="21"/>
          <w:szCs w:val="21"/>
        </w:rPr>
        <w:t>17. 不可抗力</w:t>
      </w:r>
      <w:bookmarkEnd w:id="959"/>
    </w:p>
    <w:p w14:paraId="6B02E26B">
      <w:pPr>
        <w:widowControl/>
        <w:spacing w:line="360" w:lineRule="auto"/>
        <w:jc w:val="left"/>
        <w:outlineLvl w:val="4"/>
        <w:rPr>
          <w:rFonts w:ascii="宋体" w:hAnsi="宋体" w:eastAsia="宋体" w:cs="宋体"/>
          <w:b/>
          <w:bCs/>
          <w:kern w:val="0"/>
          <w:sz w:val="21"/>
          <w:szCs w:val="21"/>
        </w:rPr>
      </w:pPr>
      <w:bookmarkStart w:id="960" w:name="_Toc351203608"/>
      <w:bookmarkEnd w:id="960"/>
      <w:bookmarkStart w:id="961" w:name="_Toc296503117"/>
      <w:bookmarkEnd w:id="961"/>
      <w:bookmarkStart w:id="962" w:name="_Toc532377296"/>
      <w:bookmarkEnd w:id="962"/>
      <w:bookmarkStart w:id="963" w:name="_Toc296346618"/>
      <w:bookmarkEnd w:id="963"/>
      <w:bookmarkStart w:id="964" w:name="_Toc337558824"/>
      <w:r>
        <w:rPr>
          <w:rFonts w:hint="eastAsia" w:ascii="宋体" w:hAnsi="宋体" w:eastAsia="宋体" w:cs="宋体"/>
          <w:b/>
          <w:bCs/>
          <w:kern w:val="0"/>
          <w:sz w:val="21"/>
          <w:szCs w:val="21"/>
        </w:rPr>
        <w:t>17.1 不可抗力的确认</w:t>
      </w:r>
      <w:bookmarkEnd w:id="964"/>
    </w:p>
    <w:p w14:paraId="132C837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600D87A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41FE5F6">
      <w:pPr>
        <w:widowControl/>
        <w:spacing w:line="360" w:lineRule="auto"/>
        <w:jc w:val="left"/>
        <w:outlineLvl w:val="4"/>
        <w:rPr>
          <w:rFonts w:ascii="宋体" w:hAnsi="宋体" w:eastAsia="宋体" w:cs="宋体"/>
          <w:b/>
          <w:bCs/>
          <w:kern w:val="0"/>
          <w:sz w:val="21"/>
          <w:szCs w:val="21"/>
        </w:rPr>
      </w:pPr>
      <w:bookmarkStart w:id="965" w:name="_Toc296346619"/>
      <w:bookmarkEnd w:id="965"/>
      <w:bookmarkStart w:id="966" w:name="_Toc337558825"/>
      <w:bookmarkEnd w:id="966"/>
      <w:bookmarkStart w:id="967" w:name="_Toc532377297"/>
      <w:bookmarkEnd w:id="967"/>
      <w:bookmarkStart w:id="968" w:name="_Toc296503118"/>
      <w:bookmarkEnd w:id="968"/>
      <w:bookmarkStart w:id="969" w:name="_Toc351203609"/>
      <w:r>
        <w:rPr>
          <w:rFonts w:hint="eastAsia" w:ascii="宋体" w:hAnsi="宋体" w:eastAsia="宋体" w:cs="宋体"/>
          <w:b/>
          <w:bCs/>
          <w:kern w:val="0"/>
          <w:sz w:val="21"/>
          <w:szCs w:val="21"/>
        </w:rPr>
        <w:t>17.2 不可抗力的通知</w:t>
      </w:r>
      <w:bookmarkEnd w:id="969"/>
    </w:p>
    <w:p w14:paraId="4DD81A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合同一方当事人遇到不可抗力事件，使其履行合同义务受到阻碍时，应立即通知合同另一方当事人和监理人，书面说明不可抗力和受阻碍的详细情况，并提供必要的证明。</w:t>
      </w:r>
    </w:p>
    <w:p w14:paraId="2D55F76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不可抗力持续发生的，合同一方当事人应及时向合同另一方当事人和监理人提交中间报告，说明不可抗力和履行合同受阻的情况，并于不可抗力事件结束后28天内提交最终报告及有关资料。</w:t>
      </w:r>
    </w:p>
    <w:p w14:paraId="270E170A">
      <w:pPr>
        <w:widowControl/>
        <w:spacing w:line="360" w:lineRule="auto"/>
        <w:jc w:val="left"/>
        <w:outlineLvl w:val="4"/>
        <w:rPr>
          <w:rFonts w:ascii="宋体" w:hAnsi="宋体" w:eastAsia="宋体" w:cs="宋体"/>
          <w:b/>
          <w:bCs/>
          <w:kern w:val="0"/>
          <w:sz w:val="21"/>
          <w:szCs w:val="21"/>
        </w:rPr>
      </w:pPr>
      <w:bookmarkStart w:id="970" w:name="_Toc532377298"/>
      <w:bookmarkEnd w:id="970"/>
      <w:r>
        <w:rPr>
          <w:rFonts w:hint="eastAsia" w:ascii="宋体" w:hAnsi="宋体" w:eastAsia="宋体" w:cs="宋体"/>
          <w:b/>
          <w:bCs/>
          <w:kern w:val="0"/>
          <w:sz w:val="21"/>
          <w:szCs w:val="21"/>
        </w:rPr>
        <w:t>17.3 不可抗力后果的承担</w:t>
      </w:r>
    </w:p>
    <w:p w14:paraId="15F85F8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17.3.1 不可抗力引起的后果及造成的损失由合同当事人按照法律规定及合同约定各自承担。不可抗力发生前已完成的工程应当按照合同约定进行计量支付。</w:t>
      </w:r>
    </w:p>
    <w:p w14:paraId="20FBBEC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17.3.2 不可抗力导致的人员伤亡、财产损失、费用增加和（或）工期延误等后果，由合同当事人按以下原则承担：</w:t>
      </w:r>
    </w:p>
    <w:p w14:paraId="7ABB85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（1）永久工程、已运至施工现场的材料和工程设备的损坏，以及因工程损坏造成的第三人人员伤亡和财产损失由发包人承担；</w:t>
      </w:r>
    </w:p>
    <w:p w14:paraId="1351BF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（2）承包人施工设备的损坏由承包人承担；</w:t>
      </w:r>
    </w:p>
    <w:p w14:paraId="2EB23F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（3）发包人和承包人承担各自人员伤亡和财产的损失；</w:t>
      </w:r>
    </w:p>
    <w:p w14:paraId="28EC87C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7704CC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（5）因不可抗力引起或将引起工期延误，发包人要求赶工的，由此增加的赶工费用由发包人承担；</w:t>
      </w:r>
    </w:p>
    <w:p w14:paraId="42558D0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（6）承包人在停工期间按照发包人要求照管、清理和修复工程的费用由发包人承担。</w:t>
      </w:r>
    </w:p>
    <w:p w14:paraId="631BC4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不可抗力发生后，合同当事人均应采取措施尽量避免和减少损失的扩大，任何一方当事人没有采取有效措施导致损失扩大的，应对扩大的损失承担责任。</w:t>
      </w:r>
    </w:p>
    <w:p w14:paraId="1AC3A4D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因合同一方迟延履行合同义务，在迟延履行期间遭遇不可抗力的，不免除其违约责任。</w:t>
      </w:r>
    </w:p>
    <w:p w14:paraId="7DF03FA9">
      <w:pPr>
        <w:widowControl/>
        <w:spacing w:line="360" w:lineRule="auto"/>
        <w:jc w:val="left"/>
        <w:outlineLvl w:val="4"/>
        <w:rPr>
          <w:rFonts w:ascii="宋体" w:hAnsi="宋体" w:eastAsia="宋体" w:cs="宋体"/>
          <w:b/>
          <w:bCs/>
          <w:kern w:val="0"/>
          <w:sz w:val="21"/>
          <w:szCs w:val="21"/>
        </w:rPr>
      </w:pPr>
      <w:bookmarkStart w:id="971" w:name="_Toc337558827"/>
      <w:bookmarkEnd w:id="971"/>
      <w:bookmarkStart w:id="972" w:name="_Toc351203611"/>
      <w:bookmarkEnd w:id="972"/>
      <w:bookmarkStart w:id="973" w:name="_Toc532377299"/>
      <w:r>
        <w:rPr>
          <w:rFonts w:hint="eastAsia" w:ascii="宋体" w:hAnsi="宋体" w:eastAsia="宋体" w:cs="宋体"/>
          <w:b/>
          <w:bCs/>
          <w:kern w:val="0"/>
          <w:sz w:val="21"/>
          <w:szCs w:val="21"/>
        </w:rPr>
        <w:t>17.4 因不可抗力解除合同</w:t>
      </w:r>
      <w:bookmarkEnd w:id="973"/>
    </w:p>
    <w:p w14:paraId="4B2E20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1CB27E3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（1）合同解除前承包人已完成工作的价款；</w:t>
      </w:r>
    </w:p>
    <w:p w14:paraId="38A2780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（2）承包人为工程订购的并已交付给承包人，或承包人有责任接受交付的材料、工程设备和其他物品的价款；</w:t>
      </w:r>
    </w:p>
    <w:p w14:paraId="112D6C9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（3）发包人要求承包人退货或解除订货合同而产生的费用，或因不能退货或解除合同而产生的损失；</w:t>
      </w:r>
    </w:p>
    <w:p w14:paraId="1101088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（4）承包人撤离施工现场以及遣散承包人人员的费用；</w:t>
      </w:r>
    </w:p>
    <w:p w14:paraId="592760B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（5）按照合同约定在合同解除前应支付给承包人的其他款项；</w:t>
      </w:r>
    </w:p>
    <w:p w14:paraId="30980D2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（6）扣减承包人按照合同约定应向发包人支付的款项；</w:t>
      </w:r>
    </w:p>
    <w:p w14:paraId="31712E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（7）双方商定或确定的其他款项。</w:t>
      </w:r>
    </w:p>
    <w:p w14:paraId="43B3DB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除专用合同条款另有约定外，合同解除后，发包人应在商定或确定上述款项后28天内完成上述款项的支付。</w:t>
      </w:r>
    </w:p>
    <w:p w14:paraId="0F732F90">
      <w:pPr>
        <w:keepNext/>
        <w:keepLines/>
        <w:spacing w:before="156" w:beforeLines="50" w:after="156" w:afterLines="50" w:line="360" w:lineRule="auto"/>
        <w:outlineLvl w:val="3"/>
        <w:rPr>
          <w:rFonts w:ascii="宋体" w:hAnsi="宋体" w:eastAsia="宋体" w:cs="宋体"/>
          <w:b/>
          <w:sz w:val="21"/>
          <w:szCs w:val="21"/>
        </w:rPr>
      </w:pPr>
      <w:bookmarkStart w:id="974" w:name="_Toc337558828"/>
      <w:bookmarkEnd w:id="974"/>
      <w:bookmarkStart w:id="975" w:name="_Toc532377300"/>
      <w:bookmarkEnd w:id="975"/>
      <w:bookmarkStart w:id="976" w:name="_Toc296346621"/>
      <w:bookmarkEnd w:id="976"/>
      <w:bookmarkStart w:id="977" w:name="_Toc532375604"/>
      <w:bookmarkEnd w:id="977"/>
      <w:bookmarkStart w:id="978" w:name="_Toc351203612"/>
      <w:bookmarkEnd w:id="978"/>
      <w:bookmarkStart w:id="979" w:name="_Toc296503120"/>
      <w:r>
        <w:rPr>
          <w:rFonts w:hint="eastAsia" w:ascii="宋体" w:hAnsi="宋体" w:eastAsia="宋体" w:cs="宋体"/>
          <w:b/>
          <w:bCs/>
          <w:sz w:val="21"/>
          <w:szCs w:val="21"/>
        </w:rPr>
        <w:t>18. 保险</w:t>
      </w:r>
      <w:bookmarkEnd w:id="979"/>
    </w:p>
    <w:p w14:paraId="677952CF">
      <w:pPr>
        <w:widowControl/>
        <w:spacing w:line="360" w:lineRule="auto"/>
        <w:jc w:val="left"/>
        <w:outlineLvl w:val="4"/>
        <w:rPr>
          <w:rFonts w:ascii="宋体" w:hAnsi="宋体" w:eastAsia="宋体" w:cs="宋体"/>
          <w:b/>
          <w:bCs/>
          <w:kern w:val="0"/>
          <w:sz w:val="21"/>
          <w:szCs w:val="21"/>
        </w:rPr>
      </w:pPr>
      <w:bookmarkStart w:id="980" w:name="_Toc296346622"/>
      <w:bookmarkEnd w:id="980"/>
      <w:bookmarkStart w:id="981" w:name="_Toc351203613"/>
      <w:bookmarkEnd w:id="981"/>
      <w:bookmarkStart w:id="982" w:name="_Toc337558829"/>
      <w:bookmarkEnd w:id="982"/>
      <w:bookmarkStart w:id="983" w:name="_Toc532377301"/>
      <w:bookmarkEnd w:id="983"/>
      <w:bookmarkStart w:id="984" w:name="_Toc296503121"/>
      <w:r>
        <w:rPr>
          <w:rFonts w:hint="eastAsia" w:ascii="宋体" w:hAnsi="宋体" w:eastAsia="宋体" w:cs="宋体"/>
          <w:b/>
          <w:bCs/>
          <w:kern w:val="0"/>
          <w:sz w:val="21"/>
          <w:szCs w:val="21"/>
        </w:rPr>
        <w:t>18.1 工程保险</w:t>
      </w:r>
      <w:bookmarkEnd w:id="984"/>
    </w:p>
    <w:p w14:paraId="50F6E8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除专用合同条款另有约定外，发包人应投保建筑工程一切险或安装工程一切险；发包人委托承包人投保的，因投保产生的保险费和其他相关费用由发包人承担。</w:t>
      </w:r>
    </w:p>
    <w:p w14:paraId="7CDCE607">
      <w:pPr>
        <w:widowControl/>
        <w:spacing w:line="360" w:lineRule="auto"/>
        <w:jc w:val="left"/>
        <w:outlineLvl w:val="4"/>
        <w:rPr>
          <w:rFonts w:ascii="宋体" w:hAnsi="宋体" w:eastAsia="宋体" w:cs="宋体"/>
          <w:b/>
          <w:bCs/>
          <w:kern w:val="0"/>
          <w:sz w:val="21"/>
          <w:szCs w:val="21"/>
        </w:rPr>
      </w:pPr>
      <w:bookmarkStart w:id="985" w:name="_Toc351203614"/>
      <w:bookmarkEnd w:id="985"/>
      <w:bookmarkStart w:id="986" w:name="_Toc296503122"/>
      <w:bookmarkEnd w:id="986"/>
      <w:bookmarkStart w:id="987" w:name="_Toc532377302"/>
      <w:bookmarkEnd w:id="987"/>
      <w:bookmarkStart w:id="988" w:name="_Toc337558830"/>
      <w:bookmarkEnd w:id="988"/>
      <w:bookmarkStart w:id="989" w:name="_Toc296346623"/>
      <w:r>
        <w:rPr>
          <w:rFonts w:hint="eastAsia" w:ascii="宋体" w:hAnsi="宋体" w:eastAsia="宋体" w:cs="宋体"/>
          <w:b/>
          <w:bCs/>
          <w:kern w:val="0"/>
          <w:sz w:val="21"/>
          <w:szCs w:val="21"/>
        </w:rPr>
        <w:t>18.2 工伤保险</w:t>
      </w:r>
      <w:bookmarkEnd w:id="989"/>
    </w:p>
    <w:p w14:paraId="7FA851C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18.2.1 发包人应依照法律规定参加工伤保险，并为在施工现场的全部员工办理工伤保险，缴纳工伤保险费，并要求监理人及由发包人为履行合同聘请的第三方依法参加工伤保险。</w:t>
      </w:r>
    </w:p>
    <w:p w14:paraId="4A9CF7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18.2.2 承包人应依照法律规定参加工伤保险，并为其履行合同的全部员工办理工伤保险，缴纳工伤保险费，并要求分包人及由承包人为履行合同聘请的第三方依法参加工伤保险。</w:t>
      </w:r>
    </w:p>
    <w:p w14:paraId="0D97C72F">
      <w:pPr>
        <w:widowControl/>
        <w:spacing w:line="360" w:lineRule="auto"/>
        <w:jc w:val="left"/>
        <w:outlineLvl w:val="4"/>
        <w:rPr>
          <w:rFonts w:ascii="宋体" w:hAnsi="宋体" w:eastAsia="宋体" w:cs="宋体"/>
          <w:b/>
          <w:bCs/>
          <w:kern w:val="0"/>
          <w:sz w:val="21"/>
          <w:szCs w:val="21"/>
        </w:rPr>
      </w:pPr>
      <w:bookmarkStart w:id="990" w:name="_Toc296503125"/>
      <w:bookmarkEnd w:id="990"/>
      <w:bookmarkStart w:id="991" w:name="_Toc337558831"/>
      <w:bookmarkEnd w:id="991"/>
      <w:bookmarkStart w:id="992" w:name="_Toc296346626"/>
      <w:bookmarkEnd w:id="992"/>
      <w:bookmarkStart w:id="993" w:name="_Toc351203615"/>
      <w:bookmarkEnd w:id="993"/>
      <w:bookmarkStart w:id="994" w:name="_Toc532377303"/>
      <w:r>
        <w:rPr>
          <w:rFonts w:hint="eastAsia" w:ascii="宋体" w:hAnsi="宋体" w:eastAsia="宋体" w:cs="宋体"/>
          <w:b/>
          <w:bCs/>
          <w:kern w:val="0"/>
          <w:sz w:val="21"/>
          <w:szCs w:val="21"/>
        </w:rPr>
        <w:t>18.3其他保险</w:t>
      </w:r>
      <w:bookmarkEnd w:id="994"/>
    </w:p>
    <w:p w14:paraId="17006B7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发包人和承包人可以为其施工现场的全部人员办理意外伤害保险并支付保险费，包括其员工及为履行合同聘请的第三方的人员，具体事项由合同当事人在专用合同条款约定。</w:t>
      </w:r>
    </w:p>
    <w:p w14:paraId="679A1DF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除专用合同条款另有约定外，承包人应为其施工设备等办理财产保险。</w:t>
      </w:r>
    </w:p>
    <w:p w14:paraId="2046A2F2">
      <w:pPr>
        <w:widowControl/>
        <w:spacing w:line="360" w:lineRule="auto"/>
        <w:jc w:val="left"/>
        <w:outlineLvl w:val="4"/>
        <w:rPr>
          <w:rFonts w:ascii="宋体" w:hAnsi="宋体" w:eastAsia="宋体" w:cs="宋体"/>
          <w:b/>
          <w:bCs/>
          <w:kern w:val="0"/>
          <w:sz w:val="21"/>
          <w:szCs w:val="21"/>
        </w:rPr>
      </w:pPr>
      <w:bookmarkStart w:id="995" w:name="_Toc351203616"/>
      <w:bookmarkEnd w:id="995"/>
      <w:bookmarkStart w:id="996" w:name="_Toc532377304"/>
      <w:r>
        <w:rPr>
          <w:rFonts w:hint="eastAsia" w:ascii="宋体" w:hAnsi="宋体" w:eastAsia="宋体" w:cs="宋体"/>
          <w:b/>
          <w:bCs/>
          <w:kern w:val="0"/>
          <w:sz w:val="21"/>
          <w:szCs w:val="21"/>
        </w:rPr>
        <w:t>18.4持续保险</w:t>
      </w:r>
      <w:bookmarkEnd w:id="996"/>
    </w:p>
    <w:p w14:paraId="38351D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合同当事人应与保险人保持联系，使保险人能够随时了解工程实施中的变动，并确保按保险合同条款要求持续保险。</w:t>
      </w:r>
    </w:p>
    <w:p w14:paraId="60B4E20E">
      <w:pPr>
        <w:widowControl/>
        <w:spacing w:line="360" w:lineRule="auto"/>
        <w:jc w:val="left"/>
        <w:outlineLvl w:val="4"/>
        <w:rPr>
          <w:rFonts w:ascii="宋体" w:hAnsi="宋体" w:eastAsia="宋体" w:cs="宋体"/>
          <w:b/>
          <w:bCs/>
          <w:kern w:val="0"/>
          <w:sz w:val="21"/>
          <w:szCs w:val="21"/>
        </w:rPr>
      </w:pPr>
      <w:bookmarkStart w:id="997" w:name="_Toc296503126"/>
      <w:bookmarkEnd w:id="997"/>
      <w:bookmarkStart w:id="998" w:name="_Toc532377305"/>
      <w:bookmarkEnd w:id="998"/>
      <w:bookmarkStart w:id="999" w:name="_Toc351203617"/>
      <w:bookmarkEnd w:id="999"/>
      <w:bookmarkStart w:id="1000" w:name="_Toc337558832"/>
      <w:bookmarkEnd w:id="1000"/>
      <w:bookmarkStart w:id="1001" w:name="_Toc296346627"/>
      <w:r>
        <w:rPr>
          <w:rFonts w:hint="eastAsia" w:ascii="宋体" w:hAnsi="宋体" w:eastAsia="宋体" w:cs="宋体"/>
          <w:b/>
          <w:bCs/>
          <w:kern w:val="0"/>
          <w:sz w:val="21"/>
          <w:szCs w:val="21"/>
        </w:rPr>
        <w:t>18.5 保险凭证</w:t>
      </w:r>
      <w:bookmarkEnd w:id="1001"/>
    </w:p>
    <w:p w14:paraId="4B02312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合同当事人应及时向另一方当事人提交其已投保的各项保险的凭证和保险单复印件。</w:t>
      </w:r>
    </w:p>
    <w:p w14:paraId="212CE4BA">
      <w:pPr>
        <w:widowControl/>
        <w:spacing w:line="360" w:lineRule="auto"/>
        <w:jc w:val="left"/>
        <w:outlineLvl w:val="4"/>
        <w:rPr>
          <w:rFonts w:ascii="宋体" w:hAnsi="宋体" w:eastAsia="宋体" w:cs="宋体"/>
          <w:b/>
          <w:bCs/>
          <w:kern w:val="0"/>
          <w:sz w:val="21"/>
          <w:szCs w:val="21"/>
        </w:rPr>
      </w:pPr>
      <w:bookmarkStart w:id="1002" w:name="_Toc296346628"/>
      <w:bookmarkEnd w:id="1002"/>
      <w:bookmarkStart w:id="1003" w:name="_Toc532377306"/>
      <w:bookmarkEnd w:id="1003"/>
      <w:bookmarkStart w:id="1004" w:name="_Toc337558833"/>
      <w:bookmarkEnd w:id="1004"/>
      <w:bookmarkStart w:id="1005" w:name="_Toc351203618"/>
      <w:bookmarkEnd w:id="1005"/>
      <w:bookmarkStart w:id="1006" w:name="_Toc296503127"/>
      <w:r>
        <w:rPr>
          <w:rFonts w:hint="eastAsia" w:ascii="宋体" w:hAnsi="宋体" w:eastAsia="宋体" w:cs="宋体"/>
          <w:b/>
          <w:bCs/>
          <w:kern w:val="0"/>
          <w:sz w:val="21"/>
          <w:szCs w:val="21"/>
        </w:rPr>
        <w:t>18.6 未按约定投保的补救</w:t>
      </w:r>
      <w:bookmarkEnd w:id="1006"/>
    </w:p>
    <w:p w14:paraId="38926B0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18.6.1发包人未按合同约定办理保险，或未能使保险持续有效的，则承包人可代为办理，所需费用由发包人承担。发包人未按合同约定办理保险，导致未能得到足额赔偿的，由发包人负责补足。</w:t>
      </w:r>
    </w:p>
    <w:p w14:paraId="0849F4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18.6.2承包人未按合同约定办理保险，或未能使保险持续有效的，则发包人可代为办理，所需费用由承包人承担。承包人未按合同约定办理保险，导致未能得到足额赔偿的，由承包人负责补足。</w:t>
      </w:r>
    </w:p>
    <w:p w14:paraId="42BAFE99">
      <w:pPr>
        <w:widowControl/>
        <w:spacing w:line="360" w:lineRule="auto"/>
        <w:jc w:val="left"/>
        <w:outlineLvl w:val="4"/>
        <w:rPr>
          <w:rFonts w:ascii="宋体" w:hAnsi="宋体" w:eastAsia="宋体" w:cs="宋体"/>
          <w:b/>
          <w:bCs/>
          <w:kern w:val="0"/>
          <w:sz w:val="21"/>
          <w:szCs w:val="21"/>
        </w:rPr>
      </w:pPr>
      <w:bookmarkStart w:id="1007" w:name="_Toc532377307"/>
      <w:bookmarkEnd w:id="1007"/>
      <w:bookmarkStart w:id="1008" w:name="_Toc351203619"/>
      <w:bookmarkEnd w:id="1008"/>
      <w:bookmarkStart w:id="1009" w:name="_Toc337558834"/>
      <w:r>
        <w:rPr>
          <w:rFonts w:hint="eastAsia" w:ascii="宋体" w:hAnsi="宋体" w:eastAsia="宋体" w:cs="宋体"/>
          <w:b/>
          <w:bCs/>
          <w:kern w:val="0"/>
          <w:sz w:val="21"/>
          <w:szCs w:val="21"/>
        </w:rPr>
        <w:t>18.7 通知义务</w:t>
      </w:r>
      <w:bookmarkEnd w:id="1009"/>
    </w:p>
    <w:p w14:paraId="414985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3A7172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保险事故发生时，投保人应按照保险合同规定的条件和期限及时向保险人报告。发包人和承包人应当在知道保险事故发生后及时通知对方。</w:t>
      </w:r>
    </w:p>
    <w:p w14:paraId="7AE21BA2">
      <w:pPr>
        <w:keepNext/>
        <w:keepLines/>
        <w:spacing w:before="156" w:beforeLines="50" w:after="156" w:afterLines="50" w:line="360" w:lineRule="auto"/>
        <w:outlineLvl w:val="3"/>
        <w:rPr>
          <w:rFonts w:ascii="宋体" w:hAnsi="宋体" w:eastAsia="宋体" w:cs="宋体"/>
          <w:b/>
          <w:sz w:val="21"/>
          <w:szCs w:val="21"/>
        </w:rPr>
      </w:pPr>
      <w:bookmarkStart w:id="1010" w:name="_Toc532377308"/>
      <w:bookmarkEnd w:id="1010"/>
      <w:bookmarkStart w:id="1011" w:name="_Toc532375605"/>
      <w:r>
        <w:rPr>
          <w:rFonts w:hint="eastAsia" w:ascii="宋体" w:hAnsi="宋体" w:eastAsia="宋体" w:cs="宋体"/>
          <w:b/>
          <w:bCs/>
          <w:sz w:val="21"/>
          <w:szCs w:val="21"/>
        </w:rPr>
        <w:t>19. 索赔</w:t>
      </w:r>
      <w:bookmarkEnd w:id="1011"/>
    </w:p>
    <w:p w14:paraId="71751A66">
      <w:pPr>
        <w:widowControl/>
        <w:spacing w:line="360" w:lineRule="auto"/>
        <w:jc w:val="left"/>
        <w:outlineLvl w:val="4"/>
        <w:rPr>
          <w:rFonts w:ascii="宋体" w:hAnsi="宋体" w:eastAsia="宋体" w:cs="宋体"/>
          <w:b/>
          <w:bCs/>
          <w:kern w:val="0"/>
          <w:sz w:val="21"/>
          <w:szCs w:val="21"/>
        </w:rPr>
      </w:pPr>
      <w:bookmarkStart w:id="1012" w:name="_Toc532377309"/>
      <w:bookmarkEnd w:id="1012"/>
      <w:r>
        <w:rPr>
          <w:rFonts w:hint="eastAsia" w:ascii="宋体" w:hAnsi="宋体" w:eastAsia="宋体" w:cs="宋体"/>
          <w:b/>
          <w:bCs/>
          <w:kern w:val="0"/>
          <w:sz w:val="21"/>
          <w:szCs w:val="21"/>
        </w:rPr>
        <w:t>19.1承包人的索赔</w:t>
      </w:r>
    </w:p>
    <w:p w14:paraId="4D650FF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根据合同约定，承包人认为有权得到追加付款和（或）延长工期的，应按以下程序向发包人提出索赔：</w:t>
      </w:r>
    </w:p>
    <w:p w14:paraId="57D9C9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1922EC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（2）承包人应在发出索赔意向通知书后28天内，向监理人正式递交索赔报告；索赔报告应详细说明索赔理由以及要求追加的付款金额和（或）延长的工期，并附必要的记录和证明材料；</w:t>
      </w:r>
    </w:p>
    <w:p w14:paraId="47F7A36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（3）索赔事件具有持续影响的，承包人应按合理时间间隔继续递交延续索赔通知，说明持续影响的实际情况和记录，列出累计的追加付款金额和（或）工期延长天数；</w:t>
      </w:r>
    </w:p>
    <w:p w14:paraId="0BB830D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（4）在索赔事件影响结束后28天内，承包人应向监理人递交最终索赔报告，说明最终要求索赔的追加付款金额和（或）延长的工期，并附必要的记录和证明材料。</w:t>
      </w:r>
    </w:p>
    <w:p w14:paraId="7E89663B">
      <w:pPr>
        <w:snapToGrid w:val="0"/>
        <w:spacing w:line="360" w:lineRule="auto"/>
        <w:jc w:val="left"/>
        <w:rPr>
          <w:rFonts w:ascii="Times New Roman" w:hAnsi="Times New Roman" w:eastAsia="宋体" w:cs="Times New Roman"/>
          <w:sz w:val="21"/>
          <w:szCs w:val="21"/>
        </w:rPr>
      </w:pPr>
      <w:r>
        <w:rPr>
          <w:rFonts w:hint="eastAsia" w:ascii="宋体" w:hAnsi="宋体" w:eastAsia="宋体" w:cs="Times New Roman"/>
          <w:kern w:val="0"/>
          <w:sz w:val="21"/>
          <w:szCs w:val="21"/>
        </w:rPr>
        <w:t>（5）其因政策原因造成的延期、停工、变更、终止，承包人不得向发包人索赔预期利益。</w:t>
      </w:r>
    </w:p>
    <w:p w14:paraId="42DE0712">
      <w:pPr>
        <w:widowControl/>
        <w:spacing w:line="360" w:lineRule="auto"/>
        <w:jc w:val="left"/>
        <w:outlineLvl w:val="4"/>
        <w:rPr>
          <w:rFonts w:ascii="宋体" w:hAnsi="宋体" w:eastAsia="宋体" w:cs="宋体"/>
          <w:b/>
          <w:bCs/>
          <w:kern w:val="0"/>
          <w:sz w:val="21"/>
          <w:szCs w:val="21"/>
        </w:rPr>
      </w:pPr>
      <w:bookmarkStart w:id="1013" w:name="_Toc532377310"/>
      <w:bookmarkEnd w:id="1013"/>
      <w:bookmarkStart w:id="1014" w:name="_Toc296346643"/>
      <w:bookmarkEnd w:id="1014"/>
      <w:bookmarkStart w:id="1015" w:name="_Toc351203622"/>
      <w:bookmarkEnd w:id="1015"/>
      <w:bookmarkStart w:id="1016" w:name="_Toc296503142"/>
      <w:bookmarkEnd w:id="1016"/>
      <w:bookmarkStart w:id="1017" w:name="_Toc337558837"/>
      <w:r>
        <w:rPr>
          <w:rFonts w:hint="eastAsia" w:ascii="宋体" w:hAnsi="宋体" w:eastAsia="宋体" w:cs="宋体"/>
          <w:b/>
          <w:bCs/>
          <w:kern w:val="0"/>
          <w:sz w:val="21"/>
          <w:szCs w:val="21"/>
        </w:rPr>
        <w:t>19.2 对承包人索赔的处理</w:t>
      </w:r>
      <w:bookmarkEnd w:id="1017"/>
    </w:p>
    <w:p w14:paraId="016698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对承包人索赔的处理如下：</w:t>
      </w:r>
    </w:p>
    <w:p w14:paraId="0945F2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（1）监理人应在收到索赔报告后14天内完成审查并报送发包人。监理人对索赔报告存在异议的，有权要求承包人提交全部原始记录副本；</w:t>
      </w:r>
    </w:p>
    <w:p w14:paraId="4E66C4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（2）发包人应在监理人收到索赔报告或有关索赔的进一步证明材料后的28天内，由监理人向承包人出具经发包人签认的索赔处理结果。发包人逾期答复的，则视为认可承包人的索赔要求；</w:t>
      </w:r>
    </w:p>
    <w:p w14:paraId="2083E04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（3）承包人接受索赔处理结果的，索赔款项在当期进度款中进行支付；承包人不接受索赔处理结果的，按照第20条〔争议解决〕约定处理。</w:t>
      </w:r>
    </w:p>
    <w:p w14:paraId="2D18FA5E">
      <w:pPr>
        <w:widowControl/>
        <w:spacing w:line="360" w:lineRule="auto"/>
        <w:jc w:val="left"/>
        <w:outlineLvl w:val="4"/>
        <w:rPr>
          <w:rFonts w:ascii="宋体" w:hAnsi="宋体" w:eastAsia="宋体" w:cs="宋体"/>
          <w:b/>
          <w:bCs/>
          <w:kern w:val="0"/>
          <w:sz w:val="21"/>
          <w:szCs w:val="21"/>
        </w:rPr>
      </w:pPr>
      <w:bookmarkStart w:id="1018" w:name="_Toc296503143"/>
      <w:bookmarkEnd w:id="1018"/>
      <w:bookmarkStart w:id="1019" w:name="_Toc532377311"/>
      <w:bookmarkEnd w:id="1019"/>
      <w:bookmarkStart w:id="1020" w:name="_Toc337558838"/>
      <w:bookmarkEnd w:id="1020"/>
      <w:bookmarkStart w:id="1021" w:name="_Toc351203623"/>
      <w:bookmarkEnd w:id="1021"/>
      <w:bookmarkStart w:id="1022" w:name="_Toc296346644"/>
      <w:r>
        <w:rPr>
          <w:rFonts w:hint="eastAsia" w:ascii="宋体" w:hAnsi="宋体" w:eastAsia="宋体" w:cs="宋体"/>
          <w:b/>
          <w:bCs/>
          <w:kern w:val="0"/>
          <w:sz w:val="21"/>
          <w:szCs w:val="21"/>
        </w:rPr>
        <w:t>19.3发包人的索赔</w:t>
      </w:r>
      <w:bookmarkEnd w:id="1022"/>
    </w:p>
    <w:p w14:paraId="05E639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根据合同约定，发包人认为有权得到赔付金额和（或）延长缺陷责任期的，监理人应向承包人发出通知并附有详细的证明。</w:t>
      </w:r>
    </w:p>
    <w:p w14:paraId="53D478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BBC13BE">
      <w:pPr>
        <w:widowControl/>
        <w:spacing w:line="360" w:lineRule="auto"/>
        <w:jc w:val="left"/>
        <w:outlineLvl w:val="4"/>
        <w:rPr>
          <w:rFonts w:ascii="宋体" w:hAnsi="宋体" w:eastAsia="宋体" w:cs="宋体"/>
          <w:b/>
          <w:bCs/>
          <w:kern w:val="0"/>
          <w:sz w:val="21"/>
          <w:szCs w:val="21"/>
        </w:rPr>
      </w:pPr>
      <w:bookmarkStart w:id="1023" w:name="_Toc532377312"/>
      <w:bookmarkEnd w:id="1023"/>
      <w:bookmarkStart w:id="1024" w:name="_Toc337558839"/>
      <w:bookmarkEnd w:id="1024"/>
      <w:bookmarkStart w:id="1025" w:name="_Toc351203624"/>
      <w:bookmarkEnd w:id="1025"/>
      <w:bookmarkStart w:id="1026" w:name="_Toc296503144"/>
      <w:bookmarkEnd w:id="1026"/>
      <w:bookmarkStart w:id="1027" w:name="_Toc296346645"/>
      <w:r>
        <w:rPr>
          <w:rFonts w:hint="eastAsia" w:ascii="宋体" w:hAnsi="宋体" w:eastAsia="宋体" w:cs="宋体"/>
          <w:b/>
          <w:bCs/>
          <w:kern w:val="0"/>
          <w:sz w:val="21"/>
          <w:szCs w:val="21"/>
        </w:rPr>
        <w:t>19.4 对发包人索赔的处理</w:t>
      </w:r>
      <w:bookmarkEnd w:id="1027"/>
    </w:p>
    <w:p w14:paraId="02E3EF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对发包人索赔的处理如下：</w:t>
      </w:r>
    </w:p>
    <w:p w14:paraId="7D4C0D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（1）承包人收到发包人提交的索赔报告后，应及时审查索赔报告的内容、查验发包人证明材料；</w:t>
      </w:r>
    </w:p>
    <w:p w14:paraId="323436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（2）承包人应在收到索赔报告或有关索赔的进一步证明材料后28天内，将索赔处理结果答复发包人。如果承包人未在上述期限内作出答复的，则视为对发包人索赔要求的认可；</w:t>
      </w:r>
    </w:p>
    <w:p w14:paraId="72DA024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（3）承包人接受索赔处理结果的，发包人可从应支付给承包人的合同价款中扣除赔付的金额或延长缺陷责任期；发包人不接受索赔处理结果的，按第20条〔争议解决〕约定处理。</w:t>
      </w:r>
    </w:p>
    <w:p w14:paraId="5C42FE7B">
      <w:pPr>
        <w:widowControl/>
        <w:spacing w:line="360" w:lineRule="auto"/>
        <w:jc w:val="left"/>
        <w:outlineLvl w:val="4"/>
        <w:rPr>
          <w:rFonts w:ascii="宋体" w:hAnsi="宋体" w:eastAsia="宋体" w:cs="宋体"/>
          <w:bCs/>
          <w:kern w:val="0"/>
          <w:sz w:val="21"/>
          <w:szCs w:val="21"/>
        </w:rPr>
      </w:pPr>
      <w:bookmarkStart w:id="1028" w:name="_Toc351203625"/>
      <w:bookmarkEnd w:id="1028"/>
      <w:bookmarkStart w:id="1029" w:name="_Toc532377313"/>
      <w:r>
        <w:rPr>
          <w:rFonts w:hint="eastAsia" w:ascii="宋体" w:hAnsi="宋体" w:eastAsia="宋体" w:cs="宋体"/>
          <w:bCs/>
          <w:kern w:val="0"/>
          <w:sz w:val="21"/>
          <w:szCs w:val="21"/>
        </w:rPr>
        <w:t>19.5 提出索赔的期限</w:t>
      </w:r>
      <w:bookmarkEnd w:id="1029"/>
    </w:p>
    <w:p w14:paraId="51F66F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（1）承包人按第14.2款〔竣工结算审核〕约定接收竣工付款证书后，应被视为已无权再提出在工程接收证书颁发前所发生的任何索赔。</w:t>
      </w:r>
    </w:p>
    <w:p w14:paraId="0475C3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（2）承包人按第14.4款〔最终结清〕提交的最终结清申请单中，只限于提出工程接收证书颁发后发生的索赔。提出索赔的期限自接受最终结清证书时终止。</w:t>
      </w:r>
    </w:p>
    <w:p w14:paraId="7D5D7A18">
      <w:pPr>
        <w:keepNext/>
        <w:keepLines/>
        <w:spacing w:before="156" w:beforeLines="50" w:after="156" w:afterLines="50" w:line="360" w:lineRule="auto"/>
        <w:outlineLvl w:val="3"/>
        <w:rPr>
          <w:rFonts w:ascii="宋体" w:hAnsi="宋体" w:eastAsia="宋体" w:cs="宋体"/>
          <w:b/>
          <w:sz w:val="21"/>
          <w:szCs w:val="21"/>
        </w:rPr>
      </w:pPr>
      <w:bookmarkStart w:id="1030" w:name="_Toc351203626"/>
      <w:bookmarkEnd w:id="1030"/>
      <w:bookmarkStart w:id="1031" w:name="_Toc532377314"/>
      <w:bookmarkEnd w:id="1031"/>
      <w:bookmarkStart w:id="1032" w:name="_Toc532375606"/>
      <w:r>
        <w:rPr>
          <w:rFonts w:hint="eastAsia" w:ascii="宋体" w:hAnsi="宋体" w:eastAsia="宋体" w:cs="宋体"/>
          <w:b/>
          <w:bCs/>
          <w:sz w:val="21"/>
          <w:szCs w:val="21"/>
        </w:rPr>
        <w:t>20</w:t>
      </w:r>
      <w:bookmarkEnd w:id="1032"/>
      <w:bookmarkStart w:id="1033" w:name="_Toc296346647"/>
      <w:bookmarkEnd w:id="1033"/>
      <w:bookmarkStart w:id="1034" w:name="_Toc337558840"/>
      <w:bookmarkEnd w:id="1034"/>
      <w:bookmarkStart w:id="1035" w:name="_Toc296503146"/>
      <w:r>
        <w:rPr>
          <w:rFonts w:hint="eastAsia" w:ascii="宋体" w:hAnsi="宋体" w:eastAsia="宋体" w:cs="宋体"/>
          <w:b/>
          <w:bCs/>
          <w:sz w:val="21"/>
          <w:szCs w:val="21"/>
        </w:rPr>
        <w:t>. 争议解决</w:t>
      </w:r>
      <w:bookmarkEnd w:id="1035"/>
    </w:p>
    <w:p w14:paraId="051FB69E">
      <w:pPr>
        <w:widowControl/>
        <w:spacing w:line="360" w:lineRule="auto"/>
        <w:jc w:val="left"/>
        <w:outlineLvl w:val="4"/>
        <w:rPr>
          <w:rFonts w:ascii="宋体" w:hAnsi="宋体" w:eastAsia="宋体" w:cs="宋体"/>
          <w:b/>
          <w:bCs/>
          <w:kern w:val="0"/>
          <w:sz w:val="21"/>
          <w:szCs w:val="21"/>
        </w:rPr>
      </w:pPr>
      <w:bookmarkStart w:id="1036" w:name="_Toc296503147"/>
      <w:bookmarkEnd w:id="1036"/>
      <w:bookmarkStart w:id="1037" w:name="_Toc532377315"/>
      <w:bookmarkEnd w:id="1037"/>
      <w:bookmarkStart w:id="1038" w:name="_Toc351203627"/>
      <w:bookmarkEnd w:id="1038"/>
      <w:bookmarkStart w:id="1039" w:name="_Toc296346648"/>
      <w:bookmarkEnd w:id="1039"/>
      <w:bookmarkStart w:id="1040" w:name="_Toc337558841"/>
      <w:r>
        <w:rPr>
          <w:rFonts w:hint="eastAsia" w:ascii="宋体" w:hAnsi="宋体" w:eastAsia="宋体" w:cs="宋体"/>
          <w:b/>
          <w:bCs/>
          <w:kern w:val="0"/>
          <w:sz w:val="21"/>
          <w:szCs w:val="21"/>
        </w:rPr>
        <w:t>20.1和解</w:t>
      </w:r>
      <w:bookmarkEnd w:id="1040"/>
    </w:p>
    <w:p w14:paraId="12CDE72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合同当事人可以就争议自行和解，自行和解达成协议的经双方签名并盖章后作为合同补充文件，双方均应遵照执行。</w:t>
      </w:r>
    </w:p>
    <w:p w14:paraId="0DE64439">
      <w:pPr>
        <w:widowControl/>
        <w:spacing w:line="360" w:lineRule="auto"/>
        <w:jc w:val="left"/>
        <w:outlineLvl w:val="4"/>
        <w:rPr>
          <w:rFonts w:ascii="宋体" w:hAnsi="宋体" w:eastAsia="宋体" w:cs="宋体"/>
          <w:b/>
          <w:bCs/>
          <w:kern w:val="0"/>
          <w:sz w:val="21"/>
          <w:szCs w:val="21"/>
        </w:rPr>
      </w:pPr>
      <w:bookmarkStart w:id="1041" w:name="_Toc351203628"/>
      <w:bookmarkEnd w:id="1041"/>
      <w:bookmarkStart w:id="1042" w:name="_Toc532377316"/>
      <w:r>
        <w:rPr>
          <w:rFonts w:hint="eastAsia" w:ascii="宋体" w:hAnsi="宋体" w:eastAsia="宋体" w:cs="宋体"/>
          <w:b/>
          <w:bCs/>
          <w:kern w:val="0"/>
          <w:sz w:val="21"/>
          <w:szCs w:val="21"/>
        </w:rPr>
        <w:t>20</w:t>
      </w:r>
      <w:bookmarkEnd w:id="1042"/>
      <w:bookmarkStart w:id="1043" w:name="_Toc296346649"/>
      <w:bookmarkEnd w:id="1043"/>
      <w:bookmarkStart w:id="1044" w:name="_Toc296503148"/>
      <w:bookmarkEnd w:id="1044"/>
      <w:bookmarkStart w:id="1045" w:name="_Toc337558842"/>
      <w:r>
        <w:rPr>
          <w:rFonts w:hint="eastAsia" w:ascii="宋体" w:hAnsi="宋体" w:eastAsia="宋体" w:cs="宋体"/>
          <w:b/>
          <w:bCs/>
          <w:kern w:val="0"/>
          <w:sz w:val="21"/>
          <w:szCs w:val="21"/>
        </w:rPr>
        <w:t>.2调解</w:t>
      </w:r>
      <w:bookmarkEnd w:id="1045"/>
    </w:p>
    <w:p w14:paraId="6E14832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合同当事人可以就争议请求建设行政主管部门、行业协会或其他第三方进行调解，调解达成协议的，经双方签名并盖章后作为合同补充文件，双方均应遵照执行。</w:t>
      </w:r>
    </w:p>
    <w:p w14:paraId="63AD808F">
      <w:pPr>
        <w:widowControl/>
        <w:spacing w:line="360" w:lineRule="auto"/>
        <w:jc w:val="left"/>
        <w:outlineLvl w:val="4"/>
        <w:rPr>
          <w:rFonts w:ascii="宋体" w:hAnsi="宋体" w:eastAsia="宋体" w:cs="宋体"/>
          <w:b/>
          <w:bCs/>
          <w:kern w:val="0"/>
          <w:sz w:val="21"/>
          <w:szCs w:val="21"/>
        </w:rPr>
      </w:pPr>
      <w:bookmarkStart w:id="1046" w:name="_Toc296503149"/>
      <w:bookmarkEnd w:id="1046"/>
      <w:bookmarkStart w:id="1047" w:name="_Toc351203629"/>
      <w:bookmarkEnd w:id="1047"/>
      <w:bookmarkStart w:id="1048" w:name="_Toc296346650"/>
      <w:bookmarkEnd w:id="1048"/>
      <w:bookmarkStart w:id="1049" w:name="_Toc532377317"/>
      <w:bookmarkEnd w:id="1049"/>
      <w:bookmarkStart w:id="1050" w:name="_Toc337558843"/>
      <w:r>
        <w:rPr>
          <w:rFonts w:hint="eastAsia" w:ascii="宋体" w:hAnsi="宋体" w:eastAsia="宋体" w:cs="宋体"/>
          <w:b/>
          <w:bCs/>
          <w:kern w:val="0"/>
          <w:sz w:val="21"/>
          <w:szCs w:val="21"/>
        </w:rPr>
        <w:t>20.3争议评审</w:t>
      </w:r>
      <w:bookmarkEnd w:id="1050"/>
    </w:p>
    <w:p w14:paraId="066E69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合同当事人在专用合同条款中约定采取争议评审方式解决争议以及评审规则，并按下列约定执行： </w:t>
      </w:r>
    </w:p>
    <w:p w14:paraId="542D63F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20.3.1 争议评审小组的确定</w:t>
      </w:r>
    </w:p>
    <w:p w14:paraId="6C41502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合同当事人可以共同选择一名或三名争议评审员，组成争议评审小组。除专用合同条款另有约定外，合同当事人应当自合同签订后28天内，或者争议发生后14天内，选定争议评审员。</w:t>
      </w:r>
    </w:p>
    <w:p w14:paraId="4501E8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6903C4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除专用合同条款另有约定外，评审员报酬由发包人和承包人各承担一半。</w:t>
      </w:r>
    </w:p>
    <w:p w14:paraId="19E5CF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20.3.2 争议评审小组的决定</w:t>
      </w:r>
    </w:p>
    <w:p w14:paraId="170DE2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2488F2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20.3.3 争议评审小组决定的效力</w:t>
      </w:r>
    </w:p>
    <w:p w14:paraId="1ADE4E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争议评审小组作出的书面决定经合同当事人签名确认后，对双方具有约束力，双方应遵照执行。</w:t>
      </w:r>
    </w:p>
    <w:p w14:paraId="5EFE9E2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任何一方当事人不接受争议评审小组决定或不履行争议评审小组决定的，双方可选择采用其他争议解决方式。</w:t>
      </w:r>
    </w:p>
    <w:p w14:paraId="39823908">
      <w:pPr>
        <w:widowControl/>
        <w:spacing w:line="360" w:lineRule="auto"/>
        <w:jc w:val="left"/>
        <w:outlineLvl w:val="4"/>
        <w:rPr>
          <w:rFonts w:ascii="宋体" w:hAnsi="宋体" w:eastAsia="宋体" w:cs="宋体"/>
          <w:b/>
          <w:bCs/>
          <w:kern w:val="0"/>
          <w:sz w:val="21"/>
          <w:szCs w:val="21"/>
        </w:rPr>
      </w:pPr>
      <w:bookmarkStart w:id="1051" w:name="_Toc337558844"/>
      <w:bookmarkEnd w:id="1051"/>
      <w:bookmarkStart w:id="1052" w:name="_Toc296346651"/>
      <w:bookmarkEnd w:id="1052"/>
      <w:bookmarkStart w:id="1053" w:name="_Toc351203630"/>
      <w:bookmarkEnd w:id="1053"/>
      <w:bookmarkStart w:id="1054" w:name="_Toc296503150"/>
      <w:bookmarkEnd w:id="1054"/>
      <w:bookmarkStart w:id="1055" w:name="_Toc532377318"/>
      <w:r>
        <w:rPr>
          <w:rFonts w:hint="eastAsia" w:ascii="宋体" w:hAnsi="宋体" w:eastAsia="宋体" w:cs="宋体"/>
          <w:b/>
          <w:bCs/>
          <w:kern w:val="0"/>
          <w:sz w:val="21"/>
          <w:szCs w:val="21"/>
        </w:rPr>
        <w:t>20.4仲裁或诉讼</w:t>
      </w:r>
      <w:bookmarkEnd w:id="1055"/>
    </w:p>
    <w:p w14:paraId="4DA5BA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因合同及合同有关事项产生的争议，合同当事人可以在专用合同条款中约定以下一种方式解决争议：</w:t>
      </w:r>
    </w:p>
    <w:p w14:paraId="6B31ECF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（1）向约定的仲裁委员会申请仲裁；</w:t>
      </w:r>
    </w:p>
    <w:p w14:paraId="2D2B331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（2）向有管辖权的人民法院起诉。</w:t>
      </w:r>
    </w:p>
    <w:p w14:paraId="2C0D45AA">
      <w:pPr>
        <w:widowControl/>
        <w:spacing w:line="360" w:lineRule="auto"/>
        <w:jc w:val="left"/>
        <w:outlineLvl w:val="4"/>
        <w:rPr>
          <w:rFonts w:ascii="宋体" w:hAnsi="宋体" w:eastAsia="宋体" w:cs="宋体"/>
          <w:bCs/>
          <w:kern w:val="0"/>
          <w:sz w:val="21"/>
          <w:szCs w:val="21"/>
        </w:rPr>
      </w:pPr>
      <w:bookmarkStart w:id="1056" w:name="_Toc532377319"/>
      <w:bookmarkEnd w:id="1056"/>
      <w:bookmarkStart w:id="1057" w:name="_Toc337558845"/>
      <w:bookmarkEnd w:id="1057"/>
      <w:bookmarkStart w:id="1058" w:name="_Toc296346653"/>
      <w:bookmarkEnd w:id="1058"/>
      <w:bookmarkStart w:id="1059" w:name="_Toc296503152"/>
      <w:bookmarkEnd w:id="1059"/>
      <w:bookmarkStart w:id="1060" w:name="_Toc351203631"/>
      <w:r>
        <w:rPr>
          <w:rFonts w:hint="eastAsia" w:ascii="宋体" w:hAnsi="宋体" w:eastAsia="宋体" w:cs="宋体"/>
          <w:bCs/>
          <w:kern w:val="0"/>
          <w:sz w:val="21"/>
          <w:szCs w:val="21"/>
        </w:rPr>
        <w:t>20.5争议解决条款效力</w:t>
      </w:r>
      <w:bookmarkEnd w:id="1060"/>
    </w:p>
    <w:p w14:paraId="370EFD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合同有关争议解决的条款独立存在，合同的变更、解除、终止、无效或者被撤销均不影响其效力。</w:t>
      </w:r>
    </w:p>
    <w:p w14:paraId="479D7E0C">
      <w:pPr>
        <w:keepNext/>
        <w:keepLines/>
        <w:snapToGrid w:val="0"/>
        <w:spacing w:before="260" w:after="260" w:line="360" w:lineRule="auto"/>
        <w:outlineLvl w:val="2"/>
        <w:rPr>
          <w:rFonts w:ascii="宋体" w:hAnsi="宋体" w:eastAsia="宋体" w:cs="Times New Roman"/>
          <w:b/>
          <w:bCs/>
          <w:sz w:val="21"/>
          <w:szCs w:val="21"/>
        </w:rPr>
      </w:pPr>
      <w:r>
        <w:rPr>
          <w:rFonts w:hint="eastAsia" w:ascii="宋体" w:hAnsi="宋体" w:eastAsia="宋体" w:cs="Times New Roman"/>
          <w:b/>
          <w:bCs/>
          <w:sz w:val="21"/>
          <w:szCs w:val="21"/>
        </w:rPr>
        <w:br w:type="page"/>
      </w:r>
    </w:p>
    <w:p w14:paraId="07A86A41">
      <w:pPr>
        <w:keepNext/>
        <w:keepLines/>
        <w:spacing w:before="260" w:after="260" w:line="415" w:lineRule="auto"/>
        <w:jc w:val="center"/>
        <w:outlineLvl w:val="2"/>
        <w:rPr>
          <w:rFonts w:ascii="宋体" w:hAnsi="宋体" w:eastAsia="宋体" w:cs="Times New Roman"/>
          <w:b/>
          <w:bCs/>
          <w:sz w:val="21"/>
          <w:szCs w:val="21"/>
        </w:rPr>
      </w:pPr>
      <w:bookmarkStart w:id="1061" w:name="_Toc29664"/>
      <w:bookmarkEnd w:id="1061"/>
      <w:bookmarkStart w:id="1062" w:name="_Toc532375607"/>
      <w:bookmarkEnd w:id="1062"/>
      <w:bookmarkStart w:id="1063" w:name="_Toc532377320"/>
      <w:bookmarkEnd w:id="1063"/>
      <w:bookmarkStart w:id="1064" w:name="_Toc9869"/>
      <w:bookmarkEnd w:id="1064"/>
      <w:bookmarkStart w:id="1065" w:name="_Toc529388290"/>
      <w:bookmarkEnd w:id="1065"/>
      <w:bookmarkStart w:id="1066" w:name="_Toc29602"/>
      <w:r>
        <w:rPr>
          <w:rFonts w:hint="eastAsia" w:ascii="宋体" w:hAnsi="宋体" w:eastAsia="宋体" w:cs="Times New Roman"/>
          <w:b/>
          <w:bCs/>
          <w:sz w:val="21"/>
          <w:szCs w:val="21"/>
        </w:rPr>
        <w:t>第三部分 专用合同条款</w:t>
      </w:r>
      <w:bookmarkEnd w:id="1066"/>
    </w:p>
    <w:p w14:paraId="5D16567B">
      <w:pPr>
        <w:keepNext/>
        <w:keepLines/>
        <w:spacing w:line="360" w:lineRule="auto"/>
        <w:outlineLvl w:val="3"/>
        <w:rPr>
          <w:rFonts w:ascii="宋体" w:hAnsi="宋体" w:eastAsia="宋体" w:cs="宋体"/>
          <w:b/>
          <w:sz w:val="21"/>
          <w:szCs w:val="21"/>
        </w:rPr>
      </w:pPr>
      <w:bookmarkStart w:id="1067" w:name="_Toc532375686"/>
      <w:bookmarkEnd w:id="1067"/>
      <w:bookmarkStart w:id="1068" w:name="_Toc351203652"/>
      <w:bookmarkEnd w:id="1068"/>
      <w:bookmarkStart w:id="1069" w:name="_Toc532377425"/>
      <w:bookmarkEnd w:id="1069"/>
      <w:bookmarkStart w:id="1070" w:name="招标文件05章工程量清单"/>
      <w:bookmarkEnd w:id="1070"/>
      <w:bookmarkStart w:id="1071" w:name="baidusnap3"/>
      <w:bookmarkEnd w:id="1071"/>
      <w:bookmarkStart w:id="1072" w:name="_Toc351203633"/>
      <w:bookmarkEnd w:id="1072"/>
      <w:bookmarkStart w:id="1073" w:name="baidusnap7"/>
      <w:bookmarkEnd w:id="1073"/>
      <w:bookmarkStart w:id="1074" w:name="_Toc532375608"/>
      <w:bookmarkEnd w:id="1074"/>
      <w:bookmarkStart w:id="1075" w:name="_Toc532377321"/>
      <w:bookmarkEnd w:id="1075"/>
      <w:bookmarkStart w:id="1076" w:name="_Hlk528927191"/>
      <w:r>
        <w:rPr>
          <w:rFonts w:hint="eastAsia" w:ascii="宋体" w:hAnsi="宋体" w:eastAsia="宋体" w:cs="宋体"/>
          <w:b/>
          <w:bCs/>
          <w:sz w:val="21"/>
          <w:szCs w:val="21"/>
        </w:rPr>
        <w:t>1</w:t>
      </w:r>
      <w:bookmarkEnd w:id="1076"/>
      <w:bookmarkStart w:id="1077" w:name="_Toc296891196"/>
      <w:bookmarkEnd w:id="1077"/>
      <w:bookmarkStart w:id="1078" w:name="_Toc296347155"/>
      <w:bookmarkEnd w:id="1078"/>
      <w:bookmarkStart w:id="1079" w:name="_Toc297048342"/>
      <w:bookmarkEnd w:id="1079"/>
      <w:bookmarkStart w:id="1080" w:name="_Toc297120456"/>
      <w:bookmarkEnd w:id="1080"/>
      <w:bookmarkStart w:id="1081" w:name="_Toc292559361"/>
      <w:bookmarkEnd w:id="1081"/>
      <w:bookmarkStart w:id="1082" w:name="_Toc296503156"/>
      <w:bookmarkEnd w:id="1082"/>
      <w:bookmarkStart w:id="1083" w:name="_Toc296944495"/>
      <w:bookmarkEnd w:id="1083"/>
      <w:bookmarkStart w:id="1084" w:name="_Toc296346657"/>
      <w:bookmarkEnd w:id="1084"/>
      <w:bookmarkStart w:id="1085" w:name="_Toc296890984"/>
      <w:bookmarkEnd w:id="1085"/>
      <w:bookmarkStart w:id="1086" w:name="_Toc292559866"/>
      <w:r>
        <w:rPr>
          <w:rFonts w:hint="eastAsia" w:ascii="宋体" w:hAnsi="宋体" w:eastAsia="宋体" w:cs="宋体"/>
          <w:b/>
          <w:bCs/>
          <w:sz w:val="21"/>
          <w:szCs w:val="21"/>
        </w:rPr>
        <w:t>. 一般约定</w:t>
      </w:r>
      <w:bookmarkEnd w:id="1086"/>
    </w:p>
    <w:p w14:paraId="7B5592A1">
      <w:pPr>
        <w:widowControl/>
        <w:spacing w:line="360" w:lineRule="auto"/>
        <w:jc w:val="left"/>
        <w:outlineLvl w:val="4"/>
        <w:rPr>
          <w:rFonts w:ascii="宋体" w:hAnsi="宋体" w:eastAsia="宋体" w:cs="宋体"/>
          <w:b/>
          <w:bCs/>
          <w:kern w:val="0"/>
          <w:sz w:val="21"/>
          <w:szCs w:val="21"/>
        </w:rPr>
      </w:pPr>
      <w:bookmarkStart w:id="1087" w:name="_Toc532377322"/>
      <w:bookmarkEnd w:id="1087"/>
      <w:r>
        <w:rPr>
          <w:rFonts w:hint="eastAsia" w:ascii="宋体" w:hAnsi="宋体" w:eastAsia="宋体" w:cs="宋体"/>
          <w:b/>
          <w:bCs/>
          <w:kern w:val="0"/>
          <w:sz w:val="21"/>
          <w:szCs w:val="21"/>
        </w:rPr>
        <w:t>1.1词语定义与解释</w:t>
      </w:r>
    </w:p>
    <w:p w14:paraId="3A738D6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 合同</w:t>
      </w:r>
    </w:p>
    <w:p w14:paraId="3004B2DA">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1.1.1.10 其他合同文件包括：</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6C4D94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1.1.2 合同当事人及其他相关方</w:t>
      </w:r>
    </w:p>
    <w:p w14:paraId="04071B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1.1.2.4 监理人：</w:t>
      </w:r>
    </w:p>
    <w:p w14:paraId="00A6742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名    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80ACE9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资质类别和等级：</w:t>
      </w:r>
      <w:r>
        <w:rPr>
          <w:rFonts w:hint="eastAsia" w:ascii="宋体" w:hAnsi="宋体" w:eastAsia="宋体" w:cs="Times New Roman"/>
          <w:sz w:val="21"/>
          <w:szCs w:val="21"/>
          <w:u w:val="single"/>
        </w:rPr>
        <w:t></w:t>
      </w:r>
      <w:r>
        <w:rPr>
          <w:rFonts w:hint="eastAsia" w:ascii="宋体" w:hAnsi="宋体" w:eastAsia="宋体" w:cs="Times New Roman"/>
          <w:sz w:val="21"/>
          <w:szCs w:val="21"/>
        </w:rPr>
        <w:t>；</w:t>
      </w:r>
    </w:p>
    <w:p w14:paraId="3C0E001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CB560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1.1.2.5 设计人：</w:t>
      </w:r>
    </w:p>
    <w:p w14:paraId="64BE7B3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名    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C79157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资质类别和等级：</w:t>
      </w:r>
      <w:r>
        <w:rPr>
          <w:rFonts w:hint="eastAsia" w:ascii="宋体" w:hAnsi="宋体" w:eastAsia="宋体" w:cs="Times New Roman"/>
          <w:sz w:val="21"/>
          <w:szCs w:val="21"/>
          <w:u w:val="single"/>
        </w:rPr>
        <w:t></w:t>
      </w:r>
      <w:r>
        <w:rPr>
          <w:rFonts w:hint="eastAsia" w:ascii="宋体" w:hAnsi="宋体" w:eastAsia="宋体" w:cs="Times New Roman"/>
          <w:sz w:val="21"/>
          <w:szCs w:val="21"/>
        </w:rPr>
        <w:t>；</w:t>
      </w:r>
    </w:p>
    <w:p w14:paraId="5E94CE2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D6DC0F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1.1.3 工程和设备</w:t>
      </w:r>
    </w:p>
    <w:p w14:paraId="69E4380C">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1.1.3.7 作为施工现场组成部分的其他场所包括：</w:t>
      </w:r>
      <w:r>
        <w:rPr>
          <w:rFonts w:hint="eastAsia" w:ascii="宋体" w:hAnsi="宋体" w:eastAsia="宋体" w:cs="Times New Roman"/>
          <w:kern w:val="0"/>
          <w:sz w:val="21"/>
          <w:szCs w:val="21"/>
          <w:u w:val="single"/>
        </w:rPr>
        <w:t xml:space="preserve"> 永久占地、临时占地以及为修建临时工程而租用、占用的土地 </w:t>
      </w:r>
      <w:r>
        <w:rPr>
          <w:rFonts w:hint="eastAsia" w:ascii="宋体" w:hAnsi="宋体" w:eastAsia="宋体" w:cs="Times New Roman"/>
          <w:sz w:val="21"/>
          <w:szCs w:val="21"/>
        </w:rPr>
        <w:t>。</w:t>
      </w:r>
    </w:p>
    <w:p w14:paraId="30DB106B">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1.1.3.9 永久占地包括：</w:t>
      </w:r>
      <w:r>
        <w:rPr>
          <w:rFonts w:hint="eastAsia" w:ascii="宋体" w:hAnsi="宋体" w:eastAsia="宋体" w:cs="Times New Roman"/>
          <w:kern w:val="0"/>
          <w:sz w:val="21"/>
          <w:szCs w:val="21"/>
          <w:u w:val="single"/>
        </w:rPr>
        <w:t xml:space="preserve">  为实施合同工程而需要的一切永久占用的土地，即合同工程</w:t>
      </w:r>
      <w:r>
        <w:rPr>
          <w:rFonts w:hint="eastAsia" w:ascii="宋体" w:hAnsi="宋体" w:eastAsia="宋体" w:cs="Times New Roman"/>
          <w:sz w:val="21"/>
          <w:szCs w:val="21"/>
          <w:u w:val="single"/>
        </w:rPr>
        <w:t>用地红线范围内的土地</w:t>
      </w:r>
      <w:r>
        <w:rPr>
          <w:rFonts w:hint="eastAsia" w:ascii="宋体" w:hAnsi="宋体" w:eastAsia="宋体" w:cs="Times New Roman"/>
          <w:kern w:val="0"/>
          <w:sz w:val="21"/>
          <w:szCs w:val="21"/>
          <w:u w:val="single"/>
        </w:rPr>
        <w:t xml:space="preserve"> </w:t>
      </w:r>
      <w:r>
        <w:rPr>
          <w:rFonts w:hint="eastAsia" w:ascii="宋体" w:hAnsi="宋体" w:eastAsia="宋体" w:cs="Times New Roman"/>
          <w:sz w:val="21"/>
          <w:szCs w:val="21"/>
        </w:rPr>
        <w:t>。</w:t>
      </w:r>
    </w:p>
    <w:p w14:paraId="3AF8A8A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1.1.3.10 临时占地包括：</w:t>
      </w:r>
      <w:r>
        <w:rPr>
          <w:rFonts w:hint="eastAsia" w:ascii="宋体" w:hAnsi="宋体" w:eastAsia="宋体" w:cs="Times New Roman"/>
          <w:sz w:val="21"/>
          <w:szCs w:val="21"/>
          <w:u w:val="single"/>
        </w:rPr>
        <w:t xml:space="preserve"> 为实施合同工程而需要</w:t>
      </w:r>
      <w:r>
        <w:rPr>
          <w:rFonts w:hint="eastAsia" w:ascii="宋体" w:hAnsi="宋体" w:eastAsia="宋体" w:cs="Times New Roman"/>
          <w:kern w:val="0"/>
          <w:sz w:val="21"/>
          <w:szCs w:val="21"/>
          <w:u w:val="single"/>
        </w:rPr>
        <w:t>的一切</w:t>
      </w:r>
      <w:r>
        <w:rPr>
          <w:rFonts w:hint="eastAsia" w:ascii="宋体" w:hAnsi="宋体" w:eastAsia="宋体" w:cs="Times New Roman"/>
          <w:sz w:val="21"/>
          <w:szCs w:val="21"/>
          <w:u w:val="single"/>
        </w:rPr>
        <w:t xml:space="preserve">临时占用的土地，包括施工所用的临时便道等的临时出入道，以及生产（办公）、生活等临时设施用地 </w:t>
      </w:r>
      <w:r>
        <w:rPr>
          <w:rFonts w:hint="eastAsia" w:ascii="宋体" w:hAnsi="宋体" w:eastAsia="宋体" w:cs="Times New Roman"/>
          <w:sz w:val="21"/>
          <w:szCs w:val="21"/>
        </w:rPr>
        <w:t>。</w:t>
      </w:r>
    </w:p>
    <w:p w14:paraId="4CBB7AD1">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1.3 法律</w:t>
      </w:r>
    </w:p>
    <w:p w14:paraId="1053FC6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适用于合同的其他规范性文件：</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2742A26">
      <w:pPr>
        <w:widowControl/>
        <w:spacing w:line="360" w:lineRule="auto"/>
        <w:jc w:val="left"/>
        <w:outlineLvl w:val="4"/>
        <w:rPr>
          <w:rFonts w:ascii="宋体" w:hAnsi="宋体" w:eastAsia="宋体" w:cs="宋体"/>
          <w:b/>
          <w:bCs/>
          <w:kern w:val="0"/>
          <w:sz w:val="21"/>
          <w:szCs w:val="21"/>
        </w:rPr>
      </w:pPr>
      <w:bookmarkStart w:id="1088" w:name="_Toc532377323"/>
      <w:bookmarkEnd w:id="1088"/>
      <w:r>
        <w:rPr>
          <w:rFonts w:hint="eastAsia" w:ascii="宋体" w:hAnsi="宋体" w:eastAsia="宋体" w:cs="宋体"/>
          <w:b/>
          <w:bCs/>
          <w:kern w:val="0"/>
          <w:sz w:val="21"/>
          <w:szCs w:val="21"/>
        </w:rPr>
        <w:t>1.4 标准和规范</w:t>
      </w:r>
    </w:p>
    <w:p w14:paraId="71B30C5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1.4.1 适用于工程的标准规范包括：</w:t>
      </w:r>
      <w:r>
        <w:rPr>
          <w:rFonts w:hint="eastAsia" w:ascii="宋体" w:hAnsi="宋体" w:eastAsia="宋体" w:cs="Times New Roman"/>
          <w:sz w:val="21"/>
          <w:szCs w:val="21"/>
          <w:u w:val="single"/>
        </w:rPr>
        <w:t xml:space="preserve"> （1）施工图所涉及的技术标准、规范、规程、图集等；</w:t>
      </w:r>
    </w:p>
    <w:p w14:paraId="0D290ED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（2）国家、行业或重庆市与本工程有关的标准，以及相应的规范、规程等，当这些标准、规范、规程不一致时，以标准、规范、规程要求最高的为准。</w:t>
      </w:r>
    </w:p>
    <w:p w14:paraId="420BE1C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（3）</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8D1AB7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1.4.2 发包人提供国外标准、规范的名称：</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w:t>
      </w:r>
    </w:p>
    <w:p w14:paraId="3AFA111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发包人提供国外标准、规范的份数：</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w:t>
      </w:r>
    </w:p>
    <w:p w14:paraId="7BD2DF2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发包人提供国外标准、规范的名称：</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w:t>
      </w:r>
    </w:p>
    <w:p w14:paraId="225CFC9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1.4.3 发包人对工程的技术标准和功能要求的特殊要求：</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D7615B5">
      <w:pPr>
        <w:widowControl/>
        <w:spacing w:line="360" w:lineRule="auto"/>
        <w:jc w:val="left"/>
        <w:outlineLvl w:val="4"/>
        <w:rPr>
          <w:rFonts w:ascii="宋体" w:hAnsi="宋体" w:eastAsia="宋体" w:cs="宋体"/>
          <w:b/>
          <w:bCs/>
          <w:kern w:val="0"/>
          <w:sz w:val="21"/>
          <w:szCs w:val="21"/>
        </w:rPr>
      </w:pPr>
      <w:bookmarkStart w:id="1089" w:name="_Toc532377324"/>
      <w:bookmarkEnd w:id="1089"/>
      <w:r>
        <w:rPr>
          <w:rFonts w:hint="eastAsia" w:ascii="宋体" w:hAnsi="宋体" w:eastAsia="宋体" w:cs="宋体"/>
          <w:b/>
          <w:bCs/>
          <w:kern w:val="0"/>
          <w:sz w:val="21"/>
          <w:szCs w:val="21"/>
        </w:rPr>
        <w:t>1.5 合同文件的优先顺序</w:t>
      </w:r>
    </w:p>
    <w:p w14:paraId="6A3B0CA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合同文件组成及优先顺序为：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329EE47">
      <w:pPr>
        <w:widowControl/>
        <w:spacing w:line="360" w:lineRule="auto"/>
        <w:jc w:val="left"/>
        <w:outlineLvl w:val="4"/>
        <w:rPr>
          <w:rFonts w:ascii="宋体" w:hAnsi="宋体" w:eastAsia="宋体" w:cs="宋体"/>
          <w:b/>
          <w:bCs/>
          <w:kern w:val="0"/>
          <w:sz w:val="21"/>
          <w:szCs w:val="21"/>
        </w:rPr>
      </w:pPr>
      <w:bookmarkStart w:id="1090" w:name="_Toc532377325"/>
      <w:bookmarkEnd w:id="1090"/>
      <w:r>
        <w:rPr>
          <w:rFonts w:hint="eastAsia" w:ascii="宋体" w:hAnsi="宋体" w:eastAsia="宋体" w:cs="宋体"/>
          <w:b/>
          <w:bCs/>
          <w:kern w:val="0"/>
          <w:sz w:val="21"/>
          <w:szCs w:val="21"/>
        </w:rPr>
        <w:t>1.6 图纸和承包人文件</w:t>
      </w:r>
    </w:p>
    <w:p w14:paraId="4DB7762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1.6.1 图纸的提供和交底</w:t>
      </w:r>
    </w:p>
    <w:p w14:paraId="00B2A98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发包人向承包人提供图纸的期限：</w:t>
      </w:r>
      <w:r>
        <w:rPr>
          <w:rFonts w:hint="eastAsia" w:ascii="宋体" w:hAnsi="宋体" w:eastAsia="宋体" w:cs="Times New Roman"/>
          <w:sz w:val="21"/>
          <w:szCs w:val="21"/>
          <w:u w:val="single"/>
        </w:rPr>
        <w:t xml:space="preserve">  通用合同条款第7.3.2款</w:t>
      </w:r>
      <w:r>
        <w:rPr>
          <w:rFonts w:hint="eastAsia" w:ascii="宋体" w:hAnsi="宋体" w:eastAsia="宋体" w:cs="Times New Roman"/>
          <w:bCs/>
          <w:sz w:val="21"/>
          <w:szCs w:val="21"/>
          <w:u w:val="single"/>
        </w:rPr>
        <w:t>〔</w:t>
      </w:r>
      <w:r>
        <w:rPr>
          <w:rFonts w:hint="eastAsia" w:ascii="宋体" w:hAnsi="宋体" w:eastAsia="宋体" w:cs="Times New Roman"/>
          <w:sz w:val="21"/>
          <w:szCs w:val="21"/>
          <w:u w:val="single"/>
        </w:rPr>
        <w:t>开工通知</w:t>
      </w:r>
      <w:r>
        <w:rPr>
          <w:rFonts w:hint="eastAsia" w:ascii="宋体" w:hAnsi="宋体" w:eastAsia="宋体" w:cs="Times New Roman"/>
          <w:bCs/>
          <w:sz w:val="21"/>
          <w:szCs w:val="21"/>
          <w:u w:val="single"/>
        </w:rPr>
        <w:t>〕</w:t>
      </w:r>
      <w:r>
        <w:rPr>
          <w:rFonts w:hint="eastAsia" w:ascii="宋体" w:hAnsi="宋体" w:eastAsia="宋体" w:cs="Times New Roman"/>
          <w:sz w:val="21"/>
          <w:szCs w:val="21"/>
          <w:u w:val="single"/>
        </w:rPr>
        <w:t xml:space="preserve">载明的开工日期前14天 </w:t>
      </w:r>
      <w:r>
        <w:rPr>
          <w:rFonts w:hint="eastAsia" w:ascii="宋体" w:hAnsi="宋体" w:eastAsia="宋体" w:cs="Times New Roman"/>
          <w:sz w:val="21"/>
          <w:szCs w:val="21"/>
        </w:rPr>
        <w:t>；</w:t>
      </w:r>
    </w:p>
    <w:p w14:paraId="751FE8E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发包人向承包人提供图纸的数量：</w:t>
      </w:r>
      <w:r>
        <w:rPr>
          <w:rFonts w:hint="eastAsia" w:ascii="宋体" w:hAnsi="宋体" w:eastAsia="宋体" w:cs="Times New Roman"/>
          <w:sz w:val="21"/>
          <w:szCs w:val="21"/>
          <w:u w:val="single"/>
        </w:rPr>
        <w:t xml:space="preserve">       套  </w:t>
      </w:r>
      <w:r>
        <w:rPr>
          <w:rFonts w:hint="eastAsia" w:ascii="宋体" w:hAnsi="宋体" w:eastAsia="宋体" w:cs="Times New Roman"/>
          <w:sz w:val="21"/>
          <w:szCs w:val="21"/>
        </w:rPr>
        <w:t xml:space="preserve">； </w:t>
      </w:r>
    </w:p>
    <w:p w14:paraId="7AF8BD8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发包人向承包人提供图纸的内容：</w:t>
      </w:r>
      <w:r>
        <w:rPr>
          <w:rFonts w:hint="eastAsia" w:ascii="宋体" w:hAnsi="宋体" w:eastAsia="宋体" w:cs="Times New Roman"/>
          <w:sz w:val="21"/>
          <w:szCs w:val="21"/>
          <w:u w:val="single"/>
        </w:rPr>
        <w:t xml:space="preserve">   工程承包范围内工程的施工图设计文件   </w:t>
      </w:r>
      <w:r>
        <w:rPr>
          <w:rFonts w:hint="eastAsia" w:ascii="宋体" w:hAnsi="宋体" w:eastAsia="宋体" w:cs="Times New Roman"/>
          <w:sz w:val="21"/>
          <w:szCs w:val="21"/>
        </w:rPr>
        <w:t>。</w:t>
      </w:r>
    </w:p>
    <w:p w14:paraId="53E33A6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1.6.4 承包人文件</w:t>
      </w:r>
    </w:p>
    <w:p w14:paraId="261E10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需要由承包人提供的文件，包括：</w:t>
      </w:r>
      <w:r>
        <w:rPr>
          <w:rFonts w:hint="eastAsia" w:ascii="宋体" w:hAnsi="宋体" w:eastAsia="宋体" w:cs="Times New Roman"/>
          <w:sz w:val="21"/>
          <w:szCs w:val="21"/>
          <w:u w:val="single"/>
        </w:rPr>
        <w:t xml:space="preserve">  施工组织设计、专项施工方案、危险性较大分部分项工程施工方案（如有）、安全应急方案、进度计划、报表及计划、竣工资料及施工过程中因工程变更需要报送的施工方案、施工过程中涉及工程价款变更的相关资料、完整的竣工结算资料等 </w:t>
      </w:r>
      <w:r>
        <w:rPr>
          <w:rFonts w:hint="eastAsia" w:ascii="宋体" w:hAnsi="宋体" w:eastAsia="宋体" w:cs="Times New Roman"/>
          <w:sz w:val="21"/>
          <w:szCs w:val="21"/>
        </w:rPr>
        <w:t>。</w:t>
      </w:r>
    </w:p>
    <w:p w14:paraId="6B3DCC6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承包人提供的文件的期限为：</w:t>
      </w:r>
      <w:r>
        <w:rPr>
          <w:rFonts w:hint="eastAsia" w:ascii="宋体" w:hAnsi="宋体" w:eastAsia="宋体" w:cs="Times New Roman"/>
          <w:sz w:val="21"/>
          <w:szCs w:val="21"/>
          <w:u w:val="single"/>
        </w:rPr>
        <w:t xml:space="preserve">  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    </w:t>
      </w:r>
      <w:r>
        <w:rPr>
          <w:rFonts w:hint="eastAsia" w:ascii="宋体" w:hAnsi="宋体" w:eastAsia="宋体" w:cs="Times New Roman"/>
          <w:sz w:val="21"/>
          <w:szCs w:val="21"/>
        </w:rPr>
        <w:t>；</w:t>
      </w:r>
    </w:p>
    <w:p w14:paraId="1861D08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承包人提供的文件的形式为：</w:t>
      </w:r>
      <w:r>
        <w:rPr>
          <w:rFonts w:hint="eastAsia" w:ascii="宋体" w:hAnsi="宋体" w:eastAsia="宋体" w:cs="Times New Roman"/>
          <w:sz w:val="21"/>
          <w:szCs w:val="21"/>
          <w:u w:val="single"/>
        </w:rPr>
        <w:t xml:space="preserve"> </w:t>
      </w:r>
      <w:r>
        <w:rPr>
          <w:rFonts w:ascii="Segoe UI Symbol" w:hAnsi="Segoe UI Symbol" w:eastAsia="宋体" w:cs="Segoe UI Symbol"/>
          <w:sz w:val="21"/>
          <w:szCs w:val="21"/>
          <w:u w:val="single"/>
        </w:rPr>
        <w:t>☑</w:t>
      </w:r>
      <w:r>
        <w:rPr>
          <w:rFonts w:hint="eastAsia" w:ascii="宋体" w:hAnsi="宋体" w:eastAsia="宋体" w:cs="宋体"/>
          <w:sz w:val="21"/>
          <w:szCs w:val="21"/>
          <w:u w:val="single"/>
        </w:rPr>
        <w:t>采用电子招标的，投标文件以电子文档为准，其他文件以书面文件为准</w:t>
      </w:r>
      <w:r>
        <w:rPr>
          <w:rFonts w:hint="eastAsia" w:ascii="宋体" w:hAnsi="宋体" w:eastAsia="宋体" w:cs="Times New Roman"/>
          <w:sz w:val="21"/>
          <w:szCs w:val="21"/>
        </w:rPr>
        <w:t>。监理人审批承包人文件的期限：</w:t>
      </w:r>
      <w:r>
        <w:rPr>
          <w:rFonts w:hint="eastAsia" w:ascii="宋体" w:hAnsi="宋体" w:eastAsia="宋体" w:cs="Times New Roman"/>
          <w:sz w:val="21"/>
          <w:szCs w:val="21"/>
          <w:u w:val="single"/>
        </w:rPr>
        <w:t>收到施工组织设计和工程总体进度计划及当年年度施工进度计划后7天内；合同另有约定的，从其约定</w:t>
      </w:r>
      <w:r>
        <w:rPr>
          <w:rFonts w:hint="eastAsia" w:ascii="宋体" w:hAnsi="宋体" w:eastAsia="宋体" w:cs="Times New Roman"/>
          <w:sz w:val="21"/>
          <w:szCs w:val="21"/>
        </w:rPr>
        <w:t>。</w:t>
      </w:r>
    </w:p>
    <w:p w14:paraId="5CE8478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发包人审批承包人文件的期限：</w:t>
      </w:r>
      <w:r>
        <w:rPr>
          <w:rFonts w:hint="eastAsia" w:ascii="宋体" w:hAnsi="宋体" w:eastAsia="宋体" w:cs="Times New Roman"/>
          <w:sz w:val="21"/>
          <w:szCs w:val="21"/>
          <w:u w:val="single"/>
        </w:rPr>
        <w:t>收到后14天内；合同另有约定的，从其约定</w:t>
      </w:r>
      <w:r>
        <w:rPr>
          <w:rFonts w:hint="eastAsia" w:ascii="宋体" w:hAnsi="宋体" w:eastAsia="宋体" w:cs="Times New Roman"/>
          <w:sz w:val="21"/>
          <w:szCs w:val="21"/>
        </w:rPr>
        <w:t>。</w:t>
      </w:r>
    </w:p>
    <w:p w14:paraId="1AD66EB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监理人、发包人的修改意见和审批，不免除或减轻承包人对该工作、工程、材料、工程设备等应承担的责任和义务</w:t>
      </w:r>
      <w:r>
        <w:rPr>
          <w:rFonts w:hint="eastAsia" w:ascii="宋体" w:hAnsi="宋体" w:eastAsia="宋体" w:cs="Times New Roman"/>
          <w:sz w:val="21"/>
          <w:szCs w:val="21"/>
        </w:rPr>
        <w:t>。</w:t>
      </w:r>
    </w:p>
    <w:p w14:paraId="08E7031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1.6.5 现场图纸准备</w:t>
      </w:r>
    </w:p>
    <w:p w14:paraId="160798C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关于现场图纸准备的约定：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8219C0B">
      <w:pPr>
        <w:widowControl/>
        <w:spacing w:line="360" w:lineRule="auto"/>
        <w:jc w:val="left"/>
        <w:outlineLvl w:val="4"/>
        <w:rPr>
          <w:rFonts w:ascii="宋体" w:hAnsi="宋体" w:eastAsia="宋体" w:cs="宋体"/>
          <w:b/>
          <w:bCs/>
          <w:kern w:val="0"/>
          <w:sz w:val="21"/>
          <w:szCs w:val="21"/>
        </w:rPr>
      </w:pPr>
      <w:bookmarkStart w:id="1091" w:name="_Toc532377326"/>
      <w:bookmarkEnd w:id="1091"/>
      <w:r>
        <w:rPr>
          <w:rFonts w:hint="eastAsia" w:ascii="宋体" w:hAnsi="宋体" w:eastAsia="宋体" w:cs="宋体"/>
          <w:b/>
          <w:bCs/>
          <w:kern w:val="0"/>
          <w:sz w:val="21"/>
          <w:szCs w:val="21"/>
        </w:rPr>
        <w:t>1.7 联络</w:t>
      </w:r>
    </w:p>
    <w:p w14:paraId="500BF52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1.7.1 发包人和承包人应当在</w:t>
      </w:r>
      <w:r>
        <w:rPr>
          <w:rFonts w:hint="eastAsia" w:ascii="宋体" w:hAnsi="宋体" w:eastAsia="宋体" w:cs="Times New Roman"/>
          <w:sz w:val="21"/>
          <w:szCs w:val="21"/>
          <w:u w:val="single"/>
        </w:rPr>
        <w:t xml:space="preserve">     7   </w:t>
      </w:r>
      <w:r>
        <w:rPr>
          <w:rFonts w:hint="eastAsia" w:ascii="宋体" w:hAnsi="宋体" w:eastAsia="宋体" w:cs="Times New Roman"/>
          <w:kern w:val="0"/>
          <w:sz w:val="21"/>
          <w:szCs w:val="21"/>
        </w:rPr>
        <w:t>天内将与合同有关的通知、批准、证明、证书、指示、指令、要求、请求、同意、意见、确定和决定等书面函件送达对方当事人。</w:t>
      </w:r>
    </w:p>
    <w:p w14:paraId="67286B8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1.7.2 发包人接收文件的地点：</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33E5897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发包人指定的接收人为：</w:t>
      </w:r>
      <w:bookmarkStart w:id="1092" w:name="_Hlk528493983"/>
      <w:bookmarkEnd w:id="1092"/>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73D6148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承包人接收文件的地点：</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562D84D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承包人指定的接收人为：</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0BE9526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监理人接收文件的地点：</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7836A60A">
      <w:pPr>
        <w:spacing w:line="360" w:lineRule="auto"/>
        <w:jc w:val="left"/>
        <w:rPr>
          <w:rFonts w:ascii="宋体" w:hAnsi="宋体" w:eastAsia="宋体" w:cs="Times New Roman"/>
          <w:kern w:val="0"/>
          <w:sz w:val="21"/>
          <w:szCs w:val="21"/>
          <w:u w:val="single"/>
        </w:rPr>
      </w:pPr>
      <w:r>
        <w:rPr>
          <w:rFonts w:hint="eastAsia" w:ascii="宋体" w:hAnsi="宋体" w:eastAsia="宋体" w:cs="Times New Roman"/>
          <w:kern w:val="0"/>
          <w:sz w:val="21"/>
          <w:szCs w:val="21"/>
        </w:rPr>
        <w:t>监理人指定的接收人为：</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24971A36">
      <w:pPr>
        <w:widowControl/>
        <w:spacing w:line="360" w:lineRule="auto"/>
        <w:jc w:val="left"/>
        <w:outlineLvl w:val="4"/>
        <w:rPr>
          <w:rFonts w:ascii="宋体" w:hAnsi="宋体" w:eastAsia="宋体" w:cs="宋体"/>
          <w:b/>
          <w:bCs/>
          <w:kern w:val="0"/>
          <w:sz w:val="21"/>
          <w:szCs w:val="21"/>
        </w:rPr>
      </w:pPr>
      <w:bookmarkStart w:id="1093" w:name="_Toc532377328"/>
      <w:bookmarkEnd w:id="1093"/>
      <w:r>
        <w:rPr>
          <w:rFonts w:hint="eastAsia" w:ascii="宋体" w:hAnsi="宋体" w:eastAsia="宋体" w:cs="宋体"/>
          <w:b/>
          <w:bCs/>
          <w:kern w:val="0"/>
          <w:sz w:val="21"/>
          <w:szCs w:val="21"/>
        </w:rPr>
        <w:t>1.10 交通运输</w:t>
      </w:r>
    </w:p>
    <w:p w14:paraId="3AADCA4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w:t>
      </w:r>
      <w:bookmarkStart w:id="1094" w:name="_Toc303539100"/>
      <w:bookmarkEnd w:id="1094"/>
      <w:bookmarkStart w:id="1095" w:name="_Toc312677986"/>
      <w:bookmarkEnd w:id="1095"/>
      <w:bookmarkStart w:id="1096" w:name="_Toc304295521"/>
      <w:bookmarkEnd w:id="1096"/>
      <w:bookmarkStart w:id="1097" w:name="_Toc318581155"/>
      <w:bookmarkEnd w:id="1097"/>
      <w:bookmarkStart w:id="1098" w:name="_Toc300934943"/>
      <w:r>
        <w:rPr>
          <w:rFonts w:hint="eastAsia" w:ascii="宋体" w:hAnsi="宋体" w:eastAsia="宋体" w:cs="Times New Roman"/>
          <w:sz w:val="21"/>
          <w:szCs w:val="21"/>
        </w:rPr>
        <w:t>.10.1 出入现场的权利</w:t>
      </w:r>
      <w:bookmarkEnd w:id="1098"/>
    </w:p>
    <w:p w14:paraId="669860FC">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关于出入现场的权利的约定：</w:t>
      </w:r>
      <w:r>
        <w:rPr>
          <w:rFonts w:hint="eastAsia" w:ascii="宋体" w:hAnsi="宋体" w:eastAsia="宋体" w:cs="Times New Roman"/>
          <w:sz w:val="21"/>
          <w:szCs w:val="21"/>
          <w:u w:val="single"/>
        </w:rPr>
        <w:t xml:space="preserve">  按规定执行        </w:t>
      </w:r>
      <w:r>
        <w:rPr>
          <w:rFonts w:hint="eastAsia" w:ascii="宋体" w:hAnsi="宋体" w:eastAsia="宋体" w:cs="Times New Roman"/>
          <w:sz w:val="21"/>
          <w:szCs w:val="21"/>
        </w:rPr>
        <w:t>。</w:t>
      </w:r>
    </w:p>
    <w:p w14:paraId="5C27856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w:t>
      </w:r>
      <w:bookmarkStart w:id="1099" w:name="_Toc318581156"/>
      <w:bookmarkEnd w:id="1099"/>
      <w:bookmarkStart w:id="1100" w:name="_Toc312677987"/>
      <w:bookmarkEnd w:id="1100"/>
      <w:bookmarkStart w:id="1101" w:name="_Toc300934944"/>
      <w:bookmarkEnd w:id="1101"/>
      <w:bookmarkStart w:id="1102" w:name="_Toc303539101"/>
      <w:bookmarkEnd w:id="1102"/>
      <w:bookmarkStart w:id="1103" w:name="_Toc304295522"/>
      <w:r>
        <w:rPr>
          <w:rFonts w:hint="eastAsia" w:ascii="宋体" w:hAnsi="宋体" w:eastAsia="宋体" w:cs="Times New Roman"/>
          <w:sz w:val="21"/>
          <w:szCs w:val="21"/>
        </w:rPr>
        <w:t>.10.3 场内交通</w:t>
      </w:r>
      <w:bookmarkEnd w:id="1103"/>
    </w:p>
    <w:p w14:paraId="6B38B12D">
      <w:pPr>
        <w:spacing w:line="360" w:lineRule="auto"/>
        <w:jc w:val="left"/>
        <w:rPr>
          <w:rFonts w:ascii="宋体" w:hAnsi="宋体" w:eastAsia="宋体" w:cs="Times New Roman"/>
          <w:sz w:val="21"/>
          <w:szCs w:val="21"/>
          <w:u w:val="single"/>
        </w:rPr>
      </w:pPr>
      <w:r>
        <w:rPr>
          <w:rFonts w:hint="eastAsia" w:ascii="宋体" w:hAnsi="宋体" w:eastAsia="宋体" w:cs="Times New Roman"/>
          <w:kern w:val="0"/>
          <w:sz w:val="21"/>
          <w:szCs w:val="21"/>
        </w:rPr>
        <w:t>关于场外交通和场内交通的边界的约定：</w:t>
      </w:r>
      <w:r>
        <w:rPr>
          <w:rFonts w:hint="eastAsia" w:ascii="宋体" w:hAnsi="宋体" w:eastAsia="宋体" w:cs="Times New Roman"/>
          <w:sz w:val="21"/>
          <w:szCs w:val="21"/>
          <w:u w:val="single"/>
        </w:rPr>
        <w:t xml:space="preserve"> 以合同工程用地红线为界，用地红线外为场外交通，用地红线范围内为场内交通（场外道路穿越场内的除外）</w:t>
      </w:r>
      <w:r>
        <w:rPr>
          <w:rFonts w:hint="eastAsia" w:ascii="宋体" w:hAnsi="宋体" w:eastAsia="宋体" w:cs="Times New Roman"/>
          <w:sz w:val="21"/>
          <w:szCs w:val="21"/>
        </w:rPr>
        <w:t>。</w:t>
      </w:r>
    </w:p>
    <w:p w14:paraId="606EAF67">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关于发包人向承包人免费提供满足工程施工需要的场内道路和交通设施的约定：</w:t>
      </w:r>
      <w:r>
        <w:rPr>
          <w:rFonts w:hint="eastAsia" w:ascii="宋体" w:hAnsi="宋体" w:eastAsia="宋体" w:cs="Times New Roman"/>
          <w:kern w:val="0"/>
          <w:sz w:val="21"/>
          <w:szCs w:val="21"/>
          <w:u w:val="single"/>
        </w:rPr>
        <w:t xml:space="preserve"> 以施工场地移交时的现状为准</w:t>
      </w:r>
      <w:r>
        <w:rPr>
          <w:rFonts w:hint="eastAsia" w:ascii="宋体" w:hAnsi="宋体" w:eastAsia="宋体" w:cs="Times New Roman"/>
          <w:sz w:val="21"/>
          <w:szCs w:val="21"/>
        </w:rPr>
        <w:t>。</w:t>
      </w:r>
    </w:p>
    <w:p w14:paraId="3A500437">
      <w:pPr>
        <w:spacing w:line="360" w:lineRule="auto"/>
        <w:jc w:val="left"/>
        <w:rPr>
          <w:rFonts w:ascii="宋体" w:hAnsi="宋体" w:eastAsia="宋体" w:cs="Times New Roman"/>
          <w:sz w:val="21"/>
          <w:szCs w:val="21"/>
        </w:rPr>
      </w:pPr>
      <w:bookmarkStart w:id="1104" w:name="_Toc318581157"/>
      <w:bookmarkEnd w:id="1104"/>
      <w:r>
        <w:rPr>
          <w:rFonts w:hint="eastAsia" w:ascii="宋体" w:hAnsi="宋体" w:eastAsia="宋体" w:cs="Times New Roman"/>
          <w:sz w:val="21"/>
          <w:szCs w:val="21"/>
        </w:rPr>
        <w:t>1.10.4 超大件和超重件的运输</w:t>
      </w:r>
    </w:p>
    <w:p w14:paraId="2A6EBBA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运输超大件或超重件所需的道路和桥梁临时加固改造费用和其他有关费用由</w:t>
      </w:r>
      <w:r>
        <w:rPr>
          <w:rFonts w:hint="eastAsia" w:ascii="宋体" w:hAnsi="宋体" w:eastAsia="宋体" w:cs="Times New Roman"/>
          <w:sz w:val="21"/>
          <w:szCs w:val="21"/>
          <w:u w:val="single"/>
        </w:rPr>
        <w:t>发包人</w:t>
      </w:r>
      <w:r>
        <w:rPr>
          <w:rFonts w:hint="eastAsia" w:ascii="宋体" w:hAnsi="宋体" w:eastAsia="宋体" w:cs="Times New Roman"/>
          <w:sz w:val="21"/>
          <w:szCs w:val="21"/>
        </w:rPr>
        <w:t>承担。</w:t>
      </w:r>
    </w:p>
    <w:p w14:paraId="324BD98F">
      <w:pPr>
        <w:widowControl/>
        <w:spacing w:line="360" w:lineRule="auto"/>
        <w:jc w:val="left"/>
        <w:outlineLvl w:val="4"/>
        <w:rPr>
          <w:rFonts w:ascii="宋体" w:hAnsi="宋体" w:eastAsia="宋体" w:cs="宋体"/>
          <w:b/>
          <w:bCs/>
          <w:kern w:val="0"/>
          <w:sz w:val="21"/>
          <w:szCs w:val="21"/>
        </w:rPr>
      </w:pPr>
      <w:bookmarkStart w:id="1105" w:name="_Toc532377329"/>
      <w:bookmarkEnd w:id="1105"/>
      <w:r>
        <w:rPr>
          <w:rFonts w:hint="eastAsia" w:ascii="宋体" w:hAnsi="宋体" w:eastAsia="宋体" w:cs="宋体"/>
          <w:b/>
          <w:bCs/>
          <w:kern w:val="0"/>
          <w:sz w:val="21"/>
          <w:szCs w:val="21"/>
        </w:rPr>
        <w:t>1.11 知识产权</w:t>
      </w:r>
    </w:p>
    <w:p w14:paraId="5D207E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Times New Roman"/>
          <w:sz w:val="21"/>
          <w:szCs w:val="21"/>
          <w:u w:val="single"/>
        </w:rPr>
        <w:t xml:space="preserve"> 属于发包人 </w:t>
      </w:r>
      <w:r>
        <w:rPr>
          <w:rFonts w:hint="eastAsia" w:ascii="宋体" w:hAnsi="宋体" w:eastAsia="宋体" w:cs="Times New Roman"/>
          <w:sz w:val="21"/>
          <w:szCs w:val="21"/>
        </w:rPr>
        <w:t>。</w:t>
      </w:r>
    </w:p>
    <w:p w14:paraId="70A0F68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关于发包人提供的上述文件的使用限制的要求：</w:t>
      </w:r>
      <w:r>
        <w:rPr>
          <w:rFonts w:hint="eastAsia" w:ascii="宋体" w:hAnsi="宋体" w:eastAsia="宋体" w:cs="Times New Roman"/>
          <w:sz w:val="21"/>
          <w:szCs w:val="21"/>
          <w:u w:val="single"/>
        </w:rPr>
        <w:t xml:space="preserve">   按通用合同条款执行 </w:t>
      </w:r>
      <w:r>
        <w:rPr>
          <w:rFonts w:hint="eastAsia" w:ascii="宋体" w:hAnsi="宋体" w:eastAsia="宋体" w:cs="Times New Roman"/>
          <w:sz w:val="21"/>
          <w:szCs w:val="21"/>
        </w:rPr>
        <w:t>。</w:t>
      </w:r>
    </w:p>
    <w:p w14:paraId="6C21C37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1.11.2 关于承包人为实施工程所编制文件的著作权的归属：</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C44F53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关于承包人提供的上述文件的使用限制的要求：</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D21AB8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1.11.4 承包人在施工过程中所采用的专利、专有技术、技术秘密的使用费的承担方式：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10C3E87">
      <w:pPr>
        <w:keepNext/>
        <w:keepLines/>
        <w:spacing w:line="360" w:lineRule="auto"/>
        <w:outlineLvl w:val="3"/>
        <w:rPr>
          <w:rFonts w:ascii="宋体" w:hAnsi="宋体" w:eastAsia="宋体" w:cs="宋体"/>
          <w:b/>
          <w:sz w:val="21"/>
          <w:szCs w:val="21"/>
        </w:rPr>
      </w:pPr>
      <w:bookmarkStart w:id="1106" w:name="_Toc351203634"/>
      <w:bookmarkEnd w:id="1106"/>
      <w:bookmarkStart w:id="1107" w:name="_Toc532377331"/>
      <w:bookmarkEnd w:id="1107"/>
      <w:bookmarkStart w:id="1108" w:name="_Toc532375609"/>
      <w:r>
        <w:rPr>
          <w:rFonts w:hint="eastAsia" w:ascii="宋体" w:hAnsi="宋体" w:eastAsia="宋体" w:cs="宋体"/>
          <w:b/>
          <w:bCs/>
          <w:sz w:val="21"/>
          <w:szCs w:val="21"/>
        </w:rPr>
        <w:t>2</w:t>
      </w:r>
      <w:bookmarkEnd w:id="1108"/>
      <w:bookmarkStart w:id="1109" w:name="_Toc296347156"/>
      <w:bookmarkEnd w:id="1109"/>
      <w:bookmarkStart w:id="1110" w:name="_Toc296891197"/>
      <w:bookmarkEnd w:id="1110"/>
      <w:bookmarkStart w:id="1111" w:name="_Toc297120457"/>
      <w:bookmarkEnd w:id="1111"/>
      <w:bookmarkStart w:id="1112" w:name="_Toc296503157"/>
      <w:bookmarkEnd w:id="1112"/>
      <w:bookmarkStart w:id="1113" w:name="_Toc296346658"/>
      <w:bookmarkEnd w:id="1113"/>
      <w:bookmarkStart w:id="1114" w:name="_Toc292559362"/>
      <w:bookmarkEnd w:id="1114"/>
      <w:bookmarkStart w:id="1115" w:name="_Toc297048343"/>
      <w:bookmarkEnd w:id="1115"/>
      <w:bookmarkStart w:id="1116" w:name="_Toc296944496"/>
      <w:bookmarkEnd w:id="1116"/>
      <w:bookmarkStart w:id="1117" w:name="_Toc296890985"/>
      <w:bookmarkEnd w:id="1117"/>
      <w:bookmarkStart w:id="1118" w:name="_Toc292559867"/>
      <w:r>
        <w:rPr>
          <w:rFonts w:hint="eastAsia" w:ascii="宋体" w:hAnsi="宋体" w:eastAsia="宋体" w:cs="宋体"/>
          <w:b/>
          <w:bCs/>
          <w:sz w:val="21"/>
          <w:szCs w:val="21"/>
        </w:rPr>
        <w:t>. 发包人</w:t>
      </w:r>
      <w:bookmarkEnd w:id="1118"/>
    </w:p>
    <w:p w14:paraId="385EFE18">
      <w:pPr>
        <w:spacing w:line="360" w:lineRule="auto"/>
        <w:jc w:val="left"/>
        <w:rPr>
          <w:rFonts w:ascii="宋体" w:hAnsi="宋体" w:eastAsia="宋体" w:cs="Times New Roman"/>
          <w:b/>
          <w:bCs/>
          <w:sz w:val="21"/>
          <w:szCs w:val="21"/>
        </w:rPr>
      </w:pPr>
      <w:r>
        <w:rPr>
          <w:rFonts w:hint="eastAsia" w:ascii="宋体" w:hAnsi="宋体" w:eastAsia="宋体" w:cs="Times New Roman"/>
          <w:b/>
          <w:bCs/>
          <w:sz w:val="21"/>
          <w:szCs w:val="21"/>
        </w:rPr>
        <w:t>2.2 发包人代表</w:t>
      </w:r>
    </w:p>
    <w:p w14:paraId="55E63EA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发包人代表：</w:t>
      </w:r>
    </w:p>
    <w:p w14:paraId="77E1E10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姓    名：</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892545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身份证号：</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A2C953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职    务：</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F43303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08679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邮    编：</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06B1F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发包人对发包人代表的授权范围如下：</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1C9834F">
      <w:pPr>
        <w:widowControl/>
        <w:spacing w:line="360" w:lineRule="auto"/>
        <w:jc w:val="left"/>
        <w:outlineLvl w:val="4"/>
        <w:rPr>
          <w:rFonts w:ascii="宋体" w:hAnsi="宋体" w:eastAsia="宋体" w:cs="宋体"/>
          <w:b/>
          <w:bCs/>
          <w:kern w:val="0"/>
          <w:sz w:val="21"/>
          <w:szCs w:val="21"/>
        </w:rPr>
      </w:pPr>
      <w:bookmarkStart w:id="1119" w:name="_Toc532377332"/>
      <w:bookmarkEnd w:id="1119"/>
      <w:r>
        <w:rPr>
          <w:rFonts w:hint="eastAsia" w:ascii="宋体" w:hAnsi="宋体" w:eastAsia="宋体" w:cs="宋体"/>
          <w:b/>
          <w:bCs/>
          <w:kern w:val="0"/>
          <w:sz w:val="21"/>
          <w:szCs w:val="21"/>
        </w:rPr>
        <w:t>2.4 施工现场、施工条件和基础资料的提供</w:t>
      </w:r>
    </w:p>
    <w:p w14:paraId="188C82E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2.4.1 提供施工现场</w:t>
      </w:r>
    </w:p>
    <w:p w14:paraId="249EADB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关于发包人移交施工现场的期限要求：</w:t>
      </w:r>
      <w:r>
        <w:rPr>
          <w:rFonts w:hint="eastAsia" w:ascii="宋体" w:hAnsi="宋体" w:eastAsia="宋体" w:cs="Times New Roman"/>
          <w:sz w:val="21"/>
          <w:szCs w:val="21"/>
          <w:u w:val="single"/>
        </w:rPr>
        <w:t xml:space="preserve"> 一次提供全部施工场地：发包人于开工前向承包人提供合同工程用地红线范围内的施工场地。 </w:t>
      </w:r>
    </w:p>
    <w:p w14:paraId="6F04256C">
      <w:pPr>
        <w:widowControl/>
        <w:spacing w:line="360" w:lineRule="auto"/>
        <w:jc w:val="left"/>
        <w:outlineLvl w:val="4"/>
        <w:rPr>
          <w:rFonts w:ascii="宋体" w:hAnsi="宋体" w:eastAsia="宋体" w:cs="宋体"/>
          <w:b/>
          <w:bCs/>
          <w:kern w:val="0"/>
          <w:sz w:val="21"/>
          <w:szCs w:val="21"/>
        </w:rPr>
      </w:pPr>
      <w:bookmarkStart w:id="1120" w:name="_Toc532377333"/>
      <w:bookmarkEnd w:id="1120"/>
      <w:r>
        <w:rPr>
          <w:rFonts w:hint="eastAsia" w:ascii="宋体" w:hAnsi="宋体" w:eastAsia="宋体" w:cs="宋体"/>
          <w:b/>
          <w:bCs/>
          <w:kern w:val="0"/>
          <w:sz w:val="21"/>
          <w:szCs w:val="21"/>
        </w:rPr>
        <w:t>2.5 资金来源证明及支付担保</w:t>
      </w:r>
    </w:p>
    <w:p w14:paraId="5C6EA23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发包人提供资金来源证明的期限要求：</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DA08D3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发包人是否提供支付担保：</w:t>
      </w:r>
      <w:r>
        <w:rPr>
          <w:rFonts w:hint="eastAsia" w:ascii="宋体" w:hAnsi="宋体" w:eastAsia="宋体" w:cs="Times New Roman"/>
          <w:sz w:val="21"/>
          <w:szCs w:val="21"/>
          <w:u w:val="single"/>
        </w:rPr>
        <w:t xml:space="preserve">     否       </w:t>
      </w:r>
      <w:r>
        <w:rPr>
          <w:rFonts w:hint="eastAsia" w:ascii="宋体" w:hAnsi="宋体" w:eastAsia="宋体" w:cs="Times New Roman"/>
          <w:sz w:val="21"/>
          <w:szCs w:val="21"/>
        </w:rPr>
        <w:t>。</w:t>
      </w:r>
    </w:p>
    <w:p w14:paraId="4471A4E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发包人提供支付担保的形式：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3164BED">
      <w:pPr>
        <w:keepNext/>
        <w:keepLines/>
        <w:spacing w:line="360" w:lineRule="auto"/>
        <w:outlineLvl w:val="3"/>
        <w:rPr>
          <w:rFonts w:ascii="宋体" w:hAnsi="宋体" w:eastAsia="宋体" w:cs="宋体"/>
          <w:b/>
          <w:sz w:val="21"/>
          <w:szCs w:val="21"/>
        </w:rPr>
      </w:pPr>
      <w:bookmarkStart w:id="1121" w:name="_Toc532377334"/>
      <w:bookmarkEnd w:id="1121"/>
      <w:bookmarkStart w:id="1122" w:name="_Toc532375610"/>
      <w:bookmarkEnd w:id="1122"/>
      <w:bookmarkStart w:id="1123" w:name="_Toc351203635"/>
      <w:r>
        <w:rPr>
          <w:rFonts w:hint="eastAsia" w:ascii="宋体" w:hAnsi="宋体" w:eastAsia="宋体" w:cs="宋体"/>
          <w:b/>
          <w:bCs/>
          <w:sz w:val="21"/>
          <w:szCs w:val="21"/>
        </w:rPr>
        <w:t>3</w:t>
      </w:r>
      <w:bookmarkEnd w:id="1123"/>
      <w:bookmarkStart w:id="1124" w:name="_Toc297120458"/>
      <w:bookmarkEnd w:id="1124"/>
      <w:bookmarkStart w:id="1125" w:name="_Toc292559868"/>
      <w:bookmarkEnd w:id="1125"/>
      <w:bookmarkStart w:id="1126" w:name="_Toc296944497"/>
      <w:bookmarkEnd w:id="1126"/>
      <w:bookmarkStart w:id="1127" w:name="_Toc296346659"/>
      <w:bookmarkEnd w:id="1127"/>
      <w:bookmarkStart w:id="1128" w:name="_Toc296347157"/>
      <w:bookmarkEnd w:id="1128"/>
      <w:bookmarkStart w:id="1129" w:name="_Toc296891198"/>
      <w:bookmarkEnd w:id="1129"/>
      <w:bookmarkStart w:id="1130" w:name="_Toc296890986"/>
      <w:bookmarkEnd w:id="1130"/>
      <w:bookmarkStart w:id="1131" w:name="_Toc297048344"/>
      <w:bookmarkEnd w:id="1131"/>
      <w:bookmarkStart w:id="1132" w:name="_Toc296503158"/>
      <w:bookmarkEnd w:id="1132"/>
      <w:bookmarkStart w:id="1133" w:name="_Toc292559363"/>
      <w:r>
        <w:rPr>
          <w:rFonts w:hint="eastAsia" w:ascii="宋体" w:hAnsi="宋体" w:eastAsia="宋体" w:cs="宋体"/>
          <w:b/>
          <w:bCs/>
          <w:sz w:val="21"/>
          <w:szCs w:val="21"/>
        </w:rPr>
        <w:t>. 承包人</w:t>
      </w:r>
      <w:bookmarkEnd w:id="1133"/>
    </w:p>
    <w:p w14:paraId="1F0B350F">
      <w:pPr>
        <w:widowControl/>
        <w:spacing w:line="360" w:lineRule="auto"/>
        <w:jc w:val="left"/>
        <w:outlineLvl w:val="4"/>
        <w:rPr>
          <w:rFonts w:ascii="宋体" w:hAnsi="宋体" w:eastAsia="宋体" w:cs="宋体"/>
          <w:b/>
          <w:bCs/>
          <w:kern w:val="0"/>
          <w:sz w:val="21"/>
          <w:szCs w:val="21"/>
        </w:rPr>
      </w:pPr>
      <w:bookmarkStart w:id="1134" w:name="_Toc532377335"/>
      <w:bookmarkEnd w:id="1134"/>
      <w:r>
        <w:rPr>
          <w:rFonts w:hint="eastAsia" w:ascii="宋体" w:hAnsi="宋体" w:eastAsia="宋体" w:cs="宋体"/>
          <w:b/>
          <w:bCs/>
          <w:kern w:val="0"/>
          <w:sz w:val="21"/>
          <w:szCs w:val="21"/>
        </w:rPr>
        <w:t>3.1 承包人的一般义务</w:t>
      </w:r>
    </w:p>
    <w:p w14:paraId="3A1D905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（9）承包人提交的竣工资料的内容：</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4F10AA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承包人需要提交的竣工资料套数：</w:t>
      </w:r>
      <w:r>
        <w:rPr>
          <w:rFonts w:hint="eastAsia" w:ascii="宋体" w:hAnsi="宋体" w:eastAsia="宋体" w:cs="Times New Roman"/>
          <w:sz w:val="21"/>
          <w:szCs w:val="21"/>
          <w:u w:val="single"/>
        </w:rPr>
        <w:t xml:space="preserve">     3套       </w:t>
      </w:r>
      <w:r>
        <w:rPr>
          <w:rFonts w:hint="eastAsia" w:ascii="宋体" w:hAnsi="宋体" w:eastAsia="宋体" w:cs="Times New Roman"/>
          <w:sz w:val="21"/>
          <w:szCs w:val="21"/>
        </w:rPr>
        <w:t>。</w:t>
      </w:r>
    </w:p>
    <w:p w14:paraId="0E9D888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承包人提交的竣工资料的费用承担：</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9FFA5A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承包人提交的竣工资料移交时间：</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54F750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承包人提交的竣工资料形式要求：</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C09671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（10）承包人应履行的其他义务：</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7DF5A46">
      <w:pPr>
        <w:widowControl/>
        <w:spacing w:line="360" w:lineRule="auto"/>
        <w:jc w:val="left"/>
        <w:outlineLvl w:val="4"/>
        <w:rPr>
          <w:rFonts w:ascii="宋体" w:hAnsi="宋体" w:eastAsia="宋体" w:cs="宋体"/>
          <w:b/>
          <w:bCs/>
          <w:kern w:val="0"/>
          <w:sz w:val="21"/>
          <w:szCs w:val="21"/>
        </w:rPr>
      </w:pPr>
      <w:bookmarkStart w:id="1135" w:name="_Toc532377336"/>
      <w:bookmarkEnd w:id="1135"/>
      <w:r>
        <w:rPr>
          <w:rFonts w:hint="eastAsia" w:ascii="宋体" w:hAnsi="宋体" w:eastAsia="宋体" w:cs="宋体"/>
          <w:b/>
          <w:bCs/>
          <w:kern w:val="0"/>
          <w:sz w:val="21"/>
          <w:szCs w:val="21"/>
        </w:rPr>
        <w:t>3.2 项目经理</w:t>
      </w:r>
    </w:p>
    <w:p w14:paraId="5A3041FD">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 xml:space="preserve">3.2.1 </w:t>
      </w:r>
      <w:r>
        <w:rPr>
          <w:rFonts w:hint="eastAsia" w:ascii="宋体" w:hAnsi="宋体" w:eastAsia="宋体" w:cs="Times New Roman"/>
          <w:sz w:val="21"/>
          <w:szCs w:val="21"/>
        </w:rPr>
        <w:t>项目经理：</w:t>
      </w:r>
    </w:p>
    <w:p w14:paraId="1705A3D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姓    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6D9C13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身份证号：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AC0DCA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建造师执业资格等级：</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7D178A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建造师注册证书号：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DF20F9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建造师执业印章号：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968E4E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安全生产考核合格证书号：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D15BAE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798A8A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承包人对项目经理的授权范围如下：</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BD8B52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关于项目经理每月在施工现场的时间要求：</w:t>
      </w:r>
      <w:r>
        <w:rPr>
          <w:rFonts w:hint="eastAsia" w:ascii="宋体" w:hAnsi="宋体" w:eastAsia="宋体" w:cs="Times New Roman"/>
          <w:sz w:val="21"/>
          <w:szCs w:val="21"/>
          <w:u w:val="single"/>
        </w:rPr>
        <w:t xml:space="preserve">    不少于22天，由监理人负责项目经理的考勤。承包人应在合同签订后7天内提交与项目经理签订的劳动合同及为项日经理缴纳社会保险的证明，承包人未在限期内提交的，项目经理无权履行职责，发包人有权要求更换项目经理  </w:t>
      </w:r>
      <w:r>
        <w:rPr>
          <w:rFonts w:hint="eastAsia" w:ascii="宋体" w:hAnsi="宋体" w:eastAsia="宋体" w:cs="Times New Roman"/>
          <w:sz w:val="21"/>
          <w:szCs w:val="21"/>
        </w:rPr>
        <w:t>。</w:t>
      </w:r>
    </w:p>
    <w:p w14:paraId="086C951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承包人未提交劳动合同，以及没有为项目经理缴纳社会保险证明的违约责任：</w:t>
      </w:r>
      <w:r>
        <w:rPr>
          <w:rFonts w:hint="eastAsia" w:ascii="宋体" w:hAnsi="宋体" w:eastAsia="宋体" w:cs="Times New Roman"/>
          <w:sz w:val="21"/>
          <w:szCs w:val="21"/>
          <w:u w:val="single"/>
        </w:rPr>
        <w:t xml:space="preserve"> 因此造成任何损失由承包人承担     </w:t>
      </w:r>
      <w:r>
        <w:rPr>
          <w:rFonts w:hint="eastAsia" w:ascii="宋体" w:hAnsi="宋体" w:eastAsia="宋体" w:cs="Times New Roman"/>
          <w:sz w:val="21"/>
          <w:szCs w:val="21"/>
        </w:rPr>
        <w:t>。</w:t>
      </w:r>
    </w:p>
    <w:p w14:paraId="7D618AA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项目经理未经批准，擅自离开施工现场的违约责任：</w:t>
      </w:r>
      <w:r>
        <w:rPr>
          <w:rFonts w:hint="eastAsia" w:ascii="宋体" w:hAnsi="宋体" w:eastAsia="宋体" w:cs="Times New Roman"/>
          <w:sz w:val="21"/>
          <w:szCs w:val="21"/>
          <w:u w:val="single"/>
        </w:rPr>
        <w:t xml:space="preserve">  按 16.2.1 承包人违约的情形执行     </w:t>
      </w:r>
      <w:r>
        <w:rPr>
          <w:rFonts w:hint="eastAsia" w:ascii="宋体" w:hAnsi="宋体" w:eastAsia="宋体" w:cs="Times New Roman"/>
          <w:sz w:val="21"/>
          <w:szCs w:val="21"/>
        </w:rPr>
        <w:t>。</w:t>
      </w:r>
      <w:bookmarkStart w:id="1136" w:name="_Hlk528927599"/>
      <w:bookmarkEnd w:id="1136"/>
    </w:p>
    <w:p w14:paraId="3AD0C7BC">
      <w:pPr>
        <w:spacing w:line="360" w:lineRule="auto"/>
        <w:jc w:val="left"/>
        <w:rPr>
          <w:rFonts w:ascii="宋体" w:hAnsi="宋体" w:eastAsia="宋体" w:cs="Times New Roman"/>
          <w:sz w:val="21"/>
          <w:szCs w:val="21"/>
        </w:rPr>
      </w:pPr>
      <w:bookmarkStart w:id="1137" w:name="_Hlk528927718"/>
      <w:bookmarkEnd w:id="1137"/>
      <w:r>
        <w:rPr>
          <w:rFonts w:hint="eastAsia" w:ascii="宋体" w:hAnsi="宋体" w:eastAsia="宋体" w:cs="Times New Roman"/>
          <w:sz w:val="21"/>
          <w:szCs w:val="21"/>
        </w:rPr>
        <w:t>3.2.3 承包人擅自更换项目经理的违约责任：</w:t>
      </w:r>
      <w:r>
        <w:rPr>
          <w:rFonts w:hint="eastAsia" w:ascii="宋体" w:hAnsi="宋体" w:eastAsia="宋体" w:cs="Times New Roman"/>
          <w:sz w:val="21"/>
          <w:szCs w:val="21"/>
          <w:u w:val="single"/>
        </w:rPr>
        <w:t xml:space="preserve">   按 16.2.1 承包人违约的情形执行       </w:t>
      </w:r>
      <w:r>
        <w:rPr>
          <w:rFonts w:hint="eastAsia" w:ascii="宋体" w:hAnsi="宋体" w:eastAsia="宋体" w:cs="Times New Roman"/>
          <w:sz w:val="21"/>
          <w:szCs w:val="21"/>
        </w:rPr>
        <w:t>。</w:t>
      </w:r>
    </w:p>
    <w:p w14:paraId="2FC220A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3.2.4 承包人无正当理由拒绝更换项目经理的违约责任：</w:t>
      </w:r>
      <w:r>
        <w:rPr>
          <w:rFonts w:hint="eastAsia" w:ascii="宋体" w:hAnsi="宋体" w:eastAsia="宋体" w:cs="Times New Roman"/>
          <w:sz w:val="21"/>
          <w:szCs w:val="21"/>
          <w:u w:val="single"/>
        </w:rPr>
        <w:t xml:space="preserve">    按 16.2.1 承包人违约的情形执行      </w:t>
      </w:r>
      <w:r>
        <w:rPr>
          <w:rFonts w:hint="eastAsia" w:ascii="宋体" w:hAnsi="宋体" w:eastAsia="宋体" w:cs="Times New Roman"/>
          <w:sz w:val="21"/>
          <w:szCs w:val="21"/>
        </w:rPr>
        <w:t>。</w:t>
      </w:r>
    </w:p>
    <w:p w14:paraId="4940C88F">
      <w:pPr>
        <w:widowControl/>
        <w:spacing w:line="360" w:lineRule="auto"/>
        <w:jc w:val="left"/>
        <w:outlineLvl w:val="4"/>
        <w:rPr>
          <w:rFonts w:ascii="宋体" w:hAnsi="宋体" w:eastAsia="宋体" w:cs="宋体"/>
          <w:b/>
          <w:bCs/>
          <w:kern w:val="0"/>
          <w:sz w:val="21"/>
          <w:szCs w:val="21"/>
        </w:rPr>
      </w:pPr>
      <w:bookmarkStart w:id="1138" w:name="_Toc532377337"/>
      <w:bookmarkEnd w:id="1138"/>
      <w:r>
        <w:rPr>
          <w:rFonts w:hint="eastAsia" w:ascii="宋体" w:hAnsi="宋体" w:eastAsia="宋体" w:cs="宋体"/>
          <w:b/>
          <w:bCs/>
          <w:kern w:val="0"/>
          <w:sz w:val="21"/>
          <w:szCs w:val="21"/>
        </w:rPr>
        <w:t>3.3 承包人人员</w:t>
      </w:r>
    </w:p>
    <w:p w14:paraId="25B138F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3.3.1 承包人提交项目管理机构及施工现场管理人员安排报告的期限：</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E41708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3.3.3 承包人无正当理由拒绝撤换主要施工管理人员的违约责任：</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6254320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3.3.4 承包人主要施工管理人员离开施工现场的批准要求：</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12E34D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3.3.5承包人擅自更换主要施工管理人员的违约责任：</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DF2606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承包人主要施工管理人员擅自离开施工现场的违约责任：</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676D679">
      <w:pPr>
        <w:widowControl/>
        <w:spacing w:line="360" w:lineRule="auto"/>
        <w:jc w:val="left"/>
        <w:outlineLvl w:val="4"/>
        <w:rPr>
          <w:rFonts w:ascii="宋体" w:hAnsi="宋体" w:eastAsia="宋体" w:cs="宋体"/>
          <w:b/>
          <w:bCs/>
          <w:kern w:val="0"/>
          <w:sz w:val="21"/>
          <w:szCs w:val="21"/>
        </w:rPr>
      </w:pPr>
      <w:bookmarkStart w:id="1139" w:name="_Toc532377338"/>
      <w:bookmarkEnd w:id="1139"/>
      <w:r>
        <w:rPr>
          <w:rFonts w:hint="eastAsia" w:ascii="宋体" w:hAnsi="宋体" w:eastAsia="宋体" w:cs="宋体"/>
          <w:b/>
          <w:bCs/>
          <w:kern w:val="0"/>
          <w:sz w:val="21"/>
          <w:szCs w:val="21"/>
        </w:rPr>
        <w:t>3</w:t>
      </w:r>
      <w:bookmarkStart w:id="1140" w:name="_Toc296503159"/>
      <w:bookmarkEnd w:id="1140"/>
      <w:bookmarkStart w:id="1141" w:name="_Toc304295523"/>
      <w:bookmarkEnd w:id="1141"/>
      <w:bookmarkStart w:id="1142" w:name="_Toc297123492"/>
      <w:bookmarkEnd w:id="1142"/>
      <w:bookmarkStart w:id="1143" w:name="_Toc296890987"/>
      <w:bookmarkEnd w:id="1143"/>
      <w:bookmarkStart w:id="1144" w:name="_Toc297120459"/>
      <w:bookmarkEnd w:id="1144"/>
      <w:bookmarkStart w:id="1145" w:name="_Toc303539102"/>
      <w:bookmarkEnd w:id="1145"/>
      <w:bookmarkStart w:id="1146" w:name="_Toc312677988"/>
      <w:bookmarkEnd w:id="1146"/>
      <w:bookmarkStart w:id="1147" w:name="_Toc296891199"/>
      <w:bookmarkEnd w:id="1147"/>
      <w:bookmarkStart w:id="1148" w:name="_Toc292559869"/>
      <w:bookmarkEnd w:id="1148"/>
      <w:bookmarkStart w:id="1149" w:name="_Toc300934945"/>
      <w:bookmarkEnd w:id="1149"/>
      <w:bookmarkStart w:id="1150" w:name="_Toc296944498"/>
      <w:bookmarkEnd w:id="1150"/>
      <w:bookmarkStart w:id="1151" w:name="_Toc296347158"/>
      <w:bookmarkEnd w:id="1151"/>
      <w:bookmarkStart w:id="1152" w:name="_Toc297048345"/>
      <w:bookmarkEnd w:id="1152"/>
      <w:bookmarkStart w:id="1153" w:name="_Toc296346660"/>
      <w:bookmarkEnd w:id="1153"/>
      <w:bookmarkStart w:id="1154" w:name="_Toc297216151"/>
      <w:bookmarkEnd w:id="1154"/>
      <w:bookmarkStart w:id="1155" w:name="_Toc292559364"/>
      <w:r>
        <w:rPr>
          <w:rFonts w:hint="eastAsia" w:ascii="宋体" w:hAnsi="宋体" w:eastAsia="宋体" w:cs="宋体"/>
          <w:b/>
          <w:bCs/>
          <w:kern w:val="0"/>
          <w:sz w:val="21"/>
          <w:szCs w:val="21"/>
        </w:rPr>
        <w:t>.5 分包</w:t>
      </w:r>
      <w:bookmarkEnd w:id="1155"/>
    </w:p>
    <w:p w14:paraId="179A2C8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3.5.1 分包的一般约定</w:t>
      </w:r>
    </w:p>
    <w:p w14:paraId="50F64C6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禁止分包的工程包括：</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40E70A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主体结构、关键性工作的范围：</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6BFD34F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3.5.2分包的确定</w:t>
      </w:r>
    </w:p>
    <w:p w14:paraId="571F398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允许分包的专业工程包括：</w:t>
      </w:r>
      <w:r>
        <w:rPr>
          <w:rFonts w:hint="eastAsia" w:ascii="宋体" w:hAnsi="宋体" w:eastAsia="宋体" w:cs="Times New Roman"/>
          <w:sz w:val="21"/>
          <w:szCs w:val="21"/>
          <w:u w:val="single"/>
        </w:rPr>
        <w:t xml:space="preserve">  按相关法律法规执行          </w:t>
      </w:r>
      <w:r>
        <w:rPr>
          <w:rFonts w:hint="eastAsia" w:ascii="宋体" w:hAnsi="宋体" w:eastAsia="宋体" w:cs="Times New Roman"/>
          <w:sz w:val="21"/>
          <w:szCs w:val="21"/>
        </w:rPr>
        <w:t>。</w:t>
      </w:r>
    </w:p>
    <w:p w14:paraId="36DB1E6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其他关于分包的约定：</w:t>
      </w:r>
      <w:r>
        <w:rPr>
          <w:rFonts w:hint="eastAsia" w:ascii="宋体" w:hAnsi="宋体" w:eastAsia="宋体" w:cs="Times New Roman"/>
          <w:sz w:val="21"/>
          <w:szCs w:val="21"/>
          <w:u w:val="single"/>
        </w:rPr>
        <w:t xml:space="preserve">  按相关法律法规执行    </w:t>
      </w:r>
      <w:r>
        <w:rPr>
          <w:rFonts w:hint="eastAsia" w:ascii="宋体" w:hAnsi="宋体" w:eastAsia="宋体" w:cs="Times New Roman"/>
          <w:sz w:val="21"/>
          <w:szCs w:val="21"/>
        </w:rPr>
        <w:t>。</w:t>
      </w:r>
    </w:p>
    <w:p w14:paraId="0A0261A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3.5.4 分包合同价款</w:t>
      </w:r>
    </w:p>
    <w:p w14:paraId="2B6758AB">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关于分包合同价款支付的约定：</w:t>
      </w:r>
      <w:r>
        <w:rPr>
          <w:rFonts w:hint="eastAsia" w:ascii="宋体" w:hAnsi="宋体" w:eastAsia="宋体" w:cs="宋体"/>
          <w:b/>
          <w:bCs/>
          <w:kern w:val="0"/>
          <w:sz w:val="21"/>
          <w:szCs w:val="21"/>
          <w:u w:val="single"/>
        </w:rPr>
        <w:t xml:space="preserve"> 分包合同价款由承包人与分包人结算，未经承包人同意，发包人不得向分包人支付分包工程价款；生效法律文书要求发包人向分包人支付分包合同价款的，发包人有权从应付承包人工程款中扣除该部分款项  </w:t>
      </w:r>
      <w:r>
        <w:rPr>
          <w:rFonts w:hint="eastAsia" w:ascii="宋体" w:hAnsi="宋体" w:eastAsia="宋体" w:cs="宋体"/>
          <w:b/>
          <w:bCs/>
          <w:kern w:val="0"/>
          <w:sz w:val="21"/>
          <w:szCs w:val="21"/>
        </w:rPr>
        <w:t>。</w:t>
      </w:r>
    </w:p>
    <w:p w14:paraId="5DDCA4ED">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3.6 工程照管与成品、半成品保护</w:t>
      </w:r>
    </w:p>
    <w:p w14:paraId="626137F9">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承包人负责照管工程及工程相关的材料、工程设备的起始时间：</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自发包人向承包人移交施工现场之日起，承包人应负责照管工程及工程相关的材料、工程设备，直到颁发工程接收证书之日止。</w:t>
      </w:r>
    </w:p>
    <w:p w14:paraId="0BF561A1">
      <w:pPr>
        <w:widowControl/>
        <w:spacing w:line="360" w:lineRule="auto"/>
        <w:jc w:val="left"/>
        <w:outlineLvl w:val="4"/>
        <w:rPr>
          <w:rFonts w:ascii="宋体" w:hAnsi="宋体" w:eastAsia="宋体" w:cs="宋体"/>
          <w:b/>
          <w:bCs/>
          <w:kern w:val="0"/>
          <w:sz w:val="21"/>
          <w:szCs w:val="21"/>
        </w:rPr>
      </w:pPr>
      <w:bookmarkStart w:id="1156" w:name="_Toc532377339"/>
      <w:bookmarkEnd w:id="1156"/>
      <w:r>
        <w:rPr>
          <w:rFonts w:hint="eastAsia" w:ascii="宋体" w:hAnsi="宋体" w:eastAsia="宋体" w:cs="宋体"/>
          <w:b/>
          <w:bCs/>
          <w:kern w:val="0"/>
          <w:sz w:val="21"/>
          <w:szCs w:val="21"/>
        </w:rPr>
        <w:t>3.7 履约担保</w:t>
      </w:r>
    </w:p>
    <w:p w14:paraId="5FCE4972">
      <w:pPr>
        <w:autoSpaceDE w:val="0"/>
        <w:spacing w:line="360" w:lineRule="auto"/>
        <w:jc w:val="left"/>
        <w:rPr>
          <w:rFonts w:ascii="宋体" w:hAnsi="宋体" w:eastAsia="宋体" w:cs="Times New Roman"/>
          <w:sz w:val="21"/>
          <w:szCs w:val="21"/>
        </w:rPr>
      </w:pPr>
      <w:bookmarkStart w:id="1157" w:name="_Toc532377340"/>
      <w:bookmarkEnd w:id="1157"/>
      <w:bookmarkStart w:id="1158" w:name="_Toc351203636"/>
      <w:bookmarkEnd w:id="1158"/>
      <w:bookmarkStart w:id="1159" w:name="_Toc532375611"/>
      <w:r>
        <w:rPr>
          <w:rFonts w:hint="eastAsia" w:ascii="宋体" w:hAnsi="宋体" w:eastAsia="宋体" w:cs="Times New Roman"/>
          <w:sz w:val="21"/>
          <w:szCs w:val="21"/>
        </w:rPr>
        <w:t>承包人是否提供履约担保：</w:t>
      </w:r>
      <w:bookmarkEnd w:id="1159"/>
      <w:r>
        <w:rPr>
          <w:rFonts w:hint="eastAsia" w:ascii="宋体" w:hAnsi="宋体" w:eastAsia="宋体" w:cs="Times New Roman"/>
          <w:sz w:val="21"/>
          <w:szCs w:val="21"/>
          <w:u w:val="single"/>
        </w:rPr>
        <w:t xml:space="preserve">  提供      </w:t>
      </w:r>
      <w:r>
        <w:rPr>
          <w:rFonts w:hint="eastAsia" w:ascii="宋体" w:hAnsi="宋体" w:eastAsia="宋体" w:cs="Times New Roman"/>
          <w:sz w:val="21"/>
          <w:szCs w:val="21"/>
        </w:rPr>
        <w:t>。</w:t>
      </w:r>
    </w:p>
    <w:p w14:paraId="5D3A271A">
      <w:pPr>
        <w:snapToGrid w:val="0"/>
        <w:spacing w:line="400" w:lineRule="exact"/>
        <w:rPr>
          <w:rFonts w:ascii="宋体" w:hAnsi="宋体" w:eastAsia="宋体" w:cs="Times New Roman"/>
          <w:sz w:val="21"/>
          <w:szCs w:val="21"/>
          <w:u w:val="single"/>
        </w:rPr>
      </w:pPr>
      <w:r>
        <w:rPr>
          <w:rFonts w:hint="eastAsia" w:ascii="宋体" w:hAnsi="宋体" w:eastAsia="宋体" w:cs="Times New Roman"/>
          <w:sz w:val="21"/>
          <w:szCs w:val="21"/>
        </w:rPr>
        <w:t>承包人提供履约担保的形式、金额及期限的：</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（1）履约担保的形式：现金或现金+履约保函的组合（采用现金+履约保函的组合提交的，现金比例不低于应缴纳金额的 50%），履约保函范文本详见第四章合同条款及格式附件。中标人提交的履约保函应严格执行其示范文本，不得对示范文本中的实质性内容进行修改</w:t>
      </w:r>
      <w:r>
        <w:rPr>
          <w:rFonts w:hint="eastAsia" w:ascii="宋体" w:hAnsi="宋体" w:eastAsia="宋体" w:cs="Times New Roman"/>
          <w:sz w:val="21"/>
          <w:szCs w:val="21"/>
          <w:u w:val="single"/>
        </w:rPr>
        <w:t>。</w:t>
      </w:r>
      <w:r>
        <w:rPr>
          <w:rFonts w:hint="eastAsia" w:ascii="宋体" w:hAnsi="宋体" w:eastAsia="宋体" w:cs="Times New Roman"/>
          <w:sz w:val="21"/>
          <w:szCs w:val="21"/>
        </w:rPr>
        <w:t>保函须不可撤销且见索即付。</w:t>
      </w:r>
    </w:p>
    <w:p w14:paraId="0BE77B1B">
      <w:pPr>
        <w:spacing w:line="400" w:lineRule="exact"/>
        <w:rPr>
          <w:rFonts w:ascii="宋体" w:hAnsi="宋体" w:eastAsia="宋体" w:cs="Times New Roman"/>
          <w:kern w:val="0"/>
          <w:sz w:val="21"/>
          <w:szCs w:val="21"/>
          <w:u w:val="single"/>
        </w:rPr>
      </w:pPr>
      <w:r>
        <w:rPr>
          <w:rFonts w:hint="eastAsia" w:ascii="宋体" w:hAnsi="宋体" w:eastAsia="宋体" w:cs="Times New Roman"/>
          <w:sz w:val="21"/>
          <w:szCs w:val="21"/>
        </w:rPr>
        <w:t>注:根据《关于印发重庆市融资担保公司监管评级及分类监管办法的通知》(渝金发(2021)5号)文件，担保公司须在《重庆市地方金融监督管理局关于开展2023年度监管评级有关工作的通知》《重庆市地方金融监督管理局关于开展2024年度监管评级有关工作的通知》中监管评级等级在B级及以上。</w:t>
      </w:r>
    </w:p>
    <w:p w14:paraId="57D9E000">
      <w:pPr>
        <w:snapToGrid w:val="0"/>
        <w:spacing w:line="360" w:lineRule="auto"/>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中标人应提供该纸质保函在重庆市辖区范围内的核验地址和核验方式，并确保该纸质保函能在开立人在渝的总部或者分支机构进行核验。中标人对所提交的履约保函的真实性、合法性、有效性负责。</w:t>
      </w:r>
    </w:p>
    <w:p w14:paraId="3D91EB49">
      <w:pPr>
        <w:snapToGrid w:val="0"/>
        <w:spacing w:line="360" w:lineRule="auto"/>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（3）履约担保的金额： 中标合同金额的 10%（不包含农民工工资保证金） 。</w:t>
      </w:r>
    </w:p>
    <w:p w14:paraId="59330EA0">
      <w:pPr>
        <w:widowControl/>
        <w:spacing w:line="460" w:lineRule="exact"/>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（4）履约担保的提交时间：中选承包商领取中选通知书之日起10个工作日内，并作为签订施工合同的必备条件。</w:t>
      </w:r>
    </w:p>
    <w:p w14:paraId="2DE64878">
      <w:pPr>
        <w:snapToGrid w:val="0"/>
        <w:spacing w:line="360" w:lineRule="auto"/>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（5）履约担保的期限：自我方法定代表人（或其委托代理人）签名并加盖公章之日起至你方签发或应签发工程接收证书之日止自提交履约担保之日起至交（竣）工验收合格之日止</w:t>
      </w:r>
      <w:r>
        <w:rPr>
          <w:rFonts w:hint="eastAsia" w:ascii="宋体" w:hAnsi="宋体" w:eastAsia="宋体" w:cs="Times New Roman"/>
          <w:kern w:val="0"/>
          <w:sz w:val="21"/>
          <w:szCs w:val="21"/>
        </w:rPr>
        <w:t>。</w:t>
      </w:r>
    </w:p>
    <w:p w14:paraId="523DE973">
      <w:pPr>
        <w:spacing w:before="100" w:beforeAutospacing="1"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u w:val="single"/>
        </w:rPr>
        <w:t>（6）履约担保的退还时间：采用现金担保的，工程竣工验收合格后14天内退还；采用银行保函的，工程竣工验收合格后14天内退还。</w:t>
      </w:r>
    </w:p>
    <w:p w14:paraId="35D1735D">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4</w:t>
      </w:r>
      <w:bookmarkStart w:id="1160" w:name="_Toc292559871"/>
      <w:bookmarkEnd w:id="1160"/>
      <w:bookmarkStart w:id="1161" w:name="_Toc296503162"/>
      <w:bookmarkEnd w:id="1161"/>
      <w:bookmarkStart w:id="1162" w:name="_Toc296944501"/>
      <w:bookmarkEnd w:id="1162"/>
      <w:bookmarkStart w:id="1163" w:name="_Toc267251413"/>
      <w:bookmarkEnd w:id="1163"/>
      <w:bookmarkStart w:id="1164" w:name="_Toc297048348"/>
      <w:bookmarkEnd w:id="1164"/>
      <w:bookmarkStart w:id="1165" w:name="_Toc296890990"/>
      <w:bookmarkEnd w:id="1165"/>
      <w:bookmarkStart w:id="1166" w:name="_Toc297120462"/>
      <w:bookmarkEnd w:id="1166"/>
      <w:bookmarkStart w:id="1167" w:name="_Toc296346663"/>
      <w:bookmarkEnd w:id="1167"/>
      <w:bookmarkStart w:id="1168" w:name="_Toc296347161"/>
      <w:bookmarkEnd w:id="1168"/>
      <w:bookmarkStart w:id="1169" w:name="_Toc296891202"/>
      <w:bookmarkEnd w:id="1169"/>
      <w:bookmarkStart w:id="1170" w:name="_Toc292559366"/>
      <w:r>
        <w:rPr>
          <w:rFonts w:hint="eastAsia" w:ascii="宋体" w:hAnsi="宋体" w:eastAsia="宋体" w:cs="宋体"/>
          <w:b/>
          <w:bCs/>
          <w:sz w:val="21"/>
          <w:szCs w:val="21"/>
        </w:rPr>
        <w:t>. 监</w:t>
      </w:r>
      <w:bookmarkEnd w:id="1170"/>
      <w:r>
        <w:rPr>
          <w:rFonts w:hint="eastAsia" w:ascii="宋体" w:hAnsi="宋体" w:eastAsia="宋体" w:cs="宋体"/>
          <w:b/>
          <w:bCs/>
          <w:sz w:val="21"/>
          <w:szCs w:val="21"/>
        </w:rPr>
        <w:t>理人</w:t>
      </w:r>
    </w:p>
    <w:p w14:paraId="6B52AFDA">
      <w:pPr>
        <w:widowControl/>
        <w:spacing w:line="360" w:lineRule="auto"/>
        <w:jc w:val="left"/>
        <w:outlineLvl w:val="4"/>
        <w:rPr>
          <w:rFonts w:ascii="宋体" w:hAnsi="宋体" w:eastAsia="宋体" w:cs="宋体"/>
          <w:b/>
          <w:bCs/>
          <w:kern w:val="0"/>
          <w:sz w:val="21"/>
          <w:szCs w:val="21"/>
        </w:rPr>
      </w:pPr>
      <w:bookmarkStart w:id="1171" w:name="_Toc532377341"/>
      <w:bookmarkEnd w:id="1171"/>
      <w:r>
        <w:rPr>
          <w:rFonts w:hint="eastAsia" w:ascii="宋体" w:hAnsi="宋体" w:eastAsia="宋体" w:cs="宋体"/>
          <w:b/>
          <w:bCs/>
          <w:kern w:val="0"/>
          <w:sz w:val="21"/>
          <w:szCs w:val="21"/>
        </w:rPr>
        <w:t>4.1 监理人的一般规定</w:t>
      </w:r>
    </w:p>
    <w:p w14:paraId="19240766">
      <w:pPr>
        <w:spacing w:line="360" w:lineRule="auto"/>
        <w:jc w:val="left"/>
        <w:rPr>
          <w:rFonts w:ascii="宋体" w:hAnsi="宋体" w:eastAsia="宋体" w:cs="Times New Roman"/>
          <w:sz w:val="21"/>
          <w:szCs w:val="21"/>
        </w:rPr>
      </w:pPr>
      <w:bookmarkStart w:id="1172" w:name="_Toc532377342"/>
      <w:bookmarkEnd w:id="1172"/>
      <w:r>
        <w:rPr>
          <w:rFonts w:hint="eastAsia" w:ascii="宋体" w:hAnsi="宋体" w:eastAsia="宋体" w:cs="Times New Roman"/>
          <w:sz w:val="21"/>
          <w:szCs w:val="21"/>
        </w:rPr>
        <w:t>关于监理人的监理内容：</w:t>
      </w:r>
      <w:r>
        <w:rPr>
          <w:rFonts w:hint="eastAsia" w:ascii="宋体" w:hAnsi="宋体" w:eastAsia="宋体" w:cs="Times New Roman"/>
          <w:sz w:val="21"/>
          <w:szCs w:val="21"/>
          <w:u w:val="single"/>
        </w:rPr>
        <w:t>见发包人与监理人就本工程签订的监理合同</w:t>
      </w:r>
      <w:r>
        <w:rPr>
          <w:rFonts w:hint="eastAsia" w:ascii="宋体" w:hAnsi="宋体" w:eastAsia="宋体" w:cs="Times New Roman"/>
          <w:sz w:val="21"/>
          <w:szCs w:val="21"/>
        </w:rPr>
        <w:t>。</w:t>
      </w:r>
    </w:p>
    <w:p w14:paraId="4EC32C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关于监理人的监理权限：</w:t>
      </w:r>
      <w:r>
        <w:rPr>
          <w:rFonts w:hint="eastAsia" w:ascii="宋体" w:hAnsi="宋体" w:eastAsia="宋体" w:cs="Times New Roman"/>
          <w:sz w:val="21"/>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eastAsia="宋体" w:cs="Times New Roman"/>
          <w:sz w:val="21"/>
          <w:szCs w:val="21"/>
        </w:rPr>
        <w:t>。</w:t>
      </w:r>
    </w:p>
    <w:p w14:paraId="30EA35D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关于监理人在施工现场的办公场所、生活场所的提供和费用承担的约定：</w:t>
      </w:r>
      <w:r>
        <w:rPr>
          <w:rFonts w:hint="eastAsia" w:ascii="宋体" w:hAnsi="宋体" w:eastAsia="宋体" w:cs="Times New Roman"/>
          <w:sz w:val="21"/>
          <w:szCs w:val="21"/>
          <w:u w:val="single"/>
        </w:rPr>
        <w:t xml:space="preserve">  见发包人与监理人就本工程签订的监理合同</w:t>
      </w:r>
      <w:r>
        <w:rPr>
          <w:rFonts w:hint="eastAsia" w:ascii="宋体" w:hAnsi="宋体" w:eastAsia="宋体" w:cs="Times New Roman"/>
          <w:sz w:val="21"/>
          <w:szCs w:val="21"/>
        </w:rPr>
        <w:t>。</w:t>
      </w:r>
    </w:p>
    <w:p w14:paraId="16A600D9">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4.2 监理人员</w:t>
      </w:r>
    </w:p>
    <w:p w14:paraId="3E223A2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总监理工程师：</w:t>
      </w:r>
    </w:p>
    <w:p w14:paraId="34FE28E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姓    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86E663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职    务：</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C5FA2E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监理工程师执业资格证书号：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85B4A9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88B1CD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关于监理人的其他约定：</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A02CF3A">
      <w:pPr>
        <w:keepNext/>
        <w:keepLines/>
        <w:spacing w:line="360" w:lineRule="auto"/>
        <w:outlineLvl w:val="3"/>
        <w:rPr>
          <w:rFonts w:ascii="宋体" w:hAnsi="宋体" w:eastAsia="宋体" w:cs="宋体"/>
          <w:b/>
          <w:sz w:val="21"/>
          <w:szCs w:val="21"/>
        </w:rPr>
      </w:pPr>
      <w:bookmarkStart w:id="1173" w:name="_Toc532375612"/>
      <w:bookmarkEnd w:id="1173"/>
      <w:bookmarkStart w:id="1174" w:name="_Toc532377344"/>
      <w:bookmarkEnd w:id="1174"/>
      <w:bookmarkStart w:id="1175" w:name="_Toc351203637"/>
      <w:bookmarkEnd w:id="1175"/>
      <w:bookmarkStart w:id="1176" w:name="_Toc267251418"/>
      <w:r>
        <w:rPr>
          <w:rFonts w:hint="eastAsia" w:ascii="宋体" w:hAnsi="宋体" w:eastAsia="宋体" w:cs="宋体"/>
          <w:b/>
          <w:bCs/>
          <w:sz w:val="21"/>
          <w:szCs w:val="21"/>
        </w:rPr>
        <w:t>5</w:t>
      </w:r>
      <w:bookmarkEnd w:id="1176"/>
      <w:bookmarkStart w:id="1177" w:name="_Toc292559872"/>
      <w:bookmarkEnd w:id="1177"/>
      <w:bookmarkStart w:id="1178" w:name="_Toc296503163"/>
      <w:bookmarkEnd w:id="1178"/>
      <w:bookmarkStart w:id="1179" w:name="_Toc296890991"/>
      <w:bookmarkEnd w:id="1179"/>
      <w:bookmarkStart w:id="1180" w:name="_Toc292559367"/>
      <w:bookmarkEnd w:id="1180"/>
      <w:bookmarkStart w:id="1181" w:name="_Toc296944502"/>
      <w:bookmarkEnd w:id="1181"/>
      <w:bookmarkStart w:id="1182" w:name="_Toc296346664"/>
      <w:bookmarkEnd w:id="1182"/>
      <w:bookmarkStart w:id="1183" w:name="_Toc297048349"/>
      <w:bookmarkEnd w:id="1183"/>
      <w:bookmarkStart w:id="1184" w:name="_Toc296891203"/>
      <w:bookmarkEnd w:id="1184"/>
      <w:bookmarkStart w:id="1185" w:name="_Toc297120463"/>
      <w:bookmarkEnd w:id="1185"/>
      <w:bookmarkStart w:id="1186" w:name="_Toc296347162"/>
      <w:r>
        <w:rPr>
          <w:rFonts w:hint="eastAsia" w:ascii="宋体" w:hAnsi="宋体" w:eastAsia="宋体" w:cs="宋体"/>
          <w:b/>
          <w:bCs/>
          <w:sz w:val="21"/>
          <w:szCs w:val="21"/>
        </w:rPr>
        <w:t>. 工程质量</w:t>
      </w:r>
      <w:bookmarkEnd w:id="1186"/>
    </w:p>
    <w:p w14:paraId="0AD67033">
      <w:pPr>
        <w:widowControl/>
        <w:spacing w:line="360" w:lineRule="auto"/>
        <w:jc w:val="left"/>
        <w:outlineLvl w:val="4"/>
        <w:rPr>
          <w:rFonts w:ascii="宋体" w:hAnsi="宋体" w:eastAsia="宋体" w:cs="宋体"/>
          <w:b/>
          <w:bCs/>
          <w:kern w:val="0"/>
          <w:sz w:val="21"/>
          <w:szCs w:val="21"/>
        </w:rPr>
      </w:pPr>
      <w:bookmarkStart w:id="1187" w:name="_Toc532377345"/>
      <w:bookmarkEnd w:id="1187"/>
      <w:r>
        <w:rPr>
          <w:rFonts w:hint="eastAsia" w:ascii="宋体" w:hAnsi="宋体" w:eastAsia="宋体" w:cs="宋体"/>
          <w:b/>
          <w:bCs/>
          <w:kern w:val="0"/>
          <w:sz w:val="21"/>
          <w:szCs w:val="21"/>
        </w:rPr>
        <w:t>5.1 质量要求</w:t>
      </w:r>
      <w:bookmarkStart w:id="1188" w:name="_Toc318581164"/>
      <w:bookmarkEnd w:id="1188"/>
      <w:bookmarkStart w:id="1189" w:name="_Toc297216155"/>
      <w:bookmarkEnd w:id="1189"/>
      <w:bookmarkStart w:id="1190" w:name="_Toc300934949"/>
      <w:bookmarkEnd w:id="1190"/>
      <w:bookmarkStart w:id="1191" w:name="_Toc297123496"/>
      <w:bookmarkEnd w:id="1191"/>
      <w:bookmarkStart w:id="1192" w:name="_Toc303539106"/>
      <w:bookmarkEnd w:id="1192"/>
      <w:bookmarkStart w:id="1193" w:name="_Hlk528909888"/>
      <w:bookmarkEnd w:id="1193"/>
      <w:bookmarkStart w:id="1194" w:name="_Toc312677997"/>
      <w:bookmarkEnd w:id="1194"/>
      <w:bookmarkStart w:id="1195" w:name="_Toc304295527"/>
      <w:bookmarkEnd w:id="1195"/>
    </w:p>
    <w:p w14:paraId="23C4AB9D">
      <w:pPr>
        <w:spacing w:line="360" w:lineRule="auto"/>
        <w:jc w:val="left"/>
        <w:rPr>
          <w:rFonts w:ascii="宋体" w:hAnsi="宋体" w:eastAsia="宋体" w:cs="Times New Roman"/>
          <w:sz w:val="21"/>
          <w:szCs w:val="21"/>
        </w:rPr>
      </w:pPr>
      <w:bookmarkStart w:id="1196" w:name="_Hlk528927873"/>
      <w:bookmarkEnd w:id="1196"/>
      <w:bookmarkStart w:id="1197" w:name="_Toc351203536"/>
      <w:bookmarkEnd w:id="1197"/>
      <w:bookmarkStart w:id="1198" w:name="_Toc532377347"/>
      <w:r>
        <w:rPr>
          <w:rFonts w:hint="eastAsia" w:ascii="宋体" w:hAnsi="宋体" w:eastAsia="宋体" w:cs="Times New Roman"/>
          <w:sz w:val="21"/>
          <w:szCs w:val="21"/>
        </w:rPr>
        <w:t>工程质量符合强制性质量标准，</w:t>
      </w:r>
      <w:bookmarkEnd w:id="1198"/>
      <w:r>
        <w:rPr>
          <w:rFonts w:hint="eastAsia" w:ascii="宋体" w:hAnsi="宋体" w:eastAsia="宋体" w:cs="Times New Roman"/>
          <w:sz w:val="21"/>
          <w:szCs w:val="21"/>
          <w:u w:val="single"/>
        </w:rPr>
        <w:t>符合国家和重庆市现行有关施工质量验收规范要求，并达到合格标准</w:t>
      </w:r>
      <w:r>
        <w:rPr>
          <w:rFonts w:hint="eastAsia" w:ascii="宋体" w:hAnsi="宋体" w:eastAsia="宋体" w:cs="Times New Roman"/>
          <w:sz w:val="21"/>
          <w:szCs w:val="21"/>
        </w:rPr>
        <w:t>。</w:t>
      </w:r>
    </w:p>
    <w:p w14:paraId="53D4A946">
      <w:pPr>
        <w:widowControl/>
        <w:spacing w:before="100" w:beforeAutospacing="1" w:after="100" w:afterAutospacing="1"/>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5.2质量缺陷及质量事故处理的约定：</w:t>
      </w:r>
    </w:p>
    <w:p w14:paraId="3707CD1D">
      <w:pPr>
        <w:adjustRightInd w:val="0"/>
        <w:snapToGrid w:val="0"/>
        <w:spacing w:line="360" w:lineRule="auto"/>
        <w:rPr>
          <w:rFonts w:ascii="宋体" w:hAnsi="宋体" w:eastAsia="宋体" w:cs="Times New Roman"/>
          <w:kern w:val="0"/>
          <w:sz w:val="21"/>
          <w:szCs w:val="21"/>
        </w:rPr>
      </w:pPr>
      <w:r>
        <w:rPr>
          <w:rFonts w:hint="eastAsia" w:ascii="宋体" w:hAnsi="宋体" w:eastAsia="宋体" w:cs="Times New Roman"/>
          <w:sz w:val="21"/>
          <w:szCs w:val="21"/>
        </w:rPr>
        <w:t xml:space="preserve"> </w:t>
      </w:r>
      <w:r>
        <w:rPr>
          <w:rFonts w:hint="eastAsia" w:ascii="宋体" w:hAnsi="宋体" w:eastAsia="宋体" w:cs="Times New Roman"/>
          <w:kern w:val="0"/>
          <w:sz w:val="21"/>
          <w:szCs w:val="21"/>
        </w:rPr>
        <w:t>（1）合同履行过程中，发生工程质量事故的调查处理按照国家及重庆市现行规定处理。</w:t>
      </w:r>
    </w:p>
    <w:p w14:paraId="0A57D8B3">
      <w:pPr>
        <w:adjustRightInd w:val="0"/>
        <w:snapToGrid w:val="0"/>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2）发包人在对工程质量（含材料、设备等）、安全和环境保护、水土保持等建设全过程管理中发现有技术、质量和其他问题的，可通过监理人责令承包人返工或整改，费用和工期损失由承包人承担；对存在的隐患，有权责令承包人予以解决，承包人按照合同中其他条款约定承担违约责任。</w:t>
      </w:r>
    </w:p>
    <w:p w14:paraId="652F3255">
      <w:pPr>
        <w:adjustRightInd w:val="0"/>
        <w:snapToGrid w:val="0"/>
        <w:spacing w:line="360" w:lineRule="auto"/>
        <w:rPr>
          <w:rFonts w:ascii="Times New Roman" w:hAnsi="Times New Roman" w:eastAsia="宋体" w:cs="Times New Roman"/>
          <w:sz w:val="21"/>
          <w:szCs w:val="21"/>
        </w:rPr>
      </w:pPr>
      <w:r>
        <w:rPr>
          <w:rFonts w:hint="eastAsia" w:ascii="宋体" w:hAnsi="宋体" w:eastAsia="宋体" w:cs="Times New Roman"/>
          <w:kern w:val="0"/>
          <w:sz w:val="21"/>
          <w:szCs w:val="21"/>
        </w:rPr>
        <w:t>（3）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477F78C">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5.3隐蔽工程检查</w:t>
      </w:r>
    </w:p>
    <w:p w14:paraId="654EF9F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5.3.2承包人提前通知监理人隐蔽工程检查的期限的约定：</w:t>
      </w:r>
      <w:r>
        <w:rPr>
          <w:rFonts w:hint="eastAsia" w:ascii="宋体" w:hAnsi="宋体" w:eastAsia="宋体" w:cs="Times New Roman"/>
          <w:sz w:val="21"/>
          <w:szCs w:val="21"/>
          <w:u w:val="single"/>
        </w:rPr>
        <w:t xml:space="preserve">   12小时内   </w:t>
      </w:r>
      <w:r>
        <w:rPr>
          <w:rFonts w:hint="eastAsia" w:ascii="宋体" w:hAnsi="宋体" w:eastAsia="宋体" w:cs="Times New Roman"/>
          <w:sz w:val="21"/>
          <w:szCs w:val="21"/>
        </w:rPr>
        <w:t>。</w:t>
      </w:r>
    </w:p>
    <w:p w14:paraId="0368D88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监理人不能按时进行检查时，应提前</w:t>
      </w:r>
      <w:r>
        <w:rPr>
          <w:rFonts w:hint="eastAsia" w:ascii="宋体" w:hAnsi="宋体" w:eastAsia="宋体" w:cs="Times New Roman"/>
          <w:sz w:val="21"/>
          <w:szCs w:val="21"/>
          <w:u w:val="single"/>
        </w:rPr>
        <w:t xml:space="preserve">  12  </w:t>
      </w:r>
      <w:r>
        <w:rPr>
          <w:rFonts w:hint="eastAsia" w:ascii="宋体" w:hAnsi="宋体" w:eastAsia="宋体" w:cs="Times New Roman"/>
          <w:sz w:val="21"/>
          <w:szCs w:val="21"/>
        </w:rPr>
        <w:t>小时提交书面延期要求。</w:t>
      </w:r>
    </w:p>
    <w:p w14:paraId="00F6637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关于延期最长不得超过：</w:t>
      </w:r>
      <w:r>
        <w:rPr>
          <w:rFonts w:hint="eastAsia" w:ascii="宋体" w:hAnsi="宋体" w:eastAsia="宋体" w:cs="Times New Roman"/>
          <w:sz w:val="21"/>
          <w:szCs w:val="21"/>
          <w:u w:val="single"/>
        </w:rPr>
        <w:t xml:space="preserve"> 24  </w:t>
      </w:r>
      <w:r>
        <w:rPr>
          <w:rFonts w:hint="eastAsia" w:ascii="宋体" w:hAnsi="宋体" w:eastAsia="宋体" w:cs="Times New Roman"/>
          <w:sz w:val="21"/>
          <w:szCs w:val="21"/>
        </w:rPr>
        <w:t>小时。</w:t>
      </w:r>
    </w:p>
    <w:p w14:paraId="2625D726">
      <w:pPr>
        <w:keepNext/>
        <w:keepLines/>
        <w:spacing w:line="360" w:lineRule="auto"/>
        <w:outlineLvl w:val="3"/>
        <w:rPr>
          <w:rFonts w:ascii="宋体" w:hAnsi="宋体" w:eastAsia="宋体" w:cs="宋体"/>
          <w:b/>
          <w:sz w:val="21"/>
          <w:szCs w:val="21"/>
        </w:rPr>
      </w:pPr>
      <w:bookmarkStart w:id="1199" w:name="_Toc297048359"/>
      <w:bookmarkEnd w:id="1199"/>
      <w:bookmarkStart w:id="1200" w:name="_Toc296347172"/>
      <w:bookmarkEnd w:id="1200"/>
      <w:bookmarkStart w:id="1201" w:name="_Toc292559883"/>
      <w:bookmarkEnd w:id="1201"/>
      <w:bookmarkStart w:id="1202" w:name="_Toc296891001"/>
      <w:bookmarkEnd w:id="1202"/>
      <w:bookmarkStart w:id="1203" w:name="_Toc532375613"/>
      <w:bookmarkEnd w:id="1203"/>
      <w:bookmarkStart w:id="1204" w:name="_Toc267251427"/>
      <w:bookmarkEnd w:id="1204"/>
      <w:bookmarkStart w:id="1205" w:name="_Toc532377349"/>
      <w:bookmarkEnd w:id="1205"/>
      <w:bookmarkStart w:id="1206" w:name="_Toc292559378"/>
      <w:bookmarkEnd w:id="1206"/>
      <w:bookmarkStart w:id="1207" w:name="_Toc351203638"/>
      <w:bookmarkEnd w:id="1207"/>
      <w:bookmarkStart w:id="1208" w:name="_Toc296346674"/>
      <w:bookmarkEnd w:id="1208"/>
      <w:bookmarkStart w:id="1209" w:name="_Toc296503173"/>
      <w:bookmarkEnd w:id="1209"/>
      <w:bookmarkStart w:id="1210" w:name="_Toc296891213"/>
      <w:bookmarkEnd w:id="1210"/>
      <w:bookmarkStart w:id="1211" w:name="_Toc267251428"/>
      <w:bookmarkEnd w:id="1211"/>
      <w:bookmarkStart w:id="1212" w:name="_Toc297120473"/>
      <w:bookmarkEnd w:id="1212"/>
      <w:bookmarkStart w:id="1213" w:name="_Toc351203642"/>
      <w:bookmarkEnd w:id="1213"/>
      <w:bookmarkStart w:id="1214" w:name="_Toc296944512"/>
      <w:bookmarkEnd w:id="1214"/>
      <w:r>
        <w:rPr>
          <w:rFonts w:hint="eastAsia" w:ascii="宋体" w:hAnsi="宋体" w:eastAsia="宋体" w:cs="宋体"/>
          <w:b/>
          <w:bCs/>
          <w:sz w:val="21"/>
          <w:szCs w:val="21"/>
        </w:rPr>
        <w:t>6. 安全文明施工与环境保护</w:t>
      </w:r>
    </w:p>
    <w:p w14:paraId="01268B17">
      <w:pPr>
        <w:widowControl/>
        <w:spacing w:line="360" w:lineRule="auto"/>
        <w:jc w:val="left"/>
        <w:outlineLvl w:val="4"/>
        <w:rPr>
          <w:rFonts w:ascii="宋体" w:hAnsi="宋体" w:eastAsia="宋体" w:cs="宋体"/>
          <w:b/>
          <w:bCs/>
          <w:kern w:val="0"/>
          <w:sz w:val="21"/>
          <w:szCs w:val="21"/>
        </w:rPr>
      </w:pPr>
      <w:bookmarkStart w:id="1215" w:name="_Toc532375614"/>
      <w:bookmarkEnd w:id="1215"/>
      <w:bookmarkStart w:id="1216" w:name="_Toc532377350"/>
      <w:r>
        <w:rPr>
          <w:rFonts w:hint="eastAsia" w:ascii="宋体" w:hAnsi="宋体" w:eastAsia="宋体" w:cs="宋体"/>
          <w:b/>
          <w:bCs/>
          <w:kern w:val="0"/>
          <w:sz w:val="21"/>
          <w:szCs w:val="21"/>
        </w:rPr>
        <w:t>6.1 安全文明施工</w:t>
      </w:r>
      <w:bookmarkEnd w:id="1216"/>
    </w:p>
    <w:p w14:paraId="3479659D">
      <w:pPr>
        <w:spacing w:line="360" w:lineRule="auto"/>
        <w:jc w:val="left"/>
        <w:rPr>
          <w:rFonts w:ascii="宋体" w:hAnsi="宋体" w:eastAsia="宋体" w:cs="Times New Roman"/>
          <w:sz w:val="21"/>
          <w:szCs w:val="21"/>
          <w:u w:val="single"/>
        </w:rPr>
      </w:pPr>
      <w:bookmarkStart w:id="1217" w:name="_Toc351203639"/>
      <w:bookmarkEnd w:id="1217"/>
      <w:bookmarkStart w:id="1218" w:name="_Toc532377352"/>
      <w:bookmarkEnd w:id="1218"/>
      <w:bookmarkStart w:id="1219" w:name="_Toc532375616"/>
      <w:r>
        <w:rPr>
          <w:rFonts w:hint="eastAsia" w:ascii="宋体" w:hAnsi="宋体" w:eastAsia="宋体" w:cs="Times New Roman"/>
          <w:sz w:val="21"/>
          <w:szCs w:val="21"/>
        </w:rPr>
        <w:t>6.1.1 项目安全生产的达标目标及相应事项的约定：</w:t>
      </w:r>
      <w:bookmarkEnd w:id="1219"/>
      <w:r>
        <w:rPr>
          <w:rFonts w:hint="eastAsia" w:ascii="宋体" w:hAnsi="宋体" w:eastAsia="宋体" w:cs="Times New Roman"/>
          <w:sz w:val="21"/>
          <w:szCs w:val="21"/>
          <w:u w:val="single"/>
        </w:rPr>
        <w:t>达到《建筑施工安全检查标准》(JGJ59-2011)的要求。</w:t>
      </w:r>
    </w:p>
    <w:p w14:paraId="7EC3BE9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(1)按现行安全文明施工费计取及使用管理的政策文件规定及发包人制订的安全管理制度执行。</w:t>
      </w:r>
    </w:p>
    <w:p w14:paraId="4ACEDBB3">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(2)承包人的原因造成事故，由此产生的法律责任和事故责任及费用由承包人全部承担。</w:t>
      </w:r>
    </w:p>
    <w:p w14:paraId="3E94FDE9">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(3)承包人向发包人做出安全承诺，并签订《安全生产目标责任书》和《安全承诺书》。</w:t>
      </w:r>
    </w:p>
    <w:p w14:paraId="13183339">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(4)承包人在施工过程中，必须严格执行安全生产法的相关规定，制定切实可靠的安全技术措施。</w:t>
      </w:r>
    </w:p>
    <w:p w14:paraId="4ED5CFBB">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(5)接受发包人安全监督和管理，在施工中违反安全管理规定和操作规程、违章作业的，承担违约责任。</w:t>
      </w:r>
    </w:p>
    <w:p w14:paraId="788634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6.1.4 关于治安保卫的特别约定：</w:t>
      </w:r>
      <w:r>
        <w:rPr>
          <w:rFonts w:hint="eastAsia" w:ascii="宋体" w:hAnsi="宋体" w:eastAsia="宋体" w:cs="Times New Roman"/>
          <w:sz w:val="21"/>
          <w:szCs w:val="21"/>
          <w:u w:val="single"/>
        </w:rPr>
        <w:t>承包人负责组建施工现场治安管理机构或联防组织；承包人负责编制施工场地治安管理计划和突发治安事件紧急预案。</w:t>
      </w:r>
    </w:p>
    <w:p w14:paraId="700A6B1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关于编制施工场地治安管理计划的约定：</w:t>
      </w:r>
      <w:r>
        <w:rPr>
          <w:rFonts w:hint="eastAsia" w:ascii="宋体" w:hAnsi="宋体" w:eastAsia="宋体" w:cs="Times New Roman"/>
          <w:sz w:val="21"/>
          <w:szCs w:val="21"/>
          <w:u w:val="single"/>
        </w:rPr>
        <w:t xml:space="preserve">由承包人负责 </w:t>
      </w:r>
      <w:r>
        <w:rPr>
          <w:rFonts w:hint="eastAsia" w:ascii="宋体" w:hAnsi="宋体" w:eastAsia="宋体" w:cs="Times New Roman"/>
          <w:sz w:val="21"/>
          <w:szCs w:val="21"/>
        </w:rPr>
        <w:t>。</w:t>
      </w:r>
    </w:p>
    <w:p w14:paraId="6AF0C1D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6.1.5 文明施工</w:t>
      </w:r>
    </w:p>
    <w:p w14:paraId="5103C06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合同当事人对文明施工的要求：</w:t>
      </w:r>
      <w:r>
        <w:rPr>
          <w:rFonts w:hint="eastAsia" w:ascii="宋体" w:hAnsi="宋体" w:eastAsia="宋体" w:cs="Times New Roman"/>
          <w:sz w:val="21"/>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eastAsia="宋体" w:cs="Times New Roman"/>
          <w:sz w:val="21"/>
          <w:szCs w:val="21"/>
        </w:rPr>
        <w:t>。</w:t>
      </w:r>
    </w:p>
    <w:p w14:paraId="35642FD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eastAsia="宋体" w:cs="Times New Roman"/>
          <w:sz w:val="21"/>
          <w:szCs w:val="21"/>
        </w:rPr>
        <w:t>。</w:t>
      </w:r>
    </w:p>
    <w:p w14:paraId="407F6E4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6.1.6 关于安全文明施工费支付比例和支付期限的约定：按照行业主管部门相关规定执行。</w:t>
      </w:r>
    </w:p>
    <w:p w14:paraId="5FC7AE47">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安全文明施工费的要求与内容、提取支付方法以及违反约定造成损失的赔偿等条款，按照现行规范要求执行，做到专款专用</w:t>
      </w:r>
      <w:r>
        <w:rPr>
          <w:rFonts w:hint="eastAsia" w:ascii="宋体" w:hAnsi="宋体" w:eastAsia="宋体" w:cs="Times New Roman"/>
          <w:sz w:val="21"/>
          <w:szCs w:val="21"/>
        </w:rPr>
        <w:t>。</w:t>
      </w:r>
    </w:p>
    <w:p w14:paraId="4859480C">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7. 工期和进度</w:t>
      </w:r>
    </w:p>
    <w:p w14:paraId="106F5146">
      <w:pPr>
        <w:widowControl/>
        <w:spacing w:line="360" w:lineRule="auto"/>
        <w:jc w:val="left"/>
        <w:outlineLvl w:val="4"/>
        <w:rPr>
          <w:rFonts w:ascii="宋体" w:hAnsi="宋体" w:eastAsia="宋体" w:cs="宋体"/>
          <w:b/>
          <w:bCs/>
          <w:kern w:val="0"/>
          <w:sz w:val="21"/>
          <w:szCs w:val="21"/>
        </w:rPr>
      </w:pPr>
      <w:bookmarkStart w:id="1220" w:name="_Toc532375617"/>
      <w:bookmarkEnd w:id="1220"/>
      <w:bookmarkStart w:id="1221" w:name="_Toc532377353"/>
      <w:r>
        <w:rPr>
          <w:rFonts w:hint="eastAsia" w:ascii="宋体" w:hAnsi="宋体" w:eastAsia="宋体" w:cs="宋体"/>
          <w:b/>
          <w:bCs/>
          <w:kern w:val="0"/>
          <w:sz w:val="21"/>
          <w:szCs w:val="21"/>
        </w:rPr>
        <w:t>7.1 施工组织设计</w:t>
      </w:r>
      <w:bookmarkEnd w:id="1221"/>
    </w:p>
    <w:p w14:paraId="30BE373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7.1.1 合同当事人约定的施工组织设计应包括的其他内容：</w:t>
      </w:r>
      <w:r>
        <w:rPr>
          <w:rFonts w:hint="eastAsia" w:ascii="宋体" w:hAnsi="宋体" w:eastAsia="宋体" w:cs="Times New Roman"/>
          <w:sz w:val="21"/>
          <w:szCs w:val="21"/>
          <w:u w:val="single"/>
        </w:rPr>
        <w:t xml:space="preserve"> 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eastAsia="宋体" w:cs="Times New Roman"/>
          <w:sz w:val="21"/>
          <w:szCs w:val="21"/>
        </w:rPr>
        <w:t>。</w:t>
      </w:r>
    </w:p>
    <w:p w14:paraId="68F09EF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7.1.2 施工组织设计的提交和修改</w:t>
      </w:r>
    </w:p>
    <w:p w14:paraId="35547CF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承包人提交详细施工组织设计的期限的约定：</w:t>
      </w:r>
      <w:r>
        <w:rPr>
          <w:rFonts w:hint="eastAsia" w:ascii="宋体" w:hAnsi="宋体" w:eastAsia="宋体" w:cs="Times New Roman"/>
          <w:sz w:val="21"/>
          <w:szCs w:val="21"/>
          <w:u w:val="single"/>
        </w:rPr>
        <w:t xml:space="preserve"> 合同签订后7天内，但最迟不得晚于开工通知载明的开工日期前10天  </w:t>
      </w:r>
      <w:r>
        <w:rPr>
          <w:rFonts w:hint="eastAsia" w:ascii="宋体" w:hAnsi="宋体" w:eastAsia="宋体" w:cs="Times New Roman"/>
          <w:sz w:val="21"/>
          <w:szCs w:val="21"/>
        </w:rPr>
        <w:t>。</w:t>
      </w:r>
    </w:p>
    <w:p w14:paraId="4158517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发包人和监理人在收到详细的施工组织设计后确认或提出修改意见的期限：</w:t>
      </w:r>
      <w:r>
        <w:rPr>
          <w:rFonts w:hint="eastAsia" w:ascii="宋体" w:hAnsi="宋体" w:eastAsia="宋体" w:cs="Times New Roman"/>
          <w:sz w:val="21"/>
          <w:szCs w:val="21"/>
          <w:u w:val="single"/>
        </w:rPr>
        <w:t xml:space="preserve">  收到施工组织设计后7天内</w:t>
      </w:r>
      <w:r>
        <w:rPr>
          <w:rFonts w:hint="eastAsia" w:ascii="宋体" w:hAnsi="宋体" w:eastAsia="宋体" w:cs="Times New Roman"/>
          <w:sz w:val="21"/>
          <w:szCs w:val="21"/>
        </w:rPr>
        <w:t>。</w:t>
      </w:r>
    </w:p>
    <w:p w14:paraId="4EE40548">
      <w:pPr>
        <w:widowControl/>
        <w:spacing w:line="360" w:lineRule="auto"/>
        <w:jc w:val="left"/>
        <w:outlineLvl w:val="4"/>
        <w:rPr>
          <w:rFonts w:ascii="宋体" w:hAnsi="宋体" w:eastAsia="宋体" w:cs="宋体"/>
          <w:b/>
          <w:bCs/>
          <w:kern w:val="0"/>
          <w:sz w:val="21"/>
          <w:szCs w:val="21"/>
        </w:rPr>
      </w:pPr>
      <w:bookmarkStart w:id="1222" w:name="_Toc532377354"/>
      <w:bookmarkEnd w:id="1222"/>
      <w:bookmarkStart w:id="1223" w:name="_Toc532375618"/>
      <w:r>
        <w:rPr>
          <w:rFonts w:hint="eastAsia" w:ascii="宋体" w:hAnsi="宋体" w:eastAsia="宋体" w:cs="宋体"/>
          <w:b/>
          <w:bCs/>
          <w:kern w:val="0"/>
          <w:sz w:val="21"/>
          <w:szCs w:val="21"/>
        </w:rPr>
        <w:t>7.2 施工进度计划</w:t>
      </w:r>
      <w:bookmarkEnd w:id="1223"/>
    </w:p>
    <w:p w14:paraId="136C913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7.2.2 施工进度计划的修订</w:t>
      </w:r>
    </w:p>
    <w:p w14:paraId="0DB84C7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发包人和监理人在收到修订的施工进度计划后确认或提出修改意见的期限：</w:t>
      </w:r>
      <w:r>
        <w:rPr>
          <w:rFonts w:hint="eastAsia" w:ascii="宋体" w:hAnsi="宋体" w:eastAsia="宋体" w:cs="Times New Roman"/>
          <w:sz w:val="21"/>
          <w:szCs w:val="21"/>
          <w:u w:val="single"/>
        </w:rPr>
        <w:t xml:space="preserve"> 收到修订的施工进度计划后 7天内</w:t>
      </w:r>
      <w:r>
        <w:rPr>
          <w:rFonts w:hint="eastAsia" w:ascii="宋体" w:hAnsi="宋体" w:eastAsia="宋体" w:cs="Times New Roman"/>
          <w:sz w:val="21"/>
          <w:szCs w:val="21"/>
        </w:rPr>
        <w:t>。</w:t>
      </w:r>
    </w:p>
    <w:p w14:paraId="2ADA303A">
      <w:pPr>
        <w:widowControl/>
        <w:spacing w:line="360" w:lineRule="auto"/>
        <w:jc w:val="left"/>
        <w:outlineLvl w:val="4"/>
        <w:rPr>
          <w:rFonts w:ascii="宋体" w:hAnsi="宋体" w:eastAsia="宋体" w:cs="宋体"/>
          <w:b/>
          <w:bCs/>
          <w:kern w:val="0"/>
          <w:sz w:val="21"/>
          <w:szCs w:val="21"/>
        </w:rPr>
      </w:pPr>
      <w:bookmarkStart w:id="1224" w:name="_Toc312677479"/>
      <w:bookmarkEnd w:id="1224"/>
      <w:bookmarkStart w:id="1225" w:name="_Toc303539123"/>
      <w:bookmarkEnd w:id="1225"/>
      <w:bookmarkStart w:id="1226" w:name="_Toc312678005"/>
      <w:bookmarkEnd w:id="1226"/>
      <w:bookmarkStart w:id="1227" w:name="_Toc297216173"/>
      <w:bookmarkEnd w:id="1227"/>
      <w:bookmarkStart w:id="1228" w:name="_Toc532377355"/>
      <w:bookmarkEnd w:id="1228"/>
      <w:bookmarkStart w:id="1229" w:name="_Toc304295541"/>
      <w:bookmarkEnd w:id="1229"/>
      <w:bookmarkStart w:id="1230" w:name="_Toc300934966"/>
      <w:bookmarkEnd w:id="1230"/>
      <w:bookmarkStart w:id="1231" w:name="_Toc297123514"/>
      <w:bookmarkEnd w:id="1231"/>
      <w:bookmarkStart w:id="1232" w:name="_Toc532375619"/>
      <w:r>
        <w:rPr>
          <w:rFonts w:hint="eastAsia" w:ascii="宋体" w:hAnsi="宋体" w:eastAsia="宋体" w:cs="宋体"/>
          <w:b/>
          <w:bCs/>
          <w:kern w:val="0"/>
          <w:sz w:val="21"/>
          <w:szCs w:val="21"/>
        </w:rPr>
        <w:t>7.3 开工</w:t>
      </w:r>
      <w:bookmarkEnd w:id="1232"/>
    </w:p>
    <w:p w14:paraId="5A1F7F8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7.3.1 开工准备</w:t>
      </w:r>
    </w:p>
    <w:p w14:paraId="2D7217E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关于承包人提交工程开工报审表的期限：</w:t>
      </w:r>
      <w:r>
        <w:rPr>
          <w:rFonts w:hint="eastAsia" w:ascii="宋体" w:hAnsi="宋体" w:eastAsia="宋体" w:cs="Times New Roman"/>
          <w:sz w:val="21"/>
          <w:szCs w:val="21"/>
          <w:u w:val="single"/>
        </w:rPr>
        <w:t>不晚于开工前7天</w:t>
      </w:r>
      <w:r>
        <w:rPr>
          <w:rFonts w:hint="eastAsia" w:ascii="宋体" w:hAnsi="宋体" w:eastAsia="宋体" w:cs="Times New Roman"/>
          <w:sz w:val="21"/>
          <w:szCs w:val="21"/>
        </w:rPr>
        <w:t>。</w:t>
      </w:r>
    </w:p>
    <w:p w14:paraId="4C4E49E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关于发包人应完成的其他开工准备工作及期限：</w:t>
      </w:r>
      <w:r>
        <w:rPr>
          <w:rFonts w:hint="eastAsia" w:ascii="宋体" w:hAnsi="宋体" w:eastAsia="宋体" w:cs="Times New Roman"/>
          <w:sz w:val="21"/>
          <w:szCs w:val="21"/>
          <w:u w:val="single"/>
        </w:rPr>
        <w:t>不晚于开工前7天</w:t>
      </w:r>
      <w:r>
        <w:rPr>
          <w:rFonts w:hint="eastAsia" w:ascii="宋体" w:hAnsi="宋体" w:eastAsia="宋体" w:cs="Times New Roman"/>
          <w:sz w:val="21"/>
          <w:szCs w:val="21"/>
        </w:rPr>
        <w:t>。</w:t>
      </w:r>
    </w:p>
    <w:p w14:paraId="2632F89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关于承包人应完成的其他开工准备工作及期限：</w:t>
      </w:r>
      <w:r>
        <w:rPr>
          <w:rFonts w:hint="eastAsia" w:ascii="宋体" w:hAnsi="宋体" w:eastAsia="宋体" w:cs="Times New Roman"/>
          <w:sz w:val="21"/>
          <w:szCs w:val="21"/>
          <w:u w:val="single"/>
        </w:rPr>
        <w:t>不晚于开工前7天</w:t>
      </w:r>
      <w:r>
        <w:rPr>
          <w:rFonts w:hint="eastAsia" w:ascii="宋体" w:hAnsi="宋体" w:eastAsia="宋体" w:cs="Times New Roman"/>
          <w:sz w:val="21"/>
          <w:szCs w:val="21"/>
        </w:rPr>
        <w:t>。</w:t>
      </w:r>
    </w:p>
    <w:p w14:paraId="5EB80F70">
      <w:pPr>
        <w:widowControl/>
        <w:spacing w:line="360" w:lineRule="auto"/>
        <w:jc w:val="left"/>
        <w:outlineLvl w:val="4"/>
        <w:rPr>
          <w:rFonts w:ascii="宋体" w:hAnsi="宋体" w:eastAsia="宋体" w:cs="宋体"/>
          <w:b/>
          <w:bCs/>
          <w:kern w:val="0"/>
          <w:sz w:val="21"/>
          <w:szCs w:val="21"/>
        </w:rPr>
      </w:pPr>
      <w:bookmarkStart w:id="1233" w:name="_Toc532375620"/>
      <w:bookmarkEnd w:id="1233"/>
      <w:bookmarkStart w:id="1234" w:name="_Toc532377356"/>
      <w:bookmarkEnd w:id="1234"/>
      <w:r>
        <w:rPr>
          <w:rFonts w:hint="eastAsia" w:ascii="宋体" w:hAnsi="宋体" w:eastAsia="宋体" w:cs="宋体"/>
          <w:b/>
          <w:bCs/>
          <w:kern w:val="0"/>
          <w:sz w:val="21"/>
          <w:szCs w:val="21"/>
        </w:rPr>
        <w:t>7.4 测量放线</w:t>
      </w:r>
    </w:p>
    <w:p w14:paraId="4FA60F7A">
      <w:pPr>
        <w:autoSpaceDE w:val="0"/>
        <w:autoSpaceDN w:val="0"/>
        <w:adjustRightInd w:val="0"/>
        <w:spacing w:line="400" w:lineRule="exact"/>
        <w:jc w:val="left"/>
        <w:rPr>
          <w:rFonts w:ascii="宋体" w:hAnsi="宋体" w:eastAsia="宋体" w:cs="仿宋"/>
          <w:color w:val="000000"/>
          <w:kern w:val="0"/>
          <w:sz w:val="21"/>
          <w:szCs w:val="21"/>
        </w:rPr>
      </w:pPr>
      <w:bookmarkStart w:id="1235" w:name="_Toc532377357"/>
      <w:bookmarkEnd w:id="1235"/>
      <w:bookmarkStart w:id="1236" w:name="_Toc532375621"/>
      <w:r>
        <w:rPr>
          <w:rFonts w:hint="eastAsia" w:ascii="宋体" w:hAnsi="宋体" w:eastAsia="宋体" w:cs="Times New Roman"/>
          <w:color w:val="000000"/>
          <w:sz w:val="21"/>
          <w:szCs w:val="21"/>
        </w:rPr>
        <w:t>7.4.1发包人通过监理人向承包人提供测量基准点、基准线和水准点及其书面资料的期限</w:t>
      </w:r>
      <w:bookmarkEnd w:id="1236"/>
      <w:r>
        <w:rPr>
          <w:rFonts w:hint="eastAsia" w:ascii="宋体" w:hAnsi="宋体" w:eastAsia="宋体" w:cs="仿宋"/>
          <w:color w:val="000000"/>
          <w:kern w:val="0"/>
          <w:sz w:val="21"/>
          <w:szCs w:val="21"/>
        </w:rPr>
        <w:t>：</w:t>
      </w:r>
      <w:r>
        <w:rPr>
          <w:rFonts w:hint="eastAsia" w:ascii="宋体" w:hAnsi="宋体" w:eastAsia="宋体" w:cs="仿宋"/>
          <w:color w:val="000000"/>
          <w:kern w:val="0"/>
          <w:sz w:val="21"/>
          <w:szCs w:val="21"/>
          <w:u w:val="single"/>
        </w:rPr>
        <w:t xml:space="preserve">  </w:t>
      </w:r>
      <w:r>
        <w:rPr>
          <w:rFonts w:hint="eastAsia" w:ascii="宋体" w:hAnsi="宋体" w:eastAsia="宋体" w:cs="宋体"/>
          <w:color w:val="000000"/>
          <w:kern w:val="0"/>
          <w:sz w:val="21"/>
          <w:szCs w:val="21"/>
          <w:u w:val="single"/>
        </w:rPr>
        <w:t xml:space="preserve"> 进场施工后7天之内 </w:t>
      </w:r>
      <w:r>
        <w:rPr>
          <w:rFonts w:hint="eastAsia" w:ascii="宋体" w:hAnsi="宋体" w:eastAsia="宋体" w:cs="仿宋"/>
          <w:color w:val="000000"/>
          <w:kern w:val="0"/>
          <w:sz w:val="21"/>
          <w:szCs w:val="21"/>
          <w:u w:val="single"/>
        </w:rPr>
        <w:t xml:space="preserve"> </w:t>
      </w:r>
      <w:r>
        <w:rPr>
          <w:rFonts w:hint="eastAsia" w:ascii="宋体" w:hAnsi="宋体" w:eastAsia="宋体" w:cs="仿宋"/>
          <w:color w:val="000000"/>
          <w:kern w:val="0"/>
          <w:sz w:val="21"/>
          <w:szCs w:val="21"/>
        </w:rPr>
        <w:t>。</w:t>
      </w:r>
    </w:p>
    <w:p w14:paraId="002F01D5">
      <w:pPr>
        <w:widowControl/>
        <w:spacing w:line="360" w:lineRule="auto"/>
        <w:jc w:val="left"/>
        <w:outlineLvl w:val="4"/>
        <w:rPr>
          <w:rFonts w:ascii="宋体" w:hAnsi="宋体" w:eastAsia="宋体" w:cs="宋体"/>
          <w:b/>
          <w:bCs/>
          <w:kern w:val="0"/>
          <w:sz w:val="21"/>
          <w:szCs w:val="21"/>
        </w:rPr>
      </w:pPr>
      <w:bookmarkStart w:id="1237" w:name="_Toc532375622"/>
      <w:bookmarkEnd w:id="1237"/>
      <w:bookmarkStart w:id="1238" w:name="_Hlk528927997"/>
      <w:bookmarkEnd w:id="1238"/>
      <w:bookmarkStart w:id="1239" w:name="_Toc532377358"/>
      <w:r>
        <w:rPr>
          <w:rFonts w:hint="eastAsia" w:ascii="宋体" w:hAnsi="宋体" w:eastAsia="宋体" w:cs="宋体"/>
          <w:b/>
          <w:bCs/>
          <w:kern w:val="0"/>
          <w:sz w:val="21"/>
          <w:szCs w:val="21"/>
        </w:rPr>
        <w:t>7</w:t>
      </w:r>
      <w:bookmarkEnd w:id="1239"/>
      <w:bookmarkStart w:id="1240" w:name="_Toc297123519"/>
      <w:bookmarkEnd w:id="1240"/>
      <w:bookmarkStart w:id="1241" w:name="_Toc300934971"/>
      <w:bookmarkEnd w:id="1241"/>
      <w:bookmarkStart w:id="1242" w:name="_Toc304295549"/>
      <w:bookmarkEnd w:id="1242"/>
      <w:bookmarkStart w:id="1243" w:name="_Toc297216178"/>
      <w:bookmarkEnd w:id="1243"/>
      <w:bookmarkStart w:id="1244" w:name="_Toc312678015"/>
      <w:bookmarkEnd w:id="1244"/>
      <w:bookmarkStart w:id="1245" w:name="_Toc303539128"/>
      <w:r>
        <w:rPr>
          <w:rFonts w:hint="eastAsia" w:ascii="宋体" w:hAnsi="宋体" w:eastAsia="宋体" w:cs="宋体"/>
          <w:b/>
          <w:bCs/>
          <w:kern w:val="0"/>
          <w:sz w:val="21"/>
          <w:szCs w:val="21"/>
        </w:rPr>
        <w:t>.6 不</w:t>
      </w:r>
      <w:bookmarkEnd w:id="1245"/>
      <w:r>
        <w:rPr>
          <w:rFonts w:hint="eastAsia" w:ascii="宋体" w:hAnsi="宋体" w:eastAsia="宋体" w:cs="宋体"/>
          <w:b/>
          <w:bCs/>
          <w:kern w:val="0"/>
          <w:sz w:val="21"/>
          <w:szCs w:val="21"/>
        </w:rPr>
        <w:t>利物质条件</w:t>
      </w:r>
    </w:p>
    <w:p w14:paraId="30BD91BC">
      <w:pPr>
        <w:spacing w:line="360" w:lineRule="auto"/>
        <w:jc w:val="left"/>
        <w:rPr>
          <w:rFonts w:ascii="宋体" w:hAnsi="宋体" w:eastAsia="宋体" w:cs="Times New Roman"/>
          <w:bCs/>
          <w:sz w:val="21"/>
          <w:szCs w:val="21"/>
        </w:rPr>
      </w:pPr>
      <w:bookmarkStart w:id="1246" w:name="_Toc300934972"/>
      <w:bookmarkEnd w:id="1246"/>
      <w:bookmarkStart w:id="1247" w:name="_Toc312678016"/>
      <w:bookmarkEnd w:id="1247"/>
      <w:bookmarkStart w:id="1248" w:name="_Toc303539129"/>
      <w:bookmarkEnd w:id="1248"/>
      <w:bookmarkStart w:id="1249" w:name="_Toc297123520"/>
      <w:bookmarkEnd w:id="1249"/>
      <w:bookmarkStart w:id="1250" w:name="_Toc318581172"/>
      <w:bookmarkEnd w:id="1250"/>
      <w:bookmarkStart w:id="1251" w:name="_Toc297216179"/>
      <w:bookmarkEnd w:id="1251"/>
      <w:bookmarkStart w:id="1252" w:name="_Toc304295550"/>
      <w:r>
        <w:rPr>
          <w:rFonts w:hint="eastAsia" w:ascii="宋体" w:hAnsi="宋体" w:eastAsia="宋体" w:cs="Times New Roman"/>
          <w:sz w:val="21"/>
          <w:szCs w:val="21"/>
        </w:rPr>
        <w:t>不利物质条件的其他情形和有关约定：</w:t>
      </w:r>
      <w:bookmarkEnd w:id="1252"/>
      <w:bookmarkStart w:id="1253" w:name="_Hlk528910274"/>
      <w:bookmarkEnd w:id="1253"/>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承包人在施工场地遇到的不可预见的自然物质条件、非自然的物质障碍和污染物，包括地下和水文条件，但不包括气候条件</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530D042">
      <w:pPr>
        <w:widowControl/>
        <w:spacing w:line="360" w:lineRule="auto"/>
        <w:jc w:val="left"/>
        <w:outlineLvl w:val="4"/>
        <w:rPr>
          <w:rFonts w:ascii="宋体" w:hAnsi="宋体" w:eastAsia="宋体" w:cs="宋体"/>
          <w:b/>
          <w:bCs/>
          <w:kern w:val="0"/>
          <w:sz w:val="21"/>
          <w:szCs w:val="21"/>
        </w:rPr>
      </w:pPr>
      <w:bookmarkStart w:id="1254" w:name="_Toc532375623"/>
      <w:bookmarkEnd w:id="1254"/>
      <w:bookmarkStart w:id="1255" w:name="_Toc532377359"/>
      <w:bookmarkEnd w:id="1255"/>
      <w:r>
        <w:rPr>
          <w:rFonts w:hint="eastAsia" w:ascii="宋体" w:hAnsi="宋体" w:eastAsia="宋体" w:cs="宋体"/>
          <w:b/>
          <w:bCs/>
          <w:kern w:val="0"/>
          <w:sz w:val="21"/>
          <w:szCs w:val="21"/>
        </w:rPr>
        <w:t>7</w:t>
      </w:r>
      <w:bookmarkStart w:id="1256" w:name="_Toc297123521"/>
      <w:bookmarkEnd w:id="1256"/>
      <w:bookmarkStart w:id="1257" w:name="_Toc304295551"/>
      <w:bookmarkEnd w:id="1257"/>
      <w:bookmarkStart w:id="1258" w:name="_Toc300934973"/>
      <w:bookmarkEnd w:id="1258"/>
      <w:bookmarkStart w:id="1259" w:name="_Toc312678017"/>
      <w:bookmarkEnd w:id="1259"/>
      <w:bookmarkStart w:id="1260" w:name="_Toc303539130"/>
      <w:bookmarkEnd w:id="1260"/>
      <w:bookmarkStart w:id="1261" w:name="_Toc297216180"/>
      <w:r>
        <w:rPr>
          <w:rFonts w:hint="eastAsia" w:ascii="宋体" w:hAnsi="宋体" w:eastAsia="宋体" w:cs="宋体"/>
          <w:b/>
          <w:bCs/>
          <w:kern w:val="0"/>
          <w:sz w:val="21"/>
          <w:szCs w:val="21"/>
        </w:rPr>
        <w:t>.7异常恶劣的气候条件</w:t>
      </w:r>
      <w:bookmarkEnd w:id="1261"/>
    </w:p>
    <w:p w14:paraId="1591F1B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发包人和承包人同意以下情形视为异常恶劣的气候条件：</w:t>
      </w:r>
    </w:p>
    <w:p w14:paraId="70F0FC27">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 xml:space="preserve"> 异常气候是指项目所在地50年以上一遇的罕见气候现象 </w:t>
      </w:r>
      <w:r>
        <w:rPr>
          <w:rFonts w:hint="eastAsia" w:ascii="宋体" w:hAnsi="宋体" w:eastAsia="宋体" w:cs="Times New Roman"/>
          <w:sz w:val="21"/>
          <w:szCs w:val="21"/>
        </w:rPr>
        <w:t>；</w:t>
      </w:r>
    </w:p>
    <w:p w14:paraId="0265A957">
      <w:pPr>
        <w:widowControl/>
        <w:spacing w:line="360" w:lineRule="auto"/>
        <w:jc w:val="left"/>
        <w:outlineLvl w:val="4"/>
        <w:rPr>
          <w:rFonts w:ascii="宋体" w:hAnsi="宋体" w:eastAsia="宋体" w:cs="宋体"/>
          <w:b/>
          <w:bCs/>
          <w:kern w:val="0"/>
          <w:sz w:val="21"/>
          <w:szCs w:val="21"/>
        </w:rPr>
      </w:pPr>
      <w:bookmarkStart w:id="1262" w:name="_Toc532375624"/>
      <w:bookmarkEnd w:id="1262"/>
      <w:bookmarkStart w:id="1263" w:name="_Toc532377360"/>
      <w:r>
        <w:rPr>
          <w:rFonts w:hint="eastAsia" w:ascii="宋体" w:hAnsi="宋体" w:eastAsia="宋体" w:cs="宋体"/>
          <w:b/>
          <w:bCs/>
          <w:kern w:val="0"/>
          <w:sz w:val="21"/>
          <w:szCs w:val="21"/>
        </w:rPr>
        <w:t>7.9 提前竣工</w:t>
      </w:r>
      <w:bookmarkEnd w:id="1263"/>
    </w:p>
    <w:p w14:paraId="182625A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7.9.2 提前竣工的奖励：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3326459C">
      <w:pPr>
        <w:keepNext/>
        <w:keepLines/>
        <w:spacing w:line="360" w:lineRule="auto"/>
        <w:outlineLvl w:val="3"/>
        <w:rPr>
          <w:rFonts w:ascii="宋体" w:hAnsi="宋体" w:eastAsia="宋体" w:cs="宋体"/>
          <w:b/>
          <w:sz w:val="21"/>
          <w:szCs w:val="21"/>
        </w:rPr>
      </w:pPr>
      <w:bookmarkStart w:id="1264" w:name="_Toc351203640"/>
      <w:bookmarkEnd w:id="1264"/>
      <w:bookmarkStart w:id="1265" w:name="_Toc532377361"/>
      <w:bookmarkEnd w:id="1265"/>
      <w:bookmarkStart w:id="1266" w:name="_Toc532375625"/>
      <w:r>
        <w:rPr>
          <w:rFonts w:hint="eastAsia" w:ascii="宋体" w:hAnsi="宋体" w:eastAsia="宋体" w:cs="宋体"/>
          <w:b/>
          <w:bCs/>
          <w:sz w:val="21"/>
          <w:szCs w:val="21"/>
        </w:rPr>
        <w:t>8. 材料与设备</w:t>
      </w:r>
      <w:bookmarkEnd w:id="1266"/>
    </w:p>
    <w:p w14:paraId="3DC81488">
      <w:pPr>
        <w:widowControl/>
        <w:spacing w:line="360" w:lineRule="auto"/>
        <w:jc w:val="left"/>
        <w:outlineLvl w:val="4"/>
        <w:rPr>
          <w:rFonts w:ascii="宋体" w:hAnsi="宋体" w:eastAsia="宋体" w:cs="宋体"/>
          <w:b/>
          <w:bCs/>
          <w:kern w:val="0"/>
          <w:sz w:val="21"/>
          <w:szCs w:val="21"/>
        </w:rPr>
      </w:pPr>
      <w:bookmarkStart w:id="1267" w:name="_Toc532375628"/>
      <w:bookmarkEnd w:id="1267"/>
      <w:bookmarkStart w:id="1268" w:name="_Toc532377364"/>
      <w:r>
        <w:rPr>
          <w:rFonts w:hint="eastAsia" w:ascii="宋体" w:hAnsi="宋体" w:eastAsia="宋体" w:cs="宋体"/>
          <w:b/>
          <w:bCs/>
          <w:kern w:val="0"/>
          <w:sz w:val="21"/>
          <w:szCs w:val="21"/>
        </w:rPr>
        <w:t>8</w:t>
      </w:r>
      <w:bookmarkEnd w:id="1268"/>
      <w:bookmarkStart w:id="1269" w:name="_Toc296891207"/>
      <w:bookmarkEnd w:id="1269"/>
      <w:bookmarkStart w:id="1270" w:name="_Toc297123527"/>
      <w:bookmarkEnd w:id="1270"/>
      <w:bookmarkStart w:id="1271" w:name="_Toc296346668"/>
      <w:bookmarkEnd w:id="1271"/>
      <w:bookmarkStart w:id="1272" w:name="_Toc280868656"/>
      <w:bookmarkEnd w:id="1272"/>
      <w:bookmarkStart w:id="1273" w:name="_Toc312677493"/>
      <w:bookmarkEnd w:id="1273"/>
      <w:bookmarkStart w:id="1274" w:name="_Toc292559877"/>
      <w:bookmarkEnd w:id="1274"/>
      <w:bookmarkStart w:id="1275" w:name="_Toc296944506"/>
      <w:bookmarkEnd w:id="1275"/>
      <w:bookmarkStart w:id="1276" w:name="_Toc312678019"/>
      <w:bookmarkEnd w:id="1276"/>
      <w:bookmarkStart w:id="1277" w:name="_Toc267251424"/>
      <w:bookmarkEnd w:id="1277"/>
      <w:bookmarkStart w:id="1278" w:name="_Toc280868654"/>
      <w:bookmarkEnd w:id="1278"/>
      <w:bookmarkStart w:id="1279" w:name="_Toc296347166"/>
      <w:bookmarkEnd w:id="1279"/>
      <w:bookmarkStart w:id="1280" w:name="_Toc292559372"/>
      <w:bookmarkEnd w:id="1280"/>
      <w:bookmarkStart w:id="1281" w:name="_Toc297120467"/>
      <w:bookmarkEnd w:id="1281"/>
      <w:bookmarkStart w:id="1282" w:name="_Toc300934979"/>
      <w:bookmarkEnd w:id="1282"/>
      <w:bookmarkStart w:id="1283" w:name="_Toc303539136"/>
      <w:bookmarkEnd w:id="1283"/>
      <w:bookmarkStart w:id="1284" w:name="_Toc297216186"/>
      <w:bookmarkEnd w:id="1284"/>
      <w:bookmarkStart w:id="1285" w:name="_Toc296503167"/>
      <w:bookmarkEnd w:id="1285"/>
      <w:bookmarkStart w:id="1286" w:name="_Toc304295556"/>
      <w:bookmarkEnd w:id="1286"/>
      <w:bookmarkStart w:id="1287" w:name="_Toc296890995"/>
      <w:bookmarkEnd w:id="1287"/>
      <w:bookmarkStart w:id="1288" w:name="_Toc297048353"/>
      <w:bookmarkEnd w:id="1288"/>
      <w:bookmarkStart w:id="1289" w:name="_Toc280868655"/>
      <w:r>
        <w:rPr>
          <w:rFonts w:hint="eastAsia" w:ascii="宋体" w:hAnsi="宋体" w:eastAsia="宋体" w:cs="宋体"/>
          <w:b/>
          <w:bCs/>
          <w:kern w:val="0"/>
          <w:sz w:val="21"/>
          <w:szCs w:val="21"/>
        </w:rPr>
        <w:t>.4 材料与工程设备的保管与使用</w:t>
      </w:r>
      <w:bookmarkEnd w:id="1289"/>
    </w:p>
    <w:p w14:paraId="385E88D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w:t>
      </w:r>
      <w:bookmarkStart w:id="1290" w:name="_Toc292559878"/>
      <w:bookmarkEnd w:id="1290"/>
      <w:bookmarkStart w:id="1291" w:name="_Toc318581173"/>
      <w:bookmarkEnd w:id="1291"/>
      <w:bookmarkStart w:id="1292" w:name="_Toc296503168"/>
      <w:bookmarkEnd w:id="1292"/>
      <w:bookmarkStart w:id="1293" w:name="_Toc296347167"/>
      <w:bookmarkEnd w:id="1293"/>
      <w:bookmarkStart w:id="1294" w:name="_Toc296346669"/>
      <w:bookmarkEnd w:id="1294"/>
      <w:bookmarkStart w:id="1295" w:name="_Toc297123528"/>
      <w:bookmarkEnd w:id="1295"/>
      <w:bookmarkStart w:id="1296" w:name="_Toc312678020"/>
      <w:bookmarkEnd w:id="1296"/>
      <w:bookmarkStart w:id="1297" w:name="_Toc297120468"/>
      <w:bookmarkEnd w:id="1297"/>
      <w:bookmarkStart w:id="1298" w:name="_Toc296891208"/>
      <w:bookmarkEnd w:id="1298"/>
      <w:bookmarkStart w:id="1299" w:name="_Toc296944507"/>
      <w:bookmarkEnd w:id="1299"/>
      <w:bookmarkStart w:id="1300" w:name="_Toc303539137"/>
      <w:bookmarkEnd w:id="1300"/>
      <w:bookmarkStart w:id="1301" w:name="_Toc296890996"/>
      <w:bookmarkEnd w:id="1301"/>
      <w:bookmarkStart w:id="1302" w:name="_Toc292559373"/>
      <w:bookmarkEnd w:id="1302"/>
      <w:bookmarkStart w:id="1303" w:name="_Toc304295557"/>
      <w:bookmarkEnd w:id="1303"/>
      <w:bookmarkStart w:id="1304" w:name="_Toc297048354"/>
      <w:bookmarkEnd w:id="1304"/>
      <w:bookmarkStart w:id="1305" w:name="_Toc300934980"/>
      <w:bookmarkEnd w:id="1305"/>
      <w:bookmarkStart w:id="1306" w:name="_Toc312677494"/>
      <w:bookmarkEnd w:id="1306"/>
      <w:bookmarkStart w:id="1307" w:name="_Toc297216187"/>
      <w:r>
        <w:rPr>
          <w:rFonts w:hint="eastAsia" w:ascii="宋体" w:hAnsi="宋体" w:eastAsia="宋体" w:cs="Times New Roman"/>
          <w:sz w:val="21"/>
          <w:szCs w:val="21"/>
        </w:rPr>
        <w:t>.4.1 发包人供应的材料设备的保管费用的承担：</w:t>
      </w:r>
      <w:bookmarkEnd w:id="1307"/>
      <w:r>
        <w:rPr>
          <w:rFonts w:hint="eastAsia" w:ascii="宋体" w:hAnsi="宋体" w:eastAsia="宋体" w:cs="Times New Roman"/>
          <w:sz w:val="21"/>
          <w:szCs w:val="21"/>
          <w:u w:val="single"/>
        </w:rPr>
        <w:t xml:space="preserve">  由承包人承担     </w:t>
      </w:r>
      <w:r>
        <w:rPr>
          <w:rFonts w:hint="eastAsia" w:ascii="宋体" w:hAnsi="宋体" w:eastAsia="宋体" w:cs="Times New Roman"/>
          <w:sz w:val="21"/>
          <w:szCs w:val="21"/>
        </w:rPr>
        <w:t>。</w:t>
      </w:r>
    </w:p>
    <w:p w14:paraId="7F4A1AFF">
      <w:pPr>
        <w:widowControl/>
        <w:spacing w:line="360" w:lineRule="auto"/>
        <w:jc w:val="left"/>
        <w:outlineLvl w:val="4"/>
        <w:rPr>
          <w:rFonts w:ascii="宋体" w:hAnsi="宋体" w:eastAsia="宋体" w:cs="宋体"/>
          <w:b/>
          <w:bCs/>
          <w:kern w:val="0"/>
          <w:sz w:val="21"/>
          <w:szCs w:val="21"/>
        </w:rPr>
      </w:pPr>
      <w:bookmarkStart w:id="1308" w:name="_Toc532375629"/>
      <w:bookmarkEnd w:id="1308"/>
      <w:bookmarkStart w:id="1309" w:name="_Toc532377365"/>
      <w:r>
        <w:rPr>
          <w:rFonts w:hint="eastAsia" w:ascii="宋体" w:hAnsi="宋体" w:eastAsia="宋体" w:cs="宋体"/>
          <w:b/>
          <w:bCs/>
          <w:kern w:val="0"/>
          <w:sz w:val="21"/>
          <w:szCs w:val="21"/>
        </w:rPr>
        <w:t>8.6 样品</w:t>
      </w:r>
      <w:bookmarkEnd w:id="1309"/>
    </w:p>
    <w:p w14:paraId="5860153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8.6.1 样品的报送与封存</w:t>
      </w:r>
    </w:p>
    <w:p w14:paraId="45CC607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需要承包人报送样品的材料或工程设备，样品的种类、名称、规格、数量要求：</w:t>
      </w:r>
      <w:r>
        <w:rPr>
          <w:rFonts w:hint="eastAsia" w:ascii="宋体" w:hAnsi="宋体" w:eastAsia="宋体" w:cs="Times New Roman"/>
          <w:sz w:val="21"/>
          <w:szCs w:val="21"/>
          <w:u w:val="single"/>
        </w:rPr>
        <w:t xml:space="preserve">    由承包人实施采购时向发包人提供样品，并经发包人同意后方可用于现场施工      </w:t>
      </w:r>
      <w:r>
        <w:rPr>
          <w:rFonts w:hint="eastAsia" w:ascii="宋体" w:hAnsi="宋体" w:eastAsia="宋体" w:cs="Times New Roman"/>
          <w:sz w:val="21"/>
          <w:szCs w:val="21"/>
        </w:rPr>
        <w:t>。</w:t>
      </w:r>
    </w:p>
    <w:p w14:paraId="167C2FCE">
      <w:pPr>
        <w:widowControl/>
        <w:spacing w:line="360" w:lineRule="auto"/>
        <w:jc w:val="left"/>
        <w:outlineLvl w:val="4"/>
        <w:rPr>
          <w:rFonts w:ascii="宋体" w:hAnsi="宋体" w:eastAsia="宋体" w:cs="宋体"/>
          <w:b/>
          <w:bCs/>
          <w:kern w:val="0"/>
          <w:sz w:val="21"/>
          <w:szCs w:val="21"/>
        </w:rPr>
      </w:pPr>
      <w:bookmarkStart w:id="1310" w:name="_Toc532375630"/>
      <w:bookmarkEnd w:id="1310"/>
      <w:bookmarkStart w:id="1311" w:name="_Toc532377366"/>
      <w:r>
        <w:rPr>
          <w:rFonts w:hint="eastAsia" w:ascii="宋体" w:hAnsi="宋体" w:eastAsia="宋体" w:cs="宋体"/>
          <w:b/>
          <w:bCs/>
          <w:kern w:val="0"/>
          <w:sz w:val="21"/>
          <w:szCs w:val="21"/>
        </w:rPr>
        <w:t>8.8 施工设备和临时设施</w:t>
      </w:r>
      <w:bookmarkEnd w:id="1311"/>
    </w:p>
    <w:p w14:paraId="21FC5DE5">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8.8.1 承包人提供的施工设备和临时设施</w:t>
      </w:r>
    </w:p>
    <w:p w14:paraId="66E491F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关于修建临时设施费用承担的约定：</w:t>
      </w:r>
      <w:r>
        <w:rPr>
          <w:rFonts w:hint="eastAsia" w:ascii="宋体" w:hAnsi="宋体" w:eastAsia="宋体" w:cs="Times New Roman"/>
          <w:sz w:val="21"/>
          <w:szCs w:val="21"/>
          <w:u w:val="single"/>
        </w:rPr>
        <w:t xml:space="preserve"> 由承包人承担</w:t>
      </w:r>
      <w:r>
        <w:rPr>
          <w:rFonts w:hint="eastAsia" w:ascii="宋体" w:hAnsi="宋体" w:eastAsia="宋体" w:cs="Times New Roman"/>
          <w:sz w:val="21"/>
          <w:szCs w:val="21"/>
        </w:rPr>
        <w:t>。</w:t>
      </w:r>
    </w:p>
    <w:p w14:paraId="2F57D082">
      <w:pPr>
        <w:keepNext/>
        <w:keepLines/>
        <w:spacing w:line="360" w:lineRule="auto"/>
        <w:outlineLvl w:val="3"/>
        <w:rPr>
          <w:rFonts w:ascii="宋体" w:hAnsi="宋体" w:eastAsia="宋体" w:cs="宋体"/>
          <w:b/>
          <w:sz w:val="21"/>
          <w:szCs w:val="21"/>
        </w:rPr>
      </w:pPr>
      <w:bookmarkStart w:id="1312" w:name="_Toc532375631"/>
      <w:bookmarkEnd w:id="1312"/>
      <w:bookmarkStart w:id="1313" w:name="_Toc351203641"/>
      <w:bookmarkEnd w:id="1313"/>
      <w:bookmarkStart w:id="1314" w:name="_Toc532377367"/>
      <w:bookmarkEnd w:id="1314"/>
      <w:r>
        <w:rPr>
          <w:rFonts w:hint="eastAsia" w:ascii="宋体" w:hAnsi="宋体" w:eastAsia="宋体" w:cs="宋体"/>
          <w:b/>
          <w:bCs/>
          <w:sz w:val="21"/>
          <w:szCs w:val="21"/>
        </w:rPr>
        <w:t>9</w:t>
      </w:r>
      <w:bookmarkStart w:id="1315" w:name="_Toc297216192"/>
      <w:bookmarkEnd w:id="1315"/>
      <w:bookmarkStart w:id="1316" w:name="_Toc297123533"/>
      <w:bookmarkEnd w:id="1316"/>
      <w:bookmarkStart w:id="1317" w:name="_Toc312678021"/>
      <w:bookmarkEnd w:id="1317"/>
      <w:bookmarkStart w:id="1318" w:name="_Toc312677495"/>
      <w:bookmarkEnd w:id="1318"/>
      <w:bookmarkStart w:id="1319" w:name="_Toc303539139"/>
      <w:bookmarkEnd w:id="1319"/>
      <w:bookmarkStart w:id="1320" w:name="_Toc300934982"/>
      <w:bookmarkEnd w:id="1320"/>
      <w:bookmarkStart w:id="1321" w:name="_Toc304295559"/>
      <w:r>
        <w:rPr>
          <w:rFonts w:hint="eastAsia" w:ascii="宋体" w:hAnsi="宋体" w:eastAsia="宋体" w:cs="宋体"/>
          <w:b/>
          <w:bCs/>
          <w:sz w:val="21"/>
          <w:szCs w:val="21"/>
        </w:rPr>
        <w:t>. 试验与检验</w:t>
      </w:r>
      <w:bookmarkEnd w:id="1321"/>
    </w:p>
    <w:p w14:paraId="0A3B26E2">
      <w:pPr>
        <w:widowControl/>
        <w:spacing w:line="360" w:lineRule="auto"/>
        <w:jc w:val="left"/>
        <w:outlineLvl w:val="4"/>
        <w:rPr>
          <w:rFonts w:ascii="宋体" w:hAnsi="宋体" w:eastAsia="宋体" w:cs="宋体"/>
          <w:b/>
          <w:bCs/>
          <w:kern w:val="0"/>
          <w:sz w:val="21"/>
          <w:szCs w:val="21"/>
        </w:rPr>
      </w:pPr>
      <w:bookmarkStart w:id="1322" w:name="_Toc532375632"/>
      <w:bookmarkEnd w:id="1322"/>
      <w:bookmarkStart w:id="1323" w:name="_Toc532377368"/>
      <w:bookmarkEnd w:id="1323"/>
      <w:r>
        <w:rPr>
          <w:rFonts w:hint="eastAsia" w:ascii="宋体" w:hAnsi="宋体" w:eastAsia="宋体" w:cs="宋体"/>
          <w:b/>
          <w:bCs/>
          <w:kern w:val="0"/>
          <w:sz w:val="21"/>
          <w:szCs w:val="21"/>
        </w:rPr>
        <w:t>9</w:t>
      </w:r>
      <w:bookmarkStart w:id="1324" w:name="_Toc312677496"/>
      <w:bookmarkEnd w:id="1324"/>
      <w:bookmarkStart w:id="1325" w:name="_Toc303539140"/>
      <w:bookmarkEnd w:id="1325"/>
      <w:bookmarkStart w:id="1326" w:name="_Toc312678022"/>
      <w:bookmarkEnd w:id="1326"/>
      <w:bookmarkStart w:id="1327" w:name="_Toc300934983"/>
      <w:bookmarkEnd w:id="1327"/>
      <w:bookmarkStart w:id="1328" w:name="_Toc297216193"/>
      <w:bookmarkEnd w:id="1328"/>
      <w:bookmarkStart w:id="1329" w:name="_Toc304295560"/>
      <w:bookmarkEnd w:id="1329"/>
      <w:bookmarkStart w:id="1330" w:name="_Toc297123534"/>
      <w:r>
        <w:rPr>
          <w:rFonts w:hint="eastAsia" w:ascii="宋体" w:hAnsi="宋体" w:eastAsia="宋体" w:cs="宋体"/>
          <w:b/>
          <w:bCs/>
          <w:kern w:val="0"/>
          <w:sz w:val="21"/>
          <w:szCs w:val="21"/>
        </w:rPr>
        <w:t>.1 试验设备与试验人员</w:t>
      </w:r>
      <w:bookmarkEnd w:id="1330"/>
    </w:p>
    <w:p w14:paraId="12E6E5F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w:t>
      </w:r>
      <w:bookmarkStart w:id="1331" w:name="_Toc300934984"/>
      <w:bookmarkEnd w:id="1331"/>
      <w:bookmarkStart w:id="1332" w:name="_Toc297123535"/>
      <w:bookmarkEnd w:id="1332"/>
      <w:bookmarkStart w:id="1333" w:name="_Toc312678023"/>
      <w:bookmarkEnd w:id="1333"/>
      <w:bookmarkStart w:id="1334" w:name="_Toc312677497"/>
      <w:bookmarkEnd w:id="1334"/>
      <w:bookmarkStart w:id="1335" w:name="_Toc304295561"/>
      <w:bookmarkEnd w:id="1335"/>
      <w:bookmarkStart w:id="1336" w:name="_Toc318581174"/>
      <w:bookmarkEnd w:id="1336"/>
      <w:bookmarkStart w:id="1337" w:name="_Toc297216194"/>
      <w:bookmarkEnd w:id="1337"/>
      <w:bookmarkStart w:id="1338" w:name="_Toc303539141"/>
      <w:r>
        <w:rPr>
          <w:rFonts w:hint="eastAsia" w:ascii="宋体" w:hAnsi="宋体" w:eastAsia="宋体" w:cs="Times New Roman"/>
          <w:sz w:val="21"/>
          <w:szCs w:val="21"/>
        </w:rPr>
        <w:t>.1.2 试验设备</w:t>
      </w:r>
      <w:bookmarkEnd w:id="1338"/>
    </w:p>
    <w:p w14:paraId="40113BC9">
      <w:pPr>
        <w:spacing w:line="360" w:lineRule="auto"/>
        <w:jc w:val="left"/>
        <w:rPr>
          <w:rFonts w:ascii="宋体" w:hAnsi="宋体" w:eastAsia="宋体" w:cs="Times New Roman"/>
          <w:sz w:val="21"/>
          <w:szCs w:val="21"/>
        </w:rPr>
      </w:pPr>
      <w:bookmarkStart w:id="1339" w:name="_Toc297123536"/>
      <w:bookmarkEnd w:id="1339"/>
      <w:bookmarkStart w:id="1340" w:name="_Toc312677498"/>
      <w:bookmarkEnd w:id="1340"/>
      <w:bookmarkStart w:id="1341" w:name="_Toc532375633"/>
      <w:bookmarkEnd w:id="1341"/>
      <w:bookmarkStart w:id="1342" w:name="_Toc297216195"/>
      <w:bookmarkEnd w:id="1342"/>
      <w:bookmarkStart w:id="1343" w:name="_Toc300934985"/>
      <w:bookmarkEnd w:id="1343"/>
      <w:bookmarkStart w:id="1344" w:name="_Toc303539142"/>
      <w:bookmarkEnd w:id="1344"/>
      <w:bookmarkStart w:id="1345" w:name="_Toc312678024"/>
      <w:bookmarkEnd w:id="1345"/>
      <w:bookmarkStart w:id="1346" w:name="_Toc304295562"/>
      <w:bookmarkEnd w:id="1346"/>
      <w:bookmarkStart w:id="1347" w:name="_Toc532377369"/>
      <w:r>
        <w:rPr>
          <w:rFonts w:hint="eastAsia" w:ascii="宋体" w:hAnsi="宋体" w:eastAsia="宋体" w:cs="Times New Roman"/>
          <w:sz w:val="21"/>
          <w:szCs w:val="21"/>
        </w:rPr>
        <w:t>施工现场需要配置的试验场所：</w:t>
      </w:r>
      <w:bookmarkEnd w:id="1347"/>
      <w:r>
        <w:rPr>
          <w:rFonts w:hint="eastAsia" w:ascii="宋体" w:hAnsi="宋体" w:eastAsia="宋体" w:cs="Times New Roman"/>
          <w:sz w:val="21"/>
          <w:szCs w:val="21"/>
          <w:u w:val="single"/>
        </w:rPr>
        <w:t>满足工程施工的需要</w:t>
      </w:r>
      <w:r>
        <w:rPr>
          <w:rFonts w:hint="eastAsia" w:ascii="宋体" w:hAnsi="宋体" w:eastAsia="宋体" w:cs="Times New Roman"/>
          <w:sz w:val="21"/>
          <w:szCs w:val="21"/>
        </w:rPr>
        <w:t>。</w:t>
      </w:r>
    </w:p>
    <w:p w14:paraId="384A14C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施工现场需要配备的试验设备：</w:t>
      </w:r>
      <w:r>
        <w:rPr>
          <w:rFonts w:hint="eastAsia" w:ascii="宋体" w:hAnsi="宋体" w:eastAsia="宋体" w:cs="Times New Roman"/>
          <w:sz w:val="21"/>
          <w:szCs w:val="21"/>
          <w:u w:val="single"/>
        </w:rPr>
        <w:t>满足工程施工的需要</w:t>
      </w:r>
      <w:r>
        <w:rPr>
          <w:rFonts w:hint="eastAsia" w:ascii="宋体" w:hAnsi="宋体" w:eastAsia="宋体" w:cs="Times New Roman"/>
          <w:sz w:val="21"/>
          <w:szCs w:val="21"/>
        </w:rPr>
        <w:t>。</w:t>
      </w:r>
    </w:p>
    <w:p w14:paraId="5DA908B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施工现场需要具备的其他试验条件：</w:t>
      </w:r>
      <w:r>
        <w:rPr>
          <w:rFonts w:hint="eastAsia" w:ascii="宋体" w:hAnsi="宋体" w:eastAsia="宋体" w:cs="Times New Roman"/>
          <w:sz w:val="21"/>
          <w:szCs w:val="21"/>
          <w:u w:val="single"/>
        </w:rPr>
        <w:t xml:space="preserve">  满足工程施工的需要   </w:t>
      </w:r>
      <w:r>
        <w:rPr>
          <w:rFonts w:hint="eastAsia" w:ascii="宋体" w:hAnsi="宋体" w:eastAsia="宋体" w:cs="Times New Roman"/>
          <w:sz w:val="21"/>
          <w:szCs w:val="21"/>
        </w:rPr>
        <w:t>。</w:t>
      </w:r>
    </w:p>
    <w:p w14:paraId="46153BCF">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9.4 现场工艺试验</w:t>
      </w:r>
    </w:p>
    <w:p w14:paraId="378CA5EE">
      <w:pPr>
        <w:spacing w:line="360" w:lineRule="auto"/>
        <w:jc w:val="left"/>
        <w:rPr>
          <w:rFonts w:ascii="宋体" w:hAnsi="宋体" w:eastAsia="宋体" w:cs="Times New Roman"/>
          <w:sz w:val="21"/>
          <w:szCs w:val="21"/>
        </w:rPr>
      </w:pPr>
      <w:bookmarkStart w:id="1348" w:name="_Toc267251491"/>
      <w:bookmarkEnd w:id="1348"/>
      <w:bookmarkStart w:id="1349" w:name="_Toc532375634"/>
      <w:bookmarkEnd w:id="1349"/>
      <w:bookmarkStart w:id="1350" w:name="_Toc267251511"/>
      <w:bookmarkEnd w:id="1350"/>
      <w:bookmarkStart w:id="1351" w:name="_Toc267251485"/>
      <w:bookmarkEnd w:id="1351"/>
      <w:bookmarkStart w:id="1352" w:name="_Toc267251493"/>
      <w:bookmarkEnd w:id="1352"/>
      <w:bookmarkStart w:id="1353" w:name="_Toc267251488"/>
      <w:bookmarkEnd w:id="1353"/>
      <w:bookmarkStart w:id="1354" w:name="_Toc532377370"/>
      <w:bookmarkEnd w:id="1354"/>
      <w:bookmarkStart w:id="1355" w:name="_Toc267251506"/>
      <w:bookmarkEnd w:id="1355"/>
      <w:bookmarkStart w:id="1356" w:name="_Toc267251498"/>
      <w:bookmarkEnd w:id="1356"/>
      <w:bookmarkStart w:id="1357" w:name="_Toc267251497"/>
      <w:bookmarkEnd w:id="1357"/>
      <w:bookmarkStart w:id="1358" w:name="_Toc267251509"/>
      <w:bookmarkEnd w:id="1358"/>
      <w:bookmarkStart w:id="1359" w:name="_Toc267251482"/>
      <w:bookmarkEnd w:id="1359"/>
      <w:bookmarkStart w:id="1360" w:name="_Toc267251492"/>
      <w:bookmarkEnd w:id="1360"/>
      <w:bookmarkStart w:id="1361" w:name="_Toc267251499"/>
      <w:bookmarkEnd w:id="1361"/>
      <w:bookmarkStart w:id="1362" w:name="_Toc267251502"/>
      <w:bookmarkEnd w:id="1362"/>
      <w:bookmarkStart w:id="1363" w:name="_Toc267251507"/>
      <w:bookmarkEnd w:id="1363"/>
      <w:bookmarkStart w:id="1364" w:name="_Toc267251514"/>
      <w:bookmarkEnd w:id="1364"/>
      <w:bookmarkStart w:id="1365" w:name="_Toc267251508"/>
      <w:bookmarkEnd w:id="1365"/>
      <w:bookmarkStart w:id="1366" w:name="_Toc267251501"/>
      <w:bookmarkEnd w:id="1366"/>
      <w:bookmarkStart w:id="1367" w:name="_Toc267251510"/>
      <w:bookmarkEnd w:id="1367"/>
      <w:bookmarkStart w:id="1368" w:name="_Toc267251486"/>
      <w:bookmarkEnd w:id="1368"/>
      <w:bookmarkStart w:id="1369" w:name="_Toc267251503"/>
      <w:bookmarkEnd w:id="1369"/>
      <w:bookmarkStart w:id="1370" w:name="_Toc267251494"/>
      <w:bookmarkEnd w:id="1370"/>
      <w:bookmarkStart w:id="1371" w:name="_Toc267251495"/>
      <w:bookmarkEnd w:id="1371"/>
      <w:bookmarkStart w:id="1372" w:name="_Toc267251484"/>
      <w:bookmarkEnd w:id="1372"/>
      <w:bookmarkStart w:id="1373" w:name="_Toc267251515"/>
      <w:bookmarkEnd w:id="1373"/>
      <w:bookmarkStart w:id="1374" w:name="_Toc267251504"/>
      <w:bookmarkEnd w:id="1374"/>
      <w:bookmarkStart w:id="1375" w:name="_Hlk524298112"/>
      <w:bookmarkEnd w:id="1375"/>
      <w:bookmarkStart w:id="1376" w:name="_Toc267251490"/>
      <w:bookmarkEnd w:id="1376"/>
      <w:bookmarkStart w:id="1377" w:name="_Toc267251496"/>
      <w:bookmarkEnd w:id="1377"/>
      <w:bookmarkStart w:id="1378" w:name="_Toc267251489"/>
      <w:bookmarkEnd w:id="1378"/>
      <w:bookmarkStart w:id="1379" w:name="_Toc267251513"/>
      <w:r>
        <w:rPr>
          <w:rFonts w:hint="eastAsia" w:ascii="宋体" w:hAnsi="宋体" w:eastAsia="宋体" w:cs="Times New Roman"/>
          <w:sz w:val="21"/>
          <w:szCs w:val="21"/>
        </w:rPr>
        <w:t>现场工艺试验的有关约定</w:t>
      </w:r>
      <w:bookmarkEnd w:id="1379"/>
      <w:r>
        <w:rPr>
          <w:rFonts w:hint="eastAsia" w:ascii="宋体" w:hAnsi="宋体" w:eastAsia="宋体" w:cs="Times New Roman"/>
          <w:sz w:val="21"/>
          <w:szCs w:val="21"/>
        </w:rPr>
        <w:t>：</w:t>
      </w:r>
    </w:p>
    <w:p w14:paraId="00DEA07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9.4.1</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一般检验试验：</w:t>
      </w:r>
    </w:p>
    <w:p w14:paraId="17FBA7D9">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根据</w:t>
      </w:r>
      <w:r>
        <w:rPr>
          <w:rFonts w:hint="eastAsia" w:ascii="宋体" w:hAnsi="宋体" w:eastAsia="宋体" w:cs="Times New Roman"/>
          <w:sz w:val="21"/>
          <w:szCs w:val="21"/>
          <w:u w:val="single"/>
        </w:rPr>
        <w:t>《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w:t>
      </w:r>
      <w:r>
        <w:rPr>
          <w:rFonts w:hint="eastAsia" w:ascii="宋体" w:hAnsi="宋体" w:eastAsia="宋体" w:cs="Times New Roman"/>
          <w:sz w:val="21"/>
          <w:szCs w:val="21"/>
        </w:rPr>
        <w:t>，对工程材料、构件、建筑安装物、半成品、成品进行的一般质量鉴定、检测和试验，由发包人委托的第三方检测试验机构实施，所发生的鉴定、检测和试验费用由发包人承担，不包含在合同价格中。</w:t>
      </w:r>
    </w:p>
    <w:p w14:paraId="092AC0C9">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实施前，由发包人、承包人和第三方检测试验机构签订三方合同，第三方检测试验机构分别向承包人和发包人出具相应的检测试验报告。根据</w:t>
      </w:r>
      <w:r>
        <w:rPr>
          <w:rFonts w:hint="eastAsia" w:ascii="宋体" w:hAnsi="宋体" w:eastAsia="宋体" w:cs="Times New Roman"/>
          <w:sz w:val="21"/>
          <w:szCs w:val="21"/>
          <w:u w:val="single"/>
        </w:rPr>
        <w:t>渝建〔2015〕420号文和有关施工规范、验收标准及施工图</w:t>
      </w:r>
      <w:r>
        <w:rPr>
          <w:rFonts w:hint="eastAsia" w:ascii="宋体" w:hAnsi="宋体" w:eastAsia="宋体" w:cs="Times New Roman"/>
          <w:sz w:val="21"/>
          <w:szCs w:val="21"/>
        </w:rPr>
        <w:t>的规定或要求，所做的上述检测试验所需的试件取样、制作、送检，试件制作需要提供的材料以及检测、试验的配合工作由承包人负责完成并承担由此产生的所有相关费用。</w:t>
      </w:r>
    </w:p>
    <w:p w14:paraId="320BCDE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9.4.2特殊检验试验：</w:t>
      </w:r>
    </w:p>
    <w:p w14:paraId="11D6A8D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w:t>
      </w:r>
      <w:r>
        <w:rPr>
          <w:rFonts w:hint="eastAsia" w:ascii="宋体" w:hAnsi="宋体" w:eastAsia="宋体" w:cs="Times New Roman"/>
          <w:sz w:val="21"/>
          <w:szCs w:val="21"/>
          <w:u w:val="single"/>
        </w:rPr>
        <w:t>渝建〔2015〕420号文</w:t>
      </w:r>
      <w:r>
        <w:rPr>
          <w:rFonts w:hint="eastAsia" w:ascii="宋体" w:hAnsi="宋体" w:eastAsia="宋体" w:cs="Times New Roman"/>
          <w:sz w:val="21"/>
          <w:szCs w:val="21"/>
        </w:rPr>
        <w:t>的规定，均由发包人委托相应的第三方检测试验机构进行检测，所发生的特殊检验试验费由发包人承担，不包含在合同价格中。</w:t>
      </w:r>
    </w:p>
    <w:p w14:paraId="1D087F46">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发包人委托的第三方检测试验机构检测试验的试件所需的材料、取样、送检及相关配合工作由承包人负责完成并承担由此产生的所有相关费用。</w:t>
      </w:r>
    </w:p>
    <w:p w14:paraId="69C149D2">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（2）施工措施的检测、试验：因施工措施需要而做的相关检测、试验由承包人负责实施，其费用由承包人承担。</w:t>
      </w:r>
    </w:p>
    <w:p w14:paraId="2534F806">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9.4.3专项检测：</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D72EE37">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9.4.4若因承包人取样、制样、送检及相关配合不及时而导致工程的工期和费用增加，影响的工期不予延长，增加费用由承包人承担。</w:t>
      </w:r>
    </w:p>
    <w:p w14:paraId="30ABE395">
      <w:pPr>
        <w:spacing w:line="360" w:lineRule="auto"/>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9.4.5检测试验不合格的项目，其缺陷处理和复测费用由承包人承担，工期不予延长。</w:t>
      </w:r>
    </w:p>
    <w:p w14:paraId="34C93D32">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w:t>
      </w:r>
      <w:bookmarkStart w:id="1380" w:name="_Toc296347192"/>
      <w:bookmarkEnd w:id="1380"/>
      <w:bookmarkStart w:id="1381" w:name="_Toc297120493"/>
      <w:bookmarkEnd w:id="1381"/>
      <w:bookmarkStart w:id="1382" w:name="_Toc303539146"/>
      <w:bookmarkEnd w:id="1382"/>
      <w:bookmarkStart w:id="1383" w:name="_Toc296891233"/>
      <w:bookmarkEnd w:id="1383"/>
      <w:bookmarkStart w:id="1384" w:name="_Toc267251441"/>
      <w:bookmarkEnd w:id="1384"/>
      <w:bookmarkStart w:id="1385" w:name="_Toc297216199"/>
      <w:bookmarkEnd w:id="1385"/>
      <w:bookmarkStart w:id="1386" w:name="_Toc312678025"/>
      <w:bookmarkEnd w:id="1386"/>
      <w:bookmarkStart w:id="1387" w:name="_Toc267251437"/>
      <w:bookmarkEnd w:id="1387"/>
      <w:bookmarkStart w:id="1388" w:name="_Toc292559903"/>
      <w:bookmarkEnd w:id="1388"/>
      <w:bookmarkStart w:id="1389" w:name="_Toc300934989"/>
      <w:bookmarkEnd w:id="1389"/>
      <w:bookmarkStart w:id="1390" w:name="_Toc267251435"/>
      <w:bookmarkEnd w:id="1390"/>
      <w:bookmarkStart w:id="1391" w:name="_Toc267251440"/>
      <w:bookmarkEnd w:id="1391"/>
      <w:bookmarkStart w:id="1392" w:name="_Toc297048379"/>
      <w:bookmarkEnd w:id="1392"/>
      <w:bookmarkStart w:id="1393" w:name="_Toc296944532"/>
      <w:bookmarkEnd w:id="1393"/>
      <w:bookmarkStart w:id="1394" w:name="_Toc312677499"/>
      <w:bookmarkEnd w:id="1394"/>
      <w:bookmarkStart w:id="1395" w:name="_Toc292559398"/>
      <w:bookmarkEnd w:id="1395"/>
      <w:bookmarkStart w:id="1396" w:name="_Toc296346694"/>
      <w:bookmarkEnd w:id="1396"/>
      <w:bookmarkStart w:id="1397" w:name="_Toc304295566"/>
      <w:bookmarkEnd w:id="1397"/>
      <w:bookmarkStart w:id="1398" w:name="_Toc296891021"/>
      <w:bookmarkEnd w:id="1398"/>
      <w:bookmarkStart w:id="1399" w:name="_Toc267251433"/>
      <w:bookmarkEnd w:id="1399"/>
      <w:bookmarkStart w:id="1400" w:name="_Toc297123540"/>
      <w:bookmarkEnd w:id="1400"/>
      <w:bookmarkStart w:id="1401" w:name="_Toc296503193"/>
      <w:bookmarkEnd w:id="1401"/>
      <w:bookmarkStart w:id="1402" w:name="_Toc267251439"/>
      <w:r>
        <w:rPr>
          <w:rFonts w:hint="eastAsia" w:ascii="宋体" w:hAnsi="宋体" w:eastAsia="宋体" w:cs="宋体"/>
          <w:b/>
          <w:bCs/>
          <w:sz w:val="21"/>
          <w:szCs w:val="21"/>
        </w:rPr>
        <w:t>0. 变更</w:t>
      </w:r>
      <w:bookmarkEnd w:id="1402"/>
    </w:p>
    <w:p w14:paraId="2705AE9F">
      <w:pPr>
        <w:widowControl/>
        <w:spacing w:line="360" w:lineRule="auto"/>
        <w:jc w:val="left"/>
        <w:outlineLvl w:val="4"/>
        <w:rPr>
          <w:rFonts w:ascii="宋体" w:hAnsi="宋体" w:eastAsia="宋体" w:cs="宋体"/>
          <w:b/>
          <w:bCs/>
          <w:kern w:val="0"/>
          <w:sz w:val="21"/>
          <w:szCs w:val="21"/>
        </w:rPr>
      </w:pPr>
      <w:bookmarkStart w:id="1403" w:name="_Toc292559399"/>
      <w:bookmarkEnd w:id="1403"/>
      <w:bookmarkStart w:id="1404" w:name="_Toc312677500"/>
      <w:bookmarkEnd w:id="1404"/>
      <w:bookmarkStart w:id="1405" w:name="_Toc297048380"/>
      <w:bookmarkEnd w:id="1405"/>
      <w:bookmarkStart w:id="1406" w:name="_Toc297216200"/>
      <w:bookmarkEnd w:id="1406"/>
      <w:bookmarkStart w:id="1407" w:name="_Toc297123541"/>
      <w:bookmarkEnd w:id="1407"/>
      <w:bookmarkStart w:id="1408" w:name="_Toc296891234"/>
      <w:bookmarkEnd w:id="1408"/>
      <w:bookmarkStart w:id="1409" w:name="_Toc296503194"/>
      <w:bookmarkEnd w:id="1409"/>
      <w:bookmarkStart w:id="1410" w:name="_Toc296944533"/>
      <w:bookmarkEnd w:id="1410"/>
      <w:bookmarkStart w:id="1411" w:name="_Toc312678026"/>
      <w:bookmarkEnd w:id="1411"/>
      <w:bookmarkStart w:id="1412" w:name="_Toc292559904"/>
      <w:bookmarkEnd w:id="1412"/>
      <w:bookmarkStart w:id="1413" w:name="_Toc296347193"/>
      <w:bookmarkEnd w:id="1413"/>
      <w:bookmarkStart w:id="1414" w:name="_Toc532375635"/>
      <w:bookmarkEnd w:id="1414"/>
      <w:bookmarkStart w:id="1415" w:name="_Toc297120494"/>
      <w:bookmarkEnd w:id="1415"/>
      <w:bookmarkStart w:id="1416" w:name="_Toc303539147"/>
      <w:bookmarkEnd w:id="1416"/>
      <w:bookmarkStart w:id="1417" w:name="_Toc300934990"/>
      <w:bookmarkEnd w:id="1417"/>
      <w:bookmarkStart w:id="1418" w:name="_Toc532377371"/>
      <w:bookmarkEnd w:id="1418"/>
      <w:bookmarkStart w:id="1419" w:name="_Toc296891022"/>
      <w:bookmarkEnd w:id="1419"/>
      <w:bookmarkStart w:id="1420" w:name="_Toc296346695"/>
      <w:bookmarkEnd w:id="1420"/>
      <w:bookmarkStart w:id="1421" w:name="_Toc304295567"/>
      <w:r>
        <w:rPr>
          <w:rFonts w:hint="eastAsia" w:ascii="宋体" w:hAnsi="宋体" w:eastAsia="宋体" w:cs="宋体"/>
          <w:b/>
          <w:bCs/>
          <w:kern w:val="0"/>
          <w:sz w:val="21"/>
          <w:szCs w:val="21"/>
        </w:rPr>
        <w:t>10.1变更的范围</w:t>
      </w:r>
      <w:bookmarkEnd w:id="1421"/>
    </w:p>
    <w:p w14:paraId="68D7EADB">
      <w:pPr>
        <w:spacing w:line="360" w:lineRule="auto"/>
        <w:jc w:val="left"/>
        <w:rPr>
          <w:rFonts w:ascii="宋体" w:hAnsi="宋体" w:eastAsia="宋体" w:cs="Times New Roman"/>
          <w:sz w:val="21"/>
          <w:szCs w:val="21"/>
        </w:rPr>
      </w:pPr>
      <w:bookmarkStart w:id="1422" w:name="_Toc532375638"/>
      <w:bookmarkEnd w:id="1422"/>
      <w:bookmarkStart w:id="1423" w:name="_Toc532377374"/>
      <w:r>
        <w:rPr>
          <w:rFonts w:hint="eastAsia" w:ascii="宋体" w:hAnsi="宋体" w:eastAsia="宋体" w:cs="Times New Roman"/>
          <w:sz w:val="21"/>
          <w:szCs w:val="21"/>
        </w:rPr>
        <w:t>关于变更的范围的约定：</w:t>
      </w:r>
      <w:bookmarkEnd w:id="1423"/>
    </w:p>
    <w:p w14:paraId="0DAA811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 xml:space="preserve"> (1)增加或减少合同中任何工作，或追加额外的工作；</w:t>
      </w:r>
    </w:p>
    <w:p w14:paraId="6A71E1F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(2)取消合同中任何工作；</w:t>
      </w:r>
    </w:p>
    <w:p w14:paraId="27F6F48F">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(3)改变合同中任何工作的质量标准或其他特性；</w:t>
      </w:r>
    </w:p>
    <w:p w14:paraId="011DF913">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(4)改变工程的基线、标高、位置和尺寸；</w:t>
      </w:r>
    </w:p>
    <w:p w14:paraId="1C5B9F9D">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(5)适用于工程的标准和(或)规范变化导致需要对工程进行改变，且该改变导致工期和(或)费用变化的；</w:t>
      </w:r>
    </w:p>
    <w:p w14:paraId="46A2215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(6)勘察设计变更；</w:t>
      </w:r>
    </w:p>
    <w:p w14:paraId="5C5E78CA">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(7)实施内容变更，包括因设计变更和非设计变更引起的实施地点、投资规模、结构型式、采购数量、服务内容等进行的调整，以及因此导致的合同价格、工期变更；</w:t>
      </w:r>
    </w:p>
    <w:p w14:paraId="26BBE2B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(8)项目管理人员变更；</w:t>
      </w:r>
    </w:p>
    <w:p w14:paraId="4B6171F0">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(9)因人工、原材料等价格变化导致的合同总价变更；</w:t>
      </w:r>
    </w:p>
    <w:p w14:paraId="20F12A6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(10)非实施内容变化导致的工期变更；</w:t>
      </w:r>
    </w:p>
    <w:p w14:paraId="2A796160">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(11)其他：①若承包人拒绝或拖延实施变更内容视为无条件放弃该变更建设内容中标权属，发包人可另行委托其他承包人实施，承包人不得向发包人索赔预期利益及干预；②由于变更造成的工程投资变化导致合同金额增加或减少，承包人不得向发包人索赔预期利益。</w:t>
      </w:r>
    </w:p>
    <w:p w14:paraId="7BE0E3B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回变更管理暂行办法》要求进行信息公开。项目合同变更未获得通过的，发包人和承包人均不得擅自变更原合同约定事项，且不得就同一理由同一事项再提出变更。</w:t>
      </w:r>
    </w:p>
    <w:p w14:paraId="0DED0CAC">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承包人对其提供的材料、工程设备、施工、无负荷试车、热负荷试车及图纸参数存在的缺陷，自费修正、调整和完善，不属于变更</w:t>
      </w:r>
      <w:r>
        <w:rPr>
          <w:rFonts w:hint="eastAsia" w:ascii="宋体" w:hAnsi="宋体" w:eastAsia="宋体" w:cs="Times New Roman"/>
          <w:sz w:val="21"/>
          <w:szCs w:val="21"/>
        </w:rPr>
        <w:t>。</w:t>
      </w:r>
    </w:p>
    <w:p w14:paraId="6C06E742">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10.4 变更估价</w:t>
      </w:r>
    </w:p>
    <w:p w14:paraId="7EEA3F9A">
      <w:pPr>
        <w:spacing w:line="360" w:lineRule="auto"/>
        <w:jc w:val="left"/>
        <w:rPr>
          <w:rFonts w:ascii="宋体" w:hAnsi="宋体" w:eastAsia="宋体" w:cs="Times New Roman"/>
          <w:sz w:val="21"/>
          <w:szCs w:val="21"/>
          <w:u w:val="single"/>
        </w:rPr>
      </w:pPr>
      <w:bookmarkStart w:id="1424" w:name="_Toc532375641"/>
      <w:bookmarkEnd w:id="1424"/>
      <w:bookmarkStart w:id="1425" w:name="_Toc532377377"/>
      <w:bookmarkEnd w:id="1425"/>
      <w:r>
        <w:rPr>
          <w:rFonts w:hint="eastAsia" w:ascii="宋体" w:hAnsi="宋体" w:eastAsia="宋体" w:cs="Times New Roman"/>
          <w:sz w:val="21"/>
          <w:szCs w:val="21"/>
        </w:rPr>
        <w:t>关于变更估价的约定：</w:t>
      </w:r>
      <w:r>
        <w:rPr>
          <w:rFonts w:hint="eastAsia" w:ascii="宋体" w:hAnsi="宋体" w:eastAsia="宋体" w:cs="Times New Roman"/>
          <w:sz w:val="21"/>
          <w:szCs w:val="21"/>
          <w:u w:val="single"/>
        </w:rPr>
        <w:t>当发生工程变更时，工程量按国家及重庆市规定的计算规则及已标价工程量清单规定的工程量计算规则计量，按以下办法计价：</w:t>
      </w:r>
    </w:p>
    <w:p w14:paraId="35939D8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10.4.1.1已标价工程量清单中有相同项目的，按照相同项目单价计算；</w:t>
      </w:r>
    </w:p>
    <w:p w14:paraId="50A9BE17">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10.4.1.2已标价工程量清单中有类似项目的，参考类似项目单价计算；</w:t>
      </w:r>
    </w:p>
    <w:p w14:paraId="102B756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10.4.1.3已标价工程量清单中无相同项目亦无类似项目的，按照以下原则执行；</w:t>
      </w:r>
    </w:p>
    <w:p w14:paraId="6506564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重庆市建设工程费用定额》（CQFYDE-2018）、《重庆市市政工程计价定额》（CQSZDE-2018）、《重庆市房屋建筑与装饰工程计价定额》（CQJZZSDE-2018）、《重庆市通用安装工程计价定额》（CQAZDE-2018）、《重庆市园林绿化工程计价定额》（CQYLLHDE-2018）、《重庆市绿色建筑工程计价定额》（CQLSJZDE-2018）、《重庆市装配式建筑工程计价定额》（CQZPDE-2022）、《重庆市爆破工程计价定额》（CQBPDE-2018）、《重庆市构筑物工程计价定额》（CQGZWDE-2018）、《重庆市房屋修缮工程计价定额》（CQXSDE-2018）、《重庆市建设工程施工机械台班定额》（CQJXDE-2018）、《重庆市建设工程混凝土及砂浆配合比表》（CQPHBB-2018）、《重庆市建设工程施工仪器仪表台班定额》（CQYQYBDE-2018）及配套文件进行组价并按承包人报价浮动率下浮(认质核价的设备和材料不参与浮动)，经监理人、发包人审定后执行。</w:t>
      </w:r>
    </w:p>
    <w:p w14:paraId="289BF43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承包人报价浮动率按下列公式计算：承包人报价浮动率=(1-中标价/最高限价)X100%。</w:t>
      </w:r>
    </w:p>
    <w:p w14:paraId="247E91F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(1)人工单价：《重庆工程造价信息》</w:t>
      </w:r>
      <w:r>
        <w:rPr>
          <w:rFonts w:hint="eastAsia" w:ascii="宋体" w:hAnsi="宋体" w:eastAsia="宋体" w:cs="Times New Roman"/>
          <w:sz w:val="21"/>
          <w:szCs w:val="21"/>
          <w:highlight w:val="none"/>
          <w:u w:val="single"/>
        </w:rPr>
        <w:t>大足区2026年第4期。</w:t>
      </w:r>
    </w:p>
    <w:p w14:paraId="2901DA0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(2)材料单价：</w:t>
      </w:r>
    </w:p>
    <w:p w14:paraId="76987BB0">
      <w:pPr>
        <w:spacing w:line="360" w:lineRule="auto"/>
        <w:jc w:val="left"/>
        <w:rPr>
          <w:rFonts w:ascii="宋体" w:hAnsi="宋体" w:eastAsia="宋体" w:cs="Times New Roman"/>
          <w:sz w:val="21"/>
          <w:szCs w:val="21"/>
          <w:highlight w:val="none"/>
          <w:u w:val="single"/>
        </w:rPr>
      </w:pPr>
      <w:r>
        <w:rPr>
          <w:rFonts w:hint="eastAsia" w:ascii="宋体" w:hAnsi="宋体" w:eastAsia="宋体" w:cs="Times New Roman"/>
          <w:sz w:val="21"/>
          <w:szCs w:val="21"/>
          <w:u w:val="single"/>
        </w:rPr>
        <w:t>①按《重庆工程造价信息》大足区</w:t>
      </w:r>
      <w:r>
        <w:rPr>
          <w:rFonts w:hint="eastAsia" w:ascii="宋体" w:hAnsi="宋体" w:eastAsia="宋体" w:cs="Times New Roman"/>
          <w:sz w:val="21"/>
          <w:szCs w:val="21"/>
          <w:highlight w:val="none"/>
          <w:u w:val="single"/>
        </w:rPr>
        <w:t>2026年第4期、主城区2026年第4期执行；</w:t>
      </w:r>
    </w:p>
    <w:p w14:paraId="38B837FC">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②开标当期《重庆工程造价》中没有的，承包人投标报价中有的，按承包人投标报价中相同材料单价的最低值执行；</w:t>
      </w:r>
    </w:p>
    <w:p w14:paraId="20E6AA2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③开标当期《重庆工程造价》和承包人投标报价没有的，由承包人申报、监理人会同发包人根据市场行情认质核价确定。</w:t>
      </w:r>
    </w:p>
    <w:p w14:paraId="23A12167">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(3)企业管理费和利润：按承包人投标报价中相同工程分类的费用标准执行(投标报价中费用标准高于《重庆市建设工程费用定额》(CQFYDE-2018)费用标准的，按《重庆市建设工程费用定额》(CQFYDE-2018)费用标准执行)。</w:t>
      </w:r>
    </w:p>
    <w:p w14:paraId="63AC13A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(4)规费：按《重庆市建设工程费用定额》(CQFYDE-2018)费用标准进行计算。</w:t>
      </w:r>
    </w:p>
    <w:p w14:paraId="2BBE52F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(5)税金：包含增值税、城市维护建设税、教育费附加、地方教育附加以及环境保护税。其中增值税按《重庆市建设工程费用定额》(CQFYDE-2018)规定及配套文件执行。</w:t>
      </w:r>
    </w:p>
    <w:p w14:paraId="580F36ED">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10.4.1.4己标价工程量清单中无相同项日亦无类似项日，也无定额可套用的，由承包人会同监理人、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发包人共同询价确认的价格执行。</w:t>
      </w:r>
    </w:p>
    <w:p w14:paraId="3AC8867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本款补充10.4.3项：</w:t>
      </w:r>
    </w:p>
    <w:p w14:paraId="27871DB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533F89BC">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(1)安全文明施工费应按照实际发生变化的措施项目依据现行安全文明施工费计取及管理政策规定及《重庆市建设工程费用定额》(CQFYDE-2018)规定执行；</w:t>
      </w:r>
    </w:p>
    <w:p w14:paraId="6D0708C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(2)按照单价计算的措施项目费，应按照实际发生变化的措施项目，按照第10.4.1项(变更估价原则)约定执行；</w:t>
      </w:r>
    </w:p>
    <w:p w14:paraId="7298628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(3)按总价(或系数)计算的措施项目费，应按照实际发生变化的措施项目费按承包人报价浮动率下浮后的金额计算；</w:t>
      </w:r>
    </w:p>
    <w:p w14:paraId="7F68CA6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(4)如果承包人未事前将拟实施的方案提交给发包人确认，则应视为工程变更不引起措施项目费的调整或承包人放弃调整措施项目费的权利。</w:t>
      </w:r>
    </w:p>
    <w:p w14:paraId="091CBF26">
      <w:pPr>
        <w:widowControl/>
        <w:spacing w:line="360" w:lineRule="auto"/>
        <w:jc w:val="left"/>
        <w:outlineLvl w:val="4"/>
        <w:rPr>
          <w:rFonts w:ascii="宋体" w:hAnsi="宋体" w:eastAsia="宋体" w:cs="宋体"/>
          <w:b/>
          <w:bCs/>
          <w:kern w:val="0"/>
          <w:sz w:val="21"/>
          <w:szCs w:val="21"/>
        </w:rPr>
      </w:pPr>
      <w:bookmarkStart w:id="1426" w:name="_Toc532377375"/>
      <w:bookmarkEnd w:id="1426"/>
      <w:bookmarkStart w:id="1427" w:name="_Toc532375639"/>
      <w:r>
        <w:rPr>
          <w:rFonts w:hint="eastAsia" w:ascii="宋体" w:hAnsi="宋体" w:eastAsia="宋体" w:cs="宋体"/>
          <w:b/>
          <w:bCs/>
          <w:kern w:val="0"/>
          <w:sz w:val="21"/>
          <w:szCs w:val="21"/>
        </w:rPr>
        <w:t>1</w:t>
      </w:r>
      <w:bookmarkEnd w:id="1427"/>
      <w:bookmarkStart w:id="1428" w:name="_Toc303539150"/>
      <w:bookmarkEnd w:id="1428"/>
      <w:bookmarkStart w:id="1429" w:name="_Toc296891237"/>
      <w:bookmarkEnd w:id="1429"/>
      <w:bookmarkStart w:id="1430" w:name="_Toc304295570"/>
      <w:bookmarkEnd w:id="1430"/>
      <w:bookmarkStart w:id="1431" w:name="_Toc296346698"/>
      <w:bookmarkEnd w:id="1431"/>
      <w:bookmarkStart w:id="1432" w:name="_Toc296503197"/>
      <w:bookmarkEnd w:id="1432"/>
      <w:bookmarkStart w:id="1433" w:name="_Toc297048383"/>
      <w:bookmarkEnd w:id="1433"/>
      <w:bookmarkStart w:id="1434" w:name="_Toc292559402"/>
      <w:bookmarkEnd w:id="1434"/>
      <w:bookmarkStart w:id="1435" w:name="_Toc300934993"/>
      <w:bookmarkEnd w:id="1435"/>
      <w:bookmarkStart w:id="1436" w:name="_Toc297123544"/>
      <w:bookmarkEnd w:id="1436"/>
      <w:bookmarkStart w:id="1437" w:name="_Toc296891025"/>
      <w:bookmarkEnd w:id="1437"/>
      <w:bookmarkStart w:id="1438" w:name="_Toc312677503"/>
      <w:bookmarkEnd w:id="1438"/>
      <w:bookmarkStart w:id="1439" w:name="_Toc296944536"/>
      <w:bookmarkEnd w:id="1439"/>
      <w:bookmarkStart w:id="1440" w:name="_Toc297120497"/>
      <w:bookmarkEnd w:id="1440"/>
      <w:bookmarkStart w:id="1441" w:name="_Toc292559907"/>
      <w:bookmarkEnd w:id="1441"/>
      <w:bookmarkStart w:id="1442" w:name="_Toc296347196"/>
      <w:bookmarkEnd w:id="1442"/>
      <w:bookmarkStart w:id="1443" w:name="_Toc297216203"/>
      <w:bookmarkEnd w:id="1443"/>
      <w:bookmarkStart w:id="1444" w:name="_Toc312678029"/>
      <w:r>
        <w:rPr>
          <w:rFonts w:hint="eastAsia" w:ascii="宋体" w:hAnsi="宋体" w:eastAsia="宋体" w:cs="宋体"/>
          <w:b/>
          <w:bCs/>
          <w:kern w:val="0"/>
          <w:sz w:val="21"/>
          <w:szCs w:val="21"/>
        </w:rPr>
        <w:t>0.5承</w:t>
      </w:r>
      <w:bookmarkEnd w:id="1444"/>
      <w:bookmarkStart w:id="1445" w:name="_Toc296346704"/>
      <w:bookmarkEnd w:id="1445"/>
      <w:bookmarkStart w:id="1446" w:name="_Toc296503203"/>
      <w:bookmarkEnd w:id="1446"/>
      <w:bookmarkStart w:id="1447" w:name="_Toc297123545"/>
      <w:bookmarkEnd w:id="1447"/>
      <w:bookmarkStart w:id="1448" w:name="_Toc296891243"/>
      <w:bookmarkEnd w:id="1448"/>
      <w:bookmarkStart w:id="1449" w:name="_Toc300934994"/>
      <w:bookmarkEnd w:id="1449"/>
      <w:bookmarkStart w:id="1450" w:name="_Toc292559408"/>
      <w:bookmarkEnd w:id="1450"/>
      <w:bookmarkStart w:id="1451" w:name="_Toc297120503"/>
      <w:bookmarkEnd w:id="1451"/>
      <w:bookmarkStart w:id="1452" w:name="_Toc297048389"/>
      <w:bookmarkEnd w:id="1452"/>
      <w:bookmarkStart w:id="1453" w:name="_Toc303539151"/>
      <w:bookmarkEnd w:id="1453"/>
      <w:bookmarkStart w:id="1454" w:name="_Toc292559913"/>
      <w:bookmarkEnd w:id="1454"/>
      <w:bookmarkStart w:id="1455" w:name="_Toc296891031"/>
      <w:bookmarkEnd w:id="1455"/>
      <w:bookmarkStart w:id="1456" w:name="_Toc297216204"/>
      <w:bookmarkEnd w:id="1456"/>
      <w:bookmarkStart w:id="1457" w:name="_Toc296347202"/>
      <w:bookmarkEnd w:id="1457"/>
      <w:bookmarkStart w:id="1458" w:name="_Toc296944542"/>
      <w:bookmarkEnd w:id="1458"/>
      <w:r>
        <w:rPr>
          <w:rFonts w:hint="eastAsia" w:ascii="宋体" w:hAnsi="宋体" w:eastAsia="宋体" w:cs="宋体"/>
          <w:b/>
          <w:bCs/>
          <w:kern w:val="0"/>
          <w:sz w:val="21"/>
          <w:szCs w:val="21"/>
        </w:rPr>
        <w:t>包人的合理化建议</w:t>
      </w:r>
    </w:p>
    <w:p w14:paraId="750CC19C">
      <w:pPr>
        <w:spacing w:line="360" w:lineRule="auto"/>
        <w:jc w:val="left"/>
        <w:rPr>
          <w:rFonts w:ascii="宋体" w:hAnsi="宋体" w:eastAsia="宋体" w:cs="Times New Roman"/>
          <w:sz w:val="21"/>
          <w:szCs w:val="21"/>
        </w:rPr>
      </w:pPr>
      <w:bookmarkStart w:id="1459" w:name="_Toc296944543"/>
      <w:bookmarkEnd w:id="1459"/>
      <w:bookmarkStart w:id="1460" w:name="_Toc296891032"/>
      <w:bookmarkEnd w:id="1460"/>
      <w:bookmarkStart w:id="1461" w:name="_Toc297123546"/>
      <w:bookmarkEnd w:id="1461"/>
      <w:bookmarkStart w:id="1462" w:name="_Toc303539152"/>
      <w:bookmarkEnd w:id="1462"/>
      <w:bookmarkStart w:id="1463" w:name="_Toc312678030"/>
      <w:bookmarkEnd w:id="1463"/>
      <w:bookmarkStart w:id="1464" w:name="_Toc318581175"/>
      <w:bookmarkEnd w:id="1464"/>
      <w:bookmarkStart w:id="1465" w:name="_Toc292559914"/>
      <w:bookmarkEnd w:id="1465"/>
      <w:bookmarkStart w:id="1466" w:name="_Toc292559409"/>
      <w:bookmarkEnd w:id="1466"/>
      <w:bookmarkStart w:id="1467" w:name="_Toc296891244"/>
      <w:bookmarkEnd w:id="1467"/>
      <w:bookmarkStart w:id="1468" w:name="_Toc296346705"/>
      <w:bookmarkEnd w:id="1468"/>
      <w:bookmarkStart w:id="1469" w:name="_Toc296503204"/>
      <w:bookmarkEnd w:id="1469"/>
      <w:bookmarkStart w:id="1470" w:name="_Toc297216205"/>
      <w:bookmarkEnd w:id="1470"/>
      <w:bookmarkStart w:id="1471" w:name="_Toc312677504"/>
      <w:bookmarkEnd w:id="1471"/>
      <w:bookmarkStart w:id="1472" w:name="_Toc297120504"/>
      <w:bookmarkEnd w:id="1472"/>
      <w:bookmarkStart w:id="1473" w:name="_Toc304295571"/>
      <w:bookmarkEnd w:id="1473"/>
      <w:bookmarkStart w:id="1474" w:name="_Toc297048390"/>
      <w:bookmarkEnd w:id="1474"/>
      <w:bookmarkStart w:id="1475" w:name="_Toc300934995"/>
      <w:bookmarkEnd w:id="1475"/>
      <w:bookmarkStart w:id="1476" w:name="_Toc296347203"/>
      <w:r>
        <w:rPr>
          <w:rFonts w:hint="eastAsia" w:ascii="宋体" w:hAnsi="宋体" w:eastAsia="宋体" w:cs="Times New Roman"/>
          <w:sz w:val="21"/>
          <w:szCs w:val="21"/>
        </w:rPr>
        <w:t>承包人提出合理化建议的，应向监理人提交合理化建议说明，说明建议的内容和理由，以及实施该建议对合同价格和（或）工期和（或）工程经济效益的影响。</w:t>
      </w:r>
      <w:bookmarkEnd w:id="1476"/>
    </w:p>
    <w:p w14:paraId="2890FCF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监理人审查承包人合理化建议的期限：</w:t>
      </w:r>
      <w:r>
        <w:rPr>
          <w:rFonts w:hint="eastAsia" w:ascii="宋体" w:hAnsi="宋体" w:eastAsia="宋体" w:cs="Times New Roman"/>
          <w:sz w:val="21"/>
          <w:szCs w:val="21"/>
          <w:u w:val="single"/>
        </w:rPr>
        <w:t>不超过14天</w:t>
      </w:r>
      <w:r>
        <w:rPr>
          <w:rFonts w:hint="eastAsia" w:ascii="宋体" w:hAnsi="宋体" w:eastAsia="宋体" w:cs="Times New Roman"/>
          <w:sz w:val="21"/>
          <w:szCs w:val="21"/>
        </w:rPr>
        <w:t>。</w:t>
      </w:r>
    </w:p>
    <w:p w14:paraId="422C378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发包人审批承包人合理化建议的期限：</w:t>
      </w:r>
      <w:r>
        <w:rPr>
          <w:rFonts w:hint="eastAsia" w:ascii="宋体" w:hAnsi="宋体" w:eastAsia="宋体" w:cs="Times New Roman"/>
          <w:sz w:val="21"/>
          <w:szCs w:val="21"/>
          <w:u w:val="single"/>
        </w:rPr>
        <w:t>不超过14天</w:t>
      </w:r>
      <w:r>
        <w:rPr>
          <w:rFonts w:hint="eastAsia" w:ascii="宋体" w:hAnsi="宋体" w:eastAsia="宋体" w:cs="Times New Roman"/>
          <w:sz w:val="21"/>
          <w:szCs w:val="21"/>
        </w:rPr>
        <w:t>。</w:t>
      </w:r>
    </w:p>
    <w:p w14:paraId="7054258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承包人提出的合理化建议降低了合同价格或缩短了工期或者提高了工程经济效益的奖励的方法和金额为：</w:t>
      </w:r>
      <w:r>
        <w:rPr>
          <w:rFonts w:hint="eastAsia" w:ascii="宋体" w:hAnsi="宋体" w:eastAsia="宋体" w:cs="Times New Roman"/>
          <w:sz w:val="21"/>
          <w:szCs w:val="21"/>
          <w:u w:val="single"/>
        </w:rPr>
        <w:t>无</w:t>
      </w:r>
      <w:r>
        <w:rPr>
          <w:rFonts w:hint="eastAsia" w:ascii="宋体" w:hAnsi="宋体" w:eastAsia="宋体" w:cs="Times New Roman"/>
          <w:sz w:val="21"/>
          <w:szCs w:val="21"/>
        </w:rPr>
        <w:t>。</w:t>
      </w:r>
    </w:p>
    <w:p w14:paraId="3631D6ED">
      <w:pPr>
        <w:widowControl/>
        <w:spacing w:line="360" w:lineRule="auto"/>
        <w:jc w:val="left"/>
        <w:outlineLvl w:val="4"/>
        <w:rPr>
          <w:rFonts w:ascii="宋体" w:hAnsi="宋体" w:eastAsia="宋体" w:cs="宋体"/>
          <w:b/>
          <w:bCs/>
          <w:kern w:val="0"/>
          <w:sz w:val="21"/>
          <w:szCs w:val="21"/>
        </w:rPr>
      </w:pPr>
      <w:bookmarkStart w:id="1477" w:name="_Toc532375640"/>
      <w:bookmarkEnd w:id="1477"/>
      <w:bookmarkStart w:id="1478" w:name="_Toc532377376"/>
      <w:bookmarkEnd w:id="1478"/>
      <w:r>
        <w:rPr>
          <w:rFonts w:hint="eastAsia" w:ascii="宋体" w:hAnsi="宋体" w:eastAsia="宋体" w:cs="宋体"/>
          <w:b/>
          <w:bCs/>
          <w:kern w:val="0"/>
          <w:sz w:val="21"/>
          <w:szCs w:val="21"/>
        </w:rPr>
        <w:t>1</w:t>
      </w:r>
      <w:bookmarkStart w:id="1479" w:name="_Toc297123548"/>
      <w:bookmarkEnd w:id="1479"/>
      <w:bookmarkStart w:id="1480" w:name="_Toc300934997"/>
      <w:bookmarkEnd w:id="1480"/>
      <w:bookmarkStart w:id="1481" w:name="_Toc296503199"/>
      <w:bookmarkEnd w:id="1481"/>
      <w:bookmarkStart w:id="1482" w:name="_Toc303539154"/>
      <w:bookmarkEnd w:id="1482"/>
      <w:bookmarkStart w:id="1483" w:name="_Toc297216207"/>
      <w:bookmarkEnd w:id="1483"/>
      <w:bookmarkStart w:id="1484" w:name="_Toc296346700"/>
      <w:bookmarkEnd w:id="1484"/>
      <w:bookmarkStart w:id="1485" w:name="_Toc292559404"/>
      <w:bookmarkEnd w:id="1485"/>
      <w:bookmarkStart w:id="1486" w:name="_Toc296944538"/>
      <w:bookmarkEnd w:id="1486"/>
      <w:bookmarkStart w:id="1487" w:name="_Toc297120499"/>
      <w:bookmarkEnd w:id="1487"/>
      <w:bookmarkStart w:id="1488" w:name="_Toc296891027"/>
      <w:bookmarkEnd w:id="1488"/>
      <w:bookmarkStart w:id="1489" w:name="_Toc292559909"/>
      <w:bookmarkEnd w:id="1489"/>
      <w:bookmarkStart w:id="1490" w:name="_Toc312678033"/>
      <w:bookmarkEnd w:id="1490"/>
      <w:bookmarkStart w:id="1491" w:name="_Toc312677507"/>
      <w:bookmarkEnd w:id="1491"/>
      <w:bookmarkStart w:id="1492" w:name="_Toc296891239"/>
      <w:bookmarkEnd w:id="1492"/>
      <w:bookmarkStart w:id="1493" w:name="_Toc304295574"/>
      <w:bookmarkEnd w:id="1493"/>
      <w:bookmarkStart w:id="1494" w:name="_Toc296347198"/>
      <w:bookmarkEnd w:id="1494"/>
      <w:bookmarkStart w:id="1495" w:name="_Toc297048385"/>
      <w:r>
        <w:rPr>
          <w:rFonts w:hint="eastAsia" w:ascii="宋体" w:hAnsi="宋体" w:eastAsia="宋体" w:cs="宋体"/>
          <w:b/>
          <w:bCs/>
          <w:kern w:val="0"/>
          <w:sz w:val="21"/>
          <w:szCs w:val="21"/>
        </w:rPr>
        <w:t>0.7 暂估价</w:t>
      </w:r>
      <w:bookmarkEnd w:id="1495"/>
    </w:p>
    <w:p w14:paraId="6B8E0A7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专业工程暂估价：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万元。</w:t>
      </w:r>
    </w:p>
    <w:p w14:paraId="1063D3B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发包人共同审定。审定后根据承包人签订的相关合同（需经监理人、发包人共同确认）约定，由承包人申报，随进度款按与相关单位签订的合同约定一并支付。</w:t>
      </w:r>
    </w:p>
    <w:p w14:paraId="3CD5F28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单项合同暂估价在国家相关法律法规规定必须招标规模以上的，需依法必须招标的，由承包人、发包人共同招标确定。</w:t>
      </w:r>
    </w:p>
    <w:p w14:paraId="098CC1DE">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10.8 暂列金额</w:t>
      </w:r>
    </w:p>
    <w:p w14:paraId="42C89E30">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合同当事人关于暂列金额使用的约定：</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暂列金额应由监理人报发包人批准后指令全部或部分地使用，或者根本不予动用</w:t>
      </w:r>
      <w:r>
        <w:rPr>
          <w:rFonts w:hint="eastAsia" w:ascii="宋体" w:hAnsi="宋体" w:eastAsia="宋体" w:cs="Times New Roman"/>
          <w:kern w:val="0"/>
          <w:sz w:val="21"/>
          <w:szCs w:val="21"/>
        </w:rPr>
        <w:t>。</w:t>
      </w:r>
    </w:p>
    <w:p w14:paraId="0086FDB5">
      <w:pPr>
        <w:keepNext/>
        <w:keepLines/>
        <w:spacing w:line="360" w:lineRule="auto"/>
        <w:outlineLvl w:val="3"/>
        <w:rPr>
          <w:rFonts w:ascii="宋体" w:hAnsi="宋体" w:eastAsia="宋体" w:cs="宋体"/>
          <w:b/>
          <w:sz w:val="21"/>
          <w:szCs w:val="21"/>
        </w:rPr>
      </w:pPr>
      <w:bookmarkStart w:id="1496" w:name="_Toc532377378"/>
      <w:bookmarkEnd w:id="1496"/>
      <w:bookmarkStart w:id="1497" w:name="_Toc532375642"/>
      <w:bookmarkEnd w:id="1497"/>
      <w:bookmarkStart w:id="1498" w:name="_Toc351203643"/>
      <w:r>
        <w:rPr>
          <w:rFonts w:hint="eastAsia" w:ascii="宋体" w:hAnsi="宋体" w:eastAsia="宋体" w:cs="宋体"/>
          <w:b/>
          <w:bCs/>
          <w:sz w:val="21"/>
          <w:szCs w:val="21"/>
        </w:rPr>
        <w:t>11. 价格调整</w:t>
      </w:r>
      <w:bookmarkEnd w:id="1498"/>
    </w:p>
    <w:p w14:paraId="7B70ADD5">
      <w:pPr>
        <w:widowControl/>
        <w:spacing w:line="360" w:lineRule="auto"/>
        <w:jc w:val="left"/>
        <w:outlineLvl w:val="4"/>
        <w:rPr>
          <w:rFonts w:ascii="宋体" w:hAnsi="宋体" w:eastAsia="宋体" w:cs="宋体"/>
          <w:b/>
          <w:bCs/>
          <w:kern w:val="0"/>
          <w:sz w:val="21"/>
          <w:szCs w:val="21"/>
        </w:rPr>
      </w:pPr>
      <w:bookmarkStart w:id="1499" w:name="_Toc296891241"/>
      <w:bookmarkEnd w:id="1499"/>
      <w:bookmarkStart w:id="1500" w:name="_Toc296944540"/>
      <w:bookmarkEnd w:id="1500"/>
      <w:bookmarkStart w:id="1501" w:name="_Toc296891029"/>
      <w:bookmarkEnd w:id="1501"/>
      <w:bookmarkStart w:id="1502" w:name="_Toc297216209"/>
      <w:bookmarkEnd w:id="1502"/>
      <w:bookmarkStart w:id="1503" w:name="_Toc297048387"/>
      <w:bookmarkEnd w:id="1503"/>
      <w:bookmarkStart w:id="1504" w:name="_Toc312678039"/>
      <w:bookmarkEnd w:id="1504"/>
      <w:bookmarkStart w:id="1505" w:name="_Toc303539157"/>
      <w:bookmarkEnd w:id="1505"/>
      <w:bookmarkStart w:id="1506" w:name="_Toc296503201"/>
      <w:bookmarkEnd w:id="1506"/>
      <w:bookmarkStart w:id="1507" w:name="_Toc304295577"/>
      <w:bookmarkEnd w:id="1507"/>
      <w:bookmarkStart w:id="1508" w:name="_Toc297123550"/>
      <w:bookmarkEnd w:id="1508"/>
      <w:bookmarkStart w:id="1509" w:name="_Toc297120501"/>
      <w:bookmarkEnd w:id="1509"/>
      <w:bookmarkStart w:id="1510" w:name="_Toc300935000"/>
      <w:bookmarkEnd w:id="1510"/>
      <w:bookmarkStart w:id="1511" w:name="_Toc532375643"/>
      <w:bookmarkEnd w:id="1511"/>
      <w:bookmarkStart w:id="1512" w:name="_Toc532377379"/>
      <w:bookmarkEnd w:id="1512"/>
      <w:bookmarkStart w:id="1513" w:name="_Toc292559911"/>
      <w:bookmarkEnd w:id="1513"/>
      <w:bookmarkStart w:id="1514" w:name="_Toc296347200"/>
      <w:bookmarkEnd w:id="1514"/>
      <w:bookmarkStart w:id="1515" w:name="_Toc296346702"/>
      <w:bookmarkEnd w:id="1515"/>
      <w:bookmarkStart w:id="1516" w:name="_Toc292559406"/>
      <w:r>
        <w:rPr>
          <w:rFonts w:hint="eastAsia" w:ascii="宋体" w:hAnsi="宋体" w:eastAsia="宋体" w:cs="宋体"/>
          <w:b/>
          <w:bCs/>
          <w:kern w:val="0"/>
          <w:sz w:val="21"/>
          <w:szCs w:val="21"/>
        </w:rPr>
        <w:t xml:space="preserve">11.1 </w:t>
      </w:r>
      <w:bookmarkEnd w:id="1516"/>
      <w:r>
        <w:rPr>
          <w:rFonts w:hint="eastAsia" w:ascii="宋体" w:hAnsi="宋体" w:eastAsia="宋体" w:cs="宋体"/>
          <w:b/>
          <w:bCs/>
          <w:kern w:val="0"/>
          <w:sz w:val="21"/>
          <w:szCs w:val="21"/>
        </w:rPr>
        <w:t>市场价格波动引起的调整</w:t>
      </w:r>
    </w:p>
    <w:p w14:paraId="611C0049">
      <w:pPr>
        <w:spacing w:line="360" w:lineRule="auto"/>
        <w:jc w:val="left"/>
        <w:rPr>
          <w:rFonts w:ascii="宋体" w:hAnsi="宋体" w:eastAsia="宋体" w:cs="Times New Roman"/>
          <w:sz w:val="21"/>
          <w:szCs w:val="21"/>
        </w:rPr>
      </w:pPr>
      <w:bookmarkStart w:id="1517" w:name="_Toc297120505"/>
      <w:bookmarkEnd w:id="1517"/>
      <w:bookmarkStart w:id="1518" w:name="_Toc292559915"/>
      <w:bookmarkEnd w:id="1518"/>
      <w:bookmarkStart w:id="1519" w:name="_Toc300935002"/>
      <w:bookmarkEnd w:id="1519"/>
      <w:bookmarkStart w:id="1520" w:name="_Toc296891033"/>
      <w:bookmarkEnd w:id="1520"/>
      <w:bookmarkStart w:id="1521" w:name="_Toc296347204"/>
      <w:bookmarkEnd w:id="1521"/>
      <w:bookmarkStart w:id="1522" w:name="_Toc297048391"/>
      <w:bookmarkEnd w:id="1522"/>
      <w:bookmarkStart w:id="1523" w:name="_Toc296346706"/>
      <w:bookmarkEnd w:id="1523"/>
      <w:bookmarkStart w:id="1524" w:name="_Toc292559410"/>
      <w:bookmarkEnd w:id="1524"/>
      <w:bookmarkStart w:id="1525" w:name="_Toc297216211"/>
      <w:bookmarkEnd w:id="1525"/>
      <w:bookmarkStart w:id="1526" w:name="_Toc296891245"/>
      <w:bookmarkEnd w:id="1526"/>
      <w:bookmarkStart w:id="1527" w:name="_Toc297123552"/>
      <w:bookmarkEnd w:id="1527"/>
      <w:bookmarkStart w:id="1528" w:name="_Toc312678040"/>
      <w:bookmarkEnd w:id="1528"/>
      <w:bookmarkStart w:id="1529" w:name="_Toc351203644"/>
      <w:bookmarkEnd w:id="1529"/>
      <w:bookmarkStart w:id="1530" w:name="_Toc304295579"/>
      <w:bookmarkEnd w:id="1530"/>
      <w:bookmarkStart w:id="1531" w:name="_Toc296503205"/>
      <w:bookmarkEnd w:id="1531"/>
      <w:bookmarkStart w:id="1532" w:name="_Toc296944544"/>
      <w:bookmarkEnd w:id="1532"/>
      <w:bookmarkStart w:id="1533" w:name="_Toc303539159"/>
      <w:bookmarkEnd w:id="1533"/>
      <w:r>
        <w:rPr>
          <w:rFonts w:hint="eastAsia" w:ascii="宋体" w:hAnsi="宋体" w:eastAsia="宋体" w:cs="Times New Roman"/>
          <w:sz w:val="21"/>
          <w:szCs w:val="21"/>
        </w:rPr>
        <w:t>市场价格波动是否调整合同价格的约定：</w:t>
      </w:r>
      <w:r>
        <w:rPr>
          <w:rFonts w:hint="eastAsia" w:ascii="宋体" w:hAnsi="宋体" w:eastAsia="宋体" w:cs="Times New Roman"/>
          <w:sz w:val="21"/>
          <w:szCs w:val="21"/>
          <w:u w:val="single"/>
        </w:rPr>
        <w:t xml:space="preserve">   不调整</w:t>
      </w:r>
      <w:r>
        <w:rPr>
          <w:rFonts w:hint="eastAsia" w:ascii="Times New Roman" w:hAnsi="Times New Roman" w:eastAsia="宋体" w:cs="Times New Roman"/>
          <w:sz w:val="21"/>
          <w:szCs w:val="21"/>
          <w:u w:val="single"/>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63F51E09">
      <w:pPr>
        <w:keepNext/>
        <w:keepLines/>
        <w:numPr>
          <w:ilvl w:val="0"/>
          <w:numId w:val="17"/>
        </w:numPr>
        <w:spacing w:line="360" w:lineRule="auto"/>
        <w:outlineLvl w:val="3"/>
        <w:rPr>
          <w:rFonts w:ascii="宋体" w:hAnsi="宋体" w:eastAsia="宋体" w:cs="宋体"/>
          <w:b/>
          <w:bCs/>
          <w:sz w:val="21"/>
          <w:szCs w:val="21"/>
        </w:rPr>
      </w:pPr>
      <w:bookmarkStart w:id="1534" w:name="_Toc532375646"/>
      <w:bookmarkEnd w:id="1534"/>
      <w:bookmarkStart w:id="1535" w:name="_Toc532377382"/>
      <w:bookmarkEnd w:id="1535"/>
      <w:r>
        <w:rPr>
          <w:rFonts w:hint="eastAsia" w:ascii="宋体" w:hAnsi="宋体" w:eastAsia="宋体" w:cs="宋体"/>
          <w:b/>
          <w:bCs/>
          <w:sz w:val="21"/>
          <w:szCs w:val="21"/>
        </w:rPr>
        <w:t>合同价格、计量与支付</w:t>
      </w:r>
    </w:p>
    <w:p w14:paraId="26CF2ADB">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12.1 合同价格形式</w:t>
      </w:r>
    </w:p>
    <w:p w14:paraId="70DE8D76">
      <w:pPr>
        <w:spacing w:line="360" w:lineRule="auto"/>
        <w:jc w:val="left"/>
        <w:rPr>
          <w:rFonts w:ascii="Times New Roman" w:hAnsi="Times New Roman" w:eastAsia="宋体" w:cs="Times New Roman"/>
          <w:sz w:val="21"/>
          <w:szCs w:val="21"/>
        </w:rPr>
      </w:pPr>
      <w:r>
        <w:rPr>
          <w:rFonts w:hint="eastAsia" w:ascii="宋体" w:hAnsi="宋体" w:eastAsia="宋体" w:cs="Times New Roman"/>
          <w:sz w:val="21"/>
          <w:szCs w:val="21"/>
        </w:rPr>
        <w:t>单价合同。</w:t>
      </w:r>
    </w:p>
    <w:p w14:paraId="0A832C48">
      <w:pPr>
        <w:spacing w:line="360" w:lineRule="auto"/>
        <w:jc w:val="left"/>
        <w:rPr>
          <w:rFonts w:ascii="宋体" w:hAnsi="宋体" w:eastAsia="宋体" w:cs="Times New Roman"/>
          <w:sz w:val="21"/>
          <w:szCs w:val="21"/>
        </w:rPr>
      </w:pPr>
      <w:bookmarkStart w:id="1536" w:name="_Toc296944546"/>
      <w:bookmarkEnd w:id="1536"/>
      <w:bookmarkStart w:id="1537" w:name="_Toc292559412"/>
      <w:bookmarkEnd w:id="1537"/>
      <w:bookmarkStart w:id="1538" w:name="_Toc296503207"/>
      <w:bookmarkEnd w:id="1538"/>
      <w:bookmarkStart w:id="1539" w:name="_Toc297048393"/>
      <w:bookmarkEnd w:id="1539"/>
      <w:bookmarkStart w:id="1540" w:name="_Toc296891035"/>
      <w:bookmarkEnd w:id="1540"/>
      <w:bookmarkStart w:id="1541" w:name="_Toc296346708"/>
      <w:bookmarkEnd w:id="1541"/>
      <w:bookmarkStart w:id="1542" w:name="_Toc292559917"/>
      <w:bookmarkEnd w:id="1542"/>
      <w:bookmarkStart w:id="1543" w:name="_Toc297120507"/>
      <w:bookmarkEnd w:id="1543"/>
      <w:bookmarkStart w:id="1544" w:name="_Toc296891247"/>
      <w:bookmarkEnd w:id="1544"/>
      <w:bookmarkStart w:id="1545" w:name="_Toc296347206"/>
      <w:r>
        <w:rPr>
          <w:rFonts w:hint="eastAsia" w:ascii="宋体" w:hAnsi="宋体" w:eastAsia="宋体" w:cs="Times New Roman"/>
          <w:sz w:val="21"/>
          <w:szCs w:val="21"/>
        </w:rPr>
        <w:t>12.2.1 预付款的支付</w:t>
      </w:r>
      <w:bookmarkEnd w:id="1545"/>
    </w:p>
    <w:p w14:paraId="7751B36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预付款支付比例或金额：</w:t>
      </w:r>
      <w:r>
        <w:rPr>
          <w:rFonts w:hint="eastAsia" w:ascii="宋体" w:hAnsi="宋体" w:eastAsia="宋体" w:cs="Times New Roman"/>
          <w:sz w:val="21"/>
          <w:szCs w:val="21"/>
          <w:u w:val="single"/>
        </w:rPr>
        <w:t xml:space="preserve">  不支付预付款   </w:t>
      </w:r>
      <w:r>
        <w:rPr>
          <w:rFonts w:hint="eastAsia" w:ascii="宋体" w:hAnsi="宋体" w:eastAsia="宋体" w:cs="Times New Roman"/>
          <w:sz w:val="21"/>
          <w:szCs w:val="21"/>
        </w:rPr>
        <w:t>。</w:t>
      </w:r>
    </w:p>
    <w:p w14:paraId="54D860B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预付款支付期限：</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DC2919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预付款扣回的方式：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CD9395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12.2.2 预付款担保</w:t>
      </w:r>
    </w:p>
    <w:p w14:paraId="433AA4B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承包人提交预付款担保的期限：</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529849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预付款担保的形式为：</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5924EC0">
      <w:pPr>
        <w:widowControl/>
        <w:spacing w:line="360" w:lineRule="auto"/>
        <w:jc w:val="left"/>
        <w:outlineLvl w:val="4"/>
        <w:rPr>
          <w:rFonts w:ascii="宋体" w:hAnsi="宋体" w:eastAsia="宋体" w:cs="宋体"/>
          <w:b/>
          <w:bCs/>
          <w:kern w:val="0"/>
          <w:sz w:val="21"/>
          <w:szCs w:val="21"/>
        </w:rPr>
      </w:pPr>
      <w:bookmarkStart w:id="1546" w:name="_Toc532375649"/>
      <w:bookmarkEnd w:id="1546"/>
      <w:bookmarkStart w:id="1547" w:name="_Toc532377385"/>
      <w:bookmarkEnd w:id="1547"/>
      <w:r>
        <w:rPr>
          <w:rFonts w:hint="eastAsia" w:ascii="宋体" w:hAnsi="宋体" w:eastAsia="宋体" w:cs="宋体"/>
          <w:b/>
          <w:bCs/>
          <w:kern w:val="0"/>
          <w:sz w:val="21"/>
          <w:szCs w:val="21"/>
        </w:rPr>
        <w:t>12.3 计量</w:t>
      </w:r>
    </w:p>
    <w:p w14:paraId="748DD089">
      <w:pPr>
        <w:spacing w:line="360" w:lineRule="auto"/>
        <w:jc w:val="left"/>
        <w:rPr>
          <w:rFonts w:ascii="宋体" w:hAnsi="宋体" w:eastAsia="宋体" w:cs="Times New Roman"/>
          <w:sz w:val="21"/>
          <w:szCs w:val="21"/>
        </w:rPr>
      </w:pPr>
      <w:bookmarkStart w:id="1548" w:name="_Hlk528928260"/>
      <w:bookmarkEnd w:id="1548"/>
      <w:r>
        <w:rPr>
          <w:rFonts w:hint="eastAsia" w:ascii="宋体" w:hAnsi="宋体" w:eastAsia="宋体" w:cs="Times New Roman"/>
          <w:sz w:val="21"/>
          <w:szCs w:val="21"/>
        </w:rPr>
        <w:t>12.3.1 计量原则</w:t>
      </w:r>
    </w:p>
    <w:p w14:paraId="6BACE8FF">
      <w:pPr>
        <w:spacing w:line="360" w:lineRule="auto"/>
        <w:jc w:val="left"/>
        <w:rPr>
          <w:rFonts w:ascii="Times New Roman" w:hAnsi="Times New Roman" w:eastAsia="宋体" w:cs="Times New Roman"/>
          <w:sz w:val="21"/>
          <w:szCs w:val="21"/>
        </w:rPr>
      </w:pPr>
      <w:r>
        <w:rPr>
          <w:rFonts w:hint="eastAsia" w:ascii="宋体" w:hAnsi="宋体" w:eastAsia="宋体" w:cs="Times New Roman"/>
          <w:sz w:val="21"/>
          <w:szCs w:val="21"/>
        </w:rPr>
        <w:t>工程量计算规则：按《建设工程工程量清单计价规范》（</w:t>
      </w:r>
      <w:r>
        <w:rPr>
          <w:rFonts w:hint="eastAsia" w:ascii="Times New Roman" w:hAnsi="Times New Roman" w:eastAsia="宋体" w:cs="Times New Roman"/>
          <w:sz w:val="21"/>
          <w:szCs w:val="21"/>
        </w:rPr>
        <w:t>GB50500-2013</w:t>
      </w:r>
      <w:r>
        <w:rPr>
          <w:rFonts w:hint="eastAsia" w:ascii="宋体" w:hAnsi="宋体" w:eastAsia="宋体" w:cs="Times New Roman"/>
          <w:sz w:val="21"/>
          <w:szCs w:val="21"/>
        </w:rPr>
        <w:t>）、《市政工程工程量计算规范》（</w:t>
      </w:r>
      <w:r>
        <w:rPr>
          <w:rFonts w:hint="eastAsia" w:ascii="Times New Roman" w:hAnsi="Times New Roman" w:eastAsia="宋体" w:cs="Times New Roman"/>
          <w:sz w:val="21"/>
          <w:szCs w:val="21"/>
        </w:rPr>
        <w:t>GB50857-2013</w:t>
      </w:r>
      <w:r>
        <w:rPr>
          <w:rFonts w:hint="eastAsia" w:ascii="宋体" w:hAnsi="宋体" w:eastAsia="宋体" w:cs="Times New Roman"/>
          <w:sz w:val="21"/>
          <w:szCs w:val="21"/>
        </w:rPr>
        <w:t>）、《通用安装工程工程量计算规范》（</w:t>
      </w:r>
      <w:r>
        <w:rPr>
          <w:rFonts w:hint="eastAsia" w:ascii="Times New Roman" w:hAnsi="Times New Roman" w:eastAsia="宋体" w:cs="Times New Roman"/>
          <w:sz w:val="21"/>
          <w:szCs w:val="21"/>
        </w:rPr>
        <w:t>GB50856-2013</w:t>
      </w:r>
      <w:r>
        <w:rPr>
          <w:rFonts w:hint="eastAsia" w:ascii="宋体" w:hAnsi="宋体" w:eastAsia="宋体" w:cs="Times New Roman"/>
          <w:sz w:val="21"/>
          <w:szCs w:val="21"/>
        </w:rPr>
        <w:t>）、（</w:t>
      </w:r>
      <w:r>
        <w:rPr>
          <w:rFonts w:hint="eastAsia" w:ascii="Times New Roman" w:hAnsi="Times New Roman" w:eastAsia="宋体" w:cs="Times New Roman"/>
          <w:sz w:val="21"/>
          <w:szCs w:val="21"/>
        </w:rPr>
        <w:t>GB50858-2013</w:t>
      </w:r>
      <w:r>
        <w:rPr>
          <w:rFonts w:hint="eastAsia" w:ascii="宋体" w:hAnsi="宋体" w:eastAsia="宋体" w:cs="Times New Roman"/>
          <w:sz w:val="21"/>
          <w:szCs w:val="21"/>
        </w:rPr>
        <w:t>）、《重庆市建设工程工程量清单计价规则》（</w:t>
      </w:r>
      <w:r>
        <w:rPr>
          <w:rFonts w:hint="eastAsia" w:ascii="Times New Roman" w:hAnsi="Times New Roman" w:eastAsia="宋体" w:cs="Times New Roman"/>
          <w:sz w:val="21"/>
          <w:szCs w:val="21"/>
        </w:rPr>
        <w:t>CQQDGZ-2013</w:t>
      </w:r>
      <w:r>
        <w:rPr>
          <w:rFonts w:hint="eastAsia" w:ascii="宋体" w:hAnsi="宋体" w:eastAsia="宋体" w:cs="Times New Roman"/>
          <w:sz w:val="21"/>
          <w:szCs w:val="21"/>
        </w:rPr>
        <w:t>）、《重庆市建设工程工程量计算规则》（</w:t>
      </w:r>
      <w:r>
        <w:rPr>
          <w:rFonts w:hint="eastAsia" w:ascii="Times New Roman" w:hAnsi="Times New Roman" w:eastAsia="宋体" w:cs="Times New Roman"/>
          <w:sz w:val="21"/>
          <w:szCs w:val="21"/>
        </w:rPr>
        <w:t>CQJLGZ-2013</w:t>
      </w:r>
      <w:r>
        <w:rPr>
          <w:rFonts w:hint="eastAsia" w:ascii="宋体" w:hAnsi="宋体" w:eastAsia="宋体" w:cs="Times New Roman"/>
          <w:sz w:val="21"/>
          <w:szCs w:val="21"/>
        </w:rPr>
        <w:t>）、（</w:t>
      </w:r>
      <w:r>
        <w:rPr>
          <w:rFonts w:hint="eastAsia" w:ascii="Times New Roman" w:hAnsi="Times New Roman" w:eastAsia="宋体" w:cs="Times New Roman"/>
          <w:sz w:val="21"/>
          <w:szCs w:val="21"/>
        </w:rPr>
        <w:t>CQFYDE-2018</w:t>
      </w:r>
      <w:r>
        <w:rPr>
          <w:rFonts w:hint="eastAsia" w:ascii="宋体" w:hAnsi="宋体" w:eastAsia="宋体" w:cs="Times New Roman"/>
          <w:sz w:val="21"/>
          <w:szCs w:val="21"/>
        </w:rPr>
        <w:t>）《重庆市建设工程费用定额》、（</w:t>
      </w:r>
      <w:r>
        <w:rPr>
          <w:rFonts w:hint="eastAsia" w:ascii="Times New Roman" w:hAnsi="Times New Roman" w:eastAsia="宋体" w:cs="Times New Roman"/>
          <w:sz w:val="21"/>
          <w:szCs w:val="21"/>
        </w:rPr>
        <w:t>CQJZZSDE-2018</w:t>
      </w:r>
      <w:r>
        <w:rPr>
          <w:rFonts w:hint="eastAsia" w:ascii="宋体" w:hAnsi="宋体" w:eastAsia="宋体" w:cs="Times New Roman"/>
          <w:sz w:val="21"/>
          <w:szCs w:val="21"/>
        </w:rPr>
        <w:t>）《重庆市建筑与装饰工程计价定额》、（</w:t>
      </w:r>
      <w:r>
        <w:rPr>
          <w:rFonts w:hint="eastAsia" w:ascii="Times New Roman" w:hAnsi="Times New Roman" w:eastAsia="宋体" w:cs="Times New Roman"/>
          <w:sz w:val="21"/>
          <w:szCs w:val="21"/>
        </w:rPr>
        <w:t>CQSZDE-2018</w:t>
      </w:r>
      <w:r>
        <w:rPr>
          <w:rFonts w:hint="eastAsia" w:ascii="宋体" w:hAnsi="宋体" w:eastAsia="宋体" w:cs="Times New Roman"/>
          <w:sz w:val="21"/>
          <w:szCs w:val="21"/>
        </w:rPr>
        <w:t>）《重庆市市政工程计价定额》、（</w:t>
      </w:r>
      <w:r>
        <w:rPr>
          <w:rFonts w:hint="eastAsia" w:ascii="Times New Roman" w:hAnsi="Times New Roman" w:eastAsia="宋体" w:cs="Times New Roman"/>
          <w:sz w:val="21"/>
          <w:szCs w:val="21"/>
        </w:rPr>
        <w:t>CQAZDE-2018</w:t>
      </w:r>
      <w:r>
        <w:rPr>
          <w:rFonts w:hint="eastAsia" w:ascii="宋体" w:hAnsi="宋体" w:eastAsia="宋体" w:cs="Times New Roman"/>
          <w:sz w:val="21"/>
          <w:szCs w:val="21"/>
        </w:rPr>
        <w:t>）《重庆市通用安装工程计价定额》、（</w:t>
      </w:r>
      <w:r>
        <w:rPr>
          <w:rFonts w:hint="eastAsia" w:ascii="Times New Roman" w:hAnsi="Times New Roman" w:eastAsia="宋体" w:cs="Times New Roman"/>
          <w:sz w:val="21"/>
          <w:szCs w:val="21"/>
        </w:rPr>
        <w:t>CQPHBB-2018</w:t>
      </w:r>
      <w:r>
        <w:rPr>
          <w:rFonts w:hint="eastAsia" w:ascii="宋体" w:hAnsi="宋体" w:eastAsia="宋体" w:cs="Times New Roman"/>
          <w:sz w:val="21"/>
          <w:szCs w:val="21"/>
        </w:rPr>
        <w:t>）《重庆市建筑工程混凝土及砂浆配合比表定额》、（</w:t>
      </w:r>
      <w:r>
        <w:rPr>
          <w:rFonts w:hint="eastAsia" w:ascii="Times New Roman" w:hAnsi="Times New Roman" w:eastAsia="宋体" w:cs="Times New Roman"/>
          <w:sz w:val="21"/>
          <w:szCs w:val="21"/>
        </w:rPr>
        <w:t>CQYQYBDE-2018</w:t>
      </w:r>
      <w:r>
        <w:rPr>
          <w:rFonts w:hint="eastAsia" w:ascii="宋体" w:hAnsi="宋体" w:eastAsia="宋体" w:cs="Times New Roman"/>
          <w:sz w:val="21"/>
          <w:szCs w:val="21"/>
        </w:rPr>
        <w:t>）《重庆市建筑工程施工仪器仪表台班定额》等相关定额、渝建（</w:t>
      </w:r>
      <w:r>
        <w:rPr>
          <w:rFonts w:hint="eastAsia" w:ascii="Times New Roman" w:hAnsi="Times New Roman" w:eastAsia="宋体" w:cs="Times New Roman"/>
          <w:sz w:val="21"/>
          <w:szCs w:val="21"/>
        </w:rPr>
        <w:t>2019</w:t>
      </w:r>
      <w:r>
        <w:rPr>
          <w:rFonts w:hint="eastAsia" w:ascii="宋体" w:hAnsi="宋体" w:eastAsia="宋体" w:cs="Times New Roman"/>
          <w:sz w:val="21"/>
          <w:szCs w:val="21"/>
        </w:rPr>
        <w:t>）</w:t>
      </w:r>
      <w:r>
        <w:rPr>
          <w:rFonts w:hint="eastAsia" w:ascii="Times New Roman" w:hAnsi="Times New Roman" w:eastAsia="宋体" w:cs="Times New Roman"/>
          <w:sz w:val="21"/>
          <w:szCs w:val="21"/>
        </w:rPr>
        <w:t>143</w:t>
      </w:r>
      <w:r>
        <w:rPr>
          <w:rFonts w:hint="eastAsia" w:ascii="宋体" w:hAnsi="宋体" w:eastAsia="宋体" w:cs="Times New Roman"/>
          <w:sz w:val="21"/>
          <w:szCs w:val="21"/>
        </w:rPr>
        <w:t>号等相关规范、文件规定的计算规则计量。</w:t>
      </w:r>
    </w:p>
    <w:p w14:paraId="0E86E4D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12.3.2 计量周期</w:t>
      </w:r>
    </w:p>
    <w:p w14:paraId="027A873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关于计量周期的约定：</w:t>
      </w:r>
      <w:r>
        <w:rPr>
          <w:rFonts w:hint="eastAsia" w:ascii="宋体" w:hAnsi="宋体" w:eastAsia="宋体" w:cs="Times New Roman"/>
          <w:sz w:val="21"/>
          <w:szCs w:val="21"/>
          <w:u w:val="single"/>
        </w:rPr>
        <w:t>按月计量根据具体项目实际情况可以按月、按进度、按节点等形式计量，按进度、按节点计量的参考按月计量原则执行</w:t>
      </w:r>
      <w:r>
        <w:rPr>
          <w:rFonts w:hint="eastAsia" w:ascii="宋体" w:hAnsi="宋体" w:eastAsia="宋体" w:cs="Times New Roman"/>
          <w:sz w:val="21"/>
          <w:szCs w:val="21"/>
        </w:rPr>
        <w:t>。</w:t>
      </w:r>
    </w:p>
    <w:p w14:paraId="26C4A86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12.3.3 单价合同的计量</w:t>
      </w:r>
    </w:p>
    <w:p w14:paraId="07B2B0F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关于单价合同计量的约定：</w:t>
      </w:r>
      <w:bookmarkStart w:id="1549" w:name="_Hlk528926162"/>
      <w:bookmarkEnd w:id="1549"/>
      <w:r>
        <w:rPr>
          <w:rFonts w:hint="eastAsia" w:ascii="宋体" w:hAnsi="宋体" w:eastAsia="宋体" w:cs="Times New Roman"/>
          <w:sz w:val="21"/>
          <w:szCs w:val="21"/>
          <w:u w:val="single"/>
        </w:rPr>
        <w:t>（1）承包人应于当月 10 日前向监理人报送上月已完成的工程量，并附进度付款申请单、已完成工程量报表和其他有关资料</w:t>
      </w:r>
      <w:r>
        <w:rPr>
          <w:rFonts w:hint="eastAsia" w:ascii="宋体" w:hAnsi="宋体" w:eastAsia="宋体" w:cs="Times New Roman"/>
          <w:sz w:val="21"/>
          <w:szCs w:val="21"/>
        </w:rPr>
        <w:t>。</w:t>
      </w:r>
    </w:p>
    <w:p w14:paraId="6800DD7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eastAsia="宋体" w:cs="Times New Roman"/>
          <w:sz w:val="21"/>
          <w:szCs w:val="21"/>
        </w:rPr>
        <w:t>。</w:t>
      </w:r>
    </w:p>
    <w:p w14:paraId="776F498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监理人应在收到承包人提交的工程量报表后7天内完成对承包人提交的工程量报表的审核并报送发包人；发包人收到监理人报送资料后7天内完成审批，以确定当月实际完成的工程量。监理人、发包人任一方对工程量有异议的，均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rPr>
          <w:rFonts w:hint="eastAsia" w:ascii="宋体" w:hAnsi="宋体" w:eastAsia="宋体" w:cs="Times New Roman"/>
          <w:sz w:val="21"/>
          <w:szCs w:val="21"/>
        </w:rPr>
        <w:t>。</w:t>
      </w:r>
    </w:p>
    <w:p w14:paraId="6B63F2BA">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eastAsia="宋体" w:cs="Times New Roman"/>
          <w:sz w:val="21"/>
          <w:szCs w:val="21"/>
        </w:rPr>
        <w:t>。</w:t>
      </w:r>
    </w:p>
    <w:p w14:paraId="52B5497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12.3.4 总价合同的计量</w:t>
      </w:r>
    </w:p>
    <w:p w14:paraId="6A30343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关于总价合同计量的约定：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DDB3C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12.3.5总价合同采用支付分解表计量支付的，是否适用第12.3.4 项〔总价合同的计量〕约定进行计量：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6A9E2B4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12.3.6 其他价格形式合同的计量</w:t>
      </w:r>
    </w:p>
    <w:p w14:paraId="54B1505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其他价格形式的计量方式和程序：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811FB01">
      <w:pPr>
        <w:widowControl/>
        <w:spacing w:line="360" w:lineRule="auto"/>
        <w:jc w:val="left"/>
        <w:outlineLvl w:val="4"/>
        <w:rPr>
          <w:rFonts w:ascii="宋体" w:hAnsi="宋体" w:eastAsia="宋体" w:cs="宋体"/>
          <w:b/>
          <w:bCs/>
          <w:kern w:val="0"/>
          <w:sz w:val="21"/>
          <w:szCs w:val="21"/>
        </w:rPr>
      </w:pPr>
      <w:bookmarkStart w:id="1550" w:name="_Hlk528928289"/>
      <w:bookmarkEnd w:id="1550"/>
      <w:bookmarkStart w:id="1551" w:name="_Toc532375650"/>
      <w:bookmarkEnd w:id="1551"/>
      <w:bookmarkStart w:id="1552" w:name="_Toc532377386"/>
      <w:r>
        <w:rPr>
          <w:rFonts w:hint="eastAsia" w:ascii="宋体" w:hAnsi="宋体" w:eastAsia="宋体" w:cs="宋体"/>
          <w:b/>
          <w:bCs/>
          <w:kern w:val="0"/>
          <w:sz w:val="21"/>
          <w:szCs w:val="21"/>
        </w:rPr>
        <w:t>12.4 工程进度款支付</w:t>
      </w:r>
      <w:bookmarkEnd w:id="1552"/>
    </w:p>
    <w:p w14:paraId="370D020C">
      <w:pPr>
        <w:spacing w:line="360" w:lineRule="auto"/>
        <w:jc w:val="left"/>
        <w:rPr>
          <w:rFonts w:ascii="宋体" w:hAnsi="宋体" w:eastAsia="宋体" w:cs="Times New Roman"/>
          <w:sz w:val="21"/>
          <w:szCs w:val="21"/>
        </w:rPr>
      </w:pPr>
      <w:bookmarkStart w:id="1553" w:name="_Toc292559929"/>
      <w:bookmarkEnd w:id="1553"/>
      <w:bookmarkStart w:id="1554" w:name="_Toc532375651"/>
      <w:bookmarkEnd w:id="1554"/>
      <w:bookmarkStart w:id="1555" w:name="_Toc304295593"/>
      <w:bookmarkEnd w:id="1555"/>
      <w:bookmarkStart w:id="1556" w:name="_Toc303539172"/>
      <w:bookmarkEnd w:id="1556"/>
      <w:bookmarkStart w:id="1557" w:name="_Toc296347218"/>
      <w:bookmarkEnd w:id="1557"/>
      <w:bookmarkStart w:id="1558" w:name="_Toc296891047"/>
      <w:bookmarkEnd w:id="1558"/>
      <w:bookmarkStart w:id="1559" w:name="_Toc296944558"/>
      <w:bookmarkEnd w:id="1559"/>
      <w:bookmarkStart w:id="1560" w:name="_Toc297216223"/>
      <w:bookmarkEnd w:id="1560"/>
      <w:bookmarkStart w:id="1561" w:name="_Toc296346720"/>
      <w:bookmarkEnd w:id="1561"/>
      <w:bookmarkStart w:id="1562" w:name="_Toc296891259"/>
      <w:bookmarkEnd w:id="1562"/>
      <w:bookmarkStart w:id="1563" w:name="_Toc292559424"/>
      <w:bookmarkEnd w:id="1563"/>
      <w:bookmarkStart w:id="1564" w:name="_Toc297120519"/>
      <w:bookmarkEnd w:id="1564"/>
      <w:bookmarkStart w:id="1565" w:name="_Toc312678053"/>
      <w:bookmarkEnd w:id="1565"/>
      <w:bookmarkStart w:id="1566" w:name="_Toc351203645"/>
      <w:bookmarkEnd w:id="1566"/>
      <w:bookmarkStart w:id="1567" w:name="_Toc296503219"/>
      <w:bookmarkEnd w:id="1567"/>
      <w:bookmarkStart w:id="1568" w:name="_Toc532377388"/>
      <w:bookmarkEnd w:id="1568"/>
      <w:bookmarkStart w:id="1569" w:name="_Toc297123564"/>
      <w:bookmarkEnd w:id="1569"/>
      <w:bookmarkStart w:id="1570" w:name="_Toc297048405"/>
      <w:bookmarkEnd w:id="1570"/>
      <w:bookmarkStart w:id="1571" w:name="_Toc300935015"/>
      <w:r>
        <w:rPr>
          <w:rFonts w:hint="eastAsia" w:ascii="宋体" w:hAnsi="宋体" w:eastAsia="宋体" w:cs="Times New Roman"/>
          <w:sz w:val="21"/>
          <w:szCs w:val="21"/>
        </w:rPr>
        <w:t>12.4.1 付款周期</w:t>
      </w:r>
      <w:bookmarkEnd w:id="1571"/>
    </w:p>
    <w:p w14:paraId="455DA9E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关于付款周期的约定：</w:t>
      </w:r>
      <w:r>
        <w:rPr>
          <w:rFonts w:hint="eastAsia" w:ascii="宋体" w:hAnsi="宋体" w:eastAsia="宋体" w:cs="Times New Roman"/>
          <w:sz w:val="21"/>
          <w:szCs w:val="21"/>
          <w:u w:val="single"/>
        </w:rPr>
        <w:t xml:space="preserve">  按月计量支付进度款（按进度、按节点计量支付进度款的参考按月计量支付进度款原则执行）   </w:t>
      </w:r>
      <w:r>
        <w:rPr>
          <w:rFonts w:hint="eastAsia" w:ascii="宋体" w:hAnsi="宋体" w:eastAsia="宋体" w:cs="Times New Roman"/>
          <w:sz w:val="21"/>
          <w:szCs w:val="21"/>
        </w:rPr>
        <w:t>。</w:t>
      </w:r>
    </w:p>
    <w:p w14:paraId="1326C88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12.4.2 进度付款申请单的编制</w:t>
      </w:r>
    </w:p>
    <w:p w14:paraId="3130A04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关于进度付款申请单编制的约定：</w:t>
      </w:r>
      <w:r>
        <w:rPr>
          <w:rFonts w:hint="eastAsia" w:ascii="宋体" w:hAnsi="宋体" w:eastAsia="宋体" w:cs="Times New Roman"/>
          <w:sz w:val="21"/>
          <w:szCs w:val="21"/>
          <w:u w:val="single"/>
        </w:rPr>
        <w:t xml:space="preserve">     /   </w:t>
      </w:r>
    </w:p>
    <w:p w14:paraId="76FBFDF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12.4.3 进度付款申请单的提交</w:t>
      </w:r>
    </w:p>
    <w:p w14:paraId="6B7E94D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（1）单价合同进度付款申请单提交的约定：</w:t>
      </w:r>
      <w:r>
        <w:rPr>
          <w:rFonts w:hint="eastAsia" w:ascii="宋体" w:hAnsi="宋体" w:eastAsia="宋体" w:cs="Times New Roman"/>
          <w:sz w:val="21"/>
          <w:szCs w:val="21"/>
          <w:u w:val="single"/>
        </w:rPr>
        <w:t xml:space="preserve">  /   </w:t>
      </w:r>
    </w:p>
    <w:p w14:paraId="0F8E4AB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（2）总价合同进度付款申请单提交的约定：</w:t>
      </w:r>
      <w:r>
        <w:rPr>
          <w:rFonts w:hint="eastAsia" w:ascii="宋体" w:hAnsi="宋体" w:eastAsia="宋体" w:cs="Times New Roman"/>
          <w:sz w:val="21"/>
          <w:szCs w:val="21"/>
          <w:u w:val="single"/>
        </w:rPr>
        <w:t xml:space="preserve">   /  </w:t>
      </w:r>
    </w:p>
    <w:p w14:paraId="2B9B98FA">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（3）其他价格形式合同进度付款申请单提交的约定：</w:t>
      </w:r>
      <w:r>
        <w:rPr>
          <w:rFonts w:hint="eastAsia" w:ascii="宋体" w:hAnsi="宋体" w:eastAsia="宋体" w:cs="Times New Roman"/>
          <w:sz w:val="21"/>
          <w:szCs w:val="21"/>
          <w:u w:val="single"/>
        </w:rPr>
        <w:t xml:space="preserve">   不采用  </w:t>
      </w:r>
      <w:r>
        <w:rPr>
          <w:rFonts w:hint="eastAsia" w:ascii="宋体" w:hAnsi="宋体" w:eastAsia="宋体" w:cs="Times New Roman"/>
          <w:sz w:val="21"/>
          <w:szCs w:val="21"/>
        </w:rPr>
        <w:t>。</w:t>
      </w:r>
    </w:p>
    <w:p w14:paraId="6A3602F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12.4.4 进度款审核和支付</w:t>
      </w:r>
    </w:p>
    <w:p w14:paraId="086CC90C">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（1）监理人审查并报送发包人的期限：</w:t>
      </w:r>
      <w:r>
        <w:rPr>
          <w:rFonts w:hint="eastAsia" w:ascii="宋体" w:hAnsi="宋体" w:eastAsia="宋体" w:cs="Times New Roman"/>
          <w:sz w:val="21"/>
          <w:szCs w:val="21"/>
          <w:u w:val="single"/>
        </w:rPr>
        <w:t>收到完整资料后7天内。</w:t>
      </w:r>
    </w:p>
    <w:p w14:paraId="4E5EA76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发包人完成审批并签发进度款支付证书的期限：</w:t>
      </w:r>
      <w:r>
        <w:rPr>
          <w:rFonts w:hint="eastAsia" w:ascii="宋体" w:hAnsi="宋体" w:eastAsia="宋体" w:cs="Times New Roman"/>
          <w:sz w:val="21"/>
          <w:szCs w:val="21"/>
          <w:u w:val="single"/>
        </w:rPr>
        <w:t>发包人收到监理人报送资料后7天内完成审批并签发进度款支付证书。</w:t>
      </w:r>
    </w:p>
    <w:p w14:paraId="6299143F">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监理人和发包人中任一方对承包人的进度付款申请单有异议的，均有权要求承包人修正和提供补充资料，承包人应提交修正后的进度付款申请单。监理人应在收到承包人修正后的进度付款申请单及相关资料后7天内（遇法定节假日顺延）完成审查并报送发包人，发包人收到监理人报送资料后7天内（遇法定节假日顺延）完成审批并向承包人签发无异议部分的临时进度款支付证书。存在争议的部分，按照合同约定的争议解决的约定处理。</w:t>
      </w:r>
    </w:p>
    <w:p w14:paraId="16F29B63">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发包人签发进度款支付证书或临时进度款支付证书，不表明发包人已同意、批准或接受了承包人完成的相应部分的工作。</w:t>
      </w:r>
    </w:p>
    <w:p w14:paraId="5359F9FD">
      <w:pPr>
        <w:spacing w:line="360" w:lineRule="auto"/>
        <w:rPr>
          <w:rFonts w:ascii="宋体" w:hAnsi="宋体" w:eastAsia="宋体" w:cs="Times New Roman"/>
          <w:sz w:val="21"/>
          <w:szCs w:val="21"/>
        </w:rPr>
      </w:pPr>
      <w:r>
        <w:rPr>
          <w:rFonts w:hint="eastAsia" w:ascii="宋体" w:hAnsi="宋体" w:eastAsia="宋体" w:cs="Times New Roman"/>
          <w:sz w:val="21"/>
          <w:szCs w:val="21"/>
        </w:rPr>
        <w:t>(2)进度款支付:</w:t>
      </w:r>
    </w:p>
    <w:p w14:paraId="443B220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①发包人将上月农民工工资支付凭证作为当月进度款支付的前置条件。</w:t>
      </w:r>
    </w:p>
    <w:p w14:paraId="78AD8D0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②安全生产费：合同签订后，发包人在开工前按签约合同价中安全生产费的50%支付承包人，用于现场安全文明施工建设，余下安全生产费按施工进度支付。</w:t>
      </w:r>
    </w:p>
    <w:p w14:paraId="20B283B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③分部分项工程费：按承包人当期完成并经监理人和发包人审定的工程量乘以相应综合单价计算当期完成的分部分项工程费及相应的规费和税金。发包人按经监理人和发包人审定的当期完成的分部分项工程费及相应的规费和税金（不含人工费价差和材料费价差）的80%支付承包人。</w:t>
      </w:r>
    </w:p>
    <w:p w14:paraId="3760856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④其他项目费：按承包人当期完成并经监理人和发包人审定的工程量乘以相应综合单价计算当期完成的其他项目费及相应的规费和税金。发包人按经监理人和发包人审定的当期完成的其他项目费及相应的规费和税金的80%支付承包人。</w:t>
      </w:r>
    </w:p>
    <w:p w14:paraId="79668A7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⑤人工费（工资款）：发包人在签发人工费（工资款）支付证书的次月25日前，按经监理人和发包人审定的当月完成的合同价款的30%支付至承包人农民工工资专户。</w:t>
      </w:r>
    </w:p>
    <w:p w14:paraId="65A8964A">
      <w:pPr>
        <w:spacing w:line="360" w:lineRule="auto"/>
        <w:rPr>
          <w:rFonts w:ascii="宋体" w:hAnsi="宋体" w:eastAsia="宋体" w:cs="Times New Roman"/>
          <w:sz w:val="21"/>
          <w:szCs w:val="21"/>
        </w:rPr>
      </w:pPr>
      <w:r>
        <w:rPr>
          <w:rFonts w:hint="eastAsia" w:ascii="宋体" w:hAnsi="宋体" w:eastAsia="宋体" w:cs="Times New Roman"/>
          <w:sz w:val="21"/>
          <w:szCs w:val="21"/>
        </w:rPr>
        <w:t>⑥工程竣工验收合格且完成发包人（业主单位）聘请的跟审或内审结算审核后支付至审核金额的85%，完成区审计局审计或区财政局审核后支付至审定金额的97%（超出合同部分的新增工程量需根据大足发改〔2025〕9号履行相关程序审批后再支付），剩余3%留作质量保证金，缺陷责任期满后发包人向承包人无息支付剩余工程款。</w:t>
      </w:r>
    </w:p>
    <w:p w14:paraId="2328A891">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13. 验收和工程试车</w:t>
      </w:r>
    </w:p>
    <w:p w14:paraId="475939CF">
      <w:pPr>
        <w:widowControl/>
        <w:spacing w:line="360" w:lineRule="auto"/>
        <w:jc w:val="left"/>
        <w:outlineLvl w:val="4"/>
        <w:rPr>
          <w:rFonts w:ascii="宋体" w:hAnsi="宋体" w:eastAsia="宋体" w:cs="宋体"/>
          <w:b/>
          <w:bCs/>
          <w:kern w:val="0"/>
          <w:sz w:val="21"/>
          <w:szCs w:val="21"/>
        </w:rPr>
      </w:pPr>
      <w:bookmarkStart w:id="1572" w:name="_Toc532377389"/>
      <w:bookmarkEnd w:id="1572"/>
      <w:bookmarkStart w:id="1573" w:name="_Toc267251470"/>
      <w:bookmarkEnd w:id="1573"/>
      <w:bookmarkStart w:id="1574" w:name="_Toc280868708"/>
      <w:bookmarkEnd w:id="1574"/>
      <w:bookmarkStart w:id="1575" w:name="_Toc267251473"/>
      <w:bookmarkEnd w:id="1575"/>
      <w:bookmarkStart w:id="1576" w:name="_Toc532375652"/>
      <w:bookmarkEnd w:id="1576"/>
      <w:bookmarkStart w:id="1577" w:name="_Toc280868707"/>
      <w:bookmarkEnd w:id="1577"/>
      <w:bookmarkStart w:id="1578" w:name="_Toc267251472"/>
      <w:bookmarkEnd w:id="1578"/>
      <w:bookmarkStart w:id="1579" w:name="_Toc267251471"/>
      <w:bookmarkEnd w:id="1579"/>
      <w:bookmarkStart w:id="1580" w:name="_Toc532377393"/>
      <w:bookmarkEnd w:id="1580"/>
      <w:bookmarkStart w:id="1581" w:name="_Toc267251475"/>
      <w:bookmarkEnd w:id="1581"/>
      <w:bookmarkStart w:id="1582" w:name="_Toc267251474"/>
      <w:bookmarkEnd w:id="1582"/>
      <w:bookmarkStart w:id="1583" w:name="_Toc351203646"/>
      <w:bookmarkEnd w:id="1583"/>
      <w:bookmarkStart w:id="1584" w:name="_Toc280868704"/>
      <w:bookmarkEnd w:id="1584"/>
      <w:bookmarkStart w:id="1585" w:name="_Toc280868705"/>
      <w:bookmarkEnd w:id="1585"/>
      <w:bookmarkStart w:id="1586" w:name="_Toc267251476"/>
      <w:bookmarkEnd w:id="1586"/>
      <w:bookmarkStart w:id="1587" w:name="_Toc532375656"/>
      <w:bookmarkEnd w:id="1587"/>
      <w:bookmarkStart w:id="1588" w:name="_Toc280868706"/>
      <w:bookmarkEnd w:id="1588"/>
      <w:bookmarkStart w:id="1589" w:name="_Toc280868709"/>
      <w:r>
        <w:rPr>
          <w:rFonts w:hint="eastAsia" w:ascii="宋体" w:hAnsi="宋体" w:eastAsia="宋体" w:cs="宋体"/>
          <w:b/>
          <w:bCs/>
          <w:kern w:val="0"/>
          <w:sz w:val="21"/>
          <w:szCs w:val="21"/>
        </w:rPr>
        <w:t>13.1 分部分项工程验收</w:t>
      </w:r>
      <w:bookmarkEnd w:id="1589"/>
    </w:p>
    <w:p w14:paraId="7795CF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13.1.2 监理人不能按时进行验收时，应提前</w:t>
      </w:r>
      <w:r>
        <w:rPr>
          <w:rFonts w:hint="eastAsia" w:ascii="宋体" w:hAnsi="宋体" w:eastAsia="宋体" w:cs="Times New Roman"/>
          <w:sz w:val="21"/>
          <w:szCs w:val="21"/>
          <w:u w:val="single"/>
        </w:rPr>
        <w:t xml:space="preserve">  48   </w:t>
      </w:r>
      <w:r>
        <w:rPr>
          <w:rFonts w:hint="eastAsia" w:ascii="宋体" w:hAnsi="宋体" w:eastAsia="宋体" w:cs="Times New Roman"/>
          <w:sz w:val="21"/>
          <w:szCs w:val="21"/>
        </w:rPr>
        <w:t>小时提交书面延期要求。</w:t>
      </w:r>
    </w:p>
    <w:p w14:paraId="636F1AB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关于延期最长不得超过：</w:t>
      </w:r>
      <w:r>
        <w:rPr>
          <w:rFonts w:hint="eastAsia" w:ascii="宋体" w:hAnsi="宋体" w:eastAsia="宋体" w:cs="Times New Roman"/>
          <w:sz w:val="21"/>
          <w:szCs w:val="21"/>
          <w:u w:val="single"/>
        </w:rPr>
        <w:t xml:space="preserve">  72  </w:t>
      </w:r>
      <w:r>
        <w:rPr>
          <w:rFonts w:hint="eastAsia" w:ascii="宋体" w:hAnsi="宋体" w:eastAsia="宋体" w:cs="Times New Roman"/>
          <w:sz w:val="21"/>
          <w:szCs w:val="21"/>
        </w:rPr>
        <w:t>小时。</w:t>
      </w:r>
    </w:p>
    <w:p w14:paraId="5BE82D6E">
      <w:pPr>
        <w:widowControl/>
        <w:spacing w:line="360" w:lineRule="auto"/>
        <w:jc w:val="left"/>
        <w:outlineLvl w:val="4"/>
        <w:rPr>
          <w:rFonts w:ascii="宋体" w:hAnsi="宋体" w:eastAsia="宋体" w:cs="宋体"/>
          <w:b/>
          <w:bCs/>
          <w:kern w:val="0"/>
          <w:sz w:val="21"/>
          <w:szCs w:val="21"/>
        </w:rPr>
      </w:pPr>
      <w:bookmarkStart w:id="1590" w:name="_Toc296346724"/>
      <w:bookmarkEnd w:id="1590"/>
      <w:bookmarkStart w:id="1591" w:name="_Toc304295596"/>
      <w:bookmarkEnd w:id="1591"/>
      <w:bookmarkStart w:id="1592" w:name="_Toc296347222"/>
      <w:bookmarkEnd w:id="1592"/>
      <w:bookmarkStart w:id="1593" w:name="_Toc532377390"/>
      <w:bookmarkEnd w:id="1593"/>
      <w:bookmarkStart w:id="1594" w:name="_Toc297048409"/>
      <w:bookmarkEnd w:id="1594"/>
      <w:bookmarkStart w:id="1595" w:name="_Toc292559933"/>
      <w:bookmarkEnd w:id="1595"/>
      <w:bookmarkStart w:id="1596" w:name="_Toc312678056"/>
      <w:bookmarkEnd w:id="1596"/>
      <w:bookmarkStart w:id="1597" w:name="_Toc297216224"/>
      <w:bookmarkEnd w:id="1597"/>
      <w:bookmarkStart w:id="1598" w:name="_Toc532375653"/>
      <w:bookmarkEnd w:id="1598"/>
      <w:bookmarkStart w:id="1599" w:name="_Toc297123565"/>
      <w:bookmarkEnd w:id="1599"/>
      <w:bookmarkStart w:id="1600" w:name="_Toc300935016"/>
      <w:bookmarkEnd w:id="1600"/>
      <w:bookmarkStart w:id="1601" w:name="_Toc303539173"/>
      <w:bookmarkEnd w:id="1601"/>
      <w:bookmarkStart w:id="1602" w:name="_Toc296944562"/>
      <w:bookmarkEnd w:id="1602"/>
      <w:bookmarkStart w:id="1603" w:name="_Toc296891051"/>
      <w:bookmarkEnd w:id="1603"/>
      <w:bookmarkStart w:id="1604" w:name="_Toc296891263"/>
      <w:bookmarkEnd w:id="1604"/>
      <w:bookmarkStart w:id="1605" w:name="_Toc292559428"/>
      <w:bookmarkEnd w:id="1605"/>
      <w:bookmarkStart w:id="1606" w:name="_Toc296503223"/>
      <w:bookmarkEnd w:id="1606"/>
      <w:bookmarkStart w:id="1607" w:name="_Toc297120523"/>
      <w:r>
        <w:rPr>
          <w:rFonts w:hint="eastAsia" w:ascii="宋体" w:hAnsi="宋体" w:eastAsia="宋体" w:cs="宋体"/>
          <w:b/>
          <w:bCs/>
          <w:kern w:val="0"/>
          <w:sz w:val="21"/>
          <w:szCs w:val="21"/>
        </w:rPr>
        <w:t>13.2 竣工验收</w:t>
      </w:r>
      <w:bookmarkEnd w:id="1607"/>
    </w:p>
    <w:p w14:paraId="240C740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13.2.1竣工验收程序</w:t>
      </w:r>
    </w:p>
    <w:p w14:paraId="5C46283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关于竣工验收程序的约定：</w:t>
      </w:r>
      <w:r>
        <w:rPr>
          <w:rFonts w:hint="eastAsia" w:ascii="宋体" w:hAnsi="宋体" w:eastAsia="宋体" w:cs="Times New Roman"/>
          <w:sz w:val="21"/>
          <w:szCs w:val="21"/>
          <w:u w:val="single"/>
        </w:rPr>
        <w:t xml:space="preserve">  按相关规定执行   </w:t>
      </w:r>
      <w:r>
        <w:rPr>
          <w:rFonts w:hint="eastAsia" w:ascii="宋体" w:hAnsi="宋体" w:eastAsia="宋体" w:cs="Times New Roman"/>
          <w:sz w:val="21"/>
          <w:szCs w:val="21"/>
        </w:rPr>
        <w:t>。</w:t>
      </w:r>
    </w:p>
    <w:p w14:paraId="33488C4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13.2.2 移交、接收全部与部分工程</w:t>
      </w:r>
    </w:p>
    <w:p w14:paraId="037C8E5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承包人向发包人移交工程的期限：</w:t>
      </w:r>
      <w:r>
        <w:rPr>
          <w:rFonts w:hint="eastAsia" w:ascii="宋体" w:hAnsi="宋体" w:eastAsia="宋体" w:cs="Times New Roman"/>
          <w:sz w:val="21"/>
          <w:szCs w:val="21"/>
          <w:u w:val="single"/>
        </w:rPr>
        <w:t xml:space="preserve">     竣工验收后       </w:t>
      </w:r>
      <w:r>
        <w:rPr>
          <w:rFonts w:hint="eastAsia" w:ascii="宋体" w:hAnsi="宋体" w:eastAsia="宋体" w:cs="Times New Roman"/>
          <w:sz w:val="21"/>
          <w:szCs w:val="21"/>
        </w:rPr>
        <w:t>。</w:t>
      </w:r>
    </w:p>
    <w:p w14:paraId="5A7DAA03">
      <w:pPr>
        <w:widowControl/>
        <w:spacing w:line="360" w:lineRule="auto"/>
        <w:jc w:val="left"/>
        <w:outlineLvl w:val="4"/>
        <w:rPr>
          <w:rFonts w:ascii="宋体" w:hAnsi="宋体" w:eastAsia="宋体" w:cs="宋体"/>
          <w:b/>
          <w:bCs/>
          <w:kern w:val="0"/>
          <w:sz w:val="21"/>
          <w:szCs w:val="21"/>
        </w:rPr>
      </w:pPr>
      <w:bookmarkStart w:id="1608" w:name="_Toc532375654"/>
      <w:bookmarkEnd w:id="1608"/>
      <w:bookmarkStart w:id="1609" w:name="_Toc532377391"/>
      <w:r>
        <w:rPr>
          <w:rFonts w:hint="eastAsia" w:ascii="宋体" w:hAnsi="宋体" w:eastAsia="宋体" w:cs="宋体"/>
          <w:b/>
          <w:bCs/>
          <w:kern w:val="0"/>
          <w:sz w:val="21"/>
          <w:szCs w:val="21"/>
        </w:rPr>
        <w:t>13.3 工程试车</w:t>
      </w:r>
      <w:bookmarkEnd w:id="1609"/>
    </w:p>
    <w:p w14:paraId="5C9B67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13.3.1 试车程序</w:t>
      </w:r>
    </w:p>
    <w:p w14:paraId="6D73753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工程试车内容：</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597206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（1）单机无负荷试车费用由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承担；</w:t>
      </w:r>
    </w:p>
    <w:p w14:paraId="47084F6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（2）无负荷联动试车费用由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承担。</w:t>
      </w:r>
    </w:p>
    <w:p w14:paraId="0217135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13.3.3 投料试车</w:t>
      </w:r>
    </w:p>
    <w:p w14:paraId="7442BB7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关于投料试车相关事项的约定：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35D6F48D">
      <w:pPr>
        <w:widowControl/>
        <w:spacing w:line="360" w:lineRule="auto"/>
        <w:jc w:val="left"/>
        <w:outlineLvl w:val="4"/>
        <w:rPr>
          <w:rFonts w:ascii="宋体" w:hAnsi="宋体" w:eastAsia="宋体" w:cs="宋体"/>
          <w:b/>
          <w:bCs/>
          <w:kern w:val="0"/>
          <w:sz w:val="21"/>
          <w:szCs w:val="21"/>
        </w:rPr>
      </w:pPr>
      <w:bookmarkStart w:id="1610" w:name="_Toc532377392"/>
      <w:bookmarkEnd w:id="1610"/>
      <w:bookmarkStart w:id="1611" w:name="_Toc532375655"/>
      <w:r>
        <w:rPr>
          <w:rFonts w:hint="eastAsia" w:ascii="宋体" w:hAnsi="宋体" w:eastAsia="宋体" w:cs="宋体"/>
          <w:b/>
          <w:bCs/>
          <w:kern w:val="0"/>
          <w:sz w:val="21"/>
          <w:szCs w:val="21"/>
        </w:rPr>
        <w:t>13.6 竣工退场</w:t>
      </w:r>
      <w:bookmarkEnd w:id="1611"/>
    </w:p>
    <w:p w14:paraId="684DB62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13.6.1 竣工退场</w:t>
      </w:r>
    </w:p>
    <w:p w14:paraId="07D0BAF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承包人完成竣工退场的期限：</w:t>
      </w:r>
      <w:r>
        <w:rPr>
          <w:rFonts w:hint="eastAsia" w:ascii="宋体" w:hAnsi="宋体" w:eastAsia="宋体" w:cs="Times New Roman"/>
          <w:sz w:val="21"/>
          <w:szCs w:val="21"/>
          <w:u w:val="single"/>
        </w:rPr>
        <w:t xml:space="preserve"> 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eastAsia="宋体" w:cs="Times New Roman"/>
          <w:sz w:val="21"/>
          <w:szCs w:val="21"/>
        </w:rPr>
        <w:t>。</w:t>
      </w:r>
    </w:p>
    <w:p w14:paraId="45182D6C">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14. 竣工结算</w:t>
      </w:r>
    </w:p>
    <w:p w14:paraId="26780562">
      <w:pPr>
        <w:widowControl/>
        <w:spacing w:line="360" w:lineRule="auto"/>
        <w:jc w:val="left"/>
        <w:outlineLvl w:val="4"/>
        <w:rPr>
          <w:rFonts w:ascii="宋体" w:hAnsi="宋体" w:eastAsia="宋体" w:cs="宋体"/>
          <w:b/>
          <w:bCs/>
          <w:kern w:val="0"/>
          <w:sz w:val="21"/>
          <w:szCs w:val="21"/>
        </w:rPr>
      </w:pPr>
      <w:bookmarkStart w:id="1612" w:name="_Toc532377394"/>
      <w:bookmarkEnd w:id="1612"/>
      <w:bookmarkStart w:id="1613" w:name="_Toc532375657"/>
      <w:r>
        <w:rPr>
          <w:rFonts w:hint="eastAsia" w:ascii="宋体" w:hAnsi="宋体" w:eastAsia="宋体" w:cs="宋体"/>
          <w:b/>
          <w:bCs/>
          <w:kern w:val="0"/>
          <w:sz w:val="21"/>
          <w:szCs w:val="21"/>
        </w:rPr>
        <w:t>14.1 竣工结算申请</w:t>
      </w:r>
      <w:bookmarkEnd w:id="1613"/>
    </w:p>
    <w:p w14:paraId="1A4F1BE2">
      <w:pPr>
        <w:spacing w:line="360" w:lineRule="auto"/>
        <w:jc w:val="left"/>
        <w:rPr>
          <w:rFonts w:ascii="宋体" w:hAnsi="宋体" w:eastAsia="宋体" w:cs="Times New Roman"/>
          <w:sz w:val="21"/>
          <w:szCs w:val="21"/>
          <w:u w:val="single"/>
        </w:rPr>
      </w:pPr>
      <w:bookmarkStart w:id="1614" w:name="_Toc532377395"/>
      <w:bookmarkEnd w:id="1614"/>
      <w:bookmarkStart w:id="1615" w:name="_Toc532375658"/>
      <w:r>
        <w:rPr>
          <w:rFonts w:hint="eastAsia" w:ascii="宋体" w:hAnsi="宋体" w:eastAsia="宋体" w:cs="Times New Roman"/>
          <w:sz w:val="21"/>
          <w:szCs w:val="21"/>
        </w:rPr>
        <w:t>承包人提交竣工结算申请单的期限：</w:t>
      </w:r>
      <w:bookmarkEnd w:id="1615"/>
      <w:bookmarkStart w:id="1616" w:name="_Hlk524297994"/>
      <w:bookmarkEnd w:id="1616"/>
      <w:r>
        <w:rPr>
          <w:rFonts w:hint="eastAsia" w:ascii="宋体" w:hAnsi="宋体" w:eastAsia="宋体" w:cs="Times New Roman"/>
          <w:sz w:val="21"/>
          <w:szCs w:val="21"/>
          <w:u w:val="single"/>
        </w:rPr>
        <w:t>承包人应在工程竣工验收合格且报送完整工程竣工资料之日起28天内向监理人、发包人提交竣工结算申请单，并向发包人报送完整的工程竣工资料及经监理人初审确认的完整的竣工结算资料。监理人或跟审单位或发包人对竣工结算申请单有异议的，应在接到竣工结算申请单后14天内要求承包人进行修正和提供补充资料，承包人在接到监理人或跟审单位或发包人提出的审核意见后，应在28天内按监理人或发包人提出的合理要求补充资料、修改竣工结算资料，并再次提交监理人或发包人审核。承包人未在规定时间内补充资料给承包人造成经济损失的由承包人自行承担，承包人未在规定时间内报送竣工结算资料给发包人造成经济损失的，承包人应承担赔偿责任。</w:t>
      </w:r>
    </w:p>
    <w:p w14:paraId="4C37804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竣工结算申请单应包括的内容：</w:t>
      </w:r>
    </w:p>
    <w:p w14:paraId="12D848BC">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（1）竣工结算合同价格；</w:t>
      </w:r>
    </w:p>
    <w:p w14:paraId="3E965188">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（2）变更增减金额；</w:t>
      </w:r>
    </w:p>
    <w:p w14:paraId="7254318F">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（3）现场签证增减金额；</w:t>
      </w:r>
    </w:p>
    <w:p w14:paraId="57624F1A">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（4）发包人已支付承包人的款项；</w:t>
      </w:r>
    </w:p>
    <w:p w14:paraId="1C713411">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（5）应扣留的质量保证金；</w:t>
      </w:r>
    </w:p>
    <w:p w14:paraId="728C1473">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（6）发包人应支付承包人的合同价款。</w:t>
      </w:r>
    </w:p>
    <w:p w14:paraId="002F9313">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（7）   符合审核要求的全套的结算资料      。</w:t>
      </w:r>
    </w:p>
    <w:p w14:paraId="0BD433B8">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14.2 竣工结算审核</w:t>
      </w:r>
    </w:p>
    <w:p w14:paraId="3C6359CC">
      <w:pPr>
        <w:spacing w:line="360" w:lineRule="auto"/>
        <w:ind w:right="140" w:rightChars="50"/>
        <w:jc w:val="left"/>
        <w:rPr>
          <w:rFonts w:ascii="宋体" w:hAnsi="宋体" w:eastAsia="宋体" w:cs="Times New Roman"/>
          <w:sz w:val="21"/>
          <w:szCs w:val="21"/>
        </w:rPr>
      </w:pPr>
      <w:bookmarkStart w:id="1617" w:name="_Toc532377396"/>
      <w:bookmarkEnd w:id="1617"/>
      <w:bookmarkStart w:id="1618" w:name="_Toc532375659"/>
      <w:r>
        <w:rPr>
          <w:rFonts w:hint="eastAsia" w:ascii="宋体" w:hAnsi="宋体" w:eastAsia="宋体" w:cs="Times New Roman"/>
          <w:sz w:val="21"/>
          <w:szCs w:val="21"/>
        </w:rPr>
        <w:t>14.2.1 竣工结算办法</w:t>
      </w:r>
      <w:bookmarkEnd w:id="1618"/>
    </w:p>
    <w:p w14:paraId="0854185B">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14.2.1.1计量原则</w:t>
      </w:r>
    </w:p>
    <w:p w14:paraId="1283A014">
      <w:pPr>
        <w:spacing w:line="360" w:lineRule="auto"/>
        <w:ind w:right="140" w:rightChars="50"/>
        <w:jc w:val="left"/>
        <w:rPr>
          <w:rFonts w:ascii="宋体" w:hAnsi="宋体" w:eastAsia="宋体" w:cs="Times New Roman"/>
          <w:sz w:val="21"/>
          <w:szCs w:val="21"/>
          <w:u w:val="single"/>
        </w:rPr>
      </w:pPr>
      <w:r>
        <w:rPr>
          <w:rFonts w:hint="eastAsia" w:ascii="宋体" w:hAnsi="宋体" w:eastAsia="宋体" w:cs="Times New Roman"/>
          <w:sz w:val="21"/>
          <w:szCs w:val="21"/>
        </w:rPr>
        <w:t>按照第12.3.1项〔计量原则〕约定执行。</w:t>
      </w:r>
    </w:p>
    <w:p w14:paraId="2AED650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14.2.1.2计价原则</w:t>
      </w:r>
    </w:p>
    <w:p w14:paraId="27E9FE5B">
      <w:pPr>
        <w:spacing w:line="360" w:lineRule="auto"/>
        <w:ind w:right="140" w:rightChars="50"/>
        <w:jc w:val="left"/>
        <w:rPr>
          <w:rFonts w:ascii="宋体" w:hAnsi="宋体" w:eastAsia="宋体" w:cs="Times New Roman"/>
          <w:sz w:val="21"/>
          <w:szCs w:val="21"/>
          <w:u w:val="single"/>
        </w:rPr>
      </w:pPr>
      <w:r>
        <w:rPr>
          <w:rFonts w:hint="eastAsia" w:ascii="宋体" w:hAnsi="宋体" w:eastAsia="宋体" w:cs="Times New Roman"/>
          <w:sz w:val="21"/>
          <w:szCs w:val="21"/>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eastAsia="宋体" w:cs="Times New Roman"/>
          <w:sz w:val="21"/>
          <w:szCs w:val="21"/>
        </w:rPr>
        <w:t>。</w:t>
      </w:r>
    </w:p>
    <w:p w14:paraId="6A3F96EF">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具体结算办法如下：</w:t>
      </w:r>
    </w:p>
    <w:p w14:paraId="03C86D00">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（1）分部分项工程：</w:t>
      </w:r>
    </w:p>
    <w:p w14:paraId="226D65B2">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eastAsia="宋体" w:cs="Times New Roman"/>
          <w:sz w:val="21"/>
          <w:szCs w:val="21"/>
        </w:rPr>
        <w:t>；</w:t>
      </w:r>
    </w:p>
    <w:p w14:paraId="030E26F8">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②需要对没有填入综合单价或总额价的子目项目进行扣减的，第12.3.1项〔计量原则〕约定确定的工程量乘以按照10.4.1.3〔变更估价原则〕目约定的综合单价进行扣减</w:t>
      </w:r>
      <w:r>
        <w:rPr>
          <w:rFonts w:hint="eastAsia" w:ascii="宋体" w:hAnsi="宋体" w:eastAsia="宋体" w:cs="Times New Roman"/>
          <w:sz w:val="21"/>
          <w:szCs w:val="21"/>
        </w:rPr>
        <w:t>；</w:t>
      </w:r>
    </w:p>
    <w:p w14:paraId="5CE0062D">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③合同、已标价工程量清单和招标文件另有约定的，按照其约定执行</w:t>
      </w:r>
      <w:r>
        <w:rPr>
          <w:rFonts w:hint="eastAsia" w:ascii="宋体" w:hAnsi="宋体" w:eastAsia="宋体" w:cs="Times New Roman"/>
          <w:sz w:val="21"/>
          <w:szCs w:val="21"/>
        </w:rPr>
        <w:t>。</w:t>
      </w:r>
    </w:p>
    <w:p w14:paraId="5ED0519B">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（2）措施项目：</w:t>
      </w:r>
    </w:p>
    <w:p w14:paraId="5DC0BB2C">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eastAsia="宋体" w:cs="Times New Roman"/>
          <w:sz w:val="21"/>
          <w:szCs w:val="21"/>
        </w:rPr>
        <w:t>。</w:t>
      </w:r>
    </w:p>
    <w:p w14:paraId="0198E54C">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②工程变更引起施工方案改变使措施项目发生变化的，经监理人、发包人确定后可对按第10.4.3项约定执行</w:t>
      </w:r>
      <w:r>
        <w:rPr>
          <w:rFonts w:hint="eastAsia" w:ascii="宋体" w:hAnsi="宋体" w:eastAsia="宋体" w:cs="Times New Roman"/>
          <w:sz w:val="21"/>
          <w:szCs w:val="21"/>
        </w:rPr>
        <w:t>。</w:t>
      </w:r>
    </w:p>
    <w:p w14:paraId="3527359A">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u w:val="single"/>
        </w:rPr>
        <w:t>③安全文明施工费按照《重庆市建设工程费用定额》（CQFYDE-2018）、《重庆市住房和城乡建设委员会关于修订发布&lt;重庆市建设工程安全文明施工费计取及使用管理规定&gt;的通知》（渝建管〔2024〕38号）的规定进行结算</w:t>
      </w:r>
      <w:r>
        <w:rPr>
          <w:rFonts w:hint="eastAsia" w:ascii="宋体" w:hAnsi="宋体" w:eastAsia="宋体" w:cs="Times New Roman"/>
          <w:sz w:val="21"/>
          <w:szCs w:val="21"/>
        </w:rPr>
        <w:t>。</w:t>
      </w:r>
    </w:p>
    <w:p w14:paraId="427D3BFF">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（3）其他项目：</w:t>
      </w:r>
    </w:p>
    <w:p w14:paraId="1EEDF6F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①材料（工程设备）暂估价：</w:t>
      </w:r>
      <w:r>
        <w:rPr>
          <w:rFonts w:hint="eastAsia" w:ascii="宋体" w:hAnsi="宋体" w:eastAsia="宋体" w:cs="Times New Roman"/>
          <w:sz w:val="21"/>
          <w:szCs w:val="21"/>
          <w:u w:val="single"/>
        </w:rPr>
        <w:t>按照第12.3.1项〔计量原则〕约定及对应定额消耗量确定的数量乘以监理人、发包人根据市场行情认质核价确定的价格进行结算</w:t>
      </w:r>
      <w:r>
        <w:rPr>
          <w:rFonts w:hint="eastAsia" w:ascii="宋体" w:hAnsi="宋体" w:eastAsia="宋体" w:cs="Times New Roman"/>
          <w:sz w:val="21"/>
          <w:szCs w:val="21"/>
        </w:rPr>
        <w:t>。</w:t>
      </w:r>
    </w:p>
    <w:p w14:paraId="38B55F5D">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②专业工程暂估价：</w:t>
      </w:r>
    </w:p>
    <w:p w14:paraId="5DE2D6F9">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u w:val="single"/>
        </w:rPr>
        <w:t>1）对于不属于依法必须招标的暂估价项目：按发包人审定的价格进行结算</w:t>
      </w:r>
      <w:r>
        <w:rPr>
          <w:rFonts w:hint="eastAsia" w:ascii="宋体" w:hAnsi="宋体" w:eastAsia="宋体" w:cs="Times New Roman"/>
          <w:sz w:val="21"/>
          <w:szCs w:val="21"/>
        </w:rPr>
        <w:t>。</w:t>
      </w:r>
    </w:p>
    <w:p w14:paraId="69382373">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eastAsia="宋体" w:cs="Times New Roman"/>
          <w:sz w:val="21"/>
          <w:szCs w:val="21"/>
        </w:rPr>
        <w:t>。</w:t>
      </w:r>
    </w:p>
    <w:p w14:paraId="604B7180">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③总承包服务费：</w:t>
      </w:r>
      <w:r>
        <w:rPr>
          <w:rFonts w:hint="eastAsia" w:ascii="宋体" w:hAnsi="宋体" w:eastAsia="宋体" w:cs="Times New Roman"/>
          <w:sz w:val="21"/>
          <w:szCs w:val="21"/>
          <w:u w:val="single"/>
        </w:rPr>
        <w:t>总承包服务费包干使用，结算时不作调整</w:t>
      </w:r>
      <w:r>
        <w:rPr>
          <w:rFonts w:hint="eastAsia" w:ascii="宋体" w:hAnsi="宋体" w:eastAsia="宋体" w:cs="Times New Roman"/>
          <w:sz w:val="21"/>
          <w:szCs w:val="21"/>
        </w:rPr>
        <w:t>。</w:t>
      </w:r>
    </w:p>
    <w:p w14:paraId="560CB7C0">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（4）价格调整：</w:t>
      </w:r>
      <w:r>
        <w:rPr>
          <w:rFonts w:hint="eastAsia" w:ascii="宋体" w:hAnsi="宋体" w:eastAsia="宋体" w:cs="Times New Roman"/>
          <w:sz w:val="21"/>
          <w:szCs w:val="21"/>
          <w:u w:val="single"/>
        </w:rPr>
        <w:t>按照第11条〔价格调整〕约定约定执行</w:t>
      </w:r>
      <w:r>
        <w:rPr>
          <w:rFonts w:hint="eastAsia" w:ascii="宋体" w:hAnsi="宋体" w:eastAsia="宋体" w:cs="Times New Roman"/>
          <w:sz w:val="21"/>
          <w:szCs w:val="21"/>
        </w:rPr>
        <w:t>。</w:t>
      </w:r>
    </w:p>
    <w:p w14:paraId="5CDB1673">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（5）工程变更、索赔与现场签证：</w:t>
      </w:r>
    </w:p>
    <w:p w14:paraId="169BD450">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1）工程变更：按照第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约定，确定为总价包干的，按审定包干总价计入结算；其余项目按照有效的竣工结算资料和第12.3.1项〔计量原则〕约定确定的工程量乘以相应的按照第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约定确定综合单价来确定该部分结算价。</w:t>
      </w:r>
    </w:p>
    <w:p w14:paraId="33ECC326">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2）索赔：按照第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和第14.2.1项〔竣工结算办法〕约定执行。</w:t>
      </w:r>
    </w:p>
    <w:p w14:paraId="3794655A">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3）现场签证：按照第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和第14.2.1项〔竣工结算办法〕约定执行。</w:t>
      </w:r>
    </w:p>
    <w:p w14:paraId="51349671">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（6）奖励、罚金、违约金及其他费用：</w:t>
      </w:r>
      <w:r>
        <w:rPr>
          <w:rFonts w:hint="eastAsia" w:ascii="宋体" w:hAnsi="宋体" w:eastAsia="宋体" w:cs="Times New Roman"/>
          <w:sz w:val="21"/>
          <w:szCs w:val="21"/>
          <w:u w:val="single"/>
        </w:rPr>
        <w:t>按实进行结算</w:t>
      </w:r>
      <w:r>
        <w:rPr>
          <w:rFonts w:hint="eastAsia" w:ascii="宋体" w:hAnsi="宋体" w:eastAsia="宋体" w:cs="Times New Roman"/>
          <w:sz w:val="21"/>
          <w:szCs w:val="21"/>
        </w:rPr>
        <w:t>。</w:t>
      </w:r>
    </w:p>
    <w:p w14:paraId="018C4D5F">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（7）规费：已标价工程量清单中规费费用按</w:t>
      </w:r>
      <w:r>
        <w:rPr>
          <w:rFonts w:hint="eastAsia" w:ascii="宋体" w:hAnsi="宋体" w:eastAsia="宋体" w:cs="Times New Roman"/>
          <w:sz w:val="21"/>
          <w:szCs w:val="21"/>
          <w:u w:val="single"/>
        </w:rPr>
        <w:t>《重庆市建设工程费用定额》（CQFYDE-2018）</w:t>
      </w:r>
      <w:r>
        <w:rPr>
          <w:rFonts w:hint="eastAsia" w:ascii="宋体" w:hAnsi="宋体" w:eastAsia="宋体" w:cs="Times New Roman"/>
          <w:sz w:val="21"/>
          <w:szCs w:val="21"/>
        </w:rPr>
        <w:t>执行。</w:t>
      </w:r>
    </w:p>
    <w:p w14:paraId="3EFF3814">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（8）税金：包含增值税、城市维护建设税、教育费附加、地方教育附加以及环境保护税。其中增值税按</w:t>
      </w:r>
      <w:r>
        <w:rPr>
          <w:rFonts w:hint="eastAsia" w:ascii="宋体" w:hAnsi="宋体" w:eastAsia="宋体" w:cs="Times New Roman"/>
          <w:sz w:val="21"/>
          <w:szCs w:val="21"/>
          <w:u w:val="single"/>
        </w:rPr>
        <w:t>《重庆市建设工程费用定额》（CQFYDE-2018）、《重庆市城乡建设委员会关于适用增值税新税率调整建设工程计价依据的通知》（渝建〔2019〕143号）</w:t>
      </w:r>
      <w:r>
        <w:rPr>
          <w:rFonts w:hint="eastAsia" w:ascii="宋体" w:hAnsi="宋体" w:eastAsia="宋体" w:cs="Times New Roman"/>
          <w:sz w:val="21"/>
          <w:szCs w:val="21"/>
        </w:rPr>
        <w:t>规定执行，环境保护税按实结算。</w:t>
      </w:r>
    </w:p>
    <w:p w14:paraId="0F7599D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14.2.1.3竣工结算价</w:t>
      </w:r>
    </w:p>
    <w:p w14:paraId="23D61858">
      <w:pPr>
        <w:spacing w:line="400" w:lineRule="exact"/>
        <w:jc w:val="left"/>
        <w:rPr>
          <w:rFonts w:ascii="宋体" w:hAnsi="宋体" w:eastAsia="宋体" w:cs="Times New Roman"/>
          <w:sz w:val="21"/>
          <w:szCs w:val="21"/>
        </w:rPr>
      </w:pPr>
      <w:bookmarkStart w:id="1619" w:name="_Hlk528660512"/>
      <w:bookmarkEnd w:id="1619"/>
      <w:r>
        <w:rPr>
          <w:rFonts w:hint="eastAsia" w:ascii="宋体" w:hAnsi="宋体" w:eastAsia="宋体" w:cs="Times New Roman"/>
          <w:sz w:val="21"/>
          <w:szCs w:val="21"/>
        </w:rPr>
        <w:t>工程竣工验收合格、移交完整的工程竣工资料后，报区审计局审计或区财政局审核；（</w:t>
      </w:r>
      <w:r>
        <w:rPr>
          <w:rFonts w:hint="eastAsia" w:ascii="宋体" w:hAnsi="宋体" w:eastAsia="宋体" w:cs="Times New Roman"/>
          <w:b/>
          <w:bCs/>
          <w:sz w:val="21"/>
          <w:szCs w:val="21"/>
        </w:rPr>
        <w:t>注：施工单位提供的工程结算价款，审减率超过5%以上的，超过部分的审减效益费用由施工单位承担，并由建设单位从工程结算价中扣除。</w:t>
      </w:r>
      <w:r>
        <w:rPr>
          <w:rFonts w:hint="eastAsia" w:ascii="宋体" w:hAnsi="宋体" w:eastAsia="宋体" w:cs="Times New Roman"/>
          <w:sz w:val="21"/>
          <w:szCs w:val="21"/>
        </w:rPr>
        <w:t>）</w:t>
      </w:r>
    </w:p>
    <w:p w14:paraId="0F5213C3">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14.2.2 竣工结算审核期限</w:t>
      </w:r>
    </w:p>
    <w:p w14:paraId="04B24002">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监理人审核竣工付款申请单的期限：</w:t>
      </w:r>
      <w:r>
        <w:rPr>
          <w:rFonts w:hint="eastAsia" w:ascii="宋体" w:hAnsi="宋体" w:eastAsia="宋体" w:cs="Times New Roman"/>
          <w:sz w:val="21"/>
          <w:szCs w:val="21"/>
          <w:u w:val="single"/>
        </w:rPr>
        <w:t>不超过28日</w:t>
      </w:r>
      <w:r>
        <w:rPr>
          <w:rFonts w:hint="eastAsia" w:ascii="宋体" w:hAnsi="宋体" w:eastAsia="宋体" w:cs="Times New Roman"/>
          <w:sz w:val="21"/>
          <w:szCs w:val="21"/>
        </w:rPr>
        <w:t>。</w:t>
      </w:r>
    </w:p>
    <w:p w14:paraId="10533D00">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发包人审核竣工付款申请单的期限：</w:t>
      </w:r>
      <w:r>
        <w:rPr>
          <w:rFonts w:hint="eastAsia" w:ascii="宋体" w:hAnsi="宋体" w:eastAsia="宋体" w:cs="Times New Roman"/>
          <w:sz w:val="21"/>
          <w:szCs w:val="21"/>
          <w:u w:val="single"/>
        </w:rPr>
        <w:t>不超过28日</w:t>
      </w:r>
      <w:r>
        <w:rPr>
          <w:rFonts w:hint="eastAsia" w:ascii="宋体" w:hAnsi="宋体" w:eastAsia="宋体" w:cs="Times New Roman"/>
          <w:sz w:val="21"/>
          <w:szCs w:val="21"/>
        </w:rPr>
        <w:t>。</w:t>
      </w:r>
    </w:p>
    <w:p w14:paraId="0B5FB90B">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发包人完成竣工付款的期限：</w:t>
      </w:r>
      <w:r>
        <w:rPr>
          <w:rFonts w:hint="eastAsia" w:ascii="宋体" w:hAnsi="宋体" w:eastAsia="宋体" w:cs="Times New Roman"/>
          <w:sz w:val="21"/>
          <w:szCs w:val="21"/>
          <w:u w:val="single"/>
        </w:rPr>
        <w:t>完成竣工付款申请单审核后28天内</w:t>
      </w:r>
      <w:r>
        <w:rPr>
          <w:rFonts w:hint="eastAsia" w:ascii="宋体" w:hAnsi="宋体" w:eastAsia="宋体" w:cs="Times New Roman"/>
          <w:sz w:val="21"/>
          <w:szCs w:val="21"/>
        </w:rPr>
        <w:t>。</w:t>
      </w:r>
    </w:p>
    <w:p w14:paraId="1A3DD6EA">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关于竣工付款证书异议部分复核的方式和程序： 按照第20条〔争议解决〕约定处理。</w:t>
      </w:r>
    </w:p>
    <w:p w14:paraId="49D7ADD6">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14.4 最终结清</w:t>
      </w:r>
    </w:p>
    <w:p w14:paraId="227B4E33">
      <w:pPr>
        <w:spacing w:line="360" w:lineRule="auto"/>
        <w:ind w:right="140" w:rightChars="50"/>
        <w:jc w:val="left"/>
        <w:rPr>
          <w:rFonts w:ascii="宋体" w:hAnsi="宋体" w:eastAsia="宋体" w:cs="Times New Roman"/>
          <w:sz w:val="21"/>
          <w:szCs w:val="21"/>
        </w:rPr>
      </w:pPr>
      <w:bookmarkStart w:id="1620" w:name="_Toc532377398"/>
      <w:bookmarkEnd w:id="1620"/>
      <w:bookmarkStart w:id="1621" w:name="_Toc280868717"/>
      <w:bookmarkEnd w:id="1621"/>
      <w:bookmarkStart w:id="1622" w:name="_Toc267251483"/>
      <w:bookmarkEnd w:id="1622"/>
      <w:bookmarkStart w:id="1623" w:name="_Toc280868718"/>
      <w:bookmarkEnd w:id="1623"/>
      <w:bookmarkStart w:id="1624" w:name="_Toc532375661"/>
      <w:bookmarkEnd w:id="1624"/>
      <w:bookmarkStart w:id="1625" w:name="_Toc351203647"/>
      <w:bookmarkEnd w:id="1625"/>
      <w:r>
        <w:rPr>
          <w:rFonts w:hint="eastAsia" w:ascii="宋体" w:hAnsi="宋体" w:eastAsia="宋体" w:cs="Times New Roman"/>
          <w:sz w:val="21"/>
          <w:szCs w:val="21"/>
        </w:rPr>
        <w:t>14.4.1 最终结清申请单</w:t>
      </w:r>
    </w:p>
    <w:p w14:paraId="0CF97F26">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承包人提交最终结清申请单的份数：</w:t>
      </w:r>
      <w:r>
        <w:rPr>
          <w:rFonts w:hint="eastAsia" w:ascii="宋体" w:hAnsi="宋体" w:eastAsia="宋体" w:cs="Times New Roman"/>
          <w:sz w:val="21"/>
          <w:szCs w:val="21"/>
          <w:u w:val="single"/>
        </w:rPr>
        <w:t>5份</w:t>
      </w:r>
      <w:r>
        <w:rPr>
          <w:rFonts w:hint="eastAsia" w:ascii="宋体" w:hAnsi="宋体" w:eastAsia="宋体" w:cs="Times New Roman"/>
          <w:sz w:val="21"/>
          <w:szCs w:val="21"/>
        </w:rPr>
        <w:t>。</w:t>
      </w:r>
    </w:p>
    <w:p w14:paraId="37AC9F1F">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承包人提交最终结算申请单的期限：</w:t>
      </w:r>
      <w:r>
        <w:rPr>
          <w:rFonts w:hint="eastAsia" w:ascii="宋体" w:hAnsi="宋体" w:eastAsia="宋体" w:cs="Times New Roman"/>
          <w:sz w:val="21"/>
          <w:szCs w:val="21"/>
          <w:u w:val="single"/>
        </w:rPr>
        <w:t>缺陷责任期终止证书颁发后14天内</w:t>
      </w:r>
      <w:r>
        <w:rPr>
          <w:rFonts w:hint="eastAsia" w:ascii="宋体" w:hAnsi="宋体" w:eastAsia="宋体" w:cs="Times New Roman"/>
          <w:sz w:val="21"/>
          <w:szCs w:val="21"/>
        </w:rPr>
        <w:t>。</w:t>
      </w:r>
    </w:p>
    <w:p w14:paraId="5546BC34">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14.4.2 最终结清证书和支付</w:t>
      </w:r>
    </w:p>
    <w:p w14:paraId="24B189FD">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（1）发包人完成最终结清申请单的审批并颁发最终结清证书的期限：</w:t>
      </w:r>
      <w:r>
        <w:rPr>
          <w:rFonts w:hint="eastAsia" w:ascii="宋体" w:hAnsi="宋体" w:eastAsia="宋体" w:cs="Times New Roman"/>
          <w:sz w:val="21"/>
          <w:szCs w:val="21"/>
          <w:u w:val="single"/>
        </w:rPr>
        <w:t>发包人收到完整资料后14天内完成审批并颁发最终结清证书</w:t>
      </w:r>
      <w:r>
        <w:rPr>
          <w:rFonts w:hint="eastAsia" w:ascii="宋体" w:hAnsi="宋体" w:eastAsia="宋体" w:cs="Times New Roman"/>
          <w:sz w:val="21"/>
          <w:szCs w:val="21"/>
        </w:rPr>
        <w:t>。</w:t>
      </w:r>
    </w:p>
    <w:p w14:paraId="12DDDE0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（2）发包人完成支付的期限：</w:t>
      </w:r>
      <w:r>
        <w:rPr>
          <w:rFonts w:hint="eastAsia" w:ascii="宋体" w:hAnsi="宋体" w:eastAsia="宋体" w:cs="Times New Roman"/>
          <w:sz w:val="21"/>
          <w:szCs w:val="21"/>
          <w:u w:val="single"/>
        </w:rPr>
        <w:t>颁发最终结清证书的14天内</w:t>
      </w:r>
      <w:r>
        <w:rPr>
          <w:rFonts w:hint="eastAsia" w:ascii="宋体" w:hAnsi="宋体" w:eastAsia="宋体" w:cs="Times New Roman"/>
          <w:sz w:val="21"/>
          <w:szCs w:val="21"/>
        </w:rPr>
        <w:t>。</w:t>
      </w:r>
    </w:p>
    <w:p w14:paraId="6C5404AD">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本条补充14.5款：</w:t>
      </w:r>
    </w:p>
    <w:p w14:paraId="1C6366F1">
      <w:pPr>
        <w:widowControl/>
        <w:spacing w:line="360" w:lineRule="auto"/>
        <w:jc w:val="left"/>
        <w:outlineLvl w:val="4"/>
        <w:rPr>
          <w:rFonts w:ascii="宋体" w:hAnsi="宋体" w:eastAsia="宋体" w:cs="宋体"/>
          <w:b/>
          <w:bCs/>
          <w:kern w:val="0"/>
          <w:sz w:val="21"/>
          <w:szCs w:val="21"/>
        </w:rPr>
      </w:pPr>
      <w:bookmarkStart w:id="1626" w:name="_Toc532375660"/>
      <w:bookmarkEnd w:id="1626"/>
      <w:bookmarkStart w:id="1627" w:name="_Toc532377397"/>
      <w:r>
        <w:rPr>
          <w:rFonts w:hint="eastAsia" w:ascii="宋体" w:hAnsi="宋体" w:eastAsia="宋体" w:cs="宋体"/>
          <w:b/>
          <w:bCs/>
          <w:kern w:val="0"/>
          <w:sz w:val="21"/>
          <w:szCs w:val="21"/>
        </w:rPr>
        <w:t>14.5 逾期办理或不配合办理竣工结算的处理</w:t>
      </w:r>
      <w:bookmarkEnd w:id="1627"/>
    </w:p>
    <w:p w14:paraId="4576EDE7">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有下列情形之一的，视为承包人放弃与发包人共同办理竣工结算的权利，发包人有权会同监理人根据有效资料共同确定竣工结算金额。</w:t>
      </w:r>
    </w:p>
    <w:p w14:paraId="5AC846F5">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（1）承包人逾期未报送竣工结算资料，亦未获得发包人批准延期报送，经发包人两</w:t>
      </w:r>
      <w:bookmarkStart w:id="1628" w:name="_Hlk529133622"/>
      <w:r>
        <w:rPr>
          <w:rFonts w:hint="eastAsia" w:ascii="宋体" w:hAnsi="宋体" w:eastAsia="宋体" w:cs="Times New Roman"/>
          <w:sz w:val="21"/>
          <w:szCs w:val="21"/>
        </w:rPr>
        <w:t>次书面催告仍未在限期内报送的</w:t>
      </w:r>
      <w:bookmarkEnd w:id="1628"/>
      <w:r>
        <w:rPr>
          <w:rFonts w:hint="eastAsia" w:ascii="宋体" w:hAnsi="宋体" w:eastAsia="宋体" w:cs="Times New Roman"/>
          <w:sz w:val="21"/>
          <w:szCs w:val="21"/>
        </w:rPr>
        <w:t>；</w:t>
      </w:r>
    </w:p>
    <w:p w14:paraId="5BA946AB">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018E8B8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（3）承包人不配合发包人、监理人、发包人委托的工程造价咨询服务单位办理竣工结算的，经发包人两次书面函告仍未改正的。</w:t>
      </w:r>
    </w:p>
    <w:p w14:paraId="629833BF">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7DB2F2B">
      <w:pPr>
        <w:spacing w:line="360" w:lineRule="auto"/>
        <w:ind w:right="140" w:rightChars="50"/>
        <w:jc w:val="left"/>
        <w:rPr>
          <w:rFonts w:ascii="宋体" w:hAnsi="宋体" w:eastAsia="宋体" w:cs="Times New Roman"/>
          <w:sz w:val="21"/>
          <w:szCs w:val="21"/>
          <w:u w:val="single"/>
        </w:rPr>
      </w:pPr>
      <w:r>
        <w:rPr>
          <w:rFonts w:hint="eastAsia" w:ascii="宋体" w:hAnsi="宋体" w:eastAsia="宋体" w:cs="Times New Roman"/>
          <w:sz w:val="21"/>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p>
    <w:p w14:paraId="090C4696">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15. 缺陷责任期与保修</w:t>
      </w:r>
    </w:p>
    <w:p w14:paraId="0AEE5B12">
      <w:pPr>
        <w:widowControl/>
        <w:spacing w:line="360" w:lineRule="auto"/>
        <w:jc w:val="left"/>
        <w:outlineLvl w:val="4"/>
        <w:rPr>
          <w:rFonts w:ascii="宋体" w:hAnsi="宋体" w:eastAsia="宋体" w:cs="宋体"/>
          <w:b/>
          <w:bCs/>
          <w:kern w:val="0"/>
          <w:sz w:val="21"/>
          <w:szCs w:val="21"/>
        </w:rPr>
      </w:pPr>
      <w:bookmarkStart w:id="1629" w:name="_Toc532377399"/>
      <w:bookmarkEnd w:id="1629"/>
      <w:bookmarkStart w:id="1630" w:name="_Toc532375662"/>
      <w:r>
        <w:rPr>
          <w:rFonts w:hint="eastAsia" w:ascii="宋体" w:hAnsi="宋体" w:eastAsia="宋体" w:cs="宋体"/>
          <w:b/>
          <w:bCs/>
          <w:kern w:val="0"/>
          <w:sz w:val="21"/>
          <w:szCs w:val="21"/>
        </w:rPr>
        <w:t>15.</w:t>
      </w:r>
      <w:bookmarkEnd w:id="1630"/>
      <w:r>
        <w:rPr>
          <w:rFonts w:hint="eastAsia" w:ascii="宋体" w:hAnsi="宋体" w:eastAsia="宋体" w:cs="宋体"/>
          <w:b/>
          <w:bCs/>
          <w:kern w:val="0"/>
          <w:sz w:val="21"/>
          <w:szCs w:val="21"/>
        </w:rPr>
        <w:t>2缺陷责任期</w:t>
      </w:r>
    </w:p>
    <w:p w14:paraId="3F11E3F4">
      <w:pPr>
        <w:widowControl/>
        <w:spacing w:line="360" w:lineRule="auto"/>
        <w:jc w:val="left"/>
        <w:outlineLvl w:val="4"/>
        <w:rPr>
          <w:rFonts w:ascii="宋体" w:hAnsi="宋体" w:eastAsia="宋体" w:cs="宋体"/>
          <w:kern w:val="0"/>
          <w:sz w:val="21"/>
          <w:szCs w:val="21"/>
        </w:rPr>
      </w:pPr>
      <w:r>
        <w:rPr>
          <w:rFonts w:hint="eastAsia" w:ascii="宋体" w:hAnsi="宋体" w:eastAsia="宋体" w:cs="宋体"/>
          <w:kern w:val="0"/>
          <w:sz w:val="21"/>
          <w:szCs w:val="21"/>
        </w:rPr>
        <w:t>缺陷责任期的具体期限</w:t>
      </w:r>
      <w:r>
        <w:rPr>
          <w:rFonts w:hint="eastAsia" w:ascii="宋体" w:hAnsi="宋体" w:eastAsia="宋体" w:cs="宋体"/>
          <w:b/>
          <w:bCs/>
          <w:kern w:val="0"/>
          <w:sz w:val="21"/>
          <w:szCs w:val="21"/>
        </w:rPr>
        <w:t>：</w:t>
      </w:r>
      <w:r>
        <w:rPr>
          <w:rFonts w:hint="eastAsia" w:ascii="宋体" w:hAnsi="宋体" w:eastAsia="宋体" w:cs="宋体"/>
          <w:kern w:val="0"/>
          <w:sz w:val="21"/>
          <w:szCs w:val="21"/>
          <w:u w:val="single"/>
        </w:rPr>
        <w:t xml:space="preserve">  </w:t>
      </w:r>
      <w:r>
        <w:rPr>
          <w:rFonts w:hint="eastAsia" w:ascii="宋体" w:hAnsi="宋体" w:eastAsia="宋体" w:cs="宋体"/>
          <w:b/>
          <w:bCs/>
          <w:kern w:val="0"/>
          <w:sz w:val="21"/>
          <w:szCs w:val="21"/>
          <w:u w:val="single"/>
        </w:rPr>
        <w:t xml:space="preserve"> 按附件3质量保修书执行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4CBB32FD">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15.3 质量保证金</w:t>
      </w:r>
    </w:p>
    <w:p w14:paraId="1563915D">
      <w:pPr>
        <w:spacing w:line="360" w:lineRule="auto"/>
        <w:ind w:right="140" w:rightChars="50"/>
        <w:jc w:val="left"/>
        <w:rPr>
          <w:rFonts w:ascii="宋体" w:hAnsi="宋体" w:eastAsia="宋体" w:cs="Times New Roman"/>
          <w:sz w:val="21"/>
          <w:szCs w:val="21"/>
        </w:rPr>
      </w:pPr>
      <w:bookmarkStart w:id="1631" w:name="_Toc532375663"/>
      <w:bookmarkEnd w:id="1631"/>
      <w:bookmarkStart w:id="1632" w:name="_Toc532377400"/>
      <w:r>
        <w:rPr>
          <w:rFonts w:hint="eastAsia" w:ascii="宋体" w:hAnsi="宋体" w:eastAsia="宋体" w:cs="Times New Roman"/>
          <w:sz w:val="21"/>
          <w:szCs w:val="21"/>
        </w:rPr>
        <w:t>15.3.1 承包人提供质量保证金的方式</w:t>
      </w:r>
      <w:bookmarkEnd w:id="1632"/>
    </w:p>
    <w:p w14:paraId="292E29E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关于是否扣留质量保证金的约定：</w:t>
      </w:r>
      <w:r>
        <w:rPr>
          <w:rFonts w:hint="eastAsia" w:ascii="宋体" w:hAnsi="宋体" w:eastAsia="宋体" w:cs="Times New Roman"/>
          <w:sz w:val="21"/>
          <w:szCs w:val="21"/>
          <w:u w:val="single"/>
        </w:rPr>
        <w:t xml:space="preserve">      扣留      </w:t>
      </w:r>
      <w:r>
        <w:rPr>
          <w:rFonts w:hint="eastAsia" w:ascii="宋体" w:hAnsi="宋体" w:eastAsia="宋体" w:cs="Times New Roman"/>
          <w:sz w:val="21"/>
          <w:szCs w:val="21"/>
        </w:rPr>
        <w:t>。</w:t>
      </w:r>
    </w:p>
    <w:p w14:paraId="22B1552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在工程项目竣工前，承包人按专用合同条款第3.7条提供履约担保的，发包人不得同时预留工程质量保证金。</w:t>
      </w:r>
    </w:p>
    <w:p w14:paraId="4B473BB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15.3.1 承包人提供质量保证金的方式</w:t>
      </w:r>
    </w:p>
    <w:p w14:paraId="2E97597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质量保证金采用以下第</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种方式：</w:t>
      </w:r>
    </w:p>
    <w:p w14:paraId="3A2BF91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（1）质量保证金保函，保证金额为：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7BF8B55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u w:val="single"/>
        </w:rPr>
        <w:t xml:space="preserve">    3    </w:t>
      </w:r>
      <w:r>
        <w:rPr>
          <w:rFonts w:hint="eastAsia" w:ascii="宋体" w:hAnsi="宋体" w:eastAsia="宋体" w:cs="Times New Roman"/>
          <w:sz w:val="21"/>
          <w:szCs w:val="21"/>
        </w:rPr>
        <w:t>%的工程款；</w:t>
      </w:r>
    </w:p>
    <w:p w14:paraId="20B5413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（3）其他方式：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F08D51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15.3.2 质量保证金的扣留</w:t>
      </w:r>
    </w:p>
    <w:p w14:paraId="3571C6D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质量保证金的扣留采取以下第</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种方式：</w:t>
      </w:r>
    </w:p>
    <w:p w14:paraId="2EB4458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（1）在支付工程进度款时逐次扣留，在此情形下，质量保证金的计算基数不包括预付款的支付、扣回以及价格调整的金额；</w:t>
      </w:r>
    </w:p>
    <w:p w14:paraId="3CA48D8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（2）工程竣工结算时一次性扣留质量保证金；</w:t>
      </w:r>
    </w:p>
    <w:p w14:paraId="5E69A32D">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注:约定的缺陷责任期满，且质里监督机构已按规定对工程质里检测鉴定合格，承包人向发包人电请到期应返还承包人剩余的质里保证金金额，发包人应在14天内会同承包人按照合同约定的内容核实承包人是否完成缺陷责任。如无异议，发包人应当在核实后将质里保证金无息返还承包人。</w:t>
      </w:r>
    </w:p>
    <w:p w14:paraId="43C6BD7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关于质量保证金的补充约定：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6FD07E3">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15.4 保修</w:t>
      </w:r>
    </w:p>
    <w:p w14:paraId="421F12DE">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15.4.1 保修责任</w:t>
      </w:r>
    </w:p>
    <w:p w14:paraId="6A4585E6">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工程保修期为：</w:t>
      </w:r>
      <w:bookmarkStart w:id="1633" w:name="_Hlk524381274"/>
      <w:bookmarkEnd w:id="1633"/>
      <w:r>
        <w:rPr>
          <w:rFonts w:hint="eastAsia" w:ascii="宋体" w:hAnsi="宋体" w:eastAsia="宋体" w:cs="Times New Roman"/>
          <w:sz w:val="21"/>
          <w:szCs w:val="21"/>
          <w:u w:val="single"/>
        </w:rPr>
        <w:t xml:space="preserve">按附件3质量保修书执行   </w:t>
      </w:r>
      <w:r>
        <w:rPr>
          <w:rFonts w:hint="eastAsia" w:ascii="宋体" w:hAnsi="宋体" w:eastAsia="宋体" w:cs="Times New Roman"/>
          <w:sz w:val="21"/>
          <w:szCs w:val="21"/>
        </w:rPr>
        <w:t>。</w:t>
      </w:r>
    </w:p>
    <w:p w14:paraId="015E9215">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15.4.3 修复通知</w:t>
      </w:r>
    </w:p>
    <w:p w14:paraId="503310A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承包人收到保修通知并到达工程现场的合理时间：</w:t>
      </w:r>
      <w:r>
        <w:rPr>
          <w:rFonts w:hint="eastAsia" w:ascii="宋体" w:hAnsi="宋体" w:eastAsia="宋体" w:cs="Times New Roman"/>
          <w:sz w:val="21"/>
          <w:szCs w:val="21"/>
          <w:u w:val="single"/>
        </w:rPr>
        <w:t xml:space="preserve">  24小时内 </w:t>
      </w:r>
      <w:r>
        <w:rPr>
          <w:rFonts w:hint="eastAsia" w:ascii="宋体" w:hAnsi="宋体" w:eastAsia="宋体" w:cs="Times New Roman"/>
          <w:sz w:val="21"/>
          <w:szCs w:val="21"/>
        </w:rPr>
        <w:t>。</w:t>
      </w:r>
    </w:p>
    <w:p w14:paraId="595757C1">
      <w:pPr>
        <w:keepNext/>
        <w:keepLines/>
        <w:spacing w:line="360" w:lineRule="auto"/>
        <w:outlineLvl w:val="3"/>
        <w:rPr>
          <w:rFonts w:ascii="宋体" w:hAnsi="宋体" w:eastAsia="宋体" w:cs="宋体"/>
          <w:b/>
          <w:sz w:val="21"/>
          <w:szCs w:val="21"/>
        </w:rPr>
      </w:pPr>
      <w:bookmarkStart w:id="1634" w:name="_Toc532375664"/>
      <w:bookmarkEnd w:id="1634"/>
      <w:bookmarkStart w:id="1635" w:name="_Toc532377401"/>
      <w:bookmarkEnd w:id="1635"/>
      <w:bookmarkStart w:id="1636" w:name="_Toc351203648"/>
      <w:r>
        <w:rPr>
          <w:rFonts w:hint="eastAsia" w:ascii="宋体" w:hAnsi="宋体" w:eastAsia="宋体" w:cs="宋体"/>
          <w:b/>
          <w:bCs/>
          <w:sz w:val="21"/>
          <w:szCs w:val="21"/>
        </w:rPr>
        <w:t>16. 违约</w:t>
      </w:r>
      <w:bookmarkEnd w:id="1636"/>
    </w:p>
    <w:p w14:paraId="2237673B">
      <w:pPr>
        <w:widowControl/>
        <w:spacing w:line="400" w:lineRule="exact"/>
        <w:jc w:val="left"/>
        <w:outlineLvl w:val="4"/>
        <w:rPr>
          <w:rFonts w:ascii="宋体" w:hAnsi="宋体" w:eastAsia="宋体" w:cs="宋体"/>
          <w:b/>
          <w:bCs/>
          <w:kern w:val="0"/>
          <w:sz w:val="21"/>
          <w:szCs w:val="21"/>
        </w:rPr>
      </w:pPr>
      <w:bookmarkStart w:id="1637" w:name="_Toc532377403"/>
      <w:bookmarkEnd w:id="1637"/>
      <w:r>
        <w:rPr>
          <w:rFonts w:hint="eastAsia" w:ascii="宋体" w:hAnsi="宋体" w:eastAsia="宋体" w:cs="宋体"/>
          <w:b/>
          <w:bCs/>
          <w:kern w:val="0"/>
          <w:sz w:val="21"/>
          <w:szCs w:val="21"/>
        </w:rPr>
        <w:t>16.1 发包人违约</w:t>
      </w:r>
    </w:p>
    <w:p w14:paraId="3B2AAEDC">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16.1.1发包人违约的情形</w:t>
      </w:r>
    </w:p>
    <w:p w14:paraId="3585967D">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（1）因发包人原因导致工期延误的；</w:t>
      </w:r>
    </w:p>
    <w:p w14:paraId="3145526F">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（2）因发包人原因未能及时办理完毕合同约定的许可、批准或备案的；</w:t>
      </w:r>
    </w:p>
    <w:p w14:paraId="6C1B389E">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（3）因监理人未能按合同约定发出指示、指示延误或发出了错误指示而导致承包人工期延误的；</w:t>
      </w:r>
    </w:p>
    <w:p w14:paraId="1997AFDE">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（4）发包人或监理人要求重新检查的，经检查证明工程质量符合合同要求的，并由此产生延误的工期的；</w:t>
      </w:r>
    </w:p>
    <w:p w14:paraId="50C9E489">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（5）因发包人原因造成工程质量未达到合同约定标准的；</w:t>
      </w:r>
    </w:p>
    <w:p w14:paraId="395C0F7C">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（6）由于发包人原因对承包人造成的人员人身伤亡和财产损失的；</w:t>
      </w:r>
    </w:p>
    <w:p w14:paraId="74A4B324">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（7）因发包人原因导致工程无法按期办理竣工验收或竣工结算的；</w:t>
      </w:r>
    </w:p>
    <w:p w14:paraId="3B8C3A89">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（8）发包人无正当理由未按约定退还履约担保、低价风险担保、预付款担保或质量保证金的；</w:t>
      </w:r>
    </w:p>
    <w:p w14:paraId="08158982">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（9）发包人不当提取履约担保、低价风险担保或质量保证金的；</w:t>
      </w:r>
    </w:p>
    <w:p w14:paraId="427CEC2E">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（10）发包人未按合同约定接收全部或部分工作的；</w:t>
      </w:r>
    </w:p>
    <w:p w14:paraId="1E74267D">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（11）发包人未按合同约定办理保险的；</w:t>
      </w:r>
    </w:p>
    <w:p w14:paraId="7FBD1972">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16.1.2发包人违约的责任</w:t>
      </w:r>
    </w:p>
    <w:p w14:paraId="4D20A6C7">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（1）因发包人原因未能及时办理完毕前述许可、批准或备案的违约责任：由发包人承担工期顺延责任。</w:t>
      </w:r>
    </w:p>
    <w:p w14:paraId="04C5D3BF">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（2）因发包人原因导致工期延误的违约责任：由发包人承担工期顺延责任。</w:t>
      </w:r>
    </w:p>
    <w:p w14:paraId="2F19B5FA">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（3）发包人或监理人要求重新检查的，经检查证明工程质量符合合同要求的，由发包人承担由此顺延工期。</w:t>
      </w:r>
    </w:p>
    <w:p w14:paraId="4613FB79">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（4）发包人违反合同约定，自行实施或转由他人实施被取消的合同工作内容的违约责任；</w:t>
      </w:r>
    </w:p>
    <w:p w14:paraId="708C1421">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顺延工期。</w:t>
      </w:r>
    </w:p>
    <w:p w14:paraId="2BF56A3C">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（6）因发包人原因造成工程质量未达到合同约定标准的，由发包人承担由此延误的工期。</w:t>
      </w:r>
    </w:p>
    <w:p w14:paraId="27E522F8">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（7）因发包人违反合同约定造成暂停施工的违约责任：由发包人承担由此顺延工期。</w:t>
      </w:r>
    </w:p>
    <w:p w14:paraId="6E0A13C2">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（8）发包人无正当理由没有在约定期限内发出复工指示，导致承包人无法复工的违约责任：由发包人承担由此顺延工期。</w:t>
      </w:r>
    </w:p>
    <w:p w14:paraId="3078A127">
      <w:pPr>
        <w:spacing w:line="400" w:lineRule="exact"/>
        <w:jc w:val="left"/>
        <w:rPr>
          <w:rFonts w:ascii="宋体" w:hAnsi="宋体" w:eastAsia="宋体" w:cs="Times New Roman"/>
          <w:kern w:val="0"/>
          <w:sz w:val="21"/>
          <w:szCs w:val="21"/>
          <w:u w:val="single"/>
        </w:rPr>
      </w:pPr>
      <w:r>
        <w:rPr>
          <w:rFonts w:hint="eastAsia" w:ascii="宋体" w:hAnsi="宋体" w:eastAsia="宋体" w:cs="Times New Roman"/>
          <w:kern w:val="0"/>
          <w:sz w:val="21"/>
          <w:szCs w:val="21"/>
        </w:rPr>
        <w:t>（9）因发包人原因导致工程无法按期办理竣工验收或竣工结算的违约责任：由发包人承担由此顺延工期。</w:t>
      </w:r>
    </w:p>
    <w:p w14:paraId="517B7EA8">
      <w:pPr>
        <w:spacing w:line="400" w:lineRule="exact"/>
        <w:jc w:val="left"/>
        <w:rPr>
          <w:rFonts w:ascii="宋体" w:hAnsi="宋体" w:eastAsia="宋体" w:cs="Times New Roman"/>
          <w:kern w:val="0"/>
          <w:sz w:val="21"/>
          <w:szCs w:val="21"/>
          <w:u w:val="single"/>
        </w:rPr>
      </w:pPr>
      <w:r>
        <w:rPr>
          <w:rFonts w:hint="eastAsia" w:ascii="宋体" w:hAnsi="宋体" w:eastAsia="宋体" w:cs="Times New Roman"/>
          <w:sz w:val="21"/>
          <w:szCs w:val="21"/>
        </w:rPr>
        <w:t>（10）</w:t>
      </w:r>
      <w:r>
        <w:rPr>
          <w:rFonts w:hint="eastAsia" w:ascii="宋体" w:hAnsi="宋体" w:eastAsia="宋体" w:cs="Times New Roman"/>
          <w:kern w:val="0"/>
          <w:sz w:val="21"/>
          <w:szCs w:val="21"/>
        </w:rPr>
        <w:t>发包人不得以无正当理由不按约定退还履约担保、低价风险担保、预付款担保或质量保证金。</w:t>
      </w:r>
    </w:p>
    <w:p w14:paraId="63FB9E3C">
      <w:pPr>
        <w:spacing w:before="100" w:beforeAutospacing="1" w:line="400" w:lineRule="exact"/>
        <w:rPr>
          <w:rFonts w:ascii="宋体" w:hAnsi="宋体" w:eastAsia="宋体" w:cs="Times New Roman"/>
          <w:sz w:val="21"/>
          <w:szCs w:val="21"/>
        </w:rPr>
      </w:pPr>
      <w:r>
        <w:rPr>
          <w:rFonts w:hint="eastAsia" w:ascii="宋体" w:hAnsi="宋体" w:eastAsia="宋体" w:cs="Times New Roman"/>
          <w:kern w:val="0"/>
          <w:sz w:val="21"/>
          <w:szCs w:val="21"/>
        </w:rPr>
        <w:t>（11）</w:t>
      </w:r>
      <w:r>
        <w:rPr>
          <w:rFonts w:hint="eastAsia" w:ascii="宋体" w:hAnsi="宋体" w:eastAsia="宋体" w:cs="Times New Roman"/>
          <w:sz w:val="21"/>
          <w:szCs w:val="21"/>
        </w:rPr>
        <w:t>发包人不当提取履约担保、低价风险担保、预付款担保或质量保证金的，应及时予以退还。</w:t>
      </w:r>
      <w:r>
        <w:rPr>
          <w:rFonts w:hint="eastAsia" w:ascii="宋体" w:hAnsi="宋体" w:eastAsia="宋体" w:cs="Times New Roman"/>
          <w:kern w:val="0"/>
          <w:sz w:val="21"/>
          <w:szCs w:val="21"/>
        </w:rPr>
        <w:t>（12）发包人未按合同约定接收全部或部分工作的违约责任：由发包人承担自应当接收工程之日起的工程照管、成品保护、保管等与工程有关的各项费用。</w:t>
      </w:r>
    </w:p>
    <w:p w14:paraId="64F46BB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（13）由于发包人原因对承包人造成的人员人身伤亡和财产损失的，由发包人负责赔偿，并承担由此延误的工期。</w:t>
      </w:r>
    </w:p>
    <w:p w14:paraId="188BF925">
      <w:pPr>
        <w:spacing w:line="400" w:lineRule="exact"/>
        <w:jc w:val="left"/>
        <w:rPr>
          <w:rFonts w:ascii="Times New Roman" w:hAnsi="Times New Roman" w:eastAsia="宋体" w:cs="Times New Roman"/>
          <w:sz w:val="21"/>
          <w:szCs w:val="21"/>
        </w:rPr>
      </w:pPr>
      <w:r>
        <w:rPr>
          <w:rFonts w:hint="eastAsia" w:ascii="宋体" w:hAnsi="宋体" w:eastAsia="宋体" w:cs="Times New Roman"/>
          <w:kern w:val="0"/>
          <w:sz w:val="21"/>
          <w:szCs w:val="21"/>
        </w:rPr>
        <w:t xml:space="preserve">（14）其他： </w:t>
      </w:r>
      <w:r>
        <w:rPr>
          <w:rFonts w:hint="eastAsia" w:ascii="宋体" w:hAnsi="宋体" w:eastAsia="宋体" w:cs="Times New Roman"/>
          <w:kern w:val="0"/>
          <w:sz w:val="21"/>
          <w:szCs w:val="21"/>
          <w:u w:val="single"/>
        </w:rPr>
        <w:t xml:space="preserve">      /      </w:t>
      </w:r>
      <w:r>
        <w:rPr>
          <w:rFonts w:hint="eastAsia" w:ascii="宋体" w:hAnsi="宋体" w:eastAsia="宋体" w:cs="Times New Roman"/>
          <w:kern w:val="0"/>
          <w:sz w:val="21"/>
          <w:szCs w:val="21"/>
        </w:rPr>
        <w:t>。</w:t>
      </w:r>
    </w:p>
    <w:p w14:paraId="088FE718">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16.1.3因发包人违约并致使合同目的不能实现的，承包人有权解除合同：</w:t>
      </w:r>
    </w:p>
    <w:p w14:paraId="1A63B06B">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（1）因发包人原因延迟支付合同价款超过180天的；</w:t>
      </w:r>
    </w:p>
    <w:p w14:paraId="3D02F1EF">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（2）因发包人原因导致工期延误超过90天的；</w:t>
      </w:r>
    </w:p>
    <w:p w14:paraId="44604298">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因发包人提供的基准资料错误并导致承包人测量放线工作返工或造成工程损失的，以及发包人提供的材料、工程设备的规格、数量或质量不符合合同约定，或因发包人原因导致交货日期延误或交货地点变更等情况的违约责任，违约情形导致暂停施工满56天，且发包人仍未纠正其违约行为的；</w:t>
      </w:r>
    </w:p>
    <w:p w14:paraId="621CE6D0">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（4）其他未履行合同项下的义务构成对合同的实质性违约，并且在收到承包人要求说明其违约并予以补救的通知后56天内仍未补救该实质性违约的；</w:t>
      </w:r>
    </w:p>
    <w:p w14:paraId="530A3C16">
      <w:pPr>
        <w:snapToGrid w:val="0"/>
        <w:spacing w:line="400" w:lineRule="exact"/>
        <w:jc w:val="left"/>
        <w:rPr>
          <w:rFonts w:ascii="Times New Roman" w:hAnsi="Times New Roman" w:eastAsia="宋体" w:cs="Times New Roman"/>
          <w:sz w:val="21"/>
          <w:szCs w:val="21"/>
        </w:rPr>
      </w:pPr>
      <w:r>
        <w:rPr>
          <w:rFonts w:hint="eastAsia" w:ascii="宋体" w:hAnsi="宋体" w:eastAsia="宋体" w:cs="Times New Roman"/>
          <w:kern w:val="0"/>
          <w:sz w:val="21"/>
          <w:szCs w:val="21"/>
        </w:rPr>
        <w:t>（5）</w:t>
      </w:r>
      <w:r>
        <w:rPr>
          <w:rFonts w:hint="eastAsia" w:ascii="宋体" w:hAnsi="宋体" w:eastAsia="宋体" w:cs="Times New Roman"/>
          <w:kern w:val="0"/>
          <w:sz w:val="21"/>
          <w:szCs w:val="21"/>
          <w:u w:val="single"/>
        </w:rPr>
        <w:t>合同约定的承包人有权解除合同的其他情形</w:t>
      </w:r>
      <w:r>
        <w:rPr>
          <w:rFonts w:hint="eastAsia" w:ascii="宋体" w:hAnsi="宋体" w:eastAsia="宋体" w:cs="Times New Roman"/>
          <w:kern w:val="0"/>
          <w:sz w:val="21"/>
          <w:szCs w:val="21"/>
        </w:rPr>
        <w:t>。</w:t>
      </w:r>
    </w:p>
    <w:p w14:paraId="4F6964A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16.1.4发包人无正当理由不按时返还履约保证金、质量保证金或农民工工资保证金的，发包人应向承包人支付的违约金如下：</w:t>
      </w:r>
      <w:r>
        <w:rPr>
          <w:rFonts w:hint="eastAsia" w:ascii="宋体" w:hAnsi="宋体" w:eastAsia="宋体" w:cs="Times New Roman"/>
          <w:sz w:val="21"/>
          <w:szCs w:val="21"/>
          <w:u w:val="single"/>
        </w:rPr>
        <w:t xml:space="preserve">       /   。</w:t>
      </w:r>
    </w:p>
    <w:p w14:paraId="307B0F49">
      <w:pPr>
        <w:widowControl/>
        <w:spacing w:line="360" w:lineRule="auto"/>
        <w:jc w:val="left"/>
        <w:outlineLvl w:val="4"/>
        <w:rPr>
          <w:rFonts w:ascii="宋体" w:hAnsi="宋体" w:eastAsia="宋体" w:cs="宋体"/>
          <w:b/>
          <w:bCs/>
          <w:kern w:val="0"/>
          <w:sz w:val="21"/>
          <w:szCs w:val="21"/>
        </w:rPr>
      </w:pPr>
      <w:bookmarkStart w:id="1638" w:name="_Toc532377404"/>
      <w:bookmarkEnd w:id="1638"/>
      <w:bookmarkStart w:id="1639" w:name="_Hlk528928440"/>
      <w:bookmarkEnd w:id="1639"/>
      <w:bookmarkStart w:id="1640" w:name="_Toc351203649"/>
      <w:bookmarkEnd w:id="1640"/>
      <w:bookmarkStart w:id="1641" w:name="_Toc532375665"/>
      <w:bookmarkEnd w:id="1641"/>
      <w:r>
        <w:rPr>
          <w:rFonts w:hint="eastAsia" w:ascii="宋体" w:hAnsi="宋体" w:eastAsia="宋体" w:cs="宋体"/>
          <w:b/>
          <w:bCs/>
          <w:kern w:val="0"/>
          <w:sz w:val="21"/>
          <w:szCs w:val="21"/>
        </w:rPr>
        <w:t>16.2 承包人违约</w:t>
      </w:r>
    </w:p>
    <w:p w14:paraId="3EB4DC13">
      <w:pPr>
        <w:snapToGrid w:val="0"/>
        <w:spacing w:line="360" w:lineRule="auto"/>
        <w:jc w:val="left"/>
        <w:rPr>
          <w:rFonts w:ascii="宋体" w:hAnsi="宋体" w:eastAsia="宋体" w:cs="Microsoft Sans Serif"/>
          <w:kern w:val="0"/>
          <w:sz w:val="21"/>
          <w:szCs w:val="21"/>
        </w:rPr>
      </w:pPr>
      <w:bookmarkStart w:id="1642" w:name="OLE_LINK11"/>
      <w:bookmarkEnd w:id="1642"/>
      <w:bookmarkStart w:id="1643" w:name="_Hlk524380579"/>
      <w:r>
        <w:rPr>
          <w:rFonts w:hint="eastAsia" w:ascii="宋体" w:hAnsi="宋体" w:eastAsia="宋体" w:cs="Microsoft Sans Serif"/>
          <w:kern w:val="0"/>
          <w:sz w:val="21"/>
          <w:szCs w:val="21"/>
        </w:rPr>
        <w:t>16.2.1 承包人违约的情形</w:t>
      </w:r>
      <w:bookmarkEnd w:id="1643"/>
    </w:p>
    <w:p w14:paraId="254CF44C">
      <w:pPr>
        <w:snapToGrid w:val="0"/>
        <w:spacing w:line="400" w:lineRule="exact"/>
        <w:jc w:val="left"/>
        <w:rPr>
          <w:rFonts w:ascii="宋体" w:hAnsi="宋体" w:eastAsia="宋体" w:cs="Times New Roman"/>
          <w:kern w:val="0"/>
          <w:sz w:val="21"/>
          <w:szCs w:val="21"/>
          <w:u w:val="single"/>
        </w:rPr>
      </w:pPr>
      <w:r>
        <w:rPr>
          <w:rFonts w:hint="eastAsia" w:ascii="宋体" w:hAnsi="宋体" w:eastAsia="宋体" w:cs="Times New Roman"/>
          <w:kern w:val="0"/>
          <w:sz w:val="21"/>
          <w:szCs w:val="21"/>
        </w:rPr>
        <w:t>除通用合同条款约定外，承包人违约的其他情形：</w:t>
      </w:r>
    </w:p>
    <w:p w14:paraId="15E90BAC">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（1）承包人未按合同约定提交履约担保或质量保证金的；</w:t>
      </w:r>
    </w:p>
    <w:p w14:paraId="03A8D0E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（2）承包人未能按期开工的；</w:t>
      </w:r>
    </w:p>
    <w:p w14:paraId="79A5775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（3）承包人未按招标申请文件或监理人的要求及时配备称职的主要管理人员，或承包人未按经审定的施工组织设计配备或更换关键施工设备的；</w:t>
      </w:r>
    </w:p>
    <w:p w14:paraId="42306FD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（4）承包人有安全问题或有违反安全管理规章制度情况的；</w:t>
      </w:r>
    </w:p>
    <w:p w14:paraId="5E4E0DB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（5）承包人在缺陷责任期及保修期内，未能在合理期限对工程缺陷进行修复，或拒绝按发包人要求进行修复的；</w:t>
      </w:r>
    </w:p>
    <w:p w14:paraId="6FAC333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（6）承包人拖欠其工人或所雇人员工资或报酬，导致其工人或所雇人员向有关部门投诉、控告、检举或以聚集等方式讨要工资或报酬的；</w:t>
      </w:r>
    </w:p>
    <w:p w14:paraId="0ADA1F5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（7）承包人不配合发包人、监理人及发包人委托的工程造价咨询服务单位结算审核或承包人其他原因导致未按期完成工程竣工结算的；</w:t>
      </w:r>
    </w:p>
    <w:p w14:paraId="5EB832DA">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（8）承包人违反合同约定进行转包或违法分包的；</w:t>
      </w:r>
    </w:p>
    <w:p w14:paraId="09874EB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（9）承包人未按合同约定移交全部或部分工作的；</w:t>
      </w:r>
    </w:p>
    <w:p w14:paraId="573EB3A0">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（10）承包人未按合同约定购买保险的；</w:t>
      </w:r>
    </w:p>
    <w:p w14:paraId="707F3745">
      <w:pPr>
        <w:spacing w:line="360" w:lineRule="auto"/>
        <w:rPr>
          <w:rFonts w:ascii="宋体" w:hAnsi="宋体" w:eastAsia="宋体" w:cs="Times New Roman"/>
          <w:sz w:val="21"/>
          <w:szCs w:val="21"/>
        </w:rPr>
      </w:pPr>
      <w:r>
        <w:rPr>
          <w:rFonts w:hint="eastAsia" w:ascii="宋体" w:hAnsi="宋体" w:eastAsia="宋体" w:cs="Times New Roman"/>
          <w:sz w:val="21"/>
          <w:szCs w:val="21"/>
        </w:rPr>
        <w:t>（11）未经监理人批准，私自将已按合同约定进入施工场地的施工设备、临时设施、材料或工程设备撤离施工场地；</w:t>
      </w:r>
    </w:p>
    <w:p w14:paraId="7C785D98">
      <w:pPr>
        <w:spacing w:line="360" w:lineRule="auto"/>
        <w:rPr>
          <w:rFonts w:ascii="Times New Roman" w:hAnsi="Times New Roman" w:eastAsia="宋体" w:cs="Times New Roman"/>
          <w:sz w:val="21"/>
          <w:szCs w:val="21"/>
        </w:rPr>
      </w:pPr>
      <w:r>
        <w:rPr>
          <w:rFonts w:hint="eastAsia" w:ascii="宋体" w:hAnsi="宋体" w:eastAsia="宋体" w:cs="Times New Roman"/>
          <w:sz w:val="21"/>
          <w:szCs w:val="21"/>
        </w:rPr>
        <w:t>（12）承包人不按合同约定履行义务的其他情况。</w:t>
      </w:r>
    </w:p>
    <w:p w14:paraId="23F5369F">
      <w:pPr>
        <w:snapToGrid w:val="0"/>
        <w:spacing w:line="400" w:lineRule="exact"/>
        <w:jc w:val="left"/>
        <w:rPr>
          <w:rFonts w:ascii="宋体" w:hAnsi="宋体" w:eastAsia="宋体" w:cs="Times New Roman"/>
          <w:sz w:val="21"/>
          <w:szCs w:val="21"/>
        </w:rPr>
      </w:pPr>
      <w:r>
        <w:rPr>
          <w:rFonts w:hint="eastAsia" w:ascii="宋体" w:hAnsi="宋体" w:eastAsia="宋体" w:cs="Times New Roman"/>
          <w:kern w:val="0"/>
          <w:sz w:val="21"/>
          <w:szCs w:val="21"/>
        </w:rPr>
        <w:t>（13）项目经理若有以下情形，属于承包人违约：</w:t>
      </w:r>
    </w:p>
    <w:p w14:paraId="3881DD7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1）项目经理不按承诺到岗的；</w:t>
      </w:r>
    </w:p>
    <w:p w14:paraId="5277860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2）每月在施工现场的天数少于约定天数的；</w:t>
      </w:r>
    </w:p>
    <w:p w14:paraId="4D9D0B6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3）承包人未提交项目经理劳动合同和社会保险证明的；</w:t>
      </w:r>
    </w:p>
    <w:p w14:paraId="7CD5C97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4）未经批准，擅自离开施工现场（超过约定时间）的；</w:t>
      </w:r>
    </w:p>
    <w:p w14:paraId="12A9A232">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5）未经批准，擅自变更项目经理的；</w:t>
      </w:r>
    </w:p>
    <w:p w14:paraId="2E5C94B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6）按照渝建发〔2015〕35号文的要求，施工期间，项目经理因在一个记分周期内累计记分达到12分，被建设行政主管部门依法责令停止执业的；</w:t>
      </w:r>
    </w:p>
    <w:p w14:paraId="67BDDD33">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7）发包人有正当理由认为项目经理不称职/不履职，且承包人在约定时间内不予更换的；</w:t>
      </w:r>
    </w:p>
    <w:p w14:paraId="7DDF5668">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8）其他双方约定的情形：/</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59E0DED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（14）技术负责人若有以下情形，属于承包人违约：</w:t>
      </w:r>
    </w:p>
    <w:p w14:paraId="64FDA3A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1）每月在施工现场的天数少于约定天数的；</w:t>
      </w:r>
    </w:p>
    <w:p w14:paraId="70DED1E8">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2）承包人未提交技术负责人劳动合同和社会保险证明的；</w:t>
      </w:r>
    </w:p>
    <w:p w14:paraId="530C064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3）未经批准，擅自离开施工现场（超过约定时间）的；</w:t>
      </w:r>
    </w:p>
    <w:p w14:paraId="408A813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4）未经批准，擅自变更技术负责人的；</w:t>
      </w:r>
    </w:p>
    <w:p w14:paraId="4F1D13F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5）发包人有正当理由认为技术负责人不称职/不履职，且承包人在约定时间内不予更换的；</w:t>
      </w:r>
    </w:p>
    <w:p w14:paraId="6D7A8D1A">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6）其他双方约定的情形：</w:t>
      </w:r>
      <w:r>
        <w:rPr>
          <w:rFonts w:hint="eastAsia" w:ascii="宋体" w:hAnsi="宋体" w:eastAsia="宋体" w:cs="Times New Roman"/>
          <w:kern w:val="0"/>
          <w:sz w:val="21"/>
          <w:szCs w:val="21"/>
          <w:u w:val="single"/>
        </w:rPr>
        <w:t xml:space="preserve">   /     </w:t>
      </w:r>
      <w:r>
        <w:rPr>
          <w:rFonts w:hint="eastAsia" w:ascii="宋体" w:hAnsi="宋体" w:eastAsia="宋体" w:cs="Times New Roman"/>
          <w:kern w:val="0"/>
          <w:sz w:val="21"/>
          <w:szCs w:val="21"/>
        </w:rPr>
        <w:t>。</w:t>
      </w:r>
    </w:p>
    <w:p w14:paraId="1B7DEF27">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（15）主要施工管理人员若有以下情形，属于承包人违约：</w:t>
      </w:r>
    </w:p>
    <w:p w14:paraId="66BB544C">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1）承包人未提交主要管理人员劳动合同和社会保险证明的；</w:t>
      </w:r>
    </w:p>
    <w:p w14:paraId="4E96A88C">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2）未经批准，擅自离开施工现场（超过约定时间）的；</w:t>
      </w:r>
    </w:p>
    <w:p w14:paraId="4767B62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3）未经批准，擅自变更主要施工管理人员的；</w:t>
      </w:r>
    </w:p>
    <w:p w14:paraId="77D0C3CA">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4）发包人有正当理由认为主要施工管理人员不称职/不履职，且承包人在约定时间内不予更换的；</w:t>
      </w:r>
    </w:p>
    <w:p w14:paraId="2410A51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5）其他双方约定的情形：</w:t>
      </w:r>
      <w:r>
        <w:rPr>
          <w:rFonts w:hint="eastAsia" w:ascii="宋体" w:hAnsi="宋体" w:eastAsia="宋体" w:cs="Times New Roman"/>
          <w:kern w:val="0"/>
          <w:sz w:val="21"/>
          <w:szCs w:val="21"/>
          <w:u w:val="single"/>
        </w:rPr>
        <w:t xml:space="preserve">   /     </w:t>
      </w:r>
      <w:r>
        <w:rPr>
          <w:rFonts w:hint="eastAsia" w:ascii="宋体" w:hAnsi="宋体" w:eastAsia="宋体" w:cs="Times New Roman"/>
          <w:kern w:val="0"/>
          <w:sz w:val="21"/>
          <w:szCs w:val="21"/>
        </w:rPr>
        <w:t>。</w:t>
      </w:r>
    </w:p>
    <w:p w14:paraId="13BA435C">
      <w:pPr>
        <w:snapToGrid w:val="0"/>
        <w:spacing w:line="360" w:lineRule="auto"/>
        <w:jc w:val="left"/>
        <w:rPr>
          <w:rFonts w:ascii="Times New Roman" w:hAnsi="Times New Roman" w:eastAsia="宋体" w:cs="Times New Roman"/>
          <w:sz w:val="21"/>
          <w:szCs w:val="21"/>
        </w:rPr>
      </w:pPr>
      <w:r>
        <w:rPr>
          <w:rFonts w:hint="eastAsia" w:ascii="宋体" w:hAnsi="宋体" w:eastAsia="宋体" w:cs="Times New Roman"/>
          <w:kern w:val="0"/>
          <w:sz w:val="21"/>
          <w:szCs w:val="21"/>
        </w:rPr>
        <w:t>（16）</w:t>
      </w:r>
      <w:r>
        <w:rPr>
          <w:rFonts w:hint="eastAsia" w:ascii="宋体" w:hAnsi="宋体" w:eastAsia="宋体" w:cs="Times New Roman"/>
          <w:kern w:val="0"/>
          <w:sz w:val="21"/>
          <w:szCs w:val="21"/>
          <w:u w:val="single"/>
        </w:rPr>
        <w:t>按合同约定承包人项目经理、技术负责人等需到岗履职，如不能到岗履职，无论对发包单位是否产生实际损失，均应按合同约定条款执行惩罚条款。</w:t>
      </w:r>
    </w:p>
    <w:p w14:paraId="5018FF00">
      <w:pPr>
        <w:adjustRightInd w:val="0"/>
        <w:snapToGrid w:val="0"/>
        <w:spacing w:line="360" w:lineRule="auto"/>
        <w:rPr>
          <w:rFonts w:ascii="宋体" w:hAnsi="宋体" w:eastAsia="宋体" w:cs="Microsoft Sans Serif"/>
          <w:kern w:val="0"/>
          <w:sz w:val="21"/>
          <w:szCs w:val="21"/>
        </w:rPr>
      </w:pPr>
      <w:r>
        <w:rPr>
          <w:rFonts w:hint="eastAsia" w:ascii="宋体" w:hAnsi="宋体" w:eastAsia="宋体" w:cs="Microsoft Sans Serif"/>
          <w:kern w:val="0"/>
          <w:sz w:val="21"/>
          <w:szCs w:val="21"/>
        </w:rPr>
        <w:t>16.2.2 承包人违约的责任</w:t>
      </w:r>
    </w:p>
    <w:p w14:paraId="5D8E2B4E">
      <w:pPr>
        <w:adjustRightInd w:val="0"/>
        <w:snapToGrid w:val="0"/>
        <w:spacing w:line="360" w:lineRule="auto"/>
        <w:rPr>
          <w:rFonts w:ascii="宋体" w:hAnsi="宋体" w:eastAsia="宋体" w:cs="Microsoft Sans Serif"/>
          <w:kern w:val="0"/>
          <w:sz w:val="21"/>
          <w:szCs w:val="21"/>
        </w:rPr>
      </w:pPr>
      <w:bookmarkStart w:id="1644" w:name="_Hlk524380347"/>
      <w:bookmarkEnd w:id="1644"/>
      <w:r>
        <w:rPr>
          <w:rFonts w:hint="eastAsia" w:ascii="宋体" w:hAnsi="宋体" w:eastAsia="宋体" w:cs="Microsoft Sans Serif"/>
          <w:kern w:val="0"/>
          <w:sz w:val="21"/>
          <w:szCs w:val="21"/>
        </w:rPr>
        <w:t>承包人违约责任的承担方式和计算方法：</w:t>
      </w:r>
    </w:p>
    <w:p w14:paraId="2DF68A98">
      <w:pPr>
        <w:adjustRightInd w:val="0"/>
        <w:snapToGrid w:val="0"/>
        <w:spacing w:line="400" w:lineRule="exact"/>
        <w:rPr>
          <w:rFonts w:ascii="宋体" w:hAnsi="宋体" w:eastAsia="宋体" w:cs="Times New Roman"/>
          <w:kern w:val="0"/>
          <w:sz w:val="21"/>
          <w:szCs w:val="21"/>
        </w:rPr>
      </w:pPr>
      <w:r>
        <w:rPr>
          <w:rFonts w:hint="eastAsia" w:ascii="宋体" w:hAnsi="宋体" w:eastAsia="宋体" w:cs="Times New Roman"/>
          <w:kern w:val="0"/>
          <w:sz w:val="21"/>
          <w:szCs w:val="21"/>
        </w:rPr>
        <w:t>承包人违约责任的承担方式和计算方法：</w:t>
      </w:r>
    </w:p>
    <w:p w14:paraId="6D16A110">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（1）承包人未按合同约定提交履约担保、质量保证金的违约责任：承包人应支付违约金，</w:t>
      </w:r>
      <w:r>
        <w:rPr>
          <w:rFonts w:hint="eastAsia" w:ascii="宋体" w:hAnsi="宋体" w:eastAsia="宋体" w:cs="Times New Roman"/>
          <w:sz w:val="21"/>
          <w:szCs w:val="21"/>
        </w:rPr>
        <w:t>违约金的计算方法：</w:t>
      </w:r>
      <w:r>
        <w:rPr>
          <w:rFonts w:hint="eastAsia" w:ascii="宋体" w:hAnsi="宋体" w:eastAsia="宋体" w:cs="Times New Roman"/>
          <w:kern w:val="0"/>
          <w:sz w:val="21"/>
          <w:szCs w:val="21"/>
        </w:rPr>
        <w:t>每延误1天，承包人按</w:t>
      </w:r>
      <w:r>
        <w:rPr>
          <w:rFonts w:hint="eastAsia" w:ascii="宋体" w:hAnsi="宋体" w:eastAsia="宋体" w:cs="Times New Roman"/>
          <w:kern w:val="0"/>
          <w:sz w:val="21"/>
          <w:szCs w:val="21"/>
          <w:u w:val="single"/>
        </w:rPr>
        <w:t xml:space="preserve">  5000元/天</w:t>
      </w:r>
      <w:r>
        <w:rPr>
          <w:rFonts w:hint="eastAsia" w:ascii="宋体" w:hAnsi="宋体" w:eastAsia="宋体" w:cs="Times New Roman"/>
          <w:kern w:val="0"/>
          <w:sz w:val="21"/>
          <w:szCs w:val="21"/>
        </w:rPr>
        <w:t>计算违约金，累计违约金上限：</w:t>
      </w:r>
      <w:r>
        <w:rPr>
          <w:rFonts w:hint="eastAsia" w:ascii="宋体" w:hAnsi="宋体" w:eastAsia="宋体" w:cs="Times New Roman"/>
          <w:kern w:val="0"/>
          <w:sz w:val="21"/>
          <w:szCs w:val="21"/>
          <w:u w:val="single"/>
        </w:rPr>
        <w:t xml:space="preserve">  不超过签约合同价的3%</w:t>
      </w:r>
      <w:r>
        <w:rPr>
          <w:rFonts w:hint="eastAsia" w:ascii="宋体" w:hAnsi="宋体" w:eastAsia="宋体" w:cs="Times New Roman"/>
          <w:kern w:val="0"/>
          <w:sz w:val="21"/>
          <w:szCs w:val="21"/>
        </w:rPr>
        <w:t>。</w:t>
      </w:r>
    </w:p>
    <w:p w14:paraId="2CBF8B2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（2）承包人违反合同约定进行转包或违法分包的违约责任：按照违反合同约定进行转包和（或）违法分包相应转包和（或）分包合同的合同金额的</w:t>
      </w:r>
      <w:r>
        <w:rPr>
          <w:rFonts w:hint="eastAsia" w:ascii="宋体" w:hAnsi="宋体" w:eastAsia="宋体" w:cs="Times New Roman"/>
          <w:kern w:val="0"/>
          <w:sz w:val="21"/>
          <w:szCs w:val="21"/>
          <w:u w:val="single"/>
        </w:rPr>
        <w:t xml:space="preserve">  10%</w:t>
      </w:r>
      <w:r>
        <w:rPr>
          <w:rFonts w:hint="eastAsia" w:ascii="宋体" w:hAnsi="宋体" w:eastAsia="宋体" w:cs="Times New Roman"/>
          <w:kern w:val="0"/>
          <w:sz w:val="21"/>
          <w:szCs w:val="21"/>
        </w:rPr>
        <w:t>支付违约金，违法转/分包商应在7天内撤离出场。</w:t>
      </w:r>
    </w:p>
    <w:p w14:paraId="76C240D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（3）承包人违反合同约定采购和使用不合格的材料和工程设备的违约责任：按照违反合同约定采购和使用不合格的材料和（或）工程设备相应合同金额的</w:t>
      </w:r>
      <w:r>
        <w:rPr>
          <w:rFonts w:hint="eastAsia" w:ascii="宋体" w:hAnsi="宋体" w:eastAsia="宋体" w:cs="Times New Roman"/>
          <w:kern w:val="0"/>
          <w:sz w:val="21"/>
          <w:szCs w:val="21"/>
          <w:u w:val="single"/>
        </w:rPr>
        <w:t>2倍</w:t>
      </w:r>
      <w:r>
        <w:rPr>
          <w:rFonts w:hint="eastAsia" w:ascii="宋体" w:hAnsi="宋体" w:eastAsia="宋体" w:cs="Times New Roman"/>
          <w:kern w:val="0"/>
          <w:sz w:val="21"/>
          <w:szCs w:val="21"/>
        </w:rPr>
        <w:t>支付违约金。</w:t>
      </w:r>
    </w:p>
    <w:p w14:paraId="6C610F7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（4）因承包人原因导致工程质量不符合规定或合同要求的违约责任：承包人退还已支付工程质量不符合合同要求工程的工程款，并按照工程质量不符合合同要求工程相应合同金额的</w:t>
      </w:r>
      <w:r>
        <w:rPr>
          <w:rFonts w:ascii="宋体" w:hAnsi="宋体" w:eastAsia="宋体" w:cs="Times New Roman"/>
          <w:kern w:val="0"/>
          <w:sz w:val="21"/>
          <w:szCs w:val="21"/>
          <w:u w:val="single"/>
        </w:rPr>
        <w:t>2</w:t>
      </w:r>
      <w:r>
        <w:rPr>
          <w:rFonts w:hint="eastAsia" w:ascii="宋体" w:hAnsi="宋体" w:eastAsia="宋体" w:cs="Times New Roman"/>
          <w:kern w:val="0"/>
          <w:sz w:val="21"/>
          <w:szCs w:val="21"/>
          <w:u w:val="single"/>
        </w:rPr>
        <w:t>倍</w:t>
      </w:r>
      <w:r>
        <w:rPr>
          <w:rFonts w:hint="eastAsia" w:ascii="宋体" w:hAnsi="宋体" w:eastAsia="宋体" w:cs="Times New Roman"/>
          <w:kern w:val="0"/>
          <w:sz w:val="21"/>
          <w:szCs w:val="21"/>
        </w:rPr>
        <w:t>支付违约金。</w:t>
      </w:r>
    </w:p>
    <w:p w14:paraId="601226D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eastAsia="宋体" w:cs="Times New Roman"/>
          <w:kern w:val="0"/>
          <w:sz w:val="21"/>
          <w:szCs w:val="21"/>
          <w:u w:val="single"/>
        </w:rPr>
        <w:t xml:space="preserve">  5%</w:t>
      </w:r>
      <w:r>
        <w:rPr>
          <w:rFonts w:hint="eastAsia" w:ascii="宋体" w:hAnsi="宋体" w:eastAsia="宋体" w:cs="Times New Roman"/>
          <w:kern w:val="0"/>
          <w:sz w:val="21"/>
          <w:szCs w:val="21"/>
        </w:rPr>
        <w:t>支付违约金。</w:t>
      </w:r>
    </w:p>
    <w:p w14:paraId="785E9E8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（6）因承包人原因造成工期延误的违约承担方式和计算方法：由承包人承担由此增加的费用，</w:t>
      </w:r>
      <w:r>
        <w:rPr>
          <w:rFonts w:hint="eastAsia" w:ascii="宋体" w:hAnsi="宋体" w:eastAsia="宋体" w:cs="Times New Roman"/>
          <w:sz w:val="21"/>
          <w:szCs w:val="21"/>
        </w:rPr>
        <w:t>由此导致工期延误的，工期不予顺延；逾期竣工违约金的计算方法：</w:t>
      </w:r>
      <w:r>
        <w:rPr>
          <w:rFonts w:hint="eastAsia" w:ascii="宋体" w:hAnsi="宋体" w:eastAsia="宋体" w:cs="Times New Roman"/>
          <w:kern w:val="0"/>
          <w:sz w:val="21"/>
          <w:szCs w:val="21"/>
        </w:rPr>
        <w:t>每延误1天，承包人按</w:t>
      </w:r>
      <w:r>
        <w:rPr>
          <w:rFonts w:hint="eastAsia" w:ascii="宋体" w:hAnsi="宋体" w:eastAsia="宋体" w:cs="Times New Roman"/>
          <w:kern w:val="0"/>
          <w:sz w:val="21"/>
          <w:szCs w:val="21"/>
          <w:u w:val="single"/>
        </w:rPr>
        <w:t xml:space="preserve"> 5000 元/天</w:t>
      </w:r>
      <w:r>
        <w:rPr>
          <w:rFonts w:hint="eastAsia" w:ascii="宋体" w:hAnsi="宋体" w:eastAsia="宋体" w:cs="Times New Roman"/>
          <w:kern w:val="0"/>
          <w:sz w:val="21"/>
          <w:szCs w:val="21"/>
        </w:rPr>
        <w:t>计算逾期竣工违约金，累计违约金上限：</w:t>
      </w:r>
      <w:r>
        <w:rPr>
          <w:rFonts w:hint="eastAsia" w:ascii="宋体" w:hAnsi="宋体" w:eastAsia="宋体" w:cs="Times New Roman"/>
          <w:kern w:val="0"/>
          <w:sz w:val="21"/>
          <w:szCs w:val="21"/>
          <w:u w:val="single"/>
        </w:rPr>
        <w:t>不超过签约合同价的3%</w:t>
      </w:r>
      <w:r>
        <w:rPr>
          <w:rFonts w:hint="eastAsia" w:ascii="宋体" w:hAnsi="宋体" w:eastAsia="宋体" w:cs="Times New Roman"/>
          <w:kern w:val="0"/>
          <w:sz w:val="21"/>
          <w:szCs w:val="21"/>
        </w:rPr>
        <w:t>；承包人支付逾期竣工违约金后，不免除承包人继续完成工程及修补缺陷的义务。</w:t>
      </w:r>
    </w:p>
    <w:p w14:paraId="7CBDB6D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（7）承包人在缺陷责任期及保修期内，未能在合理期限对工程缺陷进行修复，或拒绝按发包人要求进行修复的违约责任：按照发包人修复缺陷费用的</w:t>
      </w:r>
      <w:r>
        <w:rPr>
          <w:rFonts w:hint="eastAsia" w:ascii="宋体" w:hAnsi="宋体" w:eastAsia="宋体" w:cs="Times New Roman"/>
          <w:kern w:val="0"/>
          <w:sz w:val="21"/>
          <w:szCs w:val="21"/>
          <w:u w:val="single"/>
        </w:rPr>
        <w:t xml:space="preserve">  2%</w:t>
      </w:r>
      <w:r>
        <w:rPr>
          <w:rFonts w:hint="eastAsia" w:ascii="宋体" w:hAnsi="宋体" w:eastAsia="宋体" w:cs="Times New Roman"/>
          <w:kern w:val="0"/>
          <w:sz w:val="21"/>
          <w:szCs w:val="21"/>
        </w:rPr>
        <w:t>支付违约金。</w:t>
      </w:r>
    </w:p>
    <w:p w14:paraId="01FB985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（8）承包人明确表示或者以其行为表明不履行合同主要义务的违约责任：按签约合同价的</w:t>
      </w:r>
      <w:r>
        <w:rPr>
          <w:rFonts w:hint="eastAsia" w:ascii="宋体" w:hAnsi="宋体" w:eastAsia="宋体" w:cs="Times New Roman"/>
          <w:kern w:val="0"/>
          <w:sz w:val="21"/>
          <w:szCs w:val="21"/>
          <w:u w:val="single"/>
        </w:rPr>
        <w:t xml:space="preserve">  10%</w:t>
      </w:r>
      <w:r>
        <w:rPr>
          <w:rFonts w:hint="eastAsia" w:ascii="宋体" w:hAnsi="宋体" w:eastAsia="宋体" w:cs="Times New Roman"/>
          <w:kern w:val="0"/>
          <w:sz w:val="21"/>
          <w:szCs w:val="21"/>
        </w:rPr>
        <w:t>支付违约金。</w:t>
      </w:r>
    </w:p>
    <w:p w14:paraId="4C50364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（9）承包人未能按照合同约定履行其他义务的违约责任：按</w:t>
      </w:r>
      <w:r>
        <w:rPr>
          <w:rFonts w:hint="eastAsia" w:ascii="宋体" w:hAnsi="宋体" w:eastAsia="宋体" w:cs="Times New Roman"/>
          <w:kern w:val="0"/>
          <w:sz w:val="21"/>
          <w:szCs w:val="21"/>
          <w:u w:val="single"/>
        </w:rPr>
        <w:t>5000元/次</w:t>
      </w:r>
      <w:r>
        <w:rPr>
          <w:rFonts w:hint="eastAsia" w:ascii="宋体" w:hAnsi="宋体" w:eastAsia="宋体" w:cs="Times New Roman"/>
          <w:kern w:val="0"/>
          <w:sz w:val="21"/>
          <w:szCs w:val="21"/>
        </w:rPr>
        <w:t>支付违约金。</w:t>
      </w:r>
    </w:p>
    <w:p w14:paraId="31847332">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（10）承包人未能按期开工的违约责任：按合同价</w:t>
      </w:r>
      <w:r>
        <w:rPr>
          <w:rFonts w:hint="eastAsia" w:ascii="宋体" w:hAnsi="宋体" w:eastAsia="宋体" w:cs="Times New Roman"/>
          <w:kern w:val="0"/>
          <w:sz w:val="21"/>
          <w:szCs w:val="21"/>
          <w:u w:val="single"/>
        </w:rPr>
        <w:t>0.2‰/天</w:t>
      </w:r>
      <w:r>
        <w:rPr>
          <w:rFonts w:hint="eastAsia" w:ascii="宋体" w:hAnsi="宋体" w:eastAsia="宋体" w:cs="Times New Roman"/>
          <w:kern w:val="0"/>
          <w:sz w:val="21"/>
          <w:szCs w:val="21"/>
        </w:rPr>
        <w:t>支付违约金，本项违约金累计限额为签约合同价的</w:t>
      </w:r>
      <w:r>
        <w:rPr>
          <w:rFonts w:hint="eastAsia" w:ascii="宋体" w:hAnsi="宋体" w:eastAsia="宋体" w:cs="Times New Roman"/>
          <w:kern w:val="0"/>
          <w:sz w:val="21"/>
          <w:szCs w:val="21"/>
          <w:u w:val="single"/>
        </w:rPr>
        <w:t xml:space="preserve"> 1 %</w:t>
      </w:r>
      <w:r>
        <w:rPr>
          <w:rFonts w:hint="eastAsia" w:ascii="宋体" w:hAnsi="宋体" w:eastAsia="宋体" w:cs="Times New Roman"/>
          <w:kern w:val="0"/>
          <w:sz w:val="21"/>
          <w:szCs w:val="21"/>
        </w:rPr>
        <w:t>。</w:t>
      </w:r>
    </w:p>
    <w:p w14:paraId="2A128D6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（11）承包人未按经审定的施工组织设计配备或更换关键施工设备的违约责任：</w:t>
      </w:r>
      <w:r>
        <w:rPr>
          <w:rFonts w:hint="eastAsia" w:ascii="宋体" w:hAnsi="宋体" w:eastAsia="宋体" w:cs="Times New Roman"/>
          <w:kern w:val="0"/>
          <w:sz w:val="21"/>
          <w:szCs w:val="21"/>
          <w:u w:val="single"/>
        </w:rPr>
        <w:t>5000元/台·次</w:t>
      </w:r>
      <w:r>
        <w:rPr>
          <w:rFonts w:hint="eastAsia" w:ascii="宋体" w:hAnsi="宋体" w:eastAsia="宋体" w:cs="Times New Roman"/>
          <w:kern w:val="0"/>
          <w:sz w:val="21"/>
          <w:szCs w:val="21"/>
        </w:rPr>
        <w:t>支付违约金。</w:t>
      </w:r>
    </w:p>
    <w:p w14:paraId="7912021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（12）承包人有安全问题或有违反安全管理规章制度情况的违约责任：根据具体情节，按签约合同价的</w:t>
      </w:r>
      <w:r>
        <w:rPr>
          <w:rFonts w:hint="eastAsia" w:ascii="宋体" w:hAnsi="宋体" w:eastAsia="宋体" w:cs="Times New Roman"/>
          <w:kern w:val="0"/>
          <w:sz w:val="21"/>
          <w:szCs w:val="21"/>
          <w:u w:val="single"/>
        </w:rPr>
        <w:t>4‰/次</w:t>
      </w:r>
      <w:r>
        <w:rPr>
          <w:rFonts w:hint="eastAsia" w:ascii="宋体" w:hAnsi="宋体" w:eastAsia="宋体" w:cs="Times New Roman"/>
          <w:kern w:val="0"/>
          <w:sz w:val="21"/>
          <w:szCs w:val="21"/>
        </w:rPr>
        <w:t>支付违约金（累计不超过签约合同价的1%，详见附件9安全管理协议）。</w:t>
      </w:r>
    </w:p>
    <w:p w14:paraId="3143B2FF">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eastAsia="宋体" w:cs="Times New Roman"/>
          <w:kern w:val="0"/>
          <w:sz w:val="21"/>
          <w:szCs w:val="21"/>
          <w:u w:val="single"/>
        </w:rPr>
        <w:t xml:space="preserve">  20000元/次</w:t>
      </w:r>
      <w:r>
        <w:rPr>
          <w:rFonts w:hint="eastAsia" w:ascii="宋体" w:hAnsi="宋体" w:eastAsia="宋体" w:cs="Times New Roman"/>
          <w:kern w:val="0"/>
          <w:sz w:val="21"/>
          <w:szCs w:val="21"/>
        </w:rPr>
        <w:t>支付违约金。</w:t>
      </w:r>
    </w:p>
    <w:p w14:paraId="0895383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（14）承包人不配合发包人、监理人及发包人委托的工程造价咨询服务单位结算审核的违约责任：根据具体情节，按</w:t>
      </w:r>
      <w:r>
        <w:rPr>
          <w:rFonts w:hint="eastAsia" w:ascii="宋体" w:hAnsi="宋体" w:eastAsia="宋体" w:cs="Times New Roman"/>
          <w:kern w:val="0"/>
          <w:sz w:val="21"/>
          <w:szCs w:val="21"/>
          <w:u w:val="single"/>
        </w:rPr>
        <w:t xml:space="preserve">  50000元/次</w:t>
      </w:r>
      <w:r>
        <w:rPr>
          <w:rFonts w:hint="eastAsia" w:ascii="宋体" w:hAnsi="宋体" w:eastAsia="宋体" w:cs="Times New Roman"/>
          <w:kern w:val="0"/>
          <w:sz w:val="21"/>
          <w:szCs w:val="21"/>
        </w:rPr>
        <w:t>支付违约金。</w:t>
      </w:r>
    </w:p>
    <w:p w14:paraId="0E3981F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eastAsia="宋体" w:cs="Times New Roman"/>
          <w:kern w:val="0"/>
          <w:sz w:val="21"/>
          <w:szCs w:val="21"/>
          <w:u w:val="single"/>
        </w:rPr>
        <w:t>1‰</w:t>
      </w:r>
      <w:r>
        <w:rPr>
          <w:rFonts w:hint="eastAsia" w:ascii="宋体" w:hAnsi="宋体" w:eastAsia="宋体" w:cs="Times New Roman"/>
          <w:kern w:val="0"/>
          <w:sz w:val="21"/>
          <w:szCs w:val="21"/>
        </w:rPr>
        <w:t>支付违约金。</w:t>
      </w:r>
    </w:p>
    <w:p w14:paraId="14BA4453">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sz w:val="21"/>
          <w:szCs w:val="21"/>
        </w:rPr>
        <w:t>（16）承包人未按合同约定购买保险的违约责任：除按18.6.2项约定执行外，每延迟1天，按</w:t>
      </w:r>
      <w:r>
        <w:rPr>
          <w:rFonts w:hint="eastAsia" w:ascii="宋体" w:hAnsi="宋体" w:eastAsia="宋体" w:cs="Times New Roman"/>
          <w:sz w:val="21"/>
          <w:szCs w:val="21"/>
          <w:u w:val="single"/>
        </w:rPr>
        <w:t>500元/天</w:t>
      </w:r>
      <w:r>
        <w:rPr>
          <w:rFonts w:hint="eastAsia" w:ascii="宋体" w:hAnsi="宋体" w:eastAsia="宋体" w:cs="Times New Roman"/>
          <w:sz w:val="21"/>
          <w:szCs w:val="21"/>
        </w:rPr>
        <w:t>支付违约金。</w:t>
      </w:r>
    </w:p>
    <w:p w14:paraId="01ED75C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（17）发生第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违约情形的违约责任：除承担由此增加的费用和工期延误的责任，承包人应向发包人支付违约金：</w:t>
      </w:r>
    </w:p>
    <w:p w14:paraId="2F69398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1）项目经理违约承担方式和计算方法：对于第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项（13）目的情形，每发现一次，根据具体情节，按</w:t>
      </w:r>
      <w:r>
        <w:rPr>
          <w:rFonts w:hint="eastAsia" w:ascii="宋体" w:hAnsi="宋体" w:eastAsia="宋体" w:cs="Times New Roman"/>
          <w:kern w:val="0"/>
          <w:sz w:val="21"/>
          <w:szCs w:val="21"/>
          <w:u w:val="single"/>
        </w:rPr>
        <w:t>5000元/天·次</w:t>
      </w:r>
      <w:r>
        <w:rPr>
          <w:rFonts w:hint="eastAsia" w:ascii="宋体" w:hAnsi="宋体" w:eastAsia="宋体" w:cs="Times New Roman"/>
          <w:kern w:val="0"/>
          <w:sz w:val="21"/>
          <w:szCs w:val="21"/>
        </w:rPr>
        <w:t>计算违约金；项目经理不按承诺到岗的，按履约保证金的</w:t>
      </w:r>
      <w:r>
        <w:rPr>
          <w:rFonts w:hint="eastAsia" w:ascii="宋体" w:hAnsi="宋体" w:eastAsia="宋体" w:cs="Times New Roman"/>
          <w:kern w:val="0"/>
          <w:sz w:val="21"/>
          <w:szCs w:val="21"/>
          <w:u w:val="single"/>
        </w:rPr>
        <w:t>100%</w:t>
      </w:r>
      <w:r>
        <w:rPr>
          <w:rFonts w:hint="eastAsia" w:ascii="宋体" w:hAnsi="宋体" w:eastAsia="宋体" w:cs="Times New Roman"/>
          <w:kern w:val="0"/>
          <w:sz w:val="21"/>
          <w:szCs w:val="21"/>
        </w:rPr>
        <w:t>支付违约金，并解除合同；擅自更换项目经理的，按签约合同价的</w:t>
      </w:r>
      <w:r>
        <w:rPr>
          <w:rFonts w:hint="eastAsia" w:ascii="宋体" w:hAnsi="宋体" w:eastAsia="宋体" w:cs="Times New Roman"/>
          <w:kern w:val="0"/>
          <w:sz w:val="21"/>
          <w:szCs w:val="21"/>
          <w:u w:val="single"/>
        </w:rPr>
        <w:t>3%/人·次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1万</w:t>
      </w:r>
      <w:r>
        <w:rPr>
          <w:rFonts w:hint="eastAsia" w:ascii="宋体" w:hAnsi="宋体" w:eastAsia="宋体" w:cs="Times New Roman"/>
          <w:kern w:val="0"/>
          <w:sz w:val="21"/>
          <w:szCs w:val="21"/>
        </w:rPr>
        <w:t>，累计不超过</w:t>
      </w:r>
      <w:r>
        <w:rPr>
          <w:rFonts w:hint="eastAsia" w:ascii="宋体" w:hAnsi="宋体" w:eastAsia="宋体" w:cs="Times New Roman"/>
          <w:kern w:val="0"/>
          <w:sz w:val="21"/>
          <w:szCs w:val="21"/>
          <w:u w:val="single"/>
        </w:rPr>
        <w:t>10万</w:t>
      </w:r>
      <w:r>
        <w:rPr>
          <w:rFonts w:hint="eastAsia" w:ascii="宋体" w:hAnsi="宋体" w:eastAsia="宋体" w:cs="Times New Roman"/>
          <w:kern w:val="0"/>
          <w:sz w:val="21"/>
          <w:szCs w:val="21"/>
        </w:rPr>
        <w:t>；项目经理被责令停止执业的，按签约合同价的</w:t>
      </w:r>
      <w:r>
        <w:rPr>
          <w:rFonts w:hint="eastAsia" w:ascii="宋体" w:hAnsi="宋体" w:eastAsia="宋体" w:cs="Times New Roman"/>
          <w:kern w:val="0"/>
          <w:sz w:val="21"/>
          <w:szCs w:val="21"/>
          <w:u w:val="single"/>
        </w:rPr>
        <w:t>3%/人·次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1万</w:t>
      </w:r>
      <w:r>
        <w:rPr>
          <w:rFonts w:hint="eastAsia" w:ascii="宋体" w:hAnsi="宋体" w:eastAsia="宋体" w:cs="Times New Roman"/>
          <w:kern w:val="0"/>
          <w:sz w:val="21"/>
          <w:szCs w:val="21"/>
        </w:rPr>
        <w:t>，累计不超过</w:t>
      </w:r>
      <w:r>
        <w:rPr>
          <w:rFonts w:hint="eastAsia" w:ascii="宋体" w:hAnsi="宋体" w:eastAsia="宋体" w:cs="Times New Roman"/>
          <w:kern w:val="0"/>
          <w:sz w:val="21"/>
          <w:szCs w:val="21"/>
          <w:u w:val="single"/>
        </w:rPr>
        <w:t>10万</w:t>
      </w:r>
      <w:r>
        <w:rPr>
          <w:rFonts w:hint="eastAsia" w:ascii="宋体" w:hAnsi="宋体" w:eastAsia="宋体" w:cs="Times New Roman"/>
          <w:kern w:val="0"/>
          <w:sz w:val="21"/>
          <w:szCs w:val="21"/>
        </w:rPr>
        <w:t>；项目经理被责令停止执业的，按签约合同价的</w:t>
      </w:r>
      <w:r>
        <w:rPr>
          <w:rFonts w:hint="eastAsia" w:ascii="宋体" w:hAnsi="宋体" w:eastAsia="宋体" w:cs="Times New Roman"/>
          <w:kern w:val="0"/>
          <w:sz w:val="21"/>
          <w:szCs w:val="21"/>
          <w:u w:val="single"/>
        </w:rPr>
        <w:t>3%/人•次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w:t>
      </w:r>
      <w:r>
        <w:rPr>
          <w:rFonts w:hint="eastAsia" w:ascii="宋体" w:hAnsi="宋体" w:eastAsia="宋体" w:cs="Times New Roman"/>
          <w:kern w:val="0"/>
          <w:sz w:val="21"/>
          <w:szCs w:val="21"/>
        </w:rPr>
        <w:t>万，累计不超过</w:t>
      </w:r>
      <w:r>
        <w:rPr>
          <w:rFonts w:hint="eastAsia" w:ascii="宋体" w:hAnsi="宋体" w:eastAsia="宋体" w:cs="Times New Roman"/>
          <w:kern w:val="0"/>
          <w:sz w:val="21"/>
          <w:szCs w:val="21"/>
          <w:u w:val="single"/>
        </w:rPr>
        <w:t>10</w:t>
      </w:r>
      <w:r>
        <w:rPr>
          <w:rFonts w:hint="eastAsia" w:ascii="宋体" w:hAnsi="宋体" w:eastAsia="宋体" w:cs="Times New Roman"/>
          <w:kern w:val="0"/>
          <w:sz w:val="21"/>
          <w:szCs w:val="21"/>
        </w:rPr>
        <w:t>万。</w:t>
      </w:r>
    </w:p>
    <w:p w14:paraId="2C59AFBD">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2）主要技术负责人违约承担方式和计算方法：对于第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项（14）目的六种情形，每发现一次，根据具体情节，按</w:t>
      </w:r>
      <w:r>
        <w:rPr>
          <w:rFonts w:hint="eastAsia" w:ascii="宋体" w:hAnsi="宋体" w:eastAsia="宋体" w:cs="Times New Roman"/>
          <w:kern w:val="0"/>
          <w:sz w:val="21"/>
          <w:szCs w:val="21"/>
          <w:u w:val="single"/>
        </w:rPr>
        <w:t>5000元/天·次</w:t>
      </w:r>
      <w:r>
        <w:rPr>
          <w:rFonts w:hint="eastAsia" w:ascii="宋体" w:hAnsi="宋体" w:eastAsia="宋体" w:cs="Times New Roman"/>
          <w:kern w:val="0"/>
          <w:sz w:val="21"/>
          <w:szCs w:val="21"/>
        </w:rPr>
        <w:t>计算违约金；擅自更换主要技术负责人的，按签约合同价的</w:t>
      </w:r>
      <w:r>
        <w:rPr>
          <w:rFonts w:hint="eastAsia" w:ascii="宋体" w:hAnsi="宋体" w:eastAsia="宋体" w:cs="Times New Roman"/>
          <w:kern w:val="0"/>
          <w:sz w:val="21"/>
          <w:szCs w:val="21"/>
          <w:u w:val="single"/>
        </w:rPr>
        <w:t>2%/人·次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1万</w:t>
      </w:r>
      <w:r>
        <w:rPr>
          <w:rFonts w:hint="eastAsia" w:ascii="宋体" w:hAnsi="宋体" w:eastAsia="宋体" w:cs="Times New Roman"/>
          <w:kern w:val="0"/>
          <w:sz w:val="21"/>
          <w:szCs w:val="21"/>
        </w:rPr>
        <w:t>，累计不超过</w:t>
      </w:r>
      <w:r>
        <w:rPr>
          <w:rFonts w:hint="eastAsia" w:ascii="宋体" w:hAnsi="宋体" w:eastAsia="宋体" w:cs="Times New Roman"/>
          <w:kern w:val="0"/>
          <w:sz w:val="21"/>
          <w:szCs w:val="21"/>
          <w:u w:val="single"/>
        </w:rPr>
        <w:t>5万</w:t>
      </w:r>
      <w:r>
        <w:rPr>
          <w:rFonts w:hint="eastAsia" w:ascii="宋体" w:hAnsi="宋体" w:eastAsia="宋体" w:cs="Times New Roman"/>
          <w:kern w:val="0"/>
          <w:sz w:val="21"/>
          <w:szCs w:val="21"/>
        </w:rPr>
        <w:t>。</w:t>
      </w:r>
    </w:p>
    <w:p w14:paraId="66BE123D">
      <w:pPr>
        <w:snapToGrid w:val="0"/>
        <w:spacing w:line="400" w:lineRule="exact"/>
        <w:jc w:val="left"/>
        <w:rPr>
          <w:rFonts w:ascii="宋体" w:hAnsi="宋体" w:eastAsia="宋体" w:cs="Times New Roman"/>
          <w:sz w:val="21"/>
          <w:szCs w:val="21"/>
        </w:rPr>
      </w:pPr>
      <w:r>
        <w:rPr>
          <w:rFonts w:hint="eastAsia" w:ascii="宋体" w:hAnsi="宋体" w:eastAsia="宋体" w:cs="Times New Roman"/>
          <w:kern w:val="0"/>
          <w:sz w:val="21"/>
          <w:szCs w:val="21"/>
        </w:rPr>
        <w:t>3）主要施工管理人员违约承担方式和计算方法：对于第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项（15）目的五种情形，每发现一次，根据具体情节，按</w:t>
      </w:r>
      <w:r>
        <w:rPr>
          <w:rFonts w:hint="eastAsia" w:ascii="宋体" w:hAnsi="宋体" w:eastAsia="宋体" w:cs="Times New Roman"/>
          <w:kern w:val="0"/>
          <w:sz w:val="21"/>
          <w:szCs w:val="21"/>
          <w:u w:val="single"/>
        </w:rPr>
        <w:t>5000元/天·次</w:t>
      </w:r>
      <w:r>
        <w:rPr>
          <w:rFonts w:hint="eastAsia" w:ascii="宋体" w:hAnsi="宋体" w:eastAsia="宋体" w:cs="Times New Roman"/>
          <w:kern w:val="0"/>
          <w:sz w:val="21"/>
          <w:szCs w:val="21"/>
        </w:rPr>
        <w:t>计算违约金。</w:t>
      </w:r>
    </w:p>
    <w:p w14:paraId="5819A86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（18）</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6E914737">
      <w:pPr>
        <w:keepNext/>
        <w:keepLines/>
        <w:snapToGrid w:val="0"/>
        <w:spacing w:line="360" w:lineRule="auto"/>
        <w:jc w:val="left"/>
        <w:outlineLvl w:val="3"/>
        <w:rPr>
          <w:rFonts w:ascii="宋体" w:hAnsi="宋体" w:eastAsia="宋体" w:cs="宋体"/>
          <w:kern w:val="0"/>
          <w:sz w:val="21"/>
          <w:szCs w:val="21"/>
        </w:rPr>
      </w:pPr>
      <w:r>
        <w:rPr>
          <w:rFonts w:hint="eastAsia" w:ascii="宋体" w:hAnsi="宋体" w:eastAsia="宋体" w:cs="宋体"/>
          <w:sz w:val="21"/>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 对承包人违约的处理</w:t>
      </w:r>
      <w:r>
        <w:rPr>
          <w:rFonts w:hint="eastAsia" w:ascii="宋体" w:hAnsi="宋体" w:eastAsia="宋体" w:cs="宋体"/>
          <w:kern w:val="0"/>
          <w:sz w:val="21"/>
          <w:szCs w:val="21"/>
        </w:rPr>
        <w:t>承担违约责任</w:t>
      </w:r>
      <w:r>
        <w:rPr>
          <w:rFonts w:hint="eastAsia" w:ascii="宋体" w:hAnsi="宋体" w:eastAsia="宋体" w:cs="宋体"/>
          <w:sz w:val="21"/>
          <w:szCs w:val="21"/>
        </w:rPr>
        <w:t>，并从应付或到期应付给承包人的任何款项中或采用其他方法，扣除该违约金。</w:t>
      </w:r>
    </w:p>
    <w:p w14:paraId="7E9516E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eastAsia="宋体" w:cs="Times New Roman"/>
          <w:kern w:val="0"/>
          <w:sz w:val="21"/>
          <w:szCs w:val="21"/>
        </w:rPr>
        <w:t>，承担由此给</w:t>
      </w:r>
      <w:r>
        <w:rPr>
          <w:rFonts w:hint="eastAsia" w:ascii="宋体" w:hAnsi="宋体" w:eastAsia="宋体" w:cs="Times New Roman"/>
          <w:sz w:val="21"/>
          <w:szCs w:val="21"/>
        </w:rPr>
        <w:t>发包人造成的经济损失。</w:t>
      </w:r>
    </w:p>
    <w:p w14:paraId="3390EE2D">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16.2.3 因承包人违约解除合同</w:t>
      </w:r>
    </w:p>
    <w:p w14:paraId="18AD7CE2">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因承包人违约并致使合同目的不能实现的，发包人有权解除合同：</w:t>
      </w:r>
    </w:p>
    <w:p w14:paraId="2EFF57A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（1）未按合同约定延迟提供履约担保、质量保证金超过14天的；</w:t>
      </w:r>
    </w:p>
    <w:p w14:paraId="51A9BE1B">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（2）未按合同约定购买保险且经催告后超过56天的；</w:t>
      </w:r>
    </w:p>
    <w:p w14:paraId="2935F821">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（3）因承包人原因导致开工时间累计延误超过56天的；</w:t>
      </w:r>
    </w:p>
    <w:p w14:paraId="4DBB11D6">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（4）因承包人原因导致工期延误超过90天的；</w:t>
      </w:r>
    </w:p>
    <w:p w14:paraId="2BE9936C">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（5）发生第21.2款〔退出机制〕约定的情形的；</w:t>
      </w:r>
    </w:p>
    <w:p w14:paraId="4BD1C19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（6）监理人发出整改通知后，承包人在监理人限定的期限内仍不纠正违约行为的；</w:t>
      </w:r>
    </w:p>
    <w:p w14:paraId="0477FA4D">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（7）承包人进入清算或者严重资不抵债且无法履行合同的；</w:t>
      </w:r>
    </w:p>
    <w:p w14:paraId="2D9688FD">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（8）违反适用法律而被相关政府部门依法吊销营业执照、责令停业、清算或宣布破产、责令关闭的；</w:t>
      </w:r>
    </w:p>
    <w:p w14:paraId="44DD9DCB">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（9）承包人未履行合同项下的义务构成对合同的实质性违约，并且在收到发包人要求说明其违约并予以补救的通知后56天内仍未能补救该实质性违约的；</w:t>
      </w:r>
    </w:p>
    <w:p w14:paraId="49B8A492">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（10）</w:t>
      </w:r>
      <w:r>
        <w:rPr>
          <w:rFonts w:hint="eastAsia" w:ascii="宋体" w:hAnsi="宋体" w:eastAsia="宋体" w:cs="Microsoft Sans Serif"/>
          <w:kern w:val="0"/>
          <w:sz w:val="21"/>
          <w:szCs w:val="21"/>
          <w:u w:val="single"/>
        </w:rPr>
        <w:t>合同约定的发包人有权解除合同的其他情形</w:t>
      </w:r>
      <w:r>
        <w:rPr>
          <w:rFonts w:hint="eastAsia" w:ascii="宋体" w:hAnsi="宋体" w:eastAsia="宋体" w:cs="Microsoft Sans Serif"/>
          <w:kern w:val="0"/>
          <w:sz w:val="21"/>
          <w:szCs w:val="21"/>
        </w:rPr>
        <w:t>。</w:t>
      </w:r>
    </w:p>
    <w:p w14:paraId="665D0A04">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16.2.4因承包人违约解除合同后的处理</w:t>
      </w:r>
    </w:p>
    <w:p w14:paraId="0ABC420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因承包人违约导致合同解除的，合同当事人应在</w:t>
      </w:r>
      <w:r>
        <w:rPr>
          <w:rFonts w:hint="eastAsia" w:ascii="宋体" w:hAnsi="宋体" w:eastAsia="宋体" w:cs="Microsoft Sans Serif"/>
          <w:kern w:val="0"/>
          <w:sz w:val="21"/>
          <w:szCs w:val="21"/>
          <w:u w:val="single"/>
        </w:rPr>
        <w:t>合同解除后28天内</w:t>
      </w:r>
      <w:r>
        <w:rPr>
          <w:rFonts w:hint="eastAsia" w:ascii="宋体" w:hAnsi="宋体" w:eastAsia="宋体" w:cs="Microsoft Sans Serif"/>
          <w:kern w:val="0"/>
          <w:sz w:val="21"/>
          <w:szCs w:val="21"/>
        </w:rPr>
        <w:t>完成估价、付款和清算，并按以下约定执行：</w:t>
      </w:r>
    </w:p>
    <w:p w14:paraId="707BA4C0">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（1）合同解除后，按第14.2款结算审定方式确定承包人实际完成工作对应的合同价款，以及承包人已提供的材料、工程设备、施工设备和临时工程等的价值；</w:t>
      </w:r>
    </w:p>
    <w:p w14:paraId="7E8A4697">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（2）合同解除后，承包人应支付违约金；</w:t>
      </w:r>
    </w:p>
    <w:p w14:paraId="3056C0D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（3）合同解除后，赔偿因解除合同给发包人造成的损失；</w:t>
      </w:r>
    </w:p>
    <w:p w14:paraId="225C3420">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（4）合同解除后，承包人应按照发包人要求和监理人的指示完成现场的清理和撤离。</w:t>
      </w:r>
    </w:p>
    <w:p w14:paraId="191347AE">
      <w:pPr>
        <w:spacing w:line="360" w:lineRule="auto"/>
        <w:jc w:val="left"/>
        <w:rPr>
          <w:rFonts w:ascii="宋体" w:hAnsi="宋体" w:eastAsia="宋体" w:cs="Times New Roman"/>
          <w:sz w:val="21"/>
          <w:szCs w:val="21"/>
        </w:rPr>
      </w:pPr>
      <w:r>
        <w:rPr>
          <w:rFonts w:hint="eastAsia" w:ascii="宋体" w:hAnsi="宋体" w:eastAsia="宋体" w:cs="Microsoft Sans Serif"/>
          <w:kern w:val="0"/>
          <w:sz w:val="21"/>
          <w:szCs w:val="21"/>
        </w:rPr>
        <w:t>（5）</w:t>
      </w:r>
      <w:r>
        <w:rPr>
          <w:rFonts w:hint="eastAsia" w:ascii="宋体" w:hAnsi="宋体" w:eastAsia="宋体" w:cs="Microsoft Sans Serif"/>
          <w:kern w:val="0"/>
          <w:sz w:val="21"/>
          <w:szCs w:val="21"/>
          <w:u w:val="single"/>
        </w:rPr>
        <w:t xml:space="preserve">   /     </w:t>
      </w:r>
      <w:r>
        <w:rPr>
          <w:rFonts w:hint="eastAsia" w:ascii="宋体" w:hAnsi="宋体" w:eastAsia="宋体" w:cs="Microsoft Sans Serif"/>
          <w:kern w:val="0"/>
          <w:sz w:val="21"/>
          <w:szCs w:val="21"/>
        </w:rPr>
        <w:t>。</w:t>
      </w:r>
    </w:p>
    <w:p w14:paraId="5468E5A0">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708B71CC">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14:paraId="0FE08FBA">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17. 不可抗力</w:t>
      </w:r>
    </w:p>
    <w:p w14:paraId="11F65E98">
      <w:pPr>
        <w:widowControl/>
        <w:spacing w:line="360" w:lineRule="auto"/>
        <w:jc w:val="left"/>
        <w:outlineLvl w:val="4"/>
        <w:rPr>
          <w:rFonts w:ascii="宋体" w:hAnsi="宋体" w:eastAsia="宋体" w:cs="宋体"/>
          <w:b/>
          <w:bCs/>
          <w:kern w:val="0"/>
          <w:sz w:val="21"/>
          <w:szCs w:val="21"/>
        </w:rPr>
      </w:pPr>
      <w:bookmarkStart w:id="1645" w:name="_Toc532377405"/>
      <w:bookmarkEnd w:id="1645"/>
      <w:bookmarkStart w:id="1646" w:name="_Toc532375666"/>
      <w:r>
        <w:rPr>
          <w:rFonts w:hint="eastAsia" w:ascii="宋体" w:hAnsi="宋体" w:eastAsia="宋体" w:cs="宋体"/>
          <w:b/>
          <w:bCs/>
          <w:kern w:val="0"/>
          <w:sz w:val="21"/>
          <w:szCs w:val="21"/>
        </w:rPr>
        <w:t>17.1 不可抗力的确认</w:t>
      </w:r>
      <w:bookmarkEnd w:id="1646"/>
    </w:p>
    <w:p w14:paraId="2CE27E32">
      <w:pPr>
        <w:spacing w:line="400" w:lineRule="exact"/>
        <w:ind w:right="140" w:rightChars="50"/>
        <w:jc w:val="left"/>
        <w:rPr>
          <w:rFonts w:ascii="宋体" w:hAnsi="宋体" w:eastAsia="宋体" w:cs="Times New Roman"/>
          <w:sz w:val="21"/>
          <w:szCs w:val="21"/>
        </w:rPr>
      </w:pPr>
      <w:bookmarkStart w:id="1647" w:name="_Toc351203650"/>
      <w:bookmarkEnd w:id="1647"/>
      <w:bookmarkStart w:id="1648" w:name="_Toc532377408"/>
      <w:bookmarkEnd w:id="1648"/>
      <w:bookmarkStart w:id="1649" w:name="_Toc532375669"/>
      <w:r>
        <w:rPr>
          <w:rFonts w:hint="eastAsia" w:ascii="宋体" w:hAnsi="宋体" w:eastAsia="宋体" w:cs="Times New Roman"/>
          <w:sz w:val="21"/>
          <w:szCs w:val="21"/>
        </w:rPr>
        <w:t>除通用合同条款约定的不可抗力事件之外，视为不可抗力的其他情形：</w:t>
      </w:r>
      <w:bookmarkEnd w:id="1649"/>
      <w:bookmarkStart w:id="1650" w:name="_Hlk524379638"/>
      <w:bookmarkEnd w:id="1650"/>
    </w:p>
    <w:p w14:paraId="63757336">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（1）洪水、火山爆发、山崩、山体滑坡、泥石流、龙卷风、隧道内不可预测的突发性地质灾害等自然灾害；</w:t>
      </w:r>
    </w:p>
    <w:p w14:paraId="4C2AE5EB">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（2）骚乱、戒严、封锁、禁运、恐怖行为、等社会行为，但承包人或其分包人派遣与雇佣的人员由于合同工程施工原因引起的除外；</w:t>
      </w:r>
    </w:p>
    <w:p w14:paraId="1CC6DBED">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（3）不能合理预见的重大交通阻滞、停运、交通事故，非双方责任引起的火灾、爆炸、船舶撞击等情形；</w:t>
      </w:r>
    </w:p>
    <w:p w14:paraId="16EB968C">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（4）化学或放射性污染或核辐射；</w:t>
      </w:r>
    </w:p>
    <w:p w14:paraId="26B12CAA">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（5）环保治理等政府行为导致项目停工的。</w:t>
      </w:r>
    </w:p>
    <w:p w14:paraId="29F64E71">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（6）</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55B7745">
      <w:pPr>
        <w:widowControl/>
        <w:spacing w:line="360" w:lineRule="auto"/>
        <w:jc w:val="left"/>
        <w:outlineLvl w:val="4"/>
        <w:rPr>
          <w:rFonts w:ascii="宋体" w:hAnsi="宋体" w:eastAsia="宋体" w:cs="宋体"/>
          <w:b/>
          <w:bCs/>
          <w:kern w:val="0"/>
          <w:sz w:val="21"/>
          <w:szCs w:val="21"/>
        </w:rPr>
      </w:pPr>
      <w:bookmarkStart w:id="1651" w:name="_Toc532375668"/>
      <w:bookmarkEnd w:id="1651"/>
      <w:bookmarkStart w:id="1652" w:name="_Toc532377407"/>
      <w:r>
        <w:rPr>
          <w:rFonts w:hint="eastAsia" w:ascii="宋体" w:hAnsi="宋体" w:eastAsia="宋体" w:cs="宋体"/>
          <w:b/>
          <w:bCs/>
          <w:kern w:val="0"/>
          <w:sz w:val="21"/>
          <w:szCs w:val="21"/>
        </w:rPr>
        <w:t xml:space="preserve">17.4 </w:t>
      </w:r>
      <w:bookmarkEnd w:id="1652"/>
      <w:r>
        <w:rPr>
          <w:rFonts w:hint="eastAsia" w:ascii="宋体" w:hAnsi="宋体" w:eastAsia="宋体" w:cs="宋体"/>
          <w:b/>
          <w:bCs/>
          <w:kern w:val="0"/>
          <w:sz w:val="21"/>
          <w:szCs w:val="21"/>
        </w:rPr>
        <w:t>因不可抗力解除合同</w:t>
      </w:r>
    </w:p>
    <w:p w14:paraId="038EA4A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合同解除后，发包人应在商定或确定发包人应支付款项后</w:t>
      </w:r>
      <w:r>
        <w:rPr>
          <w:rFonts w:hint="eastAsia" w:ascii="宋体" w:hAnsi="宋体" w:eastAsia="宋体" w:cs="Times New Roman"/>
          <w:sz w:val="21"/>
          <w:szCs w:val="21"/>
          <w:u w:val="single"/>
        </w:rPr>
        <w:t xml:space="preserve"> 60 </w:t>
      </w:r>
      <w:r>
        <w:rPr>
          <w:rFonts w:hint="eastAsia" w:ascii="宋体" w:hAnsi="宋体" w:eastAsia="宋体" w:cs="Times New Roman"/>
          <w:sz w:val="21"/>
          <w:szCs w:val="21"/>
        </w:rPr>
        <w:t>天内完成款项的支付。</w:t>
      </w:r>
    </w:p>
    <w:p w14:paraId="2F5570F0">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18. 保险</w:t>
      </w:r>
    </w:p>
    <w:p w14:paraId="4FEC9211">
      <w:pPr>
        <w:widowControl/>
        <w:spacing w:line="360" w:lineRule="auto"/>
        <w:jc w:val="left"/>
        <w:outlineLvl w:val="4"/>
        <w:rPr>
          <w:rFonts w:ascii="宋体" w:hAnsi="宋体" w:eastAsia="宋体" w:cs="宋体"/>
          <w:b/>
          <w:bCs/>
          <w:kern w:val="0"/>
          <w:sz w:val="21"/>
          <w:szCs w:val="21"/>
        </w:rPr>
      </w:pPr>
      <w:bookmarkStart w:id="1653" w:name="_Toc532377409"/>
      <w:bookmarkEnd w:id="1653"/>
      <w:bookmarkStart w:id="1654" w:name="_Toc532375670"/>
      <w:r>
        <w:rPr>
          <w:rFonts w:hint="eastAsia" w:ascii="宋体" w:hAnsi="宋体" w:eastAsia="宋体" w:cs="宋体"/>
          <w:b/>
          <w:bCs/>
          <w:kern w:val="0"/>
          <w:sz w:val="21"/>
          <w:szCs w:val="21"/>
        </w:rPr>
        <w:t>18.1 工程保险</w:t>
      </w:r>
      <w:bookmarkEnd w:id="1654"/>
    </w:p>
    <w:p w14:paraId="430D6AAD">
      <w:pPr>
        <w:widowControl/>
        <w:spacing w:line="360" w:lineRule="auto"/>
        <w:jc w:val="left"/>
        <w:outlineLvl w:val="4"/>
        <w:rPr>
          <w:rFonts w:ascii="宋体" w:hAnsi="宋体" w:eastAsia="宋体" w:cs="宋体"/>
          <w:kern w:val="0"/>
          <w:sz w:val="21"/>
          <w:szCs w:val="21"/>
        </w:rPr>
      </w:pPr>
      <w:bookmarkStart w:id="1655" w:name="_Toc532377410"/>
      <w:bookmarkEnd w:id="1655"/>
      <w:bookmarkStart w:id="1656" w:name="_Toc532375671"/>
      <w:r>
        <w:rPr>
          <w:rFonts w:hint="eastAsia" w:ascii="宋体" w:hAnsi="宋体" w:eastAsia="宋体" w:cs="宋体"/>
          <w:kern w:val="0"/>
          <w:sz w:val="21"/>
          <w:szCs w:val="21"/>
        </w:rPr>
        <w:t>关于工程保险的特别约定：发包人应投保</w:t>
      </w:r>
      <w:bookmarkEnd w:id="1656"/>
      <w:r>
        <w:rPr>
          <w:rFonts w:hint="eastAsia" w:ascii="宋体" w:hAnsi="宋体" w:eastAsia="宋体" w:cs="宋体"/>
          <w:kern w:val="0"/>
          <w:sz w:val="21"/>
          <w:szCs w:val="21"/>
          <w:u w:val="single"/>
        </w:rPr>
        <w:t>建筑工程一切险或安装工程一切险</w:t>
      </w:r>
      <w:r>
        <w:rPr>
          <w:rFonts w:hint="eastAsia" w:ascii="宋体" w:hAnsi="宋体" w:eastAsia="宋体" w:cs="宋体"/>
          <w:kern w:val="0"/>
          <w:sz w:val="21"/>
          <w:szCs w:val="21"/>
        </w:rPr>
        <w:t>；发包人委托承包人投保的，因投保产生的保险费和其他相关费用由发包人承担。</w:t>
      </w:r>
    </w:p>
    <w:p w14:paraId="3E897B90">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18.3 其他保险</w:t>
      </w:r>
    </w:p>
    <w:p w14:paraId="6D16DD9C">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关于其他保险的约定：</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按相关规定由承包人自行向保险公司投保</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50FC254">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承包人是否应为其施工设备等办理财产保险：</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按相关规定由承包人自行向保险公司投保</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07D846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安全生产责任险：</w:t>
      </w:r>
      <w:r>
        <w:rPr>
          <w:rFonts w:hint="eastAsia" w:ascii="宋体" w:hAnsi="宋体" w:eastAsia="宋体" w:cs="Times New Roman"/>
          <w:sz w:val="21"/>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eastAsia="宋体" w:cs="Times New Roman"/>
          <w:sz w:val="21"/>
          <w:szCs w:val="21"/>
        </w:rPr>
        <w:t>。</w:t>
      </w:r>
    </w:p>
    <w:p w14:paraId="1BB64073">
      <w:pPr>
        <w:widowControl/>
        <w:spacing w:line="360" w:lineRule="auto"/>
        <w:jc w:val="left"/>
        <w:outlineLvl w:val="4"/>
        <w:rPr>
          <w:rFonts w:ascii="宋体" w:hAnsi="宋体" w:eastAsia="宋体" w:cs="宋体"/>
          <w:b/>
          <w:bCs/>
          <w:kern w:val="0"/>
          <w:sz w:val="21"/>
          <w:szCs w:val="21"/>
        </w:rPr>
      </w:pPr>
      <w:bookmarkStart w:id="1657" w:name="_Toc532377411"/>
      <w:bookmarkEnd w:id="1657"/>
      <w:bookmarkStart w:id="1658" w:name="_Toc532375672"/>
      <w:r>
        <w:rPr>
          <w:rFonts w:hint="eastAsia" w:ascii="宋体" w:hAnsi="宋体" w:eastAsia="宋体" w:cs="宋体"/>
          <w:b/>
          <w:bCs/>
          <w:kern w:val="0"/>
          <w:sz w:val="21"/>
          <w:szCs w:val="21"/>
        </w:rPr>
        <w:t>18.7 通知义务</w:t>
      </w:r>
      <w:bookmarkEnd w:id="1658"/>
    </w:p>
    <w:p w14:paraId="6C12CA5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关于变更保险合同时的通知义务的约定：</w:t>
      </w:r>
      <w:r>
        <w:rPr>
          <w:rFonts w:hint="eastAsia" w:ascii="宋体" w:hAnsi="宋体" w:eastAsia="宋体" w:cs="Times New Roman"/>
          <w:sz w:val="21"/>
          <w:szCs w:val="21"/>
          <w:u w:val="single"/>
        </w:rPr>
        <w:t>按通用合同条款执行</w:t>
      </w:r>
      <w:r>
        <w:rPr>
          <w:rFonts w:hint="eastAsia" w:ascii="宋体" w:hAnsi="宋体" w:eastAsia="宋体" w:cs="Times New Roman"/>
          <w:sz w:val="21"/>
          <w:szCs w:val="21"/>
        </w:rPr>
        <w:t>。</w:t>
      </w:r>
    </w:p>
    <w:p w14:paraId="2703E107">
      <w:pPr>
        <w:keepNext/>
        <w:keepLines/>
        <w:spacing w:before="156" w:beforeLines="50" w:after="156" w:afterLines="50" w:line="360" w:lineRule="auto"/>
        <w:outlineLvl w:val="3"/>
        <w:rPr>
          <w:rFonts w:ascii="宋体" w:hAnsi="宋体" w:eastAsia="宋体" w:cs="宋体"/>
          <w:b/>
          <w:sz w:val="21"/>
          <w:szCs w:val="21"/>
        </w:rPr>
      </w:pPr>
      <w:r>
        <w:rPr>
          <w:rFonts w:hint="eastAsia" w:ascii="宋体" w:hAnsi="宋体" w:eastAsia="宋体" w:cs="宋体"/>
          <w:b/>
          <w:bCs/>
          <w:sz w:val="21"/>
          <w:szCs w:val="21"/>
        </w:rPr>
        <w:t>19. 索赔</w:t>
      </w:r>
    </w:p>
    <w:p w14:paraId="68C165A4">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19.1承包人的索赔</w:t>
      </w:r>
    </w:p>
    <w:p w14:paraId="67418301">
      <w:pPr>
        <w:snapToGrid w:val="0"/>
        <w:spacing w:line="360" w:lineRule="auto"/>
        <w:jc w:val="left"/>
        <w:rPr>
          <w:rFonts w:ascii="Times New Roman" w:hAnsi="Times New Roman" w:eastAsia="宋体" w:cs="Times New Roman"/>
          <w:sz w:val="21"/>
          <w:szCs w:val="21"/>
        </w:rPr>
      </w:pPr>
      <w:r>
        <w:rPr>
          <w:rFonts w:hint="eastAsia" w:ascii="宋体" w:hAnsi="宋体" w:eastAsia="宋体" w:cs="Times New Roman"/>
          <w:kern w:val="0"/>
          <w:sz w:val="21"/>
          <w:szCs w:val="21"/>
        </w:rPr>
        <w:t>其他：其因政策原因造成的延期、停工、变更、终止，承包人不得向发包人索赔预期利益。</w:t>
      </w:r>
    </w:p>
    <w:p w14:paraId="3671F445">
      <w:pPr>
        <w:keepNext/>
        <w:keepLines/>
        <w:spacing w:line="360" w:lineRule="auto"/>
        <w:outlineLvl w:val="3"/>
        <w:rPr>
          <w:rFonts w:ascii="宋体" w:hAnsi="宋体" w:eastAsia="宋体" w:cs="宋体"/>
          <w:b/>
          <w:sz w:val="21"/>
          <w:szCs w:val="21"/>
        </w:rPr>
      </w:pPr>
      <w:bookmarkStart w:id="1659" w:name="_Toc532375680"/>
      <w:bookmarkEnd w:id="1659"/>
      <w:bookmarkStart w:id="1660" w:name="_Toc532377419"/>
      <w:bookmarkEnd w:id="1660"/>
      <w:bookmarkStart w:id="1661" w:name="_Toc351203651"/>
      <w:r>
        <w:rPr>
          <w:rFonts w:hint="eastAsia" w:ascii="宋体" w:hAnsi="宋体" w:eastAsia="宋体" w:cs="宋体"/>
          <w:b/>
          <w:bCs/>
          <w:sz w:val="21"/>
          <w:szCs w:val="21"/>
        </w:rPr>
        <w:t>20. 争议解决</w:t>
      </w:r>
      <w:bookmarkEnd w:id="1661"/>
    </w:p>
    <w:p w14:paraId="03561F72">
      <w:pPr>
        <w:widowControl/>
        <w:spacing w:line="360" w:lineRule="auto"/>
        <w:jc w:val="left"/>
        <w:outlineLvl w:val="4"/>
        <w:rPr>
          <w:rFonts w:ascii="宋体" w:hAnsi="宋体" w:eastAsia="宋体" w:cs="宋体"/>
          <w:b/>
          <w:bCs/>
          <w:kern w:val="0"/>
          <w:sz w:val="21"/>
          <w:szCs w:val="21"/>
        </w:rPr>
      </w:pPr>
      <w:bookmarkStart w:id="1662" w:name="_Toc532377420"/>
      <w:bookmarkEnd w:id="1662"/>
      <w:bookmarkStart w:id="1663" w:name="_Toc532375681"/>
      <w:r>
        <w:rPr>
          <w:rFonts w:hint="eastAsia" w:ascii="宋体" w:hAnsi="宋体" w:eastAsia="宋体" w:cs="宋体"/>
          <w:b/>
          <w:bCs/>
          <w:kern w:val="0"/>
          <w:sz w:val="21"/>
          <w:szCs w:val="21"/>
        </w:rPr>
        <w:t>20.3 争议评审</w:t>
      </w:r>
      <w:bookmarkEnd w:id="1663"/>
    </w:p>
    <w:p w14:paraId="17F0CC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合同当事人是否同意将工程争议提交争议评审小组决定：</w:t>
      </w:r>
      <w:r>
        <w:rPr>
          <w:rFonts w:hint="eastAsia" w:ascii="宋体" w:hAnsi="宋体" w:eastAsia="宋体" w:cs="Times New Roman"/>
          <w:sz w:val="21"/>
          <w:szCs w:val="21"/>
          <w:u w:val="single"/>
        </w:rPr>
        <w:t xml:space="preserve">     </w:t>
      </w:r>
      <w:r>
        <w:rPr>
          <w:rFonts w:hint="eastAsia" w:ascii="宋体" w:hAnsi="宋体" w:eastAsia="宋体" w:cs="Microsoft Sans Serif"/>
          <w:kern w:val="0"/>
          <w:sz w:val="21"/>
          <w:szCs w:val="21"/>
          <w:u w:val="single"/>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8544712">
      <w:pPr>
        <w:widowControl/>
        <w:spacing w:line="360" w:lineRule="auto"/>
        <w:jc w:val="left"/>
        <w:outlineLvl w:val="4"/>
        <w:rPr>
          <w:rFonts w:ascii="宋体" w:hAnsi="宋体" w:eastAsia="宋体" w:cs="宋体"/>
          <w:b/>
          <w:bCs/>
          <w:kern w:val="0"/>
          <w:sz w:val="21"/>
          <w:szCs w:val="21"/>
        </w:rPr>
      </w:pPr>
      <w:bookmarkStart w:id="1664" w:name="_Toc532375682"/>
      <w:bookmarkEnd w:id="1664"/>
      <w:bookmarkStart w:id="1665" w:name="_Toc532377421"/>
      <w:r>
        <w:rPr>
          <w:rFonts w:hint="eastAsia" w:ascii="宋体" w:hAnsi="宋体" w:eastAsia="宋体" w:cs="宋体"/>
          <w:b/>
          <w:bCs/>
          <w:kern w:val="0"/>
          <w:sz w:val="21"/>
          <w:szCs w:val="21"/>
        </w:rPr>
        <w:t>20.4 仲裁或诉讼</w:t>
      </w:r>
      <w:bookmarkEnd w:id="1665"/>
    </w:p>
    <w:p w14:paraId="33C3A8DA">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因合同及合同有关事项发生的争议，按下列第</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种方式解决：</w:t>
      </w:r>
    </w:p>
    <w:p w14:paraId="1A3D6F36">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（1）向</w:t>
      </w:r>
      <w:r>
        <w:rPr>
          <w:rFonts w:hint="eastAsia" w:ascii="宋体" w:hAnsi="宋体" w:eastAsia="宋体" w:cs="Times New Roman"/>
          <w:sz w:val="21"/>
          <w:szCs w:val="21"/>
          <w:u w:val="single"/>
        </w:rPr>
        <w:t xml:space="preserve">   项目所在地    </w:t>
      </w:r>
      <w:r>
        <w:rPr>
          <w:rFonts w:hint="eastAsia" w:ascii="宋体" w:hAnsi="宋体" w:eastAsia="宋体" w:cs="Times New Roman"/>
          <w:sz w:val="21"/>
          <w:szCs w:val="21"/>
        </w:rPr>
        <w:t>仲裁委员会申请仲裁；</w:t>
      </w:r>
    </w:p>
    <w:p w14:paraId="21D7CB6F">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（2）向</w:t>
      </w:r>
      <w:r>
        <w:rPr>
          <w:rFonts w:hint="eastAsia" w:ascii="宋体" w:hAnsi="宋体" w:eastAsia="宋体" w:cs="Times New Roman"/>
          <w:sz w:val="21"/>
          <w:szCs w:val="21"/>
          <w:u w:val="single"/>
        </w:rPr>
        <w:t xml:space="preserve">      项目所在地       </w:t>
      </w:r>
      <w:r>
        <w:rPr>
          <w:rFonts w:hint="eastAsia" w:ascii="宋体" w:hAnsi="宋体" w:eastAsia="宋体" w:cs="Times New Roman"/>
          <w:sz w:val="21"/>
          <w:szCs w:val="21"/>
        </w:rPr>
        <w:t>人民法院起诉。</w:t>
      </w:r>
    </w:p>
    <w:p w14:paraId="7AED1B34">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21. 合同附件</w:t>
      </w:r>
    </w:p>
    <w:p w14:paraId="361EB2E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协议书附件：</w:t>
      </w:r>
    </w:p>
    <w:p w14:paraId="6AD8328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附件1：承包人承揽工程项目一览表</w:t>
      </w:r>
    </w:p>
    <w:p w14:paraId="6D82613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专用合同条款附件：</w:t>
      </w:r>
    </w:p>
    <w:p w14:paraId="5D406F7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附件2：发包人供应材料设备一览表</w:t>
      </w:r>
    </w:p>
    <w:p w14:paraId="6588FA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附件3：工程质量保修书</w:t>
      </w:r>
    </w:p>
    <w:p w14:paraId="1299759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附件4：主要建设工程文件目录</w:t>
      </w:r>
    </w:p>
    <w:p w14:paraId="79854FB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附件5：承包人用于本工程施工的机械设备表</w:t>
      </w:r>
    </w:p>
    <w:p w14:paraId="34451EE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附件6：承包人主要施工管理人员表</w:t>
      </w:r>
    </w:p>
    <w:p w14:paraId="6B5D419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附件7：分包人主要施工管理人员表</w:t>
      </w:r>
    </w:p>
    <w:p w14:paraId="0947864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附件8：履约担保格式</w:t>
      </w:r>
    </w:p>
    <w:p w14:paraId="77714D7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附件9：安全管理协议</w:t>
      </w:r>
    </w:p>
    <w:p w14:paraId="4E4E50E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附件10：廉洁从业协议</w:t>
      </w:r>
    </w:p>
    <w:p w14:paraId="124E8A4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附件11：暂估价一览表</w:t>
      </w:r>
    </w:p>
    <w:p w14:paraId="4FB668BA">
      <w:pPr>
        <w:widowControl/>
        <w:spacing w:line="360" w:lineRule="auto"/>
        <w:jc w:val="left"/>
        <w:rPr>
          <w:rFonts w:ascii="宋体" w:hAnsi="宋体" w:eastAsia="宋体" w:cs="Times New Roman"/>
          <w:sz w:val="21"/>
          <w:szCs w:val="21"/>
        </w:rPr>
        <w:sectPr>
          <w:footerReference r:id="rId11" w:type="first"/>
          <w:headerReference r:id="rId7" w:type="default"/>
          <w:footerReference r:id="rId9" w:type="default"/>
          <w:headerReference r:id="rId8" w:type="even"/>
          <w:footerReference r:id="rId10" w:type="even"/>
          <w:pgSz w:w="11906" w:h="16838"/>
          <w:pgMar w:top="1418" w:right="1531" w:bottom="1418" w:left="1554" w:header="851" w:footer="992" w:gutter="0"/>
          <w:pgNumType w:fmt="decimal" w:start="1"/>
          <w:cols w:space="720" w:num="1"/>
          <w:titlePg/>
          <w:docGrid w:type="lines" w:linePitch="312" w:charSpace="0"/>
        </w:sectPr>
      </w:pPr>
    </w:p>
    <w:p w14:paraId="1BC44AA3">
      <w:pPr>
        <w:spacing w:before="156" w:beforeLines="50" w:after="156" w:afterLines="50" w:line="440" w:lineRule="exact"/>
        <w:jc w:val="left"/>
        <w:rPr>
          <w:rFonts w:ascii="宋体" w:hAnsi="宋体" w:eastAsia="宋体" w:cs="Times New Roman"/>
          <w:sz w:val="21"/>
          <w:szCs w:val="21"/>
        </w:rPr>
      </w:pPr>
      <w:r>
        <w:rPr>
          <w:rFonts w:hint="eastAsia" w:ascii="宋体" w:hAnsi="宋体" w:eastAsia="宋体" w:cs="Times New Roman"/>
          <w:sz w:val="21"/>
          <w:szCs w:val="21"/>
        </w:rPr>
        <w:t>附件1：</w:t>
      </w:r>
    </w:p>
    <w:p w14:paraId="284E9F4D">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承包人承揽工程项目一览表</w:t>
      </w:r>
    </w:p>
    <w:tbl>
      <w:tblPr>
        <w:tblStyle w:val="65"/>
        <w:tblW w:w="14601" w:type="dxa"/>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3EE7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2" w:space="0"/>
              <w:right w:val="single" w:color="auto" w:sz="6" w:space="0"/>
            </w:tcBorders>
            <w:vAlign w:val="center"/>
          </w:tcPr>
          <w:p w14:paraId="1C78592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单位工程名称</w:t>
            </w:r>
          </w:p>
        </w:tc>
        <w:tc>
          <w:tcPr>
            <w:tcW w:w="1843" w:type="dxa"/>
            <w:tcBorders>
              <w:top w:val="single" w:color="auto" w:sz="12" w:space="0"/>
              <w:left w:val="single" w:color="auto" w:sz="6" w:space="0"/>
              <w:bottom w:val="double" w:color="auto" w:sz="2" w:space="0"/>
              <w:right w:val="single" w:color="auto" w:sz="6" w:space="0"/>
            </w:tcBorders>
            <w:vAlign w:val="center"/>
          </w:tcPr>
          <w:p w14:paraId="2069AF1C">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建设规模</w:t>
            </w:r>
          </w:p>
        </w:tc>
        <w:tc>
          <w:tcPr>
            <w:tcW w:w="1417" w:type="dxa"/>
            <w:tcBorders>
              <w:top w:val="single" w:color="auto" w:sz="12" w:space="0"/>
              <w:left w:val="single" w:color="auto" w:sz="6" w:space="0"/>
              <w:bottom w:val="double" w:color="auto" w:sz="2" w:space="0"/>
              <w:right w:val="single" w:color="auto" w:sz="6" w:space="0"/>
            </w:tcBorders>
            <w:vAlign w:val="center"/>
          </w:tcPr>
          <w:p w14:paraId="1C8CC3BF">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建筑面积(平方米)</w:t>
            </w:r>
          </w:p>
        </w:tc>
        <w:tc>
          <w:tcPr>
            <w:tcW w:w="2410" w:type="dxa"/>
            <w:tcBorders>
              <w:top w:val="single" w:color="auto" w:sz="12" w:space="0"/>
              <w:left w:val="single" w:color="auto" w:sz="6" w:space="0"/>
              <w:bottom w:val="double" w:color="auto" w:sz="2" w:space="0"/>
              <w:right w:val="single" w:color="auto" w:sz="6" w:space="0"/>
            </w:tcBorders>
            <w:vAlign w:val="center"/>
          </w:tcPr>
          <w:p w14:paraId="25ED66D7">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结构形式</w:t>
            </w:r>
          </w:p>
        </w:tc>
        <w:tc>
          <w:tcPr>
            <w:tcW w:w="850" w:type="dxa"/>
            <w:tcBorders>
              <w:top w:val="single" w:color="auto" w:sz="12" w:space="0"/>
              <w:left w:val="single" w:color="auto" w:sz="6" w:space="0"/>
              <w:bottom w:val="double" w:color="auto" w:sz="2" w:space="0"/>
              <w:right w:val="single" w:color="auto" w:sz="6" w:space="0"/>
            </w:tcBorders>
            <w:vAlign w:val="center"/>
          </w:tcPr>
          <w:p w14:paraId="6FA5B5D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层数</w:t>
            </w:r>
          </w:p>
        </w:tc>
        <w:tc>
          <w:tcPr>
            <w:tcW w:w="1560" w:type="dxa"/>
            <w:tcBorders>
              <w:top w:val="single" w:color="auto" w:sz="12" w:space="0"/>
              <w:left w:val="single" w:color="auto" w:sz="6" w:space="0"/>
              <w:bottom w:val="double" w:color="auto" w:sz="2" w:space="0"/>
              <w:right w:val="single" w:color="auto" w:sz="6" w:space="0"/>
            </w:tcBorders>
            <w:vAlign w:val="center"/>
          </w:tcPr>
          <w:p w14:paraId="58026B7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生产能力</w:t>
            </w:r>
          </w:p>
        </w:tc>
        <w:tc>
          <w:tcPr>
            <w:tcW w:w="2126" w:type="dxa"/>
            <w:tcBorders>
              <w:top w:val="single" w:color="auto" w:sz="12" w:space="0"/>
              <w:left w:val="single" w:color="auto" w:sz="6" w:space="0"/>
              <w:bottom w:val="double" w:color="auto" w:sz="2" w:space="0"/>
              <w:right w:val="single" w:color="auto" w:sz="6" w:space="0"/>
            </w:tcBorders>
            <w:vAlign w:val="center"/>
          </w:tcPr>
          <w:p w14:paraId="3FDE99F4">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设备安装内容</w:t>
            </w:r>
          </w:p>
        </w:tc>
        <w:tc>
          <w:tcPr>
            <w:tcW w:w="1417" w:type="dxa"/>
            <w:tcBorders>
              <w:top w:val="single" w:color="auto" w:sz="12" w:space="0"/>
              <w:left w:val="single" w:color="auto" w:sz="6" w:space="0"/>
              <w:bottom w:val="double" w:color="auto" w:sz="2" w:space="0"/>
              <w:right w:val="single" w:color="auto" w:sz="6" w:space="0"/>
            </w:tcBorders>
            <w:vAlign w:val="center"/>
          </w:tcPr>
          <w:p w14:paraId="537ADDB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合同价格（元）</w:t>
            </w:r>
          </w:p>
        </w:tc>
        <w:tc>
          <w:tcPr>
            <w:tcW w:w="851" w:type="dxa"/>
            <w:tcBorders>
              <w:top w:val="single" w:color="auto" w:sz="12" w:space="0"/>
              <w:left w:val="single" w:color="auto" w:sz="6" w:space="0"/>
              <w:bottom w:val="double" w:color="auto" w:sz="2" w:space="0"/>
              <w:right w:val="single" w:color="auto" w:sz="6" w:space="0"/>
            </w:tcBorders>
            <w:vAlign w:val="center"/>
          </w:tcPr>
          <w:p w14:paraId="60F023B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开工日期</w:t>
            </w:r>
          </w:p>
        </w:tc>
        <w:tc>
          <w:tcPr>
            <w:tcW w:w="850" w:type="dxa"/>
            <w:tcBorders>
              <w:top w:val="single" w:color="auto" w:sz="12" w:space="0"/>
              <w:left w:val="single" w:color="auto" w:sz="6" w:space="0"/>
              <w:bottom w:val="double" w:color="auto" w:sz="2" w:space="0"/>
              <w:right w:val="single" w:color="auto" w:sz="12" w:space="0"/>
            </w:tcBorders>
            <w:vAlign w:val="center"/>
          </w:tcPr>
          <w:p w14:paraId="5B291C4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竣工日期</w:t>
            </w:r>
          </w:p>
        </w:tc>
      </w:tr>
      <w:tr w14:paraId="5069D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2" w:space="0"/>
              <w:left w:val="single" w:color="auto" w:sz="12" w:space="0"/>
              <w:bottom w:val="single" w:color="auto" w:sz="6" w:space="0"/>
              <w:right w:val="single" w:color="auto" w:sz="6" w:space="0"/>
            </w:tcBorders>
            <w:vAlign w:val="center"/>
          </w:tcPr>
          <w:p w14:paraId="3802FA0D">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double" w:color="auto" w:sz="2" w:space="0"/>
              <w:left w:val="single" w:color="auto" w:sz="6" w:space="0"/>
              <w:bottom w:val="single" w:color="auto" w:sz="6" w:space="0"/>
              <w:right w:val="single" w:color="auto" w:sz="6" w:space="0"/>
            </w:tcBorders>
            <w:vAlign w:val="center"/>
          </w:tcPr>
          <w:p w14:paraId="4326F1D5">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double" w:color="auto" w:sz="2" w:space="0"/>
              <w:left w:val="single" w:color="auto" w:sz="6" w:space="0"/>
              <w:bottom w:val="single" w:color="auto" w:sz="6" w:space="0"/>
              <w:right w:val="single" w:color="auto" w:sz="6" w:space="0"/>
            </w:tcBorders>
            <w:vAlign w:val="center"/>
          </w:tcPr>
          <w:p w14:paraId="2C6E1AAB">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double" w:color="auto" w:sz="2" w:space="0"/>
              <w:left w:val="single" w:color="auto" w:sz="6" w:space="0"/>
              <w:bottom w:val="single" w:color="auto" w:sz="6" w:space="0"/>
              <w:right w:val="single" w:color="auto" w:sz="6" w:space="0"/>
            </w:tcBorders>
            <w:vAlign w:val="center"/>
          </w:tcPr>
          <w:p w14:paraId="6E7B5749">
            <w:pPr>
              <w:keepNext/>
              <w:autoSpaceDE w:val="0"/>
              <w:spacing w:before="100" w:beforeAutospacing="1" w:line="400" w:lineRule="exact"/>
              <w:jc w:val="center"/>
              <w:rPr>
                <w:rFonts w:ascii="宋体" w:hAnsi="宋体" w:eastAsia="宋体" w:cs="Times New Roman"/>
                <w:sz w:val="21"/>
                <w:szCs w:val="21"/>
              </w:rPr>
            </w:pPr>
          </w:p>
        </w:tc>
        <w:tc>
          <w:tcPr>
            <w:tcW w:w="850" w:type="dxa"/>
            <w:tcBorders>
              <w:top w:val="double" w:color="auto" w:sz="2" w:space="0"/>
              <w:left w:val="single" w:color="auto" w:sz="6" w:space="0"/>
              <w:bottom w:val="single" w:color="auto" w:sz="6" w:space="0"/>
              <w:right w:val="single" w:color="auto" w:sz="6" w:space="0"/>
            </w:tcBorders>
            <w:vAlign w:val="center"/>
          </w:tcPr>
          <w:p w14:paraId="7D9C0D98">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double" w:color="auto" w:sz="2" w:space="0"/>
              <w:left w:val="single" w:color="auto" w:sz="6" w:space="0"/>
              <w:bottom w:val="single" w:color="auto" w:sz="6" w:space="0"/>
              <w:right w:val="single" w:color="auto" w:sz="6" w:space="0"/>
            </w:tcBorders>
            <w:vAlign w:val="center"/>
          </w:tcPr>
          <w:p w14:paraId="0B257EB7">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double" w:color="auto" w:sz="2" w:space="0"/>
              <w:left w:val="single" w:color="auto" w:sz="6" w:space="0"/>
              <w:bottom w:val="single" w:color="auto" w:sz="6" w:space="0"/>
              <w:right w:val="single" w:color="auto" w:sz="6" w:space="0"/>
            </w:tcBorders>
            <w:vAlign w:val="center"/>
          </w:tcPr>
          <w:p w14:paraId="628AA0C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double" w:color="auto" w:sz="2" w:space="0"/>
              <w:left w:val="single" w:color="auto" w:sz="6" w:space="0"/>
              <w:bottom w:val="single" w:color="auto" w:sz="6" w:space="0"/>
              <w:right w:val="single" w:color="auto" w:sz="6" w:space="0"/>
            </w:tcBorders>
            <w:vAlign w:val="center"/>
          </w:tcPr>
          <w:p w14:paraId="3CFD90F5">
            <w:pPr>
              <w:keepNext/>
              <w:autoSpaceDE w:val="0"/>
              <w:spacing w:before="100" w:beforeAutospacing="1" w:line="400" w:lineRule="exact"/>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vAlign w:val="center"/>
          </w:tcPr>
          <w:p w14:paraId="71503D0E">
            <w:pPr>
              <w:keepNext/>
              <w:autoSpaceDE w:val="0"/>
              <w:spacing w:before="100" w:beforeAutospacing="1" w:line="400" w:lineRule="exact"/>
              <w:jc w:val="center"/>
              <w:rPr>
                <w:rFonts w:ascii="宋体" w:hAnsi="宋体" w:eastAsia="宋体" w:cs="Times New Roman"/>
                <w:sz w:val="21"/>
                <w:szCs w:val="21"/>
              </w:rPr>
            </w:pPr>
          </w:p>
        </w:tc>
        <w:tc>
          <w:tcPr>
            <w:tcW w:w="850" w:type="dxa"/>
            <w:tcBorders>
              <w:top w:val="double" w:color="auto" w:sz="2" w:space="0"/>
              <w:left w:val="single" w:color="auto" w:sz="6" w:space="0"/>
              <w:bottom w:val="single" w:color="auto" w:sz="6" w:space="0"/>
              <w:right w:val="single" w:color="auto" w:sz="12" w:space="0"/>
            </w:tcBorders>
            <w:vAlign w:val="center"/>
          </w:tcPr>
          <w:p w14:paraId="27F0E764">
            <w:pPr>
              <w:keepNext/>
              <w:autoSpaceDE w:val="0"/>
              <w:spacing w:before="100" w:beforeAutospacing="1" w:line="400" w:lineRule="exact"/>
              <w:jc w:val="center"/>
              <w:rPr>
                <w:rFonts w:ascii="宋体" w:hAnsi="宋体" w:eastAsia="宋体" w:cs="Times New Roman"/>
                <w:sz w:val="21"/>
                <w:szCs w:val="21"/>
              </w:rPr>
            </w:pPr>
          </w:p>
        </w:tc>
      </w:tr>
      <w:tr w14:paraId="2BBF1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5CD2EC2E">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3D6FD0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3729109D">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14A26FE9">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CA71C85">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6" w:space="0"/>
              <w:right w:val="single" w:color="auto" w:sz="6" w:space="0"/>
            </w:tcBorders>
            <w:vAlign w:val="center"/>
          </w:tcPr>
          <w:p w14:paraId="65BB469A">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6" w:space="0"/>
              <w:right w:val="single" w:color="auto" w:sz="6" w:space="0"/>
            </w:tcBorders>
            <w:vAlign w:val="center"/>
          </w:tcPr>
          <w:p w14:paraId="77BF85D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3451E967">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B973A04">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12" w:space="0"/>
            </w:tcBorders>
            <w:vAlign w:val="center"/>
          </w:tcPr>
          <w:p w14:paraId="10516C85">
            <w:pPr>
              <w:keepNext/>
              <w:autoSpaceDE w:val="0"/>
              <w:spacing w:before="100" w:beforeAutospacing="1" w:line="400" w:lineRule="exact"/>
              <w:jc w:val="center"/>
              <w:rPr>
                <w:rFonts w:ascii="宋体" w:hAnsi="宋体" w:eastAsia="宋体" w:cs="Times New Roman"/>
                <w:sz w:val="21"/>
                <w:szCs w:val="21"/>
              </w:rPr>
            </w:pPr>
          </w:p>
        </w:tc>
      </w:tr>
      <w:tr w14:paraId="6469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7612595">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09397C88">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7F193C92">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7B1E0E6A">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1847DE14">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59050718">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1E014837">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64826EE0">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6BEA4FC8">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6C9D58C0">
            <w:pPr>
              <w:keepNext/>
              <w:autoSpaceDE w:val="0"/>
              <w:spacing w:before="100" w:beforeAutospacing="1" w:line="400" w:lineRule="exact"/>
              <w:jc w:val="center"/>
              <w:rPr>
                <w:rFonts w:ascii="宋体" w:hAnsi="宋体" w:eastAsia="宋体" w:cs="Times New Roman"/>
                <w:sz w:val="21"/>
                <w:szCs w:val="21"/>
              </w:rPr>
            </w:pPr>
          </w:p>
        </w:tc>
      </w:tr>
      <w:tr w14:paraId="42EF0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9B2C926">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4B7873C0">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15834566">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3BA30F3C">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0E3F0675">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6" w:space="0"/>
              <w:right w:val="single" w:color="auto" w:sz="6" w:space="0"/>
            </w:tcBorders>
            <w:vAlign w:val="center"/>
          </w:tcPr>
          <w:p w14:paraId="635B2386">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6" w:space="0"/>
              <w:right w:val="single" w:color="auto" w:sz="6" w:space="0"/>
            </w:tcBorders>
            <w:vAlign w:val="center"/>
          </w:tcPr>
          <w:p w14:paraId="585D9200">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F29B82F">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682709D">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12" w:space="0"/>
            </w:tcBorders>
            <w:vAlign w:val="center"/>
          </w:tcPr>
          <w:p w14:paraId="12326A74">
            <w:pPr>
              <w:keepNext/>
              <w:autoSpaceDE w:val="0"/>
              <w:spacing w:before="100" w:beforeAutospacing="1" w:line="400" w:lineRule="exact"/>
              <w:jc w:val="center"/>
              <w:rPr>
                <w:rFonts w:ascii="宋体" w:hAnsi="宋体" w:eastAsia="宋体" w:cs="Times New Roman"/>
                <w:sz w:val="21"/>
                <w:szCs w:val="21"/>
              </w:rPr>
            </w:pPr>
          </w:p>
        </w:tc>
      </w:tr>
      <w:tr w14:paraId="47795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2538F8">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76041F9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6DEDBDBA">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5AD67D2D">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7AC46FFC">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5FF50E36">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4CF9C310">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55D314BF">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78D6BFEA">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74A14B81">
            <w:pPr>
              <w:keepNext/>
              <w:autoSpaceDE w:val="0"/>
              <w:spacing w:before="100" w:beforeAutospacing="1" w:line="400" w:lineRule="exact"/>
              <w:jc w:val="center"/>
              <w:rPr>
                <w:rFonts w:ascii="宋体" w:hAnsi="宋体" w:eastAsia="宋体" w:cs="Times New Roman"/>
                <w:sz w:val="21"/>
                <w:szCs w:val="21"/>
              </w:rPr>
            </w:pPr>
          </w:p>
        </w:tc>
      </w:tr>
      <w:tr w14:paraId="6E9C8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910D04E">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440EA09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5CBBA433">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4515FC60">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39A4F0E7">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4C0D86DE">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03FC239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4BE8715E">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6AF80A94">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2593A233">
            <w:pPr>
              <w:keepNext/>
              <w:autoSpaceDE w:val="0"/>
              <w:spacing w:before="100" w:beforeAutospacing="1" w:line="400" w:lineRule="exact"/>
              <w:jc w:val="center"/>
              <w:rPr>
                <w:rFonts w:ascii="宋体" w:hAnsi="宋体" w:eastAsia="宋体" w:cs="Times New Roman"/>
                <w:sz w:val="21"/>
                <w:szCs w:val="21"/>
              </w:rPr>
            </w:pPr>
          </w:p>
        </w:tc>
      </w:tr>
      <w:tr w14:paraId="11277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51B7B9B7">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5C3EBC7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7EA9907">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2E69709E">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2F975B2E">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6" w:space="0"/>
              <w:right w:val="single" w:color="auto" w:sz="6" w:space="0"/>
            </w:tcBorders>
            <w:vAlign w:val="center"/>
          </w:tcPr>
          <w:p w14:paraId="67F07304">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6" w:space="0"/>
              <w:right w:val="single" w:color="auto" w:sz="6" w:space="0"/>
            </w:tcBorders>
            <w:vAlign w:val="center"/>
          </w:tcPr>
          <w:p w14:paraId="0FF14D5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9C6D20C">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3FDF7AD">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12" w:space="0"/>
            </w:tcBorders>
            <w:vAlign w:val="center"/>
          </w:tcPr>
          <w:p w14:paraId="634CA528">
            <w:pPr>
              <w:keepNext/>
              <w:autoSpaceDE w:val="0"/>
              <w:spacing w:before="100" w:beforeAutospacing="1" w:line="400" w:lineRule="exact"/>
              <w:jc w:val="center"/>
              <w:rPr>
                <w:rFonts w:ascii="宋体" w:hAnsi="宋体" w:eastAsia="宋体" w:cs="Times New Roman"/>
                <w:sz w:val="21"/>
                <w:szCs w:val="21"/>
              </w:rPr>
            </w:pPr>
          </w:p>
        </w:tc>
      </w:tr>
      <w:tr w14:paraId="12EF3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45D7A3">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3ACBEDE2">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3637D9B4">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37B09415">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38E3A67A">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7EB055C5">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11C21694">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06499BCC">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1902AB49">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090E7ECB">
            <w:pPr>
              <w:keepNext/>
              <w:autoSpaceDE w:val="0"/>
              <w:spacing w:before="100" w:beforeAutospacing="1" w:line="400" w:lineRule="exact"/>
              <w:jc w:val="center"/>
              <w:rPr>
                <w:rFonts w:ascii="宋体" w:hAnsi="宋体" w:eastAsia="宋体" w:cs="Times New Roman"/>
                <w:sz w:val="21"/>
                <w:szCs w:val="21"/>
              </w:rPr>
            </w:pPr>
          </w:p>
        </w:tc>
      </w:tr>
      <w:tr w14:paraId="2027C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3159682">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12" w:space="0"/>
              <w:right w:val="single" w:color="auto" w:sz="6" w:space="0"/>
            </w:tcBorders>
            <w:vAlign w:val="center"/>
          </w:tcPr>
          <w:p w14:paraId="51DA2C1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12" w:space="0"/>
              <w:right w:val="single" w:color="auto" w:sz="6" w:space="0"/>
            </w:tcBorders>
            <w:vAlign w:val="center"/>
          </w:tcPr>
          <w:p w14:paraId="60DDD417">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12" w:space="0"/>
              <w:right w:val="single" w:color="auto" w:sz="6" w:space="0"/>
            </w:tcBorders>
            <w:vAlign w:val="center"/>
          </w:tcPr>
          <w:p w14:paraId="3BAE283E">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12" w:space="0"/>
              <w:right w:val="single" w:color="auto" w:sz="6" w:space="0"/>
            </w:tcBorders>
            <w:vAlign w:val="center"/>
          </w:tcPr>
          <w:p w14:paraId="50BFA94E">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12" w:space="0"/>
              <w:right w:val="single" w:color="auto" w:sz="6" w:space="0"/>
            </w:tcBorders>
            <w:vAlign w:val="center"/>
          </w:tcPr>
          <w:p w14:paraId="6593486A">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12" w:space="0"/>
              <w:right w:val="single" w:color="auto" w:sz="6" w:space="0"/>
            </w:tcBorders>
            <w:vAlign w:val="center"/>
          </w:tcPr>
          <w:p w14:paraId="5474A042">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12" w:space="0"/>
              <w:right w:val="single" w:color="auto" w:sz="6" w:space="0"/>
            </w:tcBorders>
            <w:vAlign w:val="center"/>
          </w:tcPr>
          <w:p w14:paraId="783EA009">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vAlign w:val="center"/>
          </w:tcPr>
          <w:p w14:paraId="77A9AD14">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12" w:space="0"/>
              <w:right w:val="single" w:color="auto" w:sz="12" w:space="0"/>
            </w:tcBorders>
            <w:vAlign w:val="center"/>
          </w:tcPr>
          <w:p w14:paraId="27497933">
            <w:pPr>
              <w:keepNext/>
              <w:autoSpaceDE w:val="0"/>
              <w:spacing w:before="100" w:beforeAutospacing="1" w:line="400" w:lineRule="exact"/>
              <w:jc w:val="center"/>
              <w:rPr>
                <w:rFonts w:ascii="宋体" w:hAnsi="宋体" w:eastAsia="宋体" w:cs="Times New Roman"/>
                <w:sz w:val="21"/>
                <w:szCs w:val="21"/>
              </w:rPr>
            </w:pPr>
          </w:p>
        </w:tc>
      </w:tr>
    </w:tbl>
    <w:p w14:paraId="6D9C4976">
      <w:pPr>
        <w:widowControl/>
        <w:jc w:val="left"/>
        <w:rPr>
          <w:rFonts w:ascii="宋体" w:hAnsi="宋体" w:eastAsia="宋体" w:cs="宋体"/>
          <w:b/>
          <w:sz w:val="21"/>
          <w:szCs w:val="21"/>
        </w:rPr>
        <w:sectPr>
          <w:pgSz w:w="16838" w:h="11906" w:orient="landscape"/>
          <w:pgMar w:top="1554" w:right="1418" w:bottom="1531" w:left="1418" w:header="851" w:footer="992" w:gutter="0"/>
          <w:pgNumType w:fmt="decimal"/>
          <w:cols w:space="720" w:num="1"/>
          <w:titlePg/>
          <w:docGrid w:type="lines" w:linePitch="312" w:charSpace="0"/>
        </w:sectPr>
      </w:pPr>
    </w:p>
    <w:p w14:paraId="3A835A04">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666" w:name="_Toc296891265"/>
      <w:bookmarkEnd w:id="1666"/>
      <w:bookmarkStart w:id="1667" w:name="_Toc296347224"/>
      <w:bookmarkEnd w:id="1667"/>
      <w:bookmarkStart w:id="1668" w:name="_Toc296891053"/>
      <w:bookmarkEnd w:id="1668"/>
      <w:bookmarkStart w:id="1669" w:name="_Toc296944564"/>
      <w:bookmarkEnd w:id="1669"/>
      <w:bookmarkStart w:id="1670" w:name="_Toc296503225"/>
      <w:bookmarkEnd w:id="1670"/>
      <w:bookmarkStart w:id="1671" w:name="_Toc296346726"/>
      <w:bookmarkEnd w:id="1671"/>
      <w:bookmarkStart w:id="1672" w:name="_Toc267261692"/>
      <w:r>
        <w:rPr>
          <w:rFonts w:hint="eastAsia" w:ascii="宋体" w:hAnsi="宋体" w:eastAsia="宋体" w:cs="Times New Roman"/>
          <w:sz w:val="21"/>
          <w:szCs w:val="21"/>
        </w:rPr>
        <w:t>件2：</w:t>
      </w:r>
      <w:bookmarkEnd w:id="1672"/>
    </w:p>
    <w:p w14:paraId="25A7937F">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发包人供应材料设备一览表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1AD3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2" w:space="0"/>
              <w:right w:val="single" w:color="auto" w:sz="6" w:space="0"/>
            </w:tcBorders>
            <w:vAlign w:val="center"/>
          </w:tcPr>
          <w:p w14:paraId="5488E71A">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276" w:type="dxa"/>
            <w:tcBorders>
              <w:top w:val="single" w:color="auto" w:sz="12" w:space="0"/>
              <w:left w:val="single" w:color="auto" w:sz="6" w:space="0"/>
              <w:bottom w:val="double" w:color="auto" w:sz="2" w:space="0"/>
              <w:right w:val="single" w:color="auto" w:sz="6" w:space="0"/>
            </w:tcBorders>
            <w:vAlign w:val="center"/>
          </w:tcPr>
          <w:p w14:paraId="471291FF">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材料、设备品种</w:t>
            </w:r>
          </w:p>
        </w:tc>
        <w:tc>
          <w:tcPr>
            <w:tcW w:w="1418" w:type="dxa"/>
            <w:tcBorders>
              <w:top w:val="single" w:color="auto" w:sz="12" w:space="0"/>
              <w:left w:val="single" w:color="auto" w:sz="6" w:space="0"/>
              <w:bottom w:val="double" w:color="auto" w:sz="2" w:space="0"/>
              <w:right w:val="single" w:color="auto" w:sz="6" w:space="0"/>
            </w:tcBorders>
            <w:vAlign w:val="center"/>
          </w:tcPr>
          <w:p w14:paraId="27FF304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规格型号</w:t>
            </w:r>
          </w:p>
        </w:tc>
        <w:tc>
          <w:tcPr>
            <w:tcW w:w="940" w:type="dxa"/>
            <w:tcBorders>
              <w:top w:val="single" w:color="auto" w:sz="12" w:space="0"/>
              <w:left w:val="single" w:color="auto" w:sz="6" w:space="0"/>
              <w:bottom w:val="double" w:color="auto" w:sz="2" w:space="0"/>
              <w:right w:val="single" w:color="auto" w:sz="6" w:space="0"/>
            </w:tcBorders>
            <w:vAlign w:val="center"/>
          </w:tcPr>
          <w:p w14:paraId="1F1FE7F0">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单位</w:t>
            </w:r>
          </w:p>
        </w:tc>
        <w:tc>
          <w:tcPr>
            <w:tcW w:w="851" w:type="dxa"/>
            <w:tcBorders>
              <w:top w:val="single" w:color="auto" w:sz="12" w:space="0"/>
              <w:left w:val="single" w:color="auto" w:sz="6" w:space="0"/>
              <w:bottom w:val="double" w:color="auto" w:sz="2" w:space="0"/>
              <w:right w:val="single" w:color="auto" w:sz="6" w:space="0"/>
            </w:tcBorders>
            <w:vAlign w:val="center"/>
          </w:tcPr>
          <w:p w14:paraId="2856280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044" w:type="dxa"/>
            <w:tcBorders>
              <w:top w:val="single" w:color="auto" w:sz="12" w:space="0"/>
              <w:left w:val="single" w:color="auto" w:sz="6" w:space="0"/>
              <w:bottom w:val="double" w:color="auto" w:sz="2" w:space="0"/>
              <w:right w:val="single" w:color="auto" w:sz="6" w:space="0"/>
            </w:tcBorders>
            <w:vAlign w:val="center"/>
          </w:tcPr>
          <w:p w14:paraId="0118608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单价（元）</w:t>
            </w:r>
          </w:p>
        </w:tc>
        <w:tc>
          <w:tcPr>
            <w:tcW w:w="992" w:type="dxa"/>
            <w:tcBorders>
              <w:top w:val="single" w:color="auto" w:sz="12" w:space="0"/>
              <w:left w:val="single" w:color="auto" w:sz="6" w:space="0"/>
              <w:bottom w:val="double" w:color="auto" w:sz="2" w:space="0"/>
              <w:right w:val="single" w:color="auto" w:sz="6" w:space="0"/>
            </w:tcBorders>
            <w:vAlign w:val="center"/>
          </w:tcPr>
          <w:p w14:paraId="6C70A6F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质量等级</w:t>
            </w:r>
          </w:p>
        </w:tc>
        <w:tc>
          <w:tcPr>
            <w:tcW w:w="851" w:type="dxa"/>
            <w:tcBorders>
              <w:top w:val="single" w:color="auto" w:sz="12" w:space="0"/>
              <w:left w:val="single" w:color="auto" w:sz="6" w:space="0"/>
              <w:bottom w:val="double" w:color="auto" w:sz="2" w:space="0"/>
              <w:right w:val="single" w:color="auto" w:sz="6" w:space="0"/>
            </w:tcBorders>
            <w:vAlign w:val="center"/>
          </w:tcPr>
          <w:p w14:paraId="2B452FF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供应时间</w:t>
            </w:r>
          </w:p>
        </w:tc>
        <w:tc>
          <w:tcPr>
            <w:tcW w:w="1487" w:type="dxa"/>
            <w:tcBorders>
              <w:top w:val="single" w:color="auto" w:sz="12" w:space="0"/>
              <w:left w:val="single" w:color="auto" w:sz="6" w:space="0"/>
              <w:bottom w:val="double" w:color="auto" w:sz="2" w:space="0"/>
              <w:right w:val="single" w:color="auto" w:sz="6" w:space="0"/>
            </w:tcBorders>
            <w:vAlign w:val="center"/>
          </w:tcPr>
          <w:p w14:paraId="2475FE4C">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送达地点</w:t>
            </w:r>
          </w:p>
        </w:tc>
        <w:tc>
          <w:tcPr>
            <w:tcW w:w="992" w:type="dxa"/>
            <w:tcBorders>
              <w:top w:val="single" w:color="auto" w:sz="12" w:space="0"/>
              <w:left w:val="single" w:color="auto" w:sz="6" w:space="0"/>
              <w:bottom w:val="double" w:color="auto" w:sz="2" w:space="0"/>
              <w:right w:val="single" w:color="auto" w:sz="12" w:space="0"/>
            </w:tcBorders>
            <w:vAlign w:val="center"/>
          </w:tcPr>
          <w:p w14:paraId="145775F6">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7A9E9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2" w:space="0"/>
              <w:left w:val="single" w:color="auto" w:sz="12" w:space="0"/>
              <w:bottom w:val="single" w:color="auto" w:sz="6" w:space="0"/>
              <w:right w:val="single" w:color="auto" w:sz="6" w:space="0"/>
            </w:tcBorders>
            <w:vAlign w:val="center"/>
          </w:tcPr>
          <w:p w14:paraId="6D33583A">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double" w:color="auto" w:sz="2" w:space="0"/>
              <w:left w:val="single" w:color="auto" w:sz="6" w:space="0"/>
              <w:bottom w:val="single" w:color="auto" w:sz="6" w:space="0"/>
              <w:right w:val="single" w:color="auto" w:sz="6" w:space="0"/>
            </w:tcBorders>
            <w:vAlign w:val="center"/>
          </w:tcPr>
          <w:p w14:paraId="718EF1B6">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vAlign w:val="center"/>
          </w:tcPr>
          <w:p w14:paraId="766A3A8A">
            <w:pPr>
              <w:keepNext/>
              <w:autoSpaceDE w:val="0"/>
              <w:spacing w:before="100" w:beforeAutospacing="1" w:line="400" w:lineRule="exact"/>
              <w:jc w:val="center"/>
              <w:rPr>
                <w:rFonts w:ascii="宋体" w:hAnsi="宋体" w:eastAsia="宋体" w:cs="Times New Roman"/>
                <w:sz w:val="21"/>
                <w:szCs w:val="21"/>
              </w:rPr>
            </w:pPr>
          </w:p>
        </w:tc>
        <w:tc>
          <w:tcPr>
            <w:tcW w:w="940" w:type="dxa"/>
            <w:tcBorders>
              <w:top w:val="double" w:color="auto" w:sz="2" w:space="0"/>
              <w:left w:val="single" w:color="auto" w:sz="6" w:space="0"/>
              <w:bottom w:val="single" w:color="auto" w:sz="6" w:space="0"/>
              <w:right w:val="single" w:color="auto" w:sz="6" w:space="0"/>
            </w:tcBorders>
            <w:vAlign w:val="center"/>
          </w:tcPr>
          <w:p w14:paraId="64F8B5BC">
            <w:pPr>
              <w:keepNext/>
              <w:autoSpaceDE w:val="0"/>
              <w:spacing w:before="100" w:beforeAutospacing="1" w:line="400" w:lineRule="exact"/>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vAlign w:val="center"/>
          </w:tcPr>
          <w:p w14:paraId="38A1EFE1">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double" w:color="auto" w:sz="2" w:space="0"/>
              <w:left w:val="single" w:color="auto" w:sz="6" w:space="0"/>
              <w:bottom w:val="single" w:color="auto" w:sz="6" w:space="0"/>
              <w:right w:val="single" w:color="auto" w:sz="6" w:space="0"/>
            </w:tcBorders>
            <w:vAlign w:val="center"/>
          </w:tcPr>
          <w:p w14:paraId="155A767C">
            <w:pPr>
              <w:keepNext/>
              <w:autoSpaceDE w:val="0"/>
              <w:spacing w:before="100" w:beforeAutospacing="1" w:line="400" w:lineRule="exact"/>
              <w:jc w:val="center"/>
              <w:rPr>
                <w:rFonts w:ascii="宋体" w:hAnsi="宋体" w:eastAsia="宋体" w:cs="Times New Roman"/>
                <w:sz w:val="21"/>
                <w:szCs w:val="21"/>
              </w:rPr>
            </w:pPr>
          </w:p>
        </w:tc>
        <w:tc>
          <w:tcPr>
            <w:tcW w:w="992" w:type="dxa"/>
            <w:tcBorders>
              <w:top w:val="double" w:color="auto" w:sz="2" w:space="0"/>
              <w:left w:val="single" w:color="auto" w:sz="6" w:space="0"/>
              <w:bottom w:val="single" w:color="auto" w:sz="6" w:space="0"/>
              <w:right w:val="single" w:color="auto" w:sz="6" w:space="0"/>
            </w:tcBorders>
            <w:vAlign w:val="center"/>
          </w:tcPr>
          <w:p w14:paraId="46DADC6E">
            <w:pPr>
              <w:keepNext/>
              <w:autoSpaceDE w:val="0"/>
              <w:spacing w:before="100" w:beforeAutospacing="1" w:line="400" w:lineRule="exact"/>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vAlign w:val="center"/>
          </w:tcPr>
          <w:p w14:paraId="1D7B60D4">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double" w:color="auto" w:sz="2" w:space="0"/>
              <w:left w:val="single" w:color="auto" w:sz="6" w:space="0"/>
              <w:bottom w:val="single" w:color="auto" w:sz="6" w:space="0"/>
              <w:right w:val="single" w:color="auto" w:sz="6" w:space="0"/>
            </w:tcBorders>
            <w:vAlign w:val="center"/>
          </w:tcPr>
          <w:p w14:paraId="73F9F8ED">
            <w:pPr>
              <w:keepNext/>
              <w:autoSpaceDE w:val="0"/>
              <w:spacing w:before="100" w:beforeAutospacing="1" w:line="400" w:lineRule="exact"/>
              <w:jc w:val="center"/>
              <w:rPr>
                <w:rFonts w:ascii="宋体" w:hAnsi="宋体" w:eastAsia="宋体" w:cs="Times New Roman"/>
                <w:sz w:val="21"/>
                <w:szCs w:val="21"/>
              </w:rPr>
            </w:pPr>
          </w:p>
        </w:tc>
        <w:tc>
          <w:tcPr>
            <w:tcW w:w="992" w:type="dxa"/>
            <w:tcBorders>
              <w:top w:val="double" w:color="auto" w:sz="2" w:space="0"/>
              <w:left w:val="single" w:color="auto" w:sz="6" w:space="0"/>
              <w:bottom w:val="single" w:color="auto" w:sz="6" w:space="0"/>
              <w:right w:val="single" w:color="auto" w:sz="12" w:space="0"/>
            </w:tcBorders>
            <w:vAlign w:val="center"/>
          </w:tcPr>
          <w:p w14:paraId="707B896D">
            <w:pPr>
              <w:keepNext/>
              <w:autoSpaceDE w:val="0"/>
              <w:spacing w:before="100" w:beforeAutospacing="1" w:line="400" w:lineRule="exact"/>
              <w:jc w:val="center"/>
              <w:rPr>
                <w:rFonts w:ascii="宋体" w:hAnsi="宋体" w:eastAsia="宋体" w:cs="Times New Roman"/>
                <w:sz w:val="21"/>
                <w:szCs w:val="21"/>
              </w:rPr>
            </w:pPr>
          </w:p>
        </w:tc>
      </w:tr>
      <w:tr w14:paraId="1AC28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1E4438DD">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6" w:space="0"/>
            </w:tcBorders>
            <w:vAlign w:val="center"/>
          </w:tcPr>
          <w:p w14:paraId="4BC9C663">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vAlign w:val="center"/>
          </w:tcPr>
          <w:p w14:paraId="4AD83372">
            <w:pPr>
              <w:keepNext/>
              <w:autoSpaceDE w:val="0"/>
              <w:spacing w:before="100" w:beforeAutospacing="1" w:line="400" w:lineRule="exact"/>
              <w:jc w:val="center"/>
              <w:rPr>
                <w:rFonts w:ascii="宋体" w:hAnsi="宋体" w:eastAsia="宋体" w:cs="Times New Roman"/>
                <w:sz w:val="21"/>
                <w:szCs w:val="21"/>
              </w:rPr>
            </w:pPr>
          </w:p>
        </w:tc>
        <w:tc>
          <w:tcPr>
            <w:tcW w:w="940" w:type="dxa"/>
            <w:tcBorders>
              <w:top w:val="nil"/>
              <w:left w:val="single" w:color="auto" w:sz="6" w:space="0"/>
              <w:bottom w:val="single" w:color="auto" w:sz="6" w:space="0"/>
              <w:right w:val="single" w:color="auto" w:sz="6" w:space="0"/>
            </w:tcBorders>
            <w:vAlign w:val="center"/>
          </w:tcPr>
          <w:p w14:paraId="019972E4">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5B55A810">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nil"/>
              <w:left w:val="single" w:color="auto" w:sz="6" w:space="0"/>
              <w:bottom w:val="single" w:color="auto" w:sz="6" w:space="0"/>
              <w:right w:val="single" w:color="auto" w:sz="6" w:space="0"/>
            </w:tcBorders>
            <w:vAlign w:val="center"/>
          </w:tcPr>
          <w:p w14:paraId="6D5F5050">
            <w:pPr>
              <w:keepNext/>
              <w:autoSpaceDE w:val="0"/>
              <w:spacing w:before="100" w:beforeAutospacing="1" w:line="400" w:lineRule="exact"/>
              <w:jc w:val="center"/>
              <w:rPr>
                <w:rFonts w:ascii="宋体" w:hAnsi="宋体" w:eastAsia="宋体" w:cs="Times New Roman"/>
                <w:sz w:val="21"/>
                <w:szCs w:val="21"/>
              </w:rPr>
            </w:pPr>
          </w:p>
        </w:tc>
        <w:tc>
          <w:tcPr>
            <w:tcW w:w="992" w:type="dxa"/>
            <w:tcBorders>
              <w:top w:val="nil"/>
              <w:left w:val="single" w:color="auto" w:sz="6" w:space="0"/>
              <w:bottom w:val="single" w:color="auto" w:sz="6" w:space="0"/>
              <w:right w:val="single" w:color="auto" w:sz="6" w:space="0"/>
            </w:tcBorders>
            <w:vAlign w:val="center"/>
          </w:tcPr>
          <w:p w14:paraId="2A156A12">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7A0CF5A5">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nil"/>
              <w:left w:val="single" w:color="auto" w:sz="6" w:space="0"/>
              <w:bottom w:val="single" w:color="auto" w:sz="6" w:space="0"/>
              <w:right w:val="single" w:color="auto" w:sz="6" w:space="0"/>
            </w:tcBorders>
            <w:vAlign w:val="center"/>
          </w:tcPr>
          <w:p w14:paraId="69A51326">
            <w:pPr>
              <w:keepNext/>
              <w:autoSpaceDE w:val="0"/>
              <w:spacing w:before="100" w:beforeAutospacing="1" w:line="400" w:lineRule="exact"/>
              <w:jc w:val="center"/>
              <w:rPr>
                <w:rFonts w:ascii="宋体" w:hAnsi="宋体" w:eastAsia="宋体" w:cs="Times New Roman"/>
                <w:sz w:val="21"/>
                <w:szCs w:val="21"/>
              </w:rPr>
            </w:pPr>
          </w:p>
        </w:tc>
        <w:tc>
          <w:tcPr>
            <w:tcW w:w="992" w:type="dxa"/>
            <w:tcBorders>
              <w:top w:val="nil"/>
              <w:left w:val="single" w:color="auto" w:sz="6" w:space="0"/>
              <w:bottom w:val="single" w:color="auto" w:sz="6" w:space="0"/>
              <w:right w:val="single" w:color="auto" w:sz="12" w:space="0"/>
            </w:tcBorders>
            <w:vAlign w:val="center"/>
          </w:tcPr>
          <w:p w14:paraId="7FB07AB2">
            <w:pPr>
              <w:keepNext/>
              <w:autoSpaceDE w:val="0"/>
              <w:spacing w:before="100" w:beforeAutospacing="1" w:line="400" w:lineRule="exact"/>
              <w:jc w:val="center"/>
              <w:rPr>
                <w:rFonts w:ascii="宋体" w:hAnsi="宋体" w:eastAsia="宋体" w:cs="Times New Roman"/>
                <w:sz w:val="21"/>
                <w:szCs w:val="21"/>
              </w:rPr>
            </w:pPr>
          </w:p>
        </w:tc>
      </w:tr>
      <w:tr w14:paraId="411E6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71E4B82">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581F89E">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EBC5963">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2E3864E1">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520F9B4">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5A03571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D2C236B">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885C3DF">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7DC7BA0">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31F77D39">
            <w:pPr>
              <w:keepNext/>
              <w:autoSpaceDE w:val="0"/>
              <w:spacing w:before="100" w:beforeAutospacing="1" w:line="400" w:lineRule="exact"/>
              <w:jc w:val="center"/>
              <w:rPr>
                <w:rFonts w:ascii="宋体" w:hAnsi="宋体" w:eastAsia="宋体" w:cs="Times New Roman"/>
                <w:sz w:val="21"/>
                <w:szCs w:val="21"/>
              </w:rPr>
            </w:pPr>
          </w:p>
        </w:tc>
      </w:tr>
      <w:tr w14:paraId="0917B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D017EA2">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F06CB28">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446EAB7">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6975F7CA">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90907A3">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130AC7B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C6C999B">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5E38A03F">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33395AAA">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60EB79B9">
            <w:pPr>
              <w:keepNext/>
              <w:autoSpaceDE w:val="0"/>
              <w:spacing w:before="100" w:beforeAutospacing="1" w:line="400" w:lineRule="exact"/>
              <w:jc w:val="center"/>
              <w:rPr>
                <w:rFonts w:ascii="宋体" w:hAnsi="宋体" w:eastAsia="宋体" w:cs="Times New Roman"/>
                <w:sz w:val="21"/>
                <w:szCs w:val="21"/>
              </w:rPr>
            </w:pPr>
          </w:p>
        </w:tc>
      </w:tr>
      <w:tr w14:paraId="491F5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3CE9486">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5483147">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4438628">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0E00DC14">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EC03E8D">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2278EF2B">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E2CD100">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77A19E1">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3A43993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22455298">
            <w:pPr>
              <w:keepNext/>
              <w:autoSpaceDE w:val="0"/>
              <w:spacing w:before="100" w:beforeAutospacing="1" w:line="400" w:lineRule="exact"/>
              <w:jc w:val="center"/>
              <w:rPr>
                <w:rFonts w:ascii="宋体" w:hAnsi="宋体" w:eastAsia="宋体" w:cs="Times New Roman"/>
                <w:sz w:val="21"/>
                <w:szCs w:val="21"/>
              </w:rPr>
            </w:pPr>
          </w:p>
        </w:tc>
      </w:tr>
      <w:tr w14:paraId="15372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AFD574D">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612B71D">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61DC9CB">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1C8BFA9D">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51B8EC08">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4FCEE8AB">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0D7A17E">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6202888">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803F936">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27EAAB91">
            <w:pPr>
              <w:keepNext/>
              <w:autoSpaceDE w:val="0"/>
              <w:spacing w:before="100" w:beforeAutospacing="1" w:line="400" w:lineRule="exact"/>
              <w:jc w:val="center"/>
              <w:rPr>
                <w:rFonts w:ascii="宋体" w:hAnsi="宋体" w:eastAsia="宋体" w:cs="Times New Roman"/>
                <w:sz w:val="21"/>
                <w:szCs w:val="21"/>
              </w:rPr>
            </w:pPr>
          </w:p>
        </w:tc>
      </w:tr>
      <w:tr w14:paraId="22058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D4CC12A">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69BA68B">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7BA2D49">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762C6AB">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88219DE">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638B017E">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9A19982">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1879008">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5C7426E4">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30B4C14">
            <w:pPr>
              <w:keepNext/>
              <w:autoSpaceDE w:val="0"/>
              <w:spacing w:before="100" w:beforeAutospacing="1" w:line="400" w:lineRule="exact"/>
              <w:jc w:val="center"/>
              <w:rPr>
                <w:rFonts w:ascii="宋体" w:hAnsi="宋体" w:eastAsia="宋体" w:cs="Times New Roman"/>
                <w:sz w:val="21"/>
                <w:szCs w:val="21"/>
              </w:rPr>
            </w:pPr>
          </w:p>
        </w:tc>
      </w:tr>
      <w:tr w14:paraId="37E3C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744E81">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895911A">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8073293">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E94B91A">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4C3BDD93">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32CB5A59">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AD7F843">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4DC66D9">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4090E4B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47EE09C4">
            <w:pPr>
              <w:keepNext/>
              <w:autoSpaceDE w:val="0"/>
              <w:spacing w:before="100" w:beforeAutospacing="1" w:line="400" w:lineRule="exact"/>
              <w:jc w:val="center"/>
              <w:rPr>
                <w:rFonts w:ascii="宋体" w:hAnsi="宋体" w:eastAsia="宋体" w:cs="Times New Roman"/>
                <w:sz w:val="21"/>
                <w:szCs w:val="21"/>
              </w:rPr>
            </w:pPr>
          </w:p>
        </w:tc>
      </w:tr>
      <w:tr w14:paraId="0F532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B8912DB">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36E2F89">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31CC0CE">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5C98880E">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DB39F7B">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11540C51">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10F6D41">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1C65DD1">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DCCB2D2">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A3CBEBE">
            <w:pPr>
              <w:autoSpaceDE w:val="0"/>
              <w:spacing w:line="400" w:lineRule="exact"/>
              <w:jc w:val="center"/>
              <w:rPr>
                <w:rFonts w:ascii="宋体" w:hAnsi="宋体" w:eastAsia="宋体" w:cs="Times New Roman"/>
                <w:sz w:val="21"/>
                <w:szCs w:val="21"/>
              </w:rPr>
            </w:pPr>
          </w:p>
        </w:tc>
      </w:tr>
      <w:tr w14:paraId="68983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E433D70">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6E318CD">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D46ECC0">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6E6197C9">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76C6A25">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0F95D596">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75564E3">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07F23C3E">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442F64B">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432B4250">
            <w:pPr>
              <w:keepNext/>
              <w:autoSpaceDE w:val="0"/>
              <w:spacing w:before="100" w:beforeAutospacing="1" w:line="400" w:lineRule="exact"/>
              <w:jc w:val="center"/>
              <w:rPr>
                <w:rFonts w:ascii="宋体" w:hAnsi="宋体" w:eastAsia="宋体" w:cs="Times New Roman"/>
                <w:sz w:val="21"/>
                <w:szCs w:val="21"/>
              </w:rPr>
            </w:pPr>
          </w:p>
        </w:tc>
      </w:tr>
      <w:tr w14:paraId="50E67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103EC2B">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75F0FAB">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7BCEC99">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08547E0E">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0F7D82B6">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111E4C62">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2A7A261B">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7997748">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4F0F51C0">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4B5DECE">
            <w:pPr>
              <w:autoSpaceDE w:val="0"/>
              <w:spacing w:line="400" w:lineRule="exact"/>
              <w:jc w:val="center"/>
              <w:rPr>
                <w:rFonts w:ascii="宋体" w:hAnsi="宋体" w:eastAsia="宋体" w:cs="Times New Roman"/>
                <w:sz w:val="21"/>
                <w:szCs w:val="21"/>
              </w:rPr>
            </w:pPr>
          </w:p>
        </w:tc>
      </w:tr>
      <w:tr w14:paraId="16E05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27AD5E3">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C78CD05">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0FB5E26">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7724240B">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7A82F7D">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6F6594CF">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60500B2">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65B72E0">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BFF6700">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096BB86B">
            <w:pPr>
              <w:autoSpaceDE w:val="0"/>
              <w:spacing w:line="400" w:lineRule="exact"/>
              <w:jc w:val="center"/>
              <w:rPr>
                <w:rFonts w:ascii="宋体" w:hAnsi="宋体" w:eastAsia="宋体" w:cs="Times New Roman"/>
                <w:sz w:val="21"/>
                <w:szCs w:val="21"/>
              </w:rPr>
            </w:pPr>
          </w:p>
        </w:tc>
      </w:tr>
      <w:tr w14:paraId="7F54B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C324EF">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C189DF8">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47561B6">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111C8C41">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F7F69CF">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511A0596">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1585D1F">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7E648D5">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1001D94">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58EB45CD">
            <w:pPr>
              <w:autoSpaceDE w:val="0"/>
              <w:spacing w:line="400" w:lineRule="exact"/>
              <w:jc w:val="center"/>
              <w:rPr>
                <w:rFonts w:ascii="宋体" w:hAnsi="宋体" w:eastAsia="宋体" w:cs="Times New Roman"/>
                <w:sz w:val="21"/>
                <w:szCs w:val="21"/>
              </w:rPr>
            </w:pPr>
          </w:p>
        </w:tc>
      </w:tr>
      <w:tr w14:paraId="685EF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E9A4DA4">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0F238A3E">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498954A">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D54B362">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159EA6B">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4607F8B1">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34E0FBE">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B017A21">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72F3A7C4">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5C76ED7D">
            <w:pPr>
              <w:autoSpaceDE w:val="0"/>
              <w:spacing w:line="400" w:lineRule="exact"/>
              <w:jc w:val="center"/>
              <w:rPr>
                <w:rFonts w:ascii="宋体" w:hAnsi="宋体" w:eastAsia="宋体" w:cs="Times New Roman"/>
                <w:sz w:val="21"/>
                <w:szCs w:val="21"/>
              </w:rPr>
            </w:pPr>
          </w:p>
        </w:tc>
      </w:tr>
      <w:tr w14:paraId="32DA1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738346E">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F169F1E">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171964A">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70BA7324">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9136B83">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20EA0B0C">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271EB9F3">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723F06E">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3007BB53">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221CE19">
            <w:pPr>
              <w:autoSpaceDE w:val="0"/>
              <w:spacing w:line="400" w:lineRule="exact"/>
              <w:jc w:val="center"/>
              <w:rPr>
                <w:rFonts w:ascii="宋体" w:hAnsi="宋体" w:eastAsia="宋体" w:cs="Times New Roman"/>
                <w:sz w:val="21"/>
                <w:szCs w:val="21"/>
              </w:rPr>
            </w:pPr>
          </w:p>
        </w:tc>
      </w:tr>
      <w:tr w14:paraId="7773E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1D0702D">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53C2B42F">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F04C22A">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F4B2ABA">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814A4A4">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43C0BC15">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0971557">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0FCF51E2">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4A2D571D">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3BC86B96">
            <w:pPr>
              <w:autoSpaceDE w:val="0"/>
              <w:spacing w:line="400" w:lineRule="exact"/>
              <w:jc w:val="center"/>
              <w:rPr>
                <w:rFonts w:ascii="宋体" w:hAnsi="宋体" w:eastAsia="宋体" w:cs="Times New Roman"/>
                <w:sz w:val="21"/>
                <w:szCs w:val="21"/>
              </w:rPr>
            </w:pPr>
          </w:p>
        </w:tc>
      </w:tr>
      <w:tr w14:paraId="0D51C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78E76AE">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A0B7850">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C758950">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76291E3">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D32B5B9">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35FA259A">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3A25F51">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43F8CA4">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26F2ABEE">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7B511092">
            <w:pPr>
              <w:autoSpaceDE w:val="0"/>
              <w:spacing w:line="400" w:lineRule="exact"/>
              <w:jc w:val="center"/>
              <w:rPr>
                <w:rFonts w:ascii="宋体" w:hAnsi="宋体" w:eastAsia="宋体" w:cs="Times New Roman"/>
                <w:sz w:val="21"/>
                <w:szCs w:val="21"/>
              </w:rPr>
            </w:pPr>
          </w:p>
        </w:tc>
      </w:tr>
      <w:tr w14:paraId="7533B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A644399">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12" w:space="0"/>
              <w:right w:val="single" w:color="auto" w:sz="6" w:space="0"/>
            </w:tcBorders>
            <w:vAlign w:val="center"/>
          </w:tcPr>
          <w:p w14:paraId="31DF64DF">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14:paraId="27E5C192">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12" w:space="0"/>
              <w:right w:val="single" w:color="auto" w:sz="6" w:space="0"/>
            </w:tcBorders>
            <w:vAlign w:val="center"/>
          </w:tcPr>
          <w:p w14:paraId="1B232827">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vAlign w:val="center"/>
          </w:tcPr>
          <w:p w14:paraId="35A47EFB">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12" w:space="0"/>
              <w:right w:val="single" w:color="auto" w:sz="6" w:space="0"/>
            </w:tcBorders>
            <w:vAlign w:val="center"/>
          </w:tcPr>
          <w:p w14:paraId="3E5224EF">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12" w:space="0"/>
              <w:right w:val="single" w:color="auto" w:sz="6" w:space="0"/>
            </w:tcBorders>
            <w:vAlign w:val="center"/>
          </w:tcPr>
          <w:p w14:paraId="652E9233">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vAlign w:val="center"/>
          </w:tcPr>
          <w:p w14:paraId="0B159822">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12" w:space="0"/>
              <w:right w:val="single" w:color="auto" w:sz="6" w:space="0"/>
            </w:tcBorders>
            <w:vAlign w:val="center"/>
          </w:tcPr>
          <w:p w14:paraId="4E47B749">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12" w:space="0"/>
              <w:right w:val="single" w:color="auto" w:sz="12" w:space="0"/>
            </w:tcBorders>
            <w:vAlign w:val="center"/>
          </w:tcPr>
          <w:p w14:paraId="044BDCFB">
            <w:pPr>
              <w:autoSpaceDE w:val="0"/>
              <w:spacing w:line="400" w:lineRule="exact"/>
              <w:jc w:val="center"/>
              <w:rPr>
                <w:rFonts w:ascii="宋体" w:hAnsi="宋体" w:eastAsia="宋体" w:cs="Times New Roman"/>
                <w:sz w:val="21"/>
                <w:szCs w:val="21"/>
              </w:rPr>
            </w:pPr>
          </w:p>
        </w:tc>
      </w:tr>
    </w:tbl>
    <w:p w14:paraId="090C7B27">
      <w:pPr>
        <w:spacing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58C82B1A">
      <w:pPr>
        <w:rPr>
          <w:rFonts w:ascii="宋体" w:hAnsi="宋体" w:eastAsia="宋体" w:cs="Times New Roman"/>
          <w:sz w:val="21"/>
          <w:szCs w:val="21"/>
        </w:rPr>
      </w:pPr>
      <w:r>
        <w:rPr>
          <w:rFonts w:hint="eastAsia" w:ascii="宋体" w:hAnsi="宋体" w:eastAsia="宋体" w:cs="Times New Roman"/>
          <w:sz w:val="21"/>
          <w:szCs w:val="21"/>
        </w:rPr>
        <w:br w:type="page"/>
      </w:r>
    </w:p>
    <w:p w14:paraId="0B12849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673" w:name="_Toc296891266"/>
      <w:bookmarkEnd w:id="1673"/>
      <w:bookmarkStart w:id="1674" w:name="_Toc296347225"/>
      <w:bookmarkEnd w:id="1674"/>
      <w:bookmarkStart w:id="1675" w:name="_Toc296944565"/>
      <w:bookmarkEnd w:id="1675"/>
      <w:bookmarkStart w:id="1676" w:name="_Toc296891054"/>
      <w:bookmarkEnd w:id="1676"/>
      <w:bookmarkStart w:id="1677" w:name="_Toc296346727"/>
      <w:bookmarkEnd w:id="1677"/>
      <w:bookmarkStart w:id="1678" w:name="_Toc267261693"/>
      <w:bookmarkEnd w:id="1678"/>
      <w:bookmarkStart w:id="1679" w:name="_Toc296503226"/>
      <w:r>
        <w:rPr>
          <w:rFonts w:hint="eastAsia" w:ascii="宋体" w:hAnsi="宋体" w:eastAsia="宋体" w:cs="Times New Roman"/>
          <w:sz w:val="21"/>
          <w:szCs w:val="21"/>
        </w:rPr>
        <w:t>件3：</w:t>
      </w:r>
      <w:bookmarkEnd w:id="1679"/>
    </w:p>
    <w:p w14:paraId="20836241">
      <w:pPr>
        <w:autoSpaceDE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工程质量保修书</w:t>
      </w:r>
    </w:p>
    <w:p w14:paraId="04F9EF0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发包人（全称）：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623854D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承包人（全称）：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206B0C7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55A027A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发包人和承包人根据《中华人民共和国建筑法》和《建设工程质量管理条例》，经协商一致就</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（工程全称）签订工程质量保修书。</w:t>
      </w:r>
    </w:p>
    <w:p w14:paraId="17D9C602">
      <w:pPr>
        <w:autoSpaceDE w:val="0"/>
        <w:spacing w:line="360" w:lineRule="auto"/>
        <w:outlineLvl w:val="0"/>
        <w:rPr>
          <w:rFonts w:ascii="宋体" w:hAnsi="宋体" w:eastAsia="宋体" w:cs="Times New Roman"/>
          <w:sz w:val="21"/>
          <w:szCs w:val="21"/>
        </w:rPr>
      </w:pPr>
      <w:bookmarkStart w:id="1680" w:name="_Toc25787"/>
      <w:bookmarkEnd w:id="1680"/>
      <w:bookmarkStart w:id="1681" w:name="_Toc23976"/>
      <w:r>
        <w:rPr>
          <w:rFonts w:hint="eastAsia" w:ascii="宋体" w:hAnsi="宋体" w:eastAsia="宋体" w:cs="Times New Roman"/>
          <w:sz w:val="21"/>
          <w:szCs w:val="21"/>
        </w:rPr>
        <w:t>一、工程质量保修范围和内容</w:t>
      </w:r>
      <w:bookmarkEnd w:id="1681"/>
    </w:p>
    <w:p w14:paraId="33E4E25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承包人在质量保修期内，按照有关法律规定和合同约定，承担工程质量保修责任。</w:t>
      </w:r>
    </w:p>
    <w:p w14:paraId="586739C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233740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8DADA83">
      <w:pPr>
        <w:numPr>
          <w:ilvl w:val="0"/>
          <w:numId w:val="18"/>
        </w:numPr>
        <w:autoSpaceDE w:val="0"/>
        <w:spacing w:line="360" w:lineRule="auto"/>
        <w:ind w:firstLine="420"/>
        <w:outlineLvl w:val="0"/>
        <w:rPr>
          <w:rFonts w:ascii="宋体" w:hAnsi="宋体" w:eastAsia="宋体" w:cs="Times New Roman"/>
          <w:sz w:val="21"/>
          <w:szCs w:val="21"/>
        </w:rPr>
      </w:pPr>
      <w:bookmarkStart w:id="1682" w:name="_Toc11763"/>
      <w:bookmarkEnd w:id="1682"/>
      <w:bookmarkStart w:id="1683" w:name="_Toc9838"/>
      <w:r>
        <w:rPr>
          <w:rFonts w:hint="eastAsia" w:ascii="宋体" w:hAnsi="宋体" w:eastAsia="宋体" w:cs="Times New Roman"/>
          <w:sz w:val="21"/>
          <w:szCs w:val="21"/>
        </w:rPr>
        <w:t>质量保修期</w:t>
      </w:r>
      <w:bookmarkEnd w:id="1683"/>
    </w:p>
    <w:p w14:paraId="15410E6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根据《建设工程质量管理条例》及有关规定，工程的质量保修期如下：</w:t>
      </w:r>
    </w:p>
    <w:p w14:paraId="1544D99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1．地基基础工程和主体结构工程为设计文件规定的工程合理使用年限；</w:t>
      </w:r>
    </w:p>
    <w:p w14:paraId="75B57D0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2．屋面防水工程、有防水要求的卫生间、房间和外墙面的防渗为</w:t>
      </w:r>
      <w:r>
        <w:rPr>
          <w:rFonts w:hint="eastAsia" w:ascii="宋体" w:hAnsi="宋体" w:eastAsia="宋体" w:cs="Times New Roman"/>
          <w:sz w:val="21"/>
          <w:szCs w:val="21"/>
          <w:u w:val="single"/>
        </w:rPr>
        <w:t xml:space="preserve">    5    </w:t>
      </w:r>
      <w:r>
        <w:rPr>
          <w:rFonts w:hint="eastAsia" w:ascii="宋体" w:hAnsi="宋体" w:eastAsia="宋体" w:cs="Times New Roman"/>
          <w:sz w:val="21"/>
          <w:szCs w:val="21"/>
        </w:rPr>
        <w:t>年；</w:t>
      </w:r>
    </w:p>
    <w:p w14:paraId="0F3C2CE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3．装修工程为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年；</w:t>
      </w:r>
    </w:p>
    <w:p w14:paraId="63B7A43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4．电气管线、给排水管道、设备安装工程为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年；</w:t>
      </w:r>
    </w:p>
    <w:p w14:paraId="4CB41D6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5．供热与供冷系统为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个采暖期、供冷期；</w:t>
      </w:r>
    </w:p>
    <w:p w14:paraId="72A35E1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6．给排水设施、道路等配套工程为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年；</w:t>
      </w:r>
    </w:p>
    <w:p w14:paraId="3D324A4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7．其他项目保修期限约定如下：</w:t>
      </w:r>
    </w:p>
    <w:p w14:paraId="7AC22C9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6D8F9D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质量保修期自工程竣工验收合格之日起计算。</w:t>
      </w:r>
    </w:p>
    <w:p w14:paraId="424B53AD">
      <w:pPr>
        <w:autoSpaceDE w:val="0"/>
        <w:spacing w:line="360" w:lineRule="auto"/>
        <w:outlineLvl w:val="0"/>
        <w:rPr>
          <w:rFonts w:ascii="宋体" w:hAnsi="宋体" w:eastAsia="宋体" w:cs="Times New Roman"/>
          <w:sz w:val="21"/>
          <w:szCs w:val="21"/>
        </w:rPr>
      </w:pPr>
      <w:bookmarkStart w:id="1684" w:name="_Toc6195"/>
      <w:bookmarkEnd w:id="1684"/>
      <w:bookmarkStart w:id="1685" w:name="_Toc14726"/>
      <w:r>
        <w:rPr>
          <w:rFonts w:hint="eastAsia" w:ascii="宋体" w:hAnsi="宋体" w:eastAsia="宋体" w:cs="Times New Roman"/>
          <w:sz w:val="21"/>
          <w:szCs w:val="21"/>
        </w:rPr>
        <w:t>三、缺陷责任期</w:t>
      </w:r>
      <w:bookmarkEnd w:id="1685"/>
    </w:p>
    <w:p w14:paraId="07CC469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工程缺陷责任期为</w:t>
      </w:r>
      <w:r>
        <w:rPr>
          <w:rFonts w:hint="eastAsia" w:ascii="宋体" w:hAnsi="宋体" w:eastAsia="宋体" w:cs="Times New Roman"/>
          <w:sz w:val="21"/>
          <w:szCs w:val="21"/>
          <w:u w:val="single"/>
        </w:rPr>
        <w:t xml:space="preserve">   24 </w:t>
      </w:r>
      <w:r>
        <w:rPr>
          <w:rFonts w:hint="eastAsia" w:ascii="宋体" w:hAnsi="宋体" w:eastAsia="宋体" w:cs="Times New Roman"/>
          <w:sz w:val="21"/>
          <w:szCs w:val="21"/>
        </w:rPr>
        <w:t>个月，缺陷责任期自工程通过竣工验收之日起计算。单位工程先于全部工程进行验收，单位工程缺陷责任期自单位工程验收合格之日起算。</w:t>
      </w:r>
    </w:p>
    <w:p w14:paraId="020B5A1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缺陷责任期终止后，发包人应退还剩余的质量保证金。</w:t>
      </w:r>
    </w:p>
    <w:p w14:paraId="19F52F64">
      <w:pPr>
        <w:autoSpaceDE w:val="0"/>
        <w:spacing w:line="360" w:lineRule="auto"/>
        <w:outlineLvl w:val="0"/>
        <w:rPr>
          <w:rFonts w:ascii="宋体" w:hAnsi="宋体" w:eastAsia="宋体" w:cs="Times New Roman"/>
          <w:sz w:val="21"/>
          <w:szCs w:val="21"/>
        </w:rPr>
      </w:pPr>
      <w:bookmarkStart w:id="1686" w:name="_Toc29237"/>
      <w:bookmarkEnd w:id="1686"/>
      <w:bookmarkStart w:id="1687" w:name="_Toc21547"/>
      <w:r>
        <w:rPr>
          <w:rFonts w:hint="eastAsia" w:ascii="宋体" w:hAnsi="宋体" w:eastAsia="宋体" w:cs="Times New Roman"/>
          <w:sz w:val="21"/>
          <w:szCs w:val="21"/>
        </w:rPr>
        <w:t>四、质量保修责任</w:t>
      </w:r>
      <w:bookmarkEnd w:id="1687"/>
    </w:p>
    <w:p w14:paraId="522410A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1．属于保修范围、内容的项目，承包人应当在接到保修通知之日起7天内派人保修。承包人不在约定期限内派人保修的，发包人可以委托他人修理。</w:t>
      </w:r>
    </w:p>
    <w:p w14:paraId="73EDADF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2．发生紧急事故需抢修的，承包人在接到事故通知后，应当立即到达事故现场抢修。</w:t>
      </w:r>
    </w:p>
    <w:p w14:paraId="7B00AC9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D688ED">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4．质量保修完成后，由发包人组织验收。</w:t>
      </w:r>
    </w:p>
    <w:p w14:paraId="7985F207">
      <w:pPr>
        <w:autoSpaceDE w:val="0"/>
        <w:spacing w:line="360" w:lineRule="auto"/>
        <w:outlineLvl w:val="0"/>
        <w:rPr>
          <w:rFonts w:ascii="宋体" w:hAnsi="宋体" w:eastAsia="宋体" w:cs="Times New Roman"/>
          <w:sz w:val="21"/>
          <w:szCs w:val="21"/>
        </w:rPr>
      </w:pPr>
      <w:bookmarkStart w:id="1688" w:name="_Toc950"/>
      <w:bookmarkEnd w:id="1688"/>
      <w:bookmarkStart w:id="1689" w:name="_Toc2765"/>
      <w:r>
        <w:rPr>
          <w:rFonts w:hint="eastAsia" w:ascii="宋体" w:hAnsi="宋体" w:eastAsia="宋体" w:cs="Times New Roman"/>
          <w:sz w:val="21"/>
          <w:szCs w:val="21"/>
        </w:rPr>
        <w:t>五、保修费用</w:t>
      </w:r>
      <w:bookmarkEnd w:id="1689"/>
    </w:p>
    <w:p w14:paraId="64402BB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保修费用由造成质量缺陷的责任方承担。</w:t>
      </w:r>
    </w:p>
    <w:p w14:paraId="1A5AC90B">
      <w:pPr>
        <w:autoSpaceDE w:val="0"/>
        <w:spacing w:line="360" w:lineRule="auto"/>
        <w:jc w:val="left"/>
        <w:rPr>
          <w:rFonts w:ascii="宋体" w:hAnsi="宋体" w:eastAsia="宋体" w:cs="Times New Roman"/>
          <w:sz w:val="21"/>
          <w:szCs w:val="21"/>
        </w:rPr>
      </w:pPr>
      <w:r>
        <w:rPr>
          <w:rFonts w:hint="eastAsia" w:ascii="宋体" w:hAnsi="宋体" w:eastAsia="宋体" w:cs="Times New Roman"/>
          <w:bCs/>
          <w:sz w:val="21"/>
          <w:szCs w:val="21"/>
        </w:rPr>
        <w:t>六、双</w:t>
      </w:r>
      <w:r>
        <w:rPr>
          <w:rFonts w:hint="eastAsia" w:ascii="宋体" w:hAnsi="宋体" w:eastAsia="宋体" w:cs="Times New Roman"/>
          <w:sz w:val="21"/>
          <w:szCs w:val="21"/>
        </w:rPr>
        <w:t>方约定的其他工程质量保修事项：</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9E27BC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工程质量保修书由发包人、承包人在工程竣工验收前共同签署，作为施工合同附件，其有效期限至保修期满。</w:t>
      </w:r>
    </w:p>
    <w:p w14:paraId="182C1C4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0F83701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发包人(公章)：</w:t>
      </w:r>
      <w:r>
        <w:rPr>
          <w:rFonts w:hint="eastAsia" w:ascii="宋体" w:hAnsi="宋体" w:eastAsia="宋体" w:cs="Times New Roman"/>
          <w:sz w:val="21"/>
          <w:szCs w:val="21"/>
          <w:u w:val="single"/>
        </w:rPr>
        <w:t xml:space="preserve">        </w:t>
      </w:r>
      <w:r>
        <w:rPr>
          <w:rFonts w:hint="eastAsia" w:ascii="宋体" w:hAnsi="宋体" w:eastAsia="宋体" w:cs="Times New Roman"/>
          <w:sz w:val="21"/>
          <w:szCs w:val="21"/>
        </w:rPr>
        <w:t xml:space="preserve"> 承包人(公章)：</w:t>
      </w:r>
      <w:r>
        <w:rPr>
          <w:rFonts w:hint="eastAsia" w:ascii="宋体" w:hAnsi="宋体" w:eastAsia="宋体" w:cs="Times New Roman"/>
          <w:sz w:val="21"/>
          <w:szCs w:val="21"/>
          <w:u w:val="single"/>
        </w:rPr>
        <w:t xml:space="preserve">           </w:t>
      </w:r>
    </w:p>
    <w:p w14:paraId="31FB91F3">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地  址：</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地  址：</w:t>
      </w:r>
      <w:r>
        <w:rPr>
          <w:rFonts w:hint="eastAsia" w:ascii="宋体" w:hAnsi="宋体" w:eastAsia="宋体" w:cs="Times New Roman"/>
          <w:sz w:val="21"/>
          <w:szCs w:val="21"/>
          <w:u w:val="single"/>
        </w:rPr>
        <w:t xml:space="preserve">       </w:t>
      </w:r>
    </w:p>
    <w:p w14:paraId="129A6CD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法定代表人(签名)：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法定代表人(签名)：</w:t>
      </w:r>
      <w:r>
        <w:rPr>
          <w:rFonts w:hint="eastAsia" w:ascii="宋体" w:hAnsi="宋体" w:eastAsia="宋体" w:cs="Times New Roman"/>
          <w:sz w:val="21"/>
          <w:szCs w:val="21"/>
          <w:u w:val="single"/>
        </w:rPr>
        <w:t xml:space="preserve">       </w:t>
      </w:r>
    </w:p>
    <w:p w14:paraId="298ACA5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委托代理人(签名)：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委托代理人(签名)：</w:t>
      </w:r>
      <w:r>
        <w:rPr>
          <w:rFonts w:hint="eastAsia" w:ascii="宋体" w:hAnsi="宋体" w:eastAsia="宋体" w:cs="Times New Roman"/>
          <w:sz w:val="21"/>
          <w:szCs w:val="21"/>
          <w:u w:val="single"/>
        </w:rPr>
        <w:t xml:space="preserve">       </w:t>
      </w:r>
    </w:p>
    <w:p w14:paraId="30F1276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电  话：</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电  话：</w:t>
      </w:r>
      <w:r>
        <w:rPr>
          <w:rFonts w:hint="eastAsia" w:ascii="宋体" w:hAnsi="宋体" w:eastAsia="宋体" w:cs="Times New Roman"/>
          <w:sz w:val="21"/>
          <w:szCs w:val="21"/>
          <w:u w:val="single"/>
        </w:rPr>
        <w:t xml:space="preserve">     </w:t>
      </w:r>
    </w:p>
    <w:p w14:paraId="755DC96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传  真：</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传  真：</w:t>
      </w:r>
      <w:r>
        <w:rPr>
          <w:rFonts w:hint="eastAsia" w:ascii="宋体" w:hAnsi="宋体" w:eastAsia="宋体" w:cs="Times New Roman"/>
          <w:sz w:val="21"/>
          <w:szCs w:val="21"/>
          <w:u w:val="single"/>
        </w:rPr>
        <w:t xml:space="preserve">     </w:t>
      </w:r>
    </w:p>
    <w:p w14:paraId="0ACD8D6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开户银行：</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开户银行：</w:t>
      </w:r>
      <w:r>
        <w:rPr>
          <w:rFonts w:hint="eastAsia" w:ascii="宋体" w:hAnsi="宋体" w:eastAsia="宋体" w:cs="Times New Roman"/>
          <w:sz w:val="21"/>
          <w:szCs w:val="21"/>
          <w:u w:val="single"/>
        </w:rPr>
        <w:t xml:space="preserve">   </w:t>
      </w:r>
    </w:p>
    <w:p w14:paraId="5C2E500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账  号：</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账  号：</w:t>
      </w:r>
      <w:r>
        <w:rPr>
          <w:rFonts w:hint="eastAsia" w:ascii="宋体" w:hAnsi="宋体" w:eastAsia="宋体" w:cs="Times New Roman"/>
          <w:sz w:val="21"/>
          <w:szCs w:val="21"/>
          <w:u w:val="single"/>
        </w:rPr>
        <w:t xml:space="preserve">     </w:t>
      </w:r>
    </w:p>
    <w:p w14:paraId="146083D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邮政编码：</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邮政编码：</w:t>
      </w:r>
      <w:r>
        <w:rPr>
          <w:rFonts w:hint="eastAsia" w:ascii="宋体" w:hAnsi="宋体" w:eastAsia="宋体" w:cs="Times New Roman"/>
          <w:sz w:val="21"/>
          <w:szCs w:val="21"/>
          <w:u w:val="single"/>
        </w:rPr>
        <w:t xml:space="preserve">   </w:t>
      </w:r>
    </w:p>
    <w:p w14:paraId="048AB606">
      <w:pPr>
        <w:spacing w:line="440" w:lineRule="exact"/>
        <w:rPr>
          <w:rFonts w:ascii="宋体" w:hAnsi="宋体" w:eastAsia="宋体" w:cs="Times New Roman"/>
          <w:sz w:val="21"/>
          <w:szCs w:val="21"/>
        </w:rPr>
      </w:pPr>
      <w:r>
        <w:rPr>
          <w:rFonts w:hint="eastAsia" w:ascii="宋体" w:hAnsi="宋体" w:eastAsia="宋体" w:cs="Times New Roman"/>
          <w:b/>
          <w:sz w:val="21"/>
          <w:szCs w:val="21"/>
        </w:rPr>
        <w:br w:type="page"/>
      </w:r>
      <w:r>
        <w:rPr>
          <w:rFonts w:hint="eastAsia" w:ascii="宋体" w:hAnsi="宋体" w:eastAsia="宋体" w:cs="Times New Roman"/>
          <w:sz w:val="21"/>
          <w:szCs w:val="21"/>
        </w:rPr>
        <w:t>附件4：</w:t>
      </w:r>
    </w:p>
    <w:p w14:paraId="2670359C">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主要建设工程文件目录</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8A8C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2" w:space="0"/>
              <w:right w:val="single" w:color="auto" w:sz="6" w:space="0"/>
            </w:tcBorders>
            <w:vAlign w:val="center"/>
          </w:tcPr>
          <w:p w14:paraId="6A7A175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文件名称</w:t>
            </w:r>
          </w:p>
        </w:tc>
        <w:tc>
          <w:tcPr>
            <w:tcW w:w="1276" w:type="dxa"/>
            <w:tcBorders>
              <w:top w:val="single" w:color="auto" w:sz="12" w:space="0"/>
              <w:left w:val="single" w:color="auto" w:sz="6" w:space="0"/>
              <w:bottom w:val="double" w:color="auto" w:sz="2" w:space="0"/>
              <w:right w:val="single" w:color="auto" w:sz="6" w:space="0"/>
            </w:tcBorders>
            <w:vAlign w:val="center"/>
          </w:tcPr>
          <w:p w14:paraId="2FA766AF">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套数</w:t>
            </w:r>
          </w:p>
        </w:tc>
        <w:tc>
          <w:tcPr>
            <w:tcW w:w="1450" w:type="dxa"/>
            <w:tcBorders>
              <w:top w:val="single" w:color="auto" w:sz="12" w:space="0"/>
              <w:left w:val="single" w:color="auto" w:sz="6" w:space="0"/>
              <w:bottom w:val="double" w:color="auto" w:sz="2" w:space="0"/>
              <w:right w:val="single" w:color="auto" w:sz="6" w:space="0"/>
            </w:tcBorders>
            <w:vAlign w:val="center"/>
          </w:tcPr>
          <w:p w14:paraId="0B9851C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费用（元）</w:t>
            </w:r>
          </w:p>
        </w:tc>
        <w:tc>
          <w:tcPr>
            <w:tcW w:w="1243" w:type="dxa"/>
            <w:tcBorders>
              <w:top w:val="single" w:color="auto" w:sz="12" w:space="0"/>
              <w:left w:val="single" w:color="auto" w:sz="6" w:space="0"/>
              <w:bottom w:val="double" w:color="auto" w:sz="2" w:space="0"/>
              <w:right w:val="single" w:color="auto" w:sz="6" w:space="0"/>
            </w:tcBorders>
            <w:vAlign w:val="center"/>
          </w:tcPr>
          <w:p w14:paraId="2EFB70B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w:t>
            </w:r>
          </w:p>
        </w:tc>
        <w:tc>
          <w:tcPr>
            <w:tcW w:w="1450" w:type="dxa"/>
            <w:tcBorders>
              <w:top w:val="single" w:color="auto" w:sz="12" w:space="0"/>
              <w:left w:val="single" w:color="auto" w:sz="6" w:space="0"/>
              <w:bottom w:val="double" w:color="auto" w:sz="2" w:space="0"/>
              <w:right w:val="single" w:color="auto" w:sz="6" w:space="0"/>
            </w:tcBorders>
          </w:tcPr>
          <w:p w14:paraId="2F6BD51B">
            <w:pPr>
              <w:autoSpaceDE w:val="0"/>
              <w:spacing w:line="400" w:lineRule="exact"/>
              <w:jc w:val="center"/>
              <w:rPr>
                <w:rFonts w:ascii="宋体" w:hAnsi="宋体" w:eastAsia="宋体" w:cs="Times New Roman"/>
                <w:sz w:val="21"/>
                <w:szCs w:val="21"/>
              </w:rPr>
            </w:pPr>
            <w:r>
              <w:rPr>
                <w:rFonts w:hint="eastAsia" w:ascii="宋体" w:hAnsi="宋体" w:eastAsia="宋体" w:cs="Times New Roman"/>
                <w:sz w:val="21"/>
                <w:szCs w:val="21"/>
              </w:rPr>
              <w:t>移交时间</w:t>
            </w:r>
          </w:p>
        </w:tc>
        <w:tc>
          <w:tcPr>
            <w:tcW w:w="1667" w:type="dxa"/>
            <w:tcBorders>
              <w:top w:val="single" w:color="auto" w:sz="12" w:space="0"/>
              <w:left w:val="single" w:color="auto" w:sz="6" w:space="0"/>
              <w:bottom w:val="double" w:color="auto" w:sz="2" w:space="0"/>
              <w:right w:val="single" w:color="auto" w:sz="12" w:space="0"/>
            </w:tcBorders>
          </w:tcPr>
          <w:p w14:paraId="679C4AA3">
            <w:pPr>
              <w:autoSpaceDE w:val="0"/>
              <w:spacing w:line="400" w:lineRule="exact"/>
              <w:jc w:val="center"/>
              <w:rPr>
                <w:rFonts w:ascii="宋体" w:hAnsi="宋体" w:eastAsia="宋体" w:cs="Times New Roman"/>
                <w:sz w:val="21"/>
                <w:szCs w:val="21"/>
              </w:rPr>
            </w:pPr>
            <w:r>
              <w:rPr>
                <w:rFonts w:hint="eastAsia" w:ascii="宋体" w:hAnsi="宋体" w:eastAsia="宋体" w:cs="Times New Roman"/>
                <w:sz w:val="21"/>
                <w:szCs w:val="21"/>
              </w:rPr>
              <w:t>责任人</w:t>
            </w:r>
          </w:p>
        </w:tc>
      </w:tr>
      <w:tr w14:paraId="0AC51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2" w:space="0"/>
              <w:left w:val="single" w:color="auto" w:sz="12" w:space="0"/>
              <w:bottom w:val="single" w:color="auto" w:sz="6" w:space="0"/>
              <w:right w:val="single" w:color="auto" w:sz="6" w:space="0"/>
            </w:tcBorders>
            <w:vAlign w:val="center"/>
          </w:tcPr>
          <w:p w14:paraId="20E004C1">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double" w:color="auto" w:sz="2" w:space="0"/>
              <w:left w:val="single" w:color="auto" w:sz="6" w:space="0"/>
              <w:bottom w:val="single" w:color="auto" w:sz="6" w:space="0"/>
              <w:right w:val="single" w:color="auto" w:sz="6" w:space="0"/>
            </w:tcBorders>
            <w:vAlign w:val="center"/>
          </w:tcPr>
          <w:p w14:paraId="35CB4562">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double" w:color="auto" w:sz="2" w:space="0"/>
              <w:left w:val="single" w:color="auto" w:sz="6" w:space="0"/>
              <w:bottom w:val="single" w:color="auto" w:sz="6" w:space="0"/>
              <w:right w:val="single" w:color="auto" w:sz="6" w:space="0"/>
            </w:tcBorders>
            <w:vAlign w:val="center"/>
          </w:tcPr>
          <w:p w14:paraId="527BA354">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double" w:color="auto" w:sz="2" w:space="0"/>
              <w:left w:val="single" w:color="auto" w:sz="6" w:space="0"/>
              <w:bottom w:val="single" w:color="auto" w:sz="6" w:space="0"/>
              <w:right w:val="single" w:color="auto" w:sz="6" w:space="0"/>
            </w:tcBorders>
            <w:vAlign w:val="center"/>
          </w:tcPr>
          <w:p w14:paraId="0789C380">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double" w:color="auto" w:sz="2" w:space="0"/>
              <w:left w:val="single" w:color="auto" w:sz="6" w:space="0"/>
              <w:bottom w:val="single" w:color="auto" w:sz="6" w:space="0"/>
              <w:right w:val="single" w:color="auto" w:sz="6" w:space="0"/>
            </w:tcBorders>
            <w:vAlign w:val="center"/>
          </w:tcPr>
          <w:p w14:paraId="21BB170F">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double" w:color="auto" w:sz="2" w:space="0"/>
              <w:left w:val="single" w:color="auto" w:sz="6" w:space="0"/>
              <w:bottom w:val="single" w:color="auto" w:sz="6" w:space="0"/>
              <w:right w:val="single" w:color="auto" w:sz="12" w:space="0"/>
            </w:tcBorders>
            <w:vAlign w:val="center"/>
          </w:tcPr>
          <w:p w14:paraId="08597795">
            <w:pPr>
              <w:keepNext/>
              <w:autoSpaceDE w:val="0"/>
              <w:spacing w:before="100" w:beforeAutospacing="1" w:line="400" w:lineRule="exact"/>
              <w:jc w:val="center"/>
              <w:rPr>
                <w:rFonts w:ascii="宋体" w:hAnsi="宋体" w:eastAsia="宋体" w:cs="Times New Roman"/>
                <w:sz w:val="21"/>
                <w:szCs w:val="21"/>
              </w:rPr>
            </w:pPr>
          </w:p>
        </w:tc>
      </w:tr>
      <w:tr w14:paraId="191D9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1A4C45D2">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6" w:space="0"/>
            </w:tcBorders>
            <w:vAlign w:val="center"/>
          </w:tcPr>
          <w:p w14:paraId="6B4BE8CB">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nil"/>
              <w:left w:val="single" w:color="auto" w:sz="6" w:space="0"/>
              <w:bottom w:val="single" w:color="auto" w:sz="6" w:space="0"/>
              <w:right w:val="single" w:color="auto" w:sz="6" w:space="0"/>
            </w:tcBorders>
            <w:vAlign w:val="center"/>
          </w:tcPr>
          <w:p w14:paraId="592B2683">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nil"/>
              <w:left w:val="single" w:color="auto" w:sz="6" w:space="0"/>
              <w:bottom w:val="single" w:color="auto" w:sz="6" w:space="0"/>
              <w:right w:val="single" w:color="auto" w:sz="6" w:space="0"/>
            </w:tcBorders>
            <w:vAlign w:val="center"/>
          </w:tcPr>
          <w:p w14:paraId="126BB435">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nil"/>
              <w:left w:val="single" w:color="auto" w:sz="6" w:space="0"/>
              <w:bottom w:val="single" w:color="auto" w:sz="6" w:space="0"/>
              <w:right w:val="single" w:color="auto" w:sz="6" w:space="0"/>
            </w:tcBorders>
            <w:vAlign w:val="center"/>
          </w:tcPr>
          <w:p w14:paraId="79A5878C">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nil"/>
              <w:left w:val="single" w:color="auto" w:sz="6" w:space="0"/>
              <w:bottom w:val="single" w:color="auto" w:sz="6" w:space="0"/>
              <w:right w:val="single" w:color="auto" w:sz="12" w:space="0"/>
            </w:tcBorders>
            <w:vAlign w:val="center"/>
          </w:tcPr>
          <w:p w14:paraId="6F182521">
            <w:pPr>
              <w:keepNext/>
              <w:autoSpaceDE w:val="0"/>
              <w:spacing w:before="100" w:beforeAutospacing="1" w:line="400" w:lineRule="exact"/>
              <w:jc w:val="center"/>
              <w:rPr>
                <w:rFonts w:ascii="宋体" w:hAnsi="宋体" w:eastAsia="宋体" w:cs="Times New Roman"/>
                <w:sz w:val="21"/>
                <w:szCs w:val="21"/>
              </w:rPr>
            </w:pPr>
          </w:p>
        </w:tc>
      </w:tr>
      <w:tr w14:paraId="7F523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6DE9D4B">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CB20399">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4B2146B3">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4CEA9AC7">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06A29F8">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71397AC1">
            <w:pPr>
              <w:keepNext/>
              <w:autoSpaceDE w:val="0"/>
              <w:spacing w:before="100" w:beforeAutospacing="1" w:line="400" w:lineRule="exact"/>
              <w:jc w:val="center"/>
              <w:rPr>
                <w:rFonts w:ascii="宋体" w:hAnsi="宋体" w:eastAsia="宋体" w:cs="Times New Roman"/>
                <w:sz w:val="21"/>
                <w:szCs w:val="21"/>
              </w:rPr>
            </w:pPr>
          </w:p>
        </w:tc>
      </w:tr>
      <w:tr w14:paraId="5BBCB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A5C2B1F">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0B1498EE">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8444278">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5B592C89">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BF7567A">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09F10970">
            <w:pPr>
              <w:keepNext/>
              <w:autoSpaceDE w:val="0"/>
              <w:spacing w:before="100" w:beforeAutospacing="1" w:line="400" w:lineRule="exact"/>
              <w:jc w:val="center"/>
              <w:rPr>
                <w:rFonts w:ascii="宋体" w:hAnsi="宋体" w:eastAsia="宋体" w:cs="Times New Roman"/>
                <w:sz w:val="21"/>
                <w:szCs w:val="21"/>
              </w:rPr>
            </w:pPr>
          </w:p>
        </w:tc>
      </w:tr>
      <w:tr w14:paraId="76862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BCD42AA">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97F908D">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25C76B4E">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7372CC18">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365F9A78">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4BD73D4F">
            <w:pPr>
              <w:keepNext/>
              <w:autoSpaceDE w:val="0"/>
              <w:spacing w:before="100" w:beforeAutospacing="1" w:line="400" w:lineRule="exact"/>
              <w:jc w:val="center"/>
              <w:rPr>
                <w:rFonts w:ascii="宋体" w:hAnsi="宋体" w:eastAsia="宋体" w:cs="Times New Roman"/>
                <w:sz w:val="21"/>
                <w:szCs w:val="21"/>
              </w:rPr>
            </w:pPr>
          </w:p>
        </w:tc>
      </w:tr>
      <w:tr w14:paraId="70211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210DEEB">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C892EC3">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035BB32E">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1A163E9D">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079041D">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4AD71620">
            <w:pPr>
              <w:keepNext/>
              <w:autoSpaceDE w:val="0"/>
              <w:spacing w:before="100" w:beforeAutospacing="1" w:line="400" w:lineRule="exact"/>
              <w:jc w:val="center"/>
              <w:rPr>
                <w:rFonts w:ascii="宋体" w:hAnsi="宋体" w:eastAsia="宋体" w:cs="Times New Roman"/>
                <w:sz w:val="21"/>
                <w:szCs w:val="21"/>
              </w:rPr>
            </w:pPr>
          </w:p>
        </w:tc>
      </w:tr>
      <w:tr w14:paraId="258F9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FBE9621">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FE4794E">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1AD561F4">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2A7B8851">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0537C4E">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76FF4A74">
            <w:pPr>
              <w:keepNext/>
              <w:autoSpaceDE w:val="0"/>
              <w:spacing w:before="100" w:beforeAutospacing="1" w:line="400" w:lineRule="exact"/>
              <w:jc w:val="center"/>
              <w:rPr>
                <w:rFonts w:ascii="宋体" w:hAnsi="宋体" w:eastAsia="宋体" w:cs="Times New Roman"/>
                <w:sz w:val="21"/>
                <w:szCs w:val="21"/>
              </w:rPr>
            </w:pPr>
          </w:p>
        </w:tc>
      </w:tr>
      <w:tr w14:paraId="206F6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7F79C67">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508F7D4">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22A11EBC">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17977B0E">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2D38E37">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48253A58">
            <w:pPr>
              <w:keepNext/>
              <w:autoSpaceDE w:val="0"/>
              <w:spacing w:before="100" w:beforeAutospacing="1" w:line="400" w:lineRule="exact"/>
              <w:jc w:val="center"/>
              <w:rPr>
                <w:rFonts w:ascii="宋体" w:hAnsi="宋体" w:eastAsia="宋体" w:cs="Times New Roman"/>
                <w:sz w:val="21"/>
                <w:szCs w:val="21"/>
              </w:rPr>
            </w:pPr>
          </w:p>
        </w:tc>
      </w:tr>
      <w:tr w14:paraId="4F0C6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0C0D895">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0F8AA923">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1207A897">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6A726EB5">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CDC1B55">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0F807B63">
            <w:pPr>
              <w:autoSpaceDE w:val="0"/>
              <w:spacing w:line="400" w:lineRule="exact"/>
              <w:jc w:val="center"/>
              <w:rPr>
                <w:rFonts w:ascii="宋体" w:hAnsi="宋体" w:eastAsia="宋体" w:cs="Times New Roman"/>
                <w:sz w:val="21"/>
                <w:szCs w:val="21"/>
              </w:rPr>
            </w:pPr>
          </w:p>
        </w:tc>
      </w:tr>
      <w:tr w14:paraId="5CC11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3CD3B33B">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B8AE5EB">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47736B5">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2269F228">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0708F199">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2A71389E">
            <w:pPr>
              <w:keepNext/>
              <w:autoSpaceDE w:val="0"/>
              <w:spacing w:before="100" w:beforeAutospacing="1" w:line="400" w:lineRule="exact"/>
              <w:jc w:val="center"/>
              <w:rPr>
                <w:rFonts w:ascii="宋体" w:hAnsi="宋体" w:eastAsia="宋体" w:cs="Times New Roman"/>
                <w:sz w:val="21"/>
                <w:szCs w:val="21"/>
              </w:rPr>
            </w:pPr>
          </w:p>
        </w:tc>
      </w:tr>
      <w:tr w14:paraId="6FBD9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DAF2321">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6B3457BC">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4C368809">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2A9D478E">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B051059">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369D9CF5">
            <w:pPr>
              <w:autoSpaceDE w:val="0"/>
              <w:spacing w:line="400" w:lineRule="exact"/>
              <w:jc w:val="center"/>
              <w:rPr>
                <w:rFonts w:ascii="宋体" w:hAnsi="宋体" w:eastAsia="宋体" w:cs="Times New Roman"/>
                <w:sz w:val="21"/>
                <w:szCs w:val="21"/>
              </w:rPr>
            </w:pPr>
          </w:p>
        </w:tc>
      </w:tr>
      <w:tr w14:paraId="482F4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15E9A59">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23FC215F">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69C3989">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3355781A">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5A61C32">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1D02C536">
            <w:pPr>
              <w:autoSpaceDE w:val="0"/>
              <w:spacing w:line="400" w:lineRule="exact"/>
              <w:jc w:val="center"/>
              <w:rPr>
                <w:rFonts w:ascii="宋体" w:hAnsi="宋体" w:eastAsia="宋体" w:cs="Times New Roman"/>
                <w:sz w:val="21"/>
                <w:szCs w:val="21"/>
              </w:rPr>
            </w:pPr>
          </w:p>
        </w:tc>
      </w:tr>
      <w:tr w14:paraId="1643A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15D40AC">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036232D6">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237FA3A2">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4B78C7DE">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07E9B98">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7EE8B7E">
            <w:pPr>
              <w:autoSpaceDE w:val="0"/>
              <w:spacing w:line="400" w:lineRule="exact"/>
              <w:jc w:val="center"/>
              <w:rPr>
                <w:rFonts w:ascii="宋体" w:hAnsi="宋体" w:eastAsia="宋体" w:cs="Times New Roman"/>
                <w:sz w:val="21"/>
                <w:szCs w:val="21"/>
              </w:rPr>
            </w:pPr>
          </w:p>
        </w:tc>
      </w:tr>
      <w:tr w14:paraId="088D0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0D0E8B13">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1387AAE6">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47829AF">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5840F3D6">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59C51BA6">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CF9F104">
            <w:pPr>
              <w:autoSpaceDE w:val="0"/>
              <w:spacing w:line="400" w:lineRule="exact"/>
              <w:jc w:val="center"/>
              <w:rPr>
                <w:rFonts w:ascii="宋体" w:hAnsi="宋体" w:eastAsia="宋体" w:cs="Times New Roman"/>
                <w:sz w:val="21"/>
                <w:szCs w:val="21"/>
              </w:rPr>
            </w:pPr>
          </w:p>
        </w:tc>
      </w:tr>
      <w:tr w14:paraId="2238A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445E4F3">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692E05F8">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B1ABE8E">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0CD55AC0">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C2A35A8">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5226C76">
            <w:pPr>
              <w:autoSpaceDE w:val="0"/>
              <w:spacing w:line="400" w:lineRule="exact"/>
              <w:jc w:val="center"/>
              <w:rPr>
                <w:rFonts w:ascii="宋体" w:hAnsi="宋体" w:eastAsia="宋体" w:cs="Times New Roman"/>
                <w:sz w:val="21"/>
                <w:szCs w:val="21"/>
              </w:rPr>
            </w:pPr>
          </w:p>
        </w:tc>
      </w:tr>
      <w:tr w14:paraId="69C16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1F874DF">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2D416C51">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79B3AB6">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084F2FB1">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5D8132A">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18B1AB4F">
            <w:pPr>
              <w:autoSpaceDE w:val="0"/>
              <w:spacing w:line="400" w:lineRule="exact"/>
              <w:jc w:val="center"/>
              <w:rPr>
                <w:rFonts w:ascii="宋体" w:hAnsi="宋体" w:eastAsia="宋体" w:cs="Times New Roman"/>
                <w:sz w:val="21"/>
                <w:szCs w:val="21"/>
              </w:rPr>
            </w:pPr>
          </w:p>
        </w:tc>
      </w:tr>
      <w:tr w14:paraId="5F3D7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98916F5">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2ECF28C4">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0829D40">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5324D02D">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191C5780">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660F432">
            <w:pPr>
              <w:autoSpaceDE w:val="0"/>
              <w:spacing w:line="400" w:lineRule="exact"/>
              <w:jc w:val="center"/>
              <w:rPr>
                <w:rFonts w:ascii="宋体" w:hAnsi="宋体" w:eastAsia="宋体" w:cs="Times New Roman"/>
                <w:sz w:val="21"/>
                <w:szCs w:val="21"/>
              </w:rPr>
            </w:pPr>
          </w:p>
        </w:tc>
      </w:tr>
      <w:tr w14:paraId="51503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D66A7BF">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74A5D958">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4A4EA15">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44DCCB32">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0C510441">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27DBEA5F">
            <w:pPr>
              <w:autoSpaceDE w:val="0"/>
              <w:spacing w:line="400" w:lineRule="exact"/>
              <w:jc w:val="center"/>
              <w:rPr>
                <w:rFonts w:ascii="宋体" w:hAnsi="宋体" w:eastAsia="宋体" w:cs="Times New Roman"/>
                <w:sz w:val="21"/>
                <w:szCs w:val="21"/>
              </w:rPr>
            </w:pPr>
          </w:p>
        </w:tc>
      </w:tr>
      <w:tr w14:paraId="28BF2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057D9294">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12" w:space="0"/>
              <w:right w:val="single" w:color="auto" w:sz="6" w:space="0"/>
            </w:tcBorders>
          </w:tcPr>
          <w:p w14:paraId="54B7F9ED">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12" w:space="0"/>
              <w:right w:val="single" w:color="auto" w:sz="6" w:space="0"/>
            </w:tcBorders>
          </w:tcPr>
          <w:p w14:paraId="3F5EE3B8">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12" w:space="0"/>
              <w:right w:val="single" w:color="auto" w:sz="6" w:space="0"/>
            </w:tcBorders>
          </w:tcPr>
          <w:p w14:paraId="7B616841">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12" w:space="0"/>
              <w:right w:val="single" w:color="auto" w:sz="6" w:space="0"/>
            </w:tcBorders>
          </w:tcPr>
          <w:p w14:paraId="0D7DE641">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12" w:space="0"/>
              <w:right w:val="single" w:color="auto" w:sz="12" w:space="0"/>
            </w:tcBorders>
          </w:tcPr>
          <w:p w14:paraId="3963A741">
            <w:pPr>
              <w:autoSpaceDE w:val="0"/>
              <w:spacing w:line="400" w:lineRule="exact"/>
              <w:jc w:val="center"/>
              <w:rPr>
                <w:rFonts w:ascii="宋体" w:hAnsi="宋体" w:eastAsia="宋体" w:cs="Times New Roman"/>
                <w:sz w:val="21"/>
                <w:szCs w:val="21"/>
              </w:rPr>
            </w:pPr>
          </w:p>
        </w:tc>
      </w:tr>
    </w:tbl>
    <w:p w14:paraId="06F252B8">
      <w:pPr>
        <w:rPr>
          <w:rFonts w:ascii="宋体" w:hAnsi="宋体" w:eastAsia="宋体" w:cs="Times New Roman"/>
          <w:sz w:val="21"/>
          <w:szCs w:val="21"/>
        </w:rPr>
      </w:pPr>
      <w:r>
        <w:rPr>
          <w:rFonts w:hint="eastAsia" w:ascii="宋体" w:hAnsi="宋体" w:eastAsia="宋体" w:cs="Times New Roman"/>
          <w:sz w:val="21"/>
          <w:szCs w:val="21"/>
        </w:rPr>
        <w:br w:type="page"/>
      </w:r>
    </w:p>
    <w:p w14:paraId="3D8F9A6C">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690" w:name="_Toc296891267"/>
      <w:bookmarkEnd w:id="1690"/>
      <w:bookmarkStart w:id="1691" w:name="_Toc296347226"/>
      <w:bookmarkEnd w:id="1691"/>
      <w:bookmarkStart w:id="1692" w:name="_Toc296503227"/>
      <w:bookmarkEnd w:id="1692"/>
      <w:bookmarkStart w:id="1693" w:name="_Toc296891055"/>
      <w:bookmarkEnd w:id="1693"/>
      <w:bookmarkStart w:id="1694" w:name="_Toc296346728"/>
      <w:bookmarkEnd w:id="1694"/>
      <w:bookmarkStart w:id="1695" w:name="_Toc296944566"/>
      <w:bookmarkEnd w:id="1695"/>
      <w:bookmarkStart w:id="1696" w:name="_Toc267261698"/>
      <w:r>
        <w:rPr>
          <w:rFonts w:hint="eastAsia" w:ascii="宋体" w:hAnsi="宋体" w:eastAsia="宋体" w:cs="Times New Roman"/>
          <w:sz w:val="21"/>
          <w:szCs w:val="21"/>
        </w:rPr>
        <w:t>件5：</w:t>
      </w:r>
      <w:bookmarkEnd w:id="1696"/>
    </w:p>
    <w:p w14:paraId="6DAEF844">
      <w:pPr>
        <w:spacing w:line="440" w:lineRule="exact"/>
        <w:jc w:val="center"/>
        <w:rPr>
          <w:rFonts w:ascii="宋体" w:hAnsi="宋体" w:eastAsia="宋体" w:cs="Times New Roman"/>
          <w:sz w:val="21"/>
          <w:szCs w:val="21"/>
        </w:rPr>
      </w:pPr>
      <w:r>
        <w:rPr>
          <w:rFonts w:hint="eastAsia" w:ascii="宋体" w:hAnsi="宋体" w:eastAsia="宋体" w:cs="Times New Roman"/>
          <w:sz w:val="21"/>
          <w:szCs w:val="21"/>
        </w:rPr>
        <w:t>承包人用于本工程施工的机械设备表</w:t>
      </w:r>
    </w:p>
    <w:tbl>
      <w:tblPr>
        <w:tblStyle w:val="65"/>
        <w:tblW w:w="9809" w:type="dxa"/>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4C6C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2" w:type="dxa"/>
            <w:tcBorders>
              <w:top w:val="single" w:color="auto" w:sz="12" w:space="0"/>
              <w:left w:val="single" w:color="auto" w:sz="12" w:space="0"/>
              <w:bottom w:val="double" w:color="auto" w:sz="2" w:space="0"/>
              <w:right w:val="single" w:color="auto" w:sz="6" w:space="0"/>
            </w:tcBorders>
            <w:vAlign w:val="center"/>
          </w:tcPr>
          <w:p w14:paraId="7217C9A6">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418" w:type="dxa"/>
            <w:tcBorders>
              <w:top w:val="single" w:color="auto" w:sz="12" w:space="0"/>
              <w:left w:val="single" w:color="auto" w:sz="6" w:space="0"/>
              <w:bottom w:val="double" w:color="auto" w:sz="2" w:space="0"/>
              <w:right w:val="single" w:color="auto" w:sz="6" w:space="0"/>
            </w:tcBorders>
            <w:vAlign w:val="center"/>
          </w:tcPr>
          <w:p w14:paraId="0C86B455">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机械或设备名称</w:t>
            </w:r>
          </w:p>
        </w:tc>
        <w:tc>
          <w:tcPr>
            <w:tcW w:w="850" w:type="dxa"/>
            <w:tcBorders>
              <w:top w:val="single" w:color="auto" w:sz="12" w:space="0"/>
              <w:left w:val="single" w:color="auto" w:sz="6" w:space="0"/>
              <w:bottom w:val="double" w:color="auto" w:sz="2" w:space="0"/>
              <w:right w:val="single" w:color="auto" w:sz="6" w:space="0"/>
            </w:tcBorders>
            <w:vAlign w:val="center"/>
          </w:tcPr>
          <w:p w14:paraId="6A0A42EB">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规格型号</w:t>
            </w:r>
          </w:p>
        </w:tc>
        <w:tc>
          <w:tcPr>
            <w:tcW w:w="1058" w:type="dxa"/>
            <w:tcBorders>
              <w:top w:val="single" w:color="auto" w:sz="12" w:space="0"/>
              <w:left w:val="single" w:color="auto" w:sz="6" w:space="0"/>
              <w:bottom w:val="double" w:color="auto" w:sz="2" w:space="0"/>
              <w:right w:val="single" w:color="auto" w:sz="6" w:space="0"/>
            </w:tcBorders>
            <w:vAlign w:val="center"/>
          </w:tcPr>
          <w:p w14:paraId="1D44418F">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880" w:type="dxa"/>
            <w:tcBorders>
              <w:top w:val="single" w:color="auto" w:sz="12" w:space="0"/>
              <w:left w:val="single" w:color="auto" w:sz="6" w:space="0"/>
              <w:bottom w:val="double" w:color="auto" w:sz="2" w:space="0"/>
              <w:right w:val="single" w:color="auto" w:sz="6" w:space="0"/>
            </w:tcBorders>
            <w:vAlign w:val="center"/>
          </w:tcPr>
          <w:p w14:paraId="11F7F9DE">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产地</w:t>
            </w:r>
          </w:p>
        </w:tc>
        <w:tc>
          <w:tcPr>
            <w:tcW w:w="1020" w:type="dxa"/>
            <w:tcBorders>
              <w:top w:val="single" w:color="auto" w:sz="12" w:space="0"/>
              <w:left w:val="single" w:color="auto" w:sz="6" w:space="0"/>
              <w:bottom w:val="double" w:color="auto" w:sz="2" w:space="0"/>
              <w:right w:val="single" w:color="auto" w:sz="6" w:space="0"/>
            </w:tcBorders>
            <w:vAlign w:val="center"/>
          </w:tcPr>
          <w:p w14:paraId="1FF59A56">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制造年份</w:t>
            </w:r>
          </w:p>
        </w:tc>
        <w:tc>
          <w:tcPr>
            <w:tcW w:w="1480" w:type="dxa"/>
            <w:tcBorders>
              <w:top w:val="single" w:color="auto" w:sz="12" w:space="0"/>
              <w:left w:val="single" w:color="auto" w:sz="6" w:space="0"/>
              <w:bottom w:val="double" w:color="auto" w:sz="2" w:space="0"/>
              <w:right w:val="single" w:color="auto" w:sz="6" w:space="0"/>
            </w:tcBorders>
            <w:vAlign w:val="center"/>
          </w:tcPr>
          <w:p w14:paraId="439708D3">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额定功率(kW)</w:t>
            </w:r>
          </w:p>
        </w:tc>
        <w:tc>
          <w:tcPr>
            <w:tcW w:w="1020" w:type="dxa"/>
            <w:tcBorders>
              <w:top w:val="single" w:color="auto" w:sz="12" w:space="0"/>
              <w:left w:val="single" w:color="auto" w:sz="6" w:space="0"/>
              <w:bottom w:val="double" w:color="auto" w:sz="2" w:space="0"/>
              <w:right w:val="single" w:color="auto" w:sz="6" w:space="0"/>
            </w:tcBorders>
            <w:vAlign w:val="center"/>
          </w:tcPr>
          <w:p w14:paraId="56809CB2">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生产能力</w:t>
            </w:r>
          </w:p>
        </w:tc>
        <w:tc>
          <w:tcPr>
            <w:tcW w:w="921" w:type="dxa"/>
            <w:tcBorders>
              <w:top w:val="single" w:color="auto" w:sz="12" w:space="0"/>
              <w:left w:val="single" w:color="auto" w:sz="6" w:space="0"/>
              <w:bottom w:val="double" w:color="auto" w:sz="2" w:space="0"/>
              <w:right w:val="single" w:color="auto" w:sz="12" w:space="0"/>
            </w:tcBorders>
            <w:vAlign w:val="center"/>
          </w:tcPr>
          <w:p w14:paraId="0DE1F802">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0EDB0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double" w:color="auto" w:sz="2" w:space="0"/>
              <w:left w:val="single" w:color="auto" w:sz="12" w:space="0"/>
              <w:bottom w:val="single" w:color="auto" w:sz="6" w:space="0"/>
              <w:right w:val="single" w:color="auto" w:sz="6" w:space="0"/>
            </w:tcBorders>
            <w:vAlign w:val="center"/>
          </w:tcPr>
          <w:p w14:paraId="1A385FD8">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vAlign w:val="center"/>
          </w:tcPr>
          <w:p w14:paraId="0272268B">
            <w:pPr>
              <w:keepNext/>
              <w:autoSpaceDE w:val="0"/>
              <w:spacing w:before="100" w:beforeAutospacing="1" w:line="300" w:lineRule="exact"/>
              <w:jc w:val="center"/>
              <w:rPr>
                <w:rFonts w:ascii="宋体" w:hAnsi="宋体" w:eastAsia="宋体" w:cs="Times New Roman"/>
                <w:sz w:val="21"/>
                <w:szCs w:val="21"/>
              </w:rPr>
            </w:pPr>
          </w:p>
        </w:tc>
        <w:tc>
          <w:tcPr>
            <w:tcW w:w="850" w:type="dxa"/>
            <w:tcBorders>
              <w:top w:val="double" w:color="auto" w:sz="2" w:space="0"/>
              <w:left w:val="single" w:color="auto" w:sz="6" w:space="0"/>
              <w:bottom w:val="single" w:color="auto" w:sz="6" w:space="0"/>
              <w:right w:val="single" w:color="auto" w:sz="6" w:space="0"/>
            </w:tcBorders>
            <w:vAlign w:val="center"/>
          </w:tcPr>
          <w:p w14:paraId="0566151A">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double" w:color="auto" w:sz="2" w:space="0"/>
              <w:left w:val="single" w:color="auto" w:sz="6" w:space="0"/>
              <w:bottom w:val="single" w:color="auto" w:sz="6" w:space="0"/>
              <w:right w:val="single" w:color="auto" w:sz="6" w:space="0"/>
            </w:tcBorders>
            <w:vAlign w:val="center"/>
          </w:tcPr>
          <w:p w14:paraId="47E5CA9F">
            <w:pPr>
              <w:keepNext/>
              <w:autoSpaceDE w:val="0"/>
              <w:spacing w:before="100" w:beforeAutospacing="1" w:line="300" w:lineRule="exact"/>
              <w:jc w:val="center"/>
              <w:rPr>
                <w:rFonts w:ascii="宋体" w:hAnsi="宋体" w:eastAsia="宋体" w:cs="Times New Roman"/>
                <w:sz w:val="21"/>
                <w:szCs w:val="21"/>
              </w:rPr>
            </w:pPr>
          </w:p>
        </w:tc>
        <w:tc>
          <w:tcPr>
            <w:tcW w:w="880" w:type="dxa"/>
            <w:tcBorders>
              <w:top w:val="double" w:color="auto" w:sz="2" w:space="0"/>
              <w:left w:val="single" w:color="auto" w:sz="6" w:space="0"/>
              <w:bottom w:val="single" w:color="auto" w:sz="6" w:space="0"/>
              <w:right w:val="single" w:color="auto" w:sz="6" w:space="0"/>
            </w:tcBorders>
            <w:vAlign w:val="center"/>
          </w:tcPr>
          <w:p w14:paraId="787DC8DC">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double" w:color="auto" w:sz="2" w:space="0"/>
              <w:left w:val="single" w:color="auto" w:sz="6" w:space="0"/>
              <w:bottom w:val="single" w:color="auto" w:sz="6" w:space="0"/>
              <w:right w:val="single" w:color="auto" w:sz="6" w:space="0"/>
            </w:tcBorders>
            <w:vAlign w:val="center"/>
          </w:tcPr>
          <w:p w14:paraId="35A0FDDA">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double" w:color="auto" w:sz="2" w:space="0"/>
              <w:left w:val="single" w:color="auto" w:sz="6" w:space="0"/>
              <w:bottom w:val="single" w:color="auto" w:sz="6" w:space="0"/>
              <w:right w:val="single" w:color="auto" w:sz="6" w:space="0"/>
            </w:tcBorders>
            <w:vAlign w:val="center"/>
          </w:tcPr>
          <w:p w14:paraId="2CDE886F">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double" w:color="auto" w:sz="2" w:space="0"/>
              <w:left w:val="single" w:color="auto" w:sz="6" w:space="0"/>
              <w:bottom w:val="single" w:color="auto" w:sz="6" w:space="0"/>
              <w:right w:val="single" w:color="auto" w:sz="6" w:space="0"/>
            </w:tcBorders>
            <w:vAlign w:val="center"/>
          </w:tcPr>
          <w:p w14:paraId="5B306037">
            <w:pPr>
              <w:keepNext/>
              <w:autoSpaceDE w:val="0"/>
              <w:spacing w:before="100" w:beforeAutospacing="1" w:line="300" w:lineRule="exact"/>
              <w:jc w:val="center"/>
              <w:rPr>
                <w:rFonts w:ascii="宋体" w:hAnsi="宋体" w:eastAsia="宋体" w:cs="Times New Roman"/>
                <w:sz w:val="21"/>
                <w:szCs w:val="21"/>
              </w:rPr>
            </w:pPr>
          </w:p>
        </w:tc>
        <w:tc>
          <w:tcPr>
            <w:tcW w:w="921" w:type="dxa"/>
            <w:tcBorders>
              <w:top w:val="double" w:color="auto" w:sz="2" w:space="0"/>
              <w:left w:val="single" w:color="auto" w:sz="6" w:space="0"/>
              <w:bottom w:val="single" w:color="auto" w:sz="6" w:space="0"/>
              <w:right w:val="single" w:color="auto" w:sz="12" w:space="0"/>
            </w:tcBorders>
            <w:vAlign w:val="center"/>
          </w:tcPr>
          <w:p w14:paraId="0E4431AA">
            <w:pPr>
              <w:keepNext/>
              <w:autoSpaceDE w:val="0"/>
              <w:spacing w:before="100" w:beforeAutospacing="1" w:line="300" w:lineRule="exact"/>
              <w:jc w:val="center"/>
              <w:rPr>
                <w:rFonts w:ascii="宋体" w:hAnsi="宋体" w:eastAsia="宋体" w:cs="Times New Roman"/>
                <w:sz w:val="21"/>
                <w:szCs w:val="21"/>
              </w:rPr>
            </w:pPr>
          </w:p>
        </w:tc>
      </w:tr>
      <w:tr w14:paraId="4661F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nil"/>
              <w:left w:val="single" w:color="auto" w:sz="12" w:space="0"/>
              <w:bottom w:val="single" w:color="auto" w:sz="6" w:space="0"/>
              <w:right w:val="single" w:color="auto" w:sz="6" w:space="0"/>
            </w:tcBorders>
            <w:vAlign w:val="center"/>
          </w:tcPr>
          <w:p w14:paraId="5E6FAAD6">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vAlign w:val="center"/>
          </w:tcPr>
          <w:p w14:paraId="15832099">
            <w:pPr>
              <w:keepNext/>
              <w:autoSpaceDE w:val="0"/>
              <w:spacing w:before="100" w:beforeAutospacing="1" w:line="3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1A4A581F">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nil"/>
              <w:left w:val="single" w:color="auto" w:sz="6" w:space="0"/>
              <w:bottom w:val="single" w:color="auto" w:sz="6" w:space="0"/>
              <w:right w:val="single" w:color="auto" w:sz="6" w:space="0"/>
            </w:tcBorders>
            <w:vAlign w:val="center"/>
          </w:tcPr>
          <w:p w14:paraId="1080AA8F">
            <w:pPr>
              <w:keepNext/>
              <w:autoSpaceDE w:val="0"/>
              <w:spacing w:before="100" w:beforeAutospacing="1" w:line="300" w:lineRule="exact"/>
              <w:jc w:val="center"/>
              <w:rPr>
                <w:rFonts w:ascii="宋体" w:hAnsi="宋体" w:eastAsia="宋体" w:cs="Times New Roman"/>
                <w:sz w:val="21"/>
                <w:szCs w:val="21"/>
              </w:rPr>
            </w:pPr>
          </w:p>
        </w:tc>
        <w:tc>
          <w:tcPr>
            <w:tcW w:w="880" w:type="dxa"/>
            <w:tcBorders>
              <w:top w:val="nil"/>
              <w:left w:val="single" w:color="auto" w:sz="6" w:space="0"/>
              <w:bottom w:val="single" w:color="auto" w:sz="6" w:space="0"/>
              <w:right w:val="single" w:color="auto" w:sz="6" w:space="0"/>
            </w:tcBorders>
            <w:vAlign w:val="center"/>
          </w:tcPr>
          <w:p w14:paraId="70ECBCC8">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nil"/>
              <w:left w:val="single" w:color="auto" w:sz="6" w:space="0"/>
              <w:bottom w:val="single" w:color="auto" w:sz="6" w:space="0"/>
              <w:right w:val="single" w:color="auto" w:sz="6" w:space="0"/>
            </w:tcBorders>
            <w:vAlign w:val="center"/>
          </w:tcPr>
          <w:p w14:paraId="101CE36F">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nil"/>
              <w:left w:val="single" w:color="auto" w:sz="6" w:space="0"/>
              <w:bottom w:val="single" w:color="auto" w:sz="6" w:space="0"/>
              <w:right w:val="single" w:color="auto" w:sz="6" w:space="0"/>
            </w:tcBorders>
            <w:vAlign w:val="center"/>
          </w:tcPr>
          <w:p w14:paraId="7124D3E1">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nil"/>
              <w:left w:val="single" w:color="auto" w:sz="6" w:space="0"/>
              <w:bottom w:val="single" w:color="auto" w:sz="6" w:space="0"/>
              <w:right w:val="single" w:color="auto" w:sz="6" w:space="0"/>
            </w:tcBorders>
            <w:vAlign w:val="center"/>
          </w:tcPr>
          <w:p w14:paraId="31C700B9">
            <w:pPr>
              <w:keepNext/>
              <w:autoSpaceDE w:val="0"/>
              <w:spacing w:before="100" w:beforeAutospacing="1" w:line="300" w:lineRule="exact"/>
              <w:jc w:val="center"/>
              <w:rPr>
                <w:rFonts w:ascii="宋体" w:hAnsi="宋体" w:eastAsia="宋体" w:cs="Times New Roman"/>
                <w:sz w:val="21"/>
                <w:szCs w:val="21"/>
              </w:rPr>
            </w:pPr>
          </w:p>
        </w:tc>
        <w:tc>
          <w:tcPr>
            <w:tcW w:w="921" w:type="dxa"/>
            <w:tcBorders>
              <w:top w:val="nil"/>
              <w:left w:val="single" w:color="auto" w:sz="6" w:space="0"/>
              <w:bottom w:val="single" w:color="auto" w:sz="6" w:space="0"/>
              <w:right w:val="single" w:color="auto" w:sz="12" w:space="0"/>
            </w:tcBorders>
            <w:vAlign w:val="center"/>
          </w:tcPr>
          <w:p w14:paraId="381B565C">
            <w:pPr>
              <w:keepNext/>
              <w:autoSpaceDE w:val="0"/>
              <w:spacing w:before="100" w:beforeAutospacing="1" w:line="300" w:lineRule="exact"/>
              <w:jc w:val="center"/>
              <w:rPr>
                <w:rFonts w:ascii="宋体" w:hAnsi="宋体" w:eastAsia="宋体" w:cs="Times New Roman"/>
                <w:sz w:val="21"/>
                <w:szCs w:val="21"/>
              </w:rPr>
            </w:pPr>
          </w:p>
        </w:tc>
      </w:tr>
      <w:tr w14:paraId="2C5DE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7BAFE9E1">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9FD436E">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65E61B52">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6D3B199F">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2D4E9C25">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2C0AA02B">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19B4A63C">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0C5D3231">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6BE06CB6">
            <w:pPr>
              <w:keepNext/>
              <w:autoSpaceDE w:val="0"/>
              <w:spacing w:before="100" w:beforeAutospacing="1" w:line="300" w:lineRule="exact"/>
              <w:jc w:val="center"/>
              <w:rPr>
                <w:rFonts w:ascii="宋体" w:hAnsi="宋体" w:eastAsia="宋体" w:cs="Times New Roman"/>
                <w:sz w:val="21"/>
                <w:szCs w:val="21"/>
              </w:rPr>
            </w:pPr>
          </w:p>
        </w:tc>
      </w:tr>
      <w:tr w14:paraId="3EF60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6E787104">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799757E">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36EED3A4">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6D1D2678">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008BBABA">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0C4981A2">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3F0A86C5">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6FD1353E">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55620839">
            <w:pPr>
              <w:keepNext/>
              <w:autoSpaceDE w:val="0"/>
              <w:spacing w:before="100" w:beforeAutospacing="1" w:line="300" w:lineRule="exact"/>
              <w:jc w:val="center"/>
              <w:rPr>
                <w:rFonts w:ascii="宋体" w:hAnsi="宋体" w:eastAsia="宋体" w:cs="Times New Roman"/>
                <w:sz w:val="21"/>
                <w:szCs w:val="21"/>
              </w:rPr>
            </w:pPr>
          </w:p>
        </w:tc>
      </w:tr>
      <w:tr w14:paraId="56141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71FFB914">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C6C337B">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4BDB984F">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688643B7">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439125F6">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22ECEFAE">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0BB2A0F1">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41D0BEDC">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4FBF90CA">
            <w:pPr>
              <w:keepNext/>
              <w:autoSpaceDE w:val="0"/>
              <w:spacing w:before="100" w:beforeAutospacing="1" w:line="300" w:lineRule="exact"/>
              <w:jc w:val="center"/>
              <w:rPr>
                <w:rFonts w:ascii="宋体" w:hAnsi="宋体" w:eastAsia="宋体" w:cs="Times New Roman"/>
                <w:sz w:val="21"/>
                <w:szCs w:val="21"/>
              </w:rPr>
            </w:pPr>
          </w:p>
        </w:tc>
      </w:tr>
      <w:tr w14:paraId="151AA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26CC4503">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B64DF0C">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28AC009">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11E9FDF1">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0ADC180B">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23C147DC">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571E3694">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112F59D9">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5F11CD5B">
            <w:pPr>
              <w:keepNext/>
              <w:autoSpaceDE w:val="0"/>
              <w:spacing w:before="100" w:beforeAutospacing="1" w:line="300" w:lineRule="exact"/>
              <w:jc w:val="center"/>
              <w:rPr>
                <w:rFonts w:ascii="宋体" w:hAnsi="宋体" w:eastAsia="宋体" w:cs="Times New Roman"/>
                <w:sz w:val="21"/>
                <w:szCs w:val="21"/>
              </w:rPr>
            </w:pPr>
          </w:p>
        </w:tc>
      </w:tr>
      <w:tr w14:paraId="3FF3F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4871DDAD">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6A76A72">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804D138">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1B8C2115">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29944759">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4791937E">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027AB20E">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390591AA">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187EEB5B">
            <w:pPr>
              <w:keepNext/>
              <w:autoSpaceDE w:val="0"/>
              <w:spacing w:before="100" w:beforeAutospacing="1" w:line="300" w:lineRule="exact"/>
              <w:jc w:val="center"/>
              <w:rPr>
                <w:rFonts w:ascii="宋体" w:hAnsi="宋体" w:eastAsia="宋体" w:cs="Times New Roman"/>
                <w:sz w:val="21"/>
                <w:szCs w:val="21"/>
              </w:rPr>
            </w:pPr>
          </w:p>
        </w:tc>
      </w:tr>
      <w:tr w14:paraId="3B8DC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3C0456BA">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02F28AA9">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B7EAD41">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055CCF3E">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2AE4020A">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1BAA381B">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79492A18">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76413BCB">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684F1BE1">
            <w:pPr>
              <w:keepNext/>
              <w:autoSpaceDE w:val="0"/>
              <w:spacing w:before="100" w:beforeAutospacing="1" w:line="300" w:lineRule="exact"/>
              <w:jc w:val="center"/>
              <w:rPr>
                <w:rFonts w:ascii="宋体" w:hAnsi="宋体" w:eastAsia="宋体" w:cs="Times New Roman"/>
                <w:sz w:val="21"/>
                <w:szCs w:val="21"/>
              </w:rPr>
            </w:pPr>
          </w:p>
        </w:tc>
      </w:tr>
      <w:tr w14:paraId="0BE74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4D5DB9EC">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FF86848">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4AA60191">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64EC7494">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3B749959">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A69B4AA">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35EF2B6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A017C89">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553F3FE">
            <w:pPr>
              <w:autoSpaceDE w:val="0"/>
              <w:spacing w:line="300" w:lineRule="exact"/>
              <w:jc w:val="center"/>
              <w:rPr>
                <w:rFonts w:ascii="宋体" w:hAnsi="宋体" w:eastAsia="宋体" w:cs="Times New Roman"/>
                <w:sz w:val="21"/>
                <w:szCs w:val="21"/>
              </w:rPr>
            </w:pPr>
          </w:p>
        </w:tc>
      </w:tr>
      <w:tr w14:paraId="628CF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21C2BD22">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C7582C0">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B23E879">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34494FE5">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3AD5FDB0">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69630E51">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4FD4D11E">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6CD1D1B0">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6D60B2E5">
            <w:pPr>
              <w:keepNext/>
              <w:autoSpaceDE w:val="0"/>
              <w:spacing w:before="100" w:beforeAutospacing="1" w:line="300" w:lineRule="exact"/>
              <w:jc w:val="center"/>
              <w:rPr>
                <w:rFonts w:ascii="宋体" w:hAnsi="宋体" w:eastAsia="宋体" w:cs="Times New Roman"/>
                <w:sz w:val="21"/>
                <w:szCs w:val="21"/>
              </w:rPr>
            </w:pPr>
          </w:p>
        </w:tc>
      </w:tr>
      <w:tr w14:paraId="26FEB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10DC74EE">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6A79401">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32D25307">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5C5A14EB">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5E6918C8">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288AF791">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55E4AD3A">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681CCF37">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5399B6B0">
            <w:pPr>
              <w:autoSpaceDE w:val="0"/>
              <w:spacing w:line="300" w:lineRule="exact"/>
              <w:jc w:val="center"/>
              <w:rPr>
                <w:rFonts w:ascii="宋体" w:hAnsi="宋体" w:eastAsia="宋体" w:cs="Times New Roman"/>
                <w:sz w:val="21"/>
                <w:szCs w:val="21"/>
              </w:rPr>
            </w:pPr>
          </w:p>
        </w:tc>
      </w:tr>
      <w:tr w14:paraId="1B875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7407FD22">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1194EFD">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5BC8A24A">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23D75DC4">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148A4EF4">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F80C0E4">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13063F7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053D81C5">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3C994EFB">
            <w:pPr>
              <w:autoSpaceDE w:val="0"/>
              <w:spacing w:line="300" w:lineRule="exact"/>
              <w:jc w:val="center"/>
              <w:rPr>
                <w:rFonts w:ascii="宋体" w:hAnsi="宋体" w:eastAsia="宋体" w:cs="Times New Roman"/>
                <w:sz w:val="21"/>
                <w:szCs w:val="21"/>
              </w:rPr>
            </w:pPr>
          </w:p>
        </w:tc>
      </w:tr>
      <w:tr w14:paraId="7E6D1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4E5D784F">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ED5D4BE">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5EECE5A9">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1A124591">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0B7389F2">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EECABB5">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3C11699B">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5C197A26">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6021B094">
            <w:pPr>
              <w:autoSpaceDE w:val="0"/>
              <w:spacing w:line="300" w:lineRule="exact"/>
              <w:jc w:val="center"/>
              <w:rPr>
                <w:rFonts w:ascii="宋体" w:hAnsi="宋体" w:eastAsia="宋体" w:cs="Times New Roman"/>
                <w:sz w:val="21"/>
                <w:szCs w:val="21"/>
              </w:rPr>
            </w:pPr>
          </w:p>
        </w:tc>
      </w:tr>
      <w:tr w14:paraId="1FFCB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35786607">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5B1B834">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20BDD71A">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12FA652C">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0A495514">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59D6742">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53C3E01E">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264E43D6">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575C231">
            <w:pPr>
              <w:autoSpaceDE w:val="0"/>
              <w:spacing w:line="300" w:lineRule="exact"/>
              <w:jc w:val="center"/>
              <w:rPr>
                <w:rFonts w:ascii="宋体" w:hAnsi="宋体" w:eastAsia="宋体" w:cs="Times New Roman"/>
                <w:sz w:val="21"/>
                <w:szCs w:val="21"/>
              </w:rPr>
            </w:pPr>
          </w:p>
        </w:tc>
      </w:tr>
      <w:tr w14:paraId="0DC0B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7495DAC8">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99783B2">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76448726">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52CFA44C">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0C4E1887">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CEBBDD7">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173B031F">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4604AE8">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EB2749E">
            <w:pPr>
              <w:autoSpaceDE w:val="0"/>
              <w:spacing w:line="300" w:lineRule="exact"/>
              <w:jc w:val="center"/>
              <w:rPr>
                <w:rFonts w:ascii="宋体" w:hAnsi="宋体" w:eastAsia="宋体" w:cs="Times New Roman"/>
                <w:sz w:val="21"/>
                <w:szCs w:val="21"/>
              </w:rPr>
            </w:pPr>
          </w:p>
        </w:tc>
      </w:tr>
      <w:tr w14:paraId="398A1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627BFDEF">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B08781F">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04803A69">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3D42F516">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3023C77C">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6F73CB10">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2B7E6608">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0316F5B">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78BD4DD">
            <w:pPr>
              <w:autoSpaceDE w:val="0"/>
              <w:spacing w:line="300" w:lineRule="exact"/>
              <w:jc w:val="center"/>
              <w:rPr>
                <w:rFonts w:ascii="宋体" w:hAnsi="宋体" w:eastAsia="宋体" w:cs="Times New Roman"/>
                <w:sz w:val="21"/>
                <w:szCs w:val="21"/>
              </w:rPr>
            </w:pPr>
          </w:p>
        </w:tc>
      </w:tr>
      <w:tr w14:paraId="551FC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6CB51AA6">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18143E6">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68B0FA27">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4D5298CE">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532E665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47403DAC">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50137585">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079736A">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562319BD">
            <w:pPr>
              <w:autoSpaceDE w:val="0"/>
              <w:spacing w:line="300" w:lineRule="exact"/>
              <w:jc w:val="center"/>
              <w:rPr>
                <w:rFonts w:ascii="宋体" w:hAnsi="宋体" w:eastAsia="宋体" w:cs="Times New Roman"/>
                <w:sz w:val="21"/>
                <w:szCs w:val="21"/>
              </w:rPr>
            </w:pPr>
          </w:p>
        </w:tc>
      </w:tr>
      <w:tr w14:paraId="61ABE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033BC5BF">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ED2700F">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2F067C84">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2B025CCF">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53AA7895">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088CD04A">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1A9A4378">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137A7F8">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4563872D">
            <w:pPr>
              <w:autoSpaceDE w:val="0"/>
              <w:spacing w:line="300" w:lineRule="exact"/>
              <w:jc w:val="center"/>
              <w:rPr>
                <w:rFonts w:ascii="宋体" w:hAnsi="宋体" w:eastAsia="宋体" w:cs="Times New Roman"/>
                <w:sz w:val="21"/>
                <w:szCs w:val="21"/>
              </w:rPr>
            </w:pPr>
          </w:p>
        </w:tc>
      </w:tr>
      <w:tr w14:paraId="77AFC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12" w:space="0"/>
              <w:right w:val="single" w:color="auto" w:sz="6" w:space="0"/>
            </w:tcBorders>
          </w:tcPr>
          <w:p w14:paraId="2C867598">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tcPr>
          <w:p w14:paraId="29420C72">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12" w:space="0"/>
              <w:right w:val="single" w:color="auto" w:sz="6" w:space="0"/>
            </w:tcBorders>
          </w:tcPr>
          <w:p w14:paraId="029367AC">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12" w:space="0"/>
              <w:right w:val="single" w:color="auto" w:sz="6" w:space="0"/>
            </w:tcBorders>
          </w:tcPr>
          <w:p w14:paraId="0FDBECEF">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12" w:space="0"/>
              <w:right w:val="single" w:color="auto" w:sz="6" w:space="0"/>
            </w:tcBorders>
          </w:tcPr>
          <w:p w14:paraId="75B4B134">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12" w:space="0"/>
              <w:right w:val="single" w:color="auto" w:sz="6" w:space="0"/>
            </w:tcBorders>
          </w:tcPr>
          <w:p w14:paraId="7169CF87">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12" w:space="0"/>
              <w:right w:val="single" w:color="auto" w:sz="6" w:space="0"/>
            </w:tcBorders>
          </w:tcPr>
          <w:p w14:paraId="7019710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12" w:space="0"/>
              <w:right w:val="single" w:color="auto" w:sz="6" w:space="0"/>
            </w:tcBorders>
          </w:tcPr>
          <w:p w14:paraId="7A12F004">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12" w:space="0"/>
              <w:right w:val="single" w:color="auto" w:sz="12" w:space="0"/>
            </w:tcBorders>
          </w:tcPr>
          <w:p w14:paraId="11886B81">
            <w:pPr>
              <w:autoSpaceDE w:val="0"/>
              <w:spacing w:line="300" w:lineRule="exact"/>
              <w:jc w:val="center"/>
              <w:rPr>
                <w:rFonts w:ascii="宋体" w:hAnsi="宋体" w:eastAsia="宋体" w:cs="Times New Roman"/>
                <w:sz w:val="21"/>
                <w:szCs w:val="21"/>
              </w:rPr>
            </w:pPr>
          </w:p>
        </w:tc>
      </w:tr>
    </w:tbl>
    <w:p w14:paraId="0C1B1790">
      <w:pPr>
        <w:rPr>
          <w:rFonts w:ascii="宋体" w:hAnsi="宋体" w:eastAsia="宋体" w:cs="Times New Roman"/>
          <w:sz w:val="21"/>
          <w:szCs w:val="21"/>
        </w:rPr>
      </w:pPr>
      <w:r>
        <w:rPr>
          <w:rFonts w:hint="eastAsia" w:ascii="宋体" w:hAnsi="宋体" w:eastAsia="宋体" w:cs="Times New Roman"/>
          <w:sz w:val="21"/>
          <w:szCs w:val="21"/>
        </w:rPr>
        <w:br w:type="page"/>
      </w:r>
    </w:p>
    <w:p w14:paraId="638D09AD">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697" w:name="_Toc296891056"/>
      <w:bookmarkEnd w:id="1697"/>
      <w:bookmarkStart w:id="1698" w:name="_Toc267261699"/>
      <w:bookmarkEnd w:id="1698"/>
      <w:bookmarkStart w:id="1699" w:name="_Toc296346729"/>
      <w:bookmarkEnd w:id="1699"/>
      <w:bookmarkStart w:id="1700" w:name="_Toc296891268"/>
      <w:bookmarkEnd w:id="1700"/>
      <w:bookmarkStart w:id="1701" w:name="_Toc296944567"/>
      <w:bookmarkEnd w:id="1701"/>
      <w:bookmarkStart w:id="1702" w:name="_Toc296347227"/>
      <w:bookmarkEnd w:id="1702"/>
      <w:bookmarkStart w:id="1703" w:name="_Toc296503228"/>
      <w:r>
        <w:rPr>
          <w:rFonts w:hint="eastAsia" w:ascii="宋体" w:hAnsi="宋体" w:eastAsia="宋体" w:cs="Times New Roman"/>
          <w:sz w:val="21"/>
          <w:szCs w:val="21"/>
        </w:rPr>
        <w:t>件6：</w:t>
      </w:r>
      <w:bookmarkEnd w:id="1703"/>
    </w:p>
    <w:p w14:paraId="1E4D1F57">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承包人主要施工管理人员表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93FE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vAlign w:val="center"/>
          </w:tcPr>
          <w:p w14:paraId="701E55E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名    称</w:t>
            </w:r>
          </w:p>
        </w:tc>
        <w:tc>
          <w:tcPr>
            <w:tcW w:w="1418" w:type="dxa"/>
            <w:tcBorders>
              <w:top w:val="single" w:color="auto" w:sz="12" w:space="0"/>
              <w:left w:val="single" w:color="auto" w:sz="6" w:space="0"/>
              <w:bottom w:val="double" w:color="auto" w:sz="2" w:space="0"/>
              <w:right w:val="single" w:color="auto" w:sz="6" w:space="0"/>
            </w:tcBorders>
            <w:vAlign w:val="center"/>
          </w:tcPr>
          <w:p w14:paraId="48C915F2">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姓名</w:t>
            </w:r>
          </w:p>
        </w:tc>
        <w:tc>
          <w:tcPr>
            <w:tcW w:w="1134" w:type="dxa"/>
            <w:tcBorders>
              <w:top w:val="single" w:color="auto" w:sz="12" w:space="0"/>
              <w:left w:val="single" w:color="auto" w:sz="6" w:space="0"/>
              <w:bottom w:val="double" w:color="auto" w:sz="2" w:space="0"/>
              <w:right w:val="single" w:color="auto" w:sz="6" w:space="0"/>
            </w:tcBorders>
            <w:vAlign w:val="center"/>
          </w:tcPr>
          <w:p w14:paraId="02CCA8D0">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职务</w:t>
            </w:r>
          </w:p>
        </w:tc>
        <w:tc>
          <w:tcPr>
            <w:tcW w:w="1134" w:type="dxa"/>
            <w:tcBorders>
              <w:top w:val="single" w:color="auto" w:sz="12" w:space="0"/>
              <w:left w:val="single" w:color="auto" w:sz="6" w:space="0"/>
              <w:bottom w:val="double" w:color="auto" w:sz="2" w:space="0"/>
              <w:right w:val="single" w:color="auto" w:sz="6" w:space="0"/>
            </w:tcBorders>
            <w:vAlign w:val="center"/>
          </w:tcPr>
          <w:p w14:paraId="256B842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职称</w:t>
            </w:r>
          </w:p>
        </w:tc>
        <w:tc>
          <w:tcPr>
            <w:tcW w:w="4252" w:type="dxa"/>
            <w:tcBorders>
              <w:top w:val="single" w:color="auto" w:sz="12" w:space="0"/>
              <w:left w:val="single" w:color="auto" w:sz="6" w:space="0"/>
              <w:bottom w:val="double" w:color="auto" w:sz="2" w:space="0"/>
              <w:right w:val="single" w:color="auto" w:sz="12" w:space="0"/>
            </w:tcBorders>
            <w:vAlign w:val="center"/>
          </w:tcPr>
          <w:p w14:paraId="712986C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主要资历、经验及承担过的项目</w:t>
            </w:r>
          </w:p>
        </w:tc>
      </w:tr>
      <w:tr w14:paraId="4B5B5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2" w:space="0"/>
              <w:left w:val="single" w:color="auto" w:sz="12" w:space="0"/>
              <w:bottom w:val="single" w:color="auto" w:sz="6" w:space="0"/>
              <w:right w:val="single" w:color="auto" w:sz="12" w:space="0"/>
            </w:tcBorders>
            <w:vAlign w:val="center"/>
          </w:tcPr>
          <w:p w14:paraId="5E73349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一、总部人员</w:t>
            </w:r>
          </w:p>
        </w:tc>
      </w:tr>
      <w:tr w14:paraId="6AB9C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0C0A94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项目主管</w:t>
            </w:r>
          </w:p>
        </w:tc>
        <w:tc>
          <w:tcPr>
            <w:tcW w:w="1418" w:type="dxa"/>
            <w:tcBorders>
              <w:top w:val="nil"/>
              <w:left w:val="single" w:color="auto" w:sz="6" w:space="0"/>
              <w:bottom w:val="single" w:color="auto" w:sz="6" w:space="0"/>
              <w:right w:val="single" w:color="auto" w:sz="6" w:space="0"/>
            </w:tcBorders>
            <w:vAlign w:val="center"/>
          </w:tcPr>
          <w:p w14:paraId="0A19655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47CFDD4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556A4D16">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nil"/>
              <w:left w:val="single" w:color="auto" w:sz="6" w:space="0"/>
              <w:bottom w:val="single" w:color="auto" w:sz="6" w:space="0"/>
              <w:right w:val="single" w:color="auto" w:sz="12" w:space="0"/>
            </w:tcBorders>
            <w:vAlign w:val="center"/>
          </w:tcPr>
          <w:p w14:paraId="06D00FBD">
            <w:pPr>
              <w:keepNext/>
              <w:autoSpaceDE w:val="0"/>
              <w:spacing w:before="100" w:beforeAutospacing="1" w:line="400" w:lineRule="exact"/>
              <w:jc w:val="center"/>
              <w:rPr>
                <w:rFonts w:ascii="宋体" w:hAnsi="宋体" w:eastAsia="宋体" w:cs="Times New Roman"/>
                <w:sz w:val="21"/>
                <w:szCs w:val="21"/>
              </w:rPr>
            </w:pPr>
          </w:p>
        </w:tc>
      </w:tr>
      <w:tr w14:paraId="73BDE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75DA0D36">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4F6971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4E0791E">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08FAE4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CD70C7B">
            <w:pPr>
              <w:keepNext/>
              <w:autoSpaceDE w:val="0"/>
              <w:spacing w:before="100" w:beforeAutospacing="1" w:line="400" w:lineRule="exact"/>
              <w:jc w:val="center"/>
              <w:rPr>
                <w:rFonts w:ascii="宋体" w:hAnsi="宋体" w:eastAsia="宋体" w:cs="Times New Roman"/>
                <w:sz w:val="21"/>
                <w:szCs w:val="21"/>
              </w:rPr>
            </w:pPr>
          </w:p>
        </w:tc>
      </w:tr>
      <w:tr w14:paraId="6F32B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029CA2B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E51410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6E6162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CA94314">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263AA5C">
            <w:pPr>
              <w:keepNext/>
              <w:autoSpaceDE w:val="0"/>
              <w:spacing w:before="100" w:beforeAutospacing="1" w:line="400" w:lineRule="exact"/>
              <w:jc w:val="center"/>
              <w:rPr>
                <w:rFonts w:ascii="宋体" w:hAnsi="宋体" w:eastAsia="宋体" w:cs="Times New Roman"/>
                <w:sz w:val="21"/>
                <w:szCs w:val="21"/>
              </w:rPr>
            </w:pPr>
          </w:p>
        </w:tc>
      </w:tr>
      <w:tr w14:paraId="2D9BC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177DCE26">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754D5F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F269D3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686DDC0">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2A61E6A">
            <w:pPr>
              <w:keepNext/>
              <w:autoSpaceDE w:val="0"/>
              <w:spacing w:before="100" w:beforeAutospacing="1" w:line="400" w:lineRule="exact"/>
              <w:jc w:val="center"/>
              <w:rPr>
                <w:rFonts w:ascii="宋体" w:hAnsi="宋体" w:eastAsia="宋体" w:cs="Times New Roman"/>
                <w:sz w:val="21"/>
                <w:szCs w:val="21"/>
              </w:rPr>
            </w:pPr>
          </w:p>
        </w:tc>
      </w:tr>
      <w:tr w14:paraId="796F2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370EEF12">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二、现场人员</w:t>
            </w:r>
          </w:p>
        </w:tc>
      </w:tr>
      <w:tr w14:paraId="13F38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F3065B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513425F3">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2667C47">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E84C032">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34DDBD2">
            <w:pPr>
              <w:keepNext/>
              <w:autoSpaceDE w:val="0"/>
              <w:spacing w:before="100" w:beforeAutospacing="1" w:line="400" w:lineRule="exact"/>
              <w:jc w:val="center"/>
              <w:rPr>
                <w:rFonts w:ascii="宋体" w:hAnsi="宋体" w:eastAsia="宋体" w:cs="Times New Roman"/>
                <w:sz w:val="21"/>
                <w:szCs w:val="21"/>
              </w:rPr>
            </w:pPr>
          </w:p>
        </w:tc>
      </w:tr>
      <w:tr w14:paraId="0E20D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4D3E89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5477C58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74AC45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167E512">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7B1D3D15">
            <w:pPr>
              <w:keepNext/>
              <w:autoSpaceDE w:val="0"/>
              <w:spacing w:before="100" w:beforeAutospacing="1" w:line="400" w:lineRule="exact"/>
              <w:jc w:val="center"/>
              <w:rPr>
                <w:rFonts w:ascii="宋体" w:hAnsi="宋体" w:eastAsia="宋体" w:cs="Times New Roman"/>
                <w:sz w:val="21"/>
                <w:szCs w:val="21"/>
              </w:rPr>
            </w:pPr>
          </w:p>
        </w:tc>
      </w:tr>
      <w:tr w14:paraId="15A54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A901622">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026D961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DA297D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AB9B39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67A313E">
            <w:pPr>
              <w:keepNext/>
              <w:autoSpaceDE w:val="0"/>
              <w:spacing w:before="100" w:beforeAutospacing="1" w:line="400" w:lineRule="exact"/>
              <w:jc w:val="center"/>
              <w:rPr>
                <w:rFonts w:ascii="宋体" w:hAnsi="宋体" w:eastAsia="宋体" w:cs="Times New Roman"/>
                <w:sz w:val="21"/>
                <w:szCs w:val="21"/>
              </w:rPr>
            </w:pPr>
          </w:p>
        </w:tc>
      </w:tr>
      <w:tr w14:paraId="7A909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FE970F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1E3D042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FDD9FFF">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86DD4BC">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A502E60">
            <w:pPr>
              <w:keepNext/>
              <w:autoSpaceDE w:val="0"/>
              <w:spacing w:before="100" w:beforeAutospacing="1" w:line="400" w:lineRule="exact"/>
              <w:jc w:val="center"/>
              <w:rPr>
                <w:rFonts w:ascii="宋体" w:hAnsi="宋体" w:eastAsia="宋体" w:cs="Times New Roman"/>
                <w:sz w:val="21"/>
                <w:szCs w:val="21"/>
              </w:rPr>
            </w:pPr>
          </w:p>
        </w:tc>
      </w:tr>
      <w:tr w14:paraId="1D5C7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DAE220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43D7835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BA7E88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68C685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3240FA9">
            <w:pPr>
              <w:keepNext/>
              <w:autoSpaceDE w:val="0"/>
              <w:spacing w:before="100" w:beforeAutospacing="1" w:line="400" w:lineRule="exact"/>
              <w:jc w:val="center"/>
              <w:rPr>
                <w:rFonts w:ascii="宋体" w:hAnsi="宋体" w:eastAsia="宋体" w:cs="Times New Roman"/>
                <w:sz w:val="21"/>
                <w:szCs w:val="21"/>
              </w:rPr>
            </w:pPr>
          </w:p>
        </w:tc>
      </w:tr>
      <w:tr w14:paraId="21A66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DA0046C">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68D1741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B4EB63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51FED61">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2FF9F2F">
            <w:pPr>
              <w:keepNext/>
              <w:autoSpaceDE w:val="0"/>
              <w:spacing w:before="100" w:beforeAutospacing="1" w:line="400" w:lineRule="exact"/>
              <w:jc w:val="center"/>
              <w:rPr>
                <w:rFonts w:ascii="宋体" w:hAnsi="宋体" w:eastAsia="宋体" w:cs="Times New Roman"/>
                <w:sz w:val="21"/>
                <w:szCs w:val="21"/>
              </w:rPr>
            </w:pPr>
          </w:p>
        </w:tc>
      </w:tr>
      <w:tr w14:paraId="69195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551995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339D54E7">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F4784A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EFBE74E">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D8DBEFB">
            <w:pPr>
              <w:keepNext/>
              <w:autoSpaceDE w:val="0"/>
              <w:spacing w:before="100" w:beforeAutospacing="1" w:line="400" w:lineRule="exact"/>
              <w:jc w:val="center"/>
              <w:rPr>
                <w:rFonts w:ascii="宋体" w:hAnsi="宋体" w:eastAsia="宋体" w:cs="Times New Roman"/>
                <w:sz w:val="21"/>
                <w:szCs w:val="21"/>
              </w:rPr>
            </w:pPr>
          </w:p>
        </w:tc>
      </w:tr>
      <w:tr w14:paraId="1ACD2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DA2792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5FE357D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19E37F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1A176D9">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F4774AD">
            <w:pPr>
              <w:keepNext/>
              <w:autoSpaceDE w:val="0"/>
              <w:spacing w:before="100" w:beforeAutospacing="1" w:line="400" w:lineRule="exact"/>
              <w:jc w:val="center"/>
              <w:rPr>
                <w:rFonts w:ascii="宋体" w:hAnsi="宋体" w:eastAsia="宋体" w:cs="Times New Roman"/>
                <w:sz w:val="21"/>
                <w:szCs w:val="21"/>
              </w:rPr>
            </w:pPr>
          </w:p>
        </w:tc>
      </w:tr>
      <w:tr w14:paraId="4DE32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vAlign w:val="center"/>
          </w:tcPr>
          <w:p w14:paraId="6454EB8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458782B">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EBA96C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629EB6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1E00C03">
            <w:pPr>
              <w:keepNext/>
              <w:autoSpaceDE w:val="0"/>
              <w:spacing w:before="100" w:beforeAutospacing="1" w:line="400" w:lineRule="exact"/>
              <w:jc w:val="center"/>
              <w:rPr>
                <w:rFonts w:ascii="宋体" w:hAnsi="宋体" w:eastAsia="宋体" w:cs="Times New Roman"/>
                <w:sz w:val="21"/>
                <w:szCs w:val="21"/>
              </w:rPr>
            </w:pPr>
          </w:p>
        </w:tc>
      </w:tr>
      <w:tr w14:paraId="7D35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176E24E2">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nil"/>
              <w:right w:val="single" w:color="auto" w:sz="6" w:space="0"/>
            </w:tcBorders>
            <w:vAlign w:val="center"/>
          </w:tcPr>
          <w:p w14:paraId="1B60F25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044A0DFE">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74B00641">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nil"/>
              <w:right w:val="single" w:color="auto" w:sz="12" w:space="0"/>
            </w:tcBorders>
            <w:vAlign w:val="center"/>
          </w:tcPr>
          <w:p w14:paraId="01387566">
            <w:pPr>
              <w:keepNext/>
              <w:autoSpaceDE w:val="0"/>
              <w:spacing w:before="100" w:beforeAutospacing="1" w:line="400" w:lineRule="exact"/>
              <w:jc w:val="center"/>
              <w:rPr>
                <w:rFonts w:ascii="宋体" w:hAnsi="宋体" w:eastAsia="宋体" w:cs="Times New Roman"/>
                <w:sz w:val="21"/>
                <w:szCs w:val="21"/>
              </w:rPr>
            </w:pPr>
          </w:p>
        </w:tc>
      </w:tr>
      <w:tr w14:paraId="532E6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30FCD6AB">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C3EA3D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B02E0D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26165EC">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0D67B667">
            <w:pPr>
              <w:keepNext/>
              <w:autoSpaceDE w:val="0"/>
              <w:spacing w:before="100" w:beforeAutospacing="1" w:line="400" w:lineRule="exact"/>
              <w:jc w:val="center"/>
              <w:rPr>
                <w:rFonts w:ascii="宋体" w:hAnsi="宋体" w:eastAsia="宋体" w:cs="Times New Roman"/>
                <w:sz w:val="21"/>
                <w:szCs w:val="21"/>
              </w:rPr>
            </w:pPr>
          </w:p>
        </w:tc>
      </w:tr>
      <w:tr w14:paraId="372CC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685B4C86">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57DE58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6AB5DD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E935AA9">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F7EDFA1">
            <w:pPr>
              <w:keepNext/>
              <w:autoSpaceDE w:val="0"/>
              <w:spacing w:before="100" w:beforeAutospacing="1" w:line="400" w:lineRule="exact"/>
              <w:jc w:val="center"/>
              <w:rPr>
                <w:rFonts w:ascii="宋体" w:hAnsi="宋体" w:eastAsia="宋体" w:cs="Times New Roman"/>
                <w:sz w:val="21"/>
                <w:szCs w:val="21"/>
              </w:rPr>
            </w:pPr>
          </w:p>
        </w:tc>
      </w:tr>
      <w:tr w14:paraId="11334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162E8C34">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D8C750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F53DED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D5C0CEB">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6110D3F">
            <w:pPr>
              <w:keepNext/>
              <w:autoSpaceDE w:val="0"/>
              <w:spacing w:before="100" w:beforeAutospacing="1" w:line="400" w:lineRule="exact"/>
              <w:jc w:val="center"/>
              <w:rPr>
                <w:rFonts w:ascii="宋体" w:hAnsi="宋体" w:eastAsia="宋体" w:cs="Times New Roman"/>
                <w:sz w:val="21"/>
                <w:szCs w:val="21"/>
              </w:rPr>
            </w:pPr>
          </w:p>
        </w:tc>
      </w:tr>
      <w:tr w14:paraId="3DB0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5B16AE41">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14:paraId="613AD3A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64A6BF5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7825A1A6">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12" w:space="0"/>
              <w:right w:val="single" w:color="auto" w:sz="12" w:space="0"/>
            </w:tcBorders>
            <w:vAlign w:val="center"/>
          </w:tcPr>
          <w:p w14:paraId="1CD8DAFB">
            <w:pPr>
              <w:keepNext/>
              <w:autoSpaceDE w:val="0"/>
              <w:spacing w:before="100" w:beforeAutospacing="1" w:line="400" w:lineRule="exact"/>
              <w:jc w:val="center"/>
              <w:rPr>
                <w:rFonts w:ascii="宋体" w:hAnsi="宋体" w:eastAsia="宋体" w:cs="Times New Roman"/>
                <w:sz w:val="21"/>
                <w:szCs w:val="21"/>
              </w:rPr>
            </w:pPr>
          </w:p>
        </w:tc>
      </w:tr>
    </w:tbl>
    <w:p w14:paraId="64DA1BF2">
      <w:pPr>
        <w:rPr>
          <w:rFonts w:ascii="宋体" w:hAnsi="宋体" w:eastAsia="宋体" w:cs="Times New Roman"/>
          <w:sz w:val="21"/>
          <w:szCs w:val="21"/>
        </w:rPr>
      </w:pPr>
      <w:r>
        <w:rPr>
          <w:rFonts w:hint="eastAsia" w:ascii="宋体" w:hAnsi="宋体" w:eastAsia="宋体" w:cs="Times New Roman"/>
          <w:sz w:val="21"/>
          <w:szCs w:val="21"/>
        </w:rPr>
        <w:br w:type="page"/>
      </w:r>
    </w:p>
    <w:p w14:paraId="72D271BA">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704" w:name="_Toc296891057"/>
      <w:bookmarkEnd w:id="1704"/>
      <w:bookmarkStart w:id="1705" w:name="_Toc296347228"/>
      <w:bookmarkEnd w:id="1705"/>
      <w:bookmarkStart w:id="1706" w:name="_Toc296346730"/>
      <w:bookmarkEnd w:id="1706"/>
      <w:bookmarkStart w:id="1707" w:name="_Toc296944568"/>
      <w:bookmarkEnd w:id="1707"/>
      <w:bookmarkStart w:id="1708" w:name="_Toc296503229"/>
      <w:bookmarkEnd w:id="1708"/>
      <w:bookmarkStart w:id="1709" w:name="_Toc296891269"/>
      <w:r>
        <w:rPr>
          <w:rFonts w:hint="eastAsia" w:ascii="宋体" w:hAnsi="宋体" w:eastAsia="宋体" w:cs="Times New Roman"/>
          <w:sz w:val="21"/>
          <w:szCs w:val="21"/>
        </w:rPr>
        <w:t>件7：</w:t>
      </w:r>
      <w:bookmarkEnd w:id="1709"/>
    </w:p>
    <w:p w14:paraId="5EBCB92B">
      <w:pPr>
        <w:spacing w:line="440" w:lineRule="exact"/>
        <w:jc w:val="center"/>
        <w:rPr>
          <w:rFonts w:ascii="宋体" w:hAnsi="宋体" w:eastAsia="宋体" w:cs="Times New Roman"/>
          <w:sz w:val="21"/>
          <w:szCs w:val="21"/>
        </w:rPr>
      </w:pPr>
      <w:r>
        <w:rPr>
          <w:rFonts w:hint="eastAsia" w:ascii="宋体" w:hAnsi="宋体" w:eastAsia="宋体" w:cs="Times New Roman"/>
          <w:sz w:val="21"/>
          <w:szCs w:val="21"/>
        </w:rPr>
        <w:t>分包人主要施工管理人员表</w:t>
      </w:r>
    </w:p>
    <w:tbl>
      <w:tblPr>
        <w:tblStyle w:val="65"/>
        <w:tblW w:w="9809" w:type="dxa"/>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5BB9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12" w:space="0"/>
              <w:left w:val="single" w:color="auto" w:sz="12" w:space="0"/>
              <w:bottom w:val="double" w:color="auto" w:sz="2" w:space="0"/>
              <w:right w:val="single" w:color="auto" w:sz="6" w:space="0"/>
            </w:tcBorders>
            <w:vAlign w:val="center"/>
          </w:tcPr>
          <w:p w14:paraId="14620863">
            <w:pPr>
              <w:keepNext/>
              <w:autoSpaceDE w:val="0"/>
              <w:spacing w:before="100" w:beforeAutospacing="1" w:line="400" w:lineRule="exact"/>
              <w:jc w:val="center"/>
              <w:rPr>
                <w:rFonts w:ascii="宋体" w:hAnsi="宋体" w:eastAsia="宋体" w:cs="Times New Roman"/>
                <w:sz w:val="21"/>
                <w:szCs w:val="21"/>
              </w:rPr>
            </w:pPr>
            <w:bookmarkStart w:id="1710" w:name="_Toc267261701"/>
            <w:bookmarkEnd w:id="1710"/>
            <w:r>
              <w:rPr>
                <w:rFonts w:hint="eastAsia" w:ascii="宋体" w:hAnsi="宋体" w:eastAsia="宋体" w:cs="Times New Roman"/>
                <w:sz w:val="21"/>
                <w:szCs w:val="21"/>
              </w:rPr>
              <w:t>名    称</w:t>
            </w:r>
          </w:p>
        </w:tc>
        <w:tc>
          <w:tcPr>
            <w:tcW w:w="1418" w:type="dxa"/>
            <w:tcBorders>
              <w:top w:val="single" w:color="auto" w:sz="12" w:space="0"/>
              <w:left w:val="single" w:color="auto" w:sz="6" w:space="0"/>
              <w:bottom w:val="double" w:color="auto" w:sz="2" w:space="0"/>
              <w:right w:val="single" w:color="auto" w:sz="6" w:space="0"/>
            </w:tcBorders>
            <w:vAlign w:val="center"/>
          </w:tcPr>
          <w:p w14:paraId="0519BE7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姓名</w:t>
            </w:r>
          </w:p>
        </w:tc>
        <w:tc>
          <w:tcPr>
            <w:tcW w:w="1134" w:type="dxa"/>
            <w:tcBorders>
              <w:top w:val="single" w:color="auto" w:sz="12" w:space="0"/>
              <w:left w:val="single" w:color="auto" w:sz="6" w:space="0"/>
              <w:bottom w:val="double" w:color="auto" w:sz="2" w:space="0"/>
              <w:right w:val="single" w:color="auto" w:sz="6" w:space="0"/>
            </w:tcBorders>
            <w:vAlign w:val="center"/>
          </w:tcPr>
          <w:p w14:paraId="32601F2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职务</w:t>
            </w:r>
          </w:p>
        </w:tc>
        <w:tc>
          <w:tcPr>
            <w:tcW w:w="1134" w:type="dxa"/>
            <w:tcBorders>
              <w:top w:val="single" w:color="auto" w:sz="12" w:space="0"/>
              <w:left w:val="single" w:color="auto" w:sz="6" w:space="0"/>
              <w:bottom w:val="double" w:color="auto" w:sz="2" w:space="0"/>
              <w:right w:val="single" w:color="auto" w:sz="6" w:space="0"/>
            </w:tcBorders>
            <w:vAlign w:val="center"/>
          </w:tcPr>
          <w:p w14:paraId="4B3905C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职称</w:t>
            </w:r>
          </w:p>
        </w:tc>
        <w:tc>
          <w:tcPr>
            <w:tcW w:w="4252" w:type="dxa"/>
            <w:tcBorders>
              <w:top w:val="single" w:color="auto" w:sz="12" w:space="0"/>
              <w:left w:val="single" w:color="auto" w:sz="6" w:space="0"/>
              <w:bottom w:val="double" w:color="auto" w:sz="2" w:space="0"/>
              <w:right w:val="single" w:color="auto" w:sz="12" w:space="0"/>
            </w:tcBorders>
            <w:vAlign w:val="center"/>
          </w:tcPr>
          <w:p w14:paraId="488B036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主要资历、经验及承担过的项目</w:t>
            </w:r>
          </w:p>
        </w:tc>
      </w:tr>
      <w:tr w14:paraId="73EC3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double" w:color="auto" w:sz="2" w:space="0"/>
              <w:left w:val="single" w:color="auto" w:sz="12" w:space="0"/>
              <w:bottom w:val="single" w:color="auto" w:sz="6" w:space="0"/>
              <w:right w:val="single" w:color="auto" w:sz="12" w:space="0"/>
            </w:tcBorders>
            <w:vAlign w:val="center"/>
          </w:tcPr>
          <w:p w14:paraId="0A1ED16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一、总部人员</w:t>
            </w:r>
          </w:p>
        </w:tc>
      </w:tr>
      <w:tr w14:paraId="723E8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vAlign w:val="center"/>
          </w:tcPr>
          <w:p w14:paraId="7D31D5F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项目主管</w:t>
            </w:r>
          </w:p>
        </w:tc>
        <w:tc>
          <w:tcPr>
            <w:tcW w:w="1418" w:type="dxa"/>
            <w:tcBorders>
              <w:top w:val="nil"/>
              <w:left w:val="single" w:color="auto" w:sz="6" w:space="0"/>
              <w:bottom w:val="single" w:color="auto" w:sz="6" w:space="0"/>
              <w:right w:val="single" w:color="auto" w:sz="6" w:space="0"/>
            </w:tcBorders>
            <w:vAlign w:val="center"/>
          </w:tcPr>
          <w:p w14:paraId="1A979F6B">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4CBB3CF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29CD86F6">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nil"/>
              <w:left w:val="single" w:color="auto" w:sz="6" w:space="0"/>
              <w:bottom w:val="single" w:color="auto" w:sz="6" w:space="0"/>
              <w:right w:val="single" w:color="auto" w:sz="12" w:space="0"/>
            </w:tcBorders>
            <w:vAlign w:val="center"/>
          </w:tcPr>
          <w:p w14:paraId="49BEF848">
            <w:pPr>
              <w:keepNext/>
              <w:autoSpaceDE w:val="0"/>
              <w:spacing w:before="100" w:beforeAutospacing="1" w:line="400" w:lineRule="exact"/>
              <w:jc w:val="center"/>
              <w:rPr>
                <w:rFonts w:ascii="宋体" w:hAnsi="宋体" w:eastAsia="宋体" w:cs="Times New Roman"/>
                <w:sz w:val="21"/>
                <w:szCs w:val="21"/>
              </w:rPr>
            </w:pPr>
          </w:p>
        </w:tc>
      </w:tr>
      <w:tr w14:paraId="05484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nil"/>
              <w:right w:val="single" w:color="auto" w:sz="6" w:space="0"/>
            </w:tcBorders>
            <w:vAlign w:val="center"/>
          </w:tcPr>
          <w:p w14:paraId="0F7B0022">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D10983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D61733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8C28D22">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18A6C29F">
            <w:pPr>
              <w:keepNext/>
              <w:autoSpaceDE w:val="0"/>
              <w:spacing w:before="100" w:beforeAutospacing="1" w:line="400" w:lineRule="exact"/>
              <w:jc w:val="center"/>
              <w:rPr>
                <w:rFonts w:ascii="宋体" w:hAnsi="宋体" w:eastAsia="宋体" w:cs="Times New Roman"/>
                <w:sz w:val="21"/>
                <w:szCs w:val="21"/>
              </w:rPr>
            </w:pPr>
          </w:p>
        </w:tc>
      </w:tr>
      <w:tr w14:paraId="50A7D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vAlign w:val="center"/>
          </w:tcPr>
          <w:p w14:paraId="5F68090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04D4A1BE">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CF40F0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96F46B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8EA1A53">
            <w:pPr>
              <w:keepNext/>
              <w:autoSpaceDE w:val="0"/>
              <w:spacing w:before="100" w:beforeAutospacing="1" w:line="400" w:lineRule="exact"/>
              <w:jc w:val="center"/>
              <w:rPr>
                <w:rFonts w:ascii="宋体" w:hAnsi="宋体" w:eastAsia="宋体" w:cs="Times New Roman"/>
                <w:sz w:val="21"/>
                <w:szCs w:val="21"/>
              </w:rPr>
            </w:pPr>
          </w:p>
        </w:tc>
      </w:tr>
      <w:tr w14:paraId="6DAE7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vAlign w:val="center"/>
          </w:tcPr>
          <w:p w14:paraId="755161A3">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A7F532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68ACB1F">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741CE7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D4FDB0B">
            <w:pPr>
              <w:keepNext/>
              <w:autoSpaceDE w:val="0"/>
              <w:spacing w:before="100" w:beforeAutospacing="1" w:line="400" w:lineRule="exact"/>
              <w:jc w:val="center"/>
              <w:rPr>
                <w:rFonts w:ascii="宋体" w:hAnsi="宋体" w:eastAsia="宋体" w:cs="Times New Roman"/>
                <w:sz w:val="21"/>
                <w:szCs w:val="21"/>
              </w:rPr>
            </w:pPr>
          </w:p>
        </w:tc>
      </w:tr>
      <w:tr w14:paraId="691F7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single" w:color="auto" w:sz="6" w:space="0"/>
              <w:left w:val="single" w:color="auto" w:sz="12" w:space="0"/>
              <w:bottom w:val="single" w:color="auto" w:sz="6" w:space="0"/>
              <w:right w:val="single" w:color="auto" w:sz="12" w:space="0"/>
            </w:tcBorders>
            <w:vAlign w:val="center"/>
          </w:tcPr>
          <w:p w14:paraId="6EA84C3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二、现场人员</w:t>
            </w:r>
          </w:p>
        </w:tc>
      </w:tr>
      <w:tr w14:paraId="6A37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09D365B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0A0FE98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CFF793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4DEE1EA">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8822F64">
            <w:pPr>
              <w:keepNext/>
              <w:autoSpaceDE w:val="0"/>
              <w:spacing w:before="100" w:beforeAutospacing="1" w:line="400" w:lineRule="exact"/>
              <w:jc w:val="center"/>
              <w:rPr>
                <w:rFonts w:ascii="宋体" w:hAnsi="宋体" w:eastAsia="宋体" w:cs="Times New Roman"/>
                <w:sz w:val="21"/>
                <w:szCs w:val="21"/>
              </w:rPr>
            </w:pPr>
          </w:p>
        </w:tc>
      </w:tr>
      <w:tr w14:paraId="2830F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41F3DC0A">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7CABB3FD">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3C1827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889E77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1C4FFAD2">
            <w:pPr>
              <w:keepNext/>
              <w:autoSpaceDE w:val="0"/>
              <w:spacing w:before="100" w:beforeAutospacing="1" w:line="400" w:lineRule="exact"/>
              <w:jc w:val="center"/>
              <w:rPr>
                <w:rFonts w:ascii="宋体" w:hAnsi="宋体" w:eastAsia="宋体" w:cs="Times New Roman"/>
                <w:sz w:val="21"/>
                <w:szCs w:val="21"/>
              </w:rPr>
            </w:pPr>
          </w:p>
        </w:tc>
      </w:tr>
      <w:tr w14:paraId="76099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5C1AA89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54576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01EBCF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5F5E64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055D2E8E">
            <w:pPr>
              <w:keepNext/>
              <w:autoSpaceDE w:val="0"/>
              <w:spacing w:before="100" w:beforeAutospacing="1" w:line="400" w:lineRule="exact"/>
              <w:jc w:val="center"/>
              <w:rPr>
                <w:rFonts w:ascii="宋体" w:hAnsi="宋体" w:eastAsia="宋体" w:cs="Times New Roman"/>
                <w:sz w:val="21"/>
                <w:szCs w:val="21"/>
              </w:rPr>
            </w:pPr>
          </w:p>
        </w:tc>
      </w:tr>
      <w:tr w14:paraId="536E8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59F89AB6">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6132AC33">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CDC268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61A893B">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FF1CAEE">
            <w:pPr>
              <w:keepNext/>
              <w:autoSpaceDE w:val="0"/>
              <w:spacing w:before="100" w:beforeAutospacing="1" w:line="400" w:lineRule="exact"/>
              <w:jc w:val="center"/>
              <w:rPr>
                <w:rFonts w:ascii="宋体" w:hAnsi="宋体" w:eastAsia="宋体" w:cs="Times New Roman"/>
                <w:sz w:val="21"/>
                <w:szCs w:val="21"/>
              </w:rPr>
            </w:pPr>
          </w:p>
        </w:tc>
      </w:tr>
      <w:tr w14:paraId="4F847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286FD794">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0A88B0B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7C56D1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AAB763A">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97468FF">
            <w:pPr>
              <w:keepNext/>
              <w:autoSpaceDE w:val="0"/>
              <w:spacing w:before="100" w:beforeAutospacing="1" w:line="400" w:lineRule="exact"/>
              <w:jc w:val="center"/>
              <w:rPr>
                <w:rFonts w:ascii="宋体" w:hAnsi="宋体" w:eastAsia="宋体" w:cs="Times New Roman"/>
                <w:sz w:val="21"/>
                <w:szCs w:val="21"/>
              </w:rPr>
            </w:pPr>
          </w:p>
        </w:tc>
      </w:tr>
      <w:tr w14:paraId="3F6CF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2655612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481A4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892D80C">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803E91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0279687F">
            <w:pPr>
              <w:keepNext/>
              <w:autoSpaceDE w:val="0"/>
              <w:spacing w:before="100" w:beforeAutospacing="1" w:line="400" w:lineRule="exact"/>
              <w:jc w:val="center"/>
              <w:rPr>
                <w:rFonts w:ascii="宋体" w:hAnsi="宋体" w:eastAsia="宋体" w:cs="Times New Roman"/>
                <w:sz w:val="21"/>
                <w:szCs w:val="21"/>
              </w:rPr>
            </w:pPr>
          </w:p>
        </w:tc>
      </w:tr>
      <w:tr w14:paraId="030DB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0C3C76B7">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39177C37">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68C62B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2094F41">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0F26BF6">
            <w:pPr>
              <w:keepNext/>
              <w:autoSpaceDE w:val="0"/>
              <w:spacing w:before="100" w:beforeAutospacing="1" w:line="400" w:lineRule="exact"/>
              <w:jc w:val="center"/>
              <w:rPr>
                <w:rFonts w:ascii="宋体" w:hAnsi="宋体" w:eastAsia="宋体" w:cs="Times New Roman"/>
                <w:sz w:val="21"/>
                <w:szCs w:val="21"/>
              </w:rPr>
            </w:pPr>
          </w:p>
        </w:tc>
      </w:tr>
      <w:tr w14:paraId="1C67C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74A407B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480500EB">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22F47A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879D2F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BAEA434">
            <w:pPr>
              <w:keepNext/>
              <w:autoSpaceDE w:val="0"/>
              <w:spacing w:before="100" w:beforeAutospacing="1" w:line="400" w:lineRule="exact"/>
              <w:jc w:val="center"/>
              <w:rPr>
                <w:rFonts w:ascii="宋体" w:hAnsi="宋体" w:eastAsia="宋体" w:cs="Times New Roman"/>
                <w:sz w:val="21"/>
                <w:szCs w:val="21"/>
              </w:rPr>
            </w:pPr>
          </w:p>
        </w:tc>
      </w:tr>
      <w:tr w14:paraId="570AA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restart"/>
            <w:tcBorders>
              <w:top w:val="nil"/>
              <w:left w:val="single" w:color="auto" w:sz="12" w:space="0"/>
              <w:bottom w:val="single" w:color="auto" w:sz="6" w:space="0"/>
              <w:right w:val="single" w:color="auto" w:sz="6" w:space="0"/>
            </w:tcBorders>
            <w:vAlign w:val="center"/>
          </w:tcPr>
          <w:p w14:paraId="25E1278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C2BE9E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A5931E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7CC9DDD">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3F6293B6">
            <w:pPr>
              <w:keepNext/>
              <w:autoSpaceDE w:val="0"/>
              <w:spacing w:before="100" w:beforeAutospacing="1" w:line="400" w:lineRule="exact"/>
              <w:jc w:val="center"/>
              <w:rPr>
                <w:rFonts w:ascii="宋体" w:hAnsi="宋体" w:eastAsia="宋体" w:cs="Times New Roman"/>
                <w:sz w:val="21"/>
                <w:szCs w:val="21"/>
              </w:rPr>
            </w:pPr>
          </w:p>
        </w:tc>
      </w:tr>
      <w:tr w14:paraId="00640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2BC7C124">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nil"/>
              <w:right w:val="single" w:color="auto" w:sz="6" w:space="0"/>
            </w:tcBorders>
            <w:vAlign w:val="center"/>
          </w:tcPr>
          <w:p w14:paraId="39557FD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5EE7E5A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5450C3CB">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nil"/>
              <w:right w:val="single" w:color="auto" w:sz="12" w:space="0"/>
            </w:tcBorders>
            <w:vAlign w:val="center"/>
          </w:tcPr>
          <w:p w14:paraId="5EF61641">
            <w:pPr>
              <w:keepNext/>
              <w:autoSpaceDE w:val="0"/>
              <w:spacing w:before="100" w:beforeAutospacing="1" w:line="400" w:lineRule="exact"/>
              <w:jc w:val="center"/>
              <w:rPr>
                <w:rFonts w:ascii="宋体" w:hAnsi="宋体" w:eastAsia="宋体" w:cs="Times New Roman"/>
                <w:sz w:val="21"/>
                <w:szCs w:val="21"/>
              </w:rPr>
            </w:pPr>
          </w:p>
        </w:tc>
      </w:tr>
      <w:tr w14:paraId="33DC2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3B8E2B08">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17B6E1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AE6BCE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C1C93D5">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54D5F99E">
            <w:pPr>
              <w:keepNext/>
              <w:autoSpaceDE w:val="0"/>
              <w:spacing w:before="100" w:beforeAutospacing="1" w:line="400" w:lineRule="exact"/>
              <w:jc w:val="center"/>
              <w:rPr>
                <w:rFonts w:ascii="宋体" w:hAnsi="宋体" w:eastAsia="宋体" w:cs="Times New Roman"/>
                <w:sz w:val="21"/>
                <w:szCs w:val="21"/>
              </w:rPr>
            </w:pPr>
          </w:p>
        </w:tc>
      </w:tr>
      <w:tr w14:paraId="79028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6F5EB75D">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CD7D65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00BC0E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DA098F7">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059055F">
            <w:pPr>
              <w:keepNext/>
              <w:autoSpaceDE w:val="0"/>
              <w:spacing w:before="100" w:beforeAutospacing="1" w:line="400" w:lineRule="exact"/>
              <w:jc w:val="center"/>
              <w:rPr>
                <w:rFonts w:ascii="宋体" w:hAnsi="宋体" w:eastAsia="宋体" w:cs="Times New Roman"/>
                <w:sz w:val="21"/>
                <w:szCs w:val="21"/>
              </w:rPr>
            </w:pPr>
          </w:p>
        </w:tc>
      </w:tr>
      <w:tr w14:paraId="6789D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43F7F488">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58FA5F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AC4521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DE19A0A">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551EDDF">
            <w:pPr>
              <w:keepNext/>
              <w:autoSpaceDE w:val="0"/>
              <w:spacing w:before="100" w:beforeAutospacing="1" w:line="400" w:lineRule="exact"/>
              <w:jc w:val="center"/>
              <w:rPr>
                <w:rFonts w:ascii="宋体" w:hAnsi="宋体" w:eastAsia="宋体" w:cs="Times New Roman"/>
                <w:sz w:val="21"/>
                <w:szCs w:val="21"/>
              </w:rPr>
            </w:pPr>
          </w:p>
        </w:tc>
      </w:tr>
      <w:tr w14:paraId="7B4E6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56851DA0">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14:paraId="59B1ECC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360EE6A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1A25BFB9">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12" w:space="0"/>
              <w:right w:val="single" w:color="auto" w:sz="12" w:space="0"/>
            </w:tcBorders>
            <w:vAlign w:val="center"/>
          </w:tcPr>
          <w:p w14:paraId="30AF9D16">
            <w:pPr>
              <w:keepNext/>
              <w:autoSpaceDE w:val="0"/>
              <w:spacing w:before="100" w:beforeAutospacing="1" w:line="400" w:lineRule="exact"/>
              <w:jc w:val="center"/>
              <w:rPr>
                <w:rFonts w:ascii="宋体" w:hAnsi="宋体" w:eastAsia="宋体" w:cs="Times New Roman"/>
                <w:sz w:val="21"/>
                <w:szCs w:val="21"/>
              </w:rPr>
            </w:pPr>
          </w:p>
        </w:tc>
      </w:tr>
    </w:tbl>
    <w:p w14:paraId="05B59D4D">
      <w:pPr>
        <w:rPr>
          <w:rFonts w:ascii="宋体" w:hAnsi="宋体" w:eastAsia="宋体" w:cs="Times New Roman"/>
          <w:sz w:val="21"/>
          <w:szCs w:val="21"/>
        </w:rPr>
      </w:pPr>
      <w:r>
        <w:rPr>
          <w:rFonts w:hint="eastAsia" w:ascii="宋体" w:hAnsi="宋体" w:eastAsia="宋体" w:cs="Times New Roman"/>
          <w:sz w:val="21"/>
          <w:szCs w:val="21"/>
        </w:rPr>
        <w:br w:type="page"/>
      </w:r>
    </w:p>
    <w:p w14:paraId="4EDD7BB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711" w:name="_Toc296346732"/>
      <w:bookmarkEnd w:id="1711"/>
      <w:bookmarkStart w:id="1712" w:name="_Toc296347230"/>
      <w:bookmarkEnd w:id="1712"/>
      <w:bookmarkStart w:id="1713" w:name="_Toc296944570"/>
      <w:bookmarkEnd w:id="1713"/>
      <w:bookmarkStart w:id="1714" w:name="_Toc296503231"/>
      <w:bookmarkEnd w:id="1714"/>
      <w:bookmarkStart w:id="1715" w:name="_Toc296891059"/>
      <w:bookmarkEnd w:id="1715"/>
      <w:bookmarkStart w:id="1716" w:name="_Toc296891271"/>
      <w:r>
        <w:rPr>
          <w:rFonts w:hint="eastAsia" w:ascii="宋体" w:hAnsi="宋体" w:eastAsia="宋体" w:cs="Times New Roman"/>
          <w:sz w:val="21"/>
          <w:szCs w:val="21"/>
        </w:rPr>
        <w:t>件8：</w:t>
      </w:r>
      <w:bookmarkEnd w:id="1716"/>
    </w:p>
    <w:p w14:paraId="2DAF3FC6">
      <w:pPr>
        <w:autoSpaceDE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履约担保</w:t>
      </w:r>
    </w:p>
    <w:p w14:paraId="6219551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u w:val="single"/>
        </w:rPr>
        <w:t xml:space="preserve">             </w:t>
      </w:r>
      <w:r>
        <w:rPr>
          <w:rFonts w:hint="eastAsia" w:ascii="宋体" w:hAnsi="宋体" w:eastAsia="宋体" w:cs="Times New Roman"/>
          <w:sz w:val="21"/>
          <w:szCs w:val="21"/>
          <w:u w:val="single"/>
        </w:rPr>
        <w:tab/>
      </w:r>
      <w:r>
        <w:rPr>
          <w:rFonts w:hint="eastAsia" w:ascii="宋体" w:hAnsi="宋体" w:eastAsia="宋体" w:cs="Times New Roman"/>
          <w:sz w:val="21"/>
          <w:szCs w:val="21"/>
        </w:rPr>
        <w:t>（发包人名称）：</w:t>
      </w:r>
    </w:p>
    <w:p w14:paraId="1400EF3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6BAE4BA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鉴于</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（发包人名称，以下简称“发包人”）与</w:t>
      </w:r>
    </w:p>
    <w:p w14:paraId="1D17571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（承包人名称）（以下称“承包人”）于</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年</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月</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日就</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（工程名称）施工及有关事项协商一致共同签订《建设工程施工合同》。我方愿意无条件地、不可撤销地就承包人履行与你方签订的合同，向你方提供连带责任担保。</w:t>
      </w:r>
    </w:p>
    <w:p w14:paraId="33FAFF9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 担保金额人民币（大写）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EBF1D3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 担保有效期自你方与承包人签订的合同生效之日起至你方签发或应签发工程接收证书之日止。</w:t>
      </w:r>
    </w:p>
    <w:p w14:paraId="2CB70D93">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 在本担保有效期内，因承包人违反合同约定的义务给你方造成经济损失时，我方在收到你方以书面形式提出的在担保金额内的赔偿要求后，在7天内无条件支付。</w:t>
      </w:r>
    </w:p>
    <w:p w14:paraId="364253D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 你方和承包人按合同约定变更合同时，我方承担本担保规定的义务不变。</w:t>
      </w:r>
    </w:p>
    <w:p w14:paraId="3768D3D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5. 因本保函发生的纠纷，可由双方协商解决，协商不成的，任何一方均可提请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仲裁委员会仲裁。</w:t>
      </w:r>
    </w:p>
    <w:p w14:paraId="3FB8228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6. 本保函自我方法定代表人（或其授权代理人）签名并加盖公章之日起生效。</w:t>
      </w:r>
    </w:p>
    <w:p w14:paraId="72402FC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0A8E7BA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担 保 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（盖单位章）</w:t>
      </w:r>
    </w:p>
    <w:p w14:paraId="5834875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法定代表人或其委托代理人：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（签名）</w:t>
      </w:r>
    </w:p>
    <w:p w14:paraId="400E877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地    址：</w:t>
      </w:r>
      <w:r>
        <w:rPr>
          <w:rFonts w:hint="eastAsia" w:ascii="宋体" w:hAnsi="宋体" w:eastAsia="宋体" w:cs="Times New Roman"/>
          <w:sz w:val="21"/>
          <w:szCs w:val="21"/>
          <w:u w:val="single"/>
        </w:rPr>
        <w:t xml:space="preserve">                                      </w:t>
      </w:r>
    </w:p>
    <w:p w14:paraId="247DB75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邮政编码：</w:t>
      </w:r>
      <w:r>
        <w:rPr>
          <w:rFonts w:hint="eastAsia" w:ascii="宋体" w:hAnsi="宋体" w:eastAsia="宋体" w:cs="Times New Roman"/>
          <w:sz w:val="21"/>
          <w:szCs w:val="21"/>
          <w:u w:val="single"/>
        </w:rPr>
        <w:t xml:space="preserve">                                      </w:t>
      </w:r>
    </w:p>
    <w:p w14:paraId="2FBD13D4">
      <w:pPr>
        <w:autoSpaceDE w:val="0"/>
        <w:spacing w:line="360" w:lineRule="auto"/>
        <w:rPr>
          <w:rFonts w:ascii="宋体" w:hAnsi="宋体" w:eastAsia="宋体" w:cs="Times New Roman"/>
          <w:sz w:val="21"/>
          <w:szCs w:val="21"/>
          <w:u w:val="single"/>
        </w:rPr>
      </w:pPr>
      <w:r>
        <w:rPr>
          <w:rFonts w:hint="eastAsia" w:ascii="宋体" w:hAnsi="宋体" w:eastAsia="宋体" w:cs="Times New Roman"/>
          <w:sz w:val="21"/>
          <w:szCs w:val="21"/>
        </w:rPr>
        <w:t>电    话：</w:t>
      </w:r>
      <w:r>
        <w:rPr>
          <w:rFonts w:hint="eastAsia" w:ascii="宋体" w:hAnsi="宋体" w:eastAsia="宋体" w:cs="Times New Roman"/>
          <w:sz w:val="21"/>
          <w:szCs w:val="21"/>
          <w:u w:val="single"/>
        </w:rPr>
        <w:t xml:space="preserve">                                      </w:t>
      </w:r>
    </w:p>
    <w:p w14:paraId="4798DD4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传    真：</w:t>
      </w:r>
      <w:r>
        <w:rPr>
          <w:rFonts w:hint="eastAsia" w:ascii="宋体" w:hAnsi="宋体" w:eastAsia="宋体" w:cs="Times New Roman"/>
          <w:sz w:val="21"/>
          <w:szCs w:val="21"/>
          <w:u w:val="single"/>
        </w:rPr>
        <w:t xml:space="preserve">                                      </w:t>
      </w:r>
    </w:p>
    <w:p w14:paraId="31F9B801">
      <w:pPr>
        <w:autoSpaceDE w:val="0"/>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 xml:space="preserve"> </w:t>
      </w:r>
    </w:p>
    <w:p w14:paraId="496FACB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年</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月</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日</w:t>
      </w:r>
    </w:p>
    <w:p w14:paraId="6AE6CA0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3E8ECBA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br w:type="page"/>
      </w:r>
    </w:p>
    <w:p w14:paraId="2E75389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717" w:name="_Toc296891272"/>
      <w:bookmarkEnd w:id="1717"/>
      <w:bookmarkStart w:id="1718" w:name="_Toc296347231"/>
      <w:bookmarkEnd w:id="1718"/>
      <w:bookmarkStart w:id="1719" w:name="_Toc296503232"/>
      <w:bookmarkEnd w:id="1719"/>
      <w:bookmarkStart w:id="1720" w:name="_Toc296891060"/>
      <w:bookmarkEnd w:id="1720"/>
      <w:bookmarkStart w:id="1721" w:name="_Toc296346733"/>
      <w:bookmarkEnd w:id="1721"/>
      <w:bookmarkStart w:id="1722" w:name="_Toc296944571"/>
      <w:bookmarkEnd w:id="1722"/>
      <w:bookmarkStart w:id="1723" w:name="_Toc267261702"/>
      <w:r>
        <w:rPr>
          <w:rFonts w:hint="eastAsia" w:ascii="宋体" w:hAnsi="宋体" w:eastAsia="宋体" w:cs="Times New Roman"/>
          <w:sz w:val="21"/>
          <w:szCs w:val="21"/>
        </w:rPr>
        <w:t>件9：</w:t>
      </w:r>
      <w:bookmarkEnd w:id="1723"/>
    </w:p>
    <w:p w14:paraId="13CF8E63">
      <w:pPr>
        <w:spacing w:before="156" w:beforeLines="50" w:after="156" w:afterLines="50" w:line="480" w:lineRule="auto"/>
        <w:jc w:val="center"/>
        <w:rPr>
          <w:rFonts w:ascii="宋体" w:hAnsi="宋体" w:eastAsia="宋体" w:cs="Times New Roman"/>
          <w:sz w:val="21"/>
          <w:szCs w:val="21"/>
        </w:rPr>
      </w:pPr>
      <w:bookmarkStart w:id="1724" w:name="_Toc435689499"/>
      <w:bookmarkEnd w:id="1724"/>
      <w:bookmarkStart w:id="1725" w:name="_Toc435690184"/>
      <w:bookmarkEnd w:id="1725"/>
      <w:bookmarkStart w:id="1726" w:name="_Toc448406299"/>
      <w:bookmarkEnd w:id="1726"/>
      <w:bookmarkStart w:id="1727" w:name="_Toc247431422"/>
      <w:bookmarkEnd w:id="1727"/>
      <w:bookmarkStart w:id="1728" w:name="_Toc239510288"/>
      <w:bookmarkEnd w:id="1728"/>
      <w:bookmarkStart w:id="1729" w:name="_Toc336680145"/>
      <w:bookmarkEnd w:id="1729"/>
      <w:r>
        <w:rPr>
          <w:rFonts w:hint="eastAsia" w:ascii="宋体" w:hAnsi="宋体" w:eastAsia="宋体" w:cs="Times New Roman"/>
          <w:sz w:val="21"/>
          <w:szCs w:val="21"/>
        </w:rPr>
        <w:t>安全管理协议</w:t>
      </w:r>
    </w:p>
    <w:p w14:paraId="63E6FB97">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发包人（全称）：</w:t>
      </w:r>
      <w:r>
        <w:rPr>
          <w:rFonts w:hint="eastAsia" w:ascii="宋体" w:hAnsi="宋体" w:eastAsia="宋体" w:cs="Times New Roman"/>
          <w:sz w:val="21"/>
          <w:szCs w:val="21"/>
          <w:u w:val="single"/>
        </w:rPr>
        <w:t xml:space="preserve">                             </w:t>
      </w:r>
    </w:p>
    <w:p w14:paraId="79AA2DBD">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承包人（全称）：</w:t>
      </w:r>
      <w:r>
        <w:rPr>
          <w:rFonts w:hint="eastAsia" w:ascii="宋体" w:hAnsi="宋体" w:eastAsia="宋体" w:cs="Times New Roman"/>
          <w:sz w:val="21"/>
          <w:szCs w:val="21"/>
          <w:u w:val="single"/>
        </w:rPr>
        <w:t xml:space="preserve">                             </w:t>
      </w:r>
    </w:p>
    <w:p w14:paraId="08D338B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为了确保实现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安全生产目标，进一步明确双方的安全管理责任，加强安全生产管理工作的协调、管理力度，</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（以下简称“发包人”）与</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3FD7B845">
      <w:pPr>
        <w:spacing w:line="360" w:lineRule="auto"/>
        <w:rPr>
          <w:rFonts w:ascii="宋体" w:hAnsi="宋体" w:eastAsia="宋体" w:cs="Times New Roman"/>
          <w:sz w:val="21"/>
          <w:szCs w:val="21"/>
        </w:rPr>
      </w:pPr>
      <w:bookmarkStart w:id="1730" w:name="_Toc247431423"/>
      <w:bookmarkEnd w:id="1730"/>
      <w:bookmarkStart w:id="1731" w:name="_Toc247418263"/>
      <w:bookmarkEnd w:id="1731"/>
      <w:bookmarkStart w:id="1732" w:name="_Toc532375700"/>
      <w:bookmarkEnd w:id="1732"/>
      <w:bookmarkStart w:id="1733" w:name="_Toc239510289"/>
      <w:r>
        <w:rPr>
          <w:rFonts w:hint="eastAsia" w:ascii="宋体" w:hAnsi="宋体" w:eastAsia="宋体" w:cs="Times New Roman"/>
          <w:sz w:val="21"/>
          <w:szCs w:val="21"/>
        </w:rPr>
        <w:t>一、协议有效期限</w:t>
      </w:r>
      <w:bookmarkEnd w:id="1733"/>
    </w:p>
    <w:p w14:paraId="5A59EC9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本协议中所涉及的安全管理责任自合同签订之日起开始生效，至合同工程全部完工验收且经发包人与承包人签订移交协议生效后之日终止。</w:t>
      </w:r>
    </w:p>
    <w:p w14:paraId="1C873243">
      <w:pPr>
        <w:spacing w:line="360" w:lineRule="auto"/>
        <w:rPr>
          <w:rFonts w:ascii="宋体" w:hAnsi="宋体" w:eastAsia="宋体" w:cs="Times New Roman"/>
          <w:sz w:val="21"/>
          <w:szCs w:val="21"/>
        </w:rPr>
      </w:pPr>
      <w:bookmarkStart w:id="1734" w:name="_Toc247431424"/>
      <w:bookmarkEnd w:id="1734"/>
      <w:bookmarkStart w:id="1735" w:name="_Toc247418264"/>
      <w:bookmarkEnd w:id="1735"/>
      <w:bookmarkStart w:id="1736" w:name="_Toc239510290"/>
      <w:bookmarkEnd w:id="1736"/>
      <w:bookmarkStart w:id="1737" w:name="_Toc532375701"/>
      <w:r>
        <w:rPr>
          <w:rFonts w:hint="eastAsia" w:ascii="宋体" w:hAnsi="宋体" w:eastAsia="宋体" w:cs="Times New Roman"/>
          <w:sz w:val="21"/>
          <w:szCs w:val="21"/>
        </w:rPr>
        <w:t>二、责任目标</w:t>
      </w:r>
      <w:bookmarkEnd w:id="1737"/>
    </w:p>
    <w:p w14:paraId="568364B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（一）承包人承诺承担和履行合同和发包人所规定的安全责任，且满足要求。</w:t>
      </w:r>
    </w:p>
    <w:p w14:paraId="4558B1B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（二）承包人的安全控制目标是确保本工程在实施过程中：</w:t>
      </w:r>
    </w:p>
    <w:p w14:paraId="52791DE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1．不发生人身重伤事故；</w:t>
      </w:r>
    </w:p>
    <w:p w14:paraId="0FBCF1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2．不发生火灾事故；</w:t>
      </w:r>
    </w:p>
    <w:p w14:paraId="479FEAA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3．不发生负有同等及以上事故责任的造成人身重伤的一般交通事故；</w:t>
      </w:r>
    </w:p>
    <w:p w14:paraId="5C1B536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4．不发生集体食物中毒事件（同时5人及以上的食物中毒）；</w:t>
      </w:r>
    </w:p>
    <w:p w14:paraId="121DA9D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5．不发生流行性传染病 （无甲型传染病、其他常见传染病未形成多人同时患病）；</w:t>
      </w:r>
    </w:p>
    <w:p w14:paraId="7E194A3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6．不发生重大环境污染事件（生活、工业垃圾及其他污染物造成环境污染和大面积水土流失）；</w:t>
      </w:r>
    </w:p>
    <w:p w14:paraId="71426F6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7．不发生对施工区附近生产、生活造成重大影响的事件（如造成重大设备损坏、重大财产损失、人员伤害等）；</w:t>
      </w:r>
    </w:p>
    <w:p w14:paraId="1437793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8．不发生治安保卫事件（构成刑事拘留及以上的事件、盗窃直接损失超过1万元人民币的事件）。</w:t>
      </w:r>
    </w:p>
    <w:p w14:paraId="6F7F433F">
      <w:pPr>
        <w:spacing w:line="360" w:lineRule="auto"/>
        <w:jc w:val="left"/>
        <w:rPr>
          <w:rFonts w:ascii="宋体" w:hAnsi="宋体" w:eastAsia="宋体" w:cs="Times New Roman"/>
          <w:sz w:val="21"/>
          <w:szCs w:val="21"/>
        </w:rPr>
      </w:pPr>
      <w:bookmarkStart w:id="1738" w:name="_Toc239510291"/>
      <w:bookmarkEnd w:id="1738"/>
      <w:bookmarkStart w:id="1739" w:name="_Toc247431425"/>
      <w:bookmarkEnd w:id="1739"/>
      <w:bookmarkStart w:id="1740" w:name="_Toc247418265"/>
      <w:r>
        <w:rPr>
          <w:rFonts w:hint="eastAsia" w:ascii="宋体" w:hAnsi="宋体" w:eastAsia="宋体" w:cs="Times New Roman"/>
          <w:sz w:val="21"/>
          <w:szCs w:val="21"/>
        </w:rPr>
        <w:t>（三）承包人承诺在施工中控制以下安全事故的发生：</w:t>
      </w:r>
      <w:bookmarkEnd w:id="1740"/>
    </w:p>
    <w:p w14:paraId="1A47F6F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1．人员轻伤事故。</w:t>
      </w:r>
    </w:p>
    <w:p w14:paraId="51E0027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2．负有同等及以上事故责任的人身轻伤交通事故。</w:t>
      </w:r>
    </w:p>
    <w:p w14:paraId="64C7154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3．其他安全未遂事故和异常事件。</w:t>
      </w:r>
    </w:p>
    <w:p w14:paraId="3CF023E0">
      <w:pPr>
        <w:spacing w:line="360" w:lineRule="auto"/>
        <w:rPr>
          <w:rFonts w:ascii="宋体" w:hAnsi="宋体" w:eastAsia="宋体" w:cs="Times New Roman"/>
          <w:sz w:val="21"/>
          <w:szCs w:val="21"/>
        </w:rPr>
      </w:pPr>
      <w:bookmarkStart w:id="1741" w:name="_Toc532375702"/>
      <w:bookmarkEnd w:id="1741"/>
      <w:bookmarkStart w:id="1742" w:name="_Toc239510292"/>
      <w:bookmarkEnd w:id="1742"/>
      <w:bookmarkStart w:id="1743" w:name="_Toc247418266"/>
      <w:bookmarkEnd w:id="1743"/>
      <w:bookmarkStart w:id="1744" w:name="_Toc247431426"/>
      <w:r>
        <w:rPr>
          <w:rFonts w:hint="eastAsia" w:ascii="宋体" w:hAnsi="宋体" w:eastAsia="宋体" w:cs="Times New Roman"/>
          <w:sz w:val="21"/>
          <w:szCs w:val="21"/>
        </w:rPr>
        <w:t>三、安全责任</w:t>
      </w:r>
      <w:bookmarkEnd w:id="1744"/>
    </w:p>
    <w:p w14:paraId="7E543CC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1．承包人负有安全生产的管理责任和直接责任。</w:t>
      </w:r>
    </w:p>
    <w:p w14:paraId="031489F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2．承包人的法人或签署合同的公司总经理或受委托的代理人对合同安全负有全面的领导责任。</w:t>
      </w:r>
    </w:p>
    <w:p w14:paraId="5CE2C70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3．承包人项目经理对施工现场的安全工作负有全面的直接领导责任。</w:t>
      </w:r>
    </w:p>
    <w:p w14:paraId="6AA230E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4．承包人保证执行“谁施工、谁负责”的施工安全原则。</w:t>
      </w:r>
    </w:p>
    <w:p w14:paraId="06DE94C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5．承包人保证服从发包人对安全工作的统一协调和管理。</w:t>
      </w:r>
    </w:p>
    <w:p w14:paraId="749DE07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6．承包人保证对本工程项目安全生产条件及其管理资源自行投入，保证安全资金的专款专用。</w:t>
      </w:r>
    </w:p>
    <w:p w14:paraId="053D804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7．承包人保证建立本工程项目的安全管理体系及安全保证体系（注：项目安全管理大纲/手册、管理性的程序文件等）。</w:t>
      </w:r>
    </w:p>
    <w:p w14:paraId="624A84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8．承包人保证现场的安全管理专职人员必须持有建设主管部门安全生产培训考核合格证书。</w:t>
      </w:r>
    </w:p>
    <w:p w14:paraId="4058575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9．承包人保证为现场所有工作人员（含分包商员工及劳务人员）配备符合国家标准的有承包人和/或其下属分包商标志的个人基本劳动保护用品。</w:t>
      </w:r>
    </w:p>
    <w:p w14:paraId="4295880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10．承包人保证按照国家法律规定为现场所有工作人员（含分包商员工及劳务人员）购买意外伤害保险。</w:t>
      </w:r>
    </w:p>
    <w:p w14:paraId="50B51D7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11．承包人保证施工生活营地（包括自建的和租用的营地）满足消防、安全用电、卫生防疫、防暴雨、防雷击等方面的安全要求。</w:t>
      </w:r>
    </w:p>
    <w:p w14:paraId="59778AA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12．承包人保证对带入现场的设备、工具、材料按照国家法规和标准进行检测、试验，并持有法定部门出具的检验证书。</w:t>
      </w:r>
    </w:p>
    <w:p w14:paraId="3133050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13．承包人保证制订施工现场的文明施工措施，保护环境、树木和植被，保持施工现场的良好秩序和整洁的作业环境。</w:t>
      </w:r>
    </w:p>
    <w:p w14:paraId="4745718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14．承包人负责在施工过程中与当地政府、周边群众及其他承包商保持良好的沟通和交流。承包人遇到与周边群众发生纠纷时，应负责协调工作，确保工程能够顺利进行。</w:t>
      </w:r>
    </w:p>
    <w:p w14:paraId="4FAEE095">
      <w:pPr>
        <w:spacing w:line="360" w:lineRule="auto"/>
        <w:rPr>
          <w:rFonts w:ascii="宋体" w:hAnsi="宋体" w:eastAsia="宋体" w:cs="Times New Roman"/>
          <w:sz w:val="21"/>
          <w:szCs w:val="21"/>
        </w:rPr>
      </w:pPr>
      <w:bookmarkStart w:id="1745" w:name="_Toc247418267"/>
      <w:bookmarkEnd w:id="1745"/>
      <w:bookmarkStart w:id="1746" w:name="_Toc239510293"/>
      <w:bookmarkEnd w:id="1746"/>
      <w:bookmarkStart w:id="1747" w:name="_Toc247431427"/>
      <w:bookmarkEnd w:id="1747"/>
      <w:bookmarkStart w:id="1748" w:name="_Toc532375703"/>
      <w:r>
        <w:rPr>
          <w:rFonts w:hint="eastAsia" w:ascii="宋体" w:hAnsi="宋体" w:eastAsia="宋体" w:cs="Times New Roman"/>
          <w:sz w:val="21"/>
          <w:szCs w:val="21"/>
        </w:rPr>
        <w:t>四、接口及协调</w:t>
      </w:r>
      <w:bookmarkEnd w:id="1748"/>
    </w:p>
    <w:p w14:paraId="6AC6E1B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1．发包人委托监理公司对该工程实施监理，监理公司在安全管理方面代表发包人行使监督检查职能，承包人必须给予配合和支持。</w:t>
      </w:r>
    </w:p>
    <w:p w14:paraId="44AADDB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2．承包人人员、车辆的出入，带入现场的设备、机具、材料，在现场使用的或直接管理的办公、生活、生产性设施的安全管理须满足发包人现场管理的基本要求。</w:t>
      </w:r>
    </w:p>
    <w:p w14:paraId="1E7E330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6251F4D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1DE382D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5．承包人指定的专职安全管理人员应与发包人委托的监理公司建立联系，在业务上接受发包人委托的监理公司的协调和指导。</w:t>
      </w:r>
    </w:p>
    <w:p w14:paraId="3761504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6．开工后承包人的专职安全管理人员应按照发包人委托的监理公司的规定，定期报送安全月度快报、季报、年报和各种专项事故报告等。</w:t>
      </w:r>
    </w:p>
    <w:p w14:paraId="14DE834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7．在工程实体未全部正式移交发包人施工管理部门之前，承包人依旧对施工范围内的安全管理负责。</w:t>
      </w:r>
    </w:p>
    <w:p w14:paraId="700AE53D">
      <w:pPr>
        <w:spacing w:line="360" w:lineRule="auto"/>
        <w:rPr>
          <w:rFonts w:ascii="宋体" w:hAnsi="宋体" w:eastAsia="宋体" w:cs="Times New Roman"/>
          <w:sz w:val="21"/>
          <w:szCs w:val="21"/>
        </w:rPr>
      </w:pPr>
      <w:bookmarkStart w:id="1749" w:name="_Toc532375704"/>
      <w:bookmarkEnd w:id="1749"/>
      <w:bookmarkStart w:id="1750" w:name="_Toc247431428"/>
      <w:bookmarkEnd w:id="1750"/>
      <w:bookmarkStart w:id="1751" w:name="_Toc247418268"/>
      <w:bookmarkEnd w:id="1751"/>
      <w:bookmarkStart w:id="1752" w:name="_Toc239510294"/>
      <w:r>
        <w:rPr>
          <w:rFonts w:hint="eastAsia" w:ascii="宋体" w:hAnsi="宋体" w:eastAsia="宋体" w:cs="Times New Roman"/>
          <w:sz w:val="21"/>
          <w:szCs w:val="21"/>
        </w:rPr>
        <w:t>五、安全资质审查</w:t>
      </w:r>
      <w:bookmarkEnd w:id="1752"/>
    </w:p>
    <w:p w14:paraId="71E9759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承包人在项目开工前5个工作天内向发包人委托的监理公司提供以下安全资质供审查和存档：</w:t>
      </w:r>
    </w:p>
    <w:p w14:paraId="0BF0791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1．企业安全生产许可证书复印件。</w:t>
      </w:r>
    </w:p>
    <w:p w14:paraId="725CFA8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2．企业近三年的施工简历及安全施工业绩证明文件。</w:t>
      </w:r>
    </w:p>
    <w:p w14:paraId="6894B20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3．企业主要安全管理人员（包括项目经理、专职安全管理人员）经建设主管部门安全生产知识考核合格证书。</w:t>
      </w:r>
    </w:p>
    <w:p w14:paraId="3506C6E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4．特种作业人员资格证书。</w:t>
      </w:r>
    </w:p>
    <w:p w14:paraId="414550E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5．项目安全管理机构及其人员配备（承包人必须配有专职的安全员）。</w:t>
      </w:r>
    </w:p>
    <w:p w14:paraId="4973A5F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6．适用于项目的安全管理体系及保证体系文件（安全管理大纲及管理程序文件）。</w:t>
      </w:r>
    </w:p>
    <w:p w14:paraId="463D7F05">
      <w:pPr>
        <w:spacing w:line="360" w:lineRule="auto"/>
        <w:rPr>
          <w:rFonts w:ascii="宋体" w:hAnsi="宋体" w:eastAsia="宋体" w:cs="Times New Roman"/>
          <w:sz w:val="21"/>
          <w:szCs w:val="21"/>
        </w:rPr>
      </w:pPr>
      <w:bookmarkStart w:id="1753" w:name="_Toc239510295"/>
      <w:bookmarkEnd w:id="1753"/>
      <w:bookmarkStart w:id="1754" w:name="_Toc247431429"/>
      <w:bookmarkEnd w:id="1754"/>
      <w:bookmarkStart w:id="1755" w:name="_Toc247418269"/>
      <w:bookmarkEnd w:id="1755"/>
      <w:bookmarkStart w:id="1756" w:name="_Toc532375705"/>
      <w:r>
        <w:rPr>
          <w:rFonts w:hint="eastAsia" w:ascii="宋体" w:hAnsi="宋体" w:eastAsia="宋体" w:cs="Times New Roman"/>
          <w:sz w:val="21"/>
          <w:szCs w:val="21"/>
        </w:rPr>
        <w:t>六、人员基本素质</w:t>
      </w:r>
      <w:bookmarkEnd w:id="1756"/>
    </w:p>
    <w:p w14:paraId="6167F2E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承包人提供的人员必须满足下列要求：</w:t>
      </w:r>
    </w:p>
    <w:p w14:paraId="27D3752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534CE73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2．无刑事案件牵连。</w:t>
      </w:r>
    </w:p>
    <w:p w14:paraId="24D9582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3．无吸毒、酗酒、赌博、嫖娼等恶习及违法行为。</w:t>
      </w:r>
    </w:p>
    <w:p w14:paraId="3A4F7426">
      <w:pPr>
        <w:spacing w:line="360" w:lineRule="auto"/>
        <w:rPr>
          <w:rFonts w:ascii="宋体" w:hAnsi="宋体" w:eastAsia="宋体" w:cs="Times New Roman"/>
          <w:sz w:val="21"/>
          <w:szCs w:val="21"/>
        </w:rPr>
      </w:pPr>
      <w:bookmarkStart w:id="1757" w:name="_Toc247418270"/>
      <w:bookmarkEnd w:id="1757"/>
      <w:bookmarkStart w:id="1758" w:name="_Toc247431430"/>
      <w:bookmarkEnd w:id="1758"/>
      <w:bookmarkStart w:id="1759" w:name="_Toc239510296"/>
      <w:bookmarkEnd w:id="1759"/>
      <w:bookmarkStart w:id="1760" w:name="_Toc532375706"/>
      <w:r>
        <w:rPr>
          <w:rFonts w:hint="eastAsia" w:ascii="宋体" w:hAnsi="宋体" w:eastAsia="宋体" w:cs="Times New Roman"/>
          <w:sz w:val="21"/>
          <w:szCs w:val="21"/>
        </w:rPr>
        <w:t>七、劳动保护</w:t>
      </w:r>
      <w:bookmarkEnd w:id="1760"/>
    </w:p>
    <w:p w14:paraId="1C4AA32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1．承包人负责为本单位任何用工形式的员工提供个人劳动保护用品（包括工作服、安全帽、安全鞋等）。</w:t>
      </w:r>
    </w:p>
    <w:p w14:paraId="0F89079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2．承包人负责向特殊工种的员工提供特殊劳动保护，否则不得从事特殊工种作业。</w:t>
      </w:r>
    </w:p>
    <w:p w14:paraId="6279853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3．发包人委托的监理公司有权检查承包人的个人劳动保护用品是否符合国家的相应标准。</w:t>
      </w:r>
    </w:p>
    <w:p w14:paraId="32D8F22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 承包人在特殊风险场所作业而需要特殊防护用品或安全仪表时，必须在上述防护用品全部到位后才能开工。</w:t>
      </w:r>
    </w:p>
    <w:p w14:paraId="0FD28B6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5．承包人应配备临时安全围栏、警示带、警告标志、防火布等集体防护用品。</w:t>
      </w:r>
    </w:p>
    <w:p w14:paraId="201813E2">
      <w:pPr>
        <w:spacing w:line="360" w:lineRule="auto"/>
        <w:rPr>
          <w:rFonts w:ascii="宋体" w:hAnsi="宋体" w:eastAsia="宋体" w:cs="Times New Roman"/>
          <w:sz w:val="21"/>
          <w:szCs w:val="21"/>
        </w:rPr>
      </w:pPr>
      <w:bookmarkStart w:id="1761" w:name="_Toc247431431"/>
      <w:bookmarkEnd w:id="1761"/>
      <w:bookmarkStart w:id="1762" w:name="_Toc239510297"/>
      <w:bookmarkEnd w:id="1762"/>
      <w:bookmarkStart w:id="1763" w:name="_Toc247418271"/>
      <w:bookmarkEnd w:id="1763"/>
      <w:bookmarkStart w:id="1764" w:name="_Toc532375707"/>
      <w:r>
        <w:rPr>
          <w:rFonts w:hint="eastAsia" w:ascii="宋体" w:hAnsi="宋体" w:eastAsia="宋体" w:cs="Times New Roman"/>
          <w:sz w:val="21"/>
          <w:szCs w:val="21"/>
        </w:rPr>
        <w:t>八、施工机具与材料</w:t>
      </w:r>
      <w:bookmarkEnd w:id="1764"/>
    </w:p>
    <w:p w14:paraId="6BC4DA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1．承包人对带入现场的施工机械和工器具的安全负责。</w:t>
      </w:r>
    </w:p>
    <w:p w14:paraId="1E2ACCC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2．对于承包人带入现场的特殊工器具，如起重设备、索具、机动车辆、压缩气瓶等，承包人必须按国家法规和标准进行检测、试验，并持有法定部门出具的检验证书。</w:t>
      </w:r>
    </w:p>
    <w:p w14:paraId="5B428E0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3．对于不属于法定检测的工器具，承包人也必须建立相应的管理、检测制度，这些工器具包括登高工具、脚手架材料、电动工具、安全防护设备及用具等。</w:t>
      </w:r>
    </w:p>
    <w:p w14:paraId="623FBC99">
      <w:pPr>
        <w:spacing w:line="360" w:lineRule="auto"/>
        <w:rPr>
          <w:rFonts w:ascii="宋体" w:hAnsi="宋体" w:eastAsia="宋体" w:cs="Times New Roman"/>
          <w:sz w:val="21"/>
          <w:szCs w:val="21"/>
        </w:rPr>
      </w:pPr>
      <w:bookmarkStart w:id="1765" w:name="_Toc247431432"/>
      <w:bookmarkEnd w:id="1765"/>
      <w:bookmarkStart w:id="1766" w:name="_Toc532375708"/>
      <w:bookmarkEnd w:id="1766"/>
      <w:bookmarkStart w:id="1767" w:name="_Toc247418272"/>
      <w:bookmarkEnd w:id="1767"/>
      <w:bookmarkStart w:id="1768" w:name="_Toc239510298"/>
      <w:r>
        <w:rPr>
          <w:rFonts w:hint="eastAsia" w:ascii="宋体" w:hAnsi="宋体" w:eastAsia="宋体" w:cs="Times New Roman"/>
          <w:sz w:val="21"/>
          <w:szCs w:val="21"/>
        </w:rPr>
        <w:t>九、开工前安全条件检查</w:t>
      </w:r>
      <w:bookmarkEnd w:id="1768"/>
    </w:p>
    <w:p w14:paraId="1FAF443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2255F12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3D723E4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52996F4C">
      <w:pPr>
        <w:spacing w:line="360" w:lineRule="auto"/>
        <w:rPr>
          <w:rFonts w:ascii="宋体" w:hAnsi="宋体" w:eastAsia="宋体" w:cs="Times New Roman"/>
          <w:sz w:val="21"/>
          <w:szCs w:val="21"/>
        </w:rPr>
      </w:pPr>
      <w:bookmarkStart w:id="1769" w:name="_Toc247431433"/>
      <w:bookmarkEnd w:id="1769"/>
      <w:bookmarkStart w:id="1770" w:name="_Toc247418273"/>
      <w:bookmarkEnd w:id="1770"/>
      <w:bookmarkStart w:id="1771" w:name="_Toc239510299"/>
      <w:bookmarkEnd w:id="1771"/>
      <w:bookmarkStart w:id="1772" w:name="_Toc532375709"/>
      <w:r>
        <w:rPr>
          <w:rFonts w:hint="eastAsia" w:ascii="宋体" w:hAnsi="宋体" w:eastAsia="宋体" w:cs="Times New Roman"/>
          <w:sz w:val="21"/>
          <w:szCs w:val="21"/>
        </w:rPr>
        <w:t>十、安全监督</w:t>
      </w:r>
      <w:bookmarkEnd w:id="1772"/>
    </w:p>
    <w:p w14:paraId="2135F44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1．承包人应配备有满足项目安全管理需要的专职安全管理人员。</w:t>
      </w:r>
    </w:p>
    <w:p w14:paraId="06A6AD1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2．承包人的专职安全管理人员必须持建设主管部门颁发的安全生产知识考核合格证书。</w:t>
      </w:r>
    </w:p>
    <w:p w14:paraId="6F812F6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3．承包人的专职安全管理人员在业务上接受发包人委托的监理公司和发包人安全管理部门的协调和指导。</w:t>
      </w:r>
    </w:p>
    <w:p w14:paraId="21B23B2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4．承包人应建立班前安全交底制度；施工期间坚持开展安全检查和日常安全监督并形成相应的记录。</w:t>
      </w:r>
    </w:p>
    <w:p w14:paraId="422ABDB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5．承包人应在每个作业区任命兼职安全员，赋予兼职安全员相应的授权和义务，并对兼职安全员进行定期考核。</w:t>
      </w:r>
    </w:p>
    <w:p w14:paraId="0231DE2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6．承包人应接受和配合发包人专业部门及委托的监理公司的监督与安全评价。</w:t>
      </w:r>
    </w:p>
    <w:p w14:paraId="53D4306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BF2B1CF">
      <w:pPr>
        <w:spacing w:line="360" w:lineRule="auto"/>
        <w:rPr>
          <w:rFonts w:ascii="宋体" w:hAnsi="宋体" w:eastAsia="宋体" w:cs="Times New Roman"/>
          <w:sz w:val="21"/>
          <w:szCs w:val="21"/>
        </w:rPr>
      </w:pPr>
      <w:bookmarkStart w:id="1773" w:name="_Toc532375710"/>
      <w:bookmarkEnd w:id="1773"/>
      <w:bookmarkStart w:id="1774" w:name="_Toc247431434"/>
      <w:bookmarkEnd w:id="1774"/>
      <w:bookmarkStart w:id="1775" w:name="_Toc247418274"/>
      <w:bookmarkEnd w:id="1775"/>
      <w:bookmarkStart w:id="1776" w:name="_Toc239510300"/>
      <w:r>
        <w:rPr>
          <w:rFonts w:hint="eastAsia" w:ascii="宋体" w:hAnsi="宋体" w:eastAsia="宋体" w:cs="Times New Roman"/>
          <w:sz w:val="21"/>
          <w:szCs w:val="21"/>
        </w:rPr>
        <w:t>十一、安全培训与授权</w:t>
      </w:r>
      <w:bookmarkEnd w:id="1776"/>
    </w:p>
    <w:p w14:paraId="65FDC64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18CBC2D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2．承包人应在特殊工种之外的其他工种中，筛选出高风险工种，并对其开展针对性的专题安全培训。</w:t>
      </w:r>
    </w:p>
    <w:p w14:paraId="70526EC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3．承包人应组织 “入场培训”和考核。发包人委托的监理公司有权监督培训、考核情况或组织抽查考核。</w:t>
      </w:r>
    </w:p>
    <w:p w14:paraId="34800B2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4．承包人应建立安全培训和考核机制，编制培训教材和培训滚动计划。承包人应组织安全考试/考核，建立培训考核记录，发包人委托的监理公司有权查看这些记录。</w:t>
      </w:r>
    </w:p>
    <w:p w14:paraId="31CCEF2E">
      <w:pPr>
        <w:spacing w:line="360" w:lineRule="auto"/>
        <w:rPr>
          <w:rFonts w:ascii="宋体" w:hAnsi="宋体" w:eastAsia="宋体" w:cs="Times New Roman"/>
          <w:sz w:val="21"/>
          <w:szCs w:val="21"/>
        </w:rPr>
      </w:pPr>
      <w:bookmarkStart w:id="1777" w:name="_Toc532375711"/>
      <w:bookmarkEnd w:id="1777"/>
      <w:bookmarkStart w:id="1778" w:name="_Toc239510301"/>
      <w:bookmarkEnd w:id="1778"/>
      <w:bookmarkStart w:id="1779" w:name="_Toc247418275"/>
      <w:bookmarkEnd w:id="1779"/>
      <w:bookmarkStart w:id="1780" w:name="_Toc247431435"/>
      <w:r>
        <w:rPr>
          <w:rFonts w:hint="eastAsia" w:ascii="宋体" w:hAnsi="宋体" w:eastAsia="宋体" w:cs="Times New Roman"/>
          <w:sz w:val="21"/>
          <w:szCs w:val="21"/>
        </w:rPr>
        <w:t>十二、职业健康与卫生防疫</w:t>
      </w:r>
      <w:bookmarkEnd w:id="1780"/>
    </w:p>
    <w:p w14:paraId="0F507E2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0DCC6EC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2．承包人应保证卫生防疫基本设施的投入，以满足医疗、急救的要求，建立外部医疗支持渠道。</w:t>
      </w:r>
    </w:p>
    <w:p w14:paraId="0A153DE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0E313033">
      <w:pPr>
        <w:spacing w:line="360" w:lineRule="auto"/>
        <w:rPr>
          <w:rFonts w:ascii="宋体" w:hAnsi="宋体" w:eastAsia="宋体" w:cs="Times New Roman"/>
          <w:sz w:val="21"/>
          <w:szCs w:val="21"/>
        </w:rPr>
      </w:pPr>
      <w:bookmarkStart w:id="1781" w:name="_Toc532375712"/>
      <w:bookmarkEnd w:id="1781"/>
      <w:bookmarkStart w:id="1782" w:name="_Toc247418276"/>
      <w:bookmarkEnd w:id="1782"/>
      <w:bookmarkStart w:id="1783" w:name="_Toc239510302"/>
      <w:bookmarkEnd w:id="1783"/>
      <w:bookmarkStart w:id="1784" w:name="_Toc247431436"/>
      <w:r>
        <w:rPr>
          <w:rFonts w:hint="eastAsia" w:ascii="宋体" w:hAnsi="宋体" w:eastAsia="宋体" w:cs="Times New Roman"/>
          <w:sz w:val="21"/>
          <w:szCs w:val="21"/>
        </w:rPr>
        <w:t>十三、文明施工与环保要求</w:t>
      </w:r>
      <w:bookmarkEnd w:id="1784"/>
    </w:p>
    <w:p w14:paraId="569E769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1．承包人需制订施工现场的文明施工措施，保持良好的施工现场秩序。施工现场的物料堆放要摆放整齐，安全标志和宣传标志要清楚醒目，废料、废物要分类收集，安全通道要畅通。</w:t>
      </w:r>
    </w:p>
    <w:p w14:paraId="594EEEE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2．承包人作业时应避免建筑材料抛洒、飞扬、流淌；应尽可能降低噪音、震动。</w:t>
      </w:r>
    </w:p>
    <w:p w14:paraId="10C6FA6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3．承包人应根据实际需要，在施工现场布置临时卫生设施（洗手间、卫生间等），施工作业不破坏环境卫生，不污染现场环境。</w:t>
      </w:r>
    </w:p>
    <w:p w14:paraId="08DDBFF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4．承包人在施工中应充分重视对环境的保护，保护绿色植被，保护古树。施工如需伤害古树，必须报告发包人委托的监理公司，在未得到指令前，禁止擅自伤害古树。</w:t>
      </w:r>
    </w:p>
    <w:p w14:paraId="26A4FA3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708CFE9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6．承包人在施工中应禁止向环境，排放工业污水、生活污水、废油或其他有害物质。</w:t>
      </w:r>
    </w:p>
    <w:p w14:paraId="587E9C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60E7DAEC">
      <w:pPr>
        <w:spacing w:line="360" w:lineRule="auto"/>
        <w:rPr>
          <w:rFonts w:ascii="宋体" w:hAnsi="宋体" w:eastAsia="宋体" w:cs="Times New Roman"/>
          <w:sz w:val="21"/>
          <w:szCs w:val="21"/>
        </w:rPr>
      </w:pPr>
      <w:bookmarkStart w:id="1785" w:name="_Toc247431437"/>
      <w:bookmarkEnd w:id="1785"/>
      <w:bookmarkStart w:id="1786" w:name="_Toc239510303"/>
      <w:bookmarkEnd w:id="1786"/>
      <w:bookmarkStart w:id="1787" w:name="_Toc532375713"/>
      <w:bookmarkEnd w:id="1787"/>
      <w:bookmarkStart w:id="1788" w:name="_Toc247418277"/>
      <w:r>
        <w:rPr>
          <w:rFonts w:hint="eastAsia" w:ascii="宋体" w:hAnsi="宋体" w:eastAsia="宋体" w:cs="Times New Roman"/>
          <w:sz w:val="21"/>
          <w:szCs w:val="21"/>
        </w:rPr>
        <w:t>十四、工程风险管理与事故预防</w:t>
      </w:r>
      <w:bookmarkEnd w:id="1788"/>
    </w:p>
    <w:p w14:paraId="6970C593">
      <w:pPr>
        <w:spacing w:line="360" w:lineRule="auto"/>
        <w:jc w:val="left"/>
        <w:rPr>
          <w:rFonts w:ascii="宋体" w:hAnsi="宋体" w:eastAsia="宋体" w:cs="Times New Roman"/>
          <w:sz w:val="21"/>
          <w:szCs w:val="21"/>
        </w:rPr>
      </w:pPr>
      <w:bookmarkStart w:id="1789" w:name="_Toc247431438"/>
      <w:bookmarkEnd w:id="1789"/>
      <w:bookmarkStart w:id="1790" w:name="_Toc239510304"/>
      <w:bookmarkEnd w:id="1790"/>
      <w:bookmarkStart w:id="1791" w:name="_Toc247418278"/>
      <w:r>
        <w:rPr>
          <w:rFonts w:hint="eastAsia" w:ascii="宋体" w:hAnsi="宋体" w:eastAsia="宋体" w:cs="Times New Roman"/>
          <w:sz w:val="21"/>
          <w:szCs w:val="21"/>
        </w:rPr>
        <w:t>（一）基本要求</w:t>
      </w:r>
      <w:bookmarkEnd w:id="1791"/>
    </w:p>
    <w:p w14:paraId="745DF113">
      <w:pPr>
        <w:spacing w:line="360" w:lineRule="auto"/>
        <w:jc w:val="left"/>
        <w:rPr>
          <w:rFonts w:ascii="宋体" w:hAnsi="宋体" w:eastAsia="宋体" w:cs="Times New Roman"/>
          <w:sz w:val="21"/>
          <w:szCs w:val="21"/>
        </w:rPr>
      </w:pPr>
      <w:bookmarkStart w:id="1792" w:name="_Toc532375714"/>
      <w:bookmarkEnd w:id="1792"/>
      <w:r>
        <w:rPr>
          <w:rFonts w:hint="eastAsia" w:ascii="宋体" w:hAnsi="宋体" w:eastAsia="宋体" w:cs="Times New Roman"/>
          <w:sz w:val="21"/>
          <w:szCs w:val="21"/>
        </w:rPr>
        <w:t>1．承包人应对施工过程进行全面、深入的危险源识别和风险分析。在施工安全组织设计中提供危险源及重要危险源清单、作业风险分析报告，该报告应包括（但不限于）如下信息：</w:t>
      </w:r>
    </w:p>
    <w:p w14:paraId="29CB40E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（1）高风险作业和工种清单：作业名称、类别和数量、主要事故风险。</w:t>
      </w:r>
    </w:p>
    <w:p w14:paraId="5C1D563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（2）施工能源和机械的种类、数量和主要事故风险。</w:t>
      </w:r>
    </w:p>
    <w:p w14:paraId="1E9BB54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（3）施工作业条件的类型和主要事故风险。</w:t>
      </w:r>
    </w:p>
    <w:p w14:paraId="538A1C4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（4）主要工艺过程（或施工活动）的类别及其相关的事故风险。</w:t>
      </w:r>
    </w:p>
    <w:p w14:paraId="00C9B1E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（5）主要火灾危险（可燃物、点火源）。</w:t>
      </w:r>
    </w:p>
    <w:p w14:paraId="375068A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（6）主要自然灾害（洪水、大风、雷暴、暴雨、地质灾害等）。</w:t>
      </w:r>
    </w:p>
    <w:p w14:paraId="64A0461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（7）主要环境保护事件（有害垃圾、机械的跑冒滴漏、原材料流失、水土流失等）。</w:t>
      </w:r>
    </w:p>
    <w:p w14:paraId="5580FFD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（8）其他。</w:t>
      </w:r>
    </w:p>
    <w:p w14:paraId="6843076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2．承包人应针对识别出的危险源制定有针对性的事故预防措施并确保在施工中得到有效落实。</w:t>
      </w:r>
    </w:p>
    <w:p w14:paraId="4478F6C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3．承包人应建立日常施工活动的动态作业风险分析和安全交底制度。该制度应明确规定风险分析的方法、责任和交底的内容、时间及记录。</w:t>
      </w:r>
    </w:p>
    <w:p w14:paraId="53586D74">
      <w:pPr>
        <w:spacing w:line="360" w:lineRule="auto"/>
        <w:jc w:val="left"/>
        <w:rPr>
          <w:rFonts w:ascii="宋体" w:hAnsi="宋体" w:eastAsia="宋体" w:cs="Times New Roman"/>
          <w:sz w:val="21"/>
          <w:szCs w:val="21"/>
        </w:rPr>
      </w:pPr>
      <w:bookmarkStart w:id="1793" w:name="_Toc247418279"/>
      <w:bookmarkEnd w:id="1793"/>
      <w:bookmarkStart w:id="1794" w:name="_Toc239510305"/>
      <w:bookmarkEnd w:id="1794"/>
      <w:bookmarkStart w:id="1795" w:name="_Toc247431439"/>
      <w:r>
        <w:rPr>
          <w:rFonts w:hint="eastAsia" w:ascii="宋体" w:hAnsi="宋体" w:eastAsia="宋体" w:cs="Times New Roman"/>
          <w:sz w:val="21"/>
          <w:szCs w:val="21"/>
        </w:rPr>
        <w:t>（二）现场作业基本安全条件</w:t>
      </w:r>
      <w:bookmarkEnd w:id="1795"/>
    </w:p>
    <w:p w14:paraId="269490C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76400F1C">
      <w:pPr>
        <w:spacing w:line="360" w:lineRule="auto"/>
        <w:rPr>
          <w:rFonts w:ascii="宋体" w:hAnsi="宋体" w:eastAsia="宋体" w:cs="Times New Roman"/>
          <w:sz w:val="21"/>
          <w:szCs w:val="21"/>
        </w:rPr>
      </w:pPr>
      <w:bookmarkStart w:id="1796" w:name="_Toc247431440"/>
      <w:bookmarkEnd w:id="1796"/>
      <w:bookmarkStart w:id="1797" w:name="_Toc239510306"/>
      <w:bookmarkEnd w:id="1797"/>
      <w:bookmarkStart w:id="1798" w:name="_Toc532375715"/>
      <w:bookmarkEnd w:id="1798"/>
      <w:bookmarkStart w:id="1799" w:name="_Toc247418280"/>
      <w:r>
        <w:rPr>
          <w:rFonts w:hint="eastAsia" w:ascii="宋体" w:hAnsi="宋体" w:eastAsia="宋体" w:cs="Times New Roman"/>
          <w:sz w:val="21"/>
          <w:szCs w:val="21"/>
        </w:rPr>
        <w:t>十五、事故报告与应急救援</w:t>
      </w:r>
      <w:bookmarkEnd w:id="1799"/>
    </w:p>
    <w:p w14:paraId="3CC7239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1．承包人应制定对于未遂事故及以上级别的安全事件和事故，定期报送安全月度快报、季报、年报和各种专项事故报告等。</w:t>
      </w:r>
    </w:p>
    <w:p w14:paraId="75B85BD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2．承包人应建立安全事故统计记录、未遂事故统计记录、违章统计记录，并根据统计情况进行分析，并就分析结果制定相应的预防措施。</w:t>
      </w:r>
    </w:p>
    <w:p w14:paraId="7663B6F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3．承包人应建立事故应急救援机制，明确事故处置的基本原则，即现场发生事故时，首先抢救生命，向救援组织报警，并采取措施限制事故扩大。</w:t>
      </w:r>
    </w:p>
    <w:p w14:paraId="2C13A38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4．承包人应建立相应的应急响应组织，以便能迅速处理突发意外。</w:t>
      </w:r>
    </w:p>
    <w:p w14:paraId="77DF971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5．承包人应建立专项应急响应预案，包括重大人身伤亡事故的救护预案、火灾响应预案、“四防”预案（防风、防冻、防雷、防暴雨）、重大疫病防护预案、环境污染防护预案、地质灾害防护预案等。</w:t>
      </w:r>
    </w:p>
    <w:p w14:paraId="040A4BA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6．承包人应对应急预案进行适当演练，保证应急预案的可操作性。</w:t>
      </w:r>
    </w:p>
    <w:p w14:paraId="7280314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7．在工地的其他施工单位发生重大事故时，承包人应无条件立即配合、支持事故抢险。</w:t>
      </w:r>
    </w:p>
    <w:p w14:paraId="53FA876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8．承包人必须为事故处置支付各项费用，包括受伤者的抚恤、补偿等费用，并按合同要求赔偿对发包人造成的损失。</w:t>
      </w:r>
    </w:p>
    <w:p w14:paraId="6ABA0E9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9．由于发包人原因而造成的事故，发包人应负责按事故的具体损失情况给予承包人经济赔偿。</w:t>
      </w:r>
    </w:p>
    <w:p w14:paraId="5E0260C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10．涉及承包人员工的伤害事故，承包人除要报告发包人委托的监理公司外，还应负责按照国家、行业和本单位上级公司的要求，上报事故。</w:t>
      </w:r>
    </w:p>
    <w:p w14:paraId="6988599C">
      <w:pPr>
        <w:spacing w:line="360" w:lineRule="auto"/>
        <w:rPr>
          <w:rFonts w:ascii="宋体" w:hAnsi="宋体" w:eastAsia="宋体" w:cs="Times New Roman"/>
          <w:sz w:val="21"/>
          <w:szCs w:val="21"/>
        </w:rPr>
      </w:pPr>
      <w:bookmarkStart w:id="1800" w:name="_Toc239510307"/>
      <w:bookmarkEnd w:id="1800"/>
      <w:bookmarkStart w:id="1801" w:name="_Toc247418281"/>
      <w:bookmarkEnd w:id="1801"/>
      <w:bookmarkStart w:id="1802" w:name="_Toc247431441"/>
      <w:bookmarkEnd w:id="1802"/>
      <w:bookmarkStart w:id="1803" w:name="_Toc532375716"/>
      <w:r>
        <w:rPr>
          <w:rFonts w:hint="eastAsia" w:ascii="宋体" w:hAnsi="宋体" w:eastAsia="宋体" w:cs="Times New Roman"/>
          <w:sz w:val="21"/>
          <w:szCs w:val="21"/>
        </w:rPr>
        <w:t>十六、安全业绩考核</w:t>
      </w:r>
      <w:bookmarkEnd w:id="1803"/>
    </w:p>
    <w:p w14:paraId="5FD4554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为了落实安全管理的责任，承包人在施工过程中发生安全事故时，承包人除应按国家有关规定承担责任和处罚外，发包人还将按照以下标准进行考核：</w:t>
      </w:r>
    </w:p>
    <w:tbl>
      <w:tblPr>
        <w:tblStyle w:val="65"/>
        <w:tblW w:w="7005" w:type="dxa"/>
        <w:jc w:val="center"/>
        <w:tblLayout w:type="fixed"/>
        <w:tblCellMar>
          <w:top w:w="0" w:type="dxa"/>
          <w:left w:w="0" w:type="dxa"/>
          <w:bottom w:w="0" w:type="dxa"/>
          <w:right w:w="0" w:type="dxa"/>
        </w:tblCellMar>
      </w:tblPr>
      <w:tblGrid>
        <w:gridCol w:w="3240"/>
        <w:gridCol w:w="3765"/>
      </w:tblGrid>
      <w:tr w14:paraId="5622E602">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D91FA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75327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违约金额</w:t>
            </w:r>
          </w:p>
        </w:tc>
      </w:tr>
      <w:tr w14:paraId="73FB6FB9">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628B7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较大事故</w:t>
            </w:r>
          </w:p>
        </w:tc>
        <w:tc>
          <w:tcPr>
            <w:tcW w:w="3765" w:type="dxa"/>
            <w:tcBorders>
              <w:top w:val="single" w:color="auto" w:sz="8" w:space="0"/>
              <w:left w:val="nil"/>
              <w:bottom w:val="single" w:color="auto" w:sz="8" w:space="0"/>
              <w:right w:val="single" w:color="auto" w:sz="8" w:space="0"/>
            </w:tcBorders>
            <w:vAlign w:val="center"/>
          </w:tcPr>
          <w:p w14:paraId="53E02B4D">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签约合同价</w:t>
            </w:r>
            <w:r>
              <w:rPr>
                <w:rFonts w:hint="eastAsia" w:ascii="宋体" w:hAnsi="宋体" w:eastAsia="宋体" w:cs="Times New Roman"/>
                <w:sz w:val="21"/>
                <w:szCs w:val="21"/>
              </w:rPr>
              <w:t>的0.5‰</w:t>
            </w:r>
          </w:p>
        </w:tc>
      </w:tr>
      <w:tr w14:paraId="29CE481F">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6082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重大事故</w:t>
            </w:r>
          </w:p>
        </w:tc>
        <w:tc>
          <w:tcPr>
            <w:tcW w:w="3765" w:type="dxa"/>
            <w:tcBorders>
              <w:top w:val="single" w:color="auto" w:sz="8" w:space="0"/>
              <w:left w:val="nil"/>
              <w:bottom w:val="single" w:color="auto" w:sz="8" w:space="0"/>
              <w:right w:val="single" w:color="auto" w:sz="8" w:space="0"/>
            </w:tcBorders>
            <w:vAlign w:val="center"/>
          </w:tcPr>
          <w:p w14:paraId="03EA1CA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签约合同价的2‰</w:t>
            </w:r>
          </w:p>
        </w:tc>
      </w:tr>
      <w:tr w14:paraId="4D3202F5">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9E081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1654417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签约合同价的4‰</w:t>
            </w:r>
          </w:p>
        </w:tc>
      </w:tr>
    </w:tbl>
    <w:p w14:paraId="70CBCF5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（1）较大事故，是指造成3人以上10人以下死亡，或者10人以上50人以下重伤，或者1000万元以上5000万元以下直接经济损失的事故；</w:t>
      </w:r>
    </w:p>
    <w:p w14:paraId="6BA756D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（2）重大事故，是指造成10人以上30人以下死亡，或者50人以上100人以下重伤，或者5000万元以上1亿元以下直接经济损失的事故；</w:t>
      </w:r>
    </w:p>
    <w:p w14:paraId="733446A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（3）特别重大事故，是指造成30人以上死亡，或者100人以上重伤（包括急性工业中毒，下同），或者1亿元以上直接经济损失的事故；</w:t>
      </w:r>
    </w:p>
    <w:p w14:paraId="2A23F2F3">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（4）所称的“以上”包括本数，所称的“以下”不包括本数。</w:t>
      </w:r>
    </w:p>
    <w:p w14:paraId="17CBF832">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2137D8C5">
      <w:pPr>
        <w:spacing w:line="273" w:lineRule="auto"/>
        <w:rPr>
          <w:rFonts w:ascii="宋体" w:hAnsi="宋体" w:eastAsia="宋体" w:cs="Times New Roman"/>
          <w:sz w:val="21"/>
          <w:szCs w:val="21"/>
        </w:rPr>
      </w:pPr>
      <w:bookmarkStart w:id="1804" w:name="_Toc532375717"/>
      <w:bookmarkEnd w:id="1804"/>
      <w:bookmarkStart w:id="1805" w:name="_Toc247418282"/>
      <w:bookmarkEnd w:id="1805"/>
      <w:bookmarkStart w:id="1806" w:name="_Toc239510308"/>
      <w:bookmarkEnd w:id="1806"/>
      <w:bookmarkStart w:id="1807" w:name="_Toc247431442"/>
      <w:r>
        <w:rPr>
          <w:rFonts w:hint="eastAsia" w:ascii="宋体" w:hAnsi="宋体" w:eastAsia="宋体" w:cs="Times New Roman"/>
          <w:sz w:val="21"/>
          <w:szCs w:val="21"/>
        </w:rPr>
        <w:t>十七、协议条款的修订</w:t>
      </w:r>
      <w:bookmarkEnd w:id="1807"/>
    </w:p>
    <w:p w14:paraId="4E6D448A">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在项目实施过程中，经双方友好协商，本协议的有关条款也可做出相应的修改。</w:t>
      </w:r>
    </w:p>
    <w:p w14:paraId="2A7E220A">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本工程安全管理协议，由发包人、承包人双方在施工承包合同签订后7天内共同签署，作为施工合同附件。</w:t>
      </w:r>
    </w:p>
    <w:p w14:paraId="1616CC0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  包  人（单位公章）：</w:t>
      </w:r>
      <w:r>
        <w:rPr>
          <w:rFonts w:hint="eastAsia" w:ascii="宋体" w:hAnsi="宋体" w:eastAsia="宋体" w:cs="Times New Roman"/>
          <w:sz w:val="21"/>
          <w:szCs w:val="21"/>
          <w:u w:val="single"/>
        </w:rPr>
        <w:t xml:space="preserve">                   </w:t>
      </w:r>
    </w:p>
    <w:p w14:paraId="303C9B6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法定代表人（签名）：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2F089B2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或其委托代理人（签名）：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35911EF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 xml:space="preserve"> </w:t>
      </w:r>
    </w:p>
    <w:p w14:paraId="14C32652">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承  包  人（单位公章）：</w:t>
      </w:r>
      <w:r>
        <w:rPr>
          <w:rFonts w:hint="eastAsia" w:ascii="宋体" w:hAnsi="宋体" w:eastAsia="宋体" w:cs="Times New Roman"/>
          <w:sz w:val="21"/>
          <w:szCs w:val="21"/>
          <w:u w:val="single"/>
        </w:rPr>
        <w:t xml:space="preserve">                   </w:t>
      </w:r>
    </w:p>
    <w:p w14:paraId="1848BB8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法定代表人（签名）：</w:t>
      </w:r>
      <w:r>
        <w:rPr>
          <w:rFonts w:hint="eastAsia" w:ascii="宋体" w:hAnsi="宋体" w:eastAsia="宋体" w:cs="Times New Roman"/>
          <w:sz w:val="21"/>
          <w:szCs w:val="21"/>
          <w:u w:val="single"/>
        </w:rPr>
        <w:t xml:space="preserve">                       </w:t>
      </w:r>
    </w:p>
    <w:p w14:paraId="1F9924CF">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或其委托代理人（签名）：</w:t>
      </w:r>
      <w:r>
        <w:rPr>
          <w:rFonts w:hint="eastAsia" w:ascii="宋体" w:hAnsi="宋体" w:eastAsia="宋体" w:cs="Times New Roman"/>
          <w:sz w:val="21"/>
          <w:szCs w:val="21"/>
          <w:u w:val="single"/>
        </w:rPr>
        <w:t xml:space="preserve">                   </w:t>
      </w:r>
    </w:p>
    <w:p w14:paraId="75CA5B8D">
      <w:pPr>
        <w:snapToGrid w:val="0"/>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br w:type="page"/>
      </w:r>
    </w:p>
    <w:p w14:paraId="4561CB7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7CAAE13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808" w:name="_Toc296891273"/>
      <w:bookmarkEnd w:id="1808"/>
      <w:bookmarkStart w:id="1809" w:name="_Toc296347232"/>
      <w:bookmarkEnd w:id="1809"/>
      <w:bookmarkStart w:id="1810" w:name="_Toc296891061"/>
      <w:bookmarkEnd w:id="1810"/>
      <w:bookmarkStart w:id="1811" w:name="_Toc296944572"/>
      <w:bookmarkEnd w:id="1811"/>
      <w:bookmarkStart w:id="1812" w:name="_Toc296503233"/>
      <w:bookmarkEnd w:id="1812"/>
      <w:bookmarkStart w:id="1813" w:name="_Toc296346734"/>
      <w:r>
        <w:rPr>
          <w:rFonts w:hint="eastAsia" w:ascii="宋体" w:hAnsi="宋体" w:eastAsia="宋体" w:cs="Times New Roman"/>
          <w:sz w:val="21"/>
          <w:szCs w:val="21"/>
        </w:rPr>
        <w:t>件10</w:t>
      </w:r>
      <w:bookmarkEnd w:id="1813"/>
    </w:p>
    <w:p w14:paraId="1E1D4825">
      <w:pPr>
        <w:spacing w:before="156" w:beforeLines="50" w:after="156" w:afterLines="50" w:line="480" w:lineRule="auto"/>
        <w:jc w:val="center"/>
        <w:rPr>
          <w:rFonts w:ascii="宋体" w:hAnsi="宋体" w:eastAsia="宋体" w:cs="Times New Roman"/>
          <w:sz w:val="21"/>
          <w:szCs w:val="21"/>
        </w:rPr>
      </w:pPr>
      <w:r>
        <w:rPr>
          <w:rFonts w:hint="eastAsia" w:ascii="宋体" w:hAnsi="宋体" w:eastAsia="宋体" w:cs="Times New Roman"/>
          <w:sz w:val="21"/>
          <w:szCs w:val="21"/>
        </w:rPr>
        <w:t>廉洁从业协议</w:t>
      </w:r>
    </w:p>
    <w:p w14:paraId="68CE082B">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发包人（全称）：</w:t>
      </w:r>
      <w:r>
        <w:rPr>
          <w:rFonts w:hint="eastAsia" w:ascii="宋体" w:hAnsi="宋体" w:eastAsia="宋体" w:cs="Times New Roman"/>
          <w:sz w:val="21"/>
          <w:szCs w:val="21"/>
          <w:u w:val="single"/>
        </w:rPr>
        <w:t xml:space="preserve">                             </w:t>
      </w:r>
    </w:p>
    <w:p w14:paraId="127147CE">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承包人（全称）：</w:t>
      </w:r>
      <w:r>
        <w:rPr>
          <w:rFonts w:hint="eastAsia" w:ascii="宋体" w:hAnsi="宋体" w:eastAsia="宋体" w:cs="Times New Roman"/>
          <w:sz w:val="21"/>
          <w:szCs w:val="21"/>
          <w:u w:val="single"/>
        </w:rPr>
        <w:t xml:space="preserve">                             </w:t>
      </w:r>
    </w:p>
    <w:p w14:paraId="11F8F228">
      <w:pPr>
        <w:spacing w:line="360" w:lineRule="auto"/>
        <w:rPr>
          <w:rFonts w:ascii="宋体" w:hAnsi="宋体" w:eastAsia="宋体" w:cs="Times New Roman"/>
          <w:sz w:val="21"/>
          <w:szCs w:val="21"/>
        </w:rPr>
      </w:pPr>
      <w:r>
        <w:rPr>
          <w:rFonts w:hint="eastAsia" w:ascii="宋体" w:hAnsi="宋体" w:eastAsia="宋体" w:cs="Times New Roman"/>
          <w:sz w:val="21"/>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7E6EF69D">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1. 发包人承包人的权利和义务</w:t>
      </w:r>
    </w:p>
    <w:p w14:paraId="4B3E0EBA">
      <w:pPr>
        <w:spacing w:line="360" w:lineRule="auto"/>
        <w:rPr>
          <w:rFonts w:ascii="宋体" w:hAnsi="宋体" w:eastAsia="宋体" w:cs="Times New Roman"/>
          <w:sz w:val="21"/>
          <w:szCs w:val="21"/>
        </w:rPr>
      </w:pPr>
      <w:r>
        <w:rPr>
          <w:rFonts w:hint="eastAsia" w:ascii="宋体" w:hAnsi="宋体" w:eastAsia="宋体" w:cs="Times New Roman"/>
          <w:sz w:val="21"/>
          <w:szCs w:val="21"/>
        </w:rPr>
        <w:t>（1）严格遵守党的政策规定和国家有关法律法规及相关部门的有关规定。</w:t>
      </w:r>
    </w:p>
    <w:p w14:paraId="237D2127">
      <w:pPr>
        <w:spacing w:line="360" w:lineRule="auto"/>
        <w:rPr>
          <w:rFonts w:ascii="宋体" w:hAnsi="宋体" w:eastAsia="宋体" w:cs="Times New Roman"/>
          <w:sz w:val="21"/>
          <w:szCs w:val="21"/>
        </w:rPr>
      </w:pPr>
      <w:r>
        <w:rPr>
          <w:rFonts w:hint="eastAsia" w:ascii="宋体" w:hAnsi="宋体" w:eastAsia="宋体" w:cs="Times New Roman"/>
          <w:sz w:val="21"/>
          <w:szCs w:val="21"/>
        </w:rPr>
        <w:t>（2）严格执行 工程的合同文件，自觉按合同办事。</w:t>
      </w:r>
    </w:p>
    <w:p w14:paraId="6C410584">
      <w:pPr>
        <w:spacing w:line="360" w:lineRule="auto"/>
        <w:rPr>
          <w:rFonts w:ascii="宋体" w:hAnsi="宋体" w:eastAsia="宋体" w:cs="Times New Roman"/>
          <w:sz w:val="21"/>
          <w:szCs w:val="21"/>
        </w:rPr>
      </w:pPr>
      <w:r>
        <w:rPr>
          <w:rFonts w:hint="eastAsia" w:ascii="宋体" w:hAnsi="宋体" w:eastAsia="宋体" w:cs="Times New Roman"/>
          <w:sz w:val="21"/>
          <w:szCs w:val="21"/>
        </w:rPr>
        <w:t>（3）双方的业务活动坚持公开、公正、诚信、透明的原则（法律认定的商业秘密和合同文件另有规定除外），不得损害国家和集体利益，违反工程建设管理规章制度。</w:t>
      </w:r>
    </w:p>
    <w:p w14:paraId="6FB5C638">
      <w:pPr>
        <w:spacing w:line="360" w:lineRule="auto"/>
        <w:rPr>
          <w:rFonts w:ascii="宋体" w:hAnsi="宋体" w:eastAsia="宋体" w:cs="Times New Roman"/>
          <w:sz w:val="21"/>
          <w:szCs w:val="21"/>
        </w:rPr>
      </w:pPr>
      <w:r>
        <w:rPr>
          <w:rFonts w:hint="eastAsia" w:ascii="宋体" w:hAnsi="宋体" w:eastAsia="宋体" w:cs="Times New Roman"/>
          <w:sz w:val="21"/>
          <w:szCs w:val="21"/>
        </w:rPr>
        <w:t>（4）建立健全廉政制度，开展廉政教育，设立廉政告示牌，公布举报电话，监督并认真查处违法违纪行为。</w:t>
      </w:r>
    </w:p>
    <w:p w14:paraId="3A976480">
      <w:pPr>
        <w:spacing w:line="360" w:lineRule="auto"/>
        <w:rPr>
          <w:rFonts w:ascii="宋体" w:hAnsi="宋体" w:eastAsia="宋体" w:cs="Times New Roman"/>
          <w:sz w:val="21"/>
          <w:szCs w:val="21"/>
        </w:rPr>
      </w:pPr>
      <w:r>
        <w:rPr>
          <w:rFonts w:hint="eastAsia" w:ascii="宋体" w:hAnsi="宋体" w:eastAsia="宋体" w:cs="Times New Roman"/>
          <w:sz w:val="21"/>
          <w:szCs w:val="21"/>
        </w:rPr>
        <w:t>（5）发现对方在业务活动中有违反廉政规定的行为，有及时提醒对方纠正的权利和义务。</w:t>
      </w:r>
    </w:p>
    <w:p w14:paraId="40ABD2D2">
      <w:pPr>
        <w:spacing w:line="360" w:lineRule="auto"/>
        <w:rPr>
          <w:rFonts w:ascii="宋体" w:hAnsi="宋体" w:eastAsia="宋体" w:cs="Times New Roman"/>
          <w:sz w:val="21"/>
          <w:szCs w:val="21"/>
        </w:rPr>
      </w:pPr>
      <w:r>
        <w:rPr>
          <w:rFonts w:hint="eastAsia" w:ascii="宋体" w:hAnsi="宋体" w:eastAsia="宋体" w:cs="Times New Roman"/>
          <w:sz w:val="21"/>
          <w:szCs w:val="21"/>
        </w:rPr>
        <w:t>（6）发现对方严重违反协议义务条款的行为，有向其上级有关部门举报、建议给予处理并要求告知处理结果的权利。</w:t>
      </w:r>
    </w:p>
    <w:p w14:paraId="13D6C498">
      <w:pPr>
        <w:spacing w:line="360" w:lineRule="auto"/>
        <w:rPr>
          <w:rFonts w:ascii="宋体" w:hAnsi="宋体" w:eastAsia="宋体" w:cs="Times New Roman"/>
          <w:sz w:val="21"/>
          <w:szCs w:val="21"/>
        </w:rPr>
      </w:pPr>
      <w:r>
        <w:rPr>
          <w:rFonts w:hint="eastAsia" w:ascii="宋体" w:hAnsi="宋体" w:eastAsia="宋体" w:cs="Times New Roman"/>
          <w:sz w:val="21"/>
          <w:szCs w:val="21"/>
        </w:rPr>
        <w:t>2. 发包人的义务</w:t>
      </w:r>
    </w:p>
    <w:p w14:paraId="08F63D42">
      <w:pPr>
        <w:spacing w:line="360" w:lineRule="auto"/>
        <w:rPr>
          <w:rFonts w:ascii="宋体" w:hAnsi="宋体" w:eastAsia="宋体" w:cs="Times New Roman"/>
          <w:sz w:val="21"/>
          <w:szCs w:val="21"/>
        </w:rPr>
      </w:pPr>
      <w:r>
        <w:rPr>
          <w:rFonts w:hint="eastAsia" w:ascii="宋体" w:hAnsi="宋体" w:eastAsia="宋体" w:cs="Times New Roman"/>
          <w:sz w:val="21"/>
          <w:szCs w:val="21"/>
        </w:rPr>
        <w:t>（1）发包人及其工作人员不得索要或接受承包人的礼金、有价证券和贵重物品，不得在承包人报销任何应由发包人或发包人工作人员个人支付的费用等。</w:t>
      </w:r>
    </w:p>
    <w:p w14:paraId="09BC4C53">
      <w:pPr>
        <w:spacing w:line="360" w:lineRule="auto"/>
        <w:rPr>
          <w:rFonts w:ascii="宋体" w:hAnsi="宋体" w:eastAsia="宋体" w:cs="Times New Roman"/>
          <w:sz w:val="21"/>
          <w:szCs w:val="21"/>
        </w:rPr>
      </w:pPr>
      <w:r>
        <w:rPr>
          <w:rFonts w:hint="eastAsia" w:ascii="宋体" w:hAnsi="宋体" w:eastAsia="宋体" w:cs="Times New Roman"/>
          <w:sz w:val="21"/>
          <w:szCs w:val="21"/>
        </w:rPr>
        <w:t>（2）发包人工作人员不得参加承包人安排的超标准宴请和娱乐活动；不得接受承包人提供的通讯工具、交通工具和高档办公用品等。</w:t>
      </w:r>
    </w:p>
    <w:p w14:paraId="3FE9ED6D">
      <w:pPr>
        <w:spacing w:line="360" w:lineRule="auto"/>
        <w:rPr>
          <w:rFonts w:ascii="宋体" w:hAnsi="宋体" w:eastAsia="宋体" w:cs="Times New Roman"/>
          <w:sz w:val="21"/>
          <w:szCs w:val="21"/>
        </w:rPr>
      </w:pPr>
      <w:r>
        <w:rPr>
          <w:rFonts w:hint="eastAsia" w:ascii="宋体" w:hAnsi="宋体" w:eastAsia="宋体" w:cs="Times New Roman"/>
          <w:sz w:val="21"/>
          <w:szCs w:val="21"/>
        </w:rPr>
        <w:t>（3）发包人及其工作人员不得要求或者接受承包人为其住房装修、婚丧嫁娶活动、配偶子女的工作安排以及出国出境、旅游等提供方便等。</w:t>
      </w:r>
    </w:p>
    <w:p w14:paraId="5F2F6013">
      <w:pPr>
        <w:spacing w:line="360" w:lineRule="auto"/>
        <w:rPr>
          <w:rFonts w:ascii="宋体" w:hAnsi="宋体" w:eastAsia="宋体" w:cs="Times New Roman"/>
          <w:sz w:val="21"/>
          <w:szCs w:val="21"/>
        </w:rPr>
      </w:pPr>
      <w:r>
        <w:rPr>
          <w:rFonts w:hint="eastAsia" w:ascii="宋体" w:hAnsi="宋体" w:eastAsia="宋体" w:cs="Times New Roman"/>
          <w:sz w:val="21"/>
          <w:szCs w:val="21"/>
        </w:rPr>
        <w:t>（4）发包人工作人员及其配偶、子女不得从事与发包人工程有关的材料设备供应、工程分包、劳务等经济活动等。</w:t>
      </w:r>
    </w:p>
    <w:p w14:paraId="7102B6D5">
      <w:pPr>
        <w:spacing w:line="360" w:lineRule="auto"/>
        <w:rPr>
          <w:rFonts w:ascii="宋体" w:hAnsi="宋体" w:eastAsia="宋体" w:cs="Times New Roman"/>
          <w:sz w:val="21"/>
          <w:szCs w:val="21"/>
        </w:rPr>
      </w:pPr>
      <w:r>
        <w:rPr>
          <w:rFonts w:hint="eastAsia" w:ascii="宋体" w:hAnsi="宋体" w:eastAsia="宋体" w:cs="Times New Roman"/>
          <w:sz w:val="21"/>
          <w:szCs w:val="21"/>
        </w:rPr>
        <w:t>（5）发包人及其工作人员不得以任何理由向承包人推荐分包单位或推销材料，不得要求承包人购买合同规定外的材料和设备。</w:t>
      </w:r>
    </w:p>
    <w:p w14:paraId="5E793027">
      <w:pPr>
        <w:spacing w:line="360" w:lineRule="auto"/>
        <w:rPr>
          <w:rFonts w:ascii="宋体" w:hAnsi="宋体" w:eastAsia="宋体" w:cs="Times New Roman"/>
          <w:sz w:val="21"/>
          <w:szCs w:val="21"/>
        </w:rPr>
      </w:pPr>
      <w:r>
        <w:rPr>
          <w:rFonts w:hint="eastAsia" w:ascii="宋体" w:hAnsi="宋体" w:eastAsia="宋体" w:cs="Times New Roman"/>
          <w:sz w:val="21"/>
          <w:szCs w:val="21"/>
        </w:rPr>
        <w:t>（6）发包人工作人员要秉公办事，不准营私舞弊，不准利用职权从事各种个人有偿中介活动和安排个人施工队伍。</w:t>
      </w:r>
    </w:p>
    <w:p w14:paraId="48385820">
      <w:pPr>
        <w:spacing w:line="360" w:lineRule="auto"/>
        <w:rPr>
          <w:rFonts w:ascii="宋体" w:hAnsi="宋体" w:eastAsia="宋体" w:cs="Times New Roman"/>
          <w:sz w:val="21"/>
          <w:szCs w:val="21"/>
        </w:rPr>
      </w:pPr>
      <w:r>
        <w:rPr>
          <w:rFonts w:hint="eastAsia" w:ascii="宋体" w:hAnsi="宋体" w:eastAsia="宋体" w:cs="Times New Roman"/>
          <w:sz w:val="21"/>
          <w:szCs w:val="21"/>
        </w:rPr>
        <w:t>3. 承包人义务</w:t>
      </w:r>
    </w:p>
    <w:p w14:paraId="34A83EB9">
      <w:pPr>
        <w:spacing w:line="360" w:lineRule="auto"/>
        <w:rPr>
          <w:rFonts w:ascii="宋体" w:hAnsi="宋体" w:eastAsia="宋体" w:cs="Times New Roman"/>
          <w:sz w:val="21"/>
          <w:szCs w:val="21"/>
        </w:rPr>
      </w:pPr>
      <w:r>
        <w:rPr>
          <w:rFonts w:hint="eastAsia" w:ascii="宋体" w:hAnsi="宋体" w:eastAsia="宋体" w:cs="Times New Roman"/>
          <w:sz w:val="21"/>
          <w:szCs w:val="21"/>
        </w:rPr>
        <w:t>（1）承包人不得以任何理由向发包人及其工作人员行贿或馈赠礼金、有价证券、贵重礼品。</w:t>
      </w:r>
    </w:p>
    <w:p w14:paraId="0E1B884A">
      <w:pPr>
        <w:spacing w:line="360" w:lineRule="auto"/>
        <w:rPr>
          <w:rFonts w:ascii="宋体" w:hAnsi="宋体" w:eastAsia="宋体" w:cs="Times New Roman"/>
          <w:sz w:val="21"/>
          <w:szCs w:val="21"/>
        </w:rPr>
      </w:pPr>
      <w:r>
        <w:rPr>
          <w:rFonts w:hint="eastAsia" w:ascii="宋体" w:hAnsi="宋体" w:eastAsia="宋体" w:cs="Times New Roman"/>
          <w:sz w:val="21"/>
          <w:szCs w:val="21"/>
        </w:rPr>
        <w:t>（2）承包人不得以任何名义为发包人及其工作人员报销应由发包人单位或个人支付的任何费用。</w:t>
      </w:r>
    </w:p>
    <w:p w14:paraId="202D5EDD">
      <w:pPr>
        <w:spacing w:line="360" w:lineRule="auto"/>
        <w:rPr>
          <w:rFonts w:ascii="宋体" w:hAnsi="宋体" w:eastAsia="宋体" w:cs="Times New Roman"/>
          <w:sz w:val="21"/>
          <w:szCs w:val="21"/>
        </w:rPr>
      </w:pPr>
      <w:r>
        <w:rPr>
          <w:rFonts w:hint="eastAsia" w:ascii="宋体" w:hAnsi="宋体" w:eastAsia="宋体" w:cs="Times New Roman"/>
          <w:sz w:val="21"/>
          <w:szCs w:val="21"/>
        </w:rPr>
        <w:t>（3）承包人不得以任何理由安排发包人工作人员参加超标准宴请及娱乐活动。</w:t>
      </w:r>
    </w:p>
    <w:p w14:paraId="48DBA1E2">
      <w:pPr>
        <w:spacing w:line="360" w:lineRule="auto"/>
        <w:rPr>
          <w:rFonts w:ascii="宋体" w:hAnsi="宋体" w:eastAsia="宋体" w:cs="Times New Roman"/>
          <w:sz w:val="21"/>
          <w:szCs w:val="21"/>
        </w:rPr>
      </w:pPr>
      <w:r>
        <w:rPr>
          <w:rFonts w:hint="eastAsia" w:ascii="宋体" w:hAnsi="宋体" w:eastAsia="宋体" w:cs="Times New Roman"/>
          <w:sz w:val="21"/>
          <w:szCs w:val="21"/>
        </w:rPr>
        <w:t>（4）承包人不得为发包人单位和个人购置或提供通讯工具、交通工具和高档办公用品等。</w:t>
      </w:r>
    </w:p>
    <w:p w14:paraId="0C5D7BEB">
      <w:pPr>
        <w:spacing w:line="360" w:lineRule="auto"/>
        <w:rPr>
          <w:rFonts w:ascii="宋体" w:hAnsi="宋体" w:eastAsia="宋体" w:cs="Times New Roman"/>
          <w:sz w:val="21"/>
          <w:szCs w:val="21"/>
        </w:rPr>
      </w:pPr>
      <w:r>
        <w:rPr>
          <w:rFonts w:hint="eastAsia" w:ascii="宋体" w:hAnsi="宋体" w:eastAsia="宋体" w:cs="Times New Roman"/>
          <w:sz w:val="21"/>
          <w:szCs w:val="21"/>
        </w:rPr>
        <w:t>4. 违约责任</w:t>
      </w:r>
    </w:p>
    <w:p w14:paraId="13B991E1">
      <w:pPr>
        <w:spacing w:line="360" w:lineRule="auto"/>
        <w:rPr>
          <w:rFonts w:ascii="宋体" w:hAnsi="宋体" w:eastAsia="宋体" w:cs="Times New Roman"/>
          <w:sz w:val="21"/>
          <w:szCs w:val="21"/>
        </w:rPr>
      </w:pPr>
      <w:r>
        <w:rPr>
          <w:rFonts w:hint="eastAsia" w:ascii="宋体" w:hAnsi="宋体" w:eastAsia="宋体" w:cs="Times New Roman"/>
          <w:sz w:val="21"/>
          <w:szCs w:val="21"/>
        </w:rPr>
        <w:t>（1）发包人及其工作人员违反合同第1、2条，按管理权限，依据有关规定给予党纪、政纪或组织处理；涉嫌犯罪的，移交司法机关追究刑事责任；给承包人单位造成经济损失的，应予以赔偿。</w:t>
      </w:r>
    </w:p>
    <w:p w14:paraId="6EFCADC4">
      <w:pPr>
        <w:spacing w:line="360" w:lineRule="auto"/>
        <w:rPr>
          <w:rFonts w:ascii="宋体" w:hAnsi="宋体" w:eastAsia="宋体" w:cs="Times New Roman"/>
          <w:sz w:val="21"/>
          <w:szCs w:val="21"/>
        </w:rPr>
      </w:pPr>
      <w:r>
        <w:rPr>
          <w:rFonts w:hint="eastAsia" w:ascii="宋体" w:hAnsi="宋体" w:eastAsia="宋体" w:cs="Times New Roman"/>
          <w:sz w:val="21"/>
          <w:szCs w:val="21"/>
        </w:rPr>
        <w:t>（2）承包人及其工作人员违反合同第1、3条，按管理权限，依据有关规定给予党纪、政纪或组织处理；给发包人单位造成经济损失的，应予以赔偿。</w:t>
      </w:r>
    </w:p>
    <w:p w14:paraId="67170577">
      <w:pPr>
        <w:spacing w:line="360" w:lineRule="auto"/>
        <w:rPr>
          <w:rFonts w:ascii="宋体" w:hAnsi="宋体" w:eastAsia="宋体" w:cs="Times New Roman"/>
          <w:sz w:val="21"/>
          <w:szCs w:val="21"/>
        </w:rPr>
      </w:pPr>
      <w:r>
        <w:rPr>
          <w:rFonts w:hint="eastAsia" w:ascii="宋体" w:hAnsi="宋体" w:eastAsia="宋体" w:cs="Times New Roman"/>
          <w:sz w:val="21"/>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1EB65740">
      <w:pPr>
        <w:spacing w:line="360" w:lineRule="auto"/>
        <w:rPr>
          <w:rFonts w:ascii="宋体" w:hAnsi="宋体" w:eastAsia="宋体" w:cs="Times New Roman"/>
          <w:sz w:val="21"/>
          <w:szCs w:val="21"/>
        </w:rPr>
      </w:pPr>
      <w:r>
        <w:rPr>
          <w:rFonts w:hint="eastAsia" w:ascii="宋体" w:hAnsi="宋体" w:eastAsia="宋体" w:cs="Times New Roman"/>
          <w:sz w:val="21"/>
          <w:szCs w:val="21"/>
        </w:rPr>
        <w:t>6. 协议有效期为发承包双方签署之日起至该工程项目竣工验收后止。</w:t>
      </w:r>
    </w:p>
    <w:p w14:paraId="7B2B8851">
      <w:pPr>
        <w:spacing w:line="360" w:lineRule="auto"/>
        <w:rPr>
          <w:rFonts w:ascii="宋体" w:hAnsi="宋体" w:eastAsia="宋体" w:cs="Times New Roman"/>
          <w:sz w:val="21"/>
          <w:szCs w:val="21"/>
        </w:rPr>
      </w:pPr>
      <w:r>
        <w:rPr>
          <w:rFonts w:hint="eastAsia" w:ascii="宋体" w:hAnsi="宋体" w:eastAsia="宋体" w:cs="Times New Roman"/>
          <w:sz w:val="21"/>
          <w:szCs w:val="21"/>
        </w:rPr>
        <w:t>7.协议作为工程施工合同的附件，与工程施工合同具有同等的法律效力，经合同双方签署立即生效。</w:t>
      </w:r>
    </w:p>
    <w:p w14:paraId="227820B6">
      <w:pPr>
        <w:spacing w:line="360" w:lineRule="auto"/>
        <w:rPr>
          <w:rFonts w:ascii="宋体" w:hAnsi="宋体" w:eastAsia="宋体" w:cs="Times New Roman"/>
          <w:sz w:val="21"/>
          <w:szCs w:val="21"/>
        </w:rPr>
      </w:pPr>
      <w:r>
        <w:rPr>
          <w:rFonts w:hint="eastAsia" w:ascii="宋体" w:hAnsi="宋体" w:eastAsia="宋体" w:cs="Times New Roman"/>
          <w:sz w:val="21"/>
          <w:szCs w:val="21"/>
        </w:rPr>
        <w:t>（以下无正文）</w:t>
      </w:r>
    </w:p>
    <w:p w14:paraId="59D384F5">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385726C4">
      <w:pPr>
        <w:spacing w:before="100" w:beforeAutospacing="1" w:after="120"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79F6D06C">
      <w:pPr>
        <w:spacing w:before="100" w:beforeAutospacing="1" w:after="120"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37FA2641">
      <w:pPr>
        <w:spacing w:line="360" w:lineRule="auto"/>
        <w:rPr>
          <w:rFonts w:ascii="宋体" w:hAnsi="宋体" w:eastAsia="宋体" w:cs="Times New Roman"/>
          <w:sz w:val="21"/>
          <w:szCs w:val="21"/>
        </w:rPr>
      </w:pPr>
      <w:r>
        <w:rPr>
          <w:rFonts w:hint="eastAsia" w:ascii="宋体" w:hAnsi="宋体" w:eastAsia="宋体" w:cs="Times New Roman"/>
          <w:sz w:val="21"/>
          <w:szCs w:val="21"/>
        </w:rPr>
        <w:t>发 包 人 ：                         承 包 人 ：</w:t>
      </w:r>
    </w:p>
    <w:p w14:paraId="2F4E1EBF">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1212E8B2">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6124F90B">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法定代表人                          法定代表人                      </w:t>
      </w:r>
    </w:p>
    <w:p w14:paraId="46C76185">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51A54975">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798107C3">
      <w:pPr>
        <w:spacing w:line="360" w:lineRule="auto"/>
        <w:rPr>
          <w:rFonts w:ascii="宋体" w:hAnsi="宋体" w:eastAsia="宋体" w:cs="Times New Roman"/>
          <w:sz w:val="21"/>
          <w:szCs w:val="21"/>
        </w:rPr>
      </w:pPr>
      <w:r>
        <w:rPr>
          <w:rFonts w:hint="eastAsia" w:ascii="宋体" w:hAnsi="宋体" w:eastAsia="宋体" w:cs="Times New Roman"/>
          <w:sz w:val="21"/>
          <w:szCs w:val="21"/>
        </w:rPr>
        <w:t>或其授权的代理人：                  或授权的代理人：</w:t>
      </w:r>
    </w:p>
    <w:p w14:paraId="0533BF51">
      <w:pPr>
        <w:spacing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775C9EE4">
      <w:pPr>
        <w:spacing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335D5A1A">
      <w:pPr>
        <w:spacing w:line="440" w:lineRule="exact"/>
        <w:rPr>
          <w:rFonts w:ascii="宋体" w:hAnsi="宋体" w:eastAsia="宋体" w:cs="Times New Roman"/>
          <w:sz w:val="21"/>
          <w:szCs w:val="21"/>
        </w:rPr>
      </w:pPr>
      <w:r>
        <w:rPr>
          <w:rFonts w:hint="eastAsia" w:ascii="宋体" w:hAnsi="宋体" w:eastAsia="宋体" w:cs="Times New Roman"/>
          <w:sz w:val="21"/>
          <w:szCs w:val="21"/>
        </w:rPr>
        <w:t>附件11：</w:t>
      </w:r>
    </w:p>
    <w:p w14:paraId="5B1A2CD4">
      <w:pPr>
        <w:spacing w:line="440" w:lineRule="exact"/>
        <w:jc w:val="center"/>
        <w:rPr>
          <w:rFonts w:hint="eastAsia" w:ascii="宋体" w:hAnsi="宋体" w:eastAsia="宋体" w:cs="Times New Roman"/>
          <w:sz w:val="21"/>
          <w:szCs w:val="21"/>
        </w:rPr>
      </w:pPr>
    </w:p>
    <w:p w14:paraId="2F163821">
      <w:pPr>
        <w:spacing w:line="440" w:lineRule="exact"/>
        <w:jc w:val="center"/>
        <w:rPr>
          <w:rFonts w:hint="eastAsia" w:ascii="宋体" w:hAnsi="宋体" w:eastAsia="宋体" w:cs="Times New Roman"/>
          <w:sz w:val="21"/>
          <w:szCs w:val="21"/>
        </w:rPr>
      </w:pPr>
    </w:p>
    <w:p w14:paraId="1C7DC963">
      <w:pPr>
        <w:spacing w:line="440" w:lineRule="exact"/>
        <w:jc w:val="center"/>
        <w:rPr>
          <w:rFonts w:hint="eastAsia" w:ascii="宋体" w:hAnsi="宋体" w:eastAsia="宋体" w:cs="Times New Roman"/>
          <w:sz w:val="21"/>
          <w:szCs w:val="21"/>
        </w:rPr>
      </w:pPr>
    </w:p>
    <w:p w14:paraId="11EAE149">
      <w:pPr>
        <w:spacing w:line="440" w:lineRule="exact"/>
        <w:jc w:val="center"/>
        <w:rPr>
          <w:rFonts w:hint="eastAsia" w:ascii="宋体" w:hAnsi="宋体" w:eastAsia="宋体" w:cs="Times New Roman"/>
          <w:sz w:val="21"/>
          <w:szCs w:val="21"/>
        </w:rPr>
      </w:pPr>
    </w:p>
    <w:p w14:paraId="5301B346">
      <w:pPr>
        <w:spacing w:line="440" w:lineRule="exact"/>
        <w:jc w:val="center"/>
        <w:rPr>
          <w:rFonts w:hint="eastAsia" w:ascii="宋体" w:hAnsi="宋体" w:eastAsia="宋体" w:cs="Times New Roman"/>
          <w:sz w:val="21"/>
          <w:szCs w:val="21"/>
        </w:rPr>
      </w:pPr>
    </w:p>
    <w:p w14:paraId="2063643B">
      <w:pPr>
        <w:spacing w:line="440" w:lineRule="exact"/>
        <w:jc w:val="center"/>
        <w:rPr>
          <w:rFonts w:hint="eastAsia" w:ascii="宋体" w:hAnsi="宋体" w:eastAsia="宋体" w:cs="Times New Roman"/>
          <w:sz w:val="21"/>
          <w:szCs w:val="21"/>
        </w:rPr>
      </w:pPr>
    </w:p>
    <w:p w14:paraId="59754541">
      <w:pPr>
        <w:spacing w:line="440" w:lineRule="exact"/>
        <w:jc w:val="both"/>
        <w:rPr>
          <w:rFonts w:hint="eastAsia" w:ascii="宋体" w:hAnsi="宋体" w:eastAsia="宋体" w:cs="Times New Roman"/>
          <w:sz w:val="21"/>
          <w:szCs w:val="21"/>
        </w:rPr>
      </w:pPr>
    </w:p>
    <w:p w14:paraId="3103037E">
      <w:pPr>
        <w:spacing w:line="440" w:lineRule="exact"/>
        <w:jc w:val="center"/>
        <w:rPr>
          <w:rFonts w:ascii="宋体" w:hAnsi="宋体" w:eastAsia="宋体" w:cs="Times New Roman"/>
          <w:sz w:val="21"/>
          <w:szCs w:val="21"/>
        </w:rPr>
      </w:pPr>
      <w:r>
        <w:rPr>
          <w:rFonts w:hint="eastAsia" w:ascii="宋体" w:hAnsi="宋体" w:eastAsia="宋体" w:cs="Times New Roman"/>
          <w:sz w:val="21"/>
          <w:szCs w:val="21"/>
        </w:rPr>
        <w:t>11-1：材料暂估价表</w:t>
      </w:r>
    </w:p>
    <w:tbl>
      <w:tblPr>
        <w:tblStyle w:val="65"/>
        <w:tblW w:w="0" w:type="auto"/>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69E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tcPr>
          <w:p w14:paraId="78FC552C">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984" w:type="dxa"/>
            <w:tcBorders>
              <w:top w:val="single" w:color="auto" w:sz="12" w:space="0"/>
              <w:left w:val="single" w:color="auto" w:sz="6" w:space="0"/>
              <w:bottom w:val="double" w:color="auto" w:sz="2" w:space="0"/>
              <w:right w:val="single" w:color="auto" w:sz="6" w:space="0"/>
            </w:tcBorders>
          </w:tcPr>
          <w:p w14:paraId="6393AA8A">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名称</w:t>
            </w:r>
          </w:p>
        </w:tc>
        <w:tc>
          <w:tcPr>
            <w:tcW w:w="851" w:type="dxa"/>
            <w:tcBorders>
              <w:top w:val="single" w:color="auto" w:sz="12" w:space="0"/>
              <w:left w:val="single" w:color="auto" w:sz="6" w:space="0"/>
              <w:bottom w:val="double" w:color="auto" w:sz="2" w:space="0"/>
              <w:right w:val="single" w:color="auto" w:sz="6" w:space="0"/>
            </w:tcBorders>
          </w:tcPr>
          <w:p w14:paraId="4D35143A">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单位</w:t>
            </w:r>
          </w:p>
        </w:tc>
        <w:tc>
          <w:tcPr>
            <w:tcW w:w="774" w:type="dxa"/>
            <w:tcBorders>
              <w:top w:val="single" w:color="auto" w:sz="12" w:space="0"/>
              <w:left w:val="single" w:color="auto" w:sz="6" w:space="0"/>
              <w:bottom w:val="double" w:color="auto" w:sz="2" w:space="0"/>
              <w:right w:val="single" w:color="auto" w:sz="6" w:space="0"/>
            </w:tcBorders>
          </w:tcPr>
          <w:p w14:paraId="4B542A75">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352" w:type="dxa"/>
            <w:tcBorders>
              <w:top w:val="single" w:color="auto" w:sz="12" w:space="0"/>
              <w:left w:val="single" w:color="auto" w:sz="6" w:space="0"/>
              <w:bottom w:val="double" w:color="auto" w:sz="2" w:space="0"/>
              <w:right w:val="single" w:color="auto" w:sz="6" w:space="0"/>
            </w:tcBorders>
          </w:tcPr>
          <w:p w14:paraId="6A2140B5">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单价（元）</w:t>
            </w:r>
          </w:p>
        </w:tc>
        <w:tc>
          <w:tcPr>
            <w:tcW w:w="1418" w:type="dxa"/>
            <w:tcBorders>
              <w:top w:val="single" w:color="auto" w:sz="12" w:space="0"/>
              <w:left w:val="single" w:color="auto" w:sz="6" w:space="0"/>
              <w:bottom w:val="double" w:color="auto" w:sz="2" w:space="0"/>
              <w:right w:val="single" w:color="auto" w:sz="6" w:space="0"/>
            </w:tcBorders>
          </w:tcPr>
          <w:p w14:paraId="3D28FC7B">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合价（元）</w:t>
            </w:r>
          </w:p>
        </w:tc>
        <w:tc>
          <w:tcPr>
            <w:tcW w:w="1701" w:type="dxa"/>
            <w:tcBorders>
              <w:top w:val="single" w:color="auto" w:sz="12" w:space="0"/>
              <w:left w:val="single" w:color="auto" w:sz="6" w:space="0"/>
              <w:bottom w:val="double" w:color="auto" w:sz="2" w:space="0"/>
              <w:right w:val="single" w:color="auto" w:sz="12" w:space="0"/>
            </w:tcBorders>
          </w:tcPr>
          <w:p w14:paraId="09756143">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083E7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tcPr>
          <w:p w14:paraId="65DBF332">
            <w:pPr>
              <w:keepNext/>
              <w:spacing w:before="100" w:beforeAutospacing="1" w:line="440" w:lineRule="exact"/>
              <w:ind w:right="63"/>
              <w:jc w:val="center"/>
              <w:rPr>
                <w:rFonts w:ascii="宋体" w:hAnsi="宋体" w:eastAsia="宋体" w:cs="Times New Roman"/>
                <w:sz w:val="21"/>
                <w:szCs w:val="21"/>
              </w:rPr>
            </w:pPr>
          </w:p>
        </w:tc>
        <w:tc>
          <w:tcPr>
            <w:tcW w:w="1984" w:type="dxa"/>
            <w:tcBorders>
              <w:top w:val="double" w:color="auto" w:sz="2" w:space="0"/>
              <w:left w:val="single" w:color="auto" w:sz="6" w:space="0"/>
              <w:bottom w:val="single" w:color="auto" w:sz="6" w:space="0"/>
              <w:right w:val="single" w:color="auto" w:sz="6" w:space="0"/>
            </w:tcBorders>
          </w:tcPr>
          <w:p w14:paraId="57A82E52">
            <w:pPr>
              <w:keepNext/>
              <w:spacing w:before="100" w:beforeAutospacing="1" w:line="440" w:lineRule="exact"/>
              <w:ind w:right="63"/>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tcPr>
          <w:p w14:paraId="628D2FA9">
            <w:pPr>
              <w:keepNext/>
              <w:spacing w:before="100" w:beforeAutospacing="1" w:line="440" w:lineRule="exact"/>
              <w:ind w:right="63"/>
              <w:jc w:val="center"/>
              <w:rPr>
                <w:rFonts w:ascii="宋体" w:hAnsi="宋体" w:eastAsia="宋体" w:cs="Times New Roman"/>
                <w:sz w:val="21"/>
                <w:szCs w:val="21"/>
              </w:rPr>
            </w:pPr>
          </w:p>
        </w:tc>
        <w:tc>
          <w:tcPr>
            <w:tcW w:w="774" w:type="dxa"/>
            <w:tcBorders>
              <w:top w:val="double" w:color="auto" w:sz="2" w:space="0"/>
              <w:left w:val="single" w:color="auto" w:sz="6" w:space="0"/>
              <w:bottom w:val="single" w:color="auto" w:sz="6" w:space="0"/>
              <w:right w:val="single" w:color="auto" w:sz="6" w:space="0"/>
            </w:tcBorders>
          </w:tcPr>
          <w:p w14:paraId="4CAEB5E4">
            <w:pPr>
              <w:keepNext/>
              <w:spacing w:before="100" w:beforeAutospacing="1" w:line="440" w:lineRule="exact"/>
              <w:ind w:right="63"/>
              <w:jc w:val="center"/>
              <w:rPr>
                <w:rFonts w:ascii="宋体" w:hAnsi="宋体" w:eastAsia="宋体" w:cs="Times New Roman"/>
                <w:sz w:val="21"/>
                <w:szCs w:val="21"/>
              </w:rPr>
            </w:pPr>
          </w:p>
        </w:tc>
        <w:tc>
          <w:tcPr>
            <w:tcW w:w="1352" w:type="dxa"/>
            <w:tcBorders>
              <w:top w:val="double" w:color="auto" w:sz="2" w:space="0"/>
              <w:left w:val="single" w:color="auto" w:sz="6" w:space="0"/>
              <w:bottom w:val="single" w:color="auto" w:sz="6" w:space="0"/>
              <w:right w:val="single" w:color="auto" w:sz="6" w:space="0"/>
            </w:tcBorders>
          </w:tcPr>
          <w:p w14:paraId="57FC157C">
            <w:pPr>
              <w:keepNext/>
              <w:spacing w:before="100" w:beforeAutospacing="1" w:line="440" w:lineRule="exact"/>
              <w:ind w:right="63"/>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tcPr>
          <w:p w14:paraId="260F862A">
            <w:pPr>
              <w:keepNext/>
              <w:spacing w:before="100" w:beforeAutospacing="1" w:line="440" w:lineRule="exact"/>
              <w:ind w:right="63"/>
              <w:jc w:val="center"/>
              <w:rPr>
                <w:rFonts w:ascii="宋体" w:hAnsi="宋体" w:eastAsia="宋体" w:cs="Times New Roman"/>
                <w:sz w:val="21"/>
                <w:szCs w:val="21"/>
              </w:rPr>
            </w:pPr>
          </w:p>
        </w:tc>
        <w:tc>
          <w:tcPr>
            <w:tcW w:w="1701" w:type="dxa"/>
            <w:tcBorders>
              <w:top w:val="double" w:color="auto" w:sz="2" w:space="0"/>
              <w:left w:val="single" w:color="auto" w:sz="6" w:space="0"/>
              <w:bottom w:val="single" w:color="auto" w:sz="6" w:space="0"/>
              <w:right w:val="single" w:color="auto" w:sz="12" w:space="0"/>
            </w:tcBorders>
          </w:tcPr>
          <w:p w14:paraId="552340F0">
            <w:pPr>
              <w:keepNext/>
              <w:spacing w:before="100" w:beforeAutospacing="1" w:line="440" w:lineRule="exact"/>
              <w:ind w:right="63"/>
              <w:jc w:val="center"/>
              <w:rPr>
                <w:rFonts w:ascii="宋体" w:hAnsi="宋体" w:eastAsia="宋体" w:cs="Times New Roman"/>
                <w:sz w:val="21"/>
                <w:szCs w:val="21"/>
              </w:rPr>
            </w:pPr>
          </w:p>
        </w:tc>
      </w:tr>
      <w:tr w14:paraId="0C056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7EDEA1A2">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18673C40">
            <w:pPr>
              <w:keepNext/>
              <w:spacing w:before="100" w:beforeAutospacing="1" w:line="440" w:lineRule="exact"/>
              <w:ind w:right="63"/>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tcPr>
          <w:p w14:paraId="465665FC">
            <w:pPr>
              <w:keepNext/>
              <w:spacing w:before="100" w:beforeAutospacing="1" w:line="440" w:lineRule="exact"/>
              <w:ind w:right="63"/>
              <w:jc w:val="center"/>
              <w:rPr>
                <w:rFonts w:ascii="宋体" w:hAnsi="宋体" w:eastAsia="宋体" w:cs="Times New Roman"/>
                <w:sz w:val="21"/>
                <w:szCs w:val="21"/>
              </w:rPr>
            </w:pPr>
          </w:p>
        </w:tc>
        <w:tc>
          <w:tcPr>
            <w:tcW w:w="774" w:type="dxa"/>
            <w:tcBorders>
              <w:top w:val="nil"/>
              <w:left w:val="single" w:color="auto" w:sz="6" w:space="0"/>
              <w:bottom w:val="single" w:color="auto" w:sz="6" w:space="0"/>
              <w:right w:val="single" w:color="auto" w:sz="6" w:space="0"/>
            </w:tcBorders>
          </w:tcPr>
          <w:p w14:paraId="1DA7B00F">
            <w:pPr>
              <w:keepNext/>
              <w:spacing w:before="100" w:beforeAutospacing="1" w:line="440" w:lineRule="exact"/>
              <w:ind w:right="63"/>
              <w:jc w:val="center"/>
              <w:rPr>
                <w:rFonts w:ascii="宋体" w:hAnsi="宋体" w:eastAsia="宋体" w:cs="Times New Roman"/>
                <w:sz w:val="21"/>
                <w:szCs w:val="21"/>
              </w:rPr>
            </w:pPr>
          </w:p>
        </w:tc>
        <w:tc>
          <w:tcPr>
            <w:tcW w:w="1352" w:type="dxa"/>
            <w:tcBorders>
              <w:top w:val="nil"/>
              <w:left w:val="single" w:color="auto" w:sz="6" w:space="0"/>
              <w:bottom w:val="single" w:color="auto" w:sz="6" w:space="0"/>
              <w:right w:val="single" w:color="auto" w:sz="6" w:space="0"/>
            </w:tcBorders>
          </w:tcPr>
          <w:p w14:paraId="2329B0AF">
            <w:pPr>
              <w:keepNext/>
              <w:spacing w:before="100" w:beforeAutospacing="1" w:line="440" w:lineRule="exact"/>
              <w:ind w:right="63"/>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tcPr>
          <w:p w14:paraId="7A98C6DD">
            <w:pPr>
              <w:keepNext/>
              <w:spacing w:before="100" w:beforeAutospacing="1" w:line="440" w:lineRule="exact"/>
              <w:ind w:right="63"/>
              <w:jc w:val="center"/>
              <w:rPr>
                <w:rFonts w:ascii="宋体" w:hAnsi="宋体" w:eastAsia="宋体" w:cs="Times New Roman"/>
                <w:sz w:val="21"/>
                <w:szCs w:val="21"/>
              </w:rPr>
            </w:pPr>
          </w:p>
        </w:tc>
        <w:tc>
          <w:tcPr>
            <w:tcW w:w="1701" w:type="dxa"/>
            <w:tcBorders>
              <w:top w:val="nil"/>
              <w:left w:val="single" w:color="auto" w:sz="6" w:space="0"/>
              <w:bottom w:val="single" w:color="auto" w:sz="6" w:space="0"/>
              <w:right w:val="single" w:color="auto" w:sz="12" w:space="0"/>
            </w:tcBorders>
          </w:tcPr>
          <w:p w14:paraId="7B0AB627">
            <w:pPr>
              <w:keepNext/>
              <w:spacing w:before="100" w:beforeAutospacing="1" w:line="440" w:lineRule="exact"/>
              <w:ind w:right="63"/>
              <w:jc w:val="center"/>
              <w:rPr>
                <w:rFonts w:ascii="宋体" w:hAnsi="宋体" w:eastAsia="宋体" w:cs="Times New Roman"/>
                <w:sz w:val="21"/>
                <w:szCs w:val="21"/>
              </w:rPr>
            </w:pPr>
          </w:p>
        </w:tc>
      </w:tr>
      <w:tr w14:paraId="247AF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CD1E1E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5489EF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002DE0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173CB1A">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AD2B04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3F9B82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FD994ED">
            <w:pPr>
              <w:keepNext/>
              <w:spacing w:before="100" w:beforeAutospacing="1" w:line="440" w:lineRule="exact"/>
              <w:ind w:right="63"/>
              <w:jc w:val="center"/>
              <w:rPr>
                <w:rFonts w:ascii="宋体" w:hAnsi="宋体" w:eastAsia="宋体" w:cs="Times New Roman"/>
                <w:sz w:val="21"/>
                <w:szCs w:val="21"/>
              </w:rPr>
            </w:pPr>
          </w:p>
        </w:tc>
      </w:tr>
      <w:tr w14:paraId="5FFC1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58EEB7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8BCCEBF">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061801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32F8FB7">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6DC1C0D">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536307B">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6D0A7D6">
            <w:pPr>
              <w:keepNext/>
              <w:spacing w:before="100" w:beforeAutospacing="1" w:line="440" w:lineRule="exact"/>
              <w:ind w:right="63"/>
              <w:jc w:val="center"/>
              <w:rPr>
                <w:rFonts w:ascii="宋体" w:hAnsi="宋体" w:eastAsia="宋体" w:cs="Times New Roman"/>
                <w:sz w:val="21"/>
                <w:szCs w:val="21"/>
              </w:rPr>
            </w:pPr>
          </w:p>
        </w:tc>
      </w:tr>
      <w:tr w14:paraId="28578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CED87C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E14E5D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EB3FB6A">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89B108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63D6CE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63E8AB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AD19F41">
            <w:pPr>
              <w:keepNext/>
              <w:spacing w:before="100" w:beforeAutospacing="1" w:line="440" w:lineRule="exact"/>
              <w:ind w:right="63"/>
              <w:jc w:val="center"/>
              <w:rPr>
                <w:rFonts w:ascii="宋体" w:hAnsi="宋体" w:eastAsia="宋体" w:cs="Times New Roman"/>
                <w:sz w:val="21"/>
                <w:szCs w:val="21"/>
              </w:rPr>
            </w:pPr>
          </w:p>
        </w:tc>
      </w:tr>
      <w:tr w14:paraId="67AED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9D5175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547F97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B7986E8">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A00F50B">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3C4C71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0EA525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8A854CA">
            <w:pPr>
              <w:keepNext/>
              <w:spacing w:before="100" w:beforeAutospacing="1" w:line="440" w:lineRule="exact"/>
              <w:ind w:right="63"/>
              <w:jc w:val="center"/>
              <w:rPr>
                <w:rFonts w:ascii="宋体" w:hAnsi="宋体" w:eastAsia="宋体" w:cs="Times New Roman"/>
                <w:sz w:val="21"/>
                <w:szCs w:val="21"/>
              </w:rPr>
            </w:pPr>
          </w:p>
        </w:tc>
      </w:tr>
      <w:tr w14:paraId="1600C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8FB92E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43E48B4">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792AD6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8A164B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EB38EB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CD176D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A73747C">
            <w:pPr>
              <w:keepNext/>
              <w:spacing w:before="100" w:beforeAutospacing="1" w:line="440" w:lineRule="exact"/>
              <w:ind w:right="63"/>
              <w:jc w:val="center"/>
              <w:rPr>
                <w:rFonts w:ascii="宋体" w:hAnsi="宋体" w:eastAsia="宋体" w:cs="Times New Roman"/>
                <w:sz w:val="21"/>
                <w:szCs w:val="21"/>
              </w:rPr>
            </w:pPr>
          </w:p>
        </w:tc>
      </w:tr>
      <w:tr w14:paraId="1B0DE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A7661C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895231C">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04D301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79FF2E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66349B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E75BC4C">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09877AF">
            <w:pPr>
              <w:keepNext/>
              <w:spacing w:before="100" w:beforeAutospacing="1" w:line="440" w:lineRule="exact"/>
              <w:ind w:right="63"/>
              <w:jc w:val="center"/>
              <w:rPr>
                <w:rFonts w:ascii="宋体" w:hAnsi="宋体" w:eastAsia="宋体" w:cs="Times New Roman"/>
                <w:sz w:val="21"/>
                <w:szCs w:val="21"/>
              </w:rPr>
            </w:pPr>
          </w:p>
        </w:tc>
      </w:tr>
      <w:tr w14:paraId="60398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430CBF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2BDB79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15846C1">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8F8408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659FFE8">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BE33CA2">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EC34676">
            <w:pPr>
              <w:keepNext/>
              <w:spacing w:before="100" w:beforeAutospacing="1" w:line="440" w:lineRule="exact"/>
              <w:ind w:right="63"/>
              <w:jc w:val="center"/>
              <w:rPr>
                <w:rFonts w:ascii="宋体" w:hAnsi="宋体" w:eastAsia="宋体" w:cs="Times New Roman"/>
                <w:sz w:val="21"/>
                <w:szCs w:val="21"/>
              </w:rPr>
            </w:pPr>
          </w:p>
        </w:tc>
      </w:tr>
      <w:tr w14:paraId="26977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193BC6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86CD146">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785CE7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61EF2B1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D80362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7431DB4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AD4D043">
            <w:pPr>
              <w:keepNext/>
              <w:spacing w:before="100" w:beforeAutospacing="1" w:line="440" w:lineRule="exact"/>
              <w:ind w:right="63"/>
              <w:jc w:val="center"/>
              <w:rPr>
                <w:rFonts w:ascii="宋体" w:hAnsi="宋体" w:eastAsia="宋体" w:cs="Times New Roman"/>
                <w:sz w:val="21"/>
                <w:szCs w:val="21"/>
              </w:rPr>
            </w:pPr>
          </w:p>
        </w:tc>
      </w:tr>
      <w:tr w14:paraId="31412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F1BDDF3">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0E0D97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F899AC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E05619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F3A0210">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EA88A71">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50D6F0F">
            <w:pPr>
              <w:keepNext/>
              <w:spacing w:before="100" w:beforeAutospacing="1" w:line="440" w:lineRule="exact"/>
              <w:ind w:right="63"/>
              <w:jc w:val="center"/>
              <w:rPr>
                <w:rFonts w:ascii="宋体" w:hAnsi="宋体" w:eastAsia="宋体" w:cs="Times New Roman"/>
                <w:sz w:val="21"/>
                <w:szCs w:val="21"/>
              </w:rPr>
            </w:pPr>
          </w:p>
        </w:tc>
      </w:tr>
      <w:tr w14:paraId="45FC6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A79CE7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774C79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268BE3E">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13275BD">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8401B99">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584DA50">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4769983">
            <w:pPr>
              <w:keepNext/>
              <w:spacing w:before="100" w:beforeAutospacing="1" w:line="440" w:lineRule="exact"/>
              <w:ind w:right="63"/>
              <w:jc w:val="center"/>
              <w:rPr>
                <w:rFonts w:ascii="宋体" w:hAnsi="宋体" w:eastAsia="宋体" w:cs="Times New Roman"/>
                <w:sz w:val="21"/>
                <w:szCs w:val="21"/>
              </w:rPr>
            </w:pPr>
          </w:p>
        </w:tc>
      </w:tr>
      <w:tr w14:paraId="4A192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75CA4CD">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9AF51F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BD9E10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9A21CF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F7A7FE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36EE7FD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59782AD">
            <w:pPr>
              <w:keepNext/>
              <w:spacing w:before="100" w:beforeAutospacing="1" w:line="440" w:lineRule="exact"/>
              <w:ind w:right="63"/>
              <w:jc w:val="center"/>
              <w:rPr>
                <w:rFonts w:ascii="宋体" w:hAnsi="宋体" w:eastAsia="宋体" w:cs="Times New Roman"/>
                <w:sz w:val="21"/>
                <w:szCs w:val="21"/>
              </w:rPr>
            </w:pPr>
          </w:p>
        </w:tc>
      </w:tr>
      <w:tr w14:paraId="0654A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856D49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1E2212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C9812D8">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3B8823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ECE05F3">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10D80A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BD412E6">
            <w:pPr>
              <w:keepNext/>
              <w:spacing w:before="100" w:beforeAutospacing="1" w:line="440" w:lineRule="exact"/>
              <w:ind w:right="63"/>
              <w:jc w:val="center"/>
              <w:rPr>
                <w:rFonts w:ascii="宋体" w:hAnsi="宋体" w:eastAsia="宋体" w:cs="Times New Roman"/>
                <w:sz w:val="21"/>
                <w:szCs w:val="21"/>
              </w:rPr>
            </w:pPr>
          </w:p>
        </w:tc>
      </w:tr>
      <w:tr w14:paraId="034B9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730E87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745FACD">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CD13329">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F2EB6E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64EB443">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38B5B8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8AF4590">
            <w:pPr>
              <w:keepNext/>
              <w:spacing w:before="100" w:beforeAutospacing="1" w:line="440" w:lineRule="exact"/>
              <w:ind w:right="63"/>
              <w:jc w:val="center"/>
              <w:rPr>
                <w:rFonts w:ascii="宋体" w:hAnsi="宋体" w:eastAsia="宋体" w:cs="Times New Roman"/>
                <w:sz w:val="21"/>
                <w:szCs w:val="21"/>
              </w:rPr>
            </w:pPr>
          </w:p>
        </w:tc>
      </w:tr>
      <w:tr w14:paraId="3D9ED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48E374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268502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76191E3">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6C073E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A70183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CEC4D4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81DD3B4">
            <w:pPr>
              <w:keepNext/>
              <w:spacing w:before="100" w:beforeAutospacing="1" w:line="440" w:lineRule="exact"/>
              <w:ind w:right="63"/>
              <w:jc w:val="center"/>
              <w:rPr>
                <w:rFonts w:ascii="宋体" w:hAnsi="宋体" w:eastAsia="宋体" w:cs="Times New Roman"/>
                <w:sz w:val="21"/>
                <w:szCs w:val="21"/>
              </w:rPr>
            </w:pPr>
          </w:p>
        </w:tc>
      </w:tr>
      <w:tr w14:paraId="20E9D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0BC2BF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47E9DDC">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D5563A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B2811BD">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4645A4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AF2602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B15BB3E">
            <w:pPr>
              <w:keepNext/>
              <w:spacing w:before="100" w:beforeAutospacing="1" w:line="440" w:lineRule="exact"/>
              <w:ind w:right="63"/>
              <w:jc w:val="center"/>
              <w:rPr>
                <w:rFonts w:ascii="宋体" w:hAnsi="宋体" w:eastAsia="宋体" w:cs="Times New Roman"/>
                <w:sz w:val="21"/>
                <w:szCs w:val="21"/>
              </w:rPr>
            </w:pPr>
          </w:p>
        </w:tc>
      </w:tr>
      <w:tr w14:paraId="20ECC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AEA3FB0">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A4CAF7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BE1777C">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6EB6141">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05C7007">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6A57771">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B2BB88C">
            <w:pPr>
              <w:keepNext/>
              <w:spacing w:before="100" w:beforeAutospacing="1" w:line="440" w:lineRule="exact"/>
              <w:ind w:right="63"/>
              <w:jc w:val="center"/>
              <w:rPr>
                <w:rFonts w:ascii="宋体" w:hAnsi="宋体" w:eastAsia="宋体" w:cs="Times New Roman"/>
                <w:sz w:val="21"/>
                <w:szCs w:val="21"/>
              </w:rPr>
            </w:pPr>
          </w:p>
        </w:tc>
      </w:tr>
      <w:tr w14:paraId="03D8F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2F76580">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84B8EE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6DEBAABE">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AACC3D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B442F9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E1F3893">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71AE527">
            <w:pPr>
              <w:keepNext/>
              <w:spacing w:before="100" w:beforeAutospacing="1" w:line="440" w:lineRule="exact"/>
              <w:ind w:right="63"/>
              <w:jc w:val="center"/>
              <w:rPr>
                <w:rFonts w:ascii="宋体" w:hAnsi="宋体" w:eastAsia="宋体" w:cs="Times New Roman"/>
                <w:sz w:val="21"/>
                <w:szCs w:val="21"/>
              </w:rPr>
            </w:pPr>
          </w:p>
        </w:tc>
      </w:tr>
      <w:tr w14:paraId="3124C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CE783D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21DFD7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1C0EA3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7E1BE7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3E239FC">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4C9519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8DCF21C">
            <w:pPr>
              <w:keepNext/>
              <w:spacing w:before="100" w:beforeAutospacing="1" w:line="440" w:lineRule="exact"/>
              <w:ind w:right="63"/>
              <w:jc w:val="center"/>
              <w:rPr>
                <w:rFonts w:ascii="宋体" w:hAnsi="宋体" w:eastAsia="宋体" w:cs="Times New Roman"/>
                <w:sz w:val="21"/>
                <w:szCs w:val="21"/>
              </w:rPr>
            </w:pPr>
          </w:p>
        </w:tc>
      </w:tr>
      <w:tr w14:paraId="55728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98449ED">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3FD18F4">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84A2D1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2451D53">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E93D87C">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7BEF2F9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2903BAE">
            <w:pPr>
              <w:keepNext/>
              <w:spacing w:before="100" w:beforeAutospacing="1" w:line="440" w:lineRule="exact"/>
              <w:ind w:right="63"/>
              <w:jc w:val="center"/>
              <w:rPr>
                <w:rFonts w:ascii="宋体" w:hAnsi="宋体" w:eastAsia="宋体" w:cs="Times New Roman"/>
                <w:sz w:val="21"/>
                <w:szCs w:val="21"/>
              </w:rPr>
            </w:pPr>
          </w:p>
        </w:tc>
      </w:tr>
      <w:tr w14:paraId="506C9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CA3F54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6551769">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EE38AC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65EA9C1">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DB1007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806DFC0">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B2BC09D">
            <w:pPr>
              <w:keepNext/>
              <w:spacing w:before="100" w:beforeAutospacing="1" w:line="440" w:lineRule="exact"/>
              <w:ind w:right="63"/>
              <w:jc w:val="center"/>
              <w:rPr>
                <w:rFonts w:ascii="宋体" w:hAnsi="宋体" w:eastAsia="宋体" w:cs="Times New Roman"/>
                <w:sz w:val="21"/>
                <w:szCs w:val="21"/>
              </w:rPr>
            </w:pPr>
          </w:p>
        </w:tc>
      </w:tr>
      <w:tr w14:paraId="09817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B26375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62FD266">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9181169">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CF2A06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209888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8B872C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0E4BE19">
            <w:pPr>
              <w:keepNext/>
              <w:spacing w:before="100" w:beforeAutospacing="1" w:line="440" w:lineRule="exact"/>
              <w:ind w:right="63"/>
              <w:jc w:val="center"/>
              <w:rPr>
                <w:rFonts w:ascii="宋体" w:hAnsi="宋体" w:eastAsia="宋体" w:cs="Times New Roman"/>
                <w:sz w:val="21"/>
                <w:szCs w:val="21"/>
              </w:rPr>
            </w:pPr>
          </w:p>
        </w:tc>
      </w:tr>
      <w:tr w14:paraId="016FA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BAAD85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F583EB6">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869732F">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2B5D28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450C86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FB4E092">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942B51B">
            <w:pPr>
              <w:keepNext/>
              <w:spacing w:before="100" w:beforeAutospacing="1" w:line="440" w:lineRule="exact"/>
              <w:ind w:right="63"/>
              <w:jc w:val="center"/>
              <w:rPr>
                <w:rFonts w:ascii="宋体" w:hAnsi="宋体" w:eastAsia="宋体" w:cs="Times New Roman"/>
                <w:sz w:val="21"/>
                <w:szCs w:val="21"/>
              </w:rPr>
            </w:pPr>
          </w:p>
        </w:tc>
      </w:tr>
      <w:tr w14:paraId="1344A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5F641901">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12" w:space="0"/>
              <w:right w:val="single" w:color="auto" w:sz="6" w:space="0"/>
            </w:tcBorders>
          </w:tcPr>
          <w:p w14:paraId="40D61F28">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tcPr>
          <w:p w14:paraId="4B7E46B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12" w:space="0"/>
              <w:right w:val="single" w:color="auto" w:sz="6" w:space="0"/>
            </w:tcBorders>
          </w:tcPr>
          <w:p w14:paraId="044E578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12" w:space="0"/>
              <w:right w:val="single" w:color="auto" w:sz="6" w:space="0"/>
            </w:tcBorders>
          </w:tcPr>
          <w:p w14:paraId="7718BBB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tcPr>
          <w:p w14:paraId="68B8945E">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12" w:space="0"/>
              <w:right w:val="single" w:color="auto" w:sz="12" w:space="0"/>
            </w:tcBorders>
          </w:tcPr>
          <w:p w14:paraId="28B6E348">
            <w:pPr>
              <w:keepNext/>
              <w:spacing w:before="100" w:beforeAutospacing="1" w:line="440" w:lineRule="exact"/>
              <w:ind w:right="63"/>
              <w:jc w:val="center"/>
              <w:rPr>
                <w:rFonts w:ascii="宋体" w:hAnsi="宋体" w:eastAsia="宋体" w:cs="Times New Roman"/>
                <w:sz w:val="21"/>
                <w:szCs w:val="21"/>
              </w:rPr>
            </w:pPr>
          </w:p>
        </w:tc>
      </w:tr>
    </w:tbl>
    <w:p w14:paraId="5108B238">
      <w:pPr>
        <w:rPr>
          <w:rFonts w:ascii="宋体" w:hAnsi="宋体" w:eastAsia="宋体" w:cs="Times New Roman"/>
          <w:sz w:val="21"/>
          <w:szCs w:val="21"/>
        </w:rPr>
      </w:pPr>
      <w:r>
        <w:rPr>
          <w:rFonts w:hint="eastAsia" w:ascii="宋体" w:hAnsi="宋体" w:eastAsia="宋体" w:cs="Times New Roman"/>
          <w:sz w:val="21"/>
          <w:szCs w:val="21"/>
        </w:rPr>
        <w:br w:type="page"/>
      </w:r>
    </w:p>
    <w:p w14:paraId="524E6488">
      <w:pPr>
        <w:spacing w:before="100" w:beforeAutospacing="1" w:after="120"/>
        <w:jc w:val="center"/>
        <w:rPr>
          <w:rFonts w:ascii="宋体" w:hAnsi="宋体" w:eastAsia="宋体" w:cs="Times New Roman"/>
          <w:sz w:val="21"/>
          <w:szCs w:val="21"/>
        </w:rPr>
      </w:pPr>
      <w:r>
        <w:rPr>
          <w:rFonts w:hint="eastAsia" w:ascii="宋体" w:hAnsi="宋体" w:eastAsia="宋体" w:cs="Times New Roman"/>
          <w:sz w:val="21"/>
          <w:szCs w:val="21"/>
        </w:rPr>
        <w:t>11-2：工程设备暂估价表</w:t>
      </w:r>
    </w:p>
    <w:tbl>
      <w:tblPr>
        <w:tblStyle w:val="65"/>
        <w:tblW w:w="0" w:type="auto"/>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CF67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tcPr>
          <w:p w14:paraId="7596000B">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984" w:type="dxa"/>
            <w:tcBorders>
              <w:top w:val="single" w:color="auto" w:sz="12" w:space="0"/>
              <w:left w:val="single" w:color="auto" w:sz="6" w:space="0"/>
              <w:bottom w:val="double" w:color="auto" w:sz="2" w:space="0"/>
              <w:right w:val="single" w:color="auto" w:sz="6" w:space="0"/>
            </w:tcBorders>
          </w:tcPr>
          <w:p w14:paraId="1FDDA39B">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名称</w:t>
            </w:r>
          </w:p>
        </w:tc>
        <w:tc>
          <w:tcPr>
            <w:tcW w:w="851" w:type="dxa"/>
            <w:tcBorders>
              <w:top w:val="single" w:color="auto" w:sz="12" w:space="0"/>
              <w:left w:val="single" w:color="auto" w:sz="6" w:space="0"/>
              <w:bottom w:val="double" w:color="auto" w:sz="2" w:space="0"/>
              <w:right w:val="single" w:color="auto" w:sz="6" w:space="0"/>
            </w:tcBorders>
          </w:tcPr>
          <w:p w14:paraId="5A53DFDE">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单位</w:t>
            </w:r>
          </w:p>
        </w:tc>
        <w:tc>
          <w:tcPr>
            <w:tcW w:w="774" w:type="dxa"/>
            <w:tcBorders>
              <w:top w:val="single" w:color="auto" w:sz="12" w:space="0"/>
              <w:left w:val="single" w:color="auto" w:sz="6" w:space="0"/>
              <w:bottom w:val="double" w:color="auto" w:sz="2" w:space="0"/>
              <w:right w:val="single" w:color="auto" w:sz="6" w:space="0"/>
            </w:tcBorders>
          </w:tcPr>
          <w:p w14:paraId="507CEBC8">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352" w:type="dxa"/>
            <w:tcBorders>
              <w:top w:val="single" w:color="auto" w:sz="12" w:space="0"/>
              <w:left w:val="single" w:color="auto" w:sz="6" w:space="0"/>
              <w:bottom w:val="double" w:color="auto" w:sz="2" w:space="0"/>
              <w:right w:val="single" w:color="auto" w:sz="6" w:space="0"/>
            </w:tcBorders>
          </w:tcPr>
          <w:p w14:paraId="0E38DC12">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单价（元）</w:t>
            </w:r>
          </w:p>
        </w:tc>
        <w:tc>
          <w:tcPr>
            <w:tcW w:w="1418" w:type="dxa"/>
            <w:tcBorders>
              <w:top w:val="single" w:color="auto" w:sz="12" w:space="0"/>
              <w:left w:val="single" w:color="auto" w:sz="6" w:space="0"/>
              <w:bottom w:val="double" w:color="auto" w:sz="2" w:space="0"/>
              <w:right w:val="single" w:color="auto" w:sz="6" w:space="0"/>
            </w:tcBorders>
          </w:tcPr>
          <w:p w14:paraId="78133B3A">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合价（元）</w:t>
            </w:r>
          </w:p>
        </w:tc>
        <w:tc>
          <w:tcPr>
            <w:tcW w:w="1701" w:type="dxa"/>
            <w:tcBorders>
              <w:top w:val="single" w:color="auto" w:sz="12" w:space="0"/>
              <w:left w:val="single" w:color="auto" w:sz="6" w:space="0"/>
              <w:bottom w:val="double" w:color="auto" w:sz="2" w:space="0"/>
              <w:right w:val="single" w:color="auto" w:sz="12" w:space="0"/>
            </w:tcBorders>
          </w:tcPr>
          <w:p w14:paraId="39D6F7A5">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66B8B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tcPr>
          <w:p w14:paraId="03A05902">
            <w:pPr>
              <w:keepNext/>
              <w:spacing w:before="100" w:beforeAutospacing="1" w:line="440" w:lineRule="exact"/>
              <w:ind w:right="63"/>
              <w:jc w:val="center"/>
              <w:rPr>
                <w:rFonts w:ascii="宋体" w:hAnsi="宋体" w:eastAsia="宋体" w:cs="Times New Roman"/>
                <w:sz w:val="21"/>
                <w:szCs w:val="21"/>
              </w:rPr>
            </w:pPr>
          </w:p>
        </w:tc>
        <w:tc>
          <w:tcPr>
            <w:tcW w:w="1984" w:type="dxa"/>
            <w:tcBorders>
              <w:top w:val="double" w:color="auto" w:sz="2" w:space="0"/>
              <w:left w:val="single" w:color="auto" w:sz="6" w:space="0"/>
              <w:bottom w:val="single" w:color="auto" w:sz="6" w:space="0"/>
              <w:right w:val="single" w:color="auto" w:sz="6" w:space="0"/>
            </w:tcBorders>
          </w:tcPr>
          <w:p w14:paraId="4643CE71">
            <w:pPr>
              <w:keepNext/>
              <w:spacing w:before="100" w:beforeAutospacing="1" w:line="440" w:lineRule="exact"/>
              <w:ind w:right="63"/>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tcPr>
          <w:p w14:paraId="7C27E315">
            <w:pPr>
              <w:keepNext/>
              <w:spacing w:before="100" w:beforeAutospacing="1" w:line="440" w:lineRule="exact"/>
              <w:ind w:right="63"/>
              <w:jc w:val="center"/>
              <w:rPr>
                <w:rFonts w:ascii="宋体" w:hAnsi="宋体" w:eastAsia="宋体" w:cs="Times New Roman"/>
                <w:sz w:val="21"/>
                <w:szCs w:val="21"/>
              </w:rPr>
            </w:pPr>
          </w:p>
        </w:tc>
        <w:tc>
          <w:tcPr>
            <w:tcW w:w="774" w:type="dxa"/>
            <w:tcBorders>
              <w:top w:val="double" w:color="auto" w:sz="2" w:space="0"/>
              <w:left w:val="single" w:color="auto" w:sz="6" w:space="0"/>
              <w:bottom w:val="single" w:color="auto" w:sz="6" w:space="0"/>
              <w:right w:val="single" w:color="auto" w:sz="6" w:space="0"/>
            </w:tcBorders>
          </w:tcPr>
          <w:p w14:paraId="26865E27">
            <w:pPr>
              <w:keepNext/>
              <w:spacing w:before="100" w:beforeAutospacing="1" w:line="440" w:lineRule="exact"/>
              <w:ind w:right="63"/>
              <w:jc w:val="center"/>
              <w:rPr>
                <w:rFonts w:ascii="宋体" w:hAnsi="宋体" w:eastAsia="宋体" w:cs="Times New Roman"/>
                <w:sz w:val="21"/>
                <w:szCs w:val="21"/>
              </w:rPr>
            </w:pPr>
          </w:p>
        </w:tc>
        <w:tc>
          <w:tcPr>
            <w:tcW w:w="1352" w:type="dxa"/>
            <w:tcBorders>
              <w:top w:val="double" w:color="auto" w:sz="2" w:space="0"/>
              <w:left w:val="single" w:color="auto" w:sz="6" w:space="0"/>
              <w:bottom w:val="single" w:color="auto" w:sz="6" w:space="0"/>
              <w:right w:val="single" w:color="auto" w:sz="6" w:space="0"/>
            </w:tcBorders>
          </w:tcPr>
          <w:p w14:paraId="4AE1C083">
            <w:pPr>
              <w:keepNext/>
              <w:spacing w:before="100" w:beforeAutospacing="1" w:line="440" w:lineRule="exact"/>
              <w:ind w:right="63"/>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tcPr>
          <w:p w14:paraId="0FAC8DE1">
            <w:pPr>
              <w:keepNext/>
              <w:spacing w:before="100" w:beforeAutospacing="1" w:line="440" w:lineRule="exact"/>
              <w:ind w:right="63"/>
              <w:jc w:val="center"/>
              <w:rPr>
                <w:rFonts w:ascii="宋体" w:hAnsi="宋体" w:eastAsia="宋体" w:cs="Times New Roman"/>
                <w:sz w:val="21"/>
                <w:szCs w:val="21"/>
              </w:rPr>
            </w:pPr>
          </w:p>
        </w:tc>
        <w:tc>
          <w:tcPr>
            <w:tcW w:w="1701" w:type="dxa"/>
            <w:tcBorders>
              <w:top w:val="double" w:color="auto" w:sz="2" w:space="0"/>
              <w:left w:val="single" w:color="auto" w:sz="6" w:space="0"/>
              <w:bottom w:val="single" w:color="auto" w:sz="6" w:space="0"/>
              <w:right w:val="single" w:color="auto" w:sz="12" w:space="0"/>
            </w:tcBorders>
          </w:tcPr>
          <w:p w14:paraId="0E1C5A9E">
            <w:pPr>
              <w:keepNext/>
              <w:spacing w:before="100" w:beforeAutospacing="1" w:line="440" w:lineRule="exact"/>
              <w:ind w:right="63"/>
              <w:jc w:val="center"/>
              <w:rPr>
                <w:rFonts w:ascii="宋体" w:hAnsi="宋体" w:eastAsia="宋体" w:cs="Times New Roman"/>
                <w:sz w:val="21"/>
                <w:szCs w:val="21"/>
              </w:rPr>
            </w:pPr>
          </w:p>
        </w:tc>
      </w:tr>
      <w:tr w14:paraId="73EBF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4A42DB67">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24444F1A">
            <w:pPr>
              <w:keepNext/>
              <w:spacing w:before="100" w:beforeAutospacing="1" w:line="440" w:lineRule="exact"/>
              <w:ind w:right="63"/>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tcPr>
          <w:p w14:paraId="7FD11BA7">
            <w:pPr>
              <w:keepNext/>
              <w:spacing w:before="100" w:beforeAutospacing="1" w:line="440" w:lineRule="exact"/>
              <w:ind w:right="63"/>
              <w:jc w:val="center"/>
              <w:rPr>
                <w:rFonts w:ascii="宋体" w:hAnsi="宋体" w:eastAsia="宋体" w:cs="Times New Roman"/>
                <w:sz w:val="21"/>
                <w:szCs w:val="21"/>
              </w:rPr>
            </w:pPr>
          </w:p>
        </w:tc>
        <w:tc>
          <w:tcPr>
            <w:tcW w:w="774" w:type="dxa"/>
            <w:tcBorders>
              <w:top w:val="nil"/>
              <w:left w:val="single" w:color="auto" w:sz="6" w:space="0"/>
              <w:bottom w:val="single" w:color="auto" w:sz="6" w:space="0"/>
              <w:right w:val="single" w:color="auto" w:sz="6" w:space="0"/>
            </w:tcBorders>
          </w:tcPr>
          <w:p w14:paraId="2BD992BB">
            <w:pPr>
              <w:keepNext/>
              <w:spacing w:before="100" w:beforeAutospacing="1" w:line="440" w:lineRule="exact"/>
              <w:ind w:right="63"/>
              <w:jc w:val="center"/>
              <w:rPr>
                <w:rFonts w:ascii="宋体" w:hAnsi="宋体" w:eastAsia="宋体" w:cs="Times New Roman"/>
                <w:sz w:val="21"/>
                <w:szCs w:val="21"/>
              </w:rPr>
            </w:pPr>
          </w:p>
        </w:tc>
        <w:tc>
          <w:tcPr>
            <w:tcW w:w="1352" w:type="dxa"/>
            <w:tcBorders>
              <w:top w:val="nil"/>
              <w:left w:val="single" w:color="auto" w:sz="6" w:space="0"/>
              <w:bottom w:val="single" w:color="auto" w:sz="6" w:space="0"/>
              <w:right w:val="single" w:color="auto" w:sz="6" w:space="0"/>
            </w:tcBorders>
          </w:tcPr>
          <w:p w14:paraId="24F63142">
            <w:pPr>
              <w:keepNext/>
              <w:spacing w:before="100" w:beforeAutospacing="1" w:line="440" w:lineRule="exact"/>
              <w:ind w:right="63"/>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tcPr>
          <w:p w14:paraId="491C5F97">
            <w:pPr>
              <w:keepNext/>
              <w:spacing w:before="100" w:beforeAutospacing="1" w:line="440" w:lineRule="exact"/>
              <w:ind w:right="63"/>
              <w:jc w:val="center"/>
              <w:rPr>
                <w:rFonts w:ascii="宋体" w:hAnsi="宋体" w:eastAsia="宋体" w:cs="Times New Roman"/>
                <w:sz w:val="21"/>
                <w:szCs w:val="21"/>
              </w:rPr>
            </w:pPr>
          </w:p>
        </w:tc>
        <w:tc>
          <w:tcPr>
            <w:tcW w:w="1701" w:type="dxa"/>
            <w:tcBorders>
              <w:top w:val="nil"/>
              <w:left w:val="single" w:color="auto" w:sz="6" w:space="0"/>
              <w:bottom w:val="single" w:color="auto" w:sz="6" w:space="0"/>
              <w:right w:val="single" w:color="auto" w:sz="12" w:space="0"/>
            </w:tcBorders>
          </w:tcPr>
          <w:p w14:paraId="1C8CDA08">
            <w:pPr>
              <w:keepNext/>
              <w:spacing w:before="100" w:beforeAutospacing="1" w:line="440" w:lineRule="exact"/>
              <w:ind w:right="63"/>
              <w:jc w:val="center"/>
              <w:rPr>
                <w:rFonts w:ascii="宋体" w:hAnsi="宋体" w:eastAsia="宋体" w:cs="Times New Roman"/>
                <w:sz w:val="21"/>
                <w:szCs w:val="21"/>
              </w:rPr>
            </w:pPr>
          </w:p>
        </w:tc>
      </w:tr>
      <w:tr w14:paraId="5983C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2792A0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4096323">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6B2B0726">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3357294">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C5702F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AD4A018">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4E9AF8E">
            <w:pPr>
              <w:keepNext/>
              <w:spacing w:before="100" w:beforeAutospacing="1" w:line="440" w:lineRule="exact"/>
              <w:ind w:right="63"/>
              <w:jc w:val="center"/>
              <w:rPr>
                <w:rFonts w:ascii="宋体" w:hAnsi="宋体" w:eastAsia="宋体" w:cs="Times New Roman"/>
                <w:sz w:val="21"/>
                <w:szCs w:val="21"/>
              </w:rPr>
            </w:pPr>
          </w:p>
        </w:tc>
      </w:tr>
      <w:tr w14:paraId="2E079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521E89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1F47560">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EE85AAE">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626BCC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F1E91E4">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C5B8BF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626C3CF">
            <w:pPr>
              <w:keepNext/>
              <w:spacing w:before="100" w:beforeAutospacing="1" w:line="440" w:lineRule="exact"/>
              <w:ind w:right="63"/>
              <w:jc w:val="center"/>
              <w:rPr>
                <w:rFonts w:ascii="宋体" w:hAnsi="宋体" w:eastAsia="宋体" w:cs="Times New Roman"/>
                <w:sz w:val="21"/>
                <w:szCs w:val="21"/>
              </w:rPr>
            </w:pPr>
          </w:p>
        </w:tc>
      </w:tr>
      <w:tr w14:paraId="4B08D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AA99466">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85FF5ED">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D31DBD9">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9128DB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25ED7B7">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937A1A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09D2E69">
            <w:pPr>
              <w:keepNext/>
              <w:spacing w:before="100" w:beforeAutospacing="1" w:line="440" w:lineRule="exact"/>
              <w:ind w:right="63"/>
              <w:jc w:val="center"/>
              <w:rPr>
                <w:rFonts w:ascii="宋体" w:hAnsi="宋体" w:eastAsia="宋体" w:cs="Times New Roman"/>
                <w:sz w:val="21"/>
                <w:szCs w:val="21"/>
              </w:rPr>
            </w:pPr>
          </w:p>
        </w:tc>
      </w:tr>
      <w:tr w14:paraId="13C7E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4B5FB4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4E3810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E79FD9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C13ED37">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B44E30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D07D68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03A4FB4">
            <w:pPr>
              <w:keepNext/>
              <w:spacing w:before="100" w:beforeAutospacing="1" w:line="440" w:lineRule="exact"/>
              <w:ind w:right="63"/>
              <w:jc w:val="center"/>
              <w:rPr>
                <w:rFonts w:ascii="宋体" w:hAnsi="宋体" w:eastAsia="宋体" w:cs="Times New Roman"/>
                <w:sz w:val="21"/>
                <w:szCs w:val="21"/>
              </w:rPr>
            </w:pPr>
          </w:p>
        </w:tc>
      </w:tr>
      <w:tr w14:paraId="2CAE0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3E67CF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30F746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4C9944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CBAB23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3DB2AC4">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3254D658">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B2A85D8">
            <w:pPr>
              <w:keepNext/>
              <w:spacing w:before="100" w:beforeAutospacing="1" w:line="440" w:lineRule="exact"/>
              <w:ind w:right="63"/>
              <w:jc w:val="center"/>
              <w:rPr>
                <w:rFonts w:ascii="宋体" w:hAnsi="宋体" w:eastAsia="宋体" w:cs="Times New Roman"/>
                <w:sz w:val="21"/>
                <w:szCs w:val="21"/>
              </w:rPr>
            </w:pPr>
          </w:p>
        </w:tc>
      </w:tr>
      <w:tr w14:paraId="0E400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FB65C91">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C43946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39202AC">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75112A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3EFE9B4">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3BF758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1EDEDAE9">
            <w:pPr>
              <w:keepNext/>
              <w:spacing w:before="100" w:beforeAutospacing="1" w:line="440" w:lineRule="exact"/>
              <w:ind w:right="63"/>
              <w:jc w:val="center"/>
              <w:rPr>
                <w:rFonts w:ascii="宋体" w:hAnsi="宋体" w:eastAsia="宋体" w:cs="Times New Roman"/>
                <w:sz w:val="21"/>
                <w:szCs w:val="21"/>
              </w:rPr>
            </w:pPr>
          </w:p>
        </w:tc>
      </w:tr>
      <w:tr w14:paraId="10B2A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F69591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1BDAE6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1F2564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60A36DB">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A16C33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48FBC4C">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5B6FAB0">
            <w:pPr>
              <w:keepNext/>
              <w:spacing w:before="100" w:beforeAutospacing="1" w:line="440" w:lineRule="exact"/>
              <w:ind w:right="63"/>
              <w:jc w:val="center"/>
              <w:rPr>
                <w:rFonts w:ascii="宋体" w:hAnsi="宋体" w:eastAsia="宋体" w:cs="Times New Roman"/>
                <w:sz w:val="21"/>
                <w:szCs w:val="21"/>
              </w:rPr>
            </w:pPr>
          </w:p>
        </w:tc>
      </w:tr>
      <w:tr w14:paraId="3FB7B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412F47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FF21A5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BB4983F">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204D712">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F5E8F6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ABF095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DAD6740">
            <w:pPr>
              <w:keepNext/>
              <w:spacing w:before="100" w:beforeAutospacing="1" w:line="440" w:lineRule="exact"/>
              <w:ind w:right="63"/>
              <w:jc w:val="center"/>
              <w:rPr>
                <w:rFonts w:ascii="宋体" w:hAnsi="宋体" w:eastAsia="宋体" w:cs="Times New Roman"/>
                <w:sz w:val="21"/>
                <w:szCs w:val="21"/>
              </w:rPr>
            </w:pPr>
          </w:p>
        </w:tc>
      </w:tr>
      <w:tr w14:paraId="339D8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268B5F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DB9DE6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D9E1D3B">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6E4DE939">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0D6C5C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B72FC04">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393E72E">
            <w:pPr>
              <w:keepNext/>
              <w:spacing w:before="100" w:beforeAutospacing="1" w:line="440" w:lineRule="exact"/>
              <w:ind w:right="63"/>
              <w:jc w:val="center"/>
              <w:rPr>
                <w:rFonts w:ascii="宋体" w:hAnsi="宋体" w:eastAsia="宋体" w:cs="Times New Roman"/>
                <w:sz w:val="21"/>
                <w:szCs w:val="21"/>
              </w:rPr>
            </w:pPr>
          </w:p>
        </w:tc>
      </w:tr>
      <w:tr w14:paraId="620BF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9051E4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D5FE47B">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B0C6A2B">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CBD170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D4CB0C3">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9C8F106">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304DE090">
            <w:pPr>
              <w:keepNext/>
              <w:spacing w:before="100" w:beforeAutospacing="1" w:line="440" w:lineRule="exact"/>
              <w:ind w:right="63"/>
              <w:jc w:val="center"/>
              <w:rPr>
                <w:rFonts w:ascii="宋体" w:hAnsi="宋体" w:eastAsia="宋体" w:cs="Times New Roman"/>
                <w:sz w:val="21"/>
                <w:szCs w:val="21"/>
              </w:rPr>
            </w:pPr>
          </w:p>
        </w:tc>
      </w:tr>
      <w:tr w14:paraId="47E9E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A561BC8">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2DDC3C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B96B285">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8FF88E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F2FB08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90B153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3382BB8A">
            <w:pPr>
              <w:keepNext/>
              <w:spacing w:before="100" w:beforeAutospacing="1" w:line="440" w:lineRule="exact"/>
              <w:ind w:right="63"/>
              <w:jc w:val="center"/>
              <w:rPr>
                <w:rFonts w:ascii="宋体" w:hAnsi="宋体" w:eastAsia="宋体" w:cs="Times New Roman"/>
                <w:sz w:val="21"/>
                <w:szCs w:val="21"/>
              </w:rPr>
            </w:pPr>
          </w:p>
        </w:tc>
      </w:tr>
      <w:tr w14:paraId="0C7B8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7CB7993">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071E8B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A9A91A3">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20DD3C2">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D19A74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EFB3821">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1F5B2492">
            <w:pPr>
              <w:keepNext/>
              <w:spacing w:before="100" w:beforeAutospacing="1" w:line="440" w:lineRule="exact"/>
              <w:ind w:right="63"/>
              <w:jc w:val="center"/>
              <w:rPr>
                <w:rFonts w:ascii="宋体" w:hAnsi="宋体" w:eastAsia="宋体" w:cs="Times New Roman"/>
                <w:sz w:val="21"/>
                <w:szCs w:val="21"/>
              </w:rPr>
            </w:pPr>
          </w:p>
        </w:tc>
      </w:tr>
      <w:tr w14:paraId="2B2A3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5066CF8">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53815AF">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5049DC0">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ECBF71A">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C4D2A6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CDA96F4">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1C13730">
            <w:pPr>
              <w:keepNext/>
              <w:spacing w:before="100" w:beforeAutospacing="1" w:line="440" w:lineRule="exact"/>
              <w:ind w:right="63"/>
              <w:jc w:val="center"/>
              <w:rPr>
                <w:rFonts w:ascii="宋体" w:hAnsi="宋体" w:eastAsia="宋体" w:cs="Times New Roman"/>
                <w:sz w:val="21"/>
                <w:szCs w:val="21"/>
              </w:rPr>
            </w:pPr>
          </w:p>
        </w:tc>
      </w:tr>
      <w:tr w14:paraId="1C96F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E564711">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DA83C9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DD4D9C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F25E34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63D96D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DA0D5D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56B48F1">
            <w:pPr>
              <w:keepNext/>
              <w:spacing w:before="100" w:beforeAutospacing="1" w:line="440" w:lineRule="exact"/>
              <w:ind w:right="63"/>
              <w:jc w:val="center"/>
              <w:rPr>
                <w:rFonts w:ascii="宋体" w:hAnsi="宋体" w:eastAsia="宋体" w:cs="Times New Roman"/>
                <w:sz w:val="21"/>
                <w:szCs w:val="21"/>
              </w:rPr>
            </w:pPr>
          </w:p>
        </w:tc>
      </w:tr>
      <w:tr w14:paraId="6472A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036FEE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4EAA7C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6D67AD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9C9C32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376006D">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77E863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FC13797">
            <w:pPr>
              <w:keepNext/>
              <w:spacing w:before="100" w:beforeAutospacing="1" w:line="440" w:lineRule="exact"/>
              <w:ind w:right="63"/>
              <w:jc w:val="center"/>
              <w:rPr>
                <w:rFonts w:ascii="宋体" w:hAnsi="宋体" w:eastAsia="宋体" w:cs="Times New Roman"/>
                <w:sz w:val="21"/>
                <w:szCs w:val="21"/>
              </w:rPr>
            </w:pPr>
          </w:p>
        </w:tc>
      </w:tr>
      <w:tr w14:paraId="4942A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AE8C6D3">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95B8B6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75AB575">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8E0B86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9C888C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68FA6DB">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B349590">
            <w:pPr>
              <w:keepNext/>
              <w:spacing w:before="100" w:beforeAutospacing="1" w:line="440" w:lineRule="exact"/>
              <w:ind w:right="63"/>
              <w:jc w:val="center"/>
              <w:rPr>
                <w:rFonts w:ascii="宋体" w:hAnsi="宋体" w:eastAsia="宋体" w:cs="Times New Roman"/>
                <w:sz w:val="21"/>
                <w:szCs w:val="21"/>
              </w:rPr>
            </w:pPr>
          </w:p>
        </w:tc>
      </w:tr>
      <w:tr w14:paraId="62273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322154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8EBEA8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0CC21FA">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7C0BAFC">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8F55C7D">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F6C21F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FAC0FD4">
            <w:pPr>
              <w:keepNext/>
              <w:spacing w:before="100" w:beforeAutospacing="1" w:line="440" w:lineRule="exact"/>
              <w:ind w:right="63"/>
              <w:jc w:val="center"/>
              <w:rPr>
                <w:rFonts w:ascii="宋体" w:hAnsi="宋体" w:eastAsia="宋体" w:cs="Times New Roman"/>
                <w:sz w:val="21"/>
                <w:szCs w:val="21"/>
              </w:rPr>
            </w:pPr>
          </w:p>
        </w:tc>
      </w:tr>
      <w:tr w14:paraId="544D6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F06AFC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1ACF66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0F803F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9B7444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4F9574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099657E">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FC1C416">
            <w:pPr>
              <w:keepNext/>
              <w:spacing w:before="100" w:beforeAutospacing="1" w:line="440" w:lineRule="exact"/>
              <w:ind w:right="63"/>
              <w:jc w:val="center"/>
              <w:rPr>
                <w:rFonts w:ascii="宋体" w:hAnsi="宋体" w:eastAsia="宋体" w:cs="Times New Roman"/>
                <w:sz w:val="21"/>
                <w:szCs w:val="21"/>
              </w:rPr>
            </w:pPr>
          </w:p>
        </w:tc>
      </w:tr>
      <w:tr w14:paraId="7A90C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AB4CD4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1E6B078">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7C55F85">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764A972">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00E639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10B8808">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9E4B87C">
            <w:pPr>
              <w:keepNext/>
              <w:spacing w:before="100" w:beforeAutospacing="1" w:line="440" w:lineRule="exact"/>
              <w:ind w:right="63"/>
              <w:jc w:val="center"/>
              <w:rPr>
                <w:rFonts w:ascii="宋体" w:hAnsi="宋体" w:eastAsia="宋体" w:cs="Times New Roman"/>
                <w:sz w:val="21"/>
                <w:szCs w:val="21"/>
              </w:rPr>
            </w:pPr>
          </w:p>
        </w:tc>
      </w:tr>
      <w:tr w14:paraId="4B9BD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819AE8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FD4EC59">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629950E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E765673">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DEC9D92">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B2130B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9710244">
            <w:pPr>
              <w:keepNext/>
              <w:spacing w:before="100" w:beforeAutospacing="1" w:line="440" w:lineRule="exact"/>
              <w:ind w:right="63"/>
              <w:jc w:val="center"/>
              <w:rPr>
                <w:rFonts w:ascii="宋体" w:hAnsi="宋体" w:eastAsia="宋体" w:cs="Times New Roman"/>
                <w:sz w:val="21"/>
                <w:szCs w:val="21"/>
              </w:rPr>
            </w:pPr>
          </w:p>
        </w:tc>
      </w:tr>
      <w:tr w14:paraId="068BF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317B9A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9B9114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B43ADC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1F2065A">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BF3800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3AC791B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16DC88D">
            <w:pPr>
              <w:keepNext/>
              <w:spacing w:before="100" w:beforeAutospacing="1" w:line="440" w:lineRule="exact"/>
              <w:ind w:right="63"/>
              <w:jc w:val="center"/>
              <w:rPr>
                <w:rFonts w:ascii="宋体" w:hAnsi="宋体" w:eastAsia="宋体" w:cs="Times New Roman"/>
                <w:sz w:val="21"/>
                <w:szCs w:val="21"/>
              </w:rPr>
            </w:pPr>
          </w:p>
        </w:tc>
      </w:tr>
      <w:tr w14:paraId="5461B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7E00EA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CDEF12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84820C1">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B327827">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C4972E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15146B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F3691AE">
            <w:pPr>
              <w:keepNext/>
              <w:spacing w:before="100" w:beforeAutospacing="1" w:line="440" w:lineRule="exact"/>
              <w:ind w:right="63"/>
              <w:jc w:val="center"/>
              <w:rPr>
                <w:rFonts w:ascii="宋体" w:hAnsi="宋体" w:eastAsia="宋体" w:cs="Times New Roman"/>
                <w:sz w:val="21"/>
                <w:szCs w:val="21"/>
              </w:rPr>
            </w:pPr>
          </w:p>
        </w:tc>
      </w:tr>
      <w:tr w14:paraId="0F438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53C0B6B6">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12" w:space="0"/>
              <w:right w:val="single" w:color="auto" w:sz="6" w:space="0"/>
            </w:tcBorders>
          </w:tcPr>
          <w:p w14:paraId="3F58FE1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tcPr>
          <w:p w14:paraId="66958D96">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12" w:space="0"/>
              <w:right w:val="single" w:color="auto" w:sz="6" w:space="0"/>
            </w:tcBorders>
          </w:tcPr>
          <w:p w14:paraId="7140C19C">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12" w:space="0"/>
              <w:right w:val="single" w:color="auto" w:sz="6" w:space="0"/>
            </w:tcBorders>
          </w:tcPr>
          <w:p w14:paraId="03EB5D22">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tcPr>
          <w:p w14:paraId="4FC28B47">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12" w:space="0"/>
              <w:right w:val="single" w:color="auto" w:sz="12" w:space="0"/>
            </w:tcBorders>
          </w:tcPr>
          <w:p w14:paraId="53F02F6F">
            <w:pPr>
              <w:keepNext/>
              <w:spacing w:before="100" w:beforeAutospacing="1" w:line="440" w:lineRule="exact"/>
              <w:ind w:right="63"/>
              <w:jc w:val="center"/>
              <w:rPr>
                <w:rFonts w:ascii="宋体" w:hAnsi="宋体" w:eastAsia="宋体" w:cs="Times New Roman"/>
                <w:sz w:val="21"/>
                <w:szCs w:val="21"/>
              </w:rPr>
            </w:pPr>
          </w:p>
        </w:tc>
      </w:tr>
    </w:tbl>
    <w:p w14:paraId="02FF23F9">
      <w:pPr>
        <w:spacing w:before="156" w:beforeLines="50" w:after="156" w:afterLines="50"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55A128D6">
      <w:pPr>
        <w:rPr>
          <w:rFonts w:ascii="宋体" w:hAnsi="宋体" w:eastAsia="宋体" w:cs="Times New Roman"/>
          <w:sz w:val="21"/>
          <w:szCs w:val="21"/>
        </w:rPr>
      </w:pPr>
      <w:r>
        <w:rPr>
          <w:rFonts w:hint="eastAsia" w:ascii="宋体" w:hAnsi="宋体" w:eastAsia="宋体" w:cs="Times New Roman"/>
          <w:sz w:val="21"/>
          <w:szCs w:val="21"/>
        </w:rPr>
        <w:br w:type="page"/>
      </w:r>
    </w:p>
    <w:p w14:paraId="48AFE346">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11-3：专业工程暂估价表</w:t>
      </w:r>
    </w:p>
    <w:tbl>
      <w:tblPr>
        <w:tblStyle w:val="65"/>
        <w:tblW w:w="0" w:type="auto"/>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B7AC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left w:val="single" w:color="auto" w:sz="12" w:space="0"/>
              <w:bottom w:val="double" w:color="auto" w:sz="2" w:space="0"/>
              <w:right w:val="single" w:color="auto" w:sz="6" w:space="0"/>
            </w:tcBorders>
          </w:tcPr>
          <w:p w14:paraId="0DE16BEC">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984" w:type="dxa"/>
            <w:tcBorders>
              <w:top w:val="single" w:color="auto" w:sz="12" w:space="0"/>
              <w:left w:val="single" w:color="auto" w:sz="6" w:space="0"/>
              <w:bottom w:val="double" w:color="auto" w:sz="2" w:space="0"/>
              <w:right w:val="single" w:color="auto" w:sz="6" w:space="0"/>
            </w:tcBorders>
          </w:tcPr>
          <w:p w14:paraId="194EDAF4">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专业工程名称</w:t>
            </w:r>
          </w:p>
        </w:tc>
        <w:tc>
          <w:tcPr>
            <w:tcW w:w="4678" w:type="dxa"/>
            <w:tcBorders>
              <w:top w:val="single" w:color="auto" w:sz="12" w:space="0"/>
              <w:left w:val="single" w:color="auto" w:sz="6" w:space="0"/>
              <w:bottom w:val="double" w:color="auto" w:sz="2" w:space="0"/>
              <w:right w:val="single" w:color="auto" w:sz="6" w:space="0"/>
            </w:tcBorders>
          </w:tcPr>
          <w:p w14:paraId="325D3C98">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工程内容</w:t>
            </w:r>
          </w:p>
        </w:tc>
        <w:tc>
          <w:tcPr>
            <w:tcW w:w="1276" w:type="dxa"/>
            <w:tcBorders>
              <w:top w:val="single" w:color="auto" w:sz="12" w:space="0"/>
              <w:left w:val="single" w:color="auto" w:sz="6" w:space="0"/>
              <w:bottom w:val="double" w:color="auto" w:sz="2" w:space="0"/>
              <w:right w:val="single" w:color="auto" w:sz="12" w:space="0"/>
            </w:tcBorders>
          </w:tcPr>
          <w:p w14:paraId="479A6F90">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金额</w:t>
            </w:r>
          </w:p>
        </w:tc>
      </w:tr>
      <w:tr w14:paraId="10782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2" w:space="0"/>
              <w:left w:val="single" w:color="auto" w:sz="12" w:space="0"/>
              <w:bottom w:val="single" w:color="auto" w:sz="6" w:space="0"/>
              <w:right w:val="single" w:color="auto" w:sz="6" w:space="0"/>
            </w:tcBorders>
          </w:tcPr>
          <w:p w14:paraId="2310A92B">
            <w:pPr>
              <w:keepNext/>
              <w:spacing w:before="100" w:beforeAutospacing="1" w:line="440" w:lineRule="exact"/>
              <w:ind w:right="63"/>
              <w:jc w:val="center"/>
              <w:rPr>
                <w:rFonts w:ascii="宋体" w:hAnsi="宋体" w:eastAsia="宋体" w:cs="Times New Roman"/>
                <w:sz w:val="21"/>
                <w:szCs w:val="21"/>
              </w:rPr>
            </w:pPr>
          </w:p>
        </w:tc>
        <w:tc>
          <w:tcPr>
            <w:tcW w:w="1984" w:type="dxa"/>
            <w:tcBorders>
              <w:top w:val="double" w:color="auto" w:sz="2" w:space="0"/>
              <w:left w:val="single" w:color="auto" w:sz="6" w:space="0"/>
              <w:bottom w:val="single" w:color="auto" w:sz="6" w:space="0"/>
              <w:right w:val="single" w:color="auto" w:sz="6" w:space="0"/>
            </w:tcBorders>
          </w:tcPr>
          <w:p w14:paraId="241EE6E8">
            <w:pPr>
              <w:keepNext/>
              <w:spacing w:before="100" w:beforeAutospacing="1" w:line="440" w:lineRule="exact"/>
              <w:ind w:right="63"/>
              <w:jc w:val="center"/>
              <w:rPr>
                <w:rFonts w:ascii="宋体" w:hAnsi="宋体" w:eastAsia="宋体" w:cs="Times New Roman"/>
                <w:sz w:val="21"/>
                <w:szCs w:val="21"/>
              </w:rPr>
            </w:pPr>
          </w:p>
        </w:tc>
        <w:tc>
          <w:tcPr>
            <w:tcW w:w="4678" w:type="dxa"/>
            <w:tcBorders>
              <w:top w:val="double" w:color="auto" w:sz="2" w:space="0"/>
              <w:left w:val="single" w:color="auto" w:sz="6" w:space="0"/>
              <w:bottom w:val="single" w:color="auto" w:sz="6" w:space="0"/>
              <w:right w:val="single" w:color="auto" w:sz="6" w:space="0"/>
            </w:tcBorders>
          </w:tcPr>
          <w:p w14:paraId="4D8084A9">
            <w:pPr>
              <w:keepNext/>
              <w:spacing w:before="100" w:beforeAutospacing="1" w:line="440" w:lineRule="exact"/>
              <w:ind w:right="63"/>
              <w:jc w:val="center"/>
              <w:rPr>
                <w:rFonts w:ascii="宋体" w:hAnsi="宋体" w:eastAsia="宋体" w:cs="Times New Roman"/>
                <w:sz w:val="21"/>
                <w:szCs w:val="21"/>
              </w:rPr>
            </w:pPr>
          </w:p>
        </w:tc>
        <w:tc>
          <w:tcPr>
            <w:tcW w:w="1276" w:type="dxa"/>
            <w:tcBorders>
              <w:top w:val="double" w:color="auto" w:sz="2" w:space="0"/>
              <w:left w:val="single" w:color="auto" w:sz="6" w:space="0"/>
              <w:bottom w:val="single" w:color="auto" w:sz="6" w:space="0"/>
              <w:right w:val="single" w:color="auto" w:sz="12" w:space="0"/>
            </w:tcBorders>
          </w:tcPr>
          <w:p w14:paraId="16900F1F">
            <w:pPr>
              <w:keepNext/>
              <w:spacing w:before="100" w:beforeAutospacing="1" w:line="440" w:lineRule="exact"/>
              <w:ind w:right="63"/>
              <w:jc w:val="center"/>
              <w:rPr>
                <w:rFonts w:ascii="宋体" w:hAnsi="宋体" w:eastAsia="宋体" w:cs="Times New Roman"/>
                <w:sz w:val="21"/>
                <w:szCs w:val="21"/>
              </w:rPr>
            </w:pPr>
          </w:p>
        </w:tc>
      </w:tr>
      <w:tr w14:paraId="432E3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0A6B9F33">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2583E29D">
            <w:pPr>
              <w:keepNext/>
              <w:spacing w:before="100" w:beforeAutospacing="1" w:line="440" w:lineRule="exact"/>
              <w:ind w:right="63"/>
              <w:jc w:val="center"/>
              <w:rPr>
                <w:rFonts w:ascii="宋体" w:hAnsi="宋体" w:eastAsia="宋体" w:cs="Times New Roman"/>
                <w:sz w:val="21"/>
                <w:szCs w:val="21"/>
              </w:rPr>
            </w:pPr>
          </w:p>
        </w:tc>
        <w:tc>
          <w:tcPr>
            <w:tcW w:w="4678" w:type="dxa"/>
            <w:tcBorders>
              <w:top w:val="nil"/>
              <w:left w:val="single" w:color="auto" w:sz="6" w:space="0"/>
              <w:bottom w:val="single" w:color="auto" w:sz="6" w:space="0"/>
              <w:right w:val="single" w:color="auto" w:sz="6" w:space="0"/>
            </w:tcBorders>
          </w:tcPr>
          <w:p w14:paraId="67860999">
            <w:pPr>
              <w:keepNext/>
              <w:spacing w:before="100" w:beforeAutospacing="1" w:line="440" w:lineRule="exact"/>
              <w:ind w:right="63"/>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12" w:space="0"/>
            </w:tcBorders>
          </w:tcPr>
          <w:p w14:paraId="2E6AE62D">
            <w:pPr>
              <w:keepNext/>
              <w:spacing w:before="100" w:beforeAutospacing="1" w:line="440" w:lineRule="exact"/>
              <w:ind w:right="63"/>
              <w:jc w:val="center"/>
              <w:rPr>
                <w:rFonts w:ascii="宋体" w:hAnsi="宋体" w:eastAsia="宋体" w:cs="Times New Roman"/>
                <w:sz w:val="21"/>
                <w:szCs w:val="21"/>
              </w:rPr>
            </w:pPr>
          </w:p>
        </w:tc>
      </w:tr>
      <w:tr w14:paraId="0D682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1D3C7FAA">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5EFF88D0">
            <w:pPr>
              <w:keepNext/>
              <w:spacing w:before="100" w:beforeAutospacing="1" w:line="440" w:lineRule="exact"/>
              <w:ind w:right="63"/>
              <w:jc w:val="center"/>
              <w:rPr>
                <w:rFonts w:ascii="宋体" w:hAnsi="宋体" w:eastAsia="宋体" w:cs="Times New Roman"/>
                <w:sz w:val="21"/>
                <w:szCs w:val="21"/>
              </w:rPr>
            </w:pPr>
          </w:p>
        </w:tc>
        <w:tc>
          <w:tcPr>
            <w:tcW w:w="4678" w:type="dxa"/>
            <w:tcBorders>
              <w:top w:val="nil"/>
              <w:left w:val="single" w:color="auto" w:sz="6" w:space="0"/>
              <w:bottom w:val="single" w:color="auto" w:sz="6" w:space="0"/>
              <w:right w:val="single" w:color="auto" w:sz="6" w:space="0"/>
            </w:tcBorders>
          </w:tcPr>
          <w:p w14:paraId="1BBCE072">
            <w:pPr>
              <w:keepNext/>
              <w:spacing w:before="100" w:beforeAutospacing="1" w:line="440" w:lineRule="exact"/>
              <w:ind w:right="63"/>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12" w:space="0"/>
            </w:tcBorders>
          </w:tcPr>
          <w:p w14:paraId="7D1110DC">
            <w:pPr>
              <w:keepNext/>
              <w:spacing w:before="100" w:beforeAutospacing="1" w:line="440" w:lineRule="exact"/>
              <w:ind w:right="63"/>
              <w:jc w:val="center"/>
              <w:rPr>
                <w:rFonts w:ascii="宋体" w:hAnsi="宋体" w:eastAsia="宋体" w:cs="Times New Roman"/>
                <w:sz w:val="21"/>
                <w:szCs w:val="21"/>
              </w:rPr>
            </w:pPr>
          </w:p>
        </w:tc>
      </w:tr>
      <w:tr w14:paraId="29811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22844C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D8FC372">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A4329B9">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574CA0D9">
            <w:pPr>
              <w:keepNext/>
              <w:spacing w:before="100" w:beforeAutospacing="1" w:line="440" w:lineRule="exact"/>
              <w:ind w:right="63"/>
              <w:jc w:val="center"/>
              <w:rPr>
                <w:rFonts w:ascii="宋体" w:hAnsi="宋体" w:eastAsia="宋体" w:cs="Times New Roman"/>
                <w:sz w:val="21"/>
                <w:szCs w:val="21"/>
              </w:rPr>
            </w:pPr>
          </w:p>
        </w:tc>
      </w:tr>
      <w:tr w14:paraId="0A088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58FF896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09FA53A">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262C88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24429447">
            <w:pPr>
              <w:keepNext/>
              <w:spacing w:before="100" w:beforeAutospacing="1" w:line="440" w:lineRule="exact"/>
              <w:ind w:right="63"/>
              <w:jc w:val="center"/>
              <w:rPr>
                <w:rFonts w:ascii="宋体" w:hAnsi="宋体" w:eastAsia="宋体" w:cs="Times New Roman"/>
                <w:sz w:val="21"/>
                <w:szCs w:val="21"/>
              </w:rPr>
            </w:pPr>
          </w:p>
        </w:tc>
      </w:tr>
      <w:tr w14:paraId="15827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7D9DEA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9642AF6">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98CA175">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225B395">
            <w:pPr>
              <w:keepNext/>
              <w:spacing w:before="100" w:beforeAutospacing="1" w:line="440" w:lineRule="exact"/>
              <w:ind w:right="63"/>
              <w:jc w:val="center"/>
              <w:rPr>
                <w:rFonts w:ascii="宋体" w:hAnsi="宋体" w:eastAsia="宋体" w:cs="Times New Roman"/>
                <w:sz w:val="21"/>
                <w:szCs w:val="21"/>
              </w:rPr>
            </w:pPr>
          </w:p>
        </w:tc>
      </w:tr>
      <w:tr w14:paraId="15DD2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007C75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D793FF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93700E9">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2C90024">
            <w:pPr>
              <w:keepNext/>
              <w:spacing w:before="100" w:beforeAutospacing="1" w:line="440" w:lineRule="exact"/>
              <w:ind w:right="63"/>
              <w:jc w:val="center"/>
              <w:rPr>
                <w:rFonts w:ascii="宋体" w:hAnsi="宋体" w:eastAsia="宋体" w:cs="Times New Roman"/>
                <w:sz w:val="21"/>
                <w:szCs w:val="21"/>
              </w:rPr>
            </w:pPr>
          </w:p>
        </w:tc>
      </w:tr>
      <w:tr w14:paraId="016EF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B9B5AC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2027355">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F927EC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7837FDC2">
            <w:pPr>
              <w:keepNext/>
              <w:spacing w:before="100" w:beforeAutospacing="1" w:line="440" w:lineRule="exact"/>
              <w:ind w:right="63"/>
              <w:jc w:val="center"/>
              <w:rPr>
                <w:rFonts w:ascii="宋体" w:hAnsi="宋体" w:eastAsia="宋体" w:cs="Times New Roman"/>
                <w:sz w:val="21"/>
                <w:szCs w:val="21"/>
              </w:rPr>
            </w:pPr>
          </w:p>
        </w:tc>
      </w:tr>
      <w:tr w14:paraId="014E3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8E1214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69E9CA1">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F7438F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04C2F89">
            <w:pPr>
              <w:keepNext/>
              <w:spacing w:before="100" w:beforeAutospacing="1" w:line="440" w:lineRule="exact"/>
              <w:ind w:right="63"/>
              <w:jc w:val="center"/>
              <w:rPr>
                <w:rFonts w:ascii="宋体" w:hAnsi="宋体" w:eastAsia="宋体" w:cs="Times New Roman"/>
                <w:sz w:val="21"/>
                <w:szCs w:val="21"/>
              </w:rPr>
            </w:pPr>
          </w:p>
        </w:tc>
      </w:tr>
      <w:tr w14:paraId="60C59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206629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7537568">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33A26D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AC8FF3F">
            <w:pPr>
              <w:keepNext/>
              <w:spacing w:before="100" w:beforeAutospacing="1" w:line="440" w:lineRule="exact"/>
              <w:ind w:right="63"/>
              <w:jc w:val="center"/>
              <w:rPr>
                <w:rFonts w:ascii="宋体" w:hAnsi="宋体" w:eastAsia="宋体" w:cs="Times New Roman"/>
                <w:sz w:val="21"/>
                <w:szCs w:val="21"/>
              </w:rPr>
            </w:pPr>
          </w:p>
        </w:tc>
      </w:tr>
      <w:tr w14:paraId="7FD10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DC8CBA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E64F4E9">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A051130">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063F3E3">
            <w:pPr>
              <w:keepNext/>
              <w:spacing w:before="100" w:beforeAutospacing="1" w:line="440" w:lineRule="exact"/>
              <w:ind w:right="63"/>
              <w:jc w:val="center"/>
              <w:rPr>
                <w:rFonts w:ascii="宋体" w:hAnsi="宋体" w:eastAsia="宋体" w:cs="Times New Roman"/>
                <w:sz w:val="21"/>
                <w:szCs w:val="21"/>
              </w:rPr>
            </w:pPr>
          </w:p>
        </w:tc>
      </w:tr>
      <w:tr w14:paraId="20383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86AA66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CE312DF">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71EFC5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69D27744">
            <w:pPr>
              <w:keepNext/>
              <w:spacing w:before="100" w:beforeAutospacing="1" w:line="440" w:lineRule="exact"/>
              <w:ind w:right="63"/>
              <w:jc w:val="center"/>
              <w:rPr>
                <w:rFonts w:ascii="宋体" w:hAnsi="宋体" w:eastAsia="宋体" w:cs="Times New Roman"/>
                <w:sz w:val="21"/>
                <w:szCs w:val="21"/>
              </w:rPr>
            </w:pPr>
          </w:p>
        </w:tc>
      </w:tr>
      <w:tr w14:paraId="01B09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5D90C3D">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BDCA74B">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7508DFE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35CCBE0">
            <w:pPr>
              <w:keepNext/>
              <w:spacing w:before="100" w:beforeAutospacing="1" w:line="440" w:lineRule="exact"/>
              <w:ind w:right="63"/>
              <w:jc w:val="center"/>
              <w:rPr>
                <w:rFonts w:ascii="宋体" w:hAnsi="宋体" w:eastAsia="宋体" w:cs="Times New Roman"/>
                <w:sz w:val="21"/>
                <w:szCs w:val="21"/>
              </w:rPr>
            </w:pPr>
          </w:p>
        </w:tc>
      </w:tr>
      <w:tr w14:paraId="39EEC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491DBE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81A4C1C">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15E9491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39CBD15">
            <w:pPr>
              <w:keepNext/>
              <w:spacing w:before="100" w:beforeAutospacing="1" w:line="440" w:lineRule="exact"/>
              <w:ind w:right="63"/>
              <w:jc w:val="center"/>
              <w:rPr>
                <w:rFonts w:ascii="宋体" w:hAnsi="宋体" w:eastAsia="宋体" w:cs="Times New Roman"/>
                <w:sz w:val="21"/>
                <w:szCs w:val="21"/>
              </w:rPr>
            </w:pPr>
          </w:p>
        </w:tc>
      </w:tr>
      <w:tr w14:paraId="4AB7E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95472A8">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8744DD0">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7A0DA68B">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A2FE0A9">
            <w:pPr>
              <w:keepNext/>
              <w:spacing w:before="100" w:beforeAutospacing="1" w:line="440" w:lineRule="exact"/>
              <w:ind w:right="63"/>
              <w:jc w:val="center"/>
              <w:rPr>
                <w:rFonts w:ascii="宋体" w:hAnsi="宋体" w:eastAsia="宋体" w:cs="Times New Roman"/>
                <w:sz w:val="21"/>
                <w:szCs w:val="21"/>
              </w:rPr>
            </w:pPr>
          </w:p>
        </w:tc>
      </w:tr>
      <w:tr w14:paraId="3D18E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649DF0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0A3A79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B9F2EFE">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C043E84">
            <w:pPr>
              <w:keepNext/>
              <w:spacing w:before="100" w:beforeAutospacing="1" w:line="440" w:lineRule="exact"/>
              <w:ind w:right="63"/>
              <w:jc w:val="center"/>
              <w:rPr>
                <w:rFonts w:ascii="宋体" w:hAnsi="宋体" w:eastAsia="宋体" w:cs="Times New Roman"/>
                <w:sz w:val="21"/>
                <w:szCs w:val="21"/>
              </w:rPr>
            </w:pPr>
          </w:p>
        </w:tc>
      </w:tr>
      <w:tr w14:paraId="54FE4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186E85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C0CAEF5">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43A6121">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63B69C5">
            <w:pPr>
              <w:keepNext/>
              <w:spacing w:before="100" w:beforeAutospacing="1" w:line="440" w:lineRule="exact"/>
              <w:ind w:right="63"/>
              <w:jc w:val="center"/>
              <w:rPr>
                <w:rFonts w:ascii="宋体" w:hAnsi="宋体" w:eastAsia="宋体" w:cs="Times New Roman"/>
                <w:sz w:val="21"/>
                <w:szCs w:val="21"/>
              </w:rPr>
            </w:pPr>
          </w:p>
        </w:tc>
      </w:tr>
      <w:tr w14:paraId="40570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single" w:color="auto" w:sz="6" w:space="0"/>
              <w:left w:val="single" w:color="auto" w:sz="12" w:space="0"/>
              <w:bottom w:val="single" w:color="auto" w:sz="6" w:space="0"/>
              <w:right w:val="single" w:color="auto" w:sz="6" w:space="0"/>
            </w:tcBorders>
          </w:tcPr>
          <w:p w14:paraId="21C7BA6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640EDB3">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858FDA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74FB90CC">
            <w:pPr>
              <w:keepNext/>
              <w:spacing w:before="100" w:beforeAutospacing="1" w:line="440" w:lineRule="exact"/>
              <w:ind w:right="63"/>
              <w:jc w:val="center"/>
              <w:rPr>
                <w:rFonts w:ascii="宋体" w:hAnsi="宋体" w:eastAsia="宋体" w:cs="Times New Roman"/>
                <w:sz w:val="21"/>
                <w:szCs w:val="21"/>
              </w:rPr>
            </w:pPr>
          </w:p>
        </w:tc>
      </w:tr>
      <w:tr w14:paraId="19FFC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E10D49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3D991F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F4A843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E78C6AD">
            <w:pPr>
              <w:keepNext/>
              <w:spacing w:before="100" w:beforeAutospacing="1" w:line="440" w:lineRule="exact"/>
              <w:ind w:right="63"/>
              <w:jc w:val="center"/>
              <w:rPr>
                <w:rFonts w:ascii="宋体" w:hAnsi="宋体" w:eastAsia="宋体" w:cs="Times New Roman"/>
                <w:sz w:val="21"/>
                <w:szCs w:val="21"/>
              </w:rPr>
            </w:pPr>
          </w:p>
        </w:tc>
      </w:tr>
      <w:tr w14:paraId="73F80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19CDFA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95CE780">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273B5CCA">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6092FF18">
            <w:pPr>
              <w:keepNext/>
              <w:spacing w:before="100" w:beforeAutospacing="1" w:line="440" w:lineRule="exact"/>
              <w:ind w:right="63"/>
              <w:jc w:val="center"/>
              <w:rPr>
                <w:rFonts w:ascii="宋体" w:hAnsi="宋体" w:eastAsia="宋体" w:cs="Times New Roman"/>
                <w:sz w:val="21"/>
                <w:szCs w:val="21"/>
              </w:rPr>
            </w:pPr>
          </w:p>
        </w:tc>
      </w:tr>
      <w:tr w14:paraId="63DB3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9EC5EE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57A6B51">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A0BB37B">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FE157AD">
            <w:pPr>
              <w:keepNext/>
              <w:spacing w:before="100" w:beforeAutospacing="1" w:line="440" w:lineRule="exact"/>
              <w:ind w:right="63"/>
              <w:jc w:val="center"/>
              <w:rPr>
                <w:rFonts w:ascii="宋体" w:hAnsi="宋体" w:eastAsia="宋体" w:cs="Times New Roman"/>
                <w:sz w:val="21"/>
                <w:szCs w:val="21"/>
              </w:rPr>
            </w:pPr>
          </w:p>
        </w:tc>
      </w:tr>
      <w:tr w14:paraId="4A87B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3C878C90">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1781329">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225855B">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7760EF25">
            <w:pPr>
              <w:keepNext/>
              <w:spacing w:before="100" w:beforeAutospacing="1" w:line="440" w:lineRule="exact"/>
              <w:ind w:right="63"/>
              <w:jc w:val="center"/>
              <w:rPr>
                <w:rFonts w:ascii="宋体" w:hAnsi="宋体" w:eastAsia="宋体" w:cs="Times New Roman"/>
                <w:sz w:val="21"/>
                <w:szCs w:val="21"/>
              </w:rPr>
            </w:pPr>
          </w:p>
        </w:tc>
      </w:tr>
      <w:tr w14:paraId="118ED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F21012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4820B51">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706FAA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884B03D">
            <w:pPr>
              <w:keepNext/>
              <w:spacing w:before="100" w:beforeAutospacing="1" w:line="440" w:lineRule="exact"/>
              <w:ind w:right="63"/>
              <w:jc w:val="center"/>
              <w:rPr>
                <w:rFonts w:ascii="宋体" w:hAnsi="宋体" w:eastAsia="宋体" w:cs="Times New Roman"/>
                <w:sz w:val="21"/>
                <w:szCs w:val="21"/>
              </w:rPr>
            </w:pPr>
          </w:p>
        </w:tc>
      </w:tr>
      <w:tr w14:paraId="356EE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D32A9F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E4C51BF">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4BEAC4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7CE18C9">
            <w:pPr>
              <w:keepNext/>
              <w:spacing w:before="100" w:beforeAutospacing="1" w:line="440" w:lineRule="exact"/>
              <w:ind w:right="63"/>
              <w:jc w:val="center"/>
              <w:rPr>
                <w:rFonts w:ascii="宋体" w:hAnsi="宋体" w:eastAsia="宋体" w:cs="Times New Roman"/>
                <w:sz w:val="21"/>
                <w:szCs w:val="21"/>
              </w:rPr>
            </w:pPr>
          </w:p>
        </w:tc>
      </w:tr>
      <w:tr w14:paraId="49825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CE6B75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09B820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1A60C5C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FA9CB3A">
            <w:pPr>
              <w:keepNext/>
              <w:spacing w:before="100" w:beforeAutospacing="1" w:line="440" w:lineRule="exact"/>
              <w:ind w:right="63"/>
              <w:jc w:val="center"/>
              <w:rPr>
                <w:rFonts w:ascii="宋体" w:hAnsi="宋体" w:eastAsia="宋体" w:cs="Times New Roman"/>
                <w:sz w:val="21"/>
                <w:szCs w:val="21"/>
              </w:rPr>
            </w:pPr>
          </w:p>
        </w:tc>
      </w:tr>
      <w:tr w14:paraId="316D7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A7BEF5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2DE23B8">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06B303B1">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64F0472">
            <w:pPr>
              <w:keepNext/>
              <w:spacing w:before="100" w:beforeAutospacing="1" w:line="440" w:lineRule="exact"/>
              <w:ind w:right="63"/>
              <w:jc w:val="center"/>
              <w:rPr>
                <w:rFonts w:ascii="宋体" w:hAnsi="宋体" w:eastAsia="宋体" w:cs="Times New Roman"/>
                <w:sz w:val="21"/>
                <w:szCs w:val="21"/>
              </w:rPr>
            </w:pPr>
          </w:p>
        </w:tc>
      </w:tr>
      <w:tr w14:paraId="18B0E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Borders>
              <w:top w:val="single" w:color="auto" w:sz="6" w:space="0"/>
              <w:left w:val="single" w:color="auto" w:sz="12" w:space="0"/>
              <w:bottom w:val="single" w:color="auto" w:sz="12" w:space="0"/>
              <w:right w:val="single" w:color="auto" w:sz="12" w:space="0"/>
            </w:tcBorders>
          </w:tcPr>
          <w:p w14:paraId="25745648">
            <w:pPr>
              <w:keepNext/>
              <w:spacing w:before="100" w:beforeAutospacing="1" w:line="440" w:lineRule="exact"/>
              <w:ind w:right="63"/>
              <w:rPr>
                <w:rFonts w:ascii="宋体" w:hAnsi="宋体" w:eastAsia="宋体" w:cs="Times New Roman"/>
                <w:sz w:val="21"/>
                <w:szCs w:val="21"/>
              </w:rPr>
            </w:pPr>
            <w:r>
              <w:rPr>
                <w:rFonts w:hint="eastAsia" w:ascii="宋体" w:hAnsi="宋体" w:eastAsia="宋体" w:cs="Times New Roman"/>
                <w:sz w:val="21"/>
                <w:szCs w:val="21"/>
              </w:rPr>
              <w:t>小计：</w:t>
            </w:r>
          </w:p>
        </w:tc>
      </w:tr>
    </w:tbl>
    <w:p w14:paraId="0546109B">
      <w:pPr>
        <w:spacing w:line="240" w:lineRule="exact"/>
        <w:rPr>
          <w:rFonts w:ascii="Times New Roman" w:hAnsi="Times New Roman" w:eastAsia="宋体" w:cs="Times New Roman"/>
          <w:szCs w:val="21"/>
        </w:rPr>
      </w:pPr>
      <w:r>
        <w:rPr>
          <w:rFonts w:ascii="Times New Roman" w:hAnsi="Times New Roman" w:eastAsia="宋体" w:cs="Times New Roman"/>
          <w:szCs w:val="21"/>
        </w:rPr>
        <w:t xml:space="preserve"> </w:t>
      </w:r>
    </w:p>
    <w:p w14:paraId="78D35AE8">
      <w:pPr>
        <w:pStyle w:val="23"/>
        <w:rPr>
          <w:rFonts w:ascii="宋体" w:hAnsi="宋体" w:eastAsia="宋体" w:cs="宋体"/>
          <w:color w:val="auto"/>
          <w:sz w:val="20"/>
          <w:szCs w:val="20"/>
          <w:highlight w:val="none"/>
        </w:rPr>
      </w:pPr>
    </w:p>
    <w:p w14:paraId="1658354E">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bookmarkStart w:id="1814" w:name="_Toc16476"/>
      <w:bookmarkStart w:id="1815" w:name="_Toc25170"/>
      <w:bookmarkStart w:id="1816" w:name="_Toc20957"/>
      <w:bookmarkStart w:id="1817" w:name="_Toc17708"/>
      <w:bookmarkStart w:id="1818" w:name="_Toc12986"/>
      <w:bookmarkStart w:id="1819" w:name="_Toc18332"/>
      <w:bookmarkStart w:id="1820" w:name="_Toc11092"/>
    </w:p>
    <w:p w14:paraId="2B1E284E">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7C4ACD1">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r>
        <w:rPr>
          <w:rFonts w:hint="eastAsia" w:ascii="Times New Roman" w:hAnsi="Times New Roman" w:eastAsia="宋体" w:cs="宋体"/>
          <w:b/>
          <w:bCs w:val="0"/>
          <w:color w:val="auto"/>
          <w:kern w:val="2"/>
          <w:sz w:val="36"/>
          <w:szCs w:val="36"/>
          <w:highlight w:val="none"/>
          <w:lang w:val="en-US" w:eastAsia="zh-CN" w:bidi="ar-SA"/>
        </w:rPr>
        <w:t>第七篇  响应文件编制要求</w:t>
      </w:r>
      <w:bookmarkEnd w:id="1814"/>
      <w:bookmarkEnd w:id="1815"/>
      <w:bookmarkEnd w:id="1816"/>
      <w:bookmarkEnd w:id="1817"/>
      <w:bookmarkEnd w:id="1818"/>
      <w:bookmarkEnd w:id="1819"/>
      <w:bookmarkEnd w:id="1820"/>
    </w:p>
    <w:p w14:paraId="174F5553">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1" w:name="_Toc1051"/>
      <w:r>
        <w:rPr>
          <w:rFonts w:hint="eastAsia" w:ascii="宋体" w:hAnsi="宋体" w:cs="宋体"/>
          <w:color w:val="auto"/>
          <w:sz w:val="24"/>
          <w:szCs w:val="24"/>
          <w:highlight w:val="none"/>
        </w:rPr>
        <w:t>一、经济部分</w:t>
      </w:r>
      <w:bookmarkEnd w:id="1821"/>
    </w:p>
    <w:p w14:paraId="120D26BC">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6F86E72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12C5D5B1">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2" w:name="_Toc2320"/>
      <w:r>
        <w:rPr>
          <w:rFonts w:hint="eastAsia" w:ascii="宋体" w:hAnsi="宋体" w:cs="宋体"/>
          <w:color w:val="auto"/>
          <w:sz w:val="24"/>
          <w:szCs w:val="24"/>
          <w:highlight w:val="none"/>
        </w:rPr>
        <w:t>二、服务部分</w:t>
      </w:r>
      <w:bookmarkEnd w:id="1822"/>
    </w:p>
    <w:p w14:paraId="11450D65">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4ECB5B2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4D6CF307">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3" w:name="_Toc14596"/>
      <w:r>
        <w:rPr>
          <w:rFonts w:hint="eastAsia" w:ascii="宋体" w:hAnsi="宋体" w:cs="宋体"/>
          <w:color w:val="auto"/>
          <w:sz w:val="24"/>
          <w:szCs w:val="24"/>
          <w:highlight w:val="none"/>
        </w:rPr>
        <w:t>三、商务部分</w:t>
      </w:r>
      <w:bookmarkEnd w:id="1823"/>
    </w:p>
    <w:p w14:paraId="5FCFFC29">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6C85BFB">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（二）其它</w:t>
      </w:r>
      <w:r>
        <w:rPr>
          <w:rFonts w:hint="eastAsia" w:ascii="宋体" w:hAnsi="宋体" w:cs="宋体"/>
          <w:color w:val="auto"/>
          <w:sz w:val="24"/>
          <w:szCs w:val="24"/>
          <w:highlight w:val="none"/>
          <w:lang w:val="en-US" w:eastAsia="zh-CN"/>
        </w:rPr>
        <w:t>商务资料</w:t>
      </w:r>
      <w:r>
        <w:rPr>
          <w:rFonts w:hint="eastAsia" w:ascii="宋体" w:hAnsi="宋体" w:cs="宋体"/>
          <w:color w:val="auto"/>
          <w:sz w:val="24"/>
          <w:szCs w:val="24"/>
          <w:highlight w:val="none"/>
        </w:rPr>
        <w:t>（格式自定）</w:t>
      </w:r>
    </w:p>
    <w:p w14:paraId="616463F1">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4" w:name="_Toc16806"/>
      <w:r>
        <w:rPr>
          <w:rFonts w:hint="eastAsia" w:ascii="宋体" w:hAnsi="宋体" w:cs="宋体"/>
          <w:color w:val="auto"/>
          <w:sz w:val="24"/>
          <w:szCs w:val="24"/>
          <w:highlight w:val="none"/>
        </w:rPr>
        <w:t>四、资格条件及其他</w:t>
      </w:r>
      <w:bookmarkEnd w:id="1824"/>
    </w:p>
    <w:p w14:paraId="3BD21331">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5B1C139F">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0974F9A5">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6159D97">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1FBC0C77">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4C0B3372">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5" w:name="_Toc8051"/>
      <w:r>
        <w:rPr>
          <w:rFonts w:hint="eastAsia" w:ascii="宋体" w:hAnsi="宋体" w:cs="宋体"/>
          <w:color w:val="auto"/>
          <w:sz w:val="24"/>
          <w:szCs w:val="24"/>
          <w:highlight w:val="none"/>
        </w:rPr>
        <w:t>五、其他资料</w:t>
      </w:r>
      <w:bookmarkEnd w:id="1825"/>
    </w:p>
    <w:p w14:paraId="1D98484B">
      <w:pPr>
        <w:keepNext w:val="0"/>
        <w:keepLines w:val="0"/>
        <w:pageBreakBefore w:val="0"/>
        <w:widowControl w:val="0"/>
        <w:kinsoku/>
        <w:wordWrap/>
        <w:topLinePunct w:val="0"/>
        <w:bidi w:val="0"/>
        <w:spacing w:line="400" w:lineRule="exact"/>
        <w:ind w:firstLine="960" w:firstLineChars="400"/>
        <w:textAlignment w:val="auto"/>
        <w:rPr>
          <w:rFonts w:hint="eastAsia" w:ascii="宋体" w:hAnsi="宋体" w:eastAsia="宋体" w:cs="宋体"/>
          <w:color w:val="auto"/>
          <w:sz w:val="24"/>
          <w:szCs w:val="24"/>
          <w:highlight w:val="none"/>
          <w:bdr w:val="single" w:color="auto" w:sz="4" w:space="0"/>
          <w:lang w:eastAsia="zh-CN"/>
        </w:rPr>
        <w:sectPr>
          <w:footerReference r:id="rId12" w:type="default"/>
          <w:pgSz w:w="11907" w:h="16840"/>
          <w:pgMar w:top="1134" w:right="1191" w:bottom="1134" w:left="1304" w:header="851" w:footer="992" w:gutter="0"/>
          <w:pgNumType w:fmt="decimal"/>
          <w:cols w:space="720" w:num="1"/>
          <w:docGrid w:linePitch="380" w:charSpace="-5735"/>
        </w:sectPr>
      </w:pPr>
      <w:r>
        <w:rPr>
          <w:rFonts w:hint="eastAsia" w:ascii="宋体" w:hAnsi="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自附</w:t>
      </w:r>
      <w:r>
        <w:rPr>
          <w:rFonts w:hint="eastAsia" w:ascii="宋体" w:hAnsi="宋体" w:cs="宋体"/>
          <w:color w:val="auto"/>
          <w:sz w:val="24"/>
          <w:szCs w:val="24"/>
          <w:highlight w:val="none"/>
          <w:lang w:eastAsia="zh-CN"/>
        </w:rPr>
        <w:t>）</w:t>
      </w:r>
    </w:p>
    <w:p w14:paraId="1B27EE41">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color w:val="auto"/>
          <w:sz w:val="30"/>
          <w:szCs w:val="30"/>
          <w:highlight w:val="none"/>
        </w:rPr>
      </w:pPr>
      <w:bookmarkStart w:id="1826" w:name="_Toc31455"/>
      <w:bookmarkStart w:id="1827" w:name="_Toc18885"/>
      <w:bookmarkStart w:id="1828" w:name="_Toc76462350"/>
      <w:bookmarkStart w:id="1829" w:name="_Toc21652"/>
      <w:bookmarkStart w:id="1830" w:name="_Toc12292"/>
      <w:bookmarkStart w:id="1831" w:name="_Toc13366"/>
      <w:bookmarkStart w:id="1832" w:name="_Toc313008356"/>
      <w:bookmarkStart w:id="1833" w:name="_Toc32046"/>
      <w:bookmarkStart w:id="1834" w:name="_Toc27759"/>
      <w:bookmarkStart w:id="1835" w:name="_Toc32301"/>
      <w:bookmarkStart w:id="1836" w:name="_Toc16224"/>
      <w:bookmarkStart w:id="1837" w:name="_Toc27684"/>
      <w:bookmarkStart w:id="1838" w:name="_Toc30801"/>
      <w:bookmarkStart w:id="1839" w:name="_Toc15773"/>
      <w:bookmarkStart w:id="1840" w:name="_Toc14916"/>
      <w:bookmarkStart w:id="1841" w:name="_Toc7006"/>
      <w:bookmarkStart w:id="1842" w:name="_Toc19492"/>
      <w:bookmarkStart w:id="1843" w:name="_Toc17915"/>
      <w:bookmarkStart w:id="1844" w:name="_Toc342913419"/>
      <w:bookmarkStart w:id="1845" w:name="_Toc5655"/>
      <w:bookmarkStart w:id="1846" w:name="_Toc313888360"/>
      <w:bookmarkStart w:id="1847" w:name="_Toc13221"/>
      <w:bookmarkStart w:id="1848" w:name="_Toc283382454"/>
      <w:bookmarkStart w:id="1849" w:name="_Toc12789073"/>
      <w:r>
        <w:rPr>
          <w:rFonts w:hint="eastAsia" w:ascii="宋体" w:hAnsi="宋体" w:cs="宋体"/>
          <w:color w:val="auto"/>
          <w:sz w:val="30"/>
          <w:szCs w:val="30"/>
          <w:highlight w:val="none"/>
        </w:rPr>
        <w:t>一、经济部分</w:t>
      </w:r>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bookmarkEnd w:id="1848"/>
    <w:bookmarkEnd w:id="1849"/>
    <w:p w14:paraId="3991F516">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1850" w:name="_Toc11576"/>
      <w:r>
        <w:rPr>
          <w:rFonts w:hint="eastAsia" w:ascii="宋体" w:hAnsi="宋体" w:cs="宋体"/>
          <w:color w:val="auto"/>
          <w:sz w:val="24"/>
          <w:szCs w:val="24"/>
          <w:highlight w:val="none"/>
        </w:rPr>
        <w:t>（一）报价函</w:t>
      </w:r>
    </w:p>
    <w:p w14:paraId="3B177EBB">
      <w:pPr>
        <w:keepNext w:val="0"/>
        <w:keepLines w:val="0"/>
        <w:pageBreakBefore w:val="0"/>
        <w:widowControl w:val="0"/>
        <w:kinsoku/>
        <w:wordWrap/>
        <w:topLinePunct w:val="0"/>
        <w:bidi w:val="0"/>
        <w:spacing w:line="400" w:lineRule="exact"/>
        <w:jc w:val="center"/>
        <w:textAlignment w:val="auto"/>
        <w:rPr>
          <w:rFonts w:hint="eastAsia" w:ascii="宋体" w:hAnsi="宋体" w:cs="宋体"/>
          <w:b/>
          <w:color w:val="auto"/>
          <w:szCs w:val="28"/>
          <w:highlight w:val="none"/>
        </w:rPr>
      </w:pPr>
      <w:r>
        <w:rPr>
          <w:rFonts w:hint="eastAsia" w:ascii="宋体" w:hAnsi="宋体" w:cs="宋体"/>
          <w:b/>
          <w:color w:val="auto"/>
          <w:szCs w:val="28"/>
          <w:highlight w:val="none"/>
        </w:rPr>
        <w:t>报价函</w:t>
      </w:r>
    </w:p>
    <w:p w14:paraId="064E5D64">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w:t>
      </w:r>
      <w:r>
        <w:rPr>
          <w:rFonts w:hint="eastAsia" w:ascii="宋体" w:hAnsi="宋体" w:eastAsia="宋体" w:cs="宋体"/>
          <w:color w:val="000000"/>
          <w:sz w:val="24"/>
          <w:szCs w:val="24"/>
          <w:highlight w:val="none"/>
          <w:u w:val="single"/>
        </w:rPr>
        <w:t>采购人名称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60C5A207">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文件，经详细研究，决定参加该项目的</w:t>
      </w:r>
      <w:r>
        <w:rPr>
          <w:rFonts w:hint="eastAsia" w:ascii="宋体" w:hAnsi="宋体" w:cs="宋体"/>
          <w:color w:val="auto"/>
          <w:sz w:val="24"/>
          <w:szCs w:val="24"/>
          <w:highlight w:val="none"/>
          <w:lang w:eastAsia="zh-CN"/>
        </w:rPr>
        <w:t>竞争性比选</w:t>
      </w:r>
      <w:r>
        <w:rPr>
          <w:rFonts w:hint="eastAsia" w:ascii="宋体" w:hAnsi="宋体" w:cs="宋体"/>
          <w:color w:val="auto"/>
          <w:sz w:val="24"/>
          <w:szCs w:val="24"/>
          <w:highlight w:val="none"/>
        </w:rPr>
        <w:t>。</w:t>
      </w:r>
    </w:p>
    <w:p w14:paraId="5854DB69">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1.愿意按照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文件中的一切要求，</w:t>
      </w:r>
      <w:r>
        <w:rPr>
          <w:rFonts w:hint="eastAsia" w:ascii="宋体" w:hAnsi="宋体" w:cs="宋体"/>
          <w:color w:val="auto"/>
          <w:sz w:val="24"/>
          <w:szCs w:val="24"/>
          <w:highlight w:val="none"/>
          <w:lang w:eastAsia="zh-CN"/>
        </w:rPr>
        <w:t>提供本项目的</w:t>
      </w:r>
      <w:r>
        <w:rPr>
          <w:rFonts w:hint="eastAsia" w:ascii="宋体" w:hAnsi="宋体" w:cs="宋体"/>
          <w:color w:val="auto"/>
          <w:sz w:val="24"/>
          <w:szCs w:val="24"/>
          <w:highlight w:val="none"/>
          <w:lang w:val="en-US" w:eastAsia="zh-CN"/>
        </w:rPr>
        <w:t>包括并不限于的工程</w:t>
      </w:r>
      <w:r>
        <w:rPr>
          <w:rFonts w:hint="eastAsia" w:ascii="宋体" w:hAnsi="宋体" w:cs="宋体"/>
          <w:color w:val="auto"/>
          <w:sz w:val="24"/>
          <w:szCs w:val="24"/>
          <w:highlight w:val="none"/>
          <w:lang w:eastAsia="zh-CN"/>
        </w:rPr>
        <w:t>施工服</w:t>
      </w:r>
      <w:r>
        <w:rPr>
          <w:rFonts w:hint="eastAsia" w:asciiTheme="minorEastAsia" w:hAnsiTheme="minorEastAsia" w:eastAsiaTheme="minorEastAsia" w:cstheme="minorEastAsia"/>
          <w:color w:val="auto"/>
          <w:sz w:val="24"/>
          <w:szCs w:val="24"/>
          <w:highlight w:val="none"/>
          <w:lang w:eastAsia="zh-CN"/>
        </w:rPr>
        <w:t>务</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总报价为人民币（大写）：</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其中安全生产费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该工程的项目经理为：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（名称及身份证号码）；工期：</w:t>
      </w:r>
      <w:r>
        <w:rPr>
          <w:rFonts w:hint="eastAsia" w:asciiTheme="minorEastAsia" w:hAnsiTheme="minorEastAsia" w:eastAsiaTheme="minorEastAsia" w:cstheme="minorEastAsia"/>
          <w:i/>
          <w:i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日历天。</w:t>
      </w:r>
    </w:p>
    <w:p w14:paraId="1DC56C31">
      <w:pPr>
        <w:keepNext w:val="0"/>
        <w:keepLines w:val="0"/>
        <w:pageBreakBefore w:val="0"/>
        <w:widowControl w:val="0"/>
        <w:tabs>
          <w:tab w:val="left" w:pos="6300"/>
        </w:tabs>
        <w:kinsoku/>
        <w:wordWrap/>
        <w:topLinePunct w:val="0"/>
        <w:bidi w:val="0"/>
        <w:snapToGrid w:val="0"/>
        <w:spacing w:line="400" w:lineRule="exact"/>
        <w:ind w:left="476" w:leftChars="1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7B6A8C4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3.我方承诺：本次</w:t>
      </w:r>
      <w:r>
        <w:rPr>
          <w:rFonts w:hint="eastAsia" w:ascii="宋体" w:hAnsi="宋体" w:cs="宋体"/>
          <w:color w:val="auto"/>
          <w:sz w:val="24"/>
          <w:szCs w:val="24"/>
          <w:highlight w:val="none"/>
          <w:lang w:val="en-US" w:eastAsia="zh-CN"/>
        </w:rPr>
        <w:t>竞争性比选</w:t>
      </w:r>
      <w:r>
        <w:rPr>
          <w:rFonts w:hint="eastAsia" w:ascii="宋体" w:hAnsi="宋体" w:cs="宋体"/>
          <w:color w:val="auto"/>
          <w:sz w:val="24"/>
          <w:szCs w:val="24"/>
          <w:highlight w:val="none"/>
        </w:rPr>
        <w:t>的有效期为提交响应文件截止时间起90天。</w:t>
      </w:r>
    </w:p>
    <w:p w14:paraId="5261C72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4.我方完全理解和接受贵方</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文件的一切规定和要求及评审办法。</w:t>
      </w:r>
    </w:p>
    <w:p w14:paraId="0263B71B">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5.在整个</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过程中，我方若有违规行为，接受按照重庆市政府采购规定给予惩罚。</w:t>
      </w:r>
    </w:p>
    <w:p w14:paraId="31010B39">
      <w:pPr>
        <w:pStyle w:val="23"/>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571A6ED5">
      <w:pPr>
        <w:pStyle w:val="23"/>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7.如果我方成为成交供应商，保证在接到成交通知书后，向采购代理机构缴纳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文件规定的采购代理服务费。</w:t>
      </w:r>
    </w:p>
    <w:p w14:paraId="29545CFA">
      <w:pPr>
        <w:pStyle w:val="23"/>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8.我方未为采购项目提供整体设计、规范编制或者项目管理、监理、检测等服务。</w:t>
      </w:r>
    </w:p>
    <w:p w14:paraId="6920F66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463CCDF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2412C4A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电话：                                             传真：</w:t>
      </w:r>
    </w:p>
    <w:p w14:paraId="4860EA7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网址：                                             邮编：</w:t>
      </w:r>
    </w:p>
    <w:p w14:paraId="1EC2D33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p w14:paraId="08859FE2">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sectPr>
          <w:pgSz w:w="11907" w:h="16840"/>
          <w:pgMar w:top="1134" w:right="1191" w:bottom="1134" w:left="1304" w:header="851" w:footer="992" w:gutter="0"/>
          <w:pgNumType w:fmt="decimal"/>
          <w:cols w:space="720" w:num="1"/>
          <w:docGrid w:linePitch="380" w:charSpace="-5735"/>
        </w:sectPr>
      </w:pPr>
      <w:r>
        <w:rPr>
          <w:rFonts w:hint="eastAsia" w:ascii="宋体" w:hAnsi="宋体" w:cs="宋体"/>
          <w:color w:val="auto"/>
          <w:sz w:val="24"/>
          <w:szCs w:val="24"/>
          <w:highlight w:val="none"/>
        </w:rPr>
        <w:t xml:space="preserve">                                                  年   月   日</w:t>
      </w:r>
    </w:p>
    <w:bookmarkEnd w:id="1850"/>
    <w:p w14:paraId="348CD344">
      <w:pPr>
        <w:keepNext w:val="0"/>
        <w:keepLines w:val="0"/>
        <w:pageBreakBefore w:val="0"/>
        <w:widowControl w:val="0"/>
        <w:tabs>
          <w:tab w:val="left" w:pos="2895"/>
        </w:tabs>
        <w:kinsoku/>
        <w:wordWrap/>
        <w:topLinePunct w:val="0"/>
        <w:bidi w:val="0"/>
        <w:spacing w:line="400" w:lineRule="exact"/>
        <w:textAlignment w:val="auto"/>
        <w:outlineLvl w:val="9"/>
        <w:rPr>
          <w:rFonts w:hint="eastAsia" w:ascii="宋体" w:hAnsi="宋体" w:cs="宋体"/>
          <w:color w:val="auto"/>
          <w:sz w:val="24"/>
          <w:szCs w:val="24"/>
          <w:highlight w:val="none"/>
        </w:rPr>
      </w:pPr>
      <w:bookmarkStart w:id="1851" w:name="_Toc7522"/>
      <w:r>
        <w:rPr>
          <w:rFonts w:hint="eastAsia" w:ascii="宋体" w:hAnsi="宋体" w:cs="宋体"/>
          <w:color w:val="auto"/>
          <w:sz w:val="24"/>
          <w:szCs w:val="24"/>
          <w:highlight w:val="none"/>
        </w:rPr>
        <w:t>（二）明细报价表</w:t>
      </w:r>
      <w:bookmarkEnd w:id="1851"/>
    </w:p>
    <w:p w14:paraId="0AF388FD">
      <w:pPr>
        <w:pStyle w:val="39"/>
        <w:keepNext w:val="0"/>
        <w:keepLines w:val="0"/>
        <w:pageBreakBefore w:val="0"/>
        <w:widowControl w:val="0"/>
        <w:numPr>
          <w:ilvl w:val="0"/>
          <w:numId w:val="0"/>
        </w:numPr>
        <w:kinsoku/>
        <w:topLinePunct w:val="0"/>
        <w:bidi w:val="0"/>
        <w:spacing w:line="360" w:lineRule="auto"/>
        <w:ind w:left="753" w:leftChars="0"/>
        <w:jc w:val="center"/>
        <w:rPr>
          <w:rFonts w:hint="eastAsia" w:ascii="宋体" w:hAnsi="宋体" w:eastAsia="宋体" w:cs="宋体"/>
          <w:color w:val="auto"/>
          <w:kern w:val="2"/>
          <w:sz w:val="24"/>
          <w:szCs w:val="24"/>
          <w:highlight w:val="none"/>
          <w:lang w:val="en-US" w:eastAsia="zh-CN" w:bidi="ar-SA"/>
        </w:rPr>
      </w:pPr>
      <w:bookmarkStart w:id="1852" w:name="_Toc20656410"/>
      <w:bookmarkStart w:id="1853" w:name="_Toc30668158"/>
      <w:bookmarkStart w:id="1854" w:name="_Toc51660751"/>
      <w:bookmarkStart w:id="1855" w:name="_Toc21936039"/>
      <w:bookmarkStart w:id="1856" w:name="_Toc6818912"/>
      <w:bookmarkStart w:id="1857" w:name="_Toc433792170"/>
      <w:bookmarkStart w:id="1858" w:name="_Toc29985638"/>
      <w:bookmarkStart w:id="1859" w:name="_Toc23185487"/>
      <w:bookmarkStart w:id="1860" w:name="_Toc21397"/>
      <w:bookmarkStart w:id="1861" w:name="_Toc18490"/>
      <w:bookmarkStart w:id="1862" w:name="_Toc11754"/>
      <w:bookmarkStart w:id="1863" w:name="_Toc313888361"/>
      <w:bookmarkStart w:id="1864" w:name="_Toc29582"/>
      <w:bookmarkStart w:id="1865" w:name="_Toc25494"/>
      <w:bookmarkStart w:id="1866" w:name="_Toc23625"/>
      <w:bookmarkStart w:id="1867" w:name="_Toc22313"/>
      <w:bookmarkStart w:id="1868" w:name="_Toc16376"/>
      <w:bookmarkStart w:id="1869" w:name="_Toc31255"/>
      <w:bookmarkStart w:id="1870" w:name="_Toc25493"/>
      <w:bookmarkStart w:id="1871" w:name="_Toc7071"/>
      <w:bookmarkStart w:id="1872" w:name="_Toc12788"/>
      <w:bookmarkStart w:id="1873" w:name="_Toc313008357"/>
      <w:bookmarkStart w:id="1874" w:name="_Toc25411"/>
      <w:bookmarkStart w:id="1875" w:name="_Toc19994"/>
      <w:bookmarkStart w:id="1876" w:name="_Toc26593"/>
      <w:bookmarkStart w:id="1877" w:name="_Toc342913420"/>
      <w:bookmarkStart w:id="1878" w:name="_Toc32746"/>
      <w:bookmarkStart w:id="1879" w:name="_Toc4111"/>
      <w:bookmarkStart w:id="1880" w:name="_Toc28779"/>
      <w:bookmarkStart w:id="1881" w:name="_Toc76462351"/>
      <w:r>
        <w:rPr>
          <w:rFonts w:hint="eastAsia" w:ascii="宋体" w:hAnsi="宋体" w:eastAsia="宋体" w:cs="宋体"/>
          <w:color w:val="auto"/>
          <w:kern w:val="2"/>
          <w:sz w:val="24"/>
          <w:szCs w:val="24"/>
          <w:highlight w:val="none"/>
          <w:lang w:val="en-US" w:eastAsia="zh-CN" w:bidi="ar-SA"/>
        </w:rPr>
        <w:t>（供应商提供已标价工程量清单）</w:t>
      </w:r>
    </w:p>
    <w:p w14:paraId="3FA73720">
      <w:pPr>
        <w:keepNext w:val="0"/>
        <w:keepLines w:val="0"/>
        <w:pageBreakBefore w:val="0"/>
        <w:widowControl w:val="0"/>
        <w:kinsoku/>
        <w:topLinePunct w:val="0"/>
        <w:bidi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p>
    <w:bookmarkEnd w:id="1852"/>
    <w:bookmarkEnd w:id="1853"/>
    <w:bookmarkEnd w:id="1854"/>
    <w:bookmarkEnd w:id="1855"/>
    <w:bookmarkEnd w:id="1856"/>
    <w:bookmarkEnd w:id="1857"/>
    <w:bookmarkEnd w:id="1858"/>
    <w:bookmarkEnd w:id="1859"/>
    <w:p w14:paraId="158AE09D">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二、服务部分</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p>
    <w:p w14:paraId="6CF4301F">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outlineLvl w:val="9"/>
        <w:rPr>
          <w:rFonts w:hint="eastAsia" w:ascii="宋体" w:hAnsi="宋体" w:cs="宋体"/>
          <w:color w:val="auto"/>
          <w:szCs w:val="24"/>
          <w:highlight w:val="none"/>
        </w:rPr>
      </w:pPr>
      <w:bookmarkStart w:id="1882" w:name="_Toc28182"/>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响应偏离表</w:t>
      </w:r>
      <w:bookmarkEnd w:id="1882"/>
    </w:p>
    <w:p w14:paraId="26E169B0">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4067717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4B07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191552B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3" w:name="_Toc13765"/>
            <w:r>
              <w:rPr>
                <w:rFonts w:hint="eastAsia" w:ascii="宋体" w:hAnsi="宋体" w:cs="宋体"/>
                <w:color w:val="auto"/>
                <w:sz w:val="21"/>
                <w:szCs w:val="21"/>
                <w:highlight w:val="none"/>
              </w:rPr>
              <w:t>序号</w:t>
            </w:r>
            <w:bookmarkEnd w:id="1883"/>
          </w:p>
        </w:tc>
        <w:tc>
          <w:tcPr>
            <w:tcW w:w="2967" w:type="dxa"/>
            <w:noWrap w:val="0"/>
            <w:vAlign w:val="center"/>
          </w:tcPr>
          <w:p w14:paraId="093380C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4" w:name="_Toc5459"/>
            <w:r>
              <w:rPr>
                <w:rFonts w:hint="eastAsia" w:ascii="宋体" w:hAnsi="宋体" w:cs="宋体"/>
                <w:color w:val="auto"/>
                <w:sz w:val="21"/>
                <w:szCs w:val="21"/>
                <w:highlight w:val="none"/>
              </w:rPr>
              <w:t>项目</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rPr>
              <w:t>需求</w:t>
            </w:r>
            <w:bookmarkEnd w:id="1884"/>
          </w:p>
        </w:tc>
        <w:tc>
          <w:tcPr>
            <w:tcW w:w="3081" w:type="dxa"/>
            <w:noWrap w:val="0"/>
            <w:vAlign w:val="center"/>
          </w:tcPr>
          <w:p w14:paraId="6F35F3DC">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5" w:name="_Toc7749"/>
            <w:r>
              <w:rPr>
                <w:rFonts w:hint="eastAsia" w:ascii="宋体" w:hAnsi="宋体" w:cs="宋体"/>
                <w:color w:val="auto"/>
                <w:sz w:val="21"/>
                <w:szCs w:val="21"/>
                <w:highlight w:val="none"/>
              </w:rPr>
              <w:t>响应情况</w:t>
            </w:r>
            <w:bookmarkEnd w:id="1885"/>
          </w:p>
        </w:tc>
        <w:tc>
          <w:tcPr>
            <w:tcW w:w="2309" w:type="dxa"/>
            <w:noWrap w:val="0"/>
            <w:vAlign w:val="center"/>
          </w:tcPr>
          <w:p w14:paraId="1B4656F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6" w:name="_Toc27213"/>
            <w:r>
              <w:rPr>
                <w:rFonts w:hint="eastAsia" w:ascii="宋体" w:hAnsi="宋体" w:cs="宋体"/>
                <w:color w:val="auto"/>
                <w:sz w:val="21"/>
                <w:szCs w:val="21"/>
                <w:highlight w:val="none"/>
              </w:rPr>
              <w:t>差异说明</w:t>
            </w:r>
            <w:bookmarkEnd w:id="1886"/>
          </w:p>
        </w:tc>
      </w:tr>
      <w:tr w14:paraId="306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340B64C">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38C45C8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0744F5D9">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1"/>
                <w:szCs w:val="21"/>
                <w:highlight w:val="none"/>
              </w:rPr>
            </w:pPr>
          </w:p>
        </w:tc>
        <w:tc>
          <w:tcPr>
            <w:tcW w:w="2309" w:type="dxa"/>
            <w:noWrap w:val="0"/>
            <w:vAlign w:val="center"/>
          </w:tcPr>
          <w:p w14:paraId="30393DB1">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2E35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F33A57A">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01B9F2F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73B1FDC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31B60782">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51EF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2787E5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0488231A">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6292623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46BEBB0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0D08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D312421">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2284203C">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7D77304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7FCE409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3B48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D6B487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B9E810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2DC2A96E">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773998CA">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4D29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C27F12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4D0C677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4C25922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1E9B9AB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6114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637DC2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D38EB0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6574741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3A8CD70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12B0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43EEFC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13F777E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66EE542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4AACE2A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72E5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601FA58">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E49829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43C06F9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2FA79EE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7B91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8F99CD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0BF0BE2">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78A7763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41137AF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bl>
    <w:p w14:paraId="0D9D0CEA">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C6F3A17">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682EF6D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25D65AD">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6B6B9EF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805969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5E759664">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1.本表即为对本项目“第二篇  项目</w:t>
      </w:r>
      <w:r>
        <w:rPr>
          <w:rFonts w:hint="eastAsia" w:ascii="宋体" w:hAnsi="宋体" w:cs="宋体"/>
          <w:color w:val="auto"/>
          <w:sz w:val="24"/>
          <w:highlight w:val="none"/>
          <w:lang w:val="en-US" w:eastAsia="zh-CN"/>
        </w:rPr>
        <w:t>技术</w:t>
      </w:r>
      <w:r>
        <w:rPr>
          <w:rFonts w:hint="eastAsia" w:ascii="宋体" w:hAnsi="宋体" w:eastAsia="宋体" w:cs="宋体"/>
          <w:color w:val="auto"/>
          <w:sz w:val="24"/>
          <w:highlight w:val="none"/>
        </w:rPr>
        <w:t>需求”中所列条款进行比较和响应</w:t>
      </w:r>
      <w:r>
        <w:rPr>
          <w:rFonts w:hint="eastAsia" w:ascii="宋体" w:hAnsi="宋体" w:eastAsia="宋体" w:cs="宋体"/>
          <w:color w:val="auto"/>
          <w:sz w:val="24"/>
          <w:highlight w:val="none"/>
          <w:lang w:eastAsia="zh-CN"/>
        </w:rPr>
        <w:t>；</w:t>
      </w:r>
    </w:p>
    <w:p w14:paraId="1DAB9837">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2.本表可扩展</w:t>
      </w:r>
      <w:r>
        <w:rPr>
          <w:rFonts w:hint="eastAsia" w:ascii="宋体" w:hAnsi="宋体" w:eastAsia="宋体" w:cs="宋体"/>
          <w:color w:val="auto"/>
          <w:sz w:val="24"/>
          <w:highlight w:val="none"/>
          <w:lang w:eastAsia="zh-CN"/>
        </w:rPr>
        <w:t>；</w:t>
      </w:r>
    </w:p>
    <w:p w14:paraId="344085AB">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3.可附相关技术（服务）支撑材料（格式自定）</w:t>
      </w:r>
      <w:r>
        <w:rPr>
          <w:rFonts w:hint="eastAsia" w:ascii="宋体" w:hAnsi="宋体" w:eastAsia="宋体" w:cs="宋体"/>
          <w:color w:val="auto"/>
          <w:sz w:val="24"/>
          <w:highlight w:val="none"/>
          <w:lang w:eastAsia="zh-CN"/>
        </w:rPr>
        <w:t>；</w:t>
      </w:r>
    </w:p>
    <w:p w14:paraId="5DBF1F00">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szCs w:val="24"/>
          <w:highlight w:val="none"/>
        </w:rPr>
        <w:t>响应</w:t>
      </w:r>
      <w:r>
        <w:rPr>
          <w:rFonts w:hint="eastAsia" w:ascii="宋体" w:hAnsi="宋体" w:cs="宋体"/>
          <w:color w:val="auto"/>
          <w:sz w:val="24"/>
          <w:szCs w:val="28"/>
          <w:highlight w:val="none"/>
        </w:rPr>
        <w:t>情况栏中</w:t>
      </w:r>
      <w:r>
        <w:rPr>
          <w:rFonts w:hint="eastAsia" w:ascii="宋体" w:hAnsi="宋体" w:eastAsia="宋体" w:cs="宋体"/>
          <w:color w:val="auto"/>
          <w:sz w:val="24"/>
          <w:highlight w:val="none"/>
        </w:rPr>
        <w:t>应当注明技术参数或具体内容。</w:t>
      </w:r>
    </w:p>
    <w:p w14:paraId="42D94FA0">
      <w:pPr>
        <w:keepNext w:val="0"/>
        <w:keepLines w:val="0"/>
        <w:pageBreakBefore w:val="0"/>
        <w:widowControl w:val="0"/>
        <w:tabs>
          <w:tab w:val="left" w:pos="6300"/>
        </w:tabs>
        <w:kinsoku/>
        <w:wordWrap/>
        <w:topLinePunct w:val="0"/>
        <w:bidi w:val="0"/>
        <w:snapToGrid w:val="0"/>
        <w:spacing w:line="400" w:lineRule="exact"/>
        <w:ind w:firstLine="560" w:firstLineChars="200"/>
        <w:textAlignment w:val="auto"/>
        <w:outlineLvl w:val="9"/>
        <w:rPr>
          <w:rFonts w:hint="eastAsia" w:ascii="宋体" w:hAnsi="宋体" w:cs="宋体"/>
          <w:color w:val="auto"/>
          <w:szCs w:val="24"/>
          <w:highlight w:val="none"/>
        </w:rPr>
      </w:pPr>
      <w:r>
        <w:rPr>
          <w:rFonts w:hint="eastAsia" w:ascii="宋体" w:hAnsi="宋体" w:cs="宋体"/>
          <w:color w:val="auto"/>
          <w:szCs w:val="24"/>
          <w:highlight w:val="none"/>
        </w:rPr>
        <w:br w:type="page"/>
      </w:r>
      <w:bookmarkStart w:id="1887" w:name="_Toc16878"/>
      <w:r>
        <w:rPr>
          <w:rFonts w:hint="eastAsia" w:ascii="宋体" w:hAnsi="宋体" w:cs="宋体"/>
          <w:color w:val="auto"/>
          <w:sz w:val="24"/>
          <w:szCs w:val="24"/>
          <w:highlight w:val="none"/>
        </w:rPr>
        <w:t>（二）其他资料（格式自定）</w:t>
      </w:r>
      <w:bookmarkEnd w:id="1887"/>
    </w:p>
    <w:p w14:paraId="66C500D8">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60E0724">
      <w:pPr>
        <w:keepNext w:val="0"/>
        <w:keepLines w:val="0"/>
        <w:pageBreakBefore w:val="0"/>
        <w:widowControl w:val="0"/>
        <w:kinsoku/>
        <w:wordWrap/>
        <w:topLinePunct w:val="0"/>
        <w:bidi w:val="0"/>
        <w:adjustRightInd w:val="0"/>
        <w:snapToGrid w:val="0"/>
        <w:spacing w:line="400" w:lineRule="exact"/>
        <w:textAlignment w:val="auto"/>
        <w:outlineLvl w:val="9"/>
        <w:rPr>
          <w:rFonts w:hint="eastAsia" w:ascii="宋体" w:hAnsi="宋体" w:cs="宋体"/>
          <w:color w:val="auto"/>
          <w:sz w:val="24"/>
          <w:highlight w:val="none"/>
        </w:rPr>
      </w:pPr>
      <w:r>
        <w:rPr>
          <w:rFonts w:hint="eastAsia" w:ascii="宋体" w:hAnsi="宋体" w:cs="宋体"/>
          <w:b/>
          <w:color w:val="auto"/>
          <w:highlight w:val="none"/>
        </w:rPr>
        <w:br w:type="page"/>
      </w:r>
      <w:bookmarkStart w:id="1888" w:name="_Toc22505"/>
      <w:bookmarkStart w:id="1889" w:name="_Toc313008358"/>
      <w:bookmarkStart w:id="1890" w:name="_Toc573"/>
      <w:bookmarkStart w:id="1891" w:name="_Toc520"/>
      <w:bookmarkStart w:id="1892" w:name="_Toc6238"/>
      <w:bookmarkStart w:id="1893" w:name="_Toc9093"/>
      <w:bookmarkStart w:id="1894" w:name="_Toc29761"/>
      <w:bookmarkStart w:id="1895" w:name="_Toc26647"/>
      <w:bookmarkStart w:id="1896" w:name="_Toc19297"/>
      <w:bookmarkStart w:id="1897" w:name="_Toc29841"/>
      <w:bookmarkStart w:id="1898" w:name="_Toc26576"/>
      <w:bookmarkStart w:id="1899" w:name="_Toc76462352"/>
      <w:bookmarkStart w:id="1900" w:name="_Toc342913421"/>
      <w:bookmarkStart w:id="1901" w:name="_Toc28099"/>
      <w:bookmarkStart w:id="1902" w:name="_Toc21538"/>
      <w:bookmarkStart w:id="1903" w:name="_Toc313888362"/>
      <w:bookmarkStart w:id="1904" w:name="_Toc9936"/>
      <w:bookmarkStart w:id="1905" w:name="_Toc28240"/>
      <w:bookmarkStart w:id="1906" w:name="_Toc21216"/>
      <w:bookmarkStart w:id="1907" w:name="_Toc29102"/>
      <w:bookmarkStart w:id="1908" w:name="_Toc2576"/>
      <w:bookmarkStart w:id="1909" w:name="_Toc26398"/>
      <w:r>
        <w:rPr>
          <w:rFonts w:hint="eastAsia" w:ascii="宋体" w:hAnsi="宋体" w:cs="宋体"/>
          <w:color w:val="auto"/>
          <w:sz w:val="24"/>
          <w:highlight w:val="none"/>
        </w:rPr>
        <w:t>三、商务部分</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14:paraId="76B62AC1">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1910" w:name="_Toc5334"/>
      <w:r>
        <w:rPr>
          <w:rFonts w:hint="eastAsia" w:ascii="宋体" w:hAnsi="宋体" w:cs="宋体"/>
          <w:color w:val="auto"/>
          <w:sz w:val="24"/>
          <w:szCs w:val="24"/>
          <w:highlight w:val="none"/>
        </w:rPr>
        <w:t>（一）商务响应偏离表</w:t>
      </w:r>
      <w:bookmarkEnd w:id="1910"/>
    </w:p>
    <w:p w14:paraId="1A5FDD1F">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61695CAC">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项目名称： </w:t>
      </w:r>
    </w:p>
    <w:tbl>
      <w:tblPr>
        <w:tblStyle w:val="6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68A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19E7498C">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序号</w:t>
            </w:r>
          </w:p>
        </w:tc>
        <w:tc>
          <w:tcPr>
            <w:tcW w:w="3179" w:type="dxa"/>
            <w:noWrap w:val="0"/>
            <w:vAlign w:val="center"/>
          </w:tcPr>
          <w:p w14:paraId="61B4E78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bookmarkStart w:id="1911" w:name="_Toc945"/>
            <w:r>
              <w:rPr>
                <w:rFonts w:hint="eastAsia" w:ascii="宋体" w:hAnsi="宋体" w:cs="宋体"/>
                <w:color w:val="auto"/>
                <w:sz w:val="21"/>
                <w:szCs w:val="24"/>
                <w:highlight w:val="none"/>
              </w:rPr>
              <w:t>项目商务需求</w:t>
            </w:r>
            <w:bookmarkEnd w:id="1911"/>
          </w:p>
        </w:tc>
        <w:tc>
          <w:tcPr>
            <w:tcW w:w="2434" w:type="dxa"/>
            <w:noWrap w:val="0"/>
            <w:vAlign w:val="center"/>
          </w:tcPr>
          <w:p w14:paraId="3D3C918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bookmarkStart w:id="1912" w:name="_Toc8075"/>
            <w:r>
              <w:rPr>
                <w:rFonts w:hint="eastAsia" w:ascii="宋体" w:hAnsi="宋体" w:cs="宋体"/>
                <w:color w:val="auto"/>
                <w:sz w:val="21"/>
                <w:szCs w:val="24"/>
                <w:highlight w:val="none"/>
              </w:rPr>
              <w:t>响应情况</w:t>
            </w:r>
            <w:bookmarkEnd w:id="1912"/>
          </w:p>
        </w:tc>
        <w:tc>
          <w:tcPr>
            <w:tcW w:w="2355" w:type="dxa"/>
            <w:noWrap w:val="0"/>
            <w:vAlign w:val="center"/>
          </w:tcPr>
          <w:p w14:paraId="590D5BBE">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bookmarkStart w:id="1913" w:name="_Toc29743"/>
            <w:r>
              <w:rPr>
                <w:rFonts w:hint="eastAsia" w:ascii="宋体" w:hAnsi="宋体" w:cs="宋体"/>
                <w:color w:val="auto"/>
                <w:sz w:val="21"/>
                <w:szCs w:val="24"/>
                <w:highlight w:val="none"/>
              </w:rPr>
              <w:t>差异说明</w:t>
            </w:r>
            <w:bookmarkEnd w:id="1913"/>
          </w:p>
        </w:tc>
      </w:tr>
      <w:tr w14:paraId="0FB8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F4ED37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5A2A7D5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69ED862C">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1"/>
                <w:szCs w:val="24"/>
                <w:highlight w:val="none"/>
              </w:rPr>
            </w:pPr>
          </w:p>
        </w:tc>
        <w:tc>
          <w:tcPr>
            <w:tcW w:w="2355" w:type="dxa"/>
            <w:noWrap w:val="0"/>
            <w:vAlign w:val="center"/>
          </w:tcPr>
          <w:p w14:paraId="0686FD4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76A6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B96F85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2621F5A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79ABFC6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3F4EBCD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7091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14FAC2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053752C2">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67A8019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1ACC5A2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05A5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81601A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440E520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36C0590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5CE384B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7046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F7DF75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4349417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114AAC4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448473F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2046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13C6A58">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47F7EBE8">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29CD697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5AEE6B9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bl>
    <w:p w14:paraId="073A2CC7">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p>
    <w:p w14:paraId="156B83C8">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44D35E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EF04855">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739C2F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393C44D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579BF45">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2570E9E9">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1.本表即为对本项目“第三篇 项目商务需求”中所列条款进行比较和响应；</w:t>
      </w:r>
    </w:p>
    <w:p w14:paraId="24CBA246">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2.本表可扩展</w:t>
      </w:r>
      <w:r>
        <w:rPr>
          <w:rFonts w:hint="eastAsia" w:ascii="宋体" w:hAnsi="宋体" w:eastAsia="宋体" w:cs="宋体"/>
          <w:color w:val="auto"/>
          <w:sz w:val="24"/>
          <w:highlight w:val="none"/>
          <w:lang w:eastAsia="zh-CN"/>
        </w:rPr>
        <w:t>；</w:t>
      </w:r>
    </w:p>
    <w:p w14:paraId="71782239">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szCs w:val="24"/>
          <w:highlight w:val="none"/>
        </w:rPr>
        <w:t>响应</w:t>
      </w:r>
      <w:r>
        <w:rPr>
          <w:rFonts w:hint="eastAsia" w:ascii="宋体" w:hAnsi="宋体" w:cs="宋体"/>
          <w:color w:val="auto"/>
          <w:sz w:val="24"/>
          <w:szCs w:val="28"/>
          <w:highlight w:val="none"/>
        </w:rPr>
        <w:t>情况栏中</w:t>
      </w:r>
      <w:r>
        <w:rPr>
          <w:rFonts w:hint="eastAsia" w:ascii="宋体" w:hAnsi="宋体" w:eastAsia="宋体" w:cs="宋体"/>
          <w:color w:val="auto"/>
          <w:sz w:val="24"/>
          <w:highlight w:val="none"/>
        </w:rPr>
        <w:t>应当注明技术参数或具体内容。</w:t>
      </w:r>
    </w:p>
    <w:p w14:paraId="57F59129">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sectPr>
          <w:headerReference r:id="rId13" w:type="default"/>
          <w:pgSz w:w="11907" w:h="16840"/>
          <w:pgMar w:top="1134" w:right="1191" w:bottom="1134" w:left="1304" w:header="851" w:footer="992" w:gutter="0"/>
          <w:pgNumType w:fmt="decimal"/>
          <w:cols w:space="720" w:num="1"/>
          <w:docGrid w:linePitch="380" w:charSpace="-5735"/>
        </w:sectPr>
      </w:pPr>
    </w:p>
    <w:p w14:paraId="59D65EEF">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1914" w:name="_Toc11658"/>
      <w:bookmarkStart w:id="1915" w:name="_Toc283382459"/>
      <w:r>
        <w:rPr>
          <w:rFonts w:hint="eastAsia" w:ascii="宋体" w:hAnsi="宋体" w:cs="宋体"/>
          <w:color w:val="auto"/>
          <w:sz w:val="24"/>
          <w:szCs w:val="24"/>
          <w:highlight w:val="none"/>
        </w:rPr>
        <w:t>（二）其它</w:t>
      </w:r>
      <w:r>
        <w:rPr>
          <w:rFonts w:hint="eastAsia" w:ascii="宋体" w:hAnsi="宋体" w:cs="宋体"/>
          <w:color w:val="auto"/>
          <w:sz w:val="24"/>
          <w:szCs w:val="24"/>
          <w:highlight w:val="none"/>
          <w:lang w:val="en-US" w:eastAsia="zh-CN"/>
        </w:rPr>
        <w:t>商务资料</w:t>
      </w:r>
      <w:r>
        <w:rPr>
          <w:rFonts w:hint="eastAsia" w:ascii="宋体" w:hAnsi="宋体" w:cs="宋体"/>
          <w:color w:val="auto"/>
          <w:sz w:val="24"/>
          <w:szCs w:val="24"/>
          <w:highlight w:val="none"/>
        </w:rPr>
        <w:t>（格式自定）</w:t>
      </w:r>
      <w:bookmarkEnd w:id="1914"/>
    </w:p>
    <w:p w14:paraId="40E0DDE4">
      <w:pPr>
        <w:keepNext w:val="0"/>
        <w:keepLines w:val="0"/>
        <w:pageBreakBefore w:val="0"/>
        <w:widowControl w:val="0"/>
        <w:kinsoku/>
        <w:wordWrap/>
        <w:topLinePunct w:val="0"/>
        <w:bidi w:val="0"/>
        <w:adjustRightInd w:val="0"/>
        <w:snapToGrid w:val="0"/>
        <w:spacing w:line="400" w:lineRule="exact"/>
        <w:textAlignment w:val="auto"/>
        <w:outlineLvl w:val="9"/>
        <w:rPr>
          <w:rFonts w:hint="eastAsia" w:ascii="宋体" w:hAnsi="宋体" w:cs="宋体"/>
          <w:color w:val="auto"/>
          <w:sz w:val="24"/>
          <w:highlight w:val="none"/>
        </w:rPr>
      </w:pPr>
      <w:r>
        <w:rPr>
          <w:rFonts w:hint="eastAsia" w:ascii="宋体" w:hAnsi="宋体" w:cs="宋体"/>
          <w:color w:val="auto"/>
          <w:sz w:val="24"/>
          <w:szCs w:val="24"/>
          <w:highlight w:val="none"/>
        </w:rPr>
        <w:br w:type="page"/>
      </w:r>
      <w:bookmarkEnd w:id="1915"/>
      <w:bookmarkStart w:id="1916" w:name="_Toc313008359"/>
      <w:bookmarkStart w:id="1917" w:name="_Toc25332"/>
      <w:bookmarkStart w:id="1918" w:name="_Toc6829"/>
      <w:bookmarkStart w:id="1919" w:name="_Toc22916"/>
      <w:bookmarkStart w:id="1920" w:name="_Toc1742"/>
      <w:bookmarkStart w:id="1921" w:name="_Toc6268"/>
      <w:bookmarkStart w:id="1922" w:name="_Toc9472"/>
      <w:bookmarkStart w:id="1923" w:name="_Toc10729"/>
      <w:bookmarkStart w:id="1924" w:name="_Toc342913422"/>
      <w:bookmarkStart w:id="1925" w:name="_Toc4499"/>
      <w:bookmarkStart w:id="1926" w:name="_Toc313888363"/>
      <w:bookmarkStart w:id="1927" w:name="_Toc20384"/>
      <w:bookmarkStart w:id="1928" w:name="_Toc12319"/>
      <w:bookmarkStart w:id="1929" w:name="_Toc190"/>
      <w:bookmarkStart w:id="1930" w:name="_Toc76462353"/>
      <w:bookmarkStart w:id="1931" w:name="_Toc21368"/>
      <w:bookmarkStart w:id="1932" w:name="_Toc23426"/>
      <w:bookmarkStart w:id="1933" w:name="_Toc10514"/>
      <w:bookmarkStart w:id="1934" w:name="_Toc19652"/>
      <w:bookmarkStart w:id="1935" w:name="_Toc28090"/>
      <w:bookmarkStart w:id="1936" w:name="_Toc24352"/>
      <w:bookmarkStart w:id="1937" w:name="_Toc14005"/>
      <w:r>
        <w:rPr>
          <w:rFonts w:hint="eastAsia" w:ascii="宋体" w:hAnsi="宋体" w:cs="宋体"/>
          <w:color w:val="auto"/>
          <w:sz w:val="24"/>
          <w:highlight w:val="none"/>
        </w:rPr>
        <w:t>四、资格条件</w:t>
      </w:r>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r>
        <w:rPr>
          <w:rFonts w:hint="eastAsia" w:ascii="宋体" w:hAnsi="宋体" w:cs="宋体"/>
          <w:color w:val="auto"/>
          <w:sz w:val="24"/>
          <w:highlight w:val="none"/>
        </w:rPr>
        <w:t>及其他</w:t>
      </w:r>
      <w:bookmarkEnd w:id="1935"/>
      <w:bookmarkEnd w:id="1936"/>
      <w:bookmarkEnd w:id="1937"/>
    </w:p>
    <w:p w14:paraId="0A3063F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41CBCDD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4821133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761B0632">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777EF0A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10AA6F25">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53733906">
      <w:pPr>
        <w:keepNext w:val="0"/>
        <w:keepLines w:val="0"/>
        <w:pageBreakBefore w:val="0"/>
        <w:widowControl w:val="0"/>
        <w:kinsoku/>
        <w:wordWrap/>
        <w:topLinePunct w:val="0"/>
        <w:bidi w:val="0"/>
        <w:snapToGrid w:val="0"/>
        <w:spacing w:line="400" w:lineRule="exact"/>
        <w:ind w:firstLine="560" w:firstLineChars="200"/>
        <w:textAlignment w:val="auto"/>
        <w:rPr>
          <w:rFonts w:hint="eastAsia" w:ascii="宋体" w:hAnsi="宋体" w:cs="宋体"/>
          <w:color w:val="auto"/>
          <w:sz w:val="24"/>
          <w:szCs w:val="24"/>
          <w:highlight w:val="none"/>
        </w:rPr>
      </w:pPr>
      <w:r>
        <w:rPr>
          <w:rFonts w:hint="eastAsia" w:ascii="宋体" w:hAnsi="宋体" w:cs="宋体"/>
          <w:color w:val="auto"/>
          <w:highlight w:val="none"/>
        </w:rPr>
        <w:br w:type="page"/>
      </w:r>
      <w:bookmarkStart w:id="1938" w:name="_Toc21583"/>
      <w:r>
        <w:rPr>
          <w:rFonts w:hint="eastAsia" w:ascii="宋体" w:hAnsi="宋体" w:cs="宋体"/>
          <w:color w:val="auto"/>
          <w:sz w:val="24"/>
          <w:szCs w:val="24"/>
          <w:highlight w:val="none"/>
        </w:rPr>
        <w:t>（二）法定代表人身份证明书（格式）</w:t>
      </w:r>
      <w:bookmarkEnd w:id="1938"/>
    </w:p>
    <w:p w14:paraId="5FFC571B">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4047F9A6">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1802471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AFFAE8D">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000000"/>
          <w:sz w:val="24"/>
          <w:szCs w:val="24"/>
          <w:highlight w:val="none"/>
          <w:u w:val="none"/>
        </w:rPr>
        <w:t>采购人名称</w:t>
      </w:r>
      <w:r>
        <w:rPr>
          <w:rFonts w:hint="eastAsia" w:ascii="宋体" w:hAnsi="宋体" w:cs="宋体"/>
          <w:color w:val="auto"/>
          <w:sz w:val="24"/>
          <w:highlight w:val="none"/>
        </w:rPr>
        <w:t>）：</w:t>
      </w:r>
    </w:p>
    <w:p w14:paraId="378205F8">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11BFE50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49C6E5F2">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特此证明。</w:t>
      </w:r>
    </w:p>
    <w:p w14:paraId="42510DF7">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3E101F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024CAB17">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6100A416">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（供应商公章）</w:t>
      </w:r>
    </w:p>
    <w:p w14:paraId="71F45C92">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0378161">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8AA9F5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1D84D865">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75B74728">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CE631ED">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2FF2281">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0558659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18E3A27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4C7D8F2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051DC814">
      <w:pPr>
        <w:keepNext w:val="0"/>
        <w:keepLines w:val="0"/>
        <w:pageBreakBefore w:val="0"/>
        <w:widowControl w:val="0"/>
        <w:kinsoku/>
        <w:wordWrap/>
        <w:topLinePunct w:val="0"/>
        <w:bidi w:val="0"/>
        <w:snapToGrid w:val="0"/>
        <w:spacing w:line="400" w:lineRule="exact"/>
        <w:ind w:firstLine="560" w:firstLineChars="200"/>
        <w:textAlignment w:val="auto"/>
        <w:rPr>
          <w:rFonts w:hint="eastAsia" w:ascii="宋体" w:hAnsi="宋体" w:cs="宋体"/>
          <w:color w:val="auto"/>
          <w:sz w:val="24"/>
          <w:szCs w:val="24"/>
          <w:highlight w:val="none"/>
        </w:rPr>
      </w:pPr>
      <w:bookmarkStart w:id="1939" w:name="_Toc6560"/>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bookmarkEnd w:id="1939"/>
    </w:p>
    <w:p w14:paraId="056DE27E">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F78D9B4">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szCs w:val="28"/>
          <w:highlight w:val="none"/>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040062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354138F">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000000"/>
          <w:sz w:val="24"/>
          <w:szCs w:val="24"/>
          <w:highlight w:val="none"/>
          <w:u w:val="none"/>
        </w:rPr>
        <w:t>采购人名称</w:t>
      </w:r>
      <w:r>
        <w:rPr>
          <w:rFonts w:hint="eastAsia" w:ascii="宋体" w:hAnsi="宋体" w:cs="宋体"/>
          <w:color w:val="auto"/>
          <w:sz w:val="24"/>
          <w:highlight w:val="none"/>
        </w:rPr>
        <w:t>）：</w:t>
      </w:r>
    </w:p>
    <w:p w14:paraId="2ECCFBB8">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、签约等具体工作，并签署全部有关文件、协议及合同。</w:t>
      </w:r>
    </w:p>
    <w:p w14:paraId="7C2A82B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109040EF">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78BD708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CD19A01">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DC425E8">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被授权人：                                 供应商法定代表人：</w:t>
      </w:r>
    </w:p>
    <w:p w14:paraId="4AB6E2E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15D91EA6">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8"/>
          <w:highlight w:val="none"/>
        </w:rPr>
      </w:pPr>
    </w:p>
    <w:p w14:paraId="7FD10F0D">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1E456E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659AF8B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32E85DF">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12EE44B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306814AE">
      <w:pPr>
        <w:keepNext w:val="0"/>
        <w:keepLines w:val="0"/>
        <w:pageBreakBefore w:val="0"/>
        <w:widowControl w:val="0"/>
        <w:tabs>
          <w:tab w:val="left" w:pos="6300"/>
        </w:tabs>
        <w:kinsoku/>
        <w:wordWrap/>
        <w:topLinePunct w:val="0"/>
        <w:bidi w:val="0"/>
        <w:snapToGrid w:val="0"/>
        <w:spacing w:line="400" w:lineRule="exact"/>
        <w:ind w:right="480" w:firstLine="57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（供应商公章）</w:t>
      </w:r>
    </w:p>
    <w:p w14:paraId="3BB28714">
      <w:pPr>
        <w:keepNext w:val="0"/>
        <w:keepLines w:val="0"/>
        <w:pageBreakBefore w:val="0"/>
        <w:widowControl w:val="0"/>
        <w:tabs>
          <w:tab w:val="left" w:pos="6300"/>
        </w:tabs>
        <w:kinsoku/>
        <w:wordWrap/>
        <w:topLinePunct w:val="0"/>
        <w:bidi w:val="0"/>
        <w:snapToGrid w:val="0"/>
        <w:spacing w:line="400" w:lineRule="exact"/>
        <w:ind w:right="480" w:firstLine="57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年   月   日</w:t>
      </w:r>
    </w:p>
    <w:p w14:paraId="6C33C81C">
      <w:pPr>
        <w:keepNext w:val="0"/>
        <w:keepLines w:val="0"/>
        <w:pageBreakBefore w:val="0"/>
        <w:widowControl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7822037C">
      <w:pPr>
        <w:keepNext w:val="0"/>
        <w:keepLines w:val="0"/>
        <w:pageBreakBefore w:val="0"/>
        <w:widowControl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77C0F829">
      <w:pPr>
        <w:keepNext w:val="0"/>
        <w:keepLines w:val="0"/>
        <w:pageBreakBefore w:val="0"/>
        <w:widowControl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5ED337BC">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bookmarkStart w:id="1940" w:name="_Toc21253"/>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bookmarkEnd w:id="1940"/>
    </w:p>
    <w:p w14:paraId="0EE23CD3">
      <w:pPr>
        <w:keepNext w:val="0"/>
        <w:keepLines w:val="0"/>
        <w:pageBreakBefore w:val="0"/>
        <w:widowControl w:val="0"/>
        <w:tabs>
          <w:tab w:val="left" w:pos="6300"/>
        </w:tabs>
        <w:kinsoku/>
        <w:wordWrap/>
        <w:topLinePunct w:val="0"/>
        <w:bidi w:val="0"/>
        <w:snapToGrid w:val="0"/>
        <w:spacing w:line="400" w:lineRule="exact"/>
        <w:ind w:firstLine="570"/>
        <w:jc w:val="center"/>
        <w:textAlignment w:val="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基本资格条件承诺函</w:t>
      </w:r>
    </w:p>
    <w:p w14:paraId="70D0FA9C">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highlight w:val="none"/>
        </w:rPr>
      </w:pPr>
    </w:p>
    <w:p w14:paraId="28F156E9">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eastAsia="宋体" w:cs="宋体"/>
          <w:color w:val="000000"/>
          <w:sz w:val="24"/>
          <w:szCs w:val="24"/>
          <w:highlight w:val="none"/>
          <w:u w:val="none"/>
        </w:rPr>
        <w:t>采购人名称</w:t>
      </w:r>
      <w:r>
        <w:rPr>
          <w:rFonts w:hint="eastAsia" w:ascii="宋体" w:hAnsi="宋体" w:cs="宋体"/>
          <w:color w:val="auto"/>
          <w:sz w:val="24"/>
          <w:szCs w:val="24"/>
          <w:highlight w:val="none"/>
        </w:rPr>
        <w:t>）：</w:t>
      </w:r>
    </w:p>
    <w:p w14:paraId="5DF87094">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（供应商名称）郑重承诺：</w:t>
      </w:r>
    </w:p>
    <w:p w14:paraId="0A44A7DE">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，参加本项目采购活动前三年内无重大违法活动记录。</w:t>
      </w:r>
    </w:p>
    <w:p w14:paraId="6B6AA11D">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23C2CCE9">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25D5FB3E">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6FD5114F">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2DB5B835">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szCs w:val="24"/>
          <w:highlight w:val="none"/>
        </w:rPr>
      </w:pPr>
    </w:p>
    <w:p w14:paraId="294FB417">
      <w:pPr>
        <w:keepNext w:val="0"/>
        <w:keepLines w:val="0"/>
        <w:pageBreakBefore w:val="0"/>
        <w:widowControl w:val="0"/>
        <w:tabs>
          <w:tab w:val="left" w:pos="6300"/>
        </w:tabs>
        <w:kinsoku/>
        <w:wordWrap/>
        <w:topLinePunct w:val="0"/>
        <w:bidi w:val="0"/>
        <w:snapToGrid w:val="0"/>
        <w:spacing w:line="400" w:lineRule="exact"/>
        <w:ind w:right="424" w:firstLine="570"/>
        <w:jc w:val="righ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w:t>
      </w:r>
    </w:p>
    <w:p w14:paraId="56E744DC">
      <w:pPr>
        <w:keepNext w:val="0"/>
        <w:keepLines w:val="0"/>
        <w:pageBreakBefore w:val="0"/>
        <w:widowControl w:val="0"/>
        <w:tabs>
          <w:tab w:val="left" w:pos="6300"/>
        </w:tabs>
        <w:kinsoku/>
        <w:wordWrap/>
        <w:topLinePunct w:val="0"/>
        <w:bidi w:val="0"/>
        <w:snapToGrid w:val="0"/>
        <w:spacing w:line="400" w:lineRule="exact"/>
        <w:ind w:firstLine="7442" w:firstLineChars="3101"/>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417E5CA3">
      <w:pPr>
        <w:keepNext w:val="0"/>
        <w:keepLines w:val="0"/>
        <w:pageBreakBefore w:val="0"/>
        <w:widowControl w:val="0"/>
        <w:numPr>
          <w:ilvl w:val="0"/>
          <w:numId w:val="19"/>
        </w:numPr>
        <w:kinsoku/>
        <w:wordWrap/>
        <w:topLinePunct w:val="0"/>
        <w:bidi w:val="0"/>
        <w:snapToGrid w:val="0"/>
        <w:spacing w:line="400" w:lineRule="exact"/>
        <w:ind w:firstLine="56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highlight w:val="none"/>
        </w:rPr>
        <w:br w:type="page"/>
      </w:r>
      <w:bookmarkStart w:id="1941" w:name="_Toc25340"/>
      <w:r>
        <w:rPr>
          <w:rFonts w:hint="eastAsia" w:ascii="宋体" w:hAnsi="宋体" w:cs="宋体"/>
          <w:color w:val="auto"/>
          <w:sz w:val="24"/>
          <w:szCs w:val="24"/>
          <w:highlight w:val="none"/>
        </w:rPr>
        <w:t>特定资格条件</w:t>
      </w:r>
      <w:bookmarkEnd w:id="1941"/>
      <w:r>
        <w:rPr>
          <w:rFonts w:hint="eastAsia" w:ascii="宋体" w:hAnsi="宋体" w:cs="宋体"/>
          <w:color w:val="auto"/>
          <w:sz w:val="24"/>
          <w:szCs w:val="24"/>
          <w:highlight w:val="none"/>
          <w:lang w:val="en-US" w:eastAsia="zh-CN"/>
        </w:rPr>
        <w:t>证书或证明文件</w:t>
      </w:r>
    </w:p>
    <w:p w14:paraId="5AA3E5DF">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45C10D77">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71E7D599">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6A2E4406">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1B4624E3">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2593A643">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5D2DE68C">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2E7307DB">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6734322F">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36206CD7">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3BAE2646">
      <w:pPr>
        <w:pStyle w:val="23"/>
        <w:rPr>
          <w:rFonts w:hint="default" w:ascii="宋体" w:hAnsi="宋体" w:cs="宋体"/>
          <w:color w:val="auto"/>
          <w:sz w:val="24"/>
          <w:szCs w:val="24"/>
          <w:highlight w:val="none"/>
          <w:lang w:val="en-US" w:eastAsia="zh-CN"/>
        </w:rPr>
      </w:pPr>
    </w:p>
    <w:p w14:paraId="48B61E81">
      <w:pPr>
        <w:rPr>
          <w:rFonts w:hint="default" w:ascii="宋体" w:hAnsi="宋体" w:cs="宋体"/>
          <w:color w:val="auto"/>
          <w:sz w:val="24"/>
          <w:szCs w:val="24"/>
          <w:highlight w:val="none"/>
          <w:lang w:val="en-US" w:eastAsia="zh-CN"/>
        </w:rPr>
      </w:pPr>
    </w:p>
    <w:p w14:paraId="0D537486">
      <w:pPr>
        <w:pStyle w:val="23"/>
        <w:rPr>
          <w:rFonts w:hint="default" w:ascii="宋体" w:hAnsi="宋体" w:cs="宋体"/>
          <w:color w:val="auto"/>
          <w:sz w:val="24"/>
          <w:szCs w:val="24"/>
          <w:highlight w:val="none"/>
          <w:lang w:val="en-US" w:eastAsia="zh-CN"/>
        </w:rPr>
      </w:pPr>
    </w:p>
    <w:p w14:paraId="1350AC67">
      <w:pPr>
        <w:rPr>
          <w:rFonts w:hint="default" w:ascii="宋体" w:hAnsi="宋体" w:cs="宋体"/>
          <w:color w:val="auto"/>
          <w:sz w:val="24"/>
          <w:szCs w:val="24"/>
          <w:highlight w:val="none"/>
          <w:lang w:val="en-US" w:eastAsia="zh-CN"/>
        </w:rPr>
      </w:pPr>
    </w:p>
    <w:p w14:paraId="61E55596">
      <w:pPr>
        <w:pStyle w:val="23"/>
        <w:rPr>
          <w:rFonts w:hint="default" w:ascii="宋体" w:hAnsi="宋体" w:cs="宋体"/>
          <w:color w:val="auto"/>
          <w:sz w:val="24"/>
          <w:szCs w:val="24"/>
          <w:highlight w:val="none"/>
          <w:lang w:val="en-US" w:eastAsia="zh-CN"/>
        </w:rPr>
      </w:pPr>
    </w:p>
    <w:p w14:paraId="4A6FDBAF">
      <w:pPr>
        <w:rPr>
          <w:rFonts w:hint="default" w:ascii="宋体" w:hAnsi="宋体" w:cs="宋体"/>
          <w:color w:val="auto"/>
          <w:sz w:val="24"/>
          <w:szCs w:val="24"/>
          <w:highlight w:val="none"/>
          <w:lang w:val="en-US" w:eastAsia="zh-CN"/>
        </w:rPr>
      </w:pPr>
    </w:p>
    <w:p w14:paraId="5BB362BD">
      <w:pPr>
        <w:pStyle w:val="23"/>
        <w:rPr>
          <w:rFonts w:hint="default" w:ascii="宋体" w:hAnsi="宋体" w:cs="宋体"/>
          <w:color w:val="auto"/>
          <w:sz w:val="24"/>
          <w:szCs w:val="24"/>
          <w:highlight w:val="none"/>
          <w:lang w:val="en-US" w:eastAsia="zh-CN"/>
        </w:rPr>
      </w:pPr>
    </w:p>
    <w:p w14:paraId="0E5B6585">
      <w:pPr>
        <w:rPr>
          <w:rFonts w:hint="default" w:ascii="宋体" w:hAnsi="宋体" w:cs="宋体"/>
          <w:color w:val="auto"/>
          <w:sz w:val="24"/>
          <w:szCs w:val="24"/>
          <w:highlight w:val="none"/>
          <w:lang w:val="en-US" w:eastAsia="zh-CN"/>
        </w:rPr>
      </w:pPr>
    </w:p>
    <w:p w14:paraId="5EFC3C5B">
      <w:pPr>
        <w:pStyle w:val="23"/>
        <w:rPr>
          <w:rFonts w:hint="default" w:ascii="宋体" w:hAnsi="宋体" w:cs="宋体"/>
          <w:color w:val="auto"/>
          <w:sz w:val="24"/>
          <w:szCs w:val="24"/>
          <w:highlight w:val="none"/>
          <w:lang w:val="en-US" w:eastAsia="zh-CN"/>
        </w:rPr>
      </w:pPr>
    </w:p>
    <w:p w14:paraId="56FBE058">
      <w:pPr>
        <w:rPr>
          <w:rFonts w:hint="default" w:ascii="宋体" w:hAnsi="宋体" w:cs="宋体"/>
          <w:color w:val="auto"/>
          <w:sz w:val="24"/>
          <w:szCs w:val="24"/>
          <w:highlight w:val="none"/>
          <w:lang w:val="en-US" w:eastAsia="zh-CN"/>
        </w:rPr>
      </w:pPr>
    </w:p>
    <w:p w14:paraId="1D37F692">
      <w:pPr>
        <w:pStyle w:val="23"/>
        <w:rPr>
          <w:rFonts w:hint="default" w:ascii="宋体" w:hAnsi="宋体" w:cs="宋体"/>
          <w:color w:val="auto"/>
          <w:sz w:val="24"/>
          <w:szCs w:val="24"/>
          <w:highlight w:val="none"/>
          <w:lang w:val="en-US" w:eastAsia="zh-CN"/>
        </w:rPr>
      </w:pPr>
    </w:p>
    <w:p w14:paraId="356FA87D">
      <w:pPr>
        <w:rPr>
          <w:rFonts w:hint="default" w:ascii="宋体" w:hAnsi="宋体" w:cs="宋体"/>
          <w:color w:val="auto"/>
          <w:sz w:val="24"/>
          <w:szCs w:val="24"/>
          <w:highlight w:val="none"/>
          <w:lang w:val="en-US" w:eastAsia="zh-CN"/>
        </w:rPr>
      </w:pPr>
    </w:p>
    <w:p w14:paraId="08EDA2FB">
      <w:pPr>
        <w:pStyle w:val="23"/>
        <w:rPr>
          <w:rFonts w:hint="default" w:ascii="宋体" w:hAnsi="宋体" w:cs="宋体"/>
          <w:color w:val="auto"/>
          <w:sz w:val="24"/>
          <w:szCs w:val="24"/>
          <w:highlight w:val="none"/>
          <w:lang w:val="en-US" w:eastAsia="zh-CN"/>
        </w:rPr>
      </w:pPr>
    </w:p>
    <w:p w14:paraId="1DAB132A">
      <w:pPr>
        <w:rPr>
          <w:rFonts w:hint="default" w:ascii="宋体" w:hAnsi="宋体" w:cs="宋体"/>
          <w:color w:val="auto"/>
          <w:sz w:val="24"/>
          <w:szCs w:val="24"/>
          <w:highlight w:val="none"/>
          <w:lang w:val="en-US" w:eastAsia="zh-CN"/>
        </w:rPr>
      </w:pPr>
    </w:p>
    <w:p w14:paraId="75D53CDB">
      <w:pPr>
        <w:pStyle w:val="23"/>
        <w:rPr>
          <w:rFonts w:hint="default" w:ascii="宋体" w:hAnsi="宋体" w:cs="宋体"/>
          <w:color w:val="auto"/>
          <w:sz w:val="24"/>
          <w:szCs w:val="24"/>
          <w:highlight w:val="none"/>
          <w:lang w:val="en-US" w:eastAsia="zh-CN"/>
        </w:rPr>
      </w:pPr>
    </w:p>
    <w:p w14:paraId="11FB95DD">
      <w:pPr>
        <w:rPr>
          <w:rFonts w:hint="default" w:ascii="宋体" w:hAnsi="宋体" w:cs="宋体"/>
          <w:color w:val="auto"/>
          <w:sz w:val="24"/>
          <w:szCs w:val="24"/>
          <w:highlight w:val="none"/>
          <w:lang w:val="en-US" w:eastAsia="zh-CN"/>
        </w:rPr>
      </w:pPr>
    </w:p>
    <w:p w14:paraId="6A7CE6BA">
      <w:pPr>
        <w:pStyle w:val="23"/>
        <w:rPr>
          <w:rFonts w:hint="default" w:ascii="宋体" w:hAnsi="宋体" w:cs="宋体"/>
          <w:color w:val="auto"/>
          <w:sz w:val="24"/>
          <w:szCs w:val="24"/>
          <w:highlight w:val="none"/>
          <w:lang w:val="en-US" w:eastAsia="zh-CN"/>
        </w:rPr>
      </w:pPr>
    </w:p>
    <w:p w14:paraId="0E5D01A5">
      <w:pPr>
        <w:rPr>
          <w:rFonts w:hint="default" w:ascii="宋体" w:hAnsi="宋体" w:cs="宋体"/>
          <w:color w:val="auto"/>
          <w:sz w:val="24"/>
          <w:szCs w:val="24"/>
          <w:highlight w:val="none"/>
          <w:lang w:val="en-US" w:eastAsia="zh-CN"/>
        </w:rPr>
      </w:pPr>
    </w:p>
    <w:p w14:paraId="0BD6F8FA">
      <w:pPr>
        <w:pStyle w:val="23"/>
        <w:rPr>
          <w:rFonts w:hint="default" w:ascii="宋体" w:hAnsi="宋体" w:cs="宋体"/>
          <w:color w:val="auto"/>
          <w:sz w:val="24"/>
          <w:szCs w:val="24"/>
          <w:highlight w:val="none"/>
          <w:lang w:val="en-US" w:eastAsia="zh-CN"/>
        </w:rPr>
      </w:pPr>
    </w:p>
    <w:p w14:paraId="44874BC5">
      <w:pPr>
        <w:rPr>
          <w:rFonts w:hint="default" w:ascii="宋体" w:hAnsi="宋体" w:cs="宋体"/>
          <w:color w:val="auto"/>
          <w:sz w:val="24"/>
          <w:szCs w:val="24"/>
          <w:highlight w:val="none"/>
          <w:lang w:val="en-US" w:eastAsia="zh-CN"/>
        </w:rPr>
      </w:pPr>
    </w:p>
    <w:p w14:paraId="47627FFA">
      <w:pPr>
        <w:pStyle w:val="23"/>
        <w:rPr>
          <w:rFonts w:hint="default" w:ascii="宋体" w:hAnsi="宋体" w:cs="宋体"/>
          <w:color w:val="auto"/>
          <w:sz w:val="24"/>
          <w:szCs w:val="24"/>
          <w:highlight w:val="none"/>
          <w:lang w:val="en-US" w:eastAsia="zh-CN"/>
        </w:rPr>
      </w:pPr>
    </w:p>
    <w:p w14:paraId="74AF94F5">
      <w:pPr>
        <w:rPr>
          <w:rFonts w:hint="default" w:ascii="宋体" w:hAnsi="宋体" w:cs="宋体"/>
          <w:color w:val="auto"/>
          <w:sz w:val="24"/>
          <w:szCs w:val="24"/>
          <w:highlight w:val="none"/>
          <w:lang w:val="en-US" w:eastAsia="zh-CN"/>
        </w:rPr>
      </w:pPr>
    </w:p>
    <w:p w14:paraId="0EF01C6B">
      <w:pPr>
        <w:pStyle w:val="23"/>
        <w:rPr>
          <w:rFonts w:hint="default" w:ascii="宋体" w:hAnsi="宋体" w:cs="宋体"/>
          <w:color w:val="auto"/>
          <w:sz w:val="24"/>
          <w:szCs w:val="24"/>
          <w:highlight w:val="none"/>
          <w:lang w:val="en-US" w:eastAsia="zh-CN"/>
        </w:rPr>
      </w:pPr>
    </w:p>
    <w:p w14:paraId="04ED5A19">
      <w:pPr>
        <w:rPr>
          <w:rFonts w:hint="default" w:ascii="宋体" w:hAnsi="宋体" w:cs="宋体"/>
          <w:color w:val="auto"/>
          <w:sz w:val="24"/>
          <w:szCs w:val="24"/>
          <w:highlight w:val="none"/>
          <w:lang w:val="en-US" w:eastAsia="zh-CN"/>
        </w:rPr>
      </w:pPr>
    </w:p>
    <w:p w14:paraId="200D7CCD">
      <w:pPr>
        <w:pStyle w:val="23"/>
        <w:rPr>
          <w:rFonts w:hint="default" w:ascii="宋体" w:hAnsi="宋体" w:cs="宋体"/>
          <w:color w:val="auto"/>
          <w:sz w:val="24"/>
          <w:szCs w:val="24"/>
          <w:highlight w:val="none"/>
          <w:lang w:val="en-US" w:eastAsia="zh-CN"/>
        </w:rPr>
      </w:pPr>
    </w:p>
    <w:p w14:paraId="05BB1E1B">
      <w:pPr>
        <w:rPr>
          <w:rFonts w:hint="default" w:ascii="宋体" w:hAnsi="宋体" w:cs="宋体"/>
          <w:color w:val="auto"/>
          <w:sz w:val="24"/>
          <w:szCs w:val="24"/>
          <w:highlight w:val="none"/>
          <w:lang w:val="en-US" w:eastAsia="zh-CN"/>
        </w:rPr>
      </w:pPr>
    </w:p>
    <w:p w14:paraId="7CDAC4C6">
      <w:pPr>
        <w:pStyle w:val="23"/>
        <w:rPr>
          <w:rFonts w:hint="default" w:ascii="宋体" w:hAnsi="宋体" w:cs="宋体"/>
          <w:color w:val="auto"/>
          <w:sz w:val="24"/>
          <w:szCs w:val="24"/>
          <w:highlight w:val="none"/>
          <w:lang w:val="en-US" w:eastAsia="zh-CN"/>
        </w:rPr>
      </w:pPr>
    </w:p>
    <w:p w14:paraId="0D26E33A">
      <w:pPr>
        <w:rPr>
          <w:rFonts w:hint="default" w:ascii="宋体" w:hAnsi="宋体" w:cs="宋体"/>
          <w:color w:val="auto"/>
          <w:sz w:val="24"/>
          <w:szCs w:val="24"/>
          <w:highlight w:val="none"/>
          <w:lang w:val="en-US" w:eastAsia="zh-CN"/>
        </w:rPr>
      </w:pPr>
    </w:p>
    <w:p w14:paraId="5C452CA9">
      <w:pPr>
        <w:pStyle w:val="23"/>
        <w:rPr>
          <w:rFonts w:hint="default" w:ascii="宋体" w:hAnsi="宋体" w:cs="宋体"/>
          <w:color w:val="auto"/>
          <w:sz w:val="24"/>
          <w:szCs w:val="24"/>
          <w:highlight w:val="none"/>
          <w:lang w:val="en-US" w:eastAsia="zh-CN"/>
        </w:rPr>
      </w:pPr>
    </w:p>
    <w:p w14:paraId="7C742971">
      <w:pPr>
        <w:rPr>
          <w:rFonts w:hint="default"/>
          <w:color w:val="auto"/>
          <w:highlight w:val="none"/>
          <w:lang w:val="en-US" w:eastAsia="zh-CN"/>
        </w:rPr>
      </w:pPr>
    </w:p>
    <w:p w14:paraId="38491027">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2ACC526C">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五、其他资料</w:t>
      </w:r>
    </w:p>
    <w:p w14:paraId="55600F88">
      <w:pPr>
        <w:keepNext w:val="0"/>
        <w:keepLines w:val="0"/>
        <w:pageBreakBefore w:val="0"/>
        <w:widowControl w:val="0"/>
        <w:kinsoku/>
        <w:wordWrap/>
        <w:topLinePunct w:val="0"/>
        <w:bidi w:val="0"/>
        <w:adjustRightInd w:val="0"/>
        <w:snapToGrid w:val="0"/>
        <w:spacing w:line="400" w:lineRule="exact"/>
        <w:ind w:firstLine="960" w:firstLineChars="4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自附）</w:t>
      </w:r>
    </w:p>
    <w:p w14:paraId="04D2900D">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15A214E3">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25AFC15D">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2BA3E8C">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30771C61">
      <w:pPr>
        <w:pStyle w:val="23"/>
        <w:keepNext w:val="0"/>
        <w:keepLines w:val="0"/>
        <w:pageBreakBefore w:val="0"/>
        <w:widowControl w:val="0"/>
        <w:kinsoku/>
        <w:wordWrap/>
        <w:topLinePunct w:val="0"/>
        <w:bidi w:val="0"/>
        <w:spacing w:line="40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（结束）</w:t>
      </w:r>
    </w:p>
    <w:p w14:paraId="0DACFFBB">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2AA04AF9">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314B87C">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1DACA10">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01FFE3C3">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8DBBB4F">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A5125B5">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7BC3B40">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4EF15D5">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1B703D0B">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E21E44A">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5C55B9F">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FA4EE00">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34F22470">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6F81C71">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B9BD42E">
      <w:pPr>
        <w:pStyle w:val="23"/>
        <w:rPr>
          <w:rFonts w:hint="eastAsia" w:ascii="宋体" w:hAnsi="宋体" w:cs="宋体"/>
          <w:color w:val="auto"/>
          <w:sz w:val="24"/>
          <w:szCs w:val="24"/>
          <w:highlight w:val="none"/>
          <w:lang w:val="en-US" w:eastAsia="zh-CN"/>
        </w:rPr>
      </w:pPr>
    </w:p>
    <w:p w14:paraId="644720BD">
      <w:pPr>
        <w:rPr>
          <w:rFonts w:hint="eastAsia" w:ascii="宋体" w:hAnsi="宋体" w:cs="宋体"/>
          <w:color w:val="auto"/>
          <w:sz w:val="24"/>
          <w:szCs w:val="24"/>
          <w:highlight w:val="none"/>
          <w:lang w:val="en-US" w:eastAsia="zh-CN"/>
        </w:rPr>
      </w:pPr>
    </w:p>
    <w:p w14:paraId="15C8EC8A">
      <w:pPr>
        <w:pStyle w:val="23"/>
        <w:rPr>
          <w:rFonts w:hint="eastAsia" w:ascii="宋体" w:hAnsi="宋体" w:cs="宋体"/>
          <w:color w:val="auto"/>
          <w:sz w:val="24"/>
          <w:szCs w:val="24"/>
          <w:highlight w:val="none"/>
          <w:lang w:val="en-US" w:eastAsia="zh-CN"/>
        </w:rPr>
      </w:pPr>
    </w:p>
    <w:p w14:paraId="65EE9C1A">
      <w:pPr>
        <w:rPr>
          <w:rFonts w:hint="eastAsia" w:ascii="宋体" w:hAnsi="宋体" w:cs="宋体"/>
          <w:color w:val="auto"/>
          <w:sz w:val="24"/>
          <w:szCs w:val="24"/>
          <w:highlight w:val="none"/>
          <w:lang w:val="en-US" w:eastAsia="zh-CN"/>
        </w:rPr>
      </w:pPr>
    </w:p>
    <w:p w14:paraId="3F0D727A">
      <w:pPr>
        <w:pStyle w:val="23"/>
        <w:rPr>
          <w:rFonts w:hint="eastAsia" w:ascii="宋体" w:hAnsi="宋体" w:cs="宋体"/>
          <w:color w:val="auto"/>
          <w:sz w:val="24"/>
          <w:szCs w:val="24"/>
          <w:highlight w:val="none"/>
          <w:lang w:val="en-US" w:eastAsia="zh-CN"/>
        </w:rPr>
      </w:pPr>
    </w:p>
    <w:p w14:paraId="347F96C7">
      <w:pPr>
        <w:rPr>
          <w:rFonts w:hint="eastAsia" w:ascii="宋体" w:hAnsi="宋体" w:cs="宋体"/>
          <w:color w:val="auto"/>
          <w:sz w:val="24"/>
          <w:szCs w:val="24"/>
          <w:highlight w:val="none"/>
          <w:lang w:val="en-US" w:eastAsia="zh-CN"/>
        </w:rPr>
      </w:pPr>
    </w:p>
    <w:p w14:paraId="26B079C7">
      <w:pPr>
        <w:pStyle w:val="23"/>
        <w:rPr>
          <w:rFonts w:hint="eastAsia" w:ascii="宋体" w:hAnsi="宋体" w:cs="宋体"/>
          <w:color w:val="auto"/>
          <w:sz w:val="24"/>
          <w:szCs w:val="24"/>
          <w:highlight w:val="none"/>
          <w:lang w:val="en-US" w:eastAsia="zh-CN"/>
        </w:rPr>
      </w:pPr>
    </w:p>
    <w:p w14:paraId="1F38F46D">
      <w:pPr>
        <w:rPr>
          <w:rFonts w:hint="eastAsia" w:ascii="宋体" w:hAnsi="宋体" w:cs="宋体"/>
          <w:color w:val="auto"/>
          <w:sz w:val="24"/>
          <w:szCs w:val="24"/>
          <w:highlight w:val="none"/>
          <w:lang w:val="en-US" w:eastAsia="zh-CN"/>
        </w:rPr>
      </w:pPr>
    </w:p>
    <w:p w14:paraId="6967FBDD">
      <w:pPr>
        <w:pStyle w:val="23"/>
        <w:rPr>
          <w:rFonts w:hint="eastAsia" w:ascii="宋体" w:hAnsi="宋体" w:cs="宋体"/>
          <w:color w:val="auto"/>
          <w:sz w:val="24"/>
          <w:szCs w:val="24"/>
          <w:highlight w:val="none"/>
          <w:lang w:val="en-US" w:eastAsia="zh-CN"/>
        </w:rPr>
      </w:pPr>
    </w:p>
    <w:p w14:paraId="699C4273">
      <w:pPr>
        <w:rPr>
          <w:rFonts w:hint="eastAsia" w:ascii="宋体" w:hAnsi="宋体" w:cs="宋体"/>
          <w:color w:val="auto"/>
          <w:sz w:val="24"/>
          <w:szCs w:val="24"/>
          <w:highlight w:val="none"/>
          <w:lang w:val="en-US" w:eastAsia="zh-CN"/>
        </w:rPr>
      </w:pPr>
    </w:p>
    <w:p w14:paraId="78443C5D">
      <w:pPr>
        <w:pStyle w:val="23"/>
        <w:rPr>
          <w:rFonts w:hint="eastAsia" w:ascii="宋体" w:hAnsi="宋体" w:cs="宋体"/>
          <w:color w:val="auto"/>
          <w:sz w:val="24"/>
          <w:szCs w:val="24"/>
          <w:highlight w:val="none"/>
          <w:lang w:val="en-US" w:eastAsia="zh-CN"/>
        </w:rPr>
      </w:pPr>
    </w:p>
    <w:p w14:paraId="5C21C42E">
      <w:pPr>
        <w:rPr>
          <w:rFonts w:hint="eastAsia" w:ascii="宋体" w:hAnsi="宋体" w:cs="宋体"/>
          <w:color w:val="auto"/>
          <w:sz w:val="24"/>
          <w:szCs w:val="24"/>
          <w:highlight w:val="none"/>
          <w:lang w:val="en-US" w:eastAsia="zh-CN"/>
        </w:rPr>
      </w:pPr>
    </w:p>
    <w:p w14:paraId="3BD6808A">
      <w:pPr>
        <w:pStyle w:val="23"/>
        <w:rPr>
          <w:rFonts w:hint="eastAsia" w:ascii="宋体" w:hAnsi="宋体" w:cs="宋体"/>
          <w:color w:val="auto"/>
          <w:sz w:val="24"/>
          <w:szCs w:val="24"/>
          <w:highlight w:val="none"/>
          <w:lang w:val="en-US" w:eastAsia="zh-CN"/>
        </w:rPr>
      </w:pPr>
    </w:p>
    <w:p w14:paraId="2D4CDDDC">
      <w:pPr>
        <w:rPr>
          <w:rFonts w:hint="eastAsia" w:ascii="宋体" w:hAnsi="宋体" w:cs="宋体"/>
          <w:color w:val="auto"/>
          <w:sz w:val="24"/>
          <w:szCs w:val="24"/>
          <w:highlight w:val="none"/>
          <w:lang w:val="en-US" w:eastAsia="zh-CN"/>
        </w:rPr>
      </w:pPr>
    </w:p>
    <w:p w14:paraId="2B056B6B">
      <w:pPr>
        <w:pStyle w:val="23"/>
        <w:rPr>
          <w:rFonts w:hint="eastAsia" w:ascii="宋体" w:hAnsi="宋体" w:cs="宋体"/>
          <w:color w:val="auto"/>
          <w:sz w:val="24"/>
          <w:szCs w:val="24"/>
          <w:highlight w:val="none"/>
          <w:lang w:val="en-US" w:eastAsia="zh-CN"/>
        </w:rPr>
      </w:pPr>
    </w:p>
    <w:p w14:paraId="5C070704">
      <w:pPr>
        <w:pStyle w:val="378"/>
        <w:keepNext w:val="0"/>
        <w:keepLines w:val="0"/>
        <w:pageBreakBefore w:val="0"/>
        <w:widowControl w:val="0"/>
        <w:tabs>
          <w:tab w:val="right" w:leader="dot" w:pos="9402"/>
        </w:tabs>
        <w:kinsoku/>
        <w:wordWrap/>
        <w:topLinePunct w:val="0"/>
        <w:bidi w:val="0"/>
        <w:spacing w:line="400" w:lineRule="exact"/>
        <w:jc w:val="center"/>
        <w:textAlignment w:val="auto"/>
        <w:outlineLvl w:val="9"/>
        <w:rPr>
          <w:rFonts w:hint="eastAsia" w:ascii="宋体" w:hAnsi="宋体" w:eastAsia="宋体" w:cs="宋体"/>
          <w:color w:val="auto"/>
          <w:sz w:val="24"/>
          <w:szCs w:val="24"/>
          <w:highlight w:val="none"/>
        </w:rPr>
      </w:pPr>
      <w:bookmarkStart w:id="1942" w:name="_Toc27634"/>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信息卡</w:t>
      </w:r>
      <w:bookmarkEnd w:id="1942"/>
    </w:p>
    <w:p w14:paraId="0FFEF8A5">
      <w:pPr>
        <w:pStyle w:val="386"/>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3980063E">
      <w:pPr>
        <w:pStyle w:val="386"/>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p>
    <w:p w14:paraId="3A60E2F5">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w:t>
      </w:r>
    </w:p>
    <w:p w14:paraId="476B9921">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w:t>
      </w:r>
    </w:p>
    <w:p w14:paraId="159A98A1">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166E0DE4">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授权代表：</w:t>
      </w:r>
    </w:p>
    <w:p w14:paraId="007443A4">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16126E72">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A0E30EC">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p>
    <w:p w14:paraId="241A3676">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p>
    <w:p w14:paraId="20FFF75F">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p>
    <w:p w14:paraId="39857C35">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42A3BC48">
      <w:pPr>
        <w:keepNext w:val="0"/>
        <w:keepLines w:val="0"/>
        <w:pageBreakBefore w:val="0"/>
        <w:widowControl w:val="0"/>
        <w:kinsoku/>
        <w:wordWrap/>
        <w:topLinePunct w:val="0"/>
        <w:bidi w:val="0"/>
        <w:spacing w:line="400" w:lineRule="exact"/>
        <w:ind w:left="716" w:hanging="716" w:hangingChars="297"/>
        <w:textAlignment w:val="auto"/>
        <w:rPr>
          <w:rFonts w:hint="eastAsia" w:ascii="宋体" w:hAnsi="宋体" w:eastAsia="宋体" w:cs="宋体"/>
          <w:b/>
          <w:color w:val="auto"/>
          <w:sz w:val="24"/>
          <w:szCs w:val="24"/>
          <w:highlight w:val="none"/>
        </w:rPr>
      </w:pPr>
    </w:p>
    <w:p w14:paraId="73E03576">
      <w:pPr>
        <w:keepNext w:val="0"/>
        <w:keepLines w:val="0"/>
        <w:pageBreakBefore w:val="0"/>
        <w:widowControl w:val="0"/>
        <w:kinsoku/>
        <w:wordWrap/>
        <w:topLinePunct w:val="0"/>
        <w:bidi w:val="0"/>
        <w:spacing w:line="400" w:lineRule="exact"/>
        <w:ind w:left="716" w:hanging="716" w:hangingChars="297"/>
        <w:textAlignment w:val="auto"/>
        <w:rPr>
          <w:rFonts w:hint="eastAsia" w:ascii="宋体" w:hAnsi="宋体" w:eastAsia="宋体" w:cs="宋体"/>
          <w:b/>
          <w:color w:val="auto"/>
          <w:sz w:val="24"/>
          <w:szCs w:val="24"/>
          <w:highlight w:val="none"/>
        </w:rPr>
      </w:pPr>
    </w:p>
    <w:p w14:paraId="00BC3302">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6CF056EC">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5A5E0FB0">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55452C48">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07E8BA5E">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46E9102E">
      <w:pPr>
        <w:keepNext w:val="0"/>
        <w:keepLines w:val="0"/>
        <w:pageBreakBefore w:val="0"/>
        <w:widowControl w:val="0"/>
        <w:kinsoku/>
        <w:wordWrap/>
        <w:topLinePunct w:val="0"/>
        <w:bidi w:val="0"/>
        <w:spacing w:line="40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注：该“</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信息卡”由</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在投标时现场递交（内容填写完整或打印并加盖公章，不得装入密封投标文件内）。</w:t>
      </w:r>
    </w:p>
    <w:p w14:paraId="011A90E6">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05FB1904">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9734E41">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1E184C73">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85BC41A">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94B15DC">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22C94172">
      <w:pPr>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515886DD">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5A9B9568">
      <w:pPr>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0B852A8B">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5A0833CC">
      <w:pPr>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2C5063B8">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1A9B4450">
      <w:pPr>
        <w:keepNext w:val="0"/>
        <w:keepLines w:val="0"/>
        <w:pageBreakBefore w:val="0"/>
        <w:widowControl w:val="0"/>
        <w:kinsoku/>
        <w:topLinePunct w:val="0"/>
        <w:bidi w:val="0"/>
        <w:rPr>
          <w:rFonts w:hint="eastAsia"/>
          <w:color w:val="auto"/>
          <w:highlight w:val="none"/>
          <w:lang w:val="en-US" w:eastAsia="zh-CN"/>
        </w:rPr>
      </w:pPr>
    </w:p>
    <w:p w14:paraId="50AEECE1">
      <w:pPr>
        <w:pStyle w:val="23"/>
        <w:keepNext w:val="0"/>
        <w:keepLines w:val="0"/>
        <w:pageBreakBefore w:val="0"/>
        <w:widowControl w:val="0"/>
        <w:kinsoku/>
        <w:topLinePunct w:val="0"/>
        <w:bidi w:val="0"/>
        <w:rPr>
          <w:rFonts w:hint="eastAsia"/>
          <w:color w:val="auto"/>
          <w:highlight w:val="none"/>
          <w:lang w:val="en-US" w:eastAsia="zh-CN"/>
        </w:rPr>
      </w:pPr>
    </w:p>
    <w:p w14:paraId="0A0F2A13">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r>
        <w:rPr>
          <w:rFonts w:hint="eastAsia" w:ascii="宋体" w:hAnsi="宋体" w:cs="宋体"/>
          <w:color w:val="auto"/>
          <w:sz w:val="24"/>
          <w:szCs w:val="24"/>
          <w:highlight w:val="none"/>
          <w:lang w:val="en-US" w:eastAsia="zh-CN"/>
        </w:rPr>
        <w:t>附件二：报名表</w:t>
      </w:r>
    </w:p>
    <w:tbl>
      <w:tblPr>
        <w:tblStyle w:val="6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152CA2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25A54B48">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p>
        </w:tc>
        <w:tc>
          <w:tcPr>
            <w:tcW w:w="7407" w:type="dxa"/>
            <w:gridSpan w:val="3"/>
            <w:noWrap w:val="0"/>
            <w:vAlign w:val="center"/>
          </w:tcPr>
          <w:p w14:paraId="381630F1">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r>
      <w:tr w14:paraId="2907C4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4EFB4F2B">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07" w:type="dxa"/>
            <w:gridSpan w:val="3"/>
            <w:noWrap w:val="0"/>
            <w:vAlign w:val="center"/>
          </w:tcPr>
          <w:p w14:paraId="650E620A">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r>
      <w:tr w14:paraId="539550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65376B3C">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7407" w:type="dxa"/>
            <w:gridSpan w:val="3"/>
            <w:noWrap w:val="0"/>
            <w:vAlign w:val="center"/>
          </w:tcPr>
          <w:p w14:paraId="1F1885FA">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（供应商公章）</w:t>
            </w:r>
          </w:p>
        </w:tc>
      </w:tr>
      <w:tr w14:paraId="0B3DEA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76B70D70">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91" w:type="dxa"/>
            <w:noWrap w:val="0"/>
            <w:vAlign w:val="center"/>
          </w:tcPr>
          <w:p w14:paraId="24F85DE9">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1051" w:type="dxa"/>
            <w:noWrap w:val="0"/>
            <w:vAlign w:val="center"/>
          </w:tcPr>
          <w:p w14:paraId="5F1C09E1">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3965" w:type="dxa"/>
            <w:noWrap w:val="0"/>
            <w:vAlign w:val="center"/>
          </w:tcPr>
          <w:p w14:paraId="674DEBF9">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0DC095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3FBCADE3">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391" w:type="dxa"/>
            <w:noWrap w:val="0"/>
            <w:vAlign w:val="center"/>
          </w:tcPr>
          <w:p w14:paraId="6DAE70C6">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1051" w:type="dxa"/>
            <w:noWrap w:val="0"/>
            <w:vAlign w:val="center"/>
          </w:tcPr>
          <w:p w14:paraId="610160C2">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965" w:type="dxa"/>
            <w:noWrap w:val="0"/>
            <w:vAlign w:val="center"/>
          </w:tcPr>
          <w:p w14:paraId="40EB7E19">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4FB0D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737692AE">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7407" w:type="dxa"/>
            <w:gridSpan w:val="3"/>
            <w:noWrap w:val="0"/>
            <w:vAlign w:val="center"/>
          </w:tcPr>
          <w:p w14:paraId="4113C553">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6006CA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67CC8E34">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407" w:type="dxa"/>
            <w:gridSpan w:val="3"/>
            <w:noWrap w:val="0"/>
            <w:vAlign w:val="center"/>
          </w:tcPr>
          <w:p w14:paraId="7239517F">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bl>
    <w:p w14:paraId="4A5168CC">
      <w:pPr>
        <w:keepNext w:val="0"/>
        <w:keepLines w:val="0"/>
        <w:pageBreakBefore w:val="0"/>
        <w:widowControl w:val="0"/>
        <w:kinsoku/>
        <w:wordWrap/>
        <w:topLinePunct w:val="0"/>
        <w:bidi w:val="0"/>
        <w:spacing w:line="400" w:lineRule="exact"/>
        <w:ind w:right="-372" w:rightChars="-133"/>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采购文件售价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500</w:t>
      </w:r>
      <w:r>
        <w:rPr>
          <w:rFonts w:hint="eastAsia" w:ascii="宋体" w:hAnsi="宋体" w:eastAsia="宋体" w:cs="宋体"/>
          <w:color w:val="auto"/>
          <w:sz w:val="24"/>
          <w:szCs w:val="24"/>
          <w:highlight w:val="none"/>
          <w:lang w:eastAsia="zh-CN"/>
        </w:rPr>
        <w:t>元/份</w:t>
      </w:r>
      <w:r>
        <w:rPr>
          <w:rFonts w:hint="eastAsia" w:ascii="宋体" w:hAnsi="宋体" w:eastAsia="宋体" w:cs="宋体"/>
          <w:color w:val="auto"/>
          <w:sz w:val="24"/>
          <w:szCs w:val="24"/>
          <w:highlight w:val="none"/>
          <w:lang w:val="en-US" w:eastAsia="zh-CN"/>
        </w:rPr>
        <w:t xml:space="preserve">             代理机构</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重庆颢越工程管理有限公司</w:t>
      </w:r>
      <w:r>
        <w:rPr>
          <w:rFonts w:hint="eastAsia" w:ascii="宋体" w:hAnsi="宋体" w:eastAsia="宋体" w:cs="宋体"/>
          <w:color w:val="auto"/>
          <w:sz w:val="24"/>
          <w:szCs w:val="24"/>
          <w:highlight w:val="none"/>
          <w:lang w:val="en-US" w:eastAsia="zh-CN"/>
        </w:rPr>
        <w:t xml:space="preserve">  </w:t>
      </w:r>
    </w:p>
    <w:p w14:paraId="1438512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26420D5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相关说明：</w:t>
      </w:r>
    </w:p>
    <w:p w14:paraId="76BBDC0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4"/>
          <w:szCs w:val="24"/>
          <w:highlight w:val="none"/>
          <w:lang w:val="en-US" w:eastAsia="zh-CN"/>
        </w:rPr>
      </w:pPr>
      <w:r>
        <w:rPr>
          <w:rFonts w:hint="default"/>
          <w:color w:val="auto"/>
          <w:highlight w:val="none"/>
          <w:lang w:val="en-US" w:eastAsia="zh-CN"/>
        </w:rPr>
        <w:drawing>
          <wp:anchor distT="0" distB="0" distL="114300" distR="114300" simplePos="0" relativeHeight="251659264" behindDoc="0" locked="0" layoutInCell="1" allowOverlap="1">
            <wp:simplePos x="0" y="0"/>
            <wp:positionH relativeFrom="column">
              <wp:posOffset>5034915</wp:posOffset>
            </wp:positionH>
            <wp:positionV relativeFrom="paragraph">
              <wp:posOffset>120015</wp:posOffset>
            </wp:positionV>
            <wp:extent cx="1151255" cy="1529080"/>
            <wp:effectExtent l="0" t="0" r="10795" b="13970"/>
            <wp:wrapSquare wrapText="bothSides"/>
            <wp:docPr id="9" name="图片 9" descr="f5fdce96df98fdedd658e470e4d6a5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5fdce96df98fdedd658e470e4d6a57e"/>
                    <pic:cNvPicPr>
                      <a:picLocks noChangeAspect="1"/>
                    </pic:cNvPicPr>
                  </pic:nvPicPr>
                  <pic:blipFill>
                    <a:blip r:embed="rId22"/>
                    <a:stretch>
                      <a:fillRect/>
                    </a:stretch>
                  </pic:blipFill>
                  <pic:spPr>
                    <a:xfrm>
                      <a:off x="0" y="0"/>
                      <a:ext cx="1151255" cy="1529080"/>
                    </a:xfrm>
                    <a:prstGeom prst="rect">
                      <a:avLst/>
                    </a:prstGeom>
                  </pic:spPr>
                </pic:pic>
              </a:graphicData>
            </a:graphic>
          </wp:anchor>
        </w:drawing>
      </w:r>
    </w:p>
    <w:p w14:paraId="57214D1B">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报名和采购文件发售期内，供应商将文件购买费转入下方二维码中，转账时需注明“供应商简称—</w:t>
      </w:r>
      <w:r>
        <w:rPr>
          <w:rFonts w:hint="eastAsia" w:ascii="宋体" w:hAnsi="宋体" w:cs="宋体"/>
          <w:color w:val="auto"/>
          <w:sz w:val="24"/>
          <w:szCs w:val="24"/>
          <w:highlight w:val="none"/>
          <w:lang w:val="en-US" w:eastAsia="zh-CN"/>
        </w:rPr>
        <w:t>CQHY-HC-20260522</w:t>
      </w:r>
      <w:r>
        <w:rPr>
          <w:rFonts w:hint="eastAsia" w:ascii="宋体" w:hAnsi="宋体" w:eastAsia="宋体" w:cs="宋体"/>
          <w:color w:val="auto"/>
          <w:sz w:val="24"/>
          <w:szCs w:val="24"/>
          <w:highlight w:val="none"/>
          <w:lang w:val="en-US" w:eastAsia="zh-CN"/>
        </w:rPr>
        <w:t>”，并报名表（格式详见附件）填写完整加盖供应商公章扫描后同文件购买费转账截图一起发送至指定邮箱</w:t>
      </w:r>
      <w:r>
        <w:rPr>
          <w:rFonts w:hint="eastAsia" w:ascii="宋体" w:hAnsi="宋体" w:cs="宋体"/>
          <w:color w:val="auto"/>
          <w:sz w:val="24"/>
          <w:szCs w:val="24"/>
          <w:highlight w:val="none"/>
          <w:lang w:val="en-US" w:eastAsia="zh-CN"/>
        </w:rPr>
        <w:t>2606654674@qq.com</w:t>
      </w:r>
      <w:r>
        <w:rPr>
          <w:rFonts w:hint="eastAsia" w:ascii="宋体" w:hAnsi="宋体" w:eastAsia="宋体" w:cs="宋体"/>
          <w:color w:val="auto"/>
          <w:sz w:val="24"/>
          <w:szCs w:val="24"/>
          <w:highlight w:val="none"/>
          <w:lang w:val="en-US" w:eastAsia="zh-CN"/>
        </w:rPr>
        <w:t>，按要求发送邮箱后方才报名成功。</w:t>
      </w:r>
    </w:p>
    <w:p w14:paraId="1B475A62">
      <w:pPr>
        <w:keepNext w:val="0"/>
        <w:keepLines w:val="0"/>
        <w:pageBreakBefore w:val="0"/>
        <w:widowControl w:val="0"/>
        <w:kinsoku/>
        <w:wordWrap/>
        <w:topLinePunct w:val="0"/>
        <w:bidi w:val="0"/>
        <w:spacing w:line="400" w:lineRule="exact"/>
        <w:jc w:val="both"/>
        <w:textAlignment w:val="auto"/>
        <w:rPr>
          <w:rFonts w:hint="eastAsia" w:ascii="宋体" w:hAnsi="宋体" w:eastAsia="宋体" w:cs="宋体"/>
          <w:b w:val="0"/>
          <w:smallCaps w:val="0"/>
          <w:color w:val="auto"/>
          <w:kern w:val="2"/>
          <w:sz w:val="24"/>
          <w:szCs w:val="24"/>
          <w:highlight w:val="none"/>
          <w:lang w:val="en-US" w:eastAsia="zh-CN" w:bidi="ar-SA"/>
        </w:rPr>
      </w:pPr>
    </w:p>
    <w:p w14:paraId="65A7BAF1">
      <w:pPr>
        <w:keepNext w:val="0"/>
        <w:keepLines w:val="0"/>
        <w:pageBreakBefore w:val="0"/>
        <w:widowControl w:val="0"/>
        <w:kinsoku/>
        <w:wordWrap/>
        <w:topLinePunct w:val="0"/>
        <w:bidi w:val="0"/>
        <w:spacing w:line="240" w:lineRule="auto"/>
        <w:textAlignment w:val="auto"/>
        <w:rPr>
          <w:rFonts w:hint="default"/>
          <w:color w:val="auto"/>
          <w:highlight w:val="none"/>
          <w:lang w:val="en-US" w:eastAsia="zh-CN"/>
        </w:rPr>
      </w:pPr>
    </w:p>
    <w:p w14:paraId="590849D5">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29E4356">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378A5E44">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6075930">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868CD1C">
      <w:pPr>
        <w:pStyle w:val="23"/>
        <w:rPr>
          <w:rFonts w:ascii="宋体" w:hAnsi="宋体" w:eastAsia="宋体" w:cs="宋体"/>
          <w:color w:val="auto"/>
          <w:sz w:val="20"/>
          <w:szCs w:val="20"/>
          <w:highlight w:val="none"/>
        </w:rPr>
      </w:pPr>
    </w:p>
    <w:p w14:paraId="405C6764">
      <w:pPr>
        <w:rPr>
          <w:rFonts w:ascii="宋体" w:hAnsi="宋体" w:eastAsia="宋体" w:cs="宋体"/>
          <w:color w:val="auto"/>
          <w:sz w:val="20"/>
          <w:szCs w:val="20"/>
          <w:highlight w:val="none"/>
        </w:rPr>
      </w:pPr>
    </w:p>
    <w:p w14:paraId="4A44F294">
      <w:pPr>
        <w:pStyle w:val="23"/>
        <w:rPr>
          <w:rFonts w:ascii="宋体" w:hAnsi="宋体" w:eastAsia="宋体" w:cs="宋体"/>
          <w:color w:val="auto"/>
          <w:sz w:val="20"/>
          <w:szCs w:val="20"/>
          <w:highlight w:val="none"/>
        </w:rPr>
      </w:pPr>
    </w:p>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14:paraId="7FDA55AA">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bookmarkStart w:id="1943" w:name="bookmark258"/>
      <w:bookmarkEnd w:id="1943"/>
    </w:p>
    <w:sectPr>
      <w:headerReference r:id="rId14" w:type="default"/>
      <w:footerReference r:id="rId15" w:type="default"/>
      <w:pgSz w:w="11907" w:h="16840"/>
      <w:pgMar w:top="1440" w:right="1080" w:bottom="1440" w:left="1080" w:header="1077" w:footer="79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00000001" w:usb1="0800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Microsoft Sans Serif">
    <w:panose1 w:val="020B0604020202020204"/>
    <w:charset w:val="00"/>
    <w:family w:val="swiss"/>
    <w:pitch w:val="default"/>
    <w:sig w:usb0="E5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2D09">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400A">
    <w:pPr>
      <w:pStyle w:val="40"/>
      <w:tabs>
        <w:tab w:val="center" w:pos="4535"/>
        <w:tab w:val="left" w:pos="5646"/>
        <w:tab w:val="clear" w:pos="4153"/>
        <w:tab w:val="clear" w:pos="8306"/>
      </w:tabs>
    </w:pP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E55F4">
    <w:pPr>
      <w:pStyle w:val="4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408B3">
                          <w:pPr>
                            <w:pStyle w:val="4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39408B3">
                    <w:pPr>
                      <w:pStyle w:val="4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35E3">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453C">
    <w:pPr>
      <w:pStyle w:val="40"/>
      <w:tabs>
        <w:tab w:val="center" w:pos="4535"/>
        <w:tab w:val="left" w:pos="5646"/>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60CD9">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F60CD9">
                    <w:pPr>
                      <w:pStyle w:val="4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FDC0">
    <w:pPr>
      <w:pStyle w:val="4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CF695">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4CCF695">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EF92">
    <w:pPr>
      <w:pStyle w:val="4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9108B">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D69108B">
                    <w:pPr>
                      <w:pStyle w:val="40"/>
                    </w:pPr>
                    <w:r>
                      <w:fldChar w:fldCharType="begin"/>
                    </w:r>
                    <w:r>
                      <w:instrText xml:space="preserve"> PAGE  \* MERGEFORMAT </w:instrText>
                    </w:r>
                    <w:r>
                      <w:fldChar w:fldCharType="separate"/>
                    </w:r>
                    <w:r>
                      <w:t>1</w:t>
                    </w:r>
                    <w:r>
                      <w:fldChar w:fldCharType="end"/>
                    </w:r>
                  </w:p>
                </w:txbxContent>
              </v:textbox>
            </v:shape>
          </w:pict>
        </mc:Fallback>
      </mc:AlternateContent>
    </w:r>
  </w:p>
  <w:p w14:paraId="18EA977A">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C0AB">
    <w:pPr>
      <w:pStyle w:val="41"/>
      <w:pBdr>
        <w:bottom w:val="none" w:color="auto" w:sz="0" w:space="1"/>
      </w:pBdr>
      <w:jc w:val="both"/>
      <w:rPr>
        <w:rFonts w:hint="defau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52D2">
    <w:pPr>
      <w:pStyle w:val="4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F2977">
    <w:pPr>
      <w:pStyle w:val="4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3D9C">
    <w:pPr>
      <w:pStyle w:val="4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3275A">
    <w:pPr>
      <w:pStyle w:val="41"/>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190D">
    <w:pPr>
      <w:pStyle w:val="41"/>
      <w:pBdr>
        <w:bottom w:val="none" w:color="auto" w:sz="0" w:space="1"/>
      </w:pBdr>
      <w:jc w:val="both"/>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9B1CF"/>
    <w:multiLevelType w:val="singleLevel"/>
    <w:tmpl w:val="B4C9B1CF"/>
    <w:lvl w:ilvl="0" w:tentative="0">
      <w:start w:val="5"/>
      <w:numFmt w:val="chineseCounting"/>
      <w:suff w:val="nothing"/>
      <w:lvlText w:val="（%1）"/>
      <w:lvlJc w:val="left"/>
      <w:rPr>
        <w:rFonts w:hint="eastAsia"/>
      </w:rPr>
    </w:lvl>
  </w:abstractNum>
  <w:abstractNum w:abstractNumId="1">
    <w:nsid w:val="BF0EC2E2"/>
    <w:multiLevelType w:val="singleLevel"/>
    <w:tmpl w:val="BF0EC2E2"/>
    <w:lvl w:ilvl="0" w:tentative="0">
      <w:start w:val="1"/>
      <w:numFmt w:val="chineseCounting"/>
      <w:suff w:val="space"/>
      <w:lvlText w:val="第%1篇"/>
      <w:lvlJc w:val="left"/>
      <w:rPr>
        <w:rFonts w:hint="eastAsia"/>
      </w:rPr>
    </w:lvl>
  </w:abstractNum>
  <w:abstractNum w:abstractNumId="2">
    <w:nsid w:val="00000001"/>
    <w:multiLevelType w:val="multilevel"/>
    <w:tmpl w:val="00000001"/>
    <w:lvl w:ilvl="0" w:tentative="0">
      <w:start w:val="1"/>
      <w:numFmt w:val="bullet"/>
      <w:pStyle w:val="18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200"/>
      <w:lvlText w:val=""/>
      <w:lvlJc w:val="left"/>
      <w:pPr>
        <w:tabs>
          <w:tab w:val="left" w:pos="360"/>
        </w:tabs>
        <w:ind w:left="360" w:hanging="360"/>
      </w:pPr>
      <w:rPr>
        <w:rFonts w:hint="default" w:ascii="Wingdings" w:hAnsi="Wingdings"/>
      </w:rPr>
    </w:lvl>
  </w:abstractNum>
  <w:abstractNum w:abstractNumId="4">
    <w:nsid w:val="00000004"/>
    <w:multiLevelType w:val="singleLevel"/>
    <w:tmpl w:val="00000004"/>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5"/>
    <w:multiLevelType w:val="multilevel"/>
    <w:tmpl w:val="00000005"/>
    <w:lvl w:ilvl="0" w:tentative="0">
      <w:start w:val="1"/>
      <w:numFmt w:val="bullet"/>
      <w:pStyle w:val="24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6"/>
    <w:multiLevelType w:val="singleLevel"/>
    <w:tmpl w:val="00000006"/>
    <w:lvl w:ilvl="0" w:tentative="0">
      <w:start w:val="1"/>
      <w:numFmt w:val="bullet"/>
      <w:pStyle w:val="362"/>
      <w:lvlText w:val=""/>
      <w:lvlJc w:val="left"/>
      <w:pPr>
        <w:tabs>
          <w:tab w:val="left" w:pos="1620"/>
        </w:tabs>
        <w:ind w:left="1620" w:hanging="360"/>
      </w:pPr>
      <w:rPr>
        <w:rFonts w:hint="default" w:ascii="Wingdings" w:hAnsi="Wingdings"/>
      </w:rPr>
    </w:lvl>
  </w:abstractNum>
  <w:abstractNum w:abstractNumId="7">
    <w:nsid w:val="00000007"/>
    <w:multiLevelType w:val="multilevel"/>
    <w:tmpl w:val="00000007"/>
    <w:lvl w:ilvl="0" w:tentative="0">
      <w:start w:val="1"/>
      <w:numFmt w:val="decimal"/>
      <w:pStyle w:val="22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multilevel"/>
    <w:tmpl w:val="00000008"/>
    <w:lvl w:ilvl="0" w:tentative="0">
      <w:start w:val="1"/>
      <w:numFmt w:val="bullet"/>
      <w:pStyle w:val="3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9"/>
    <w:multiLevelType w:val="singleLevel"/>
    <w:tmpl w:val="00000009"/>
    <w:lvl w:ilvl="0" w:tentative="0">
      <w:start w:val="1"/>
      <w:numFmt w:val="decimal"/>
      <w:pStyle w:val="13"/>
      <w:lvlText w:val="%1."/>
      <w:lvlJc w:val="left"/>
      <w:pPr>
        <w:tabs>
          <w:tab w:val="left" w:pos="425"/>
        </w:tabs>
        <w:ind w:left="425" w:hanging="425"/>
      </w:pPr>
      <w:rPr>
        <w:rFonts w:hint="default"/>
      </w:rPr>
    </w:lvl>
  </w:abstractNum>
  <w:abstractNum w:abstractNumId="10">
    <w:nsid w:val="0000000A"/>
    <w:multiLevelType w:val="singleLevel"/>
    <w:tmpl w:val="0000000A"/>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1">
    <w:nsid w:val="0000000B"/>
    <w:multiLevelType w:val="singleLevel"/>
    <w:tmpl w:val="0000000B"/>
    <w:lvl w:ilvl="0" w:tentative="0">
      <w:start w:val="1"/>
      <w:numFmt w:val="decimal"/>
      <w:pStyle w:val="334"/>
      <w:lvlText w:val="%1)"/>
      <w:lvlJc w:val="left"/>
      <w:pPr>
        <w:tabs>
          <w:tab w:val="left" w:pos="425"/>
        </w:tabs>
        <w:ind w:left="425" w:hanging="425"/>
      </w:pPr>
      <w:rPr>
        <w:rFonts w:hint="eastAsia"/>
      </w:rPr>
    </w:lvl>
  </w:abstractNum>
  <w:abstractNum w:abstractNumId="12">
    <w:nsid w:val="0000000C"/>
    <w:multiLevelType w:val="multilevel"/>
    <w:tmpl w:val="0000000C"/>
    <w:lvl w:ilvl="0" w:tentative="0">
      <w:start w:val="1"/>
      <w:numFmt w:val="chineseCountingThousand"/>
      <w:pStyle w:val="27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5CC2599"/>
    <w:multiLevelType w:val="singleLevel"/>
    <w:tmpl w:val="05CC2599"/>
    <w:lvl w:ilvl="0" w:tentative="0">
      <w:start w:val="2"/>
      <w:numFmt w:val="decimal"/>
      <w:suff w:val="nothing"/>
      <w:lvlText w:val="%1、"/>
      <w:lvlJc w:val="left"/>
    </w:lvl>
  </w:abstractNum>
  <w:abstractNum w:abstractNumId="14">
    <w:nsid w:val="3BF13F35"/>
    <w:multiLevelType w:val="multilevel"/>
    <w:tmpl w:val="3BF13F35"/>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441A600C"/>
    <w:multiLevelType w:val="multilevel"/>
    <w:tmpl w:val="441A600C"/>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4F865DB"/>
    <w:multiLevelType w:val="multilevel"/>
    <w:tmpl w:val="54F865DB"/>
    <w:lvl w:ilvl="0" w:tentative="0">
      <w:start w:val="1"/>
      <w:numFmt w:val="upperLetter"/>
      <w:pStyle w:val="304"/>
      <w:suff w:val="nothing"/>
      <w:lvlText w:val="附　录　%1"/>
      <w:lvlJc w:val="left"/>
      <w:pPr>
        <w:ind w:left="0" w:firstLine="0"/>
      </w:pPr>
      <w:rPr>
        <w:rFonts w:hint="eastAsia" w:ascii="黑体" w:hAnsi="Times New Roman" w:eastAsia="黑体"/>
        <w:b w:val="0"/>
        <w:i w:val="0"/>
        <w:sz w:val="21"/>
      </w:rPr>
    </w:lvl>
    <w:lvl w:ilvl="1" w:tentative="0">
      <w:start w:val="1"/>
      <w:numFmt w:val="decimal"/>
      <w:pStyle w:val="25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7EE563B9"/>
    <w:multiLevelType w:val="multilevel"/>
    <w:tmpl w:val="7EE563B9"/>
    <w:lvl w:ilvl="0" w:tentative="0">
      <w:start w:val="1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4"/>
  </w:num>
  <w:num w:numId="3">
    <w:abstractNumId w:val="10"/>
  </w:num>
  <w:num w:numId="4">
    <w:abstractNumId w:val="2"/>
  </w:num>
  <w:num w:numId="5">
    <w:abstractNumId w:val="3"/>
  </w:num>
  <w:num w:numId="6">
    <w:abstractNumId w:val="7"/>
  </w:num>
  <w:num w:numId="7">
    <w:abstractNumId w:val="5"/>
  </w:num>
  <w:num w:numId="8">
    <w:abstractNumId w:val="17"/>
  </w:num>
  <w:num w:numId="9">
    <w:abstractNumId w:val="12"/>
  </w:num>
  <w:num w:numId="10">
    <w:abstractNumId w:val="8"/>
  </w:num>
  <w:num w:numId="11">
    <w:abstractNumId w:val="11"/>
  </w:num>
  <w:num w:numId="12">
    <w:abstractNumId w:val="6"/>
  </w:num>
  <w:num w:numId="13">
    <w:abstractNumId w:val="15"/>
  </w:num>
  <w:num w:numId="14">
    <w:abstractNumId w:val="1"/>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DkxNmU2OTg3NGRiMTk4NDAxZDg5NDc5MTRjNmYifQ=="/>
  </w:docVars>
  <w:rsids>
    <w:rsidRoot w:val="00EE39AB"/>
    <w:rsid w:val="00001A5C"/>
    <w:rsid w:val="00016789"/>
    <w:rsid w:val="00021097"/>
    <w:rsid w:val="00021376"/>
    <w:rsid w:val="000B0533"/>
    <w:rsid w:val="000D1A37"/>
    <w:rsid w:val="000D35DA"/>
    <w:rsid w:val="000D4234"/>
    <w:rsid w:val="000E1AE2"/>
    <w:rsid w:val="00100DE5"/>
    <w:rsid w:val="001A1D2C"/>
    <w:rsid w:val="001A73E8"/>
    <w:rsid w:val="001C3FA0"/>
    <w:rsid w:val="001E38AE"/>
    <w:rsid w:val="001E4F72"/>
    <w:rsid w:val="00220F89"/>
    <w:rsid w:val="0023346B"/>
    <w:rsid w:val="00237757"/>
    <w:rsid w:val="00260A05"/>
    <w:rsid w:val="00272367"/>
    <w:rsid w:val="0028454A"/>
    <w:rsid w:val="00290503"/>
    <w:rsid w:val="002B3EA7"/>
    <w:rsid w:val="002D4D4A"/>
    <w:rsid w:val="002E0F55"/>
    <w:rsid w:val="002E4450"/>
    <w:rsid w:val="002F4077"/>
    <w:rsid w:val="002F6837"/>
    <w:rsid w:val="00317660"/>
    <w:rsid w:val="00332D22"/>
    <w:rsid w:val="00341E21"/>
    <w:rsid w:val="00345439"/>
    <w:rsid w:val="00351E62"/>
    <w:rsid w:val="00365688"/>
    <w:rsid w:val="00367923"/>
    <w:rsid w:val="003958B8"/>
    <w:rsid w:val="003B09E9"/>
    <w:rsid w:val="003E6FB9"/>
    <w:rsid w:val="003F39E8"/>
    <w:rsid w:val="003F70B7"/>
    <w:rsid w:val="00404E37"/>
    <w:rsid w:val="00424DE7"/>
    <w:rsid w:val="00435477"/>
    <w:rsid w:val="00475A35"/>
    <w:rsid w:val="004D4DC6"/>
    <w:rsid w:val="004E1E77"/>
    <w:rsid w:val="00502E26"/>
    <w:rsid w:val="00520A37"/>
    <w:rsid w:val="00530199"/>
    <w:rsid w:val="005429D6"/>
    <w:rsid w:val="00556CFD"/>
    <w:rsid w:val="00563FE1"/>
    <w:rsid w:val="0056505F"/>
    <w:rsid w:val="00572F39"/>
    <w:rsid w:val="005B3372"/>
    <w:rsid w:val="005B3E42"/>
    <w:rsid w:val="005C69A9"/>
    <w:rsid w:val="005D488F"/>
    <w:rsid w:val="005F2760"/>
    <w:rsid w:val="005F7820"/>
    <w:rsid w:val="0060488D"/>
    <w:rsid w:val="00612B73"/>
    <w:rsid w:val="006242FF"/>
    <w:rsid w:val="00634D57"/>
    <w:rsid w:val="00642E0B"/>
    <w:rsid w:val="006515E6"/>
    <w:rsid w:val="0065233F"/>
    <w:rsid w:val="00656692"/>
    <w:rsid w:val="0069160B"/>
    <w:rsid w:val="006A52DB"/>
    <w:rsid w:val="006A6BFA"/>
    <w:rsid w:val="006C1F82"/>
    <w:rsid w:val="006C2038"/>
    <w:rsid w:val="006F24CA"/>
    <w:rsid w:val="00700074"/>
    <w:rsid w:val="007232C2"/>
    <w:rsid w:val="00725EBC"/>
    <w:rsid w:val="007368C7"/>
    <w:rsid w:val="00743FFC"/>
    <w:rsid w:val="00762959"/>
    <w:rsid w:val="00771FD2"/>
    <w:rsid w:val="0078143C"/>
    <w:rsid w:val="00785AE3"/>
    <w:rsid w:val="00794DF8"/>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6451E"/>
    <w:rsid w:val="00A96FC2"/>
    <w:rsid w:val="00AB3462"/>
    <w:rsid w:val="00AD0D07"/>
    <w:rsid w:val="00B27E42"/>
    <w:rsid w:val="00B318E4"/>
    <w:rsid w:val="00B34550"/>
    <w:rsid w:val="00B53B5E"/>
    <w:rsid w:val="00B70B23"/>
    <w:rsid w:val="00B90154"/>
    <w:rsid w:val="00BB5E15"/>
    <w:rsid w:val="00BE0F17"/>
    <w:rsid w:val="00BE49BE"/>
    <w:rsid w:val="00BF2D45"/>
    <w:rsid w:val="00BF33C0"/>
    <w:rsid w:val="00BF704E"/>
    <w:rsid w:val="00C10A27"/>
    <w:rsid w:val="00C264F3"/>
    <w:rsid w:val="00C31C40"/>
    <w:rsid w:val="00C66BB9"/>
    <w:rsid w:val="00C85F9F"/>
    <w:rsid w:val="00CB3C44"/>
    <w:rsid w:val="00CB7EE0"/>
    <w:rsid w:val="00CD3C6A"/>
    <w:rsid w:val="00CD6898"/>
    <w:rsid w:val="00D142D4"/>
    <w:rsid w:val="00D245EF"/>
    <w:rsid w:val="00D3528B"/>
    <w:rsid w:val="00D563B3"/>
    <w:rsid w:val="00D71AB3"/>
    <w:rsid w:val="00D81573"/>
    <w:rsid w:val="00D819B7"/>
    <w:rsid w:val="00D92153"/>
    <w:rsid w:val="00DA56D5"/>
    <w:rsid w:val="00DE0B8D"/>
    <w:rsid w:val="00E0280B"/>
    <w:rsid w:val="00E3346D"/>
    <w:rsid w:val="00E47A61"/>
    <w:rsid w:val="00E532FF"/>
    <w:rsid w:val="00E725A7"/>
    <w:rsid w:val="00E81CAF"/>
    <w:rsid w:val="00E9358F"/>
    <w:rsid w:val="00EA1D12"/>
    <w:rsid w:val="00EA306B"/>
    <w:rsid w:val="00EE355B"/>
    <w:rsid w:val="00EE39AB"/>
    <w:rsid w:val="00F301EA"/>
    <w:rsid w:val="00F36616"/>
    <w:rsid w:val="00F404D4"/>
    <w:rsid w:val="00F45106"/>
    <w:rsid w:val="00F6637A"/>
    <w:rsid w:val="00F674AB"/>
    <w:rsid w:val="00F8714C"/>
    <w:rsid w:val="00F95481"/>
    <w:rsid w:val="00FB3DBC"/>
    <w:rsid w:val="00FC5F2E"/>
    <w:rsid w:val="010E14F5"/>
    <w:rsid w:val="011252A5"/>
    <w:rsid w:val="0120510D"/>
    <w:rsid w:val="01251184"/>
    <w:rsid w:val="0147153B"/>
    <w:rsid w:val="015D329E"/>
    <w:rsid w:val="016622FC"/>
    <w:rsid w:val="016C149F"/>
    <w:rsid w:val="016F4DA6"/>
    <w:rsid w:val="017C0E40"/>
    <w:rsid w:val="01897993"/>
    <w:rsid w:val="01914DAD"/>
    <w:rsid w:val="0193166C"/>
    <w:rsid w:val="01A66C10"/>
    <w:rsid w:val="01AD28EF"/>
    <w:rsid w:val="01B14C06"/>
    <w:rsid w:val="01B916AE"/>
    <w:rsid w:val="01CF7329"/>
    <w:rsid w:val="020967F0"/>
    <w:rsid w:val="02217FDE"/>
    <w:rsid w:val="0255229F"/>
    <w:rsid w:val="0275233D"/>
    <w:rsid w:val="028265A2"/>
    <w:rsid w:val="02A426AA"/>
    <w:rsid w:val="02A904A1"/>
    <w:rsid w:val="02AE7397"/>
    <w:rsid w:val="02BF6684"/>
    <w:rsid w:val="02CA1EB1"/>
    <w:rsid w:val="02D45AC0"/>
    <w:rsid w:val="02EB3C7C"/>
    <w:rsid w:val="02EE1086"/>
    <w:rsid w:val="02FC758B"/>
    <w:rsid w:val="030527A6"/>
    <w:rsid w:val="03052C5C"/>
    <w:rsid w:val="03123DCA"/>
    <w:rsid w:val="03136C76"/>
    <w:rsid w:val="03164EFB"/>
    <w:rsid w:val="03217B69"/>
    <w:rsid w:val="032B082C"/>
    <w:rsid w:val="034B55DC"/>
    <w:rsid w:val="03804B57"/>
    <w:rsid w:val="03984DFB"/>
    <w:rsid w:val="03A013D6"/>
    <w:rsid w:val="03A16859"/>
    <w:rsid w:val="03C1660E"/>
    <w:rsid w:val="03CC434A"/>
    <w:rsid w:val="03DE21C1"/>
    <w:rsid w:val="043833BC"/>
    <w:rsid w:val="044031CE"/>
    <w:rsid w:val="0446618F"/>
    <w:rsid w:val="04471852"/>
    <w:rsid w:val="04775B53"/>
    <w:rsid w:val="047C6AF9"/>
    <w:rsid w:val="04A42800"/>
    <w:rsid w:val="04BA2023"/>
    <w:rsid w:val="04D05CEB"/>
    <w:rsid w:val="050B2A70"/>
    <w:rsid w:val="050E530B"/>
    <w:rsid w:val="052F2A11"/>
    <w:rsid w:val="05306B0B"/>
    <w:rsid w:val="05420D44"/>
    <w:rsid w:val="055C132D"/>
    <w:rsid w:val="056B70F6"/>
    <w:rsid w:val="057B0424"/>
    <w:rsid w:val="057D6F2B"/>
    <w:rsid w:val="05C945A2"/>
    <w:rsid w:val="05EF3F4F"/>
    <w:rsid w:val="05F25272"/>
    <w:rsid w:val="05F872A7"/>
    <w:rsid w:val="06071198"/>
    <w:rsid w:val="060D1105"/>
    <w:rsid w:val="06135E8F"/>
    <w:rsid w:val="06831F7D"/>
    <w:rsid w:val="068E19BA"/>
    <w:rsid w:val="069A1BF8"/>
    <w:rsid w:val="069A210C"/>
    <w:rsid w:val="06B449B9"/>
    <w:rsid w:val="06BE20C2"/>
    <w:rsid w:val="06D118A6"/>
    <w:rsid w:val="06E5236E"/>
    <w:rsid w:val="071445D6"/>
    <w:rsid w:val="07171649"/>
    <w:rsid w:val="07367D1C"/>
    <w:rsid w:val="0745490B"/>
    <w:rsid w:val="07A11279"/>
    <w:rsid w:val="07CD4764"/>
    <w:rsid w:val="07F12200"/>
    <w:rsid w:val="07F17F5D"/>
    <w:rsid w:val="080A4163"/>
    <w:rsid w:val="08314CF2"/>
    <w:rsid w:val="08341433"/>
    <w:rsid w:val="08600069"/>
    <w:rsid w:val="08713341"/>
    <w:rsid w:val="089352D4"/>
    <w:rsid w:val="08957B56"/>
    <w:rsid w:val="08960800"/>
    <w:rsid w:val="089C2F11"/>
    <w:rsid w:val="08A869F8"/>
    <w:rsid w:val="08B4685D"/>
    <w:rsid w:val="08C416C3"/>
    <w:rsid w:val="08CC67C9"/>
    <w:rsid w:val="08D93A2A"/>
    <w:rsid w:val="08DF64FD"/>
    <w:rsid w:val="08F31FA8"/>
    <w:rsid w:val="091066B6"/>
    <w:rsid w:val="09271C52"/>
    <w:rsid w:val="09287EA3"/>
    <w:rsid w:val="09333501"/>
    <w:rsid w:val="09451F87"/>
    <w:rsid w:val="095435C4"/>
    <w:rsid w:val="09677181"/>
    <w:rsid w:val="096B1B3E"/>
    <w:rsid w:val="096C6849"/>
    <w:rsid w:val="097012C6"/>
    <w:rsid w:val="09970B85"/>
    <w:rsid w:val="09BA7CD2"/>
    <w:rsid w:val="09C90306"/>
    <w:rsid w:val="09EF2623"/>
    <w:rsid w:val="0A0869AB"/>
    <w:rsid w:val="0A432ABB"/>
    <w:rsid w:val="0A661CB2"/>
    <w:rsid w:val="0A673DA7"/>
    <w:rsid w:val="0A696D2F"/>
    <w:rsid w:val="0A6F565E"/>
    <w:rsid w:val="0A826D85"/>
    <w:rsid w:val="0AB37C41"/>
    <w:rsid w:val="0AC91CF5"/>
    <w:rsid w:val="0ACA7CCE"/>
    <w:rsid w:val="0AD41965"/>
    <w:rsid w:val="0ADE52FB"/>
    <w:rsid w:val="0B21104E"/>
    <w:rsid w:val="0B440899"/>
    <w:rsid w:val="0B5A4560"/>
    <w:rsid w:val="0B5D0F23"/>
    <w:rsid w:val="0B636D50"/>
    <w:rsid w:val="0B725656"/>
    <w:rsid w:val="0B845139"/>
    <w:rsid w:val="0B863E1B"/>
    <w:rsid w:val="0B8D2240"/>
    <w:rsid w:val="0B996E37"/>
    <w:rsid w:val="0BB319DF"/>
    <w:rsid w:val="0BB83FB6"/>
    <w:rsid w:val="0BDB09C6"/>
    <w:rsid w:val="0BE300B2"/>
    <w:rsid w:val="0BE43E2A"/>
    <w:rsid w:val="0BE62571"/>
    <w:rsid w:val="0BE8618A"/>
    <w:rsid w:val="0BF84FAD"/>
    <w:rsid w:val="0C08040B"/>
    <w:rsid w:val="0C0C0F43"/>
    <w:rsid w:val="0C3A5E22"/>
    <w:rsid w:val="0C41127C"/>
    <w:rsid w:val="0C4F5747"/>
    <w:rsid w:val="0C5953CC"/>
    <w:rsid w:val="0C8344D6"/>
    <w:rsid w:val="0CA628FD"/>
    <w:rsid w:val="0CAA59E7"/>
    <w:rsid w:val="0CAD06C0"/>
    <w:rsid w:val="0CB55E9D"/>
    <w:rsid w:val="0CBF0B1F"/>
    <w:rsid w:val="0CD56232"/>
    <w:rsid w:val="0CEC23AD"/>
    <w:rsid w:val="0CF87E14"/>
    <w:rsid w:val="0CF956B3"/>
    <w:rsid w:val="0CFC0E63"/>
    <w:rsid w:val="0D057296"/>
    <w:rsid w:val="0D1F511A"/>
    <w:rsid w:val="0D344206"/>
    <w:rsid w:val="0D4234FE"/>
    <w:rsid w:val="0D5325AB"/>
    <w:rsid w:val="0D827C67"/>
    <w:rsid w:val="0D9F0822"/>
    <w:rsid w:val="0DAD4E1B"/>
    <w:rsid w:val="0DAE46EF"/>
    <w:rsid w:val="0DB1662B"/>
    <w:rsid w:val="0DC92BD9"/>
    <w:rsid w:val="0DED6FC6"/>
    <w:rsid w:val="0DFA7935"/>
    <w:rsid w:val="0E493C18"/>
    <w:rsid w:val="0E4D215A"/>
    <w:rsid w:val="0E8813E4"/>
    <w:rsid w:val="0E8A01E0"/>
    <w:rsid w:val="0E8B2881"/>
    <w:rsid w:val="0EC046DA"/>
    <w:rsid w:val="0EC341CA"/>
    <w:rsid w:val="0EC47A9B"/>
    <w:rsid w:val="0ECA4388"/>
    <w:rsid w:val="0EDE591C"/>
    <w:rsid w:val="0EEF1133"/>
    <w:rsid w:val="0F16254C"/>
    <w:rsid w:val="0F2033CB"/>
    <w:rsid w:val="0F4A3109"/>
    <w:rsid w:val="0F5D63CD"/>
    <w:rsid w:val="0F673371"/>
    <w:rsid w:val="0F7D4C2A"/>
    <w:rsid w:val="0F82150A"/>
    <w:rsid w:val="0F823732"/>
    <w:rsid w:val="0F8B4CE8"/>
    <w:rsid w:val="0F9D2C6D"/>
    <w:rsid w:val="0FA855DC"/>
    <w:rsid w:val="0FB00BA1"/>
    <w:rsid w:val="0FC93BAC"/>
    <w:rsid w:val="0FCE5AA7"/>
    <w:rsid w:val="0FDA06AA"/>
    <w:rsid w:val="0FE71E38"/>
    <w:rsid w:val="0FED59A3"/>
    <w:rsid w:val="0FFD1F8A"/>
    <w:rsid w:val="10260C4A"/>
    <w:rsid w:val="103B6780"/>
    <w:rsid w:val="103C2486"/>
    <w:rsid w:val="10521CAA"/>
    <w:rsid w:val="1053332C"/>
    <w:rsid w:val="106A6870"/>
    <w:rsid w:val="109C2F25"/>
    <w:rsid w:val="10AA73F0"/>
    <w:rsid w:val="10D64E3F"/>
    <w:rsid w:val="10D821AF"/>
    <w:rsid w:val="10E402D3"/>
    <w:rsid w:val="11195D33"/>
    <w:rsid w:val="11421D1E"/>
    <w:rsid w:val="1143454A"/>
    <w:rsid w:val="114478F3"/>
    <w:rsid w:val="11497791"/>
    <w:rsid w:val="114B275F"/>
    <w:rsid w:val="114C66F9"/>
    <w:rsid w:val="114F61E9"/>
    <w:rsid w:val="11625F1D"/>
    <w:rsid w:val="117619C8"/>
    <w:rsid w:val="11B175BA"/>
    <w:rsid w:val="11C35425"/>
    <w:rsid w:val="11D0732A"/>
    <w:rsid w:val="11DF30C9"/>
    <w:rsid w:val="120D5F1A"/>
    <w:rsid w:val="12462A13"/>
    <w:rsid w:val="125A21BA"/>
    <w:rsid w:val="12BE4CF0"/>
    <w:rsid w:val="12BE7514"/>
    <w:rsid w:val="12C45546"/>
    <w:rsid w:val="12CA1FCB"/>
    <w:rsid w:val="12F23667"/>
    <w:rsid w:val="13142914"/>
    <w:rsid w:val="13182D37"/>
    <w:rsid w:val="131A5D86"/>
    <w:rsid w:val="13450785"/>
    <w:rsid w:val="13492C3E"/>
    <w:rsid w:val="13541895"/>
    <w:rsid w:val="135B0E75"/>
    <w:rsid w:val="136832FB"/>
    <w:rsid w:val="136C13C9"/>
    <w:rsid w:val="137B1518"/>
    <w:rsid w:val="137D5290"/>
    <w:rsid w:val="1380268A"/>
    <w:rsid w:val="138A3509"/>
    <w:rsid w:val="139B3968"/>
    <w:rsid w:val="13D824C6"/>
    <w:rsid w:val="13ED12C8"/>
    <w:rsid w:val="1423361E"/>
    <w:rsid w:val="142414F0"/>
    <w:rsid w:val="14414227"/>
    <w:rsid w:val="148B71F2"/>
    <w:rsid w:val="14AC506E"/>
    <w:rsid w:val="14B758D9"/>
    <w:rsid w:val="14C17C2E"/>
    <w:rsid w:val="14CD18FF"/>
    <w:rsid w:val="14DC2624"/>
    <w:rsid w:val="14EC2D5C"/>
    <w:rsid w:val="14EC556C"/>
    <w:rsid w:val="14ED4C07"/>
    <w:rsid w:val="150A6C50"/>
    <w:rsid w:val="150E6FDB"/>
    <w:rsid w:val="152622CD"/>
    <w:rsid w:val="152B4878"/>
    <w:rsid w:val="156C1313"/>
    <w:rsid w:val="15777BAE"/>
    <w:rsid w:val="159D6AB8"/>
    <w:rsid w:val="15A10682"/>
    <w:rsid w:val="15BB103C"/>
    <w:rsid w:val="15CC520E"/>
    <w:rsid w:val="15EA028F"/>
    <w:rsid w:val="15EC53BE"/>
    <w:rsid w:val="160010AB"/>
    <w:rsid w:val="16037773"/>
    <w:rsid w:val="161926EB"/>
    <w:rsid w:val="162639BD"/>
    <w:rsid w:val="164D5A97"/>
    <w:rsid w:val="165B045C"/>
    <w:rsid w:val="16AD13EE"/>
    <w:rsid w:val="16D2243E"/>
    <w:rsid w:val="16F13FCB"/>
    <w:rsid w:val="16F95C2F"/>
    <w:rsid w:val="173C2D6C"/>
    <w:rsid w:val="17553257"/>
    <w:rsid w:val="175F4DEF"/>
    <w:rsid w:val="17667DE9"/>
    <w:rsid w:val="176C3651"/>
    <w:rsid w:val="176D3360"/>
    <w:rsid w:val="177F29F5"/>
    <w:rsid w:val="1783602D"/>
    <w:rsid w:val="178960E8"/>
    <w:rsid w:val="178E7A6B"/>
    <w:rsid w:val="17A41BF6"/>
    <w:rsid w:val="17BE4FC6"/>
    <w:rsid w:val="17D71D32"/>
    <w:rsid w:val="17EE22B8"/>
    <w:rsid w:val="17F3777E"/>
    <w:rsid w:val="17FA5A9D"/>
    <w:rsid w:val="18056756"/>
    <w:rsid w:val="184053F5"/>
    <w:rsid w:val="185E4CC5"/>
    <w:rsid w:val="187A0187"/>
    <w:rsid w:val="18AD6299"/>
    <w:rsid w:val="18E51BB8"/>
    <w:rsid w:val="190074CB"/>
    <w:rsid w:val="19043EF9"/>
    <w:rsid w:val="1904741C"/>
    <w:rsid w:val="191A15F5"/>
    <w:rsid w:val="192D205B"/>
    <w:rsid w:val="19474DFF"/>
    <w:rsid w:val="1948712E"/>
    <w:rsid w:val="1976106E"/>
    <w:rsid w:val="19801636"/>
    <w:rsid w:val="19B54B1C"/>
    <w:rsid w:val="19DB6F92"/>
    <w:rsid w:val="19E8093A"/>
    <w:rsid w:val="19F03933"/>
    <w:rsid w:val="19F175EA"/>
    <w:rsid w:val="19F24683"/>
    <w:rsid w:val="19F35727"/>
    <w:rsid w:val="1A026D2C"/>
    <w:rsid w:val="1A231FC1"/>
    <w:rsid w:val="1A614337"/>
    <w:rsid w:val="1A686637"/>
    <w:rsid w:val="1A6B4094"/>
    <w:rsid w:val="1A974E89"/>
    <w:rsid w:val="1A9810B8"/>
    <w:rsid w:val="1A9D3CF0"/>
    <w:rsid w:val="1AAB2622"/>
    <w:rsid w:val="1AAB4490"/>
    <w:rsid w:val="1AEA23F8"/>
    <w:rsid w:val="1AF851FC"/>
    <w:rsid w:val="1AFE2976"/>
    <w:rsid w:val="1B017B61"/>
    <w:rsid w:val="1B092E5E"/>
    <w:rsid w:val="1B3C44E1"/>
    <w:rsid w:val="1B3C77DE"/>
    <w:rsid w:val="1B55319F"/>
    <w:rsid w:val="1B806CE9"/>
    <w:rsid w:val="1B83540D"/>
    <w:rsid w:val="1B9A3A81"/>
    <w:rsid w:val="1BA230F4"/>
    <w:rsid w:val="1BBB5839"/>
    <w:rsid w:val="1BBD7954"/>
    <w:rsid w:val="1BE90209"/>
    <w:rsid w:val="1BEA58FD"/>
    <w:rsid w:val="1BEE60E6"/>
    <w:rsid w:val="1BF04D31"/>
    <w:rsid w:val="1BFC4701"/>
    <w:rsid w:val="1C2D2DA0"/>
    <w:rsid w:val="1C5D17BA"/>
    <w:rsid w:val="1C67088B"/>
    <w:rsid w:val="1C766D20"/>
    <w:rsid w:val="1C9606E0"/>
    <w:rsid w:val="1CA83733"/>
    <w:rsid w:val="1CCB785F"/>
    <w:rsid w:val="1CE30315"/>
    <w:rsid w:val="1CF3211F"/>
    <w:rsid w:val="1D195886"/>
    <w:rsid w:val="1D2572EE"/>
    <w:rsid w:val="1D2E7027"/>
    <w:rsid w:val="1D4604A0"/>
    <w:rsid w:val="1D4D182F"/>
    <w:rsid w:val="1D69418F"/>
    <w:rsid w:val="1D8E1D40"/>
    <w:rsid w:val="1D9C4564"/>
    <w:rsid w:val="1DA90A2F"/>
    <w:rsid w:val="1DD97567"/>
    <w:rsid w:val="1DEF3AA5"/>
    <w:rsid w:val="1E1B5FBF"/>
    <w:rsid w:val="1E764DB5"/>
    <w:rsid w:val="1E7A4EA8"/>
    <w:rsid w:val="1E8705EE"/>
    <w:rsid w:val="1E935967"/>
    <w:rsid w:val="1EB839D8"/>
    <w:rsid w:val="1EBB4EBE"/>
    <w:rsid w:val="1ECD36FB"/>
    <w:rsid w:val="1ED40414"/>
    <w:rsid w:val="1EE75CB3"/>
    <w:rsid w:val="1EE81F68"/>
    <w:rsid w:val="1F036880"/>
    <w:rsid w:val="1F0C74C8"/>
    <w:rsid w:val="1F1A70F4"/>
    <w:rsid w:val="1F2A46BF"/>
    <w:rsid w:val="1F2B4AC3"/>
    <w:rsid w:val="1F4C5B16"/>
    <w:rsid w:val="1F4D3D68"/>
    <w:rsid w:val="1F7A1E98"/>
    <w:rsid w:val="1F9855E3"/>
    <w:rsid w:val="1F996C3D"/>
    <w:rsid w:val="1FA55A2E"/>
    <w:rsid w:val="1FB33A33"/>
    <w:rsid w:val="1FC649E7"/>
    <w:rsid w:val="1FDE2C12"/>
    <w:rsid w:val="1FE223E3"/>
    <w:rsid w:val="1FFC5694"/>
    <w:rsid w:val="1FFF695C"/>
    <w:rsid w:val="202B1BD0"/>
    <w:rsid w:val="20397D96"/>
    <w:rsid w:val="20477F87"/>
    <w:rsid w:val="204D1B46"/>
    <w:rsid w:val="20752BA2"/>
    <w:rsid w:val="207E61A3"/>
    <w:rsid w:val="208D41D2"/>
    <w:rsid w:val="209F2433"/>
    <w:rsid w:val="20B6593D"/>
    <w:rsid w:val="20DB35F6"/>
    <w:rsid w:val="20DB4653"/>
    <w:rsid w:val="20E51C8A"/>
    <w:rsid w:val="20E95D13"/>
    <w:rsid w:val="21350F58"/>
    <w:rsid w:val="213F215E"/>
    <w:rsid w:val="213F520D"/>
    <w:rsid w:val="214D3D79"/>
    <w:rsid w:val="216E1D7D"/>
    <w:rsid w:val="216E446A"/>
    <w:rsid w:val="21BF051D"/>
    <w:rsid w:val="21C65FE8"/>
    <w:rsid w:val="21EE3AEA"/>
    <w:rsid w:val="2214230E"/>
    <w:rsid w:val="221B014E"/>
    <w:rsid w:val="221B0E79"/>
    <w:rsid w:val="223167BE"/>
    <w:rsid w:val="224270DA"/>
    <w:rsid w:val="2282521A"/>
    <w:rsid w:val="22895006"/>
    <w:rsid w:val="22923AD3"/>
    <w:rsid w:val="22B67E76"/>
    <w:rsid w:val="22BC3B4B"/>
    <w:rsid w:val="22C45A5A"/>
    <w:rsid w:val="22C5067A"/>
    <w:rsid w:val="23103A2A"/>
    <w:rsid w:val="23113D47"/>
    <w:rsid w:val="231177A3"/>
    <w:rsid w:val="2341295B"/>
    <w:rsid w:val="23436FC0"/>
    <w:rsid w:val="23514CF6"/>
    <w:rsid w:val="235605DC"/>
    <w:rsid w:val="23720241"/>
    <w:rsid w:val="239E4995"/>
    <w:rsid w:val="23AC084C"/>
    <w:rsid w:val="23C640E9"/>
    <w:rsid w:val="23F0469B"/>
    <w:rsid w:val="23F073B8"/>
    <w:rsid w:val="23FD5146"/>
    <w:rsid w:val="24047B49"/>
    <w:rsid w:val="24181880"/>
    <w:rsid w:val="24257BFD"/>
    <w:rsid w:val="243F148B"/>
    <w:rsid w:val="24572F93"/>
    <w:rsid w:val="247D028C"/>
    <w:rsid w:val="248A0A3D"/>
    <w:rsid w:val="24B2657A"/>
    <w:rsid w:val="24C3625D"/>
    <w:rsid w:val="24D31D0B"/>
    <w:rsid w:val="24DD3C24"/>
    <w:rsid w:val="24FC62EF"/>
    <w:rsid w:val="250273A3"/>
    <w:rsid w:val="250451AE"/>
    <w:rsid w:val="25063B0E"/>
    <w:rsid w:val="25274F1B"/>
    <w:rsid w:val="25276704"/>
    <w:rsid w:val="252E2902"/>
    <w:rsid w:val="25435F18"/>
    <w:rsid w:val="2576348C"/>
    <w:rsid w:val="25801278"/>
    <w:rsid w:val="258778A8"/>
    <w:rsid w:val="25B3069D"/>
    <w:rsid w:val="25C358B5"/>
    <w:rsid w:val="25D028D1"/>
    <w:rsid w:val="25D961D0"/>
    <w:rsid w:val="25F018F1"/>
    <w:rsid w:val="25F24769"/>
    <w:rsid w:val="26020F30"/>
    <w:rsid w:val="261C26E6"/>
    <w:rsid w:val="26217CFD"/>
    <w:rsid w:val="26307DFC"/>
    <w:rsid w:val="266521B4"/>
    <w:rsid w:val="26B166FF"/>
    <w:rsid w:val="26CD7528"/>
    <w:rsid w:val="26D1527F"/>
    <w:rsid w:val="271617F6"/>
    <w:rsid w:val="27363334"/>
    <w:rsid w:val="27475541"/>
    <w:rsid w:val="27676AF8"/>
    <w:rsid w:val="27735A1F"/>
    <w:rsid w:val="27AC1848"/>
    <w:rsid w:val="27B20A9C"/>
    <w:rsid w:val="27C36786"/>
    <w:rsid w:val="27C43035"/>
    <w:rsid w:val="27CC0673"/>
    <w:rsid w:val="27F31225"/>
    <w:rsid w:val="284C2C15"/>
    <w:rsid w:val="284C4C3E"/>
    <w:rsid w:val="285A2C3A"/>
    <w:rsid w:val="289B0711"/>
    <w:rsid w:val="289C2F2E"/>
    <w:rsid w:val="28A45B9D"/>
    <w:rsid w:val="28AF339E"/>
    <w:rsid w:val="28C123B1"/>
    <w:rsid w:val="28C657AC"/>
    <w:rsid w:val="28C72DDD"/>
    <w:rsid w:val="28DE0127"/>
    <w:rsid w:val="28FE70EC"/>
    <w:rsid w:val="2908744F"/>
    <w:rsid w:val="290B39DC"/>
    <w:rsid w:val="29253660"/>
    <w:rsid w:val="2927387C"/>
    <w:rsid w:val="295470C2"/>
    <w:rsid w:val="295C30F4"/>
    <w:rsid w:val="296C74E1"/>
    <w:rsid w:val="2978504E"/>
    <w:rsid w:val="297A7E50"/>
    <w:rsid w:val="29954C89"/>
    <w:rsid w:val="299E4EE5"/>
    <w:rsid w:val="29B24674"/>
    <w:rsid w:val="29C61A3E"/>
    <w:rsid w:val="2A220A40"/>
    <w:rsid w:val="2A445EEB"/>
    <w:rsid w:val="2A5812C3"/>
    <w:rsid w:val="2A6B59EA"/>
    <w:rsid w:val="2A915D79"/>
    <w:rsid w:val="2AB718E1"/>
    <w:rsid w:val="2AB845D9"/>
    <w:rsid w:val="2AB9599B"/>
    <w:rsid w:val="2AB962FC"/>
    <w:rsid w:val="2AED4651"/>
    <w:rsid w:val="2AF459E0"/>
    <w:rsid w:val="2AFC6642"/>
    <w:rsid w:val="2AFE23BA"/>
    <w:rsid w:val="2B0674C1"/>
    <w:rsid w:val="2B0B4AD7"/>
    <w:rsid w:val="2B1D21E4"/>
    <w:rsid w:val="2B30453E"/>
    <w:rsid w:val="2B3B716B"/>
    <w:rsid w:val="2B481ECE"/>
    <w:rsid w:val="2B8F5708"/>
    <w:rsid w:val="2B9A4002"/>
    <w:rsid w:val="2B9E2D39"/>
    <w:rsid w:val="2BAA69F8"/>
    <w:rsid w:val="2BD22280"/>
    <w:rsid w:val="2BDD15B2"/>
    <w:rsid w:val="2C1861F1"/>
    <w:rsid w:val="2C222FE3"/>
    <w:rsid w:val="2C327ED5"/>
    <w:rsid w:val="2C5F5FDF"/>
    <w:rsid w:val="2C6646BB"/>
    <w:rsid w:val="2C766949"/>
    <w:rsid w:val="2CD76BE7"/>
    <w:rsid w:val="2CD8693B"/>
    <w:rsid w:val="2CFA64EC"/>
    <w:rsid w:val="2D095047"/>
    <w:rsid w:val="2D0B5263"/>
    <w:rsid w:val="2D23435A"/>
    <w:rsid w:val="2D261C60"/>
    <w:rsid w:val="2D316684"/>
    <w:rsid w:val="2D354E16"/>
    <w:rsid w:val="2D6B05ED"/>
    <w:rsid w:val="2D737F53"/>
    <w:rsid w:val="2D767BAD"/>
    <w:rsid w:val="2D7C1CBC"/>
    <w:rsid w:val="2D863DFC"/>
    <w:rsid w:val="2DB11966"/>
    <w:rsid w:val="2DC446E8"/>
    <w:rsid w:val="2DCB1063"/>
    <w:rsid w:val="2DD34DB1"/>
    <w:rsid w:val="2DD37B2E"/>
    <w:rsid w:val="2DDA4C9A"/>
    <w:rsid w:val="2DFD3E6B"/>
    <w:rsid w:val="2E1819E5"/>
    <w:rsid w:val="2E187C37"/>
    <w:rsid w:val="2E1F0887"/>
    <w:rsid w:val="2E242797"/>
    <w:rsid w:val="2E3A138A"/>
    <w:rsid w:val="2E5642BC"/>
    <w:rsid w:val="2E9A75B6"/>
    <w:rsid w:val="2EA11A78"/>
    <w:rsid w:val="2EA8720D"/>
    <w:rsid w:val="2EA96AE1"/>
    <w:rsid w:val="2EC622A9"/>
    <w:rsid w:val="2EE542C4"/>
    <w:rsid w:val="2F083152"/>
    <w:rsid w:val="2F0E0EF2"/>
    <w:rsid w:val="2F103898"/>
    <w:rsid w:val="2F1C638E"/>
    <w:rsid w:val="2F1F5442"/>
    <w:rsid w:val="2F4F7689"/>
    <w:rsid w:val="2F7505E9"/>
    <w:rsid w:val="2F807568"/>
    <w:rsid w:val="2FAD18CF"/>
    <w:rsid w:val="2FCE4F9E"/>
    <w:rsid w:val="2FD23E16"/>
    <w:rsid w:val="2FDB1971"/>
    <w:rsid w:val="2FF41FDE"/>
    <w:rsid w:val="2FF65D56"/>
    <w:rsid w:val="301C78C6"/>
    <w:rsid w:val="3037083C"/>
    <w:rsid w:val="3038011D"/>
    <w:rsid w:val="30466CDD"/>
    <w:rsid w:val="30495DF7"/>
    <w:rsid w:val="309335A5"/>
    <w:rsid w:val="309D4424"/>
    <w:rsid w:val="30A12166"/>
    <w:rsid w:val="30CE0A81"/>
    <w:rsid w:val="30DC319E"/>
    <w:rsid w:val="30EB7F92"/>
    <w:rsid w:val="30EC0F07"/>
    <w:rsid w:val="30F71601"/>
    <w:rsid w:val="30F82B8D"/>
    <w:rsid w:val="30FB754E"/>
    <w:rsid w:val="31540F86"/>
    <w:rsid w:val="316D5680"/>
    <w:rsid w:val="319C0B7F"/>
    <w:rsid w:val="31C1669D"/>
    <w:rsid w:val="31D41125"/>
    <w:rsid w:val="32095D09"/>
    <w:rsid w:val="321275D6"/>
    <w:rsid w:val="32211576"/>
    <w:rsid w:val="32477518"/>
    <w:rsid w:val="32541BBF"/>
    <w:rsid w:val="32695F1B"/>
    <w:rsid w:val="326A5C72"/>
    <w:rsid w:val="327B7B6B"/>
    <w:rsid w:val="32851613"/>
    <w:rsid w:val="328865F4"/>
    <w:rsid w:val="328E07F0"/>
    <w:rsid w:val="329B0E37"/>
    <w:rsid w:val="32AB107A"/>
    <w:rsid w:val="32AD41D4"/>
    <w:rsid w:val="32FE5BCA"/>
    <w:rsid w:val="330811E7"/>
    <w:rsid w:val="331D0913"/>
    <w:rsid w:val="331D35FA"/>
    <w:rsid w:val="33242BDA"/>
    <w:rsid w:val="33356B95"/>
    <w:rsid w:val="33460500"/>
    <w:rsid w:val="336134F5"/>
    <w:rsid w:val="336E1E5D"/>
    <w:rsid w:val="3384518C"/>
    <w:rsid w:val="33890C8F"/>
    <w:rsid w:val="339A66C5"/>
    <w:rsid w:val="33A37FA3"/>
    <w:rsid w:val="33E95D1A"/>
    <w:rsid w:val="33F32DD8"/>
    <w:rsid w:val="33FF71DA"/>
    <w:rsid w:val="34012F1B"/>
    <w:rsid w:val="34043A46"/>
    <w:rsid w:val="340B58B2"/>
    <w:rsid w:val="341516C9"/>
    <w:rsid w:val="34382A36"/>
    <w:rsid w:val="344B78F6"/>
    <w:rsid w:val="34563E00"/>
    <w:rsid w:val="34677222"/>
    <w:rsid w:val="346E0638"/>
    <w:rsid w:val="34A27DAC"/>
    <w:rsid w:val="34AA5361"/>
    <w:rsid w:val="34AD033F"/>
    <w:rsid w:val="34AD165D"/>
    <w:rsid w:val="34CE091C"/>
    <w:rsid w:val="34E56399"/>
    <w:rsid w:val="34FC3E0F"/>
    <w:rsid w:val="350C5BF4"/>
    <w:rsid w:val="350E3B42"/>
    <w:rsid w:val="353C06AF"/>
    <w:rsid w:val="353D3E4A"/>
    <w:rsid w:val="353E0CA5"/>
    <w:rsid w:val="35694E5F"/>
    <w:rsid w:val="3589693D"/>
    <w:rsid w:val="35B068EC"/>
    <w:rsid w:val="35FC0710"/>
    <w:rsid w:val="361B0C42"/>
    <w:rsid w:val="366754AB"/>
    <w:rsid w:val="36753BF9"/>
    <w:rsid w:val="36873BAC"/>
    <w:rsid w:val="369B1C26"/>
    <w:rsid w:val="369B739F"/>
    <w:rsid w:val="369E4A52"/>
    <w:rsid w:val="36AA33F6"/>
    <w:rsid w:val="36B95E63"/>
    <w:rsid w:val="36BD11DA"/>
    <w:rsid w:val="36CE3FBF"/>
    <w:rsid w:val="36E0150E"/>
    <w:rsid w:val="36EC2893"/>
    <w:rsid w:val="37023232"/>
    <w:rsid w:val="37176727"/>
    <w:rsid w:val="37270EEB"/>
    <w:rsid w:val="37296A11"/>
    <w:rsid w:val="37404D66"/>
    <w:rsid w:val="374750E9"/>
    <w:rsid w:val="374C137A"/>
    <w:rsid w:val="378400EB"/>
    <w:rsid w:val="379522F8"/>
    <w:rsid w:val="37C07B1C"/>
    <w:rsid w:val="37E312B6"/>
    <w:rsid w:val="37ED5899"/>
    <w:rsid w:val="37FB3D3C"/>
    <w:rsid w:val="382C6504"/>
    <w:rsid w:val="382E7B37"/>
    <w:rsid w:val="3848736B"/>
    <w:rsid w:val="38512329"/>
    <w:rsid w:val="386046B4"/>
    <w:rsid w:val="38763ED8"/>
    <w:rsid w:val="387C7014"/>
    <w:rsid w:val="38904F84"/>
    <w:rsid w:val="38A65E3F"/>
    <w:rsid w:val="38E321C8"/>
    <w:rsid w:val="38EB631B"/>
    <w:rsid w:val="38F372D7"/>
    <w:rsid w:val="38F566EC"/>
    <w:rsid w:val="391E1E7A"/>
    <w:rsid w:val="392A6A70"/>
    <w:rsid w:val="392E6561"/>
    <w:rsid w:val="39365BED"/>
    <w:rsid w:val="395732EF"/>
    <w:rsid w:val="396D2EF0"/>
    <w:rsid w:val="39895909"/>
    <w:rsid w:val="3995038E"/>
    <w:rsid w:val="39981C2C"/>
    <w:rsid w:val="39A4356C"/>
    <w:rsid w:val="39D55FF8"/>
    <w:rsid w:val="39FE4185"/>
    <w:rsid w:val="3A041A9A"/>
    <w:rsid w:val="3A1714B2"/>
    <w:rsid w:val="3A1944AD"/>
    <w:rsid w:val="3A235B6E"/>
    <w:rsid w:val="3A377697"/>
    <w:rsid w:val="3A3A5DC4"/>
    <w:rsid w:val="3A683CF4"/>
    <w:rsid w:val="3A695377"/>
    <w:rsid w:val="3A75715F"/>
    <w:rsid w:val="3A7E0E9C"/>
    <w:rsid w:val="3AA21D55"/>
    <w:rsid w:val="3AA42CDA"/>
    <w:rsid w:val="3ACC6031"/>
    <w:rsid w:val="3AD37316"/>
    <w:rsid w:val="3AEA6013"/>
    <w:rsid w:val="3AF6663D"/>
    <w:rsid w:val="3B176B54"/>
    <w:rsid w:val="3B1A3AF1"/>
    <w:rsid w:val="3B556027"/>
    <w:rsid w:val="3B6547D3"/>
    <w:rsid w:val="3BA548F3"/>
    <w:rsid w:val="3BAA2C3A"/>
    <w:rsid w:val="3BC44F5A"/>
    <w:rsid w:val="3BD4795A"/>
    <w:rsid w:val="3BFA549D"/>
    <w:rsid w:val="3BFB6994"/>
    <w:rsid w:val="3C1250CC"/>
    <w:rsid w:val="3C2854E9"/>
    <w:rsid w:val="3C2D124D"/>
    <w:rsid w:val="3C396808"/>
    <w:rsid w:val="3C4165AB"/>
    <w:rsid w:val="3C556055"/>
    <w:rsid w:val="3C830972"/>
    <w:rsid w:val="3C886C7E"/>
    <w:rsid w:val="3C973023"/>
    <w:rsid w:val="3CA52FDE"/>
    <w:rsid w:val="3CAC7CC8"/>
    <w:rsid w:val="3CAD324B"/>
    <w:rsid w:val="3CBE2F7F"/>
    <w:rsid w:val="3CC55133"/>
    <w:rsid w:val="3D2757A1"/>
    <w:rsid w:val="3D4D0D5E"/>
    <w:rsid w:val="3D5A3DC8"/>
    <w:rsid w:val="3D786894"/>
    <w:rsid w:val="3D7D263D"/>
    <w:rsid w:val="3D850B84"/>
    <w:rsid w:val="3D911337"/>
    <w:rsid w:val="3D932E36"/>
    <w:rsid w:val="3D9646D4"/>
    <w:rsid w:val="3DB80AEF"/>
    <w:rsid w:val="3DB9219A"/>
    <w:rsid w:val="3DBD311F"/>
    <w:rsid w:val="3DBE3F84"/>
    <w:rsid w:val="3DDB1067"/>
    <w:rsid w:val="3DE67F9A"/>
    <w:rsid w:val="3E534BC2"/>
    <w:rsid w:val="3E582C65"/>
    <w:rsid w:val="3E5E1696"/>
    <w:rsid w:val="3E683F2A"/>
    <w:rsid w:val="3E774506"/>
    <w:rsid w:val="3E904F2C"/>
    <w:rsid w:val="3E9055C8"/>
    <w:rsid w:val="3E911D3D"/>
    <w:rsid w:val="3EC61739"/>
    <w:rsid w:val="3ED41958"/>
    <w:rsid w:val="3EE719CC"/>
    <w:rsid w:val="3EED6576"/>
    <w:rsid w:val="3EFB14C6"/>
    <w:rsid w:val="3F062386"/>
    <w:rsid w:val="3F0A5895"/>
    <w:rsid w:val="3F1C1719"/>
    <w:rsid w:val="3F253F62"/>
    <w:rsid w:val="3F2C2D48"/>
    <w:rsid w:val="3F2D72BA"/>
    <w:rsid w:val="3F42776D"/>
    <w:rsid w:val="3F4E170B"/>
    <w:rsid w:val="3F6E3B5B"/>
    <w:rsid w:val="3F89006D"/>
    <w:rsid w:val="3FA66610"/>
    <w:rsid w:val="3FA96941"/>
    <w:rsid w:val="3FC47810"/>
    <w:rsid w:val="3FE1127E"/>
    <w:rsid w:val="3FF14667"/>
    <w:rsid w:val="4009481A"/>
    <w:rsid w:val="401E31BF"/>
    <w:rsid w:val="405C1A5F"/>
    <w:rsid w:val="409672FB"/>
    <w:rsid w:val="40AE762D"/>
    <w:rsid w:val="40C33F68"/>
    <w:rsid w:val="40C90B3F"/>
    <w:rsid w:val="40D914A8"/>
    <w:rsid w:val="40E90910"/>
    <w:rsid w:val="40EB6FE9"/>
    <w:rsid w:val="41313477"/>
    <w:rsid w:val="41410DFB"/>
    <w:rsid w:val="414A4DB7"/>
    <w:rsid w:val="41560B72"/>
    <w:rsid w:val="41571E7B"/>
    <w:rsid w:val="415B28B8"/>
    <w:rsid w:val="41801923"/>
    <w:rsid w:val="418D6647"/>
    <w:rsid w:val="41CB5A31"/>
    <w:rsid w:val="41FD2F74"/>
    <w:rsid w:val="41FF76F5"/>
    <w:rsid w:val="42072F7D"/>
    <w:rsid w:val="420C64FE"/>
    <w:rsid w:val="421107CE"/>
    <w:rsid w:val="421B6974"/>
    <w:rsid w:val="422229DB"/>
    <w:rsid w:val="42415965"/>
    <w:rsid w:val="42703746"/>
    <w:rsid w:val="42734B21"/>
    <w:rsid w:val="42843BD2"/>
    <w:rsid w:val="42997141"/>
    <w:rsid w:val="42B17904"/>
    <w:rsid w:val="42B51AA1"/>
    <w:rsid w:val="42CF2B62"/>
    <w:rsid w:val="42F75C15"/>
    <w:rsid w:val="42FA74B4"/>
    <w:rsid w:val="4300323D"/>
    <w:rsid w:val="43052F92"/>
    <w:rsid w:val="431C567C"/>
    <w:rsid w:val="434F77FF"/>
    <w:rsid w:val="43505313"/>
    <w:rsid w:val="43555FBF"/>
    <w:rsid w:val="437F2153"/>
    <w:rsid w:val="43AC15BA"/>
    <w:rsid w:val="43AD2778"/>
    <w:rsid w:val="43B05365"/>
    <w:rsid w:val="43C156DA"/>
    <w:rsid w:val="43D67F21"/>
    <w:rsid w:val="43E837B0"/>
    <w:rsid w:val="442778D7"/>
    <w:rsid w:val="442F6B74"/>
    <w:rsid w:val="444B56D1"/>
    <w:rsid w:val="444D132B"/>
    <w:rsid w:val="446763F9"/>
    <w:rsid w:val="447B48FF"/>
    <w:rsid w:val="44A40D42"/>
    <w:rsid w:val="44A92F3F"/>
    <w:rsid w:val="44BB52FF"/>
    <w:rsid w:val="44D658C9"/>
    <w:rsid w:val="44D9323B"/>
    <w:rsid w:val="44DF2E05"/>
    <w:rsid w:val="44FD5A52"/>
    <w:rsid w:val="45036AF3"/>
    <w:rsid w:val="45126D36"/>
    <w:rsid w:val="451F7738"/>
    <w:rsid w:val="45281C10"/>
    <w:rsid w:val="45367494"/>
    <w:rsid w:val="45375E5B"/>
    <w:rsid w:val="45592BB7"/>
    <w:rsid w:val="455B11FA"/>
    <w:rsid w:val="45682DFA"/>
    <w:rsid w:val="457847A0"/>
    <w:rsid w:val="457F34E4"/>
    <w:rsid w:val="45811A13"/>
    <w:rsid w:val="458D2861"/>
    <w:rsid w:val="45922779"/>
    <w:rsid w:val="45986A36"/>
    <w:rsid w:val="459D4DD2"/>
    <w:rsid w:val="45A353F2"/>
    <w:rsid w:val="45C20653"/>
    <w:rsid w:val="45EB4900"/>
    <w:rsid w:val="45FF47F0"/>
    <w:rsid w:val="460960BC"/>
    <w:rsid w:val="461940F5"/>
    <w:rsid w:val="46241A0F"/>
    <w:rsid w:val="462C3E28"/>
    <w:rsid w:val="46303A88"/>
    <w:rsid w:val="46342CDD"/>
    <w:rsid w:val="464253F9"/>
    <w:rsid w:val="464E0242"/>
    <w:rsid w:val="465A1C7B"/>
    <w:rsid w:val="465E6322"/>
    <w:rsid w:val="466C2476"/>
    <w:rsid w:val="467B7B0D"/>
    <w:rsid w:val="46BF14ED"/>
    <w:rsid w:val="46C64056"/>
    <w:rsid w:val="46D71FE6"/>
    <w:rsid w:val="46E22739"/>
    <w:rsid w:val="46E6575F"/>
    <w:rsid w:val="46E82445"/>
    <w:rsid w:val="46F74436"/>
    <w:rsid w:val="46FA2F17"/>
    <w:rsid w:val="46FC1253"/>
    <w:rsid w:val="4703102D"/>
    <w:rsid w:val="4723347D"/>
    <w:rsid w:val="47596E9F"/>
    <w:rsid w:val="475B1636"/>
    <w:rsid w:val="475B1642"/>
    <w:rsid w:val="47800ECE"/>
    <w:rsid w:val="479F2405"/>
    <w:rsid w:val="47BA5463"/>
    <w:rsid w:val="47D46525"/>
    <w:rsid w:val="48053C7E"/>
    <w:rsid w:val="480F57AF"/>
    <w:rsid w:val="48286871"/>
    <w:rsid w:val="486F19CC"/>
    <w:rsid w:val="48943F06"/>
    <w:rsid w:val="48BB7EDC"/>
    <w:rsid w:val="48BD345D"/>
    <w:rsid w:val="48BE1AC7"/>
    <w:rsid w:val="48C91E02"/>
    <w:rsid w:val="48CA19D1"/>
    <w:rsid w:val="48D16C6E"/>
    <w:rsid w:val="48E629B4"/>
    <w:rsid w:val="48E63F75"/>
    <w:rsid w:val="48F64540"/>
    <w:rsid w:val="49331BA1"/>
    <w:rsid w:val="495468E5"/>
    <w:rsid w:val="496F0653"/>
    <w:rsid w:val="497A134E"/>
    <w:rsid w:val="49EE4CC3"/>
    <w:rsid w:val="4A095D85"/>
    <w:rsid w:val="4A145D21"/>
    <w:rsid w:val="4A227A1C"/>
    <w:rsid w:val="4A3E2B7F"/>
    <w:rsid w:val="4A4C4A99"/>
    <w:rsid w:val="4A58790A"/>
    <w:rsid w:val="4A630FB1"/>
    <w:rsid w:val="4A7519D3"/>
    <w:rsid w:val="4A835FE1"/>
    <w:rsid w:val="4A875AD1"/>
    <w:rsid w:val="4AD7199F"/>
    <w:rsid w:val="4ADE279D"/>
    <w:rsid w:val="4AF76EC2"/>
    <w:rsid w:val="4AFB0936"/>
    <w:rsid w:val="4B014DB7"/>
    <w:rsid w:val="4B040FB2"/>
    <w:rsid w:val="4B06733D"/>
    <w:rsid w:val="4B107F25"/>
    <w:rsid w:val="4B517E8D"/>
    <w:rsid w:val="4B756271"/>
    <w:rsid w:val="4BA13982"/>
    <w:rsid w:val="4BA21E1A"/>
    <w:rsid w:val="4BB06DB8"/>
    <w:rsid w:val="4BBA4483"/>
    <w:rsid w:val="4BCC4733"/>
    <w:rsid w:val="4BD41354"/>
    <w:rsid w:val="4BD42F98"/>
    <w:rsid w:val="4BD50A14"/>
    <w:rsid w:val="4C101AF6"/>
    <w:rsid w:val="4C1F546B"/>
    <w:rsid w:val="4C32039C"/>
    <w:rsid w:val="4C4C2744"/>
    <w:rsid w:val="4C4E4E5E"/>
    <w:rsid w:val="4C4F6AC2"/>
    <w:rsid w:val="4C673E0C"/>
    <w:rsid w:val="4C681932"/>
    <w:rsid w:val="4C77281D"/>
    <w:rsid w:val="4C924171"/>
    <w:rsid w:val="4C9241D9"/>
    <w:rsid w:val="4C9269AF"/>
    <w:rsid w:val="4C934C01"/>
    <w:rsid w:val="4CAE2D8B"/>
    <w:rsid w:val="4CCA5657"/>
    <w:rsid w:val="4CD34FFD"/>
    <w:rsid w:val="4CDE4BDB"/>
    <w:rsid w:val="4CE076EB"/>
    <w:rsid w:val="4D0E4287"/>
    <w:rsid w:val="4D30575A"/>
    <w:rsid w:val="4D3B091F"/>
    <w:rsid w:val="4D3C7046"/>
    <w:rsid w:val="4D413338"/>
    <w:rsid w:val="4D675EDB"/>
    <w:rsid w:val="4D897DB2"/>
    <w:rsid w:val="4D924EB8"/>
    <w:rsid w:val="4DA61D05"/>
    <w:rsid w:val="4DAD3AA0"/>
    <w:rsid w:val="4DB41D5F"/>
    <w:rsid w:val="4DC96400"/>
    <w:rsid w:val="4DE4148C"/>
    <w:rsid w:val="4E015B9A"/>
    <w:rsid w:val="4E146D0E"/>
    <w:rsid w:val="4E152BE6"/>
    <w:rsid w:val="4E1C315D"/>
    <w:rsid w:val="4E203E45"/>
    <w:rsid w:val="4E224F4B"/>
    <w:rsid w:val="4E2D4CA9"/>
    <w:rsid w:val="4E424566"/>
    <w:rsid w:val="4E4812DB"/>
    <w:rsid w:val="4E4B5AA0"/>
    <w:rsid w:val="4E571C5E"/>
    <w:rsid w:val="4E5E2FEC"/>
    <w:rsid w:val="4E83512E"/>
    <w:rsid w:val="4EA02D52"/>
    <w:rsid w:val="4EB63F95"/>
    <w:rsid w:val="4EBF6917"/>
    <w:rsid w:val="4EC47B64"/>
    <w:rsid w:val="4EC72940"/>
    <w:rsid w:val="4ECC43FA"/>
    <w:rsid w:val="4ED603EE"/>
    <w:rsid w:val="4EDB0D1F"/>
    <w:rsid w:val="4EDB63EB"/>
    <w:rsid w:val="4EEC23A6"/>
    <w:rsid w:val="4F2A2ECF"/>
    <w:rsid w:val="4F2E29BF"/>
    <w:rsid w:val="4F3B50DC"/>
    <w:rsid w:val="4F495A4B"/>
    <w:rsid w:val="4F4F0A39"/>
    <w:rsid w:val="4F7C5E20"/>
    <w:rsid w:val="4F822D0B"/>
    <w:rsid w:val="4FD712A8"/>
    <w:rsid w:val="50025BF9"/>
    <w:rsid w:val="5012408F"/>
    <w:rsid w:val="502B6EFE"/>
    <w:rsid w:val="5030468B"/>
    <w:rsid w:val="503675D1"/>
    <w:rsid w:val="50384490"/>
    <w:rsid w:val="50540473"/>
    <w:rsid w:val="50697210"/>
    <w:rsid w:val="5079410E"/>
    <w:rsid w:val="508C359C"/>
    <w:rsid w:val="509F5F83"/>
    <w:rsid w:val="50A53155"/>
    <w:rsid w:val="50F46DCC"/>
    <w:rsid w:val="50FA5635"/>
    <w:rsid w:val="511856D5"/>
    <w:rsid w:val="511B51C5"/>
    <w:rsid w:val="511C2EB9"/>
    <w:rsid w:val="5124051D"/>
    <w:rsid w:val="51281690"/>
    <w:rsid w:val="512F2A1E"/>
    <w:rsid w:val="51391784"/>
    <w:rsid w:val="513D38B6"/>
    <w:rsid w:val="51581F75"/>
    <w:rsid w:val="51612A46"/>
    <w:rsid w:val="51772B2B"/>
    <w:rsid w:val="51AE18CA"/>
    <w:rsid w:val="51B75E38"/>
    <w:rsid w:val="51BC6678"/>
    <w:rsid w:val="51C5755B"/>
    <w:rsid w:val="51CE781B"/>
    <w:rsid w:val="51E657D3"/>
    <w:rsid w:val="52023C69"/>
    <w:rsid w:val="52612F1E"/>
    <w:rsid w:val="52AB2578"/>
    <w:rsid w:val="52BB415A"/>
    <w:rsid w:val="52DB3467"/>
    <w:rsid w:val="530E3233"/>
    <w:rsid w:val="532540D9"/>
    <w:rsid w:val="53281E1B"/>
    <w:rsid w:val="532D7B72"/>
    <w:rsid w:val="533B1B4E"/>
    <w:rsid w:val="53403699"/>
    <w:rsid w:val="534F0C9B"/>
    <w:rsid w:val="537E1DC9"/>
    <w:rsid w:val="53C90F08"/>
    <w:rsid w:val="53DC50DF"/>
    <w:rsid w:val="53F3442D"/>
    <w:rsid w:val="54057813"/>
    <w:rsid w:val="540B1A2E"/>
    <w:rsid w:val="5412080D"/>
    <w:rsid w:val="54411362"/>
    <w:rsid w:val="544D6654"/>
    <w:rsid w:val="54547C25"/>
    <w:rsid w:val="545B6505"/>
    <w:rsid w:val="54933F1F"/>
    <w:rsid w:val="549A694D"/>
    <w:rsid w:val="54A11EB4"/>
    <w:rsid w:val="54A6447C"/>
    <w:rsid w:val="54FA3343"/>
    <w:rsid w:val="55145697"/>
    <w:rsid w:val="552503C0"/>
    <w:rsid w:val="552A0593"/>
    <w:rsid w:val="55603898"/>
    <w:rsid w:val="556919D2"/>
    <w:rsid w:val="55786DF3"/>
    <w:rsid w:val="557944D6"/>
    <w:rsid w:val="558C043F"/>
    <w:rsid w:val="558E065B"/>
    <w:rsid w:val="558F1CDD"/>
    <w:rsid w:val="55A16DE2"/>
    <w:rsid w:val="55A33E57"/>
    <w:rsid w:val="55AC0AE1"/>
    <w:rsid w:val="55B6522E"/>
    <w:rsid w:val="55C0185C"/>
    <w:rsid w:val="55CC1183"/>
    <w:rsid w:val="55DD6EED"/>
    <w:rsid w:val="55E76AFC"/>
    <w:rsid w:val="55F5798E"/>
    <w:rsid w:val="56552EF1"/>
    <w:rsid w:val="56581F0E"/>
    <w:rsid w:val="56743027"/>
    <w:rsid w:val="5681005E"/>
    <w:rsid w:val="569577C7"/>
    <w:rsid w:val="569B45F1"/>
    <w:rsid w:val="56B040AF"/>
    <w:rsid w:val="56B94728"/>
    <w:rsid w:val="56D95906"/>
    <w:rsid w:val="56DF4C61"/>
    <w:rsid w:val="570B7A8A"/>
    <w:rsid w:val="57141815"/>
    <w:rsid w:val="571D488D"/>
    <w:rsid w:val="572C4367"/>
    <w:rsid w:val="57931F59"/>
    <w:rsid w:val="57947A7F"/>
    <w:rsid w:val="579B705F"/>
    <w:rsid w:val="57A2219C"/>
    <w:rsid w:val="57A8352A"/>
    <w:rsid w:val="57BF2D4E"/>
    <w:rsid w:val="57C42BD2"/>
    <w:rsid w:val="57CA6292"/>
    <w:rsid w:val="57D46B1C"/>
    <w:rsid w:val="57E83060"/>
    <w:rsid w:val="57EA3B43"/>
    <w:rsid w:val="57FB24AF"/>
    <w:rsid w:val="581A0D29"/>
    <w:rsid w:val="581F5768"/>
    <w:rsid w:val="583E0E16"/>
    <w:rsid w:val="58496ABB"/>
    <w:rsid w:val="58580FB7"/>
    <w:rsid w:val="58684AEE"/>
    <w:rsid w:val="587530F2"/>
    <w:rsid w:val="587C43CC"/>
    <w:rsid w:val="587D0513"/>
    <w:rsid w:val="588F375F"/>
    <w:rsid w:val="5898534D"/>
    <w:rsid w:val="58A40196"/>
    <w:rsid w:val="58C074B6"/>
    <w:rsid w:val="58DC16DE"/>
    <w:rsid w:val="58EE6FF9"/>
    <w:rsid w:val="5904145C"/>
    <w:rsid w:val="592554A0"/>
    <w:rsid w:val="592E180D"/>
    <w:rsid w:val="59387D46"/>
    <w:rsid w:val="5949081C"/>
    <w:rsid w:val="596B38A7"/>
    <w:rsid w:val="59771E25"/>
    <w:rsid w:val="598700A8"/>
    <w:rsid w:val="598B321A"/>
    <w:rsid w:val="59B47051"/>
    <w:rsid w:val="59C81C62"/>
    <w:rsid w:val="59CD5A4A"/>
    <w:rsid w:val="59E925D2"/>
    <w:rsid w:val="5A0C7DA1"/>
    <w:rsid w:val="5A162510"/>
    <w:rsid w:val="5A1F7AD4"/>
    <w:rsid w:val="5A696FA1"/>
    <w:rsid w:val="5ACE769D"/>
    <w:rsid w:val="5ADD2164"/>
    <w:rsid w:val="5B19774E"/>
    <w:rsid w:val="5B3F116D"/>
    <w:rsid w:val="5B527A35"/>
    <w:rsid w:val="5B781C73"/>
    <w:rsid w:val="5B7D784B"/>
    <w:rsid w:val="5B7F45A2"/>
    <w:rsid w:val="5BD248F1"/>
    <w:rsid w:val="5BF742CE"/>
    <w:rsid w:val="5C05719D"/>
    <w:rsid w:val="5C0C50F0"/>
    <w:rsid w:val="5C4A2E02"/>
    <w:rsid w:val="5C530746"/>
    <w:rsid w:val="5C594DF3"/>
    <w:rsid w:val="5C642116"/>
    <w:rsid w:val="5C6A7000"/>
    <w:rsid w:val="5C8059A1"/>
    <w:rsid w:val="5CC93A47"/>
    <w:rsid w:val="5CE07E1D"/>
    <w:rsid w:val="5CEC1141"/>
    <w:rsid w:val="5D0A0C24"/>
    <w:rsid w:val="5D3D17A2"/>
    <w:rsid w:val="5D621292"/>
    <w:rsid w:val="5D970460"/>
    <w:rsid w:val="5DA22E1F"/>
    <w:rsid w:val="5DC6517F"/>
    <w:rsid w:val="5DDE5652"/>
    <w:rsid w:val="5DFE3466"/>
    <w:rsid w:val="5E0C65C1"/>
    <w:rsid w:val="5E2002BE"/>
    <w:rsid w:val="5E3E4D98"/>
    <w:rsid w:val="5E4915C3"/>
    <w:rsid w:val="5E554AE4"/>
    <w:rsid w:val="5E7F1E4C"/>
    <w:rsid w:val="5EB05E08"/>
    <w:rsid w:val="5EE25574"/>
    <w:rsid w:val="5F0E6369"/>
    <w:rsid w:val="5F1C5490"/>
    <w:rsid w:val="5F2731DB"/>
    <w:rsid w:val="5F434264"/>
    <w:rsid w:val="5F50072F"/>
    <w:rsid w:val="5F751F44"/>
    <w:rsid w:val="5F9F1AF5"/>
    <w:rsid w:val="5FAA4E53"/>
    <w:rsid w:val="5FDE3F8D"/>
    <w:rsid w:val="5FE62E42"/>
    <w:rsid w:val="5FF145BC"/>
    <w:rsid w:val="5FFD535B"/>
    <w:rsid w:val="60026CA8"/>
    <w:rsid w:val="60340A02"/>
    <w:rsid w:val="603B7746"/>
    <w:rsid w:val="603D5158"/>
    <w:rsid w:val="6044205E"/>
    <w:rsid w:val="604638E0"/>
    <w:rsid w:val="6048560F"/>
    <w:rsid w:val="608363D1"/>
    <w:rsid w:val="60876579"/>
    <w:rsid w:val="6090729E"/>
    <w:rsid w:val="60980A56"/>
    <w:rsid w:val="60C60DF5"/>
    <w:rsid w:val="60E23609"/>
    <w:rsid w:val="60E3042B"/>
    <w:rsid w:val="61070F6D"/>
    <w:rsid w:val="612D5A66"/>
    <w:rsid w:val="6131633F"/>
    <w:rsid w:val="6146003C"/>
    <w:rsid w:val="61521DAB"/>
    <w:rsid w:val="6171504A"/>
    <w:rsid w:val="61811074"/>
    <w:rsid w:val="61860438"/>
    <w:rsid w:val="61907509"/>
    <w:rsid w:val="61962114"/>
    <w:rsid w:val="61AB1046"/>
    <w:rsid w:val="61AE2690"/>
    <w:rsid w:val="61CD465C"/>
    <w:rsid w:val="61EA4E6B"/>
    <w:rsid w:val="61F65E83"/>
    <w:rsid w:val="61F96E5C"/>
    <w:rsid w:val="62131E29"/>
    <w:rsid w:val="621C6FEF"/>
    <w:rsid w:val="622532E5"/>
    <w:rsid w:val="62302A18"/>
    <w:rsid w:val="62436329"/>
    <w:rsid w:val="62485429"/>
    <w:rsid w:val="625000DD"/>
    <w:rsid w:val="627729BD"/>
    <w:rsid w:val="627A5057"/>
    <w:rsid w:val="62A212A2"/>
    <w:rsid w:val="62A274F4"/>
    <w:rsid w:val="62C95C8A"/>
    <w:rsid w:val="62D56107"/>
    <w:rsid w:val="62D60F4C"/>
    <w:rsid w:val="62DD7F01"/>
    <w:rsid w:val="630B3168"/>
    <w:rsid w:val="633D147A"/>
    <w:rsid w:val="634B193A"/>
    <w:rsid w:val="634E7E04"/>
    <w:rsid w:val="635C295A"/>
    <w:rsid w:val="635D3BD6"/>
    <w:rsid w:val="6368271D"/>
    <w:rsid w:val="637013A0"/>
    <w:rsid w:val="637D1D0F"/>
    <w:rsid w:val="638853C9"/>
    <w:rsid w:val="638F2C01"/>
    <w:rsid w:val="63906262"/>
    <w:rsid w:val="63BC6393"/>
    <w:rsid w:val="63BF40D6"/>
    <w:rsid w:val="63CC1F45"/>
    <w:rsid w:val="63F465B9"/>
    <w:rsid w:val="641B0143"/>
    <w:rsid w:val="642A16AE"/>
    <w:rsid w:val="643A0529"/>
    <w:rsid w:val="6472739A"/>
    <w:rsid w:val="648F78A0"/>
    <w:rsid w:val="64910871"/>
    <w:rsid w:val="649965F2"/>
    <w:rsid w:val="64A20939"/>
    <w:rsid w:val="64B41760"/>
    <w:rsid w:val="64D67FEA"/>
    <w:rsid w:val="64EC4654"/>
    <w:rsid w:val="64F16511"/>
    <w:rsid w:val="65085608"/>
    <w:rsid w:val="65311CBD"/>
    <w:rsid w:val="653A1C66"/>
    <w:rsid w:val="653F727C"/>
    <w:rsid w:val="65607CAE"/>
    <w:rsid w:val="656D0202"/>
    <w:rsid w:val="65716E00"/>
    <w:rsid w:val="658166E9"/>
    <w:rsid w:val="65817895"/>
    <w:rsid w:val="6598479E"/>
    <w:rsid w:val="65A842A2"/>
    <w:rsid w:val="65B25CA0"/>
    <w:rsid w:val="65B85280"/>
    <w:rsid w:val="65D379C4"/>
    <w:rsid w:val="66306D14"/>
    <w:rsid w:val="664B1055"/>
    <w:rsid w:val="664F13E5"/>
    <w:rsid w:val="664F7DBA"/>
    <w:rsid w:val="665E7BD6"/>
    <w:rsid w:val="66612BA8"/>
    <w:rsid w:val="6695111E"/>
    <w:rsid w:val="66B5531C"/>
    <w:rsid w:val="66BF1B5F"/>
    <w:rsid w:val="66D81D68"/>
    <w:rsid w:val="66FE4F15"/>
    <w:rsid w:val="67112E9A"/>
    <w:rsid w:val="67154518"/>
    <w:rsid w:val="674C7A2E"/>
    <w:rsid w:val="678F3DBF"/>
    <w:rsid w:val="67957182"/>
    <w:rsid w:val="67CB00B6"/>
    <w:rsid w:val="67D7311C"/>
    <w:rsid w:val="67F31013"/>
    <w:rsid w:val="68097EB5"/>
    <w:rsid w:val="680B1697"/>
    <w:rsid w:val="6812125B"/>
    <w:rsid w:val="68262975"/>
    <w:rsid w:val="683E38D4"/>
    <w:rsid w:val="68425130"/>
    <w:rsid w:val="68464DC5"/>
    <w:rsid w:val="685257B7"/>
    <w:rsid w:val="686A1038"/>
    <w:rsid w:val="686E2A42"/>
    <w:rsid w:val="687A24AE"/>
    <w:rsid w:val="689C20DC"/>
    <w:rsid w:val="689C3E04"/>
    <w:rsid w:val="689F6BEB"/>
    <w:rsid w:val="68B0298D"/>
    <w:rsid w:val="68BC03CD"/>
    <w:rsid w:val="68CB0FAF"/>
    <w:rsid w:val="68D312F9"/>
    <w:rsid w:val="691602F4"/>
    <w:rsid w:val="692A062E"/>
    <w:rsid w:val="694A3FCB"/>
    <w:rsid w:val="69535ADA"/>
    <w:rsid w:val="695E1C9B"/>
    <w:rsid w:val="69707BA9"/>
    <w:rsid w:val="69900F8C"/>
    <w:rsid w:val="69977D10"/>
    <w:rsid w:val="69B34AB5"/>
    <w:rsid w:val="69BD1270"/>
    <w:rsid w:val="69DA16C4"/>
    <w:rsid w:val="69DC3A7E"/>
    <w:rsid w:val="69E568B5"/>
    <w:rsid w:val="69E71C90"/>
    <w:rsid w:val="69E80EAC"/>
    <w:rsid w:val="69FC427E"/>
    <w:rsid w:val="6A1B69D6"/>
    <w:rsid w:val="6A2E78BF"/>
    <w:rsid w:val="6A3C1FDC"/>
    <w:rsid w:val="6A462E5B"/>
    <w:rsid w:val="6A62349D"/>
    <w:rsid w:val="6A8A36D6"/>
    <w:rsid w:val="6ABC6BD6"/>
    <w:rsid w:val="6AC16985"/>
    <w:rsid w:val="6AC709BE"/>
    <w:rsid w:val="6B077BD1"/>
    <w:rsid w:val="6B1765A5"/>
    <w:rsid w:val="6B177FC7"/>
    <w:rsid w:val="6B19546A"/>
    <w:rsid w:val="6B317667"/>
    <w:rsid w:val="6B46267A"/>
    <w:rsid w:val="6B613F56"/>
    <w:rsid w:val="6B621F16"/>
    <w:rsid w:val="6B6978AC"/>
    <w:rsid w:val="6B824366"/>
    <w:rsid w:val="6BA0659B"/>
    <w:rsid w:val="6BB12556"/>
    <w:rsid w:val="6BB32155"/>
    <w:rsid w:val="6BB77467"/>
    <w:rsid w:val="6BDC30F4"/>
    <w:rsid w:val="6BE835A9"/>
    <w:rsid w:val="6C0407D9"/>
    <w:rsid w:val="6C223454"/>
    <w:rsid w:val="6C2471CC"/>
    <w:rsid w:val="6C54194D"/>
    <w:rsid w:val="6C6C12C5"/>
    <w:rsid w:val="6CEC57A5"/>
    <w:rsid w:val="6CFC710B"/>
    <w:rsid w:val="6D0A63C2"/>
    <w:rsid w:val="6D0D3AC3"/>
    <w:rsid w:val="6D0E2A1B"/>
    <w:rsid w:val="6D527D69"/>
    <w:rsid w:val="6D6526B8"/>
    <w:rsid w:val="6D986FCA"/>
    <w:rsid w:val="6DAD5461"/>
    <w:rsid w:val="6DBE0F5A"/>
    <w:rsid w:val="6DC5678C"/>
    <w:rsid w:val="6DF26DC9"/>
    <w:rsid w:val="6E0A7816"/>
    <w:rsid w:val="6E0E3C8F"/>
    <w:rsid w:val="6E1E6CF4"/>
    <w:rsid w:val="6E3909F4"/>
    <w:rsid w:val="6E3E054B"/>
    <w:rsid w:val="6E8C2E06"/>
    <w:rsid w:val="6EAD7350"/>
    <w:rsid w:val="6F097400"/>
    <w:rsid w:val="6F250433"/>
    <w:rsid w:val="6F6600C1"/>
    <w:rsid w:val="6F6A770B"/>
    <w:rsid w:val="6F6F723A"/>
    <w:rsid w:val="6F7E35BE"/>
    <w:rsid w:val="6F830FE7"/>
    <w:rsid w:val="6F9208F0"/>
    <w:rsid w:val="6F9D2906"/>
    <w:rsid w:val="6FA046F1"/>
    <w:rsid w:val="6FBB7D0C"/>
    <w:rsid w:val="6FBE7937"/>
    <w:rsid w:val="6FC50DC7"/>
    <w:rsid w:val="6FDC16BA"/>
    <w:rsid w:val="6FF27C19"/>
    <w:rsid w:val="700A3F6D"/>
    <w:rsid w:val="701C0B7D"/>
    <w:rsid w:val="70293003"/>
    <w:rsid w:val="706202C3"/>
    <w:rsid w:val="706F7915"/>
    <w:rsid w:val="707513EF"/>
    <w:rsid w:val="70A74260"/>
    <w:rsid w:val="70A93AEA"/>
    <w:rsid w:val="70AB790A"/>
    <w:rsid w:val="70B63C4E"/>
    <w:rsid w:val="70B7060E"/>
    <w:rsid w:val="70BA1EAD"/>
    <w:rsid w:val="70C43D1A"/>
    <w:rsid w:val="70CC0E40"/>
    <w:rsid w:val="70D23FCC"/>
    <w:rsid w:val="70EB4587"/>
    <w:rsid w:val="70EB50D1"/>
    <w:rsid w:val="71061F26"/>
    <w:rsid w:val="710B08D3"/>
    <w:rsid w:val="711202DA"/>
    <w:rsid w:val="712839BA"/>
    <w:rsid w:val="71287D44"/>
    <w:rsid w:val="71300AFA"/>
    <w:rsid w:val="714B6FA9"/>
    <w:rsid w:val="716562BC"/>
    <w:rsid w:val="716A5126"/>
    <w:rsid w:val="71796B75"/>
    <w:rsid w:val="717C3606"/>
    <w:rsid w:val="71866233"/>
    <w:rsid w:val="71881FAB"/>
    <w:rsid w:val="71944BCE"/>
    <w:rsid w:val="71964BB2"/>
    <w:rsid w:val="71A66149"/>
    <w:rsid w:val="71DC62F5"/>
    <w:rsid w:val="71DF3877"/>
    <w:rsid w:val="71F94C57"/>
    <w:rsid w:val="720D4729"/>
    <w:rsid w:val="72143A86"/>
    <w:rsid w:val="721E46BD"/>
    <w:rsid w:val="72294E91"/>
    <w:rsid w:val="72361A07"/>
    <w:rsid w:val="7249173A"/>
    <w:rsid w:val="725549C1"/>
    <w:rsid w:val="72563136"/>
    <w:rsid w:val="7257109D"/>
    <w:rsid w:val="726D1462"/>
    <w:rsid w:val="727E762B"/>
    <w:rsid w:val="72864AB1"/>
    <w:rsid w:val="72AE315C"/>
    <w:rsid w:val="72AF46AD"/>
    <w:rsid w:val="72BE0C98"/>
    <w:rsid w:val="72BF19FC"/>
    <w:rsid w:val="72EF6671"/>
    <w:rsid w:val="73326672"/>
    <w:rsid w:val="73660D5D"/>
    <w:rsid w:val="7372081D"/>
    <w:rsid w:val="73844A14"/>
    <w:rsid w:val="73877A65"/>
    <w:rsid w:val="73894DC1"/>
    <w:rsid w:val="739D4008"/>
    <w:rsid w:val="73A15439"/>
    <w:rsid w:val="73A429A0"/>
    <w:rsid w:val="73A806E2"/>
    <w:rsid w:val="73C53042"/>
    <w:rsid w:val="73C90867"/>
    <w:rsid w:val="73D22833"/>
    <w:rsid w:val="73E76CA0"/>
    <w:rsid w:val="744B3D4C"/>
    <w:rsid w:val="7467237E"/>
    <w:rsid w:val="746D4A6F"/>
    <w:rsid w:val="747F700B"/>
    <w:rsid w:val="74813359"/>
    <w:rsid w:val="749018A2"/>
    <w:rsid w:val="74B8390C"/>
    <w:rsid w:val="74BD58E3"/>
    <w:rsid w:val="74CA4688"/>
    <w:rsid w:val="750202C6"/>
    <w:rsid w:val="7546337F"/>
    <w:rsid w:val="75575F1C"/>
    <w:rsid w:val="7565081D"/>
    <w:rsid w:val="756B19C7"/>
    <w:rsid w:val="757A60AE"/>
    <w:rsid w:val="75902036"/>
    <w:rsid w:val="75983717"/>
    <w:rsid w:val="75AA0651"/>
    <w:rsid w:val="75AC1FED"/>
    <w:rsid w:val="75BA294F"/>
    <w:rsid w:val="75C65F01"/>
    <w:rsid w:val="75F41B02"/>
    <w:rsid w:val="760836BA"/>
    <w:rsid w:val="76290390"/>
    <w:rsid w:val="762C7EDF"/>
    <w:rsid w:val="763F6A80"/>
    <w:rsid w:val="76400D44"/>
    <w:rsid w:val="764014B5"/>
    <w:rsid w:val="765B285F"/>
    <w:rsid w:val="76654669"/>
    <w:rsid w:val="76860973"/>
    <w:rsid w:val="76966F18"/>
    <w:rsid w:val="76A01B45"/>
    <w:rsid w:val="76A9033B"/>
    <w:rsid w:val="76BD06C9"/>
    <w:rsid w:val="76BD4232"/>
    <w:rsid w:val="76E41157"/>
    <w:rsid w:val="7718792D"/>
    <w:rsid w:val="77291B3A"/>
    <w:rsid w:val="773301BF"/>
    <w:rsid w:val="774150D6"/>
    <w:rsid w:val="775C4879"/>
    <w:rsid w:val="77757724"/>
    <w:rsid w:val="778F6F79"/>
    <w:rsid w:val="77B708BA"/>
    <w:rsid w:val="77B764C5"/>
    <w:rsid w:val="77C17FC5"/>
    <w:rsid w:val="77E250AD"/>
    <w:rsid w:val="782C432F"/>
    <w:rsid w:val="78564BB1"/>
    <w:rsid w:val="7872306D"/>
    <w:rsid w:val="78760DAF"/>
    <w:rsid w:val="78A75E67"/>
    <w:rsid w:val="78BF024C"/>
    <w:rsid w:val="78CC11E9"/>
    <w:rsid w:val="78D350B2"/>
    <w:rsid w:val="78F93787"/>
    <w:rsid w:val="7931273F"/>
    <w:rsid w:val="79393B8B"/>
    <w:rsid w:val="793F73F3"/>
    <w:rsid w:val="7950681C"/>
    <w:rsid w:val="798526BF"/>
    <w:rsid w:val="79BB2FBE"/>
    <w:rsid w:val="79D00993"/>
    <w:rsid w:val="79D0629D"/>
    <w:rsid w:val="79F76A7E"/>
    <w:rsid w:val="7A0A5C53"/>
    <w:rsid w:val="7A432F13"/>
    <w:rsid w:val="7A601D17"/>
    <w:rsid w:val="7A684E53"/>
    <w:rsid w:val="7A78473D"/>
    <w:rsid w:val="7A8F26F0"/>
    <w:rsid w:val="7AB705A7"/>
    <w:rsid w:val="7ABA37B7"/>
    <w:rsid w:val="7B230961"/>
    <w:rsid w:val="7B31700F"/>
    <w:rsid w:val="7B350BB3"/>
    <w:rsid w:val="7B424F78"/>
    <w:rsid w:val="7B767318"/>
    <w:rsid w:val="7B863568"/>
    <w:rsid w:val="7B8707E1"/>
    <w:rsid w:val="7B9003DA"/>
    <w:rsid w:val="7BDA3A46"/>
    <w:rsid w:val="7BDD546D"/>
    <w:rsid w:val="7BF4022C"/>
    <w:rsid w:val="7C1C5187"/>
    <w:rsid w:val="7C240B22"/>
    <w:rsid w:val="7C5D4D89"/>
    <w:rsid w:val="7C63164A"/>
    <w:rsid w:val="7C8F68E3"/>
    <w:rsid w:val="7C923227"/>
    <w:rsid w:val="7C977546"/>
    <w:rsid w:val="7C9D3FBE"/>
    <w:rsid w:val="7CAF640A"/>
    <w:rsid w:val="7CB776DA"/>
    <w:rsid w:val="7CBF1EE2"/>
    <w:rsid w:val="7CD24A22"/>
    <w:rsid w:val="7CD32D5E"/>
    <w:rsid w:val="7CDC31AB"/>
    <w:rsid w:val="7CDC60CE"/>
    <w:rsid w:val="7CDE6741"/>
    <w:rsid w:val="7D0660BB"/>
    <w:rsid w:val="7D0C4147"/>
    <w:rsid w:val="7D21384A"/>
    <w:rsid w:val="7D8724A6"/>
    <w:rsid w:val="7D8A0E59"/>
    <w:rsid w:val="7D8A2C07"/>
    <w:rsid w:val="7DB008BF"/>
    <w:rsid w:val="7DE652B4"/>
    <w:rsid w:val="7DF4755D"/>
    <w:rsid w:val="7E0D4209"/>
    <w:rsid w:val="7E196BE2"/>
    <w:rsid w:val="7E4C3DC1"/>
    <w:rsid w:val="7E891110"/>
    <w:rsid w:val="7E8A7362"/>
    <w:rsid w:val="7E90249F"/>
    <w:rsid w:val="7E9B156F"/>
    <w:rsid w:val="7EA62E94"/>
    <w:rsid w:val="7EA73190"/>
    <w:rsid w:val="7EC02BB2"/>
    <w:rsid w:val="7ECD1661"/>
    <w:rsid w:val="7ED30C88"/>
    <w:rsid w:val="7F115983"/>
    <w:rsid w:val="7F2506AA"/>
    <w:rsid w:val="7F266502"/>
    <w:rsid w:val="7F41310A"/>
    <w:rsid w:val="7F473ACE"/>
    <w:rsid w:val="7F5370A1"/>
    <w:rsid w:val="7F5E7533"/>
    <w:rsid w:val="7F623E3B"/>
    <w:rsid w:val="7F6B4E3B"/>
    <w:rsid w:val="7F7138CD"/>
    <w:rsid w:val="7F767DA4"/>
    <w:rsid w:val="7F78637A"/>
    <w:rsid w:val="7F790A0F"/>
    <w:rsid w:val="7F9E0BEB"/>
    <w:rsid w:val="7FB63F96"/>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81"/>
    <w:qFormat/>
    <w:uiPriority w:val="0"/>
    <w:pPr>
      <w:keepNext/>
      <w:snapToGrid w:val="0"/>
      <w:spacing w:line="360" w:lineRule="atLeast"/>
      <w:outlineLvl w:val="0"/>
    </w:pPr>
    <w:rPr>
      <w:rFonts w:ascii="宋体"/>
    </w:rPr>
  </w:style>
  <w:style w:type="paragraph" w:styleId="3">
    <w:name w:val="heading 2"/>
    <w:basedOn w:val="1"/>
    <w:next w:val="1"/>
    <w:link w:val="8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8"/>
    <w:qFormat/>
    <w:uiPriority w:val="0"/>
    <w:pPr>
      <w:keepNext/>
      <w:keepLines/>
      <w:spacing w:before="200" w:after="200"/>
      <w:outlineLvl w:val="2"/>
    </w:pPr>
    <w:rPr>
      <w:rFonts w:ascii="Times New Roman" w:hAnsi="Times New Roman" w:eastAsia="宋体"/>
      <w:b/>
      <w:sz w:val="24"/>
      <w:szCs w:val="24"/>
    </w:rPr>
  </w:style>
  <w:style w:type="paragraph" w:styleId="5">
    <w:name w:val="heading 4"/>
    <w:basedOn w:val="1"/>
    <w:next w:val="1"/>
    <w:link w:val="83"/>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84"/>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85"/>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86"/>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87"/>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88"/>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39"/>
    <w:pPr>
      <w:ind w:left="2520" w:leftChars="1200"/>
    </w:pPr>
  </w:style>
  <w:style w:type="paragraph" w:styleId="13">
    <w:name w:val="List Number 2"/>
    <w:basedOn w:val="1"/>
    <w:qFormat/>
    <w:uiPriority w:val="0"/>
    <w:pPr>
      <w:numPr>
        <w:ilvl w:val="0"/>
        <w:numId w:val="1"/>
      </w:numPr>
      <w:tabs>
        <w:tab w:val="clear" w:pos="425"/>
      </w:tabs>
      <w:spacing w:line="360" w:lineRule="auto"/>
    </w:pPr>
    <w:rPr>
      <w:sz w:val="24"/>
    </w:rPr>
  </w:style>
  <w:style w:type="paragraph" w:styleId="14">
    <w:name w:val="table of authorities"/>
    <w:basedOn w:val="1"/>
    <w:next w:val="1"/>
    <w:qFormat/>
    <w:uiPriority w:val="0"/>
    <w:pPr>
      <w:ind w:left="420" w:leftChars="200"/>
    </w:p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link w:val="161"/>
    <w:qFormat/>
    <w:uiPriority w:val="0"/>
    <w:pPr>
      <w:adjustRightInd w:val="0"/>
      <w:snapToGrid w:val="0"/>
      <w:spacing w:line="360" w:lineRule="auto"/>
      <w:ind w:firstLine="420"/>
    </w:pPr>
    <w:rPr>
      <w:rFonts w:ascii="Calibri" w:hAnsi="Calibri" w:cs="宋体"/>
      <w:sz w:val="24"/>
      <w:szCs w:val="22"/>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link w:val="91"/>
    <w:qFormat/>
    <w:uiPriority w:val="0"/>
    <w:pPr>
      <w:shd w:val="clear" w:color="auto" w:fill="000080"/>
    </w:pPr>
    <w:rPr>
      <w:rFonts w:ascii="Calibri" w:hAnsi="Calibri" w:cs="宋体"/>
      <w:szCs w:val="22"/>
    </w:r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187"/>
    <w:qFormat/>
    <w:uiPriority w:val="0"/>
    <w:pPr>
      <w:jc w:val="left"/>
    </w:pPr>
  </w:style>
  <w:style w:type="paragraph" w:styleId="21">
    <w:name w:val="Body Text 3"/>
    <w:basedOn w:val="1"/>
    <w:link w:val="94"/>
    <w:qFormat/>
    <w:uiPriority w:val="0"/>
    <w:pPr>
      <w:adjustRightInd w:val="0"/>
      <w:snapToGrid w:val="0"/>
      <w:spacing w:after="120" w:line="360" w:lineRule="auto"/>
    </w:pPr>
    <w:rPr>
      <w:rFonts w:ascii="Calibri" w:hAnsi="Calibri" w:cs="宋体"/>
      <w:sz w:val="16"/>
      <w:szCs w:val="22"/>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link w:val="130"/>
    <w:qFormat/>
    <w:uiPriority w:val="0"/>
    <w:rPr>
      <w:rFonts w:ascii="仿宋_GB2312" w:hAnsi="Calibri" w:eastAsia="仿宋_GB2312" w:cs="宋体"/>
      <w:sz w:val="32"/>
      <w:szCs w:val="22"/>
    </w:rPr>
  </w:style>
  <w:style w:type="paragraph" w:styleId="24">
    <w:name w:val="Body Text Indent"/>
    <w:basedOn w:val="1"/>
    <w:next w:val="25"/>
    <w:link w:val="176"/>
    <w:qFormat/>
    <w:uiPriority w:val="0"/>
    <w:pPr>
      <w:spacing w:after="120"/>
      <w:ind w:left="420" w:leftChars="200"/>
    </w:p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30">
    <w:name w:val="List Bullet 2"/>
    <w:basedOn w:val="1"/>
    <w:qFormat/>
    <w:uiPriority w:val="0"/>
    <w:pPr>
      <w:numPr>
        <w:ilvl w:val="0"/>
        <w:numId w:val="3"/>
      </w:numPr>
      <w:adjustRightInd w:val="0"/>
      <w:snapToGrid w:val="0"/>
      <w:spacing w:line="360" w:lineRule="auto"/>
    </w:pPr>
    <w:rPr>
      <w:sz w:val="24"/>
    </w:rPr>
  </w:style>
  <w:style w:type="paragraph" w:styleId="31">
    <w:name w:val="index 4"/>
    <w:basedOn w:val="1"/>
    <w:next w:val="1"/>
    <w:qFormat/>
    <w:uiPriority w:val="0"/>
    <w:pPr>
      <w:ind w:left="600" w:leftChars="600"/>
    </w:pPr>
    <w:rPr>
      <w:rFonts w:ascii="Calibri" w:hAnsi="Calibri"/>
      <w:sz w:val="21"/>
      <w:szCs w:val="24"/>
    </w:rPr>
  </w:style>
  <w:style w:type="paragraph" w:styleId="32">
    <w:name w:val="toc 5"/>
    <w:basedOn w:val="1"/>
    <w:next w:val="1"/>
    <w:qFormat/>
    <w:uiPriority w:val="39"/>
    <w:pPr>
      <w:ind w:left="1680" w:leftChars="800"/>
    </w:pPr>
  </w:style>
  <w:style w:type="paragraph" w:styleId="33">
    <w:name w:val="toc 3"/>
    <w:basedOn w:val="1"/>
    <w:next w:val="1"/>
    <w:qFormat/>
    <w:uiPriority w:val="39"/>
    <w:pPr>
      <w:ind w:left="840" w:leftChars="400"/>
    </w:pPr>
  </w:style>
  <w:style w:type="paragraph" w:styleId="34">
    <w:name w:val="Plain Text"/>
    <w:basedOn w:val="1"/>
    <w:link w:val="164"/>
    <w:qFormat/>
    <w:uiPriority w:val="0"/>
    <w:rPr>
      <w:rFonts w:ascii="宋体" w:hAnsi="Courier New" w:cs="宋体"/>
      <w:sz w:val="21"/>
      <w:szCs w:val="22"/>
    </w:rPr>
  </w:style>
  <w:style w:type="paragraph" w:styleId="35">
    <w:name w:val="toc 8"/>
    <w:basedOn w:val="1"/>
    <w:next w:val="1"/>
    <w:qFormat/>
    <w:uiPriority w:val="39"/>
    <w:pPr>
      <w:ind w:left="2940" w:leftChars="1400"/>
    </w:pPr>
  </w:style>
  <w:style w:type="paragraph" w:styleId="36">
    <w:name w:val="Date"/>
    <w:basedOn w:val="1"/>
    <w:next w:val="1"/>
    <w:link w:val="115"/>
    <w:qFormat/>
    <w:uiPriority w:val="0"/>
    <w:rPr>
      <w:rFonts w:ascii="Calibri" w:hAnsi="Calibri" w:cs="宋体"/>
      <w:szCs w:val="22"/>
    </w:rPr>
  </w:style>
  <w:style w:type="paragraph" w:styleId="37">
    <w:name w:val="Body Text Indent 2"/>
    <w:basedOn w:val="1"/>
    <w:link w:val="154"/>
    <w:qFormat/>
    <w:uiPriority w:val="0"/>
    <w:pPr>
      <w:snapToGrid w:val="0"/>
      <w:spacing w:line="560" w:lineRule="atLeast"/>
      <w:ind w:firstLine="540"/>
    </w:pPr>
    <w:rPr>
      <w:rFonts w:ascii="Calibri" w:hAnsi="Calibri" w:cs="宋体"/>
      <w:szCs w:val="22"/>
    </w:rPr>
  </w:style>
  <w:style w:type="paragraph" w:styleId="38">
    <w:name w:val="endnote text"/>
    <w:basedOn w:val="1"/>
    <w:link w:val="169"/>
    <w:qFormat/>
    <w:uiPriority w:val="0"/>
    <w:pPr>
      <w:widowControl/>
      <w:snapToGrid w:val="0"/>
      <w:jc w:val="left"/>
    </w:pPr>
    <w:rPr>
      <w:rFonts w:ascii="Arial" w:hAnsi="Arial" w:cs="Arial"/>
      <w:sz w:val="21"/>
      <w:szCs w:val="24"/>
      <w:lang w:eastAsia="en-US"/>
    </w:rPr>
  </w:style>
  <w:style w:type="paragraph" w:styleId="39">
    <w:name w:val="Balloon Text"/>
    <w:basedOn w:val="1"/>
    <w:link w:val="99"/>
    <w:qFormat/>
    <w:uiPriority w:val="0"/>
    <w:rPr>
      <w:rFonts w:ascii="Calibri" w:hAnsi="Calibri" w:cs="宋体"/>
      <w:sz w:val="18"/>
      <w:szCs w:val="22"/>
    </w:rPr>
  </w:style>
  <w:style w:type="paragraph" w:styleId="40">
    <w:name w:val="footer"/>
    <w:basedOn w:val="1"/>
    <w:link w:val="168"/>
    <w:qFormat/>
    <w:uiPriority w:val="99"/>
    <w:pPr>
      <w:tabs>
        <w:tab w:val="center" w:pos="4153"/>
        <w:tab w:val="right" w:pos="8306"/>
      </w:tabs>
      <w:snapToGrid w:val="0"/>
      <w:jc w:val="left"/>
    </w:pPr>
    <w:rPr>
      <w:rFonts w:ascii="Calibri" w:hAnsi="Calibri" w:cs="宋体"/>
      <w:sz w:val="18"/>
      <w:szCs w:val="22"/>
    </w:rPr>
  </w:style>
  <w:style w:type="paragraph" w:styleId="41">
    <w:name w:val="header"/>
    <w:basedOn w:val="1"/>
    <w:link w:val="155"/>
    <w:qFormat/>
    <w:uiPriority w:val="99"/>
    <w:pPr>
      <w:pBdr>
        <w:bottom w:val="single" w:color="auto" w:sz="6" w:space="1"/>
      </w:pBdr>
      <w:tabs>
        <w:tab w:val="center" w:pos="4153"/>
        <w:tab w:val="right" w:pos="8306"/>
      </w:tabs>
      <w:snapToGrid w:val="0"/>
      <w:jc w:val="center"/>
    </w:pPr>
    <w:rPr>
      <w:rFonts w:ascii="Calibri" w:hAnsi="Calibri" w:cs="宋体"/>
      <w:sz w:val="18"/>
      <w:szCs w:val="22"/>
    </w:rPr>
  </w:style>
  <w:style w:type="paragraph" w:styleId="42">
    <w:name w:val="toc 1"/>
    <w:basedOn w:val="1"/>
    <w:next w:val="1"/>
    <w:qFormat/>
    <w:uiPriority w:val="39"/>
    <w:pPr>
      <w:spacing w:line="180" w:lineRule="auto"/>
      <w:jc w:val="center"/>
    </w:pPr>
    <w:rPr>
      <w:sz w:val="30"/>
    </w:rPr>
  </w:style>
  <w:style w:type="paragraph" w:styleId="43">
    <w:name w:val="List Continue 4"/>
    <w:basedOn w:val="1"/>
    <w:qFormat/>
    <w:uiPriority w:val="0"/>
    <w:pPr>
      <w:adjustRightInd w:val="0"/>
      <w:snapToGrid w:val="0"/>
      <w:spacing w:after="120" w:line="360" w:lineRule="auto"/>
      <w:ind w:left="1680" w:leftChars="800"/>
    </w:pPr>
    <w:rPr>
      <w:sz w:val="24"/>
    </w:rPr>
  </w:style>
  <w:style w:type="paragraph" w:styleId="44">
    <w:name w:val="toc 4"/>
    <w:basedOn w:val="1"/>
    <w:next w:val="1"/>
    <w:qFormat/>
    <w:uiPriority w:val="39"/>
    <w:pPr>
      <w:ind w:left="1260" w:leftChars="600"/>
    </w:pPr>
  </w:style>
  <w:style w:type="paragraph" w:styleId="45">
    <w:name w:val="Subtitle"/>
    <w:basedOn w:val="1"/>
    <w:next w:val="1"/>
    <w:link w:val="152"/>
    <w:qFormat/>
    <w:uiPriority w:val="0"/>
    <w:pPr>
      <w:spacing w:before="240" w:after="60" w:line="312" w:lineRule="auto"/>
      <w:jc w:val="center"/>
      <w:outlineLvl w:val="1"/>
    </w:pPr>
    <w:rPr>
      <w:rFonts w:ascii="Cambria" w:hAnsi="Cambria" w:cs="宋体"/>
      <w:b/>
      <w:bCs/>
      <w:kern w:val="28"/>
      <w:sz w:val="32"/>
      <w:szCs w:val="32"/>
    </w:rPr>
  </w:style>
  <w:style w:type="paragraph" w:styleId="46">
    <w:name w:val="List"/>
    <w:basedOn w:val="1"/>
    <w:semiHidden/>
    <w:qFormat/>
    <w:uiPriority w:val="0"/>
    <w:pPr>
      <w:ind w:left="200" w:hanging="200" w:hangingChars="200"/>
    </w:pPr>
  </w:style>
  <w:style w:type="paragraph" w:styleId="47">
    <w:name w:val="footnote text"/>
    <w:basedOn w:val="1"/>
    <w:link w:val="95"/>
    <w:qFormat/>
    <w:uiPriority w:val="0"/>
    <w:pPr>
      <w:spacing w:line="360" w:lineRule="auto"/>
    </w:pPr>
    <w:rPr>
      <w:rFonts w:ascii="Calibri" w:hAnsi="Calibri" w:cs="宋体"/>
      <w:sz w:val="18"/>
      <w:szCs w:val="22"/>
    </w:rPr>
  </w:style>
  <w:style w:type="paragraph" w:styleId="48">
    <w:name w:val="toc 6"/>
    <w:basedOn w:val="1"/>
    <w:next w:val="1"/>
    <w:qFormat/>
    <w:uiPriority w:val="39"/>
    <w:pPr>
      <w:ind w:left="2100" w:leftChars="1000"/>
    </w:pPr>
  </w:style>
  <w:style w:type="paragraph" w:styleId="49">
    <w:name w:val="List 5"/>
    <w:basedOn w:val="1"/>
    <w:qFormat/>
    <w:uiPriority w:val="0"/>
    <w:pPr>
      <w:adjustRightInd w:val="0"/>
      <w:snapToGrid w:val="0"/>
      <w:spacing w:line="360" w:lineRule="auto"/>
      <w:ind w:left="100" w:leftChars="800" w:hanging="200" w:hangingChars="200"/>
    </w:pPr>
    <w:rPr>
      <w:sz w:val="24"/>
    </w:rPr>
  </w:style>
  <w:style w:type="paragraph" w:styleId="50">
    <w:name w:val="Body Text Indent 3"/>
    <w:basedOn w:val="1"/>
    <w:link w:val="132"/>
    <w:qFormat/>
    <w:uiPriority w:val="0"/>
    <w:pPr>
      <w:spacing w:line="360" w:lineRule="auto"/>
      <w:ind w:firstLine="632"/>
    </w:pPr>
    <w:rPr>
      <w:rFonts w:ascii="黑体" w:hAnsi="Calibri" w:eastAsia="黑体" w:cs="宋体"/>
      <w:szCs w:val="22"/>
    </w:rPr>
  </w:style>
  <w:style w:type="paragraph" w:styleId="51">
    <w:name w:val="table of figures"/>
    <w:basedOn w:val="1"/>
    <w:next w:val="1"/>
    <w:qFormat/>
    <w:uiPriority w:val="0"/>
    <w:pPr>
      <w:tabs>
        <w:tab w:val="right" w:leader="dot" w:pos="8640"/>
      </w:tabs>
      <w:spacing w:line="360" w:lineRule="auto"/>
      <w:ind w:left="400" w:hanging="400"/>
    </w:pPr>
    <w:rPr>
      <w:sz w:val="24"/>
    </w:rPr>
  </w:style>
  <w:style w:type="paragraph" w:styleId="52">
    <w:name w:val="toc 2"/>
    <w:basedOn w:val="1"/>
    <w:next w:val="1"/>
    <w:qFormat/>
    <w:uiPriority w:val="39"/>
    <w:pPr>
      <w:ind w:left="420" w:leftChars="200"/>
    </w:pPr>
  </w:style>
  <w:style w:type="paragraph" w:styleId="53">
    <w:name w:val="toc 9"/>
    <w:basedOn w:val="1"/>
    <w:next w:val="1"/>
    <w:qFormat/>
    <w:uiPriority w:val="39"/>
    <w:pPr>
      <w:ind w:left="3360" w:leftChars="1600"/>
    </w:pPr>
  </w:style>
  <w:style w:type="paragraph" w:styleId="54">
    <w:name w:val="Body Text 2"/>
    <w:basedOn w:val="1"/>
    <w:link w:val="184"/>
    <w:qFormat/>
    <w:uiPriority w:val="0"/>
    <w:pPr>
      <w:adjustRightInd w:val="0"/>
      <w:snapToGrid w:val="0"/>
      <w:spacing w:after="120" w:line="480" w:lineRule="auto"/>
    </w:pPr>
    <w:rPr>
      <w:sz w:val="24"/>
    </w:rPr>
  </w:style>
  <w:style w:type="paragraph" w:styleId="55">
    <w:name w:val="List 4"/>
    <w:basedOn w:val="1"/>
    <w:qFormat/>
    <w:uiPriority w:val="0"/>
    <w:pPr>
      <w:adjustRightInd w:val="0"/>
      <w:snapToGrid w:val="0"/>
      <w:spacing w:line="360" w:lineRule="auto"/>
      <w:ind w:left="100" w:leftChars="600" w:hanging="200" w:hangingChars="200"/>
    </w:pPr>
    <w:rPr>
      <w:sz w:val="24"/>
    </w:rPr>
  </w:style>
  <w:style w:type="paragraph" w:styleId="56">
    <w:name w:val="List Continue 2"/>
    <w:basedOn w:val="1"/>
    <w:qFormat/>
    <w:uiPriority w:val="0"/>
    <w:pPr>
      <w:adjustRightInd w:val="0"/>
      <w:snapToGrid w:val="0"/>
      <w:spacing w:after="120" w:line="360" w:lineRule="auto"/>
      <w:ind w:left="840" w:leftChars="400"/>
    </w:pPr>
    <w:rPr>
      <w:sz w:val="24"/>
    </w:rPr>
  </w:style>
  <w:style w:type="paragraph" w:styleId="57">
    <w:name w:val="HTML Preformatted"/>
    <w:basedOn w:val="1"/>
    <w:link w:val="1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List Continue 3"/>
    <w:basedOn w:val="1"/>
    <w:qFormat/>
    <w:uiPriority w:val="0"/>
    <w:pPr>
      <w:adjustRightInd w:val="0"/>
      <w:snapToGrid w:val="0"/>
      <w:spacing w:after="120" w:line="360" w:lineRule="auto"/>
      <w:ind w:left="1260" w:leftChars="600"/>
    </w:pPr>
    <w:rPr>
      <w:sz w:val="24"/>
    </w:rPr>
  </w:style>
  <w:style w:type="paragraph" w:styleId="60">
    <w:name w:val="index 1"/>
    <w:basedOn w:val="1"/>
    <w:next w:val="1"/>
    <w:qFormat/>
    <w:uiPriority w:val="0"/>
    <w:pPr>
      <w:adjustRightInd w:val="0"/>
      <w:spacing w:line="240" w:lineRule="atLeast"/>
      <w:textAlignment w:val="baseline"/>
    </w:pPr>
    <w:rPr>
      <w:rFonts w:ascii="宋体"/>
      <w:kern w:val="0"/>
      <w:sz w:val="21"/>
    </w:rPr>
  </w:style>
  <w:style w:type="paragraph" w:styleId="61">
    <w:name w:val="Title"/>
    <w:basedOn w:val="1"/>
    <w:next w:val="1"/>
    <w:link w:val="129"/>
    <w:qFormat/>
    <w:uiPriority w:val="0"/>
    <w:pPr>
      <w:widowControl/>
      <w:spacing w:after="240" w:line="360" w:lineRule="auto"/>
      <w:jc w:val="center"/>
    </w:pPr>
    <w:rPr>
      <w:rFonts w:ascii="Arial" w:hAnsi="Arial" w:cs="宋体"/>
      <w:b/>
      <w:smallCaps/>
      <w:kern w:val="28"/>
      <w:sz w:val="36"/>
      <w:szCs w:val="22"/>
      <w:lang w:eastAsia="en-US"/>
    </w:rPr>
  </w:style>
  <w:style w:type="paragraph" w:styleId="62">
    <w:name w:val="annotation subject"/>
    <w:basedOn w:val="20"/>
    <w:next w:val="20"/>
    <w:link w:val="140"/>
    <w:qFormat/>
    <w:uiPriority w:val="0"/>
    <w:rPr>
      <w:rFonts w:ascii="Calibri" w:hAnsi="Calibri" w:cs="宋体"/>
      <w:sz w:val="24"/>
      <w:szCs w:val="22"/>
    </w:rPr>
  </w:style>
  <w:style w:type="paragraph" w:styleId="63">
    <w:name w:val="Body Text First Indent"/>
    <w:basedOn w:val="23"/>
    <w:link w:val="199"/>
    <w:qFormat/>
    <w:uiPriority w:val="0"/>
    <w:pPr>
      <w:spacing w:line="360" w:lineRule="auto"/>
      <w:ind w:firstLine="420"/>
    </w:pPr>
    <w:rPr>
      <w:rFonts w:ascii="宋体" w:hAnsi="宋体"/>
      <w:sz w:val="24"/>
    </w:rPr>
  </w:style>
  <w:style w:type="paragraph" w:styleId="64">
    <w:name w:val="Body Text First Indent 2"/>
    <w:basedOn w:val="24"/>
    <w:link w:val="121"/>
    <w:qFormat/>
    <w:uiPriority w:val="0"/>
    <w:pPr>
      <w:ind w:firstLine="420" w:firstLineChars="200"/>
    </w:pPr>
    <w:rPr>
      <w:rFonts w:ascii="Calibri" w:hAnsi="Calibri" w:cs="宋体"/>
      <w:sz w:val="44"/>
      <w:szCs w:val="22"/>
    </w:rPr>
  </w:style>
  <w:style w:type="table" w:styleId="66">
    <w:name w:val="Table Grid"/>
    <w:basedOn w:val="6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qFormat/>
    <w:uiPriority w:val="0"/>
    <w:rPr>
      <w:b/>
    </w:rPr>
  </w:style>
  <w:style w:type="character" w:styleId="69">
    <w:name w:val="endnote reference"/>
    <w:qFormat/>
    <w:uiPriority w:val="0"/>
    <w:rPr>
      <w:vertAlign w:val="superscript"/>
    </w:rPr>
  </w:style>
  <w:style w:type="character" w:styleId="70">
    <w:name w:val="page number"/>
    <w:basedOn w:val="67"/>
    <w:qFormat/>
    <w:uiPriority w:val="0"/>
  </w:style>
  <w:style w:type="character" w:styleId="71">
    <w:name w:val="FollowedHyperlink"/>
    <w:qFormat/>
    <w:uiPriority w:val="0"/>
    <w:rPr>
      <w:color w:val="800080"/>
      <w:u w:val="single"/>
    </w:rPr>
  </w:style>
  <w:style w:type="character" w:styleId="72">
    <w:name w:val="Emphasis"/>
    <w:qFormat/>
    <w:uiPriority w:val="0"/>
    <w:rPr>
      <w:i/>
    </w:rPr>
  </w:style>
  <w:style w:type="character" w:styleId="73">
    <w:name w:val="Hyperlink"/>
    <w:qFormat/>
    <w:uiPriority w:val="99"/>
    <w:rPr>
      <w:color w:val="0000FF"/>
      <w:u w:val="single"/>
    </w:rPr>
  </w:style>
  <w:style w:type="character" w:styleId="74">
    <w:name w:val="annotation reference"/>
    <w:qFormat/>
    <w:uiPriority w:val="0"/>
    <w:rPr>
      <w:sz w:val="21"/>
      <w:szCs w:val="21"/>
    </w:rPr>
  </w:style>
  <w:style w:type="character" w:styleId="75">
    <w:name w:val="footnote reference"/>
    <w:qFormat/>
    <w:uiPriority w:val="0"/>
    <w:rPr>
      <w:position w:val="6"/>
      <w:sz w:val="14"/>
      <w:vertAlign w:val="superscript"/>
    </w:rPr>
  </w:style>
  <w:style w:type="paragraph" w:customStyle="1" w:styleId="76">
    <w:name w:val="引用1"/>
    <w:basedOn w:val="1"/>
    <w:next w:val="1"/>
    <w:link w:val="105"/>
    <w:qFormat/>
    <w:uiPriority w:val="0"/>
    <w:rPr>
      <w:rFonts w:ascii="Calibri" w:hAnsi="Calibri" w:cs="宋体"/>
      <w:i/>
      <w:iCs/>
      <w:color w:val="000000"/>
      <w:sz w:val="21"/>
      <w:szCs w:val="22"/>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8">
    <w:name w:val="标题 3 Char"/>
    <w:basedOn w:val="67"/>
    <w:link w:val="4"/>
    <w:qFormat/>
    <w:uiPriority w:val="0"/>
    <w:rPr>
      <w:rFonts w:ascii="Times New Roman" w:hAnsi="Times New Roman" w:eastAsia="宋体"/>
      <w:b/>
      <w:kern w:val="2"/>
      <w:sz w:val="24"/>
      <w:szCs w:val="24"/>
    </w:rPr>
  </w:style>
  <w:style w:type="paragraph" w:customStyle="1" w:styleId="79">
    <w:name w:val="电建正文"/>
    <w:basedOn w:val="80"/>
    <w:qFormat/>
    <w:uiPriority w:val="0"/>
    <w:pPr>
      <w:tabs>
        <w:tab w:val="left" w:pos="720"/>
      </w:tabs>
      <w:spacing w:line="360" w:lineRule="auto"/>
      <w:ind w:firstLine="200" w:firstLineChars="200"/>
    </w:pPr>
    <w:rPr>
      <w:rFonts w:ascii="Tahoma" w:hAnsi="Tahoma"/>
      <w:sz w:val="24"/>
    </w:rPr>
  </w:style>
  <w:style w:type="paragraph" w:customStyle="1" w:styleId="80">
    <w:name w:val="List First"/>
    <w:basedOn w:val="46"/>
    <w:next w:val="46"/>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81">
    <w:name w:val="标题 1 Char"/>
    <w:basedOn w:val="67"/>
    <w:link w:val="2"/>
    <w:qFormat/>
    <w:uiPriority w:val="0"/>
    <w:rPr>
      <w:rFonts w:ascii="宋体" w:hAnsi="Times New Roman" w:eastAsia="宋体" w:cs="Times New Roman"/>
      <w:sz w:val="28"/>
      <w:szCs w:val="20"/>
    </w:rPr>
  </w:style>
  <w:style w:type="character" w:customStyle="1" w:styleId="82">
    <w:name w:val="标题 2 Char"/>
    <w:basedOn w:val="67"/>
    <w:link w:val="3"/>
    <w:qFormat/>
    <w:uiPriority w:val="0"/>
    <w:rPr>
      <w:rFonts w:ascii="Arial" w:hAnsi="Arial" w:eastAsia="黑体" w:cs="Times New Roman"/>
      <w:b/>
      <w:sz w:val="32"/>
      <w:szCs w:val="20"/>
    </w:rPr>
  </w:style>
  <w:style w:type="character" w:customStyle="1" w:styleId="83">
    <w:name w:val="标题 4 Char"/>
    <w:basedOn w:val="67"/>
    <w:link w:val="5"/>
    <w:qFormat/>
    <w:uiPriority w:val="0"/>
    <w:rPr>
      <w:rFonts w:ascii="Arial" w:hAnsi="Arial" w:eastAsia="黑体" w:cs="Times New Roman"/>
      <w:b/>
      <w:sz w:val="28"/>
      <w:szCs w:val="20"/>
    </w:rPr>
  </w:style>
  <w:style w:type="character" w:customStyle="1" w:styleId="84">
    <w:name w:val="标题 5 Char"/>
    <w:basedOn w:val="67"/>
    <w:link w:val="6"/>
    <w:qFormat/>
    <w:uiPriority w:val="0"/>
    <w:rPr>
      <w:rFonts w:ascii="Times New Roman" w:hAnsi="Times New Roman" w:eastAsia="宋体" w:cs="Times New Roman"/>
      <w:b/>
      <w:sz w:val="28"/>
      <w:szCs w:val="20"/>
    </w:rPr>
  </w:style>
  <w:style w:type="character" w:customStyle="1" w:styleId="85">
    <w:name w:val="标题 6 Char"/>
    <w:basedOn w:val="67"/>
    <w:link w:val="7"/>
    <w:qFormat/>
    <w:uiPriority w:val="0"/>
    <w:rPr>
      <w:rFonts w:ascii="Arial" w:hAnsi="Arial" w:eastAsia="黑体" w:cs="Times New Roman"/>
      <w:b/>
      <w:sz w:val="24"/>
      <w:szCs w:val="20"/>
    </w:rPr>
  </w:style>
  <w:style w:type="character" w:customStyle="1" w:styleId="86">
    <w:name w:val="标题 7 Char"/>
    <w:basedOn w:val="67"/>
    <w:link w:val="8"/>
    <w:qFormat/>
    <w:uiPriority w:val="0"/>
    <w:rPr>
      <w:rFonts w:ascii="Arial" w:hAnsi="Arial" w:eastAsia="黑体" w:cs="Times New Roman"/>
      <w:b/>
      <w:sz w:val="24"/>
      <w:szCs w:val="20"/>
    </w:rPr>
  </w:style>
  <w:style w:type="character" w:customStyle="1" w:styleId="87">
    <w:name w:val="标题 8 Char"/>
    <w:basedOn w:val="67"/>
    <w:link w:val="9"/>
    <w:qFormat/>
    <w:uiPriority w:val="0"/>
    <w:rPr>
      <w:rFonts w:ascii="Arial" w:hAnsi="Arial" w:eastAsia="黑体" w:cs="Times New Roman"/>
      <w:b/>
      <w:sz w:val="24"/>
      <w:szCs w:val="20"/>
    </w:rPr>
  </w:style>
  <w:style w:type="character" w:customStyle="1" w:styleId="88">
    <w:name w:val="标题 9 Char"/>
    <w:basedOn w:val="67"/>
    <w:link w:val="10"/>
    <w:qFormat/>
    <w:uiPriority w:val="0"/>
    <w:rPr>
      <w:rFonts w:ascii="Arial" w:hAnsi="Arial" w:eastAsia="黑体" w:cs="Times New Roman"/>
      <w:b/>
      <w:sz w:val="24"/>
      <w:szCs w:val="20"/>
    </w:rPr>
  </w:style>
  <w:style w:type="character" w:customStyle="1" w:styleId="89">
    <w:name w:val="Table Text Char"/>
    <w:link w:val="90"/>
    <w:qFormat/>
    <w:uiPriority w:val="0"/>
    <w:rPr>
      <w:rFonts w:ascii="Arial" w:hAnsi="Arial"/>
      <w:sz w:val="18"/>
    </w:rPr>
  </w:style>
  <w:style w:type="paragraph" w:customStyle="1" w:styleId="90">
    <w:name w:val="Table Text"/>
    <w:link w:val="89"/>
    <w:qFormat/>
    <w:uiPriority w:val="0"/>
    <w:pPr>
      <w:snapToGrid w:val="0"/>
      <w:spacing w:before="80" w:after="80"/>
    </w:pPr>
    <w:rPr>
      <w:rFonts w:ascii="Arial" w:hAnsi="Arial" w:eastAsia="宋体" w:cs="宋体"/>
      <w:kern w:val="2"/>
      <w:sz w:val="18"/>
      <w:szCs w:val="22"/>
      <w:lang w:val="en-US" w:eastAsia="zh-CN" w:bidi="ar-SA"/>
    </w:rPr>
  </w:style>
  <w:style w:type="character" w:customStyle="1" w:styleId="91">
    <w:name w:val="文档结构图 Char"/>
    <w:link w:val="18"/>
    <w:qFormat/>
    <w:uiPriority w:val="0"/>
    <w:rPr>
      <w:sz w:val="28"/>
      <w:shd w:val="clear" w:color="auto" w:fill="000080"/>
    </w:rPr>
  </w:style>
  <w:style w:type="character" w:customStyle="1" w:styleId="92">
    <w:name w:val="批注文字 Char"/>
    <w:qFormat/>
    <w:uiPriority w:val="0"/>
    <w:rPr>
      <w:sz w:val="24"/>
    </w:rPr>
  </w:style>
  <w:style w:type="character" w:customStyle="1" w:styleId="93">
    <w:name w:val="14t1"/>
    <w:qFormat/>
    <w:uiPriority w:val="0"/>
    <w:rPr>
      <w:rFonts w:hint="eastAsia" w:ascii="宋体" w:hAnsi="宋体" w:eastAsia="宋体"/>
      <w:sz w:val="11"/>
      <w:szCs w:val="11"/>
    </w:rPr>
  </w:style>
  <w:style w:type="character" w:customStyle="1" w:styleId="94">
    <w:name w:val="正文文本 3 Char"/>
    <w:link w:val="21"/>
    <w:qFormat/>
    <w:uiPriority w:val="0"/>
    <w:rPr>
      <w:sz w:val="16"/>
    </w:rPr>
  </w:style>
  <w:style w:type="character" w:customStyle="1" w:styleId="95">
    <w:name w:val="脚注文本 Char"/>
    <w:link w:val="47"/>
    <w:qFormat/>
    <w:uiPriority w:val="0"/>
    <w:rPr>
      <w:sz w:val="18"/>
    </w:rPr>
  </w:style>
  <w:style w:type="character" w:customStyle="1" w:styleId="96">
    <w:name w:val="docpro"/>
    <w:qFormat/>
    <w:uiPriority w:val="0"/>
  </w:style>
  <w:style w:type="character" w:customStyle="1" w:styleId="97">
    <w:name w:val="正文缩进2格 Char"/>
    <w:link w:val="98"/>
    <w:qFormat/>
    <w:uiPriority w:val="99"/>
    <w:rPr>
      <w:rFonts w:ascii="仿宋_GB2312" w:hAnsi="宋体" w:eastAsia="仿宋_GB2312"/>
      <w:sz w:val="28"/>
    </w:rPr>
  </w:style>
  <w:style w:type="paragraph" w:customStyle="1" w:styleId="98">
    <w:name w:val="正文缩进2格"/>
    <w:basedOn w:val="1"/>
    <w:link w:val="97"/>
    <w:qFormat/>
    <w:uiPriority w:val="99"/>
    <w:pPr>
      <w:spacing w:line="600" w:lineRule="exact"/>
      <w:ind w:firstLine="639" w:firstLineChars="206"/>
    </w:pPr>
    <w:rPr>
      <w:rFonts w:ascii="仿宋_GB2312" w:hAnsi="宋体" w:eastAsia="仿宋_GB2312" w:cs="宋体"/>
      <w:szCs w:val="22"/>
    </w:rPr>
  </w:style>
  <w:style w:type="character" w:customStyle="1" w:styleId="99">
    <w:name w:val="批注框文本 Char"/>
    <w:link w:val="39"/>
    <w:qFormat/>
    <w:uiPriority w:val="0"/>
    <w:rPr>
      <w:sz w:val="18"/>
    </w:rPr>
  </w:style>
  <w:style w:type="character" w:customStyle="1" w:styleId="100">
    <w:name w:val="Table Text Char Char Char Char"/>
    <w:link w:val="101"/>
    <w:qFormat/>
    <w:uiPriority w:val="0"/>
    <w:rPr>
      <w:rFonts w:ascii="Arial" w:hAnsi="Arial"/>
      <w:sz w:val="18"/>
    </w:rPr>
  </w:style>
  <w:style w:type="paragraph" w:customStyle="1" w:styleId="101">
    <w:name w:val="Table Text Char Char Char"/>
    <w:link w:val="100"/>
    <w:qFormat/>
    <w:uiPriority w:val="0"/>
    <w:pPr>
      <w:snapToGrid w:val="0"/>
      <w:spacing w:before="80" w:after="80"/>
    </w:pPr>
    <w:rPr>
      <w:rFonts w:ascii="Arial" w:hAnsi="Arial" w:eastAsia="宋体" w:cs="宋体"/>
      <w:kern w:val="2"/>
      <w:sz w:val="18"/>
      <w:szCs w:val="22"/>
      <w:lang w:val="en-US" w:eastAsia="zh-CN" w:bidi="ar-SA"/>
    </w:rPr>
  </w:style>
  <w:style w:type="character" w:customStyle="1" w:styleId="102">
    <w:name w:val="font161"/>
    <w:qFormat/>
    <w:uiPriority w:val="0"/>
    <w:rPr>
      <w:b/>
      <w:bCs/>
      <w:sz w:val="32"/>
      <w:szCs w:val="32"/>
    </w:rPr>
  </w:style>
  <w:style w:type="character" w:customStyle="1" w:styleId="103">
    <w:name w:val="文字 Char"/>
    <w:link w:val="104"/>
    <w:qFormat/>
    <w:uiPriority w:val="0"/>
    <w:rPr>
      <w:rFonts w:ascii="宋体"/>
      <w:sz w:val="28"/>
    </w:rPr>
  </w:style>
  <w:style w:type="paragraph" w:customStyle="1" w:styleId="104">
    <w:name w:val="文字"/>
    <w:basedOn w:val="1"/>
    <w:link w:val="103"/>
    <w:qFormat/>
    <w:uiPriority w:val="0"/>
    <w:pPr>
      <w:tabs>
        <w:tab w:val="left" w:pos="8520"/>
      </w:tabs>
      <w:spacing w:line="312" w:lineRule="auto"/>
      <w:ind w:right="-210" w:firstLine="556"/>
    </w:pPr>
    <w:rPr>
      <w:rFonts w:ascii="宋体" w:hAnsi="Calibri" w:cs="宋体"/>
      <w:szCs w:val="22"/>
    </w:rPr>
  </w:style>
  <w:style w:type="character" w:customStyle="1" w:styleId="105">
    <w:name w:val="引用 Char"/>
    <w:link w:val="76"/>
    <w:qFormat/>
    <w:uiPriority w:val="0"/>
    <w:rPr>
      <w:i/>
      <w:iCs/>
      <w:color w:val="000000"/>
    </w:rPr>
  </w:style>
  <w:style w:type="character" w:customStyle="1" w:styleId="106">
    <w:name w:val="0d1471"/>
    <w:qFormat/>
    <w:uiPriority w:val="0"/>
    <w:rPr>
      <w:color w:val="000000"/>
      <w:sz w:val="11"/>
      <w:szCs w:val="11"/>
      <w:u w:val="none"/>
    </w:rPr>
  </w:style>
  <w:style w:type="character" w:customStyle="1" w:styleId="107">
    <w:name w:val="*正文 Char"/>
    <w:link w:val="108"/>
    <w:qFormat/>
    <w:uiPriority w:val="0"/>
    <w:rPr>
      <w:rFonts w:ascii="仿宋_GB2312" w:eastAsia="仿宋_GB2312"/>
      <w:sz w:val="24"/>
      <w:szCs w:val="28"/>
    </w:rPr>
  </w:style>
  <w:style w:type="paragraph" w:customStyle="1" w:styleId="108">
    <w:name w:val="*正文"/>
    <w:basedOn w:val="1"/>
    <w:link w:val="107"/>
    <w:qFormat/>
    <w:uiPriority w:val="0"/>
    <w:pPr>
      <w:widowControl/>
      <w:ind w:firstLine="200" w:firstLineChars="200"/>
    </w:pPr>
    <w:rPr>
      <w:rFonts w:ascii="仿宋_GB2312" w:hAnsi="Calibri" w:eastAsia="仿宋_GB2312" w:cs="宋体"/>
      <w:sz w:val="24"/>
      <w:szCs w:val="28"/>
    </w:rPr>
  </w:style>
  <w:style w:type="character" w:customStyle="1" w:styleId="109">
    <w:name w:val="intel3"/>
    <w:qFormat/>
    <w:uiPriority w:val="0"/>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标题5 Char Char"/>
    <w:link w:val="112"/>
    <w:qFormat/>
    <w:uiPriority w:val="0"/>
    <w:rPr>
      <w:rFonts w:ascii="宋体"/>
    </w:rPr>
  </w:style>
  <w:style w:type="paragraph" w:customStyle="1" w:styleId="112">
    <w:name w:val="标题5"/>
    <w:basedOn w:val="1"/>
    <w:link w:val="111"/>
    <w:qFormat/>
    <w:uiPriority w:val="0"/>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113">
    <w:name w:val="main_tdbg_7601"/>
    <w:qFormat/>
    <w:uiPriority w:val="0"/>
    <w:rPr>
      <w:sz w:val="14"/>
      <w:szCs w:val="14"/>
    </w:rPr>
  </w:style>
  <w:style w:type="character" w:customStyle="1" w:styleId="114">
    <w:name w:val="font1"/>
    <w:qFormat/>
    <w:uiPriority w:val="0"/>
    <w:rPr>
      <w:color w:val="000000"/>
      <w:sz w:val="18"/>
    </w:rPr>
  </w:style>
  <w:style w:type="character" w:customStyle="1" w:styleId="115">
    <w:name w:val="日期 Char"/>
    <w:link w:val="36"/>
    <w:qFormat/>
    <w:uiPriority w:val="0"/>
    <w:rPr>
      <w:sz w:val="28"/>
    </w:rPr>
  </w:style>
  <w:style w:type="character" w:customStyle="1" w:styleId="116">
    <w:name w:val="Char Char6"/>
    <w:qFormat/>
    <w:uiPriority w:val="0"/>
    <w:rPr>
      <w:rFonts w:ascii="仿宋_GB2312" w:eastAsia="仿宋_GB2312"/>
      <w:kern w:val="2"/>
      <w:sz w:val="32"/>
    </w:rPr>
  </w:style>
  <w:style w:type="character" w:customStyle="1" w:styleId="117">
    <w:name w:val="title_emph1"/>
    <w:qFormat/>
    <w:uiPriority w:val="0"/>
    <w:rPr>
      <w:rFonts w:hint="default" w:ascii="Arial" w:hAnsi="Arial"/>
      <w:b/>
      <w:sz w:val="20"/>
    </w:rPr>
  </w:style>
  <w:style w:type="character" w:customStyle="1" w:styleId="118">
    <w:name w:val="未命名11"/>
    <w:qFormat/>
    <w:uiPriority w:val="0"/>
    <w:rPr>
      <w:color w:val="77FFFF"/>
      <w:sz w:val="24"/>
    </w:rPr>
  </w:style>
  <w:style w:type="character" w:customStyle="1" w:styleId="119">
    <w:name w:val="ca-141"/>
    <w:qFormat/>
    <w:uiPriority w:val="0"/>
    <w:rPr>
      <w:rFonts w:hint="eastAsia" w:ascii="仿宋_GB2312" w:eastAsia="仿宋_GB2312"/>
      <w:sz w:val="21"/>
      <w:szCs w:val="21"/>
    </w:rPr>
  </w:style>
  <w:style w:type="character" w:customStyle="1" w:styleId="120">
    <w:name w:val="Table Heading Char Char"/>
    <w:qFormat/>
    <w:uiPriority w:val="0"/>
    <w:rPr>
      <w:rFonts w:ascii="Arial" w:hAnsi="Arial" w:eastAsia="黑体"/>
      <w:kern w:val="2"/>
      <w:sz w:val="18"/>
      <w:lang w:val="en-US" w:eastAsia="zh-CN"/>
    </w:rPr>
  </w:style>
  <w:style w:type="character" w:customStyle="1" w:styleId="121">
    <w:name w:val="正文首行缩进 2 Char"/>
    <w:basedOn w:val="122"/>
    <w:link w:val="64"/>
    <w:qFormat/>
    <w:uiPriority w:val="0"/>
    <w:rPr>
      <w:kern w:val="2"/>
      <w:sz w:val="44"/>
    </w:rPr>
  </w:style>
  <w:style w:type="character" w:customStyle="1" w:styleId="122">
    <w:name w:val="正文文本缩进 Char"/>
    <w:qFormat/>
    <w:uiPriority w:val="0"/>
    <w:rPr>
      <w:kern w:val="2"/>
      <w:sz w:val="44"/>
    </w:rPr>
  </w:style>
  <w:style w:type="character" w:customStyle="1" w:styleId="123">
    <w:name w:val="l1"/>
    <w:qFormat/>
    <w:uiPriority w:val="0"/>
  </w:style>
  <w:style w:type="character" w:customStyle="1" w:styleId="124">
    <w:name w:val="标题4 Char Char"/>
    <w:link w:val="125"/>
    <w:qFormat/>
    <w:uiPriority w:val="0"/>
    <w:rPr>
      <w:rFonts w:ascii="Arial" w:hAnsi="Arial"/>
      <w:b/>
      <w:bCs/>
      <w:sz w:val="24"/>
      <w:szCs w:val="32"/>
    </w:rPr>
  </w:style>
  <w:style w:type="paragraph" w:customStyle="1" w:styleId="125">
    <w:name w:val="标题4"/>
    <w:basedOn w:val="3"/>
    <w:next w:val="31"/>
    <w:link w:val="124"/>
    <w:qFormat/>
    <w:uiPriority w:val="0"/>
    <w:rPr>
      <w:rFonts w:eastAsia="宋体" w:cs="宋体"/>
      <w:bCs/>
      <w:sz w:val="24"/>
      <w:szCs w:val="32"/>
    </w:rPr>
  </w:style>
  <w:style w:type="character" w:customStyle="1" w:styleId="126">
    <w:name w:val="HTML 预设格式 Char"/>
    <w:link w:val="57"/>
    <w:qFormat/>
    <w:uiPriority w:val="0"/>
    <w:rPr>
      <w:rFonts w:ascii="宋体" w:hAnsi="宋体" w:cs="宋体"/>
      <w:color w:val="000000"/>
      <w:sz w:val="24"/>
      <w:szCs w:val="24"/>
    </w:rPr>
  </w:style>
  <w:style w:type="character" w:customStyle="1" w:styleId="127">
    <w:name w:val="Char Char2"/>
    <w:qFormat/>
    <w:uiPriority w:val="0"/>
    <w:rPr>
      <w:rFonts w:eastAsia="宋体"/>
      <w:kern w:val="2"/>
      <w:sz w:val="18"/>
      <w:lang w:val="en-US" w:eastAsia="zh-CN"/>
    </w:rPr>
  </w:style>
  <w:style w:type="character" w:customStyle="1" w:styleId="128">
    <w:name w:val="ht1"/>
    <w:qFormat/>
    <w:uiPriority w:val="0"/>
    <w:rPr>
      <w:rFonts w:ascii="黑体" w:eastAsia="黑体"/>
      <w:b/>
      <w:bCs/>
    </w:rPr>
  </w:style>
  <w:style w:type="character" w:customStyle="1" w:styleId="129">
    <w:name w:val="标题 Char"/>
    <w:link w:val="61"/>
    <w:qFormat/>
    <w:uiPriority w:val="0"/>
    <w:rPr>
      <w:rFonts w:ascii="Arial" w:hAnsi="Arial"/>
      <w:b/>
      <w:smallCaps/>
      <w:kern w:val="28"/>
      <w:sz w:val="36"/>
      <w:lang w:eastAsia="en-US"/>
    </w:rPr>
  </w:style>
  <w:style w:type="character" w:customStyle="1" w:styleId="130">
    <w:name w:val="正文文本 Char"/>
    <w:link w:val="23"/>
    <w:qFormat/>
    <w:uiPriority w:val="0"/>
    <w:rPr>
      <w:rFonts w:ascii="仿宋_GB2312" w:eastAsia="仿宋_GB2312"/>
      <w:sz w:val="32"/>
    </w:rPr>
  </w:style>
  <w:style w:type="character" w:customStyle="1" w:styleId="131">
    <w:name w:val="Char Char11"/>
    <w:qFormat/>
    <w:uiPriority w:val="0"/>
    <w:rPr>
      <w:rFonts w:ascii="宋体"/>
      <w:kern w:val="2"/>
      <w:sz w:val="28"/>
    </w:rPr>
  </w:style>
  <w:style w:type="character" w:customStyle="1" w:styleId="132">
    <w:name w:val="正文文本缩进 3 Char"/>
    <w:link w:val="50"/>
    <w:qFormat/>
    <w:uiPriority w:val="0"/>
    <w:rPr>
      <w:rFonts w:ascii="黑体" w:eastAsia="黑体"/>
      <w:sz w:val="28"/>
    </w:rPr>
  </w:style>
  <w:style w:type="character" w:customStyle="1" w:styleId="133">
    <w:name w:val="Char Char111"/>
    <w:qFormat/>
    <w:uiPriority w:val="0"/>
    <w:rPr>
      <w:rFonts w:eastAsia="黑体"/>
      <w:kern w:val="2"/>
      <w:sz w:val="44"/>
      <w:szCs w:val="44"/>
      <w:lang w:val="en-US" w:eastAsia="zh-CN" w:bidi="ar-SA"/>
    </w:rPr>
  </w:style>
  <w:style w:type="character" w:customStyle="1" w:styleId="134">
    <w:name w:val="style31"/>
    <w:qFormat/>
    <w:uiPriority w:val="0"/>
    <w:rPr>
      <w:sz w:val="10"/>
      <w:szCs w:val="10"/>
    </w:rPr>
  </w:style>
  <w:style w:type="character" w:customStyle="1" w:styleId="135">
    <w:name w:val="top-det1"/>
    <w:qFormat/>
    <w:uiPriority w:val="0"/>
    <w:rPr>
      <w:b/>
      <w:color w:val="000000"/>
    </w:rPr>
  </w:style>
  <w:style w:type="character" w:customStyle="1" w:styleId="136">
    <w:name w:val="明显引用 Char"/>
    <w:link w:val="137"/>
    <w:qFormat/>
    <w:uiPriority w:val="0"/>
    <w:rPr>
      <w:b/>
      <w:bCs/>
      <w:i/>
      <w:iCs/>
      <w:color w:val="4F81BD"/>
    </w:rPr>
  </w:style>
  <w:style w:type="paragraph" w:customStyle="1" w:styleId="137">
    <w:name w:val="明显引用1"/>
    <w:basedOn w:val="1"/>
    <w:next w:val="1"/>
    <w:link w:val="136"/>
    <w:qFormat/>
    <w:uiPriority w:val="0"/>
    <w:pPr>
      <w:pBdr>
        <w:bottom w:val="single" w:color="4F81BD" w:sz="4" w:space="4"/>
      </w:pBdr>
      <w:spacing w:before="200" w:after="280"/>
      <w:ind w:left="936" w:right="936"/>
    </w:pPr>
    <w:rPr>
      <w:rFonts w:ascii="Calibri" w:hAnsi="Calibri" w:cs="宋体"/>
      <w:b/>
      <w:bCs/>
      <w:i/>
      <w:iCs/>
      <w:color w:val="4F81BD"/>
      <w:sz w:val="21"/>
      <w:szCs w:val="22"/>
    </w:rPr>
  </w:style>
  <w:style w:type="character" w:customStyle="1" w:styleId="138">
    <w:name w:val="normaltext1"/>
    <w:qFormat/>
    <w:uiPriority w:val="0"/>
    <w:rPr>
      <w:rFonts w:hint="default" w:ascii="ˎ̥" w:hAnsi="ˎ̥"/>
      <w:sz w:val="9"/>
      <w:szCs w:val="9"/>
    </w:rPr>
  </w:style>
  <w:style w:type="character" w:customStyle="1" w:styleId="139">
    <w:name w:val="Char Char3"/>
    <w:qFormat/>
    <w:uiPriority w:val="0"/>
    <w:rPr>
      <w:rFonts w:eastAsia="宋体"/>
      <w:kern w:val="2"/>
      <w:sz w:val="18"/>
      <w:lang w:val="en-US" w:eastAsia="zh-CN"/>
    </w:rPr>
  </w:style>
  <w:style w:type="character" w:customStyle="1" w:styleId="140">
    <w:name w:val="批注主题 Char"/>
    <w:basedOn w:val="92"/>
    <w:link w:val="62"/>
    <w:qFormat/>
    <w:uiPriority w:val="0"/>
    <w:rPr>
      <w:sz w:val="24"/>
    </w:rPr>
  </w:style>
  <w:style w:type="character" w:customStyle="1" w:styleId="141">
    <w:name w:val="正文缩进 Char1"/>
    <w:qFormat/>
    <w:uiPriority w:val="99"/>
    <w:rPr>
      <w:rFonts w:ascii="Times New Roman" w:hAnsi="Times New Roman" w:eastAsia="仿宋_GB2312" w:cs="Times New Roman"/>
      <w:sz w:val="24"/>
      <w:szCs w:val="24"/>
    </w:rPr>
  </w:style>
  <w:style w:type="character" w:customStyle="1" w:styleId="142">
    <w:name w:val="HTML 预设格式 Char1"/>
    <w:qFormat/>
    <w:uiPriority w:val="0"/>
    <w:rPr>
      <w:rFonts w:ascii="Courier New" w:hAnsi="Courier New" w:cs="Courier New"/>
      <w:kern w:val="2"/>
    </w:rPr>
  </w:style>
  <w:style w:type="character" w:customStyle="1" w:styleId="143">
    <w:name w:val="Char Char"/>
    <w:qFormat/>
    <w:uiPriority w:val="0"/>
    <w:rPr>
      <w:rFonts w:ascii="宋体" w:hAnsi="宋体" w:eastAsia="宋体"/>
      <w:kern w:val="2"/>
      <w:sz w:val="24"/>
      <w:lang w:val="en-US" w:eastAsia="zh-CN" w:bidi="ar-SA"/>
    </w:rPr>
  </w:style>
  <w:style w:type="character" w:customStyle="1" w:styleId="144">
    <w:name w:val="v151"/>
    <w:qFormat/>
    <w:uiPriority w:val="0"/>
    <w:rPr>
      <w:sz w:val="18"/>
    </w:rPr>
  </w:style>
  <w:style w:type="character" w:customStyle="1" w:styleId="145">
    <w:name w:val="color_red1"/>
    <w:qFormat/>
    <w:uiPriority w:val="0"/>
    <w:rPr>
      <w:color w:val="FA0004"/>
    </w:rPr>
  </w:style>
  <w:style w:type="character" w:customStyle="1" w:styleId="146">
    <w:name w:val="1[858D7CFB-ED40-4347-BF05-701D383B685F]"/>
    <w:link w:val="147"/>
    <w:qFormat/>
    <w:uiPriority w:val="0"/>
    <w:rPr>
      <w:rFonts w:ascii="宋体" w:hAnsi="Courier New"/>
    </w:rPr>
  </w:style>
  <w:style w:type="paragraph" w:customStyle="1" w:styleId="147">
    <w:name w:val="1"/>
    <w:basedOn w:val="1"/>
    <w:next w:val="34"/>
    <w:link w:val="146"/>
    <w:qFormat/>
    <w:uiPriority w:val="0"/>
    <w:rPr>
      <w:rFonts w:ascii="宋体" w:hAnsi="Courier New" w:cs="宋体"/>
      <w:sz w:val="21"/>
      <w:szCs w:val="22"/>
    </w:rPr>
  </w:style>
  <w:style w:type="character" w:customStyle="1" w:styleId="148">
    <w:name w:val="尾注文本 Char1"/>
    <w:qFormat/>
    <w:uiPriority w:val="0"/>
    <w:rPr>
      <w:kern w:val="2"/>
      <w:sz w:val="28"/>
    </w:rPr>
  </w:style>
  <w:style w:type="character" w:customStyle="1" w:styleId="149">
    <w:name w:val="content-white1"/>
    <w:qFormat/>
    <w:uiPriority w:val="0"/>
    <w:rPr>
      <w:color w:val="auto"/>
      <w:sz w:val="18"/>
      <w:u w:val="none"/>
    </w:rPr>
  </w:style>
  <w:style w:type="character" w:customStyle="1" w:styleId="150">
    <w:name w:val="unnamed1"/>
    <w:qFormat/>
    <w:uiPriority w:val="0"/>
  </w:style>
  <w:style w:type="character" w:customStyle="1" w:styleId="151">
    <w:name w:val="批注主题 Char1"/>
    <w:qFormat/>
    <w:uiPriority w:val="0"/>
    <w:rPr>
      <w:rFonts w:eastAsia="宋体"/>
      <w:b/>
      <w:bCs/>
      <w:kern w:val="2"/>
      <w:sz w:val="21"/>
      <w:szCs w:val="24"/>
      <w:lang w:val="en-US" w:eastAsia="zh-CN" w:bidi="ar-SA"/>
    </w:rPr>
  </w:style>
  <w:style w:type="character" w:customStyle="1" w:styleId="152">
    <w:name w:val="副标题 Char"/>
    <w:link w:val="45"/>
    <w:qFormat/>
    <w:uiPriority w:val="0"/>
    <w:rPr>
      <w:rFonts w:ascii="Cambria" w:hAnsi="Cambria"/>
      <w:b/>
      <w:bCs/>
      <w:kern w:val="28"/>
      <w:sz w:val="32"/>
      <w:szCs w:val="32"/>
    </w:rPr>
  </w:style>
  <w:style w:type="character" w:customStyle="1" w:styleId="153">
    <w:name w:val="style161"/>
    <w:qFormat/>
    <w:uiPriority w:val="0"/>
    <w:rPr>
      <w:b/>
      <w:bCs/>
      <w:color w:val="333333"/>
    </w:rPr>
  </w:style>
  <w:style w:type="character" w:customStyle="1" w:styleId="154">
    <w:name w:val="正文文本缩进 2 Char"/>
    <w:link w:val="37"/>
    <w:qFormat/>
    <w:uiPriority w:val="0"/>
    <w:rPr>
      <w:sz w:val="28"/>
    </w:rPr>
  </w:style>
  <w:style w:type="character" w:customStyle="1" w:styleId="155">
    <w:name w:val="页眉 Char"/>
    <w:link w:val="41"/>
    <w:qFormat/>
    <w:uiPriority w:val="99"/>
    <w:rPr>
      <w:sz w:val="18"/>
    </w:rPr>
  </w:style>
  <w:style w:type="character" w:customStyle="1" w:styleId="156">
    <w:name w:val="样式 宋体"/>
    <w:qFormat/>
    <w:uiPriority w:val="0"/>
    <w:rPr>
      <w:rFonts w:ascii="宋体" w:hAnsi="宋体" w:eastAsia="宋体"/>
      <w:sz w:val="28"/>
    </w:rPr>
  </w:style>
  <w:style w:type="character" w:customStyle="1" w:styleId="157">
    <w:name w:val="小 Char"/>
    <w:qFormat/>
    <w:uiPriority w:val="0"/>
    <w:rPr>
      <w:rFonts w:ascii="宋体" w:hAnsi="Courier New" w:eastAsia="宋体"/>
      <w:kern w:val="2"/>
      <w:sz w:val="21"/>
      <w:lang w:val="en-US" w:eastAsia="zh-CN" w:bidi="ar-SA"/>
    </w:rPr>
  </w:style>
  <w:style w:type="character" w:customStyle="1" w:styleId="158">
    <w:name w:val="正文 + 三号 Char"/>
    <w:qFormat/>
    <w:uiPriority w:val="0"/>
    <w:rPr>
      <w:rFonts w:eastAsia="宋体"/>
      <w:kern w:val="2"/>
      <w:sz w:val="21"/>
      <w:lang w:val="en-US" w:eastAsia="zh-CN"/>
    </w:rPr>
  </w:style>
  <w:style w:type="character" w:customStyle="1" w:styleId="159">
    <w:name w:val="H2 Char"/>
    <w:qFormat/>
    <w:uiPriority w:val="0"/>
    <w:rPr>
      <w:rFonts w:ascii="Arial" w:hAnsi="Arial" w:eastAsia="宋体"/>
      <w:kern w:val="2"/>
      <w:sz w:val="28"/>
      <w:lang w:val="en-US" w:eastAsia="zh-CN"/>
    </w:rPr>
  </w:style>
  <w:style w:type="character" w:customStyle="1" w:styleId="160">
    <w:name w:val="副标题 Char1"/>
    <w:qFormat/>
    <w:uiPriority w:val="0"/>
    <w:rPr>
      <w:rFonts w:ascii="Calibri Light" w:hAnsi="Calibri Light" w:cs="Times New Roman"/>
      <w:b/>
      <w:bCs/>
      <w:kern w:val="28"/>
      <w:sz w:val="32"/>
      <w:szCs w:val="32"/>
    </w:rPr>
  </w:style>
  <w:style w:type="character" w:customStyle="1" w:styleId="161">
    <w:name w:val="正文缩进 Char"/>
    <w:link w:val="16"/>
    <w:qFormat/>
    <w:uiPriority w:val="0"/>
    <w:rPr>
      <w:sz w:val="24"/>
    </w:rPr>
  </w:style>
  <w:style w:type="character" w:customStyle="1" w:styleId="162">
    <w:name w:val="crowed11"/>
    <w:qFormat/>
    <w:uiPriority w:val="0"/>
    <w:rPr>
      <w:rFonts w:hint="default"/>
      <w:sz w:val="24"/>
    </w:rPr>
  </w:style>
  <w:style w:type="character" w:customStyle="1" w:styleId="163">
    <w:name w:val="title11"/>
    <w:qFormat/>
    <w:uiPriority w:val="0"/>
    <w:rPr>
      <w:b/>
      <w:bCs/>
      <w:color w:val="FFFFFF"/>
      <w:sz w:val="11"/>
      <w:szCs w:val="11"/>
    </w:rPr>
  </w:style>
  <w:style w:type="character" w:customStyle="1" w:styleId="164">
    <w:name w:val="纯文本 Char"/>
    <w:link w:val="34"/>
    <w:qFormat/>
    <w:uiPriority w:val="99"/>
    <w:rPr>
      <w:rFonts w:ascii="宋体" w:hAnsi="Courier New"/>
    </w:rPr>
  </w:style>
  <w:style w:type="character" w:customStyle="1" w:styleId="165">
    <w:name w:val="ss16"/>
    <w:qFormat/>
    <w:uiPriority w:val="0"/>
    <w:rPr>
      <w:rFonts w:hint="eastAsia" w:ascii="宋体" w:hAnsi="宋体" w:eastAsia="宋体"/>
      <w:color w:val="000000"/>
      <w:sz w:val="9"/>
      <w:szCs w:val="9"/>
    </w:rPr>
  </w:style>
  <w:style w:type="character" w:customStyle="1" w:styleId="166">
    <w:name w:val="Char Char7"/>
    <w:qFormat/>
    <w:uiPriority w:val="0"/>
    <w:rPr>
      <w:rFonts w:ascii="宋体" w:hAnsi="宋体" w:eastAsia="宋体"/>
      <w:kern w:val="2"/>
      <w:sz w:val="28"/>
    </w:rPr>
  </w:style>
  <w:style w:type="character" w:customStyle="1" w:styleId="167">
    <w:name w:val="Char Char5"/>
    <w:qFormat/>
    <w:uiPriority w:val="0"/>
    <w:rPr>
      <w:rFonts w:ascii="Arial" w:hAnsi="Arial" w:eastAsia="宋体"/>
      <w:b/>
      <w:smallCaps/>
      <w:kern w:val="28"/>
      <w:sz w:val="36"/>
      <w:lang w:val="en-US" w:eastAsia="en-US"/>
    </w:rPr>
  </w:style>
  <w:style w:type="character" w:customStyle="1" w:styleId="168">
    <w:name w:val="页脚 Char"/>
    <w:link w:val="40"/>
    <w:qFormat/>
    <w:uiPriority w:val="99"/>
    <w:rPr>
      <w:sz w:val="18"/>
    </w:rPr>
  </w:style>
  <w:style w:type="character" w:customStyle="1" w:styleId="169">
    <w:name w:val="尾注文本 Char"/>
    <w:link w:val="38"/>
    <w:qFormat/>
    <w:uiPriority w:val="0"/>
    <w:rPr>
      <w:rFonts w:ascii="Arial" w:hAnsi="Arial" w:cs="Arial"/>
      <w:szCs w:val="24"/>
      <w:lang w:eastAsia="en-US"/>
    </w:rPr>
  </w:style>
  <w:style w:type="character" w:customStyle="1" w:styleId="170">
    <w:name w:val="style21"/>
    <w:qFormat/>
    <w:uiPriority w:val="0"/>
    <w:rPr>
      <w:b/>
      <w:bCs/>
      <w:sz w:val="28"/>
      <w:szCs w:val="28"/>
    </w:rPr>
  </w:style>
  <w:style w:type="character" w:customStyle="1" w:styleId="171">
    <w:name w:val="标书正文:  0.74 厘米 Char1"/>
    <w:qFormat/>
    <w:uiPriority w:val="0"/>
    <w:rPr>
      <w:rFonts w:eastAsia="宋体"/>
      <w:kern w:val="2"/>
      <w:sz w:val="24"/>
      <w:lang w:val="en-US" w:eastAsia="zh-CN"/>
    </w:rPr>
  </w:style>
  <w:style w:type="character" w:customStyle="1" w:styleId="172">
    <w:name w:val="Char Char4"/>
    <w:qFormat/>
    <w:uiPriority w:val="0"/>
    <w:rPr>
      <w:rFonts w:eastAsia="宋体"/>
      <w:b/>
      <w:kern w:val="2"/>
      <w:sz w:val="21"/>
      <w:lang w:val="en-US" w:eastAsia="zh-CN"/>
    </w:rPr>
  </w:style>
  <w:style w:type="character" w:customStyle="1" w:styleId="173">
    <w:name w:val="style121"/>
    <w:qFormat/>
    <w:uiPriority w:val="0"/>
    <w:rPr>
      <w:rFonts w:hint="eastAsia" w:ascii="宋体" w:hAnsi="宋体" w:eastAsia="宋体"/>
      <w:sz w:val="18"/>
      <w:szCs w:val="18"/>
    </w:rPr>
  </w:style>
  <w:style w:type="character" w:customStyle="1" w:styleId="174">
    <w:name w:val="引用 Char1"/>
    <w:qFormat/>
    <w:uiPriority w:val="99"/>
    <w:rPr>
      <w:i/>
      <w:iCs/>
      <w:color w:val="404040"/>
      <w:kern w:val="2"/>
      <w:sz w:val="28"/>
    </w:rPr>
  </w:style>
  <w:style w:type="character" w:customStyle="1" w:styleId="175">
    <w:name w:val="明显引用 Char1"/>
    <w:qFormat/>
    <w:uiPriority w:val="99"/>
    <w:rPr>
      <w:i/>
      <w:iCs/>
      <w:color w:val="5B9BD5"/>
      <w:kern w:val="2"/>
      <w:sz w:val="28"/>
    </w:rPr>
  </w:style>
  <w:style w:type="character" w:customStyle="1" w:styleId="176">
    <w:name w:val="正文文本缩进 Char1"/>
    <w:basedOn w:val="67"/>
    <w:link w:val="24"/>
    <w:qFormat/>
    <w:uiPriority w:val="99"/>
    <w:rPr>
      <w:rFonts w:ascii="Times New Roman" w:hAnsi="Times New Roman" w:eastAsia="宋体" w:cs="Times New Roman"/>
      <w:sz w:val="28"/>
      <w:szCs w:val="20"/>
    </w:rPr>
  </w:style>
  <w:style w:type="character" w:customStyle="1" w:styleId="177">
    <w:name w:val="正文首行缩进 2 Char1"/>
    <w:basedOn w:val="176"/>
    <w:qFormat/>
    <w:uiPriority w:val="99"/>
    <w:rPr>
      <w:rFonts w:ascii="Times New Roman" w:hAnsi="Times New Roman" w:eastAsia="宋体" w:cs="Times New Roman"/>
      <w:sz w:val="28"/>
      <w:szCs w:val="20"/>
    </w:rPr>
  </w:style>
  <w:style w:type="character" w:customStyle="1" w:styleId="178">
    <w:name w:val="正文文本缩进 3 Char1"/>
    <w:basedOn w:val="67"/>
    <w:qFormat/>
    <w:uiPriority w:val="99"/>
    <w:rPr>
      <w:rFonts w:ascii="Times New Roman" w:hAnsi="Times New Roman" w:eastAsia="宋体" w:cs="Times New Roman"/>
      <w:sz w:val="16"/>
      <w:szCs w:val="16"/>
    </w:rPr>
  </w:style>
  <w:style w:type="character" w:customStyle="1" w:styleId="179">
    <w:name w:val="副标题 Char2"/>
    <w:basedOn w:val="67"/>
    <w:qFormat/>
    <w:uiPriority w:val="11"/>
    <w:rPr>
      <w:rFonts w:ascii="Calibri Light" w:hAnsi="Calibri Light" w:eastAsia="宋体" w:cs="宋体"/>
      <w:b/>
      <w:bCs/>
      <w:kern w:val="28"/>
      <w:sz w:val="32"/>
      <w:szCs w:val="32"/>
    </w:rPr>
  </w:style>
  <w:style w:type="paragraph" w:customStyle="1" w:styleId="18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1">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character" w:customStyle="1" w:styleId="182">
    <w:name w:val="页眉 Char1"/>
    <w:basedOn w:val="67"/>
    <w:qFormat/>
    <w:uiPriority w:val="99"/>
    <w:rPr>
      <w:rFonts w:ascii="Times New Roman" w:hAnsi="Times New Roman" w:eastAsia="宋体" w:cs="Times New Roman"/>
      <w:sz w:val="18"/>
      <w:szCs w:val="18"/>
    </w:rPr>
  </w:style>
  <w:style w:type="character" w:customStyle="1" w:styleId="183">
    <w:name w:val="标题 Char1"/>
    <w:basedOn w:val="67"/>
    <w:qFormat/>
    <w:uiPriority w:val="10"/>
    <w:rPr>
      <w:rFonts w:ascii="Calibri Light" w:hAnsi="Calibri Light" w:eastAsia="宋体" w:cs="宋体"/>
      <w:b/>
      <w:bCs/>
      <w:sz w:val="32"/>
      <w:szCs w:val="32"/>
    </w:rPr>
  </w:style>
  <w:style w:type="character" w:customStyle="1" w:styleId="184">
    <w:name w:val="正文文本 2 Char"/>
    <w:basedOn w:val="67"/>
    <w:link w:val="54"/>
    <w:qFormat/>
    <w:uiPriority w:val="0"/>
    <w:rPr>
      <w:rFonts w:ascii="Times New Roman" w:hAnsi="Times New Roman" w:eastAsia="宋体" w:cs="Times New Roman"/>
      <w:sz w:val="24"/>
      <w:szCs w:val="20"/>
    </w:rPr>
  </w:style>
  <w:style w:type="character" w:customStyle="1" w:styleId="185">
    <w:name w:val="日期 Char1"/>
    <w:basedOn w:val="67"/>
    <w:qFormat/>
    <w:uiPriority w:val="99"/>
    <w:rPr>
      <w:rFonts w:ascii="Times New Roman" w:hAnsi="Times New Roman" w:eastAsia="宋体" w:cs="Times New Roman"/>
      <w:sz w:val="28"/>
      <w:szCs w:val="20"/>
    </w:rPr>
  </w:style>
  <w:style w:type="paragraph" w:customStyle="1" w:styleId="186">
    <w:name w:val="正文字缩2字"/>
    <w:basedOn w:val="1"/>
    <w:qFormat/>
    <w:uiPriority w:val="0"/>
    <w:pPr>
      <w:spacing w:before="60" w:after="60" w:line="360" w:lineRule="auto"/>
      <w:ind w:left="200" w:leftChars="200" w:firstLine="200" w:firstLineChars="200"/>
    </w:pPr>
    <w:rPr>
      <w:sz w:val="24"/>
    </w:rPr>
  </w:style>
  <w:style w:type="character" w:customStyle="1" w:styleId="187">
    <w:name w:val="批注文字 Char1"/>
    <w:basedOn w:val="67"/>
    <w:link w:val="20"/>
    <w:qFormat/>
    <w:uiPriority w:val="99"/>
    <w:rPr>
      <w:rFonts w:ascii="Times New Roman" w:hAnsi="Times New Roman" w:eastAsia="宋体" w:cs="Times New Roman"/>
      <w:sz w:val="28"/>
      <w:szCs w:val="20"/>
    </w:rPr>
  </w:style>
  <w:style w:type="character" w:customStyle="1" w:styleId="188">
    <w:name w:val="批注主题 Char2"/>
    <w:basedOn w:val="187"/>
    <w:qFormat/>
    <w:uiPriority w:val="99"/>
    <w:rPr>
      <w:rFonts w:ascii="Times New Roman" w:hAnsi="Times New Roman" w:eastAsia="宋体" w:cs="Times New Roman"/>
      <w:b/>
      <w:bCs/>
      <w:sz w:val="28"/>
      <w:szCs w:val="20"/>
    </w:rPr>
  </w:style>
  <w:style w:type="character" w:customStyle="1" w:styleId="189">
    <w:name w:val="正文文本 Char1"/>
    <w:basedOn w:val="67"/>
    <w:qFormat/>
    <w:uiPriority w:val="99"/>
    <w:rPr>
      <w:rFonts w:ascii="Times New Roman" w:hAnsi="Times New Roman" w:eastAsia="宋体" w:cs="Times New Roman"/>
      <w:sz w:val="28"/>
      <w:szCs w:val="20"/>
    </w:rPr>
  </w:style>
  <w:style w:type="paragraph" w:customStyle="1" w:styleId="190">
    <w:name w:val="文章正文"/>
    <w:basedOn w:val="1"/>
    <w:qFormat/>
    <w:uiPriority w:val="0"/>
    <w:pPr>
      <w:ind w:firstLine="560" w:firstLineChars="200"/>
    </w:pPr>
    <w:rPr>
      <w:rFonts w:ascii="仿宋_GB2312" w:hAnsi="宋体" w:eastAsia="仿宋_GB2312"/>
      <w:color w:val="000000"/>
    </w:rPr>
  </w:style>
  <w:style w:type="character" w:customStyle="1" w:styleId="191">
    <w:name w:val="正文文本 3 Char1"/>
    <w:basedOn w:val="67"/>
    <w:qFormat/>
    <w:uiPriority w:val="99"/>
    <w:rPr>
      <w:rFonts w:ascii="Times New Roman" w:hAnsi="Times New Roman" w:eastAsia="宋体" w:cs="Times New Roman"/>
      <w:sz w:val="16"/>
      <w:szCs w:val="16"/>
    </w:rPr>
  </w:style>
  <w:style w:type="character" w:customStyle="1" w:styleId="192">
    <w:name w:val="文档结构图 Char1"/>
    <w:basedOn w:val="67"/>
    <w:qFormat/>
    <w:uiPriority w:val="99"/>
    <w:rPr>
      <w:rFonts w:ascii="Microsoft YaHei UI" w:hAnsi="Times New Roman" w:eastAsia="Microsoft YaHei UI" w:cs="Times New Roman"/>
      <w:sz w:val="18"/>
      <w:szCs w:val="18"/>
    </w:rPr>
  </w:style>
  <w:style w:type="paragraph" w:customStyle="1" w:styleId="193">
    <w:name w:val="表头样式"/>
    <w:basedOn w:val="1"/>
    <w:qFormat/>
    <w:uiPriority w:val="0"/>
    <w:pPr>
      <w:autoSpaceDE w:val="0"/>
      <w:autoSpaceDN w:val="0"/>
      <w:adjustRightInd w:val="0"/>
      <w:spacing w:line="360" w:lineRule="auto"/>
      <w:jc w:val="left"/>
    </w:pPr>
    <w:rPr>
      <w:b/>
      <w:kern w:val="0"/>
      <w:sz w:val="21"/>
    </w:rPr>
  </w:style>
  <w:style w:type="character" w:customStyle="1" w:styleId="194">
    <w:name w:val="纯文本 Char1"/>
    <w:basedOn w:val="67"/>
    <w:qFormat/>
    <w:uiPriority w:val="99"/>
    <w:rPr>
      <w:rFonts w:ascii="宋体" w:hAnsi="Courier New" w:eastAsia="宋体" w:cs="Courier New"/>
      <w:szCs w:val="21"/>
    </w:rPr>
  </w:style>
  <w:style w:type="character" w:customStyle="1" w:styleId="195">
    <w:name w:val="批注框文本 Char1"/>
    <w:basedOn w:val="67"/>
    <w:qFormat/>
    <w:uiPriority w:val="99"/>
    <w:rPr>
      <w:rFonts w:ascii="Times New Roman" w:hAnsi="Times New Roman" w:eastAsia="宋体" w:cs="Times New Roman"/>
      <w:sz w:val="18"/>
      <w:szCs w:val="18"/>
    </w:rPr>
  </w:style>
  <w:style w:type="paragraph" w:customStyle="1" w:styleId="196">
    <w:name w:val="WW-表格标题"/>
    <w:basedOn w:val="197"/>
    <w:qFormat/>
    <w:uiPriority w:val="0"/>
  </w:style>
  <w:style w:type="paragraph" w:customStyle="1" w:styleId="197">
    <w:name w:val="WW-表格内容"/>
    <w:basedOn w:val="1"/>
    <w:qFormat/>
    <w:uiPriority w:val="0"/>
    <w:pPr>
      <w:suppressLineNumbers/>
      <w:suppressAutoHyphens/>
    </w:pPr>
    <w:rPr>
      <w:rFonts w:ascii="Calibri" w:hAnsi="Calibri"/>
      <w:sz w:val="21"/>
      <w:szCs w:val="24"/>
    </w:rPr>
  </w:style>
  <w:style w:type="character" w:customStyle="1" w:styleId="198">
    <w:name w:val="正文文本缩进 2 Char1"/>
    <w:basedOn w:val="67"/>
    <w:qFormat/>
    <w:uiPriority w:val="99"/>
    <w:rPr>
      <w:rFonts w:ascii="Times New Roman" w:hAnsi="Times New Roman" w:eastAsia="宋体" w:cs="Times New Roman"/>
      <w:sz w:val="28"/>
      <w:szCs w:val="20"/>
    </w:rPr>
  </w:style>
  <w:style w:type="character" w:customStyle="1" w:styleId="199">
    <w:name w:val="正文首行缩进 Char"/>
    <w:basedOn w:val="189"/>
    <w:link w:val="63"/>
    <w:qFormat/>
    <w:uiPriority w:val="0"/>
    <w:rPr>
      <w:rFonts w:ascii="宋体" w:hAnsi="宋体" w:eastAsia="宋体" w:cs="Times New Roman"/>
      <w:sz w:val="24"/>
      <w:szCs w:val="20"/>
    </w:rPr>
  </w:style>
  <w:style w:type="paragraph" w:customStyle="1" w:styleId="200">
    <w:name w:val="表号"/>
    <w:basedOn w:val="1"/>
    <w:qFormat/>
    <w:uiPriority w:val="0"/>
    <w:pPr>
      <w:numPr>
        <w:ilvl w:val="0"/>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201">
    <w:name w:val="脚注文本 Char1"/>
    <w:basedOn w:val="67"/>
    <w:qFormat/>
    <w:uiPriority w:val="99"/>
    <w:rPr>
      <w:rFonts w:ascii="Times New Roman" w:hAnsi="Times New Roman" w:eastAsia="宋体" w:cs="Times New Roman"/>
      <w:sz w:val="18"/>
      <w:szCs w:val="18"/>
    </w:rPr>
  </w:style>
  <w:style w:type="character" w:customStyle="1" w:styleId="202">
    <w:name w:val="尾注文本 Char2"/>
    <w:basedOn w:val="67"/>
    <w:qFormat/>
    <w:uiPriority w:val="99"/>
    <w:rPr>
      <w:rFonts w:ascii="Times New Roman" w:hAnsi="Times New Roman" w:eastAsia="宋体" w:cs="Times New Roman"/>
      <w:sz w:val="28"/>
      <w:szCs w:val="20"/>
    </w:rPr>
  </w:style>
  <w:style w:type="character" w:customStyle="1" w:styleId="203">
    <w:name w:val="HTML 预设格式 Char2"/>
    <w:basedOn w:val="67"/>
    <w:qFormat/>
    <w:uiPriority w:val="99"/>
    <w:rPr>
      <w:rFonts w:ascii="Courier New" w:hAnsi="Courier New" w:eastAsia="宋体" w:cs="Courier New"/>
      <w:sz w:val="20"/>
      <w:szCs w:val="20"/>
    </w:rPr>
  </w:style>
  <w:style w:type="character" w:customStyle="1" w:styleId="204">
    <w:name w:val="页脚 Char1"/>
    <w:basedOn w:val="67"/>
    <w:qFormat/>
    <w:uiPriority w:val="99"/>
    <w:rPr>
      <w:rFonts w:ascii="Times New Roman" w:hAnsi="Times New Roman" w:eastAsia="宋体" w:cs="Times New Roman"/>
      <w:sz w:val="18"/>
      <w:szCs w:val="18"/>
    </w:rPr>
  </w:style>
  <w:style w:type="paragraph" w:customStyle="1" w:styleId="205">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06">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207">
    <w:name w:val="表格标题"/>
    <w:basedOn w:val="208"/>
    <w:qFormat/>
    <w:uiPriority w:val="0"/>
  </w:style>
  <w:style w:type="paragraph" w:customStyle="1" w:styleId="208">
    <w:name w:val="表格内容"/>
    <w:basedOn w:val="1"/>
    <w:qFormat/>
    <w:uiPriority w:val="0"/>
    <w:pPr>
      <w:suppressLineNumbers/>
      <w:suppressAutoHyphens/>
    </w:pPr>
    <w:rPr>
      <w:rFonts w:ascii="Calibri" w:hAnsi="Calibri"/>
      <w:sz w:val="21"/>
      <w:szCs w:val="24"/>
    </w:rPr>
  </w:style>
  <w:style w:type="paragraph" w:customStyle="1" w:styleId="20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10">
    <w:name w:val="Title - Revision"/>
    <w:basedOn w:val="61"/>
    <w:qFormat/>
    <w:uiPriority w:val="0"/>
    <w:pPr>
      <w:spacing w:before="720"/>
    </w:pPr>
  </w:style>
  <w:style w:type="paragraph" w:customStyle="1" w:styleId="211">
    <w:name w:val="Char Char Char Char Char Char Char Char Char Char Char Char Char Char Char Char"/>
    <w:basedOn w:val="1"/>
    <w:qFormat/>
    <w:uiPriority w:val="0"/>
    <w:pPr>
      <w:tabs>
        <w:tab w:val="left" w:pos="360"/>
      </w:tabs>
    </w:pPr>
    <w:rPr>
      <w:sz w:val="24"/>
    </w:rPr>
  </w:style>
  <w:style w:type="paragraph" w:customStyle="1" w:styleId="21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1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4">
    <w:name w:val="样式1xz"/>
    <w:basedOn w:val="1"/>
    <w:qFormat/>
    <w:uiPriority w:val="0"/>
    <w:pPr>
      <w:tabs>
        <w:tab w:val="left" w:pos="1050"/>
        <w:tab w:val="right" w:leader="dot" w:pos="8296"/>
      </w:tabs>
    </w:pPr>
    <w:rPr>
      <w:caps/>
      <w:spacing w:val="20"/>
      <w:sz w:val="24"/>
    </w:rPr>
  </w:style>
  <w:style w:type="paragraph" w:customStyle="1" w:styleId="215">
    <w:name w:val="Char Char Char Char Char"/>
    <w:basedOn w:val="1"/>
    <w:qFormat/>
    <w:uiPriority w:val="0"/>
    <w:pPr>
      <w:tabs>
        <w:tab w:val="left" w:pos="425"/>
      </w:tabs>
      <w:ind w:left="1620" w:hanging="360"/>
    </w:pPr>
    <w:rPr>
      <w:rFonts w:ascii="Tahoma" w:hAnsi="Tahoma"/>
      <w:sz w:val="24"/>
    </w:rPr>
  </w:style>
  <w:style w:type="paragraph" w:customStyle="1" w:styleId="21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8">
    <w:name w:val="标准正文"/>
    <w:basedOn w:val="24"/>
    <w:qFormat/>
    <w:uiPriority w:val="0"/>
    <w:pPr>
      <w:spacing w:before="60" w:after="60" w:line="360" w:lineRule="auto"/>
      <w:ind w:left="0" w:leftChars="0" w:firstLine="482"/>
    </w:pPr>
    <w:rPr>
      <w:rFonts w:ascii="Arial" w:hAnsi="Arial"/>
      <w:sz w:val="24"/>
    </w:rPr>
  </w:style>
  <w:style w:type="paragraph" w:customStyle="1" w:styleId="219">
    <w:name w:val="样式 宋体 五号 行距: 单倍行距"/>
    <w:basedOn w:val="1"/>
    <w:qFormat/>
    <w:uiPriority w:val="0"/>
    <w:pPr>
      <w:adjustRightInd w:val="0"/>
      <w:jc w:val="left"/>
    </w:pPr>
    <w:rPr>
      <w:rFonts w:ascii="宋体" w:hAnsi="宋体"/>
      <w:kern w:val="0"/>
      <w:sz w:val="21"/>
    </w:rPr>
  </w:style>
  <w:style w:type="paragraph" w:customStyle="1" w:styleId="220">
    <w:name w:val="Char1 Char Char Char"/>
    <w:basedOn w:val="1"/>
    <w:qFormat/>
    <w:uiPriority w:val="0"/>
    <w:rPr>
      <w:rFonts w:ascii="Tahoma" w:hAnsi="Tahoma"/>
      <w:sz w:val="24"/>
    </w:rPr>
  </w:style>
  <w:style w:type="paragraph" w:customStyle="1" w:styleId="221">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22">
    <w:name w:val="段落正文"/>
    <w:basedOn w:val="1"/>
    <w:qFormat/>
    <w:uiPriority w:val="0"/>
    <w:pPr>
      <w:spacing w:before="156" w:beforeLines="50" w:line="360" w:lineRule="auto"/>
      <w:ind w:firstLine="200" w:firstLineChars="200"/>
    </w:pPr>
    <w:rPr>
      <w:spacing w:val="2"/>
      <w:sz w:val="24"/>
    </w:rPr>
  </w:style>
  <w:style w:type="paragraph" w:customStyle="1" w:styleId="223">
    <w:name w:val="Title - Date"/>
    <w:basedOn w:val="61"/>
    <w:next w:val="1"/>
    <w:qFormat/>
    <w:uiPriority w:val="0"/>
    <w:pPr>
      <w:spacing w:before="240" w:after="720"/>
    </w:pPr>
    <w:rPr>
      <w:sz w:val="28"/>
    </w:rPr>
  </w:style>
  <w:style w:type="paragraph" w:customStyle="1" w:styleId="224">
    <w:name w:val="00"/>
    <w:basedOn w:val="1"/>
    <w:qFormat/>
    <w:uiPriority w:val="0"/>
    <w:pPr>
      <w:autoSpaceDE w:val="0"/>
      <w:autoSpaceDN w:val="0"/>
      <w:adjustRightInd w:val="0"/>
      <w:jc w:val="left"/>
    </w:pPr>
    <w:rPr>
      <w:rFonts w:ascii="黑体" w:eastAsia="黑体"/>
      <w:b/>
      <w:kern w:val="0"/>
      <w:sz w:val="20"/>
    </w:rPr>
  </w:style>
  <w:style w:type="paragraph" w:customStyle="1" w:styleId="225">
    <w:name w:val="pa-27"/>
    <w:basedOn w:val="1"/>
    <w:qFormat/>
    <w:uiPriority w:val="0"/>
    <w:pPr>
      <w:widowControl/>
      <w:spacing w:line="360" w:lineRule="atLeast"/>
      <w:ind w:firstLine="420"/>
    </w:pPr>
    <w:rPr>
      <w:rFonts w:ascii="宋体" w:hAnsi="宋体" w:cs="宋体"/>
      <w:kern w:val="0"/>
      <w:sz w:val="24"/>
      <w:szCs w:val="24"/>
    </w:rPr>
  </w:style>
  <w:style w:type="paragraph" w:customStyle="1" w:styleId="226">
    <w:name w:val="正文4"/>
    <w:basedOn w:val="1"/>
    <w:qFormat/>
    <w:uiPriority w:val="0"/>
    <w:pPr>
      <w:tabs>
        <w:tab w:val="left" w:pos="1275"/>
      </w:tabs>
      <w:spacing w:before="60" w:after="60" w:line="360" w:lineRule="auto"/>
      <w:ind w:left="820" w:leftChars="400" w:hanging="705"/>
    </w:pPr>
    <w:rPr>
      <w:sz w:val="24"/>
    </w:rPr>
  </w:style>
  <w:style w:type="paragraph" w:customStyle="1" w:styleId="227">
    <w:name w:val="TOC Heading_628a5cda-1b0f-415f-b4e5-c21c51a3073f"/>
    <w:basedOn w:val="2"/>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28">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22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30">
    <w:name w:val="af"/>
    <w:basedOn w:val="1"/>
    <w:qFormat/>
    <w:uiPriority w:val="0"/>
    <w:pPr>
      <w:widowControl/>
      <w:spacing w:line="300" w:lineRule="atLeast"/>
      <w:jc w:val="left"/>
    </w:pPr>
    <w:rPr>
      <w:rFonts w:ascii="宋体" w:hAnsi="宋体"/>
      <w:kern w:val="0"/>
      <w:sz w:val="18"/>
    </w:rPr>
  </w:style>
  <w:style w:type="paragraph" w:customStyle="1" w:styleId="231">
    <w:name w:val="Table Contents"/>
    <w:basedOn w:val="23"/>
    <w:qFormat/>
    <w:uiPriority w:val="0"/>
    <w:pPr>
      <w:suppressAutoHyphens/>
      <w:jc w:val="left"/>
    </w:pPr>
    <w:rPr>
      <w:rFonts w:ascii="Times New Roman" w:eastAsia="Times New Roman"/>
      <w:kern w:val="0"/>
      <w:sz w:val="24"/>
    </w:rPr>
  </w:style>
  <w:style w:type="paragraph" w:customStyle="1" w:styleId="232">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4">
    <w:name w:val="文本框样式1"/>
    <w:basedOn w:val="1"/>
    <w:qFormat/>
    <w:uiPriority w:val="0"/>
    <w:pPr>
      <w:adjustRightInd w:val="0"/>
      <w:snapToGrid w:val="0"/>
      <w:spacing w:before="60" w:line="180" w:lineRule="exact"/>
      <w:jc w:val="center"/>
    </w:pPr>
    <w:rPr>
      <w:sz w:val="21"/>
    </w:rPr>
  </w:style>
  <w:style w:type="paragraph" w:customStyle="1" w:styleId="235">
    <w:name w:val="正文表格"/>
    <w:basedOn w:val="1"/>
    <w:qFormat/>
    <w:uiPriority w:val="0"/>
    <w:pPr>
      <w:adjustRightInd w:val="0"/>
      <w:spacing w:before="40" w:after="40"/>
    </w:pPr>
    <w:rPr>
      <w:sz w:val="24"/>
    </w:rPr>
  </w:style>
  <w:style w:type="paragraph" w:customStyle="1" w:styleId="236">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3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8">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239">
    <w:name w:val="样式1"/>
    <w:basedOn w:val="5"/>
    <w:qFormat/>
    <w:uiPriority w:val="0"/>
    <w:pPr>
      <w:tabs>
        <w:tab w:val="left" w:pos="720"/>
      </w:tabs>
      <w:spacing w:before="500" w:after="260" w:line="560" w:lineRule="atLeast"/>
      <w:ind w:left="420" w:hanging="420"/>
    </w:pPr>
  </w:style>
  <w:style w:type="paragraph" w:customStyle="1" w:styleId="240">
    <w:name w:val="Char Char Char Char Char Char Char"/>
    <w:basedOn w:val="18"/>
    <w:qFormat/>
    <w:uiPriority w:val="0"/>
    <w:rPr>
      <w:rFonts w:ascii="宋体" w:hAnsi="Tahoma"/>
    </w:rPr>
  </w:style>
  <w:style w:type="paragraph" w:customStyle="1" w:styleId="241">
    <w:name w:val="样式 正文文本缩进 + 左  0 字符"/>
    <w:basedOn w:val="1"/>
    <w:qFormat/>
    <w:uiPriority w:val="0"/>
    <w:pPr>
      <w:spacing w:line="360" w:lineRule="auto"/>
      <w:ind w:firstLine="250" w:firstLineChars="250"/>
    </w:pPr>
    <w:rPr>
      <w:rFonts w:cs="宋体"/>
      <w:sz w:val="24"/>
    </w:rPr>
  </w:style>
  <w:style w:type="paragraph" w:customStyle="1" w:styleId="242">
    <w:name w:val="首行缩进"/>
    <w:basedOn w:val="1"/>
    <w:qFormat/>
    <w:uiPriority w:val="0"/>
    <w:pPr>
      <w:numPr>
        <w:ilvl w:val="0"/>
        <w:numId w:val="7"/>
      </w:numPr>
      <w:spacing w:line="360" w:lineRule="auto"/>
    </w:pPr>
    <w:rPr>
      <w:rFonts w:eastAsia="仿宋_GB2312"/>
    </w:rPr>
  </w:style>
  <w:style w:type="paragraph" w:customStyle="1" w:styleId="243">
    <w:name w:val="3"/>
    <w:next w:val="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4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5">
    <w:name w:val="可研正文"/>
    <w:basedOn w:val="23"/>
    <w:qFormat/>
    <w:uiPriority w:val="0"/>
    <w:pPr>
      <w:adjustRightInd w:val="0"/>
      <w:snapToGrid w:val="0"/>
      <w:spacing w:line="440" w:lineRule="exact"/>
      <w:ind w:firstLine="567"/>
    </w:pPr>
    <w:rPr>
      <w:sz w:val="28"/>
    </w:rPr>
  </w:style>
  <w:style w:type="paragraph" w:customStyle="1" w:styleId="24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4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9">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5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5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5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54">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5">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256">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57">
    <w:name w:val="Note"/>
    <w:basedOn w:val="1"/>
    <w:qFormat/>
    <w:uiPriority w:val="0"/>
    <w:pPr>
      <w:pBdr>
        <w:top w:val="single" w:color="auto" w:sz="12" w:space="3"/>
        <w:bottom w:val="single" w:color="auto" w:sz="12" w:space="3"/>
      </w:pBdr>
      <w:spacing w:line="360" w:lineRule="auto"/>
    </w:pPr>
    <w:rPr>
      <w:sz w:val="24"/>
    </w:rPr>
  </w:style>
  <w:style w:type="paragraph" w:customStyle="1" w:styleId="258">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5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0">
    <w:name w:val="列出段落1"/>
    <w:basedOn w:val="1"/>
    <w:qFormat/>
    <w:uiPriority w:val="34"/>
    <w:pPr>
      <w:ind w:firstLine="420" w:firstLineChars="200"/>
    </w:pPr>
    <w:rPr>
      <w:rFonts w:ascii="Calibri" w:hAnsi="Calibri"/>
      <w:sz w:val="21"/>
      <w:szCs w:val="24"/>
    </w:rPr>
  </w:style>
  <w:style w:type="paragraph" w:customStyle="1" w:styleId="261">
    <w:name w:val="样式 正文缩进正文（首行缩进两字）表正文正文非缩进特点标题4段1 + 首行缩进:  2 字符"/>
    <w:basedOn w:val="16"/>
    <w:qFormat/>
    <w:uiPriority w:val="0"/>
    <w:pPr>
      <w:ind w:firstLine="480" w:firstLineChars="200"/>
    </w:pPr>
  </w:style>
  <w:style w:type="paragraph" w:customStyle="1" w:styleId="262">
    <w:name w:val="Char Char 字元 字元 字元 Char Char Char Char"/>
    <w:basedOn w:val="1"/>
    <w:qFormat/>
    <w:uiPriority w:val="0"/>
    <w:pPr>
      <w:adjustRightInd w:val="0"/>
      <w:spacing w:line="360" w:lineRule="auto"/>
    </w:pPr>
    <w:rPr>
      <w:kern w:val="0"/>
      <w:sz w:val="24"/>
    </w:rPr>
  </w:style>
  <w:style w:type="paragraph" w:customStyle="1" w:styleId="263">
    <w:name w:val="表格"/>
    <w:basedOn w:val="1"/>
    <w:qFormat/>
    <w:uiPriority w:val="0"/>
    <w:pPr>
      <w:jc w:val="center"/>
      <w:textAlignment w:val="center"/>
    </w:pPr>
    <w:rPr>
      <w:rFonts w:ascii="华文细黑" w:hAnsi="华文细黑"/>
      <w:kern w:val="0"/>
      <w:sz w:val="21"/>
    </w:rPr>
  </w:style>
  <w:style w:type="paragraph" w:customStyle="1" w:styleId="26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6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6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67">
    <w:name w:val="标书正文:  0.74 厘米"/>
    <w:basedOn w:val="1"/>
    <w:qFormat/>
    <w:uiPriority w:val="0"/>
    <w:pPr>
      <w:snapToGrid w:val="0"/>
      <w:spacing w:line="360" w:lineRule="auto"/>
      <w:ind w:firstLine="420"/>
    </w:pPr>
    <w:rPr>
      <w:sz w:val="24"/>
    </w:rPr>
  </w:style>
  <w:style w:type="paragraph" w:customStyle="1" w:styleId="268">
    <w:name w:val="默认段落字体 Para Char Char Char Char Char Char Char"/>
    <w:basedOn w:val="1"/>
    <w:qFormat/>
    <w:uiPriority w:val="0"/>
    <w:rPr>
      <w:rFonts w:ascii="Tahoma" w:hAnsi="Tahoma"/>
      <w:sz w:val="24"/>
    </w:rPr>
  </w:style>
  <w:style w:type="paragraph" w:customStyle="1" w:styleId="269">
    <w:name w:val="Char"/>
    <w:basedOn w:val="1"/>
    <w:qFormat/>
    <w:uiPriority w:val="0"/>
    <w:pPr>
      <w:spacing w:line="240" w:lineRule="atLeast"/>
      <w:ind w:left="420" w:firstLine="420"/>
    </w:pPr>
    <w:rPr>
      <w:kern w:val="0"/>
      <w:sz w:val="21"/>
    </w:rPr>
  </w:style>
  <w:style w:type="paragraph" w:customStyle="1" w:styleId="2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71">
    <w:name w:val="一级条标题"/>
    <w:basedOn w:val="255"/>
    <w:next w:val="272"/>
    <w:qFormat/>
    <w:uiPriority w:val="0"/>
    <w:pPr>
      <w:numPr>
        <w:ilvl w:val="0"/>
        <w:numId w:val="0"/>
      </w:numPr>
      <w:spacing w:before="0" w:after="0"/>
      <w:ind w:left="525"/>
      <w:outlineLvl w:val="2"/>
    </w:pPr>
    <w:rPr>
      <w:sz w:val="21"/>
    </w:rPr>
  </w:style>
  <w:style w:type="paragraph" w:customStyle="1" w:styleId="2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3">
    <w:name w:val="p15"/>
    <w:basedOn w:val="1"/>
    <w:qFormat/>
    <w:uiPriority w:val="0"/>
    <w:pPr>
      <w:widowControl/>
      <w:spacing w:after="120"/>
    </w:pPr>
    <w:rPr>
      <w:rFonts w:ascii="Calibri" w:hAnsi="Calibri"/>
      <w:kern w:val="0"/>
      <w:sz w:val="21"/>
      <w:szCs w:val="21"/>
    </w:rPr>
  </w:style>
  <w:style w:type="paragraph" w:customStyle="1" w:styleId="274">
    <w:name w:val="表格文本"/>
    <w:qFormat/>
    <w:uiPriority w:val="0"/>
    <w:pPr>
      <w:tabs>
        <w:tab w:val="decimal" w:pos="0"/>
      </w:tabs>
    </w:pPr>
    <w:rPr>
      <w:rFonts w:ascii="Arial" w:hAnsi="Arial" w:eastAsia="宋体" w:cs="Times New Roman"/>
      <w:sz w:val="21"/>
      <w:lang w:val="en-US" w:eastAsia="zh-CN" w:bidi="ar-SA"/>
    </w:rPr>
  </w:style>
  <w:style w:type="paragraph" w:customStyle="1" w:styleId="275">
    <w:name w:val="样式2"/>
    <w:basedOn w:val="5"/>
    <w:qFormat/>
    <w:uiPriority w:val="0"/>
    <w:pPr>
      <w:numPr>
        <w:ilvl w:val="0"/>
        <w:numId w:val="9"/>
      </w:numPr>
      <w:spacing w:before="560" w:line="400" w:lineRule="exact"/>
      <w:jc w:val="center"/>
      <w:outlineLvl w:val="0"/>
    </w:pPr>
    <w:rPr>
      <w:b w:val="0"/>
      <w:sz w:val="44"/>
    </w:rPr>
  </w:style>
  <w:style w:type="paragraph" w:customStyle="1" w:styleId="27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77">
    <w:name w:val="首行缩进 1"/>
    <w:basedOn w:val="1"/>
    <w:qFormat/>
    <w:uiPriority w:val="0"/>
    <w:pPr>
      <w:spacing w:after="120" w:line="360" w:lineRule="auto"/>
      <w:ind w:firstLine="200" w:firstLineChars="200"/>
    </w:pPr>
    <w:rPr>
      <w:sz w:val="24"/>
    </w:rPr>
  </w:style>
  <w:style w:type="paragraph" w:customStyle="1" w:styleId="278">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9">
    <w:name w:val="表头"/>
    <w:basedOn w:val="1"/>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280">
    <w:name w:val="二级列表"/>
    <w:basedOn w:val="222"/>
    <w:next w:val="222"/>
    <w:qFormat/>
    <w:uiPriority w:val="0"/>
    <w:pPr>
      <w:tabs>
        <w:tab w:val="left" w:pos="2120"/>
      </w:tabs>
      <w:ind w:firstLine="0" w:firstLineChars="0"/>
    </w:pPr>
    <w:rPr>
      <w:b/>
    </w:rPr>
  </w:style>
  <w:style w:type="paragraph" w:customStyle="1" w:styleId="28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82">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283">
    <w:name w:val="列表项目"/>
    <w:basedOn w:val="1"/>
    <w:qFormat/>
    <w:uiPriority w:val="0"/>
    <w:pPr>
      <w:tabs>
        <w:tab w:val="left" w:pos="420"/>
      </w:tabs>
      <w:spacing w:line="288" w:lineRule="auto"/>
      <w:ind w:left="840" w:leftChars="200" w:hanging="420" w:hangingChars="200"/>
    </w:pPr>
    <w:rPr>
      <w:sz w:val="21"/>
    </w:rPr>
  </w:style>
  <w:style w:type="paragraph" w:customStyle="1" w:styleId="284">
    <w:name w:val="Char Char14 Char Char"/>
    <w:basedOn w:val="1"/>
    <w:qFormat/>
    <w:uiPriority w:val="0"/>
    <w:rPr>
      <w:sz w:val="21"/>
      <w:szCs w:val="24"/>
    </w:rPr>
  </w:style>
  <w:style w:type="paragraph" w:customStyle="1" w:styleId="285">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8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87">
    <w:name w:val="表头文本"/>
    <w:qFormat/>
    <w:uiPriority w:val="0"/>
    <w:pPr>
      <w:jc w:val="center"/>
    </w:pPr>
    <w:rPr>
      <w:rFonts w:ascii="Arial" w:hAnsi="Arial" w:eastAsia="宋体" w:cs="Times New Roman"/>
      <w:b/>
      <w:sz w:val="21"/>
      <w:lang w:val="en-US" w:eastAsia="zh-CN" w:bidi="ar-SA"/>
    </w:rPr>
  </w:style>
  <w:style w:type="paragraph" w:customStyle="1" w:styleId="288">
    <w:name w:val="Char Char1 Char"/>
    <w:basedOn w:val="1"/>
    <w:qFormat/>
    <w:uiPriority w:val="0"/>
    <w:rPr>
      <w:rFonts w:ascii="Tahoma" w:hAnsi="Tahoma"/>
      <w:sz w:val="24"/>
      <w:szCs w:val="24"/>
    </w:rPr>
  </w:style>
  <w:style w:type="paragraph" w:customStyle="1" w:styleId="28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90">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91">
    <w:name w:val="表文字"/>
    <w:qFormat/>
    <w:uiPriority w:val="0"/>
    <w:rPr>
      <w:rFonts w:ascii="宋体" w:hAnsi="Times New Roman" w:eastAsia="宋体" w:cs="Times New Roman"/>
      <w:kern w:val="2"/>
      <w:lang w:val="en-US" w:eastAsia="zh-CN" w:bidi="ar-SA"/>
    </w:rPr>
  </w:style>
  <w:style w:type="paragraph" w:customStyle="1" w:styleId="29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93">
    <w:name w:val="关键词"/>
    <w:basedOn w:val="1"/>
    <w:next w:val="1"/>
    <w:qFormat/>
    <w:uiPriority w:val="0"/>
    <w:pPr>
      <w:spacing w:line="360" w:lineRule="auto"/>
    </w:pPr>
    <w:rPr>
      <w:rFonts w:eastAsia="黑体"/>
      <w:sz w:val="20"/>
    </w:rPr>
  </w:style>
  <w:style w:type="paragraph" w:customStyle="1" w:styleId="294">
    <w:name w:val="样式 标题 3 + (中文) 黑体 小四 非加粗 段前: 7.8 磅 段后: 0 磅 行距: 固定值 20 磅"/>
    <w:basedOn w:val="4"/>
    <w:next w:val="1"/>
    <w:qFormat/>
    <w:uiPriority w:val="0"/>
    <w:pPr>
      <w:spacing w:before="0" w:after="0" w:line="400" w:lineRule="exact"/>
    </w:pPr>
    <w:rPr>
      <w:rFonts w:ascii="Calibri" w:hAnsi="Calibri" w:eastAsia="黑体" w:cs="宋体"/>
      <w:b w:val="0"/>
    </w:rPr>
  </w:style>
  <w:style w:type="paragraph" w:customStyle="1" w:styleId="295">
    <w:name w:val="列出段落2"/>
    <w:basedOn w:val="1"/>
    <w:qFormat/>
    <w:uiPriority w:val="34"/>
    <w:pPr>
      <w:adjustRightInd w:val="0"/>
      <w:snapToGrid w:val="0"/>
      <w:spacing w:line="360" w:lineRule="auto"/>
      <w:ind w:firstLine="420" w:firstLineChars="200"/>
      <w:jc w:val="left"/>
    </w:pPr>
    <w:rPr>
      <w:rFonts w:ascii="宋体" w:hAnsi="宋体"/>
      <w:sz w:val="24"/>
    </w:rPr>
  </w:style>
  <w:style w:type="paragraph" w:customStyle="1" w:styleId="29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297">
    <w:name w:val="1.正文"/>
    <w:basedOn w:val="1"/>
    <w:qFormat/>
    <w:uiPriority w:val="0"/>
    <w:pPr>
      <w:spacing w:line="360" w:lineRule="auto"/>
      <w:ind w:left="540" w:leftChars="225" w:firstLine="540" w:firstLineChars="225"/>
    </w:pPr>
    <w:rPr>
      <w:sz w:val="24"/>
    </w:rPr>
  </w:style>
  <w:style w:type="paragraph" w:customStyle="1" w:styleId="298">
    <w:name w:val="Char1 Char Char Char1"/>
    <w:basedOn w:val="1"/>
    <w:qFormat/>
    <w:uiPriority w:val="0"/>
    <w:rPr>
      <w:rFonts w:ascii="Tahoma" w:hAnsi="Tahoma"/>
      <w:sz w:val="30"/>
    </w:rPr>
  </w:style>
  <w:style w:type="paragraph" w:customStyle="1" w:styleId="29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30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301">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302">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03">
    <w:name w:val="p1"/>
    <w:basedOn w:val="1"/>
    <w:qFormat/>
    <w:uiPriority w:val="0"/>
    <w:pPr>
      <w:widowControl/>
      <w:jc w:val="left"/>
    </w:pPr>
    <w:rPr>
      <w:rFonts w:ascii="仿宋" w:hAnsi="仿宋" w:eastAsia="仿宋"/>
      <w:kern w:val="0"/>
      <w:sz w:val="21"/>
      <w:szCs w:val="21"/>
      <w:lang w:eastAsia="zh-TW"/>
    </w:rPr>
  </w:style>
  <w:style w:type="paragraph" w:customStyle="1" w:styleId="304">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305">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0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0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308">
    <w:name w:val="二级条标题"/>
    <w:basedOn w:val="271"/>
    <w:next w:val="272"/>
    <w:qFormat/>
    <w:uiPriority w:val="0"/>
    <w:pPr>
      <w:ind w:left="840"/>
      <w:outlineLvl w:val="3"/>
    </w:pPr>
  </w:style>
  <w:style w:type="paragraph" w:customStyle="1" w:styleId="30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10">
    <w:name w:val="列出段落21"/>
    <w:basedOn w:val="1"/>
    <w:qFormat/>
    <w:uiPriority w:val="34"/>
    <w:pPr>
      <w:spacing w:line="360" w:lineRule="auto"/>
      <w:ind w:firstLine="420" w:firstLineChars="200"/>
    </w:pPr>
    <w:rPr>
      <w:rFonts w:ascii="Calibri" w:hAnsi="Calibri"/>
      <w:sz w:val="21"/>
      <w:szCs w:val="22"/>
    </w:rPr>
  </w:style>
  <w:style w:type="paragraph" w:customStyle="1" w:styleId="311">
    <w:name w:val="正文（首行不缩进）"/>
    <w:basedOn w:val="1"/>
    <w:qFormat/>
    <w:uiPriority w:val="0"/>
    <w:pPr>
      <w:autoSpaceDE w:val="0"/>
      <w:autoSpaceDN w:val="0"/>
      <w:adjustRightInd w:val="0"/>
      <w:spacing w:line="360" w:lineRule="auto"/>
      <w:jc w:val="left"/>
    </w:pPr>
    <w:rPr>
      <w:kern w:val="0"/>
      <w:sz w:val="21"/>
    </w:rPr>
  </w:style>
  <w:style w:type="paragraph" w:customStyle="1" w:styleId="312">
    <w:name w:val="IN Feature"/>
    <w:next w:val="24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1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14">
    <w:name w:val="附录3"/>
    <w:basedOn w:val="1"/>
    <w:next w:val="1"/>
    <w:qFormat/>
    <w:uiPriority w:val="0"/>
    <w:pPr>
      <w:tabs>
        <w:tab w:val="left" w:pos="851"/>
      </w:tabs>
      <w:ind w:left="425" w:hanging="425"/>
      <w:outlineLvl w:val="2"/>
    </w:pPr>
    <w:rPr>
      <w:rFonts w:eastAsia="黑体"/>
      <w:b/>
      <w:sz w:val="32"/>
    </w:rPr>
  </w:style>
  <w:style w:type="paragraph" w:customStyle="1" w:styleId="315">
    <w:name w:val="Char2 Char Char Char Char Char Char"/>
    <w:basedOn w:val="1"/>
    <w:qFormat/>
    <w:uiPriority w:val="0"/>
    <w:rPr>
      <w:rFonts w:ascii="仿宋_GB2312"/>
      <w:b/>
      <w:sz w:val="30"/>
    </w:rPr>
  </w:style>
  <w:style w:type="character" w:customStyle="1" w:styleId="316">
    <w:name w:val="明显引用 Char2"/>
    <w:basedOn w:val="67"/>
    <w:qFormat/>
    <w:uiPriority w:val="30"/>
    <w:rPr>
      <w:rFonts w:ascii="Times New Roman" w:hAnsi="Times New Roman" w:eastAsia="宋体" w:cs="Times New Roman"/>
      <w:i/>
      <w:iCs/>
      <w:color w:val="5B9BD5"/>
      <w:sz w:val="28"/>
      <w:szCs w:val="20"/>
    </w:rPr>
  </w:style>
  <w:style w:type="paragraph" w:customStyle="1" w:styleId="3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318">
    <w:name w:val="图片文字"/>
    <w:basedOn w:val="1"/>
    <w:qFormat/>
    <w:uiPriority w:val="0"/>
    <w:pPr>
      <w:spacing w:line="240" w:lineRule="atLeast"/>
      <w:jc w:val="center"/>
    </w:pPr>
    <w:rPr>
      <w:sz w:val="21"/>
    </w:rPr>
  </w:style>
  <w:style w:type="paragraph" w:customStyle="1" w:styleId="319">
    <w:name w:val="Char2"/>
    <w:basedOn w:val="1"/>
    <w:qFormat/>
    <w:uiPriority w:val="0"/>
    <w:pPr>
      <w:spacing w:line="240" w:lineRule="atLeast"/>
      <w:ind w:left="420" w:firstLine="420"/>
    </w:pPr>
    <w:rPr>
      <w:kern w:val="0"/>
      <w:sz w:val="21"/>
    </w:rPr>
  </w:style>
  <w:style w:type="paragraph" w:customStyle="1" w:styleId="32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21">
    <w:name w:val="正文文本缩进 21"/>
    <w:basedOn w:val="1"/>
    <w:qFormat/>
    <w:uiPriority w:val="0"/>
    <w:pPr>
      <w:adjustRightInd w:val="0"/>
      <w:spacing w:before="120"/>
      <w:ind w:firstLine="420"/>
      <w:textAlignment w:val="baseline"/>
    </w:pPr>
    <w:rPr>
      <w:sz w:val="24"/>
    </w:rPr>
  </w:style>
  <w:style w:type="paragraph" w:customStyle="1" w:styleId="322">
    <w:name w:val="标题3——2"/>
    <w:basedOn w:val="4"/>
    <w:next w:val="63"/>
    <w:qFormat/>
    <w:uiPriority w:val="0"/>
    <w:pPr>
      <w:tabs>
        <w:tab w:val="left" w:pos="1280"/>
        <w:tab w:val="right" w:leader="dot" w:pos="8777"/>
      </w:tabs>
      <w:spacing w:before="312" w:beforeLines="100" w:after="0"/>
      <w:ind w:left="851" w:hanging="851"/>
      <w:outlineLvl w:val="9"/>
    </w:pPr>
    <w:rPr>
      <w:rFonts w:ascii="黑体" w:hAnsi="宋体" w:eastAsia="黑体"/>
      <w:sz w:val="30"/>
    </w:rPr>
  </w:style>
  <w:style w:type="paragraph" w:customStyle="1" w:styleId="323">
    <w:name w:val="样式 首行缩进:  0.74 厘米"/>
    <w:basedOn w:val="1"/>
    <w:qFormat/>
    <w:uiPriority w:val="0"/>
    <w:pPr>
      <w:spacing w:line="360" w:lineRule="auto"/>
      <w:ind w:firstLine="420"/>
    </w:pPr>
    <w:rPr>
      <w:sz w:val="24"/>
    </w:rPr>
  </w:style>
  <w:style w:type="paragraph" w:customStyle="1" w:styleId="324">
    <w:name w:val="内容标题"/>
    <w:basedOn w:val="18"/>
    <w:qFormat/>
    <w:uiPriority w:val="0"/>
    <w:rPr>
      <w:rFonts w:ascii="Tahoma" w:hAnsi="Tahoma"/>
      <w:sz w:val="24"/>
    </w:rPr>
  </w:style>
  <w:style w:type="paragraph" w:customStyle="1" w:styleId="325">
    <w:name w:val="正文 + 三号"/>
    <w:basedOn w:val="1"/>
    <w:qFormat/>
    <w:uiPriority w:val="0"/>
    <w:rPr>
      <w:sz w:val="21"/>
    </w:rPr>
  </w:style>
  <w:style w:type="paragraph" w:customStyle="1" w:styleId="326">
    <w:name w:val="正文文本 21"/>
    <w:basedOn w:val="1"/>
    <w:qFormat/>
    <w:uiPriority w:val="0"/>
    <w:pPr>
      <w:adjustRightInd w:val="0"/>
      <w:spacing w:before="120" w:line="360" w:lineRule="auto"/>
      <w:ind w:firstLine="480"/>
      <w:textAlignment w:val="baseline"/>
    </w:pPr>
    <w:rPr>
      <w:sz w:val="24"/>
    </w:rPr>
  </w:style>
  <w:style w:type="paragraph" w:customStyle="1" w:styleId="327">
    <w:name w:val="标题无"/>
    <w:basedOn w:val="1"/>
    <w:qFormat/>
    <w:uiPriority w:val="0"/>
    <w:pPr>
      <w:spacing w:line="360" w:lineRule="auto"/>
    </w:pPr>
    <w:rPr>
      <w:sz w:val="24"/>
    </w:rPr>
  </w:style>
  <w:style w:type="paragraph" w:customStyle="1" w:styleId="328">
    <w:name w:val="摘要"/>
    <w:basedOn w:val="1"/>
    <w:next w:val="3"/>
    <w:qFormat/>
    <w:uiPriority w:val="0"/>
    <w:pPr>
      <w:spacing w:line="360" w:lineRule="auto"/>
    </w:pPr>
    <w:rPr>
      <w:rFonts w:eastAsia="黑体"/>
      <w:sz w:val="20"/>
    </w:rPr>
  </w:style>
  <w:style w:type="paragraph" w:customStyle="1" w:styleId="329">
    <w:name w:val="Char1"/>
    <w:basedOn w:val="1"/>
    <w:qFormat/>
    <w:uiPriority w:val="0"/>
    <w:rPr>
      <w:sz w:val="21"/>
    </w:rPr>
  </w:style>
  <w:style w:type="paragraph" w:customStyle="1" w:styleId="33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3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332">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3">
    <w:name w:val="没有缩进（为图形使用）"/>
    <w:basedOn w:val="1"/>
    <w:qFormat/>
    <w:uiPriority w:val="0"/>
    <w:pPr>
      <w:spacing w:before="120" w:after="120" w:line="360" w:lineRule="auto"/>
    </w:pPr>
    <w:rPr>
      <w:sz w:val="24"/>
    </w:rPr>
  </w:style>
  <w:style w:type="paragraph" w:customStyle="1" w:styleId="334">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336">
    <w:name w:val="图例"/>
    <w:basedOn w:val="1"/>
    <w:qFormat/>
    <w:uiPriority w:val="0"/>
    <w:pPr>
      <w:spacing w:before="120" w:after="120" w:line="360" w:lineRule="auto"/>
      <w:jc w:val="center"/>
    </w:pPr>
    <w:rPr>
      <w:rFonts w:eastAsia="仿宋_GB2312"/>
      <w:b/>
      <w:sz w:val="24"/>
    </w:rPr>
  </w:style>
  <w:style w:type="paragraph" w:customStyle="1" w:styleId="33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33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39">
    <w:name w:val="Char Char Char Char Char Char Char1"/>
    <w:basedOn w:val="1"/>
    <w:qFormat/>
    <w:uiPriority w:val="0"/>
    <w:rPr>
      <w:rFonts w:ascii="Tahoma" w:hAnsi="Tahoma"/>
      <w:sz w:val="24"/>
    </w:rPr>
  </w:style>
  <w:style w:type="paragraph" w:customStyle="1" w:styleId="340">
    <w:name w:val="表格内文字"/>
    <w:basedOn w:val="34"/>
    <w:qFormat/>
    <w:uiPriority w:val="0"/>
    <w:pPr>
      <w:adjustRightInd w:val="0"/>
    </w:pPr>
    <w:rPr>
      <w:color w:val="000000"/>
      <w:lang w:val="en-GB"/>
    </w:rPr>
  </w:style>
  <w:style w:type="paragraph" w:customStyle="1" w:styleId="341">
    <w:name w:val="正文1"/>
    <w:basedOn w:val="1"/>
    <w:qFormat/>
    <w:uiPriority w:val="0"/>
    <w:pPr>
      <w:spacing w:line="300" w:lineRule="auto"/>
      <w:ind w:firstLine="200" w:firstLineChars="200"/>
    </w:pPr>
    <w:rPr>
      <w:sz w:val="24"/>
    </w:rPr>
  </w:style>
  <w:style w:type="paragraph" w:customStyle="1" w:styleId="34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43">
    <w:name w:val="默认段落字体 Para Char Char Char Char Char Char Char Char Char1 Char Char Char Char"/>
    <w:basedOn w:val="1"/>
    <w:qFormat/>
    <w:uiPriority w:val="0"/>
    <w:rPr>
      <w:rFonts w:ascii="Tahoma" w:hAnsi="Tahoma"/>
      <w:sz w:val="24"/>
    </w:rPr>
  </w:style>
  <w:style w:type="paragraph" w:customStyle="1" w:styleId="344">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5">
    <w:name w:val="样式 行距: 1.5 倍行距1"/>
    <w:basedOn w:val="1"/>
    <w:qFormat/>
    <w:uiPriority w:val="0"/>
    <w:pPr>
      <w:snapToGrid w:val="0"/>
    </w:pPr>
    <w:rPr>
      <w:sz w:val="21"/>
    </w:rPr>
  </w:style>
  <w:style w:type="paragraph" w:customStyle="1" w:styleId="346">
    <w:name w:val="样式4"/>
    <w:basedOn w:val="5"/>
    <w:qFormat/>
    <w:uiPriority w:val="0"/>
    <w:pPr>
      <w:adjustRightInd w:val="0"/>
      <w:snapToGrid w:val="0"/>
    </w:pPr>
  </w:style>
  <w:style w:type="paragraph" w:customStyle="1" w:styleId="34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348">
    <w:name w:val="缺省文本"/>
    <w:basedOn w:val="1"/>
    <w:qFormat/>
    <w:uiPriority w:val="0"/>
    <w:pPr>
      <w:tabs>
        <w:tab w:val="left" w:pos="1260"/>
      </w:tabs>
      <w:autoSpaceDE w:val="0"/>
      <w:autoSpaceDN w:val="0"/>
      <w:adjustRightInd w:val="0"/>
      <w:spacing w:line="360" w:lineRule="auto"/>
      <w:jc w:val="left"/>
    </w:pPr>
    <w:rPr>
      <w:kern w:val="0"/>
      <w:sz w:val="24"/>
    </w:rPr>
  </w:style>
  <w:style w:type="character" w:customStyle="1" w:styleId="349">
    <w:name w:val="引用 Char2"/>
    <w:basedOn w:val="67"/>
    <w:qFormat/>
    <w:uiPriority w:val="29"/>
    <w:rPr>
      <w:rFonts w:ascii="Times New Roman" w:hAnsi="Times New Roman" w:eastAsia="宋体" w:cs="Times New Roman"/>
      <w:i/>
      <w:iCs/>
      <w:color w:val="3F3F3F"/>
      <w:sz w:val="28"/>
      <w:szCs w:val="20"/>
    </w:rPr>
  </w:style>
  <w:style w:type="paragraph" w:customStyle="1" w:styleId="35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1">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52">
    <w:name w:val="文本1"/>
    <w:basedOn w:val="1"/>
    <w:qFormat/>
    <w:uiPriority w:val="0"/>
    <w:pPr>
      <w:adjustRightInd w:val="0"/>
      <w:spacing w:line="312" w:lineRule="atLeast"/>
      <w:jc w:val="center"/>
      <w:textAlignment w:val="baseline"/>
    </w:pPr>
    <w:rPr>
      <w:kern w:val="0"/>
      <w:sz w:val="18"/>
    </w:rPr>
  </w:style>
  <w:style w:type="paragraph" w:customStyle="1" w:styleId="3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4">
    <w:name w:val="Revision_c3942d1e-39bf-49dd-9576-7632bac9555f"/>
    <w:qFormat/>
    <w:uiPriority w:val="0"/>
    <w:rPr>
      <w:rFonts w:ascii="Times New Roman" w:hAnsi="Times New Roman" w:eastAsia="宋体" w:cs="Times New Roman"/>
      <w:kern w:val="2"/>
      <w:sz w:val="21"/>
      <w:lang w:val="en-US" w:eastAsia="zh-CN" w:bidi="ar-SA"/>
    </w:rPr>
  </w:style>
  <w:style w:type="paragraph" w:customStyle="1" w:styleId="355">
    <w:name w:val="Char Char Char"/>
    <w:basedOn w:val="1"/>
    <w:qFormat/>
    <w:uiPriority w:val="0"/>
    <w:rPr>
      <w:rFonts w:ascii="Tahoma" w:hAnsi="Tahoma"/>
      <w:sz w:val="24"/>
    </w:rPr>
  </w:style>
  <w:style w:type="paragraph" w:customStyle="1" w:styleId="356">
    <w:name w:val="自定样式1"/>
    <w:basedOn w:val="1"/>
    <w:qFormat/>
    <w:uiPriority w:val="0"/>
    <w:pPr>
      <w:suppressAutoHyphens/>
      <w:jc w:val="center"/>
    </w:pPr>
    <w:rPr>
      <w:rFonts w:ascii="宋体" w:hAnsi="宋体"/>
      <w:color w:val="000000"/>
      <w:sz w:val="18"/>
      <w:szCs w:val="24"/>
    </w:rPr>
  </w:style>
  <w:style w:type="paragraph" w:customStyle="1" w:styleId="357">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35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59">
    <w:name w:val="样式 标题 1 + 黑体 三号 非加粗 居中 段前: 6 磅 段后: 6 磅 行距: 固定值 20 磅"/>
    <w:basedOn w:val="2"/>
    <w:qFormat/>
    <w:uiPriority w:val="0"/>
    <w:pPr>
      <w:keepLines/>
      <w:snapToGrid/>
      <w:spacing w:before="120" w:after="120" w:line="400" w:lineRule="exact"/>
      <w:jc w:val="center"/>
    </w:pPr>
    <w:rPr>
      <w:rFonts w:ascii="黑体" w:hAnsi="黑体" w:eastAsia="黑体" w:cs="宋体"/>
      <w:kern w:val="44"/>
      <w:sz w:val="32"/>
    </w:rPr>
  </w:style>
  <w:style w:type="paragraph" w:customStyle="1" w:styleId="360">
    <w:name w:val="简单回函地址"/>
    <w:basedOn w:val="1"/>
    <w:qFormat/>
    <w:uiPriority w:val="0"/>
    <w:pPr>
      <w:adjustRightInd w:val="0"/>
      <w:snapToGrid w:val="0"/>
      <w:spacing w:line="360" w:lineRule="auto"/>
    </w:pPr>
    <w:rPr>
      <w:sz w:val="24"/>
    </w:rPr>
  </w:style>
  <w:style w:type="paragraph" w:customStyle="1" w:styleId="36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62">
    <w:name w:val="Style Heading 3h3Heading 3 - oldLevel 3 HeadH3level_3PIM 3se..."/>
    <w:basedOn w:val="4"/>
    <w:qFormat/>
    <w:uiPriority w:val="0"/>
    <w:pPr>
      <w:numPr>
        <w:ilvl w:val="0"/>
        <w:numId w:val="12"/>
      </w:numPr>
      <w:tabs>
        <w:tab w:val="left" w:pos="709"/>
      </w:tabs>
    </w:pPr>
  </w:style>
  <w:style w:type="paragraph" w:customStyle="1" w:styleId="363">
    <w:name w:val="表格文字"/>
    <w:basedOn w:val="1"/>
    <w:qFormat/>
    <w:uiPriority w:val="0"/>
    <w:pPr>
      <w:adjustRightInd w:val="0"/>
      <w:spacing w:line="420" w:lineRule="atLeast"/>
      <w:jc w:val="left"/>
      <w:textAlignment w:val="baseline"/>
    </w:pPr>
    <w:rPr>
      <w:rFonts w:ascii="Calibri" w:hAnsi="Calibri"/>
      <w:kern w:val="0"/>
      <w:sz w:val="21"/>
    </w:rPr>
  </w:style>
  <w:style w:type="paragraph" w:customStyle="1" w:styleId="364">
    <w:name w:val="编号正文"/>
    <w:basedOn w:val="335"/>
    <w:qFormat/>
    <w:uiPriority w:val="0"/>
    <w:pPr>
      <w:snapToGrid/>
      <w:spacing w:line="360" w:lineRule="auto"/>
      <w:ind w:left="1407" w:hanging="1047"/>
      <w:jc w:val="left"/>
    </w:pPr>
    <w:rPr>
      <w:rFonts w:eastAsia="仿宋_GB2312"/>
    </w:rPr>
  </w:style>
  <w:style w:type="paragraph" w:customStyle="1" w:styleId="365">
    <w:name w:val="标书正文1"/>
    <w:basedOn w:val="1"/>
    <w:qFormat/>
    <w:uiPriority w:val="0"/>
    <w:pPr>
      <w:spacing w:line="520" w:lineRule="exact"/>
      <w:ind w:firstLine="640" w:firstLineChars="200"/>
    </w:pPr>
  </w:style>
  <w:style w:type="paragraph" w:customStyle="1" w:styleId="366">
    <w:name w:val="无间隔1"/>
    <w:qFormat/>
    <w:uiPriority w:val="1"/>
    <w:pPr>
      <w:jc w:val="both"/>
    </w:pPr>
    <w:rPr>
      <w:rFonts w:ascii="Times New Roman" w:hAnsi="Times New Roman" w:eastAsia="Times New Roman" w:cs="Times New Roman"/>
      <w:lang w:val="en-US" w:eastAsia="zh-CN" w:bidi="ar-SA"/>
    </w:rPr>
  </w:style>
  <w:style w:type="paragraph" w:customStyle="1" w:styleId="367">
    <w:name w:val="正文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8">
    <w:name w:val="招标节"/>
    <w:basedOn w:val="1"/>
    <w:next w:val="1"/>
    <w:link w:val="372"/>
    <w:qFormat/>
    <w:uiPriority w:val="0"/>
    <w:pPr>
      <w:spacing w:before="156" w:beforeLines="50" w:after="156" w:afterLines="50"/>
      <w:outlineLvl w:val="1"/>
    </w:pPr>
    <w:rPr>
      <w:rFonts w:ascii="宋体" w:hAnsi="宋体"/>
      <w:b/>
      <w:sz w:val="24"/>
    </w:rPr>
  </w:style>
  <w:style w:type="paragraph" w:styleId="369">
    <w:name w:val="List Paragraph"/>
    <w:basedOn w:val="1"/>
    <w:qFormat/>
    <w:uiPriority w:val="99"/>
    <w:pPr>
      <w:ind w:firstLine="420" w:firstLineChars="200"/>
    </w:pPr>
  </w:style>
  <w:style w:type="character" w:customStyle="1" w:styleId="370">
    <w:name w:val="招标正文 Char"/>
    <w:basedOn w:val="67"/>
    <w:link w:val="371"/>
    <w:qFormat/>
    <w:uiPriority w:val="0"/>
    <w:rPr>
      <w:rFonts w:ascii="宋体" w:hAnsi="宋体"/>
      <w:kern w:val="2"/>
      <w:sz w:val="21"/>
      <w:szCs w:val="21"/>
    </w:rPr>
  </w:style>
  <w:style w:type="paragraph" w:customStyle="1" w:styleId="371">
    <w:name w:val="招标正文"/>
    <w:basedOn w:val="1"/>
    <w:link w:val="370"/>
    <w:qFormat/>
    <w:uiPriority w:val="0"/>
    <w:pPr>
      <w:spacing w:line="300" w:lineRule="auto"/>
      <w:ind w:firstLine="420" w:firstLineChars="200"/>
    </w:pPr>
    <w:rPr>
      <w:rFonts w:ascii="宋体" w:hAnsi="宋体"/>
      <w:sz w:val="21"/>
      <w:szCs w:val="21"/>
    </w:rPr>
  </w:style>
  <w:style w:type="character" w:customStyle="1" w:styleId="372">
    <w:name w:val="招标节 Char"/>
    <w:basedOn w:val="67"/>
    <w:link w:val="368"/>
    <w:qFormat/>
    <w:uiPriority w:val="0"/>
    <w:rPr>
      <w:rFonts w:ascii="宋体" w:hAnsi="宋体"/>
      <w:b/>
      <w:kern w:val="2"/>
      <w:sz w:val="24"/>
    </w:rPr>
  </w:style>
  <w:style w:type="character" w:customStyle="1" w:styleId="373">
    <w:name w:val="小标题 Char"/>
    <w:basedOn w:val="370"/>
    <w:link w:val="374"/>
    <w:qFormat/>
    <w:uiPriority w:val="0"/>
    <w:rPr>
      <w:rFonts w:ascii="宋体" w:hAnsi="宋体"/>
      <w:kern w:val="2"/>
      <w:sz w:val="21"/>
      <w:szCs w:val="21"/>
    </w:rPr>
  </w:style>
  <w:style w:type="paragraph" w:customStyle="1" w:styleId="374">
    <w:name w:val="小标题"/>
    <w:basedOn w:val="371"/>
    <w:next w:val="371"/>
    <w:link w:val="373"/>
    <w:qFormat/>
    <w:uiPriority w:val="0"/>
    <w:pPr>
      <w:outlineLvl w:val="2"/>
    </w:pPr>
  </w:style>
  <w:style w:type="character" w:customStyle="1" w:styleId="375">
    <w:name w:val="招标章 Char"/>
    <w:basedOn w:val="67"/>
    <w:link w:val="376"/>
    <w:qFormat/>
    <w:uiPriority w:val="0"/>
    <w:rPr>
      <w:rFonts w:eastAsia="黑体"/>
      <w:b/>
      <w:kern w:val="2"/>
      <w:sz w:val="32"/>
      <w:szCs w:val="24"/>
    </w:rPr>
  </w:style>
  <w:style w:type="paragraph" w:customStyle="1" w:styleId="376">
    <w:name w:val="招标章"/>
    <w:basedOn w:val="1"/>
    <w:link w:val="375"/>
    <w:qFormat/>
    <w:uiPriority w:val="0"/>
    <w:pPr>
      <w:spacing w:line="360" w:lineRule="auto"/>
      <w:jc w:val="center"/>
      <w:outlineLvl w:val="0"/>
    </w:pPr>
    <w:rPr>
      <w:rFonts w:eastAsia="黑体"/>
      <w:b/>
      <w:sz w:val="32"/>
      <w:szCs w:val="24"/>
    </w:rPr>
  </w:style>
  <w:style w:type="paragraph" w:customStyle="1" w:styleId="377">
    <w:name w:val="标准节"/>
    <w:basedOn w:val="368"/>
    <w:qFormat/>
    <w:uiPriority w:val="0"/>
    <w:pPr>
      <w:jc w:val="center"/>
    </w:pPr>
    <w:rPr>
      <w:rFonts w:ascii="Times New Roman" w:hAnsi="Times New Roman"/>
      <w:sz w:val="30"/>
      <w:szCs w:val="32"/>
    </w:rPr>
  </w:style>
  <w:style w:type="paragraph" w:customStyle="1" w:styleId="378">
    <w:name w:val="附件"/>
    <w:basedOn w:val="368"/>
    <w:next w:val="1"/>
    <w:qFormat/>
    <w:uiPriority w:val="0"/>
    <w:pPr>
      <w:spacing w:before="0" w:beforeLines="0" w:after="0" w:afterLines="0"/>
    </w:pPr>
    <w:rPr>
      <w:rFonts w:ascii="Times New Roman" w:hAnsi="Times New Roman" w:eastAsia="黑体"/>
      <w:szCs w:val="28"/>
    </w:rPr>
  </w:style>
  <w:style w:type="paragraph" w:customStyle="1" w:styleId="379">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80">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81">
    <w:name w:val="16"/>
    <w:qFormat/>
    <w:uiPriority w:val="0"/>
    <w:rPr>
      <w:rFonts w:hint="eastAsia" w:ascii="宋体" w:hAnsi="宋体" w:eastAsia="Times New Roman"/>
      <w:spacing w:val="0"/>
      <w:sz w:val="20"/>
      <w:szCs w:val="20"/>
      <w:shd w:val="clear" w:color="auto" w:fill="FFFFFF"/>
    </w:rPr>
  </w:style>
  <w:style w:type="paragraph" w:customStyle="1" w:styleId="382">
    <w:name w:val="No Spacing"/>
    <w:basedOn w:val="1"/>
    <w:qFormat/>
    <w:uiPriority w:val="1"/>
    <w:pPr>
      <w:spacing w:line="400" w:lineRule="exact"/>
    </w:pPr>
    <w:rPr>
      <w:sz w:val="24"/>
      <w:szCs w:val="20"/>
    </w:rPr>
  </w:style>
  <w:style w:type="character" w:customStyle="1" w:styleId="383">
    <w:name w:val="NormalCharacter"/>
    <w:semiHidden/>
    <w:qFormat/>
    <w:uiPriority w:val="0"/>
  </w:style>
  <w:style w:type="paragraph" w:customStyle="1" w:styleId="384">
    <w:name w:val="标题 5（有编号）（绿盟科技）"/>
    <w:basedOn w:val="1"/>
    <w:next w:val="385"/>
    <w:qFormat/>
    <w:uiPriority w:val="0"/>
    <w:pPr>
      <w:keepNext/>
      <w:keepLines/>
      <w:numPr>
        <w:ilvl w:val="4"/>
        <w:numId w:val="13"/>
      </w:numPr>
      <w:spacing w:before="280" w:after="156" w:line="377" w:lineRule="auto"/>
      <w:jc w:val="left"/>
      <w:outlineLvl w:val="4"/>
    </w:pPr>
    <w:rPr>
      <w:rFonts w:ascii="Arial" w:hAnsi="Arial" w:eastAsia="黑体"/>
      <w:b/>
      <w:kern w:val="0"/>
      <w:szCs w:val="28"/>
    </w:rPr>
  </w:style>
  <w:style w:type="paragraph" w:customStyle="1" w:styleId="38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6">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87">
    <w:name w:val="正文（缩进）"/>
    <w:basedOn w:val="1"/>
    <w:qFormat/>
    <w:uiPriority w:val="0"/>
    <w:pPr>
      <w:spacing w:line="594" w:lineRule="exact"/>
      <w:ind w:firstLine="482"/>
    </w:pPr>
    <w:rPr>
      <w:rFonts w:eastAsia="方正仿宋_GBK"/>
      <w:sz w:val="32"/>
    </w:rPr>
  </w:style>
  <w:style w:type="paragraph" w:customStyle="1" w:styleId="388">
    <w:name w:val="WPSOffice手动目录 1"/>
    <w:qFormat/>
    <w:uiPriority w:val="0"/>
    <w:pPr>
      <w:ind w:leftChars="0"/>
    </w:pPr>
    <w:rPr>
      <w:rFonts w:ascii="Times New Roman" w:hAnsi="Times New Roman" w:eastAsia="宋体" w:cs="Times New Roman"/>
      <w:sz w:val="20"/>
      <w:szCs w:val="20"/>
    </w:rPr>
  </w:style>
  <w:style w:type="paragraph" w:customStyle="1" w:styleId="389">
    <w:name w:val="WPSOffice手动目录 2"/>
    <w:qFormat/>
    <w:uiPriority w:val="0"/>
    <w:pPr>
      <w:ind w:leftChars="200"/>
    </w:pPr>
    <w:rPr>
      <w:rFonts w:ascii="Times New Roman" w:hAnsi="Times New Roman" w:eastAsia="宋体" w:cs="Times New Roman"/>
      <w:sz w:val="20"/>
      <w:szCs w:val="20"/>
    </w:rPr>
  </w:style>
  <w:style w:type="paragraph" w:customStyle="1" w:styleId="39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142</Pages>
  <Words>40161</Words>
  <Characters>41806</Characters>
  <Lines>261</Lines>
  <Paragraphs>73</Paragraphs>
  <TotalTime>10</TotalTime>
  <ScaleCrop>false</ScaleCrop>
  <LinksUpToDate>false</LinksUpToDate>
  <CharactersWithSpaces>43051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2022-03-07T01:34:00Z</dcterms:created>
  <dc:creator>Sky123.Org</dc:creator>
  <cp:lastModifiedBy>谢宝宝</cp:lastModifiedBy>
  <cp:lastPrinted>2026-05-22T03:40:00Z</cp:lastPrinted>
  <dcterms:modified xsi:type="dcterms:W3CDTF">2026-05-25T02:17:24Z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C6B20B7841204CB0BF97B96098A075FD_13</vt:lpwstr>
  </property>
  <property fmtid="{D5CDD505-2E9C-101B-9397-08002B2CF9AE}" pid="4" name="KSOTemplateDocerSaveRecord">
    <vt:lpwstr>eyJoZGlkIjoiMjUzMzAxNTBhNWUzZGE4YmE4MWI4M2E1MTMzNzAyYzkiLCJ1c2VySWQiOiI1MjIxOTAzNjgifQ==</vt:lpwstr>
  </property>
</Properties>
</file>