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服务器杀毒软件</w:t>
      </w:r>
      <w:r>
        <w:rPr>
          <w:rFonts w:hint="eastAsia" w:ascii="方正仿宋_GBK" w:hAnsi="方正仿宋_GBK" w:eastAsia="方正仿宋_GBK" w:cs="方正仿宋_GBK"/>
          <w:b/>
          <w:bCs/>
          <w:color w:val="000000"/>
          <w:sz w:val="28"/>
          <w:szCs w:val="28"/>
        </w:rPr>
        <w:t>采购要求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服务器杀毒软件采购项目</w:t>
      </w:r>
      <w:r>
        <w:rPr>
          <w:rFonts w:hint="eastAsia" w:ascii="方正仿宋_GBK" w:hAnsi="方正仿宋_GBK" w:eastAsia="方正仿宋_GBK" w:cs="方正仿宋_GBK"/>
          <w:color w:val="000000"/>
          <w:sz w:val="24"/>
          <w:szCs w:val="24"/>
        </w:rPr>
        <w:t>进行谈判，欢迎具有相关资质且有良好信誉和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5295"/>
      <w:bookmarkStart w:id="2" w:name="_Toc16790"/>
      <w:r>
        <w:rPr>
          <w:rFonts w:hint="eastAsia" w:ascii="方正仿宋_GBK" w:hAnsi="方正仿宋_GBK" w:eastAsia="方正仿宋_GBK" w:cs="方正仿宋_GBK"/>
          <w:color w:val="000000"/>
          <w:sz w:val="24"/>
          <w:szCs w:val="24"/>
        </w:rPr>
        <w:t>一、谈判内容</w:t>
      </w:r>
      <w:bookmarkEnd w:id="1"/>
      <w:bookmarkEnd w:id="2"/>
    </w:p>
    <w:tbl>
      <w:tblPr>
        <w:tblStyle w:val="12"/>
        <w:tblW w:w="7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1320"/>
        <w:gridCol w:w="169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2844"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采购内容</w:t>
            </w:r>
          </w:p>
        </w:tc>
        <w:tc>
          <w:tcPr>
            <w:tcW w:w="1320"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项目</w:t>
            </w:r>
            <w:r>
              <w:rPr>
                <w:rFonts w:hint="eastAsia" w:ascii="方正仿宋_GBK" w:hAnsi="方正仿宋_GBK" w:eastAsia="方正仿宋_GBK" w:cs="方正仿宋_GBK"/>
                <w:color w:val="000000"/>
                <w:sz w:val="24"/>
                <w:szCs w:val="24"/>
                <w:lang w:val="en-US" w:eastAsia="zh-CN"/>
              </w:rPr>
              <w:t>限价</w:t>
            </w:r>
          </w:p>
        </w:tc>
        <w:tc>
          <w:tcPr>
            <w:tcW w:w="1695"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1899"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844"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服务器杀毒软件</w:t>
            </w:r>
          </w:p>
        </w:tc>
        <w:tc>
          <w:tcPr>
            <w:tcW w:w="132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16万元</w:t>
            </w:r>
          </w:p>
        </w:tc>
        <w:tc>
          <w:tcPr>
            <w:tcW w:w="1695"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信息科</w:t>
            </w:r>
          </w:p>
        </w:tc>
        <w:tc>
          <w:tcPr>
            <w:tcW w:w="1899"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 w:name="_Toc7024"/>
      <w:bookmarkStart w:id="4" w:name="_Toc373860293"/>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24964"/>
      <w:bookmarkStart w:id="6" w:name="_Toc530045187"/>
      <w:bookmarkStart w:id="7" w:name="_Toc30975"/>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无</w:t>
      </w:r>
      <w:r>
        <w:rPr>
          <w:rFonts w:hint="eastAsia" w:ascii="方正仿宋_GBK" w:hAnsi="方正仿宋_GBK" w:eastAsia="方正仿宋_GBK" w:cs="方正仿宋_GBK"/>
          <w:color w:val="000000"/>
          <w:sz w:val="24"/>
          <w:szCs w:val="24"/>
        </w:rPr>
        <w:t xml:space="preserve"> </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11412"/>
      <w:bookmarkStart w:id="9" w:name="_Toc21930"/>
      <w:bookmarkStart w:id="10" w:name="_Toc3976"/>
      <w:bookmarkStart w:id="11" w:name="_Toc6178"/>
      <w:bookmarkStart w:id="12" w:name="_Toc1965"/>
      <w:bookmarkStart w:id="13" w:name="_Toc9401"/>
      <w:bookmarkStart w:id="14" w:name="_Toc3374"/>
      <w:bookmarkStart w:id="15" w:name="_Toc26564"/>
      <w:bookmarkStart w:id="16" w:name="_Toc22548773"/>
      <w:bookmarkStart w:id="17" w:name="_Toc17509"/>
      <w:r>
        <w:rPr>
          <w:rFonts w:hint="eastAsia" w:ascii="方正仿宋_GBK" w:hAnsi="方正仿宋_GBK" w:eastAsia="方正仿宋_GBK" w:cs="方正仿宋_GBK"/>
          <w:color w:val="000000"/>
          <w:sz w:val="24"/>
          <w:szCs w:val="24"/>
          <w:lang w:val="en-US" w:eastAsia="zh-CN"/>
        </w:rPr>
        <w:t>四、技术要求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（一）技术参数</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支持Linux服务器SSH远程登录保护，可开启SSH远程登录二次认证，以防止黑客利用弱密码脆弱性对服务器的入侵；支持设置验证码验证或自定义密码验证，支持设置登录认证提示、生效时间段和免二次认证白名单。</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2.支持禁止黑客工具启动，包含：冰刃、xuetr、ProcessHacker、PCHunter、火绒剑、Mimikatz的自启动，可以防止黑客攻击。</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3.支持windows服务器RDP远程登录保护，可开启RDP远程登录二次认证，以防止黑客对服务器的入侵。</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支持基于异常行为AI的实时监测，实现文件秒级动态备份，发生勒索事件时，支持自动删除原始文件夹中被加密的文件夹并隔离文件；支持文件恢复密码保护，用户下发文件恢复操作时需要经过认证校验，确保文件恢复操作的合法性。（提供功能截图，并加盖原厂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5.具备强力专杀云端下发通道，支持在管理端批量下发强力专杀工具到内网各终端快速响应终端威胁。</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6.支持流行Windows高危漏洞的轻补丁免疫防御，支持Windows补丁批量一键修复。</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7.支持展示最新公布的热点漏洞信息，并且梳理出其中的高可利用漏洞统一展示在热点漏洞页面，方便运维人员一键对当前已接入的终端进行漏洞检测，同时支持设置热点漏洞定时检测。（提供相关功能截图证明，并加盖原厂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8.提供勒索病毒整体防护体系入口，直观展示最近七天勒索病毒防护效果，包括已处置的勒索病毒数量、已阻止的勒索病毒行为次数、已阻止的未知进程操作次数、已阻止的暴力破解攻击次数。（提供相关功能截图证明，并加盖原厂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9.支持安全策略一体化配置，通过单一策略即可实现不同安全功能的配置，包括：终端病毒查杀的文件扫描配置、文件实时监控的参数配置、WebShell检测和威胁处置方式、暴力破解的威胁处置方式和Windows白名单信任目录。</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支持基于系统内置弱密码字典和自定义弱密码字典的检查功能，弱密码检测支持至少包括SSH、RDP、MySQL、Tomcat、Redis等应用类型，可按照空密码、自定义弱密码、密码长度小于8、字符种类小于3等常见弱密码类型进行分类查看。</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11.支持对终端账户信息进行梳理，了解账号权限分布概况以及风险账号分布情况，可按照隐藏账号、弱密码账号、可疑root权限账号、长期未使用账号、夜间登录、多IP登录进行账号分类查看，支持统计最近一年未修改密码的账户。</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12.支持客户端的错峰升级，可根据实际情况控制客户端同时升级的最大数量，避免大量终端程序同时更新造成网络拥堵或I/O风暴。</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13.通过智能识别终端环境情况（低配硬件、老旧设备等）和当前终端资源占用，在闲时实时监控和病毒扫描场景，都可智能调整客户端的资源占用（CPU、IO等），为业务让出资源，不卡业务，对业务零摩擦。</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14.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15.支持对Windows停更的系统提供专项防护，包括0day漏洞防护、文件防护、暴破入侵防护、系统脆弱点识别和风险端口封堵等多项核心功能。</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16.支持用户直接对勒索病毒的家族名、病毒名、加密文件后缀名执行链接查询，可通过直接上传加密文件的方式确定勒索病毒类型，如果能解密可以提供必要的解密工具。（提供相关功能截图证明，并加盖原厂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17.提供基于可信鉴定方式的进程防护方式，通过人工智能自学习机制，自动建立信任进程名单，阻断非可信进程的运行并提供配置指引，同时支持通过模板和手动的方式添加信任进程。</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18.针对Windows系统，支持实时监控所有非授信驱动及黑客工具的装载、运行等行为,发现风险行为时进行提示和拦截，同时，支持设置敏感时间段，监控敏感时段内可疑驱动的装载、运行等行为，发现风险行为时进行提示和拦截。</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（二）配套服务要求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1.配套服务具备安全运营服务能力，支持对病毒防护及终端管理系统检测到的安全事件信息、安全日志数据等进行实时接收，并提供7*24小时的服务。</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配套的服务具备高危可利用漏洞的安全防护，支持对服务范围内资产进行高危可利用漏洞的扫描，并对发现的高危可利用漏洞进行安全防护，包括提供漏洞修复方案和安全设备防护策略等，并帮助配置相关的安全防护规则，避免单位遭受重大损失。（需提供证明截图，并加盖服务厂商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3.配套服务支持根据单位的自身情况，自定义配置安全防护规则，以更好的应对日益严峻的安全形势所带来的安全监测需求。</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配套服务具有安全专家，需每月对相关安全防护设备的相关策略进行检查及调优。同时，为保障安全策略检查的全面性及合理性，所提供的服务平台须至少具备40种策略检查工具。（需提供证明截图，并加盖服务厂商鲜章</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五、商务要求</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（一）原厂质保期</w:t>
      </w:r>
      <w:r>
        <w:rPr>
          <w:rFonts w:hint="default"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lang w:val="en-US" w:eastAsia="zh-CN"/>
        </w:rPr>
        <w:t>3</w:t>
      </w:r>
      <w:r>
        <w:rPr>
          <w:rFonts w:hint="default" w:ascii="方正仿宋_GBK" w:hAnsi="方正仿宋_GBK" w:eastAsia="方正仿宋_GBK" w:cs="方正仿宋_GBK"/>
          <w:color w:val="000000"/>
          <w:sz w:val="24"/>
          <w:szCs w:val="24"/>
          <w:lang w:val="en-US" w:eastAsia="zh-CN"/>
        </w:rPr>
        <w:t>年</w:t>
      </w:r>
      <w:r>
        <w:rPr>
          <w:rFonts w:hint="eastAsia" w:ascii="方正仿宋_GBK" w:hAnsi="方正仿宋_GBK" w:eastAsia="方正仿宋_GBK" w:cs="方正仿宋_GBK"/>
          <w:color w:val="000000"/>
          <w:sz w:val="24"/>
          <w:szCs w:val="24"/>
          <w:lang w:val="en-US" w:eastAsia="zh-CN"/>
        </w:rPr>
        <w:t>，提供原厂售后服务承诺函。</w:t>
      </w:r>
      <w:bookmarkStart w:id="75" w:name="_GoBack"/>
      <w:bookmarkEnd w:id="75"/>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（二）授权服务器数量不少于300台。</w:t>
      </w:r>
      <w:r>
        <w:rPr>
          <w:rFonts w:hint="default" w:ascii="方正仿宋_GBK" w:hAnsi="方正仿宋_GBK" w:eastAsia="方正仿宋_GBK" w:cs="方正仿宋_GBK"/>
          <w:color w:val="000000"/>
          <w:sz w:val="24"/>
          <w:szCs w:val="24"/>
          <w:lang w:val="en-US" w:eastAsia="zh-CN"/>
        </w:rPr>
        <w:t xml:space="preserve"> </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付款方式：转账付款；合同签订后，采购人在软件安装、调试并经双方验收合格后，收到卖方符合合同内容的合法有效的发票后</w:t>
      </w:r>
      <w:r>
        <w:rPr>
          <w:rFonts w:hint="eastAsia" w:ascii="方正仿宋_GBK" w:hAnsi="方正仿宋_GBK" w:eastAsia="方正仿宋_GBK" w:cs="方正仿宋_GBK"/>
          <w:color w:val="000000"/>
          <w:sz w:val="24"/>
          <w:szCs w:val="24"/>
          <w:lang w:val="en-US" w:eastAsia="zh-CN"/>
        </w:rPr>
        <w:t>支</w:t>
      </w:r>
      <w:r>
        <w:rPr>
          <w:rFonts w:hint="default" w:ascii="方正仿宋_GBK" w:hAnsi="方正仿宋_GBK" w:eastAsia="方正仿宋_GBK" w:cs="方正仿宋_GBK"/>
          <w:color w:val="000000"/>
          <w:sz w:val="24"/>
          <w:szCs w:val="24"/>
          <w:lang w:val="en-US" w:eastAsia="zh-CN"/>
        </w:rPr>
        <w:t>付合同款</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w:t>
      </w:r>
      <w:r>
        <w:rPr>
          <w:rFonts w:hint="default" w:ascii="方正仿宋_GBK" w:hAnsi="方正仿宋_GBK" w:eastAsia="方正仿宋_GBK" w:cs="方正仿宋_GBK"/>
          <w:color w:val="000000"/>
          <w:sz w:val="24"/>
          <w:szCs w:val="24"/>
          <w:lang w:val="en-US" w:eastAsia="zh-CN"/>
        </w:rPr>
        <w:t>提供在重庆的用户名单、联系人及联系电话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（一）凡有意参与谈判的供应商，请在“行采家”（www.gec123.com）下载本项目采购要求等谈判前公布的所有项目资料，无论供应商下载与否，均视为已知晓所有谈判内容。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（二）谈判文件公告期限：自公告发布之日（202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25</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（三）响应文件递交截止时间：202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29</w:t>
      </w:r>
      <w:r>
        <w:rPr>
          <w:rFonts w:hint="eastAsia" w:ascii="方正仿宋_GBK" w:hAnsi="方正仿宋_GBK" w:eastAsia="方正仿宋_GBK" w:cs="方正仿宋_GBK"/>
          <w:color w:val="000000"/>
          <w:sz w:val="24"/>
          <w:szCs w:val="24"/>
        </w:rPr>
        <w:t>日17点</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（六）谈判时间：另行通知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（七）谈判地点：重庆市第四人民医院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）采购人将评审结果报我院有权审批部门审批后，即以电话形式告之成交供应商，并在“行采家”网站（www.gec123.com）上发布结果公告。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）采购人无义务向其他供应商解释谈判失败原因，响应文件概不退还。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13490"/>
      <w:bookmarkStart w:id="19" w:name="_Toc8132"/>
      <w:bookmarkStart w:id="20" w:name="_Toc527828387"/>
      <w:bookmarkStart w:id="21" w:name="_Toc31639"/>
      <w:bookmarkStart w:id="22" w:name="_Toc31810"/>
      <w:bookmarkStart w:id="23" w:name="_Toc517368027"/>
      <w:bookmarkStart w:id="24" w:name="_Toc6933"/>
      <w:bookmarkStart w:id="25" w:name="_Toc517367960"/>
      <w:bookmarkStart w:id="26" w:name="_Toc22978"/>
      <w:bookmarkStart w:id="27" w:name="_Toc21862"/>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谈判文件</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附页：响应文件格式要求</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的规定</w:t>
      </w:r>
      <w:r>
        <w:rPr>
          <w:rFonts w:hint="eastAsia" w:ascii="方正仿宋_GBK" w:hAnsi="方正仿宋_GBK" w:eastAsia="方正仿宋_GBK" w:cs="方正仿宋_GBK"/>
          <w:color w:val="000000"/>
          <w:sz w:val="24"/>
          <w:szCs w:val="24"/>
          <w:lang w:eastAsia="zh-CN"/>
        </w:rPr>
        <w:t>编制响应文件，并对</w:t>
      </w:r>
      <w:r>
        <w:rPr>
          <w:rFonts w:hint="eastAsia" w:ascii="方正仿宋_GBK" w:hAnsi="方正仿宋_GBK" w:eastAsia="方正仿宋_GBK" w:cs="方正仿宋_GBK"/>
          <w:color w:val="000000"/>
          <w:sz w:val="24"/>
          <w:szCs w:val="24"/>
          <w:lang w:val="en-US" w:eastAsia="zh-CN"/>
        </w:rPr>
        <w:t>文件中</w:t>
      </w:r>
      <w:r>
        <w:rPr>
          <w:rFonts w:hint="eastAsia" w:ascii="方正仿宋_GBK" w:hAnsi="方正仿宋_GBK" w:eastAsia="方正仿宋_GBK" w:cs="方正仿宋_GBK"/>
          <w:color w:val="000000"/>
          <w:sz w:val="24"/>
          <w:szCs w:val="24"/>
          <w:lang w:eastAsia="zh-CN"/>
        </w:rPr>
        <w:t>提出的要求和条件做出实质性响应，编制技术、商务条款差异表，同时编制完整的页码、目录。</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）响应文件一式两份，其中正、副本各一份（注：封面应注明项目名称、供应商名称、联系人及电话，不需密封）；报价一份（注：报价需密封）。</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）在响应文件正本中，谈判文件“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15317"/>
      <w:bookmarkStart w:id="30" w:name="_Toc24167"/>
      <w:bookmarkStart w:id="31" w:name="_Toc517367961"/>
      <w:bookmarkStart w:id="32" w:name="_Toc527828388"/>
      <w:bookmarkStart w:id="33" w:name="_Toc517368028"/>
      <w:bookmarkStart w:id="34" w:name="_Toc2188"/>
      <w:bookmarkStart w:id="35" w:name="_Toc1495"/>
      <w:bookmarkStart w:id="36" w:name="_Toc24060"/>
      <w:bookmarkStart w:id="37" w:name="_Toc20734"/>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单位负责人为同一人或者存在直接控股、管理关系的不同供应商，不得参加同一合同项下的政府采购活动。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为采购项目提供整体设计、规范编制或者项目管理、监理、检测等服务的供应商，不得再参加本项目的采购活动。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本项目的补遗文件（如果有）一律在“行采家”（www.gec123.com）上发布，请各供应商注意下载；无论供应商下载与否，均视同已知晓本项目补遗文件（如果有）的内容。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本项目不接受联合体参与谈判。</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二、技术（质量）部分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w:t>
      </w:r>
      <w:r>
        <w:rPr>
          <w:rFonts w:hint="eastAsia" w:ascii="方正仿宋_GBK" w:hAnsi="宋体" w:eastAsia="方正仿宋_GBK"/>
          <w:b/>
          <w:sz w:val="24"/>
          <w:szCs w:val="24"/>
          <w:lang w:val="en-US" w:eastAsia="zh-CN"/>
        </w:rPr>
        <w:t>商务（服务）</w:t>
      </w:r>
      <w:r>
        <w:rPr>
          <w:rFonts w:hint="eastAsia" w:ascii="方正仿宋_GBK" w:hAnsi="宋体" w:eastAsia="方正仿宋_GBK"/>
          <w:b/>
          <w:sz w:val="24"/>
          <w:szCs w:val="24"/>
        </w:rPr>
        <w:t>部分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（一）商务（服务）响应偏离表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（一）法人营业执照（副本）</w:t>
      </w:r>
      <w:r>
        <w:rPr>
          <w:rFonts w:hint="eastAsia" w:ascii="方正仿宋_GBK" w:hAnsi="宋体" w:eastAsia="方正仿宋_GBK"/>
          <w:sz w:val="24"/>
          <w:szCs w:val="24"/>
          <w:lang w:val="en-US" w:eastAsia="zh-CN"/>
        </w:rPr>
        <w:t>复印件</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color w:val="auto"/>
          <w:sz w:val="24"/>
          <w:szCs w:val="24"/>
          <w:lang w:val="en-US" w:eastAsia="zh-CN"/>
        </w:rPr>
      </w:pPr>
      <w:r>
        <w:rPr>
          <w:rFonts w:hint="eastAsia" w:ascii="方正仿宋_GBK" w:hAnsi="宋体" w:eastAsia="方正仿宋_GBK"/>
          <w:sz w:val="24"/>
          <w:szCs w:val="24"/>
        </w:rPr>
        <w:t>（五）</w:t>
      </w:r>
      <w:r>
        <w:rPr>
          <w:rFonts w:hint="eastAsia" w:ascii="方正仿宋_GBK" w:hAnsi="宋体" w:eastAsia="方正仿宋_GBK"/>
          <w:color w:val="auto"/>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五、其他资料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lang w:eastAsia="zh-CN"/>
        </w:rPr>
      </w:pPr>
      <w:bookmarkStart w:id="39" w:name="_Toc65660379"/>
      <w:bookmarkStart w:id="40" w:name="_Toc106034659"/>
      <w:bookmarkStart w:id="41" w:name="_Toc313008356"/>
      <w:bookmarkStart w:id="42" w:name="_Toc26343"/>
      <w:bookmarkStart w:id="43" w:name="_Toc313888360"/>
      <w:bookmarkStart w:id="44" w:name="_Toc14244"/>
      <w:bookmarkStart w:id="45" w:name="_Toc342913419"/>
      <w:bookmarkStart w:id="46" w:name="_Toc12789073"/>
      <w:bookmarkStart w:id="47" w:name="_Toc283382454"/>
      <w:r>
        <w:rPr>
          <w:rFonts w:hint="eastAsia" w:ascii="方正仿宋_GBK" w:hAnsi="宋体" w:eastAsia="方正仿宋_GBK"/>
          <w:sz w:val="24"/>
        </w:rPr>
        <w:t>一、经济部分</w:t>
      </w:r>
      <w:bookmarkEnd w:id="39"/>
      <w:bookmarkEnd w:id="40"/>
      <w:bookmarkEnd w:id="41"/>
      <w:bookmarkEnd w:id="42"/>
      <w:bookmarkEnd w:id="43"/>
      <w:bookmarkEnd w:id="44"/>
      <w:bookmarkEnd w:id="45"/>
      <w:r>
        <w:rPr>
          <w:rFonts w:hint="eastAsia" w:ascii="方正仿宋_GBK" w:hAnsi="宋体" w:eastAsia="方正仿宋_GBK"/>
          <w:sz w:val="24"/>
          <w:lang w:eastAsia="zh-CN"/>
        </w:rPr>
        <w:t>（</w:t>
      </w:r>
      <w:r>
        <w:rPr>
          <w:rFonts w:hint="eastAsia" w:ascii="方正仿宋_GBK" w:hAnsi="宋体" w:eastAsia="方正仿宋_GBK"/>
          <w:sz w:val="24"/>
          <w:lang w:val="en-US" w:eastAsia="zh-CN"/>
        </w:rPr>
        <w:t>单独密封</w:t>
      </w:r>
      <w:r>
        <w:rPr>
          <w:rFonts w:hint="eastAsia" w:ascii="方正仿宋_GBK" w:hAnsi="宋体" w:eastAsia="方正仿宋_GBK"/>
          <w:sz w:val="24"/>
          <w:lang w:eastAsia="zh-CN"/>
        </w:rPr>
        <w:t>）</w:t>
      </w:r>
    </w:p>
    <w:bookmarkEnd w:id="46"/>
    <w:bookmarkEnd w:id="47"/>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我方收到____________________________（谈判项目名称）的谈判文件，经详细研究，决定参加该谈判项目的谈判。</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1.愿意按照谈判文件中的一切要求，提供本项目的交货及技术服务，项目初始报价（总价）为人民币大写：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4.我方完全理解和接受贵方谈判文件的一切规定和要求及谈判评审办法。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5.在整个谈判过程中，我方若有违规行为，接受按照《中华人民共和国政府采购法》和《谈判文件》之规定给予惩罚。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产品名称</w:t>
            </w:r>
          </w:p>
        </w:tc>
        <w:tc>
          <w:tcPr>
            <w:tcW w:w="1721"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品牌及产地</w:t>
            </w:r>
          </w:p>
        </w:tc>
        <w:tc>
          <w:tcPr>
            <w:tcW w:w="1417"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制造商名称</w:t>
            </w:r>
          </w:p>
        </w:tc>
        <w:tc>
          <w:tcPr>
            <w:tcW w:w="1250"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规格型号</w:t>
            </w:r>
          </w:p>
        </w:tc>
        <w:tc>
          <w:tcPr>
            <w:tcW w:w="867"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数量</w:t>
            </w:r>
          </w:p>
        </w:tc>
        <w:tc>
          <w:tcPr>
            <w:tcW w:w="1186" w:type="dxa"/>
            <w:vAlign w:val="center"/>
          </w:tcPr>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单价</w:t>
            </w:r>
          </w:p>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   ）</w:t>
            </w:r>
          </w:p>
        </w:tc>
        <w:tc>
          <w:tcPr>
            <w:tcW w:w="1233"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合计</w:t>
            </w:r>
          </w:p>
          <w:p>
            <w:pPr>
              <w:jc w:val="center"/>
              <w:rPr>
                <w:rFonts w:hint="eastAsia" w:ascii="方正仿宋_GBK" w:hAnsi="宋体" w:eastAsia="方正仿宋_GBK"/>
                <w:sz w:val="24"/>
                <w:szCs w:val="28"/>
              </w:rPr>
            </w:pPr>
            <w:r>
              <w:rPr>
                <w:rFonts w:hint="eastAsia" w:ascii="方正仿宋_GBK" w:hAnsi="宋体" w:eastAsia="方正仿宋_GBK"/>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hint="eastAsia" w:ascii="方正仿宋_GBK" w:hAnsi="宋体" w:eastAsia="方正仿宋_GBK"/>
                <w:sz w:val="24"/>
                <w:szCs w:val="28"/>
              </w:rPr>
            </w:pPr>
          </w:p>
        </w:tc>
        <w:tc>
          <w:tcPr>
            <w:tcW w:w="1721" w:type="dxa"/>
            <w:tcBorders>
              <w:bottom w:val="single" w:color="auto" w:sz="4" w:space="0"/>
            </w:tcBorders>
            <w:vAlign w:val="center"/>
          </w:tcPr>
          <w:p>
            <w:pPr>
              <w:jc w:val="center"/>
              <w:rPr>
                <w:rFonts w:hint="eastAsia" w:ascii="方正仿宋_GBK" w:hAnsi="宋体" w:eastAsia="方正仿宋_GBK"/>
                <w:sz w:val="24"/>
                <w:szCs w:val="28"/>
              </w:rPr>
            </w:pPr>
          </w:p>
        </w:tc>
        <w:tc>
          <w:tcPr>
            <w:tcW w:w="1417" w:type="dxa"/>
            <w:tcBorders>
              <w:bottom w:val="single" w:color="auto" w:sz="4" w:space="0"/>
            </w:tcBorders>
            <w:vAlign w:val="center"/>
          </w:tcPr>
          <w:p>
            <w:pPr>
              <w:jc w:val="center"/>
              <w:rPr>
                <w:rFonts w:hint="eastAsia" w:ascii="方正仿宋_GBK" w:hAnsi="宋体" w:eastAsia="方正仿宋_GBK"/>
                <w:sz w:val="24"/>
                <w:szCs w:val="28"/>
              </w:rPr>
            </w:pPr>
          </w:p>
        </w:tc>
        <w:tc>
          <w:tcPr>
            <w:tcW w:w="1250" w:type="dxa"/>
            <w:tcBorders>
              <w:bottom w:val="single" w:color="auto" w:sz="4" w:space="0"/>
            </w:tcBorders>
            <w:vAlign w:val="center"/>
          </w:tcPr>
          <w:p>
            <w:pPr>
              <w:jc w:val="center"/>
              <w:rPr>
                <w:rFonts w:hint="eastAsia" w:ascii="方正仿宋_GBK" w:hAnsi="宋体" w:eastAsia="方正仿宋_GBK"/>
                <w:sz w:val="24"/>
                <w:szCs w:val="28"/>
              </w:rPr>
            </w:pPr>
          </w:p>
        </w:tc>
        <w:tc>
          <w:tcPr>
            <w:tcW w:w="867" w:type="dxa"/>
            <w:tcBorders>
              <w:bottom w:val="single" w:color="auto" w:sz="4" w:space="0"/>
            </w:tcBorders>
            <w:vAlign w:val="center"/>
          </w:tcPr>
          <w:p>
            <w:pPr>
              <w:jc w:val="center"/>
              <w:rPr>
                <w:rFonts w:hint="eastAsia" w:ascii="方正仿宋_GBK" w:hAnsi="宋体" w:eastAsia="方正仿宋_GBK"/>
                <w:sz w:val="24"/>
                <w:szCs w:val="28"/>
              </w:rPr>
            </w:pPr>
          </w:p>
        </w:tc>
        <w:tc>
          <w:tcPr>
            <w:tcW w:w="1186" w:type="dxa"/>
            <w:tcBorders>
              <w:bottom w:val="single" w:color="auto" w:sz="4" w:space="0"/>
            </w:tcBorders>
            <w:vAlign w:val="center"/>
          </w:tcPr>
          <w:p>
            <w:pPr>
              <w:jc w:val="center"/>
              <w:rPr>
                <w:rFonts w:hint="eastAsia" w:ascii="方正仿宋_GBK" w:hAnsi="宋体" w:eastAsia="方正仿宋_GBK"/>
                <w:sz w:val="24"/>
                <w:szCs w:val="28"/>
              </w:rPr>
            </w:pPr>
          </w:p>
        </w:tc>
        <w:tc>
          <w:tcPr>
            <w:tcW w:w="1233" w:type="dxa"/>
            <w:tcBorders>
              <w:bottom w:val="single" w:color="auto" w:sz="4" w:space="0"/>
            </w:tcBorders>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hint="eastAsia" w:ascii="方正仿宋_GBK" w:hAnsi="宋体" w:eastAsia="方正仿宋_GBK"/>
                <w:sz w:val="24"/>
                <w:szCs w:val="28"/>
              </w:rPr>
            </w:pPr>
          </w:p>
        </w:tc>
        <w:tc>
          <w:tcPr>
            <w:tcW w:w="1721" w:type="dxa"/>
            <w:tcBorders>
              <w:bottom w:val="single" w:color="auto" w:sz="4" w:space="0"/>
            </w:tcBorders>
            <w:vAlign w:val="center"/>
          </w:tcPr>
          <w:p>
            <w:pPr>
              <w:jc w:val="center"/>
              <w:rPr>
                <w:rFonts w:hint="eastAsia" w:ascii="方正仿宋_GBK" w:hAnsi="宋体" w:eastAsia="方正仿宋_GBK"/>
                <w:sz w:val="24"/>
                <w:szCs w:val="28"/>
              </w:rPr>
            </w:pPr>
          </w:p>
        </w:tc>
        <w:tc>
          <w:tcPr>
            <w:tcW w:w="1417" w:type="dxa"/>
            <w:tcBorders>
              <w:bottom w:val="single" w:color="auto" w:sz="4" w:space="0"/>
            </w:tcBorders>
            <w:vAlign w:val="center"/>
          </w:tcPr>
          <w:p>
            <w:pPr>
              <w:jc w:val="center"/>
              <w:rPr>
                <w:rFonts w:hint="eastAsia" w:ascii="方正仿宋_GBK" w:hAnsi="宋体" w:eastAsia="方正仿宋_GBK"/>
                <w:sz w:val="24"/>
                <w:szCs w:val="28"/>
              </w:rPr>
            </w:pPr>
          </w:p>
        </w:tc>
        <w:tc>
          <w:tcPr>
            <w:tcW w:w="1250" w:type="dxa"/>
            <w:tcBorders>
              <w:bottom w:val="single" w:color="auto" w:sz="4" w:space="0"/>
            </w:tcBorders>
            <w:vAlign w:val="center"/>
          </w:tcPr>
          <w:p>
            <w:pPr>
              <w:jc w:val="center"/>
              <w:rPr>
                <w:rFonts w:hint="eastAsia" w:ascii="方正仿宋_GBK" w:hAnsi="宋体" w:eastAsia="方正仿宋_GBK"/>
                <w:sz w:val="24"/>
                <w:szCs w:val="28"/>
              </w:rPr>
            </w:pPr>
          </w:p>
        </w:tc>
        <w:tc>
          <w:tcPr>
            <w:tcW w:w="867" w:type="dxa"/>
            <w:tcBorders>
              <w:bottom w:val="single" w:color="auto" w:sz="4" w:space="0"/>
            </w:tcBorders>
            <w:vAlign w:val="center"/>
          </w:tcPr>
          <w:p>
            <w:pPr>
              <w:jc w:val="center"/>
              <w:rPr>
                <w:rFonts w:hint="eastAsia" w:ascii="方正仿宋_GBK" w:hAnsi="宋体" w:eastAsia="方正仿宋_GBK"/>
                <w:sz w:val="24"/>
                <w:szCs w:val="28"/>
              </w:rPr>
            </w:pPr>
          </w:p>
        </w:tc>
        <w:tc>
          <w:tcPr>
            <w:tcW w:w="1186" w:type="dxa"/>
            <w:tcBorders>
              <w:bottom w:val="single" w:color="auto" w:sz="4" w:space="0"/>
            </w:tcBorders>
            <w:vAlign w:val="center"/>
          </w:tcPr>
          <w:p>
            <w:pPr>
              <w:jc w:val="center"/>
              <w:rPr>
                <w:rFonts w:hint="eastAsia" w:ascii="方正仿宋_GBK" w:hAnsi="宋体" w:eastAsia="方正仿宋_GBK"/>
                <w:sz w:val="24"/>
                <w:szCs w:val="28"/>
              </w:rPr>
            </w:pPr>
          </w:p>
        </w:tc>
        <w:tc>
          <w:tcPr>
            <w:tcW w:w="1233" w:type="dxa"/>
            <w:tcBorders>
              <w:bottom w:val="single" w:color="auto" w:sz="4" w:space="0"/>
            </w:tcBorders>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vAlign w:val="center"/>
          </w:tcPr>
          <w:p>
            <w:pPr>
              <w:jc w:val="center"/>
              <w:rPr>
                <w:rFonts w:hint="eastAsia" w:ascii="方正仿宋_GBK" w:hAnsi="宋体" w:eastAsia="方正仿宋_GBK"/>
                <w:sz w:val="24"/>
                <w:szCs w:val="28"/>
              </w:rPr>
            </w:pPr>
          </w:p>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bl>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48" w:name="OLE_LINK1"/>
      <w:bookmarkStart w:id="49" w:name="OLE_LINK2"/>
      <w:r>
        <w:rPr>
          <w:rFonts w:hint="eastAsia" w:ascii="方正仿宋_GBK" w:hAnsi="宋体" w:eastAsia="方正仿宋_GBK"/>
          <w:sz w:val="24"/>
          <w:szCs w:val="28"/>
        </w:rPr>
        <w:t>。</w:t>
      </w:r>
      <w:bookmarkEnd w:id="48"/>
      <w:bookmarkEnd w:id="49"/>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2"/>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供应商名称（公章）或自然人签署：</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0" w:name="_Toc14073"/>
      <w:bookmarkStart w:id="51" w:name="_Toc313008357"/>
      <w:bookmarkStart w:id="52" w:name="_Toc313888361"/>
      <w:bookmarkStart w:id="53" w:name="_Toc342913420"/>
      <w:bookmarkStart w:id="54" w:name="_Toc65660380"/>
      <w:bookmarkStart w:id="55" w:name="_Toc22655"/>
      <w:bookmarkStart w:id="56" w:name="_Toc106034660"/>
      <w:r>
        <w:rPr>
          <w:rFonts w:hint="eastAsia" w:ascii="方正仿宋_GBK" w:hAnsi="宋体" w:eastAsia="方正仿宋_GBK"/>
          <w:sz w:val="24"/>
        </w:rPr>
        <w:t>二、技术（质量）部分</w:t>
      </w:r>
      <w:bookmarkEnd w:id="50"/>
      <w:bookmarkEnd w:id="51"/>
      <w:bookmarkEnd w:id="52"/>
      <w:bookmarkEnd w:id="53"/>
      <w:bookmarkEnd w:id="54"/>
      <w:bookmarkEnd w:id="55"/>
      <w:bookmarkEnd w:id="5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2"/>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r>
              <w:rPr>
                <w:rFonts w:hint="eastAsia" w:ascii="方正仿宋_GBK" w:hAnsi="仿宋" w:eastAsia="方正仿宋_GBK"/>
                <w:sz w:val="21"/>
                <w:szCs w:val="21"/>
              </w:rPr>
              <w:t>提醒：请注明技术参数或具体内容以及响应文件中技术参数或具体内容的位置（页码）</w:t>
            </w: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四、技术要求”</w:t>
      </w:r>
      <w:r>
        <w:rPr>
          <w:rFonts w:hint="eastAsia" w:ascii="方正仿宋_GBK" w:hAnsi="仿宋" w:eastAsia="方正仿宋_GBK"/>
          <w:sz w:val="24"/>
          <w:szCs w:val="24"/>
        </w:rPr>
        <w:t>中所列条款进行比较和响应；</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2.该表必须按照比选文件要求逐条如实填写，根据比选情况在“差异说明”项填写正偏离或负偏离及原因，完全符合的填写“无差异”；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p>
    <w:p>
      <w:pPr>
        <w:tabs>
          <w:tab w:val="left" w:pos="6300"/>
        </w:tabs>
        <w:snapToGrid w:val="0"/>
        <w:spacing w:line="500" w:lineRule="exact"/>
        <w:ind w:firstLine="480" w:firstLineChars="20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640" w:firstLineChars="200"/>
        <w:rPr>
          <w:rFonts w:hint="eastAsia" w:ascii="方正仿宋_GBK" w:hAnsi="宋体" w:eastAsia="方正仿宋_GBK"/>
          <w:sz w:val="24"/>
        </w:rPr>
      </w:pPr>
      <w:r>
        <w:rPr>
          <w:rFonts w:ascii="方正仿宋_GBK" w:eastAsia="方正仿宋_GBK"/>
          <w:b w:val="0"/>
        </w:rPr>
        <w:br w:type="page"/>
      </w:r>
      <w:bookmarkStart w:id="57" w:name="_Toc106034661"/>
      <w:bookmarkStart w:id="58" w:name="_Toc32339"/>
      <w:bookmarkStart w:id="59" w:name="_Toc32158"/>
      <w:bookmarkStart w:id="60" w:name="_Toc65660381"/>
      <w:bookmarkStart w:id="61" w:name="_Toc313888362"/>
      <w:bookmarkStart w:id="62" w:name="_Toc313008358"/>
      <w:bookmarkStart w:id="63" w:name="_Toc342913421"/>
      <w:r>
        <w:rPr>
          <w:rFonts w:hint="eastAsia" w:ascii="方正仿宋_GBK" w:hAnsi="宋体" w:eastAsia="方正仿宋_GBK"/>
          <w:sz w:val="24"/>
        </w:rPr>
        <w:t>三、</w:t>
      </w:r>
      <w:r>
        <w:rPr>
          <w:rFonts w:hint="eastAsia" w:ascii="方正仿宋_GBK" w:hAnsi="宋体" w:eastAsia="方正仿宋_GBK"/>
          <w:sz w:val="24"/>
          <w:lang w:val="en-US" w:eastAsia="zh-CN"/>
        </w:rPr>
        <w:t>商务（服务）</w:t>
      </w:r>
      <w:r>
        <w:rPr>
          <w:rFonts w:hint="eastAsia" w:ascii="方正仿宋_GBK" w:hAnsi="宋体" w:eastAsia="方正仿宋_GBK"/>
          <w:sz w:val="24"/>
        </w:rPr>
        <w:t>部分</w:t>
      </w:r>
      <w:bookmarkEnd w:id="57"/>
      <w:bookmarkEnd w:id="58"/>
      <w:bookmarkEnd w:id="59"/>
      <w:bookmarkEnd w:id="6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商务（服务）</w:t>
      </w:r>
      <w:r>
        <w:rPr>
          <w:rFonts w:hint="eastAsia" w:ascii="方正仿宋_GBK" w:hAnsi="宋体" w:eastAsia="方正仿宋_GBK"/>
          <w:sz w:val="24"/>
          <w:szCs w:val="24"/>
        </w:rPr>
        <w:t>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2"/>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outlineLvl w:val="0"/>
              <w:rPr>
                <w:rFonts w:hint="eastAsia" w:ascii="方正仿宋_GBK" w:hAnsi="宋体" w:eastAsia="方正仿宋_GBK"/>
                <w:sz w:val="21"/>
                <w:szCs w:val="24"/>
              </w:rPr>
            </w:pPr>
            <w:r>
              <w:rPr>
                <w:rFonts w:hint="eastAsia" w:ascii="方正仿宋_GBK" w:hAnsi="仿宋" w:eastAsia="方正仿宋_GBK"/>
                <w:sz w:val="21"/>
                <w:szCs w:val="21"/>
              </w:rPr>
              <w:t>提醒：请注明具体内容以及响应文件中具体内容的位置（页码）</w:t>
            </w: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五、商务要求”</w:t>
      </w:r>
      <w:r>
        <w:rPr>
          <w:rFonts w:hint="eastAsia" w:ascii="方正仿宋_GBK" w:hAnsi="仿宋" w:eastAsia="方正仿宋_GBK"/>
          <w:sz w:val="24"/>
          <w:szCs w:val="24"/>
        </w:rPr>
        <w:t>中所列条款进行比较和响应；</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方正仿宋_GBK" w:eastAsia="方正仿宋_GBK" w:cs="方正仿宋_GBK"/>
          <w:sz w:val="24"/>
          <w:szCs w:val="24"/>
        </w:rPr>
        <w:t>2.该表必须按照比选文件要求逐条如实填写，根据比选情况在“差异说明”项填写正偏离或负偏离及原因，完全符合的填写“无差异”，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64" w:name="_Toc20162"/>
      <w:bookmarkStart w:id="65" w:name="_Toc106034662"/>
      <w:bookmarkStart w:id="66" w:name="_Toc65660382"/>
      <w:bookmarkStart w:id="67" w:name="_Toc2082"/>
      <w:r>
        <w:rPr>
          <w:rFonts w:hint="eastAsia" w:ascii="方正仿宋_GBK" w:hAnsi="宋体" w:eastAsia="方正仿宋_GBK"/>
          <w:sz w:val="24"/>
        </w:rPr>
        <w:t>四、</w:t>
      </w:r>
      <w:bookmarkEnd w:id="61"/>
      <w:bookmarkEnd w:id="62"/>
      <w:bookmarkEnd w:id="63"/>
      <w:r>
        <w:rPr>
          <w:rFonts w:hint="eastAsia" w:ascii="方正仿宋_GBK" w:hAnsi="宋体" w:eastAsia="方正仿宋_GBK"/>
          <w:sz w:val="24"/>
        </w:rPr>
        <w:t>资格条件及其他</w:t>
      </w:r>
      <w:bookmarkEnd w:id="64"/>
      <w:bookmarkEnd w:id="65"/>
      <w:bookmarkEnd w:id="66"/>
      <w:bookmarkEnd w:id="67"/>
      <w:bookmarkStart w:id="68" w:name="_Toc313888363"/>
      <w:bookmarkStart w:id="69" w:name="_Toc313008359"/>
      <w:bookmarkStart w:id="70" w:name="_Toc34291342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1"/>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numPr>
          <w:ilvl w:val="0"/>
          <w:numId w:val="0"/>
        </w:numPr>
        <w:spacing w:line="400" w:lineRule="exact"/>
        <w:jc w:val="left"/>
        <w:rPr>
          <w:rFonts w:hint="eastAsia" w:ascii="方正仿宋_GBK" w:hAnsi="宋体" w:eastAsia="方正仿宋_GBK"/>
          <w:sz w:val="24"/>
          <w:szCs w:val="24"/>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71" w:name="_Toc65660383"/>
      <w:bookmarkStart w:id="72" w:name="_Toc106034663"/>
      <w:bookmarkStart w:id="73" w:name="_Toc17010"/>
      <w:bookmarkStart w:id="74" w:name="_Toc2080"/>
      <w:r>
        <w:rPr>
          <w:rFonts w:hint="eastAsia" w:ascii="方正仿宋_GBK" w:hAnsi="宋体" w:eastAsia="方正仿宋_GBK"/>
          <w:sz w:val="24"/>
        </w:rPr>
        <w:t>五、</w:t>
      </w:r>
      <w:bookmarkEnd w:id="68"/>
      <w:bookmarkEnd w:id="69"/>
      <w:bookmarkEnd w:id="70"/>
      <w:r>
        <w:rPr>
          <w:rFonts w:hint="eastAsia" w:ascii="方正仿宋_GBK" w:hAnsi="宋体" w:eastAsia="方正仿宋_GBK"/>
          <w:sz w:val="24"/>
        </w:rPr>
        <w:t>其他资料</w:t>
      </w:r>
      <w:bookmarkEnd w:id="71"/>
      <w:bookmarkEnd w:id="72"/>
      <w:bookmarkEnd w:id="73"/>
      <w:bookmarkEnd w:id="74"/>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2"/>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embedRegular r:id="rId1" w:fontKey="{0B0BCA11-71DD-4134-A082-A33ED5ADAF1E}"/>
  </w:font>
  <w:font w:name="方正仿宋_GBK">
    <w:panose1 w:val="03000509000000000000"/>
    <w:charset w:val="86"/>
    <w:family w:val="script"/>
    <w:pitch w:val="default"/>
    <w:sig w:usb0="00000001" w:usb1="080E0000" w:usb2="00000000" w:usb3="00000000" w:csb0="00040000" w:csb1="00000000"/>
    <w:embedRegular r:id="rId2" w:fontKey="{42522645-E6E0-4AF7-9D02-3764EC369C1E}"/>
  </w:font>
  <w:font w:name="仿宋">
    <w:panose1 w:val="02010609060101010101"/>
    <w:charset w:val="86"/>
    <w:family w:val="modern"/>
    <w:pitch w:val="default"/>
    <w:sig w:usb0="800002BF" w:usb1="38CF7CFA" w:usb2="00000016" w:usb3="00000000" w:csb0="00040001" w:csb1="00000000"/>
    <w:embedRegular r:id="rId3" w:fontKey="{DE6B98A6-894F-406D-88D9-8AA03415D7A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8C58"/>
    <w:multiLevelType w:val="singleLevel"/>
    <w:tmpl w:val="2B3B8C58"/>
    <w:lvl w:ilvl="0" w:tentative="0">
      <w:start w:val="5"/>
      <w:numFmt w:val="chineseCounting"/>
      <w:suff w:val="nothing"/>
      <w:lvlText w:val="（%1）"/>
      <w:lvlJc w:val="left"/>
      <w:rPr>
        <w:rFonts w:hint="eastAsia"/>
      </w:rPr>
    </w:lvl>
  </w:abstractNum>
  <w:abstractNum w:abstractNumId="1">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5084823"/>
    <w:rsid w:val="055E66C3"/>
    <w:rsid w:val="08041D76"/>
    <w:rsid w:val="09655DC8"/>
    <w:rsid w:val="0A8C3C5A"/>
    <w:rsid w:val="0B145FD1"/>
    <w:rsid w:val="0B4E3BB1"/>
    <w:rsid w:val="0DBD6915"/>
    <w:rsid w:val="0E653757"/>
    <w:rsid w:val="0ED07A7C"/>
    <w:rsid w:val="0EF324E5"/>
    <w:rsid w:val="0FC01DDD"/>
    <w:rsid w:val="10DC01C8"/>
    <w:rsid w:val="116503A8"/>
    <w:rsid w:val="133F76F0"/>
    <w:rsid w:val="13704662"/>
    <w:rsid w:val="13814630"/>
    <w:rsid w:val="13DF3FC3"/>
    <w:rsid w:val="14A409DB"/>
    <w:rsid w:val="153934ED"/>
    <w:rsid w:val="15625621"/>
    <w:rsid w:val="15F441A8"/>
    <w:rsid w:val="16A60816"/>
    <w:rsid w:val="17F26FAE"/>
    <w:rsid w:val="18687FAE"/>
    <w:rsid w:val="1AC856F5"/>
    <w:rsid w:val="1BD877D9"/>
    <w:rsid w:val="1D54216D"/>
    <w:rsid w:val="1E3356E8"/>
    <w:rsid w:val="1FD86743"/>
    <w:rsid w:val="201D7DBD"/>
    <w:rsid w:val="21546A66"/>
    <w:rsid w:val="21693711"/>
    <w:rsid w:val="226E4C36"/>
    <w:rsid w:val="23F95523"/>
    <w:rsid w:val="2437495C"/>
    <w:rsid w:val="26030B51"/>
    <w:rsid w:val="260852E0"/>
    <w:rsid w:val="29A0090E"/>
    <w:rsid w:val="29CE6BF9"/>
    <w:rsid w:val="2AC57FFB"/>
    <w:rsid w:val="2AED7E1E"/>
    <w:rsid w:val="2C041E33"/>
    <w:rsid w:val="2C516D69"/>
    <w:rsid w:val="2D7524E6"/>
    <w:rsid w:val="2E8928E3"/>
    <w:rsid w:val="305C705B"/>
    <w:rsid w:val="30BD408D"/>
    <w:rsid w:val="327114A6"/>
    <w:rsid w:val="34DF325D"/>
    <w:rsid w:val="356E302D"/>
    <w:rsid w:val="36825B67"/>
    <w:rsid w:val="39842583"/>
    <w:rsid w:val="3A07396B"/>
    <w:rsid w:val="3A757783"/>
    <w:rsid w:val="3B82689F"/>
    <w:rsid w:val="3D0B21A9"/>
    <w:rsid w:val="3E752DC9"/>
    <w:rsid w:val="40EC1E4D"/>
    <w:rsid w:val="41A53F56"/>
    <w:rsid w:val="443474E0"/>
    <w:rsid w:val="44A8542F"/>
    <w:rsid w:val="4684760A"/>
    <w:rsid w:val="472E3198"/>
    <w:rsid w:val="49664A06"/>
    <w:rsid w:val="4B046ED0"/>
    <w:rsid w:val="4B9D04D7"/>
    <w:rsid w:val="4BA43FBA"/>
    <w:rsid w:val="4C582C53"/>
    <w:rsid w:val="4CD82061"/>
    <w:rsid w:val="4D433F84"/>
    <w:rsid w:val="509D5C5F"/>
    <w:rsid w:val="50AA111F"/>
    <w:rsid w:val="51E01C21"/>
    <w:rsid w:val="52F56DBE"/>
    <w:rsid w:val="56210721"/>
    <w:rsid w:val="56E919B9"/>
    <w:rsid w:val="56EC2B7B"/>
    <w:rsid w:val="57CB0088"/>
    <w:rsid w:val="596468E9"/>
    <w:rsid w:val="59ED6194"/>
    <w:rsid w:val="5B395A82"/>
    <w:rsid w:val="5D24510E"/>
    <w:rsid w:val="5EC809F4"/>
    <w:rsid w:val="5F1818BF"/>
    <w:rsid w:val="5F685E7F"/>
    <w:rsid w:val="5F6A3B63"/>
    <w:rsid w:val="603F4A02"/>
    <w:rsid w:val="62AC472E"/>
    <w:rsid w:val="64434207"/>
    <w:rsid w:val="644A5BFB"/>
    <w:rsid w:val="64C85426"/>
    <w:rsid w:val="64CF0321"/>
    <w:rsid w:val="669453A6"/>
    <w:rsid w:val="66D04197"/>
    <w:rsid w:val="672804FC"/>
    <w:rsid w:val="67991669"/>
    <w:rsid w:val="6A8D37D7"/>
    <w:rsid w:val="6BA36B5C"/>
    <w:rsid w:val="6C1F3525"/>
    <w:rsid w:val="6EFD7139"/>
    <w:rsid w:val="708B4D5C"/>
    <w:rsid w:val="723A6707"/>
    <w:rsid w:val="72C377F4"/>
    <w:rsid w:val="73EA2176"/>
    <w:rsid w:val="759977E2"/>
    <w:rsid w:val="770F5F97"/>
    <w:rsid w:val="7AA15452"/>
    <w:rsid w:val="7B5D7B47"/>
    <w:rsid w:val="7B8D1379"/>
    <w:rsid w:val="7CA547CE"/>
    <w:rsid w:val="7F285EE0"/>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TotalTime>0</TotalTime>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2024-04-25T11:33:53Z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