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i w:val="0"/>
          <w:iCs w:val="0"/>
          <w:color w:val="auto"/>
        </w:rPr>
      </w:pPr>
      <w:r>
        <w:rPr>
          <w:rFonts w:hint="eastAsia" w:ascii="宋体" w:hAnsi="宋体"/>
          <w:i w:val="0"/>
          <w:iCs w:val="0"/>
          <w:color w:val="auto"/>
        </w:rPr>
        <w:t xml:space="preserve"> </w:t>
      </w:r>
    </w:p>
    <w:p>
      <w:pPr>
        <w:spacing w:line="1600" w:lineRule="exact"/>
        <w:jc w:val="center"/>
        <w:outlineLvl w:val="0"/>
        <w:rPr>
          <w:rFonts w:hint="eastAsia" w:ascii="宋体" w:hAnsi="宋体" w:cs="宋体"/>
          <w:b/>
          <w:bCs/>
          <w:i w:val="0"/>
          <w:iCs w:val="0"/>
          <w:color w:val="auto"/>
          <w:spacing w:val="80"/>
          <w:sz w:val="86"/>
          <w:szCs w:val="86"/>
          <w:highlight w:val="none"/>
        </w:rPr>
      </w:pPr>
      <w:bookmarkStart w:id="0" w:name="_Toc19609"/>
      <w:bookmarkStart w:id="1" w:name="_Toc31917"/>
      <w:bookmarkStart w:id="2" w:name="_Toc16779"/>
      <w:bookmarkStart w:id="3" w:name="_Toc30988"/>
      <w:bookmarkStart w:id="4" w:name="_Toc17591"/>
      <w:bookmarkStart w:id="5" w:name="_Toc7408"/>
      <w:bookmarkStart w:id="6" w:name="_Toc30711"/>
      <w:bookmarkStart w:id="7" w:name="_Toc31370"/>
      <w:r>
        <w:rPr>
          <w:rFonts w:hint="eastAsia" w:ascii="宋体" w:hAnsi="宋体" w:cs="宋体"/>
          <w:b/>
          <w:bCs/>
          <w:i w:val="0"/>
          <w:iCs w:val="0"/>
          <w:color w:val="auto"/>
          <w:spacing w:val="80"/>
          <w:sz w:val="86"/>
          <w:szCs w:val="86"/>
          <w:highlight w:val="none"/>
          <w:lang w:val="en-US" w:eastAsia="zh-CN"/>
        </w:rPr>
        <w:t>重庆市政府采购云平台网上竞采</w:t>
      </w:r>
      <w:r>
        <w:rPr>
          <w:rFonts w:hint="eastAsia" w:ascii="宋体" w:hAnsi="宋体" w:cs="宋体"/>
          <w:b/>
          <w:bCs/>
          <w:i w:val="0"/>
          <w:iCs w:val="0"/>
          <w:color w:val="auto"/>
          <w:spacing w:val="80"/>
          <w:sz w:val="86"/>
          <w:szCs w:val="86"/>
          <w:highlight w:val="none"/>
        </w:rPr>
        <w:t>文件</w:t>
      </w:r>
      <w:bookmarkEnd w:id="0"/>
      <w:bookmarkEnd w:id="1"/>
      <w:bookmarkEnd w:id="2"/>
      <w:bookmarkEnd w:id="3"/>
      <w:bookmarkEnd w:id="4"/>
      <w:bookmarkEnd w:id="5"/>
      <w:bookmarkEnd w:id="6"/>
      <w:bookmarkEnd w:id="7"/>
    </w:p>
    <w:p>
      <w:pPr>
        <w:spacing w:line="1600" w:lineRule="exact"/>
        <w:jc w:val="both"/>
        <w:outlineLvl w:val="0"/>
        <w:rPr>
          <w:rFonts w:hint="default" w:ascii="宋体" w:hAnsi="宋体" w:eastAsia="宋体" w:cs="宋体"/>
          <w:b/>
          <w:bCs/>
          <w:i w:val="0"/>
          <w:iCs w:val="0"/>
          <w:color w:val="auto"/>
          <w:spacing w:val="80"/>
          <w:sz w:val="86"/>
          <w:szCs w:val="86"/>
          <w:highlight w:val="none"/>
          <w:lang w:val="en-US" w:eastAsia="zh-CN"/>
        </w:rPr>
      </w:pPr>
    </w:p>
    <w:p>
      <w:pPr>
        <w:pStyle w:val="3"/>
        <w:jc w:val="center"/>
        <w:rPr>
          <w:rFonts w:hint="eastAsia" w:ascii="宋体" w:hAnsi="宋体" w:cs="宋体"/>
          <w:b/>
          <w:bCs/>
          <w:i w:val="0"/>
          <w:iCs w:val="0"/>
          <w:color w:val="auto"/>
          <w:spacing w:val="80"/>
          <w:sz w:val="44"/>
          <w:szCs w:val="44"/>
          <w:highlight w:val="none"/>
          <w:lang w:eastAsia="zh-CN"/>
        </w:rPr>
      </w:pPr>
    </w:p>
    <w:p>
      <w:pPr>
        <w:rPr>
          <w:rFonts w:hint="eastAsia" w:ascii="宋体" w:hAnsi="宋体" w:cs="宋体"/>
          <w:b/>
          <w:bCs/>
          <w:i w:val="0"/>
          <w:iCs w:val="0"/>
          <w:color w:val="auto"/>
          <w:spacing w:val="80"/>
          <w:sz w:val="44"/>
          <w:szCs w:val="44"/>
          <w:highlight w:val="none"/>
          <w:lang w:eastAsia="zh-CN"/>
        </w:rPr>
      </w:pPr>
    </w:p>
    <w:p>
      <w:pPr>
        <w:spacing w:line="360" w:lineRule="auto"/>
        <w:ind w:firstLine="720" w:firstLineChars="200"/>
        <w:jc w:val="left"/>
        <w:rPr>
          <w:rFonts w:hint="default" w:ascii="华文仿宋" w:hAnsi="华文仿宋" w:eastAsia="华文仿宋" w:cs="仿宋"/>
          <w:i w:val="0"/>
          <w:iCs w:val="0"/>
          <w:color w:val="auto"/>
          <w:sz w:val="36"/>
          <w:szCs w:val="30"/>
          <w:lang w:val="en-US" w:eastAsia="zh-CN"/>
        </w:rPr>
      </w:pPr>
      <w:r>
        <w:rPr>
          <w:rFonts w:hint="eastAsia" w:ascii="华文仿宋" w:hAnsi="华文仿宋" w:eastAsia="华文仿宋" w:cs="仿宋"/>
          <w:i w:val="0"/>
          <w:iCs w:val="0"/>
          <w:color w:val="auto"/>
          <w:sz w:val="36"/>
          <w:szCs w:val="30"/>
        </w:rPr>
        <w:t>项目编号：</w:t>
      </w:r>
      <w:bookmarkStart w:id="8" w:name="_Hlk111636989"/>
      <w:r>
        <w:rPr>
          <w:rFonts w:hint="eastAsia" w:ascii="华文仿宋" w:hAnsi="华文仿宋" w:eastAsia="华文仿宋" w:cs="仿宋"/>
          <w:i w:val="0"/>
          <w:iCs w:val="0"/>
          <w:color w:val="auto"/>
          <w:sz w:val="36"/>
          <w:szCs w:val="30"/>
          <w:lang w:val="en-US" w:eastAsia="zh-CN"/>
        </w:rPr>
        <w:t>2025006</w:t>
      </w:r>
      <w:bookmarkStart w:id="118" w:name="_GoBack"/>
      <w:bookmarkEnd w:id="118"/>
    </w:p>
    <w:p>
      <w:pPr>
        <w:pStyle w:val="6"/>
        <w:spacing w:line="360" w:lineRule="auto"/>
        <w:ind w:left="2517" w:leftChars="256" w:hanging="1800" w:hangingChars="500"/>
        <w:jc w:val="left"/>
        <w:rPr>
          <w:rFonts w:hint="eastAsia" w:ascii="宋体" w:hAnsi="宋体" w:eastAsia="宋体" w:cs="宋体"/>
          <w:color w:val="auto"/>
          <w:sz w:val="36"/>
          <w:szCs w:val="30"/>
        </w:rPr>
      </w:pPr>
      <w:r>
        <w:rPr>
          <w:rFonts w:hint="eastAsia" w:ascii="华文仿宋" w:hAnsi="华文仿宋" w:eastAsia="华文仿宋" w:cs="仿宋"/>
          <w:i w:val="0"/>
          <w:iCs w:val="0"/>
          <w:color w:val="auto"/>
          <w:sz w:val="36"/>
          <w:szCs w:val="30"/>
        </w:rPr>
        <w:t>项目</w:t>
      </w:r>
      <w:r>
        <w:rPr>
          <w:rFonts w:hint="eastAsia" w:ascii="华文仿宋" w:hAnsi="华文仿宋" w:eastAsia="华文仿宋" w:cs="仿宋"/>
          <w:i w:val="0"/>
          <w:iCs w:val="0"/>
          <w:color w:val="auto"/>
          <w:sz w:val="36"/>
          <w:szCs w:val="30"/>
          <w:lang w:val="en-US" w:eastAsia="zh-CN"/>
        </w:rPr>
        <w:t>名称</w:t>
      </w:r>
      <w:r>
        <w:rPr>
          <w:rFonts w:hint="eastAsia" w:ascii="华文仿宋" w:hAnsi="华文仿宋" w:eastAsia="华文仿宋" w:cs="仿宋"/>
          <w:i w:val="0"/>
          <w:iCs w:val="0"/>
          <w:color w:val="auto"/>
          <w:sz w:val="36"/>
          <w:szCs w:val="30"/>
        </w:rPr>
        <w:t>：</w:t>
      </w:r>
      <w:r>
        <w:rPr>
          <w:rFonts w:hint="eastAsia" w:ascii="宋体" w:hAnsi="宋体" w:eastAsia="宋体" w:cs="宋体"/>
          <w:color w:val="auto"/>
          <w:sz w:val="36"/>
          <w:szCs w:val="30"/>
        </w:rPr>
        <w:t>202</w:t>
      </w:r>
      <w:r>
        <w:rPr>
          <w:rFonts w:hint="eastAsia" w:ascii="宋体" w:hAnsi="宋体" w:eastAsia="宋体" w:cs="宋体"/>
          <w:color w:val="auto"/>
          <w:sz w:val="36"/>
          <w:szCs w:val="30"/>
          <w:lang w:val="en-US" w:eastAsia="zh-CN"/>
        </w:rPr>
        <w:t>5</w:t>
      </w:r>
      <w:r>
        <w:rPr>
          <w:rFonts w:hint="eastAsia" w:ascii="宋体" w:hAnsi="宋体" w:eastAsia="宋体" w:cs="宋体"/>
          <w:color w:val="auto"/>
          <w:sz w:val="36"/>
          <w:szCs w:val="30"/>
        </w:rPr>
        <w:t>年化肥农药减量增效及绿色发展推广</w:t>
      </w:r>
    </w:p>
    <w:p>
      <w:pPr>
        <w:pStyle w:val="6"/>
        <w:spacing w:line="360" w:lineRule="auto"/>
        <w:ind w:left="2509" w:leftChars="896" w:firstLine="360" w:firstLineChars="100"/>
        <w:jc w:val="left"/>
        <w:rPr>
          <w:rFonts w:hint="default" w:ascii="华文仿宋" w:hAnsi="华文仿宋" w:eastAsia="华文仿宋" w:cs="仿宋"/>
          <w:i w:val="0"/>
          <w:iCs w:val="0"/>
          <w:color w:val="auto"/>
          <w:sz w:val="36"/>
          <w:szCs w:val="30"/>
          <w:lang w:val="en-US" w:eastAsia="zh-CN"/>
        </w:rPr>
      </w:pPr>
      <w:r>
        <w:rPr>
          <w:rFonts w:hint="eastAsia" w:ascii="宋体" w:hAnsi="宋体" w:eastAsia="宋体" w:cs="宋体"/>
          <w:color w:val="auto"/>
          <w:sz w:val="36"/>
          <w:szCs w:val="30"/>
        </w:rPr>
        <w:t>示范项目</w:t>
      </w:r>
    </w:p>
    <w:bookmarkEnd w:id="8"/>
    <w:p>
      <w:pPr>
        <w:spacing w:line="700" w:lineRule="exact"/>
        <w:rPr>
          <w:rFonts w:hint="eastAsia" w:ascii="华文仿宋" w:hAnsi="华文仿宋" w:eastAsia="华文仿宋" w:cs="仿宋"/>
          <w:i w:val="0"/>
          <w:iCs w:val="0"/>
          <w:color w:val="auto"/>
          <w:sz w:val="36"/>
          <w:szCs w:val="30"/>
        </w:rPr>
      </w:pPr>
    </w:p>
    <w:p>
      <w:pPr>
        <w:spacing w:line="700" w:lineRule="exact"/>
        <w:ind w:firstLine="1080" w:firstLineChars="300"/>
        <w:rPr>
          <w:rFonts w:ascii="华文仿宋" w:hAnsi="华文仿宋" w:eastAsia="华文仿宋" w:cs="仿宋"/>
          <w:i w:val="0"/>
          <w:iCs w:val="0"/>
          <w:color w:val="auto"/>
          <w:sz w:val="36"/>
          <w:szCs w:val="30"/>
        </w:rPr>
      </w:pPr>
    </w:p>
    <w:p>
      <w:pPr>
        <w:pStyle w:val="6"/>
        <w:rPr>
          <w:rFonts w:hint="eastAsia"/>
          <w:i w:val="0"/>
          <w:iCs w:val="0"/>
          <w:color w:val="auto"/>
        </w:rPr>
      </w:pPr>
    </w:p>
    <w:p>
      <w:pPr>
        <w:pStyle w:val="6"/>
        <w:rPr>
          <w:rFonts w:hint="eastAsia" w:ascii="华文仿宋" w:hAnsi="华文仿宋" w:eastAsia="华文仿宋"/>
          <w:i w:val="0"/>
          <w:iCs w:val="0"/>
          <w:color w:val="auto"/>
        </w:rPr>
      </w:pPr>
    </w:p>
    <w:p>
      <w:pPr>
        <w:pStyle w:val="6"/>
        <w:rPr>
          <w:rFonts w:hint="eastAsia" w:ascii="华文仿宋" w:hAnsi="华文仿宋" w:eastAsia="华文仿宋"/>
          <w:i w:val="0"/>
          <w:iCs w:val="0"/>
          <w:color w:val="auto"/>
        </w:rPr>
      </w:pPr>
    </w:p>
    <w:p>
      <w:pPr>
        <w:spacing w:line="700" w:lineRule="exact"/>
        <w:ind w:firstLine="720" w:firstLineChars="200"/>
        <w:jc w:val="left"/>
        <w:rPr>
          <w:rFonts w:hint="default" w:ascii="华文仿宋" w:hAnsi="华文仿宋" w:eastAsia="华文仿宋" w:cs="仿宋"/>
          <w:i w:val="0"/>
          <w:iCs w:val="0"/>
          <w:color w:val="auto"/>
          <w:sz w:val="36"/>
          <w:szCs w:val="30"/>
          <w:lang w:val="en-US" w:eastAsia="zh-CN"/>
        </w:rPr>
      </w:pPr>
      <w:r>
        <w:rPr>
          <w:rFonts w:hint="eastAsia" w:ascii="华文仿宋" w:hAnsi="华文仿宋" w:eastAsia="华文仿宋" w:cs="仿宋"/>
          <w:i w:val="0"/>
          <w:iCs w:val="0"/>
          <w:color w:val="auto"/>
          <w:sz w:val="36"/>
          <w:szCs w:val="30"/>
        </w:rPr>
        <w:t>采购人：</w:t>
      </w:r>
      <w:r>
        <w:rPr>
          <w:rFonts w:hint="eastAsia" w:ascii="华文仿宋" w:hAnsi="华文仿宋" w:eastAsia="华文仿宋" w:cs="仿宋"/>
          <w:i w:val="0"/>
          <w:iCs w:val="0"/>
          <w:color w:val="auto"/>
          <w:sz w:val="36"/>
          <w:szCs w:val="30"/>
          <w:lang w:val="en-US" w:eastAsia="zh-CN"/>
        </w:rPr>
        <w:t>重庆市合川区农业农村委员会</w:t>
      </w:r>
    </w:p>
    <w:p>
      <w:pPr>
        <w:spacing w:line="700" w:lineRule="exact"/>
        <w:jc w:val="center"/>
        <w:rPr>
          <w:rFonts w:hint="eastAsia" w:ascii="华文仿宋" w:hAnsi="华文仿宋" w:eastAsia="华文仿宋" w:cs="仿宋"/>
          <w:i w:val="0"/>
          <w:iCs w:val="0"/>
          <w:color w:val="auto"/>
          <w:sz w:val="36"/>
          <w:szCs w:val="30"/>
        </w:rPr>
      </w:pPr>
    </w:p>
    <w:p>
      <w:pPr>
        <w:pStyle w:val="6"/>
        <w:jc w:val="center"/>
        <w:rPr>
          <w:rFonts w:hint="eastAsia" w:ascii="宋体" w:hAnsi="宋体" w:cs="宋体"/>
          <w:b/>
          <w:bCs/>
          <w:i w:val="0"/>
          <w:iCs w:val="0"/>
          <w:color w:val="auto"/>
          <w:spacing w:val="80"/>
          <w:sz w:val="44"/>
          <w:szCs w:val="44"/>
          <w:highlight w:val="none"/>
          <w:lang w:eastAsia="zh-CN"/>
        </w:rPr>
      </w:pPr>
      <w:r>
        <w:rPr>
          <w:rFonts w:hint="eastAsia" w:ascii="华文仿宋" w:hAnsi="华文仿宋" w:eastAsia="华文仿宋" w:cs="仿宋"/>
          <w:i w:val="0"/>
          <w:iCs w:val="0"/>
          <w:color w:val="auto"/>
          <w:sz w:val="36"/>
          <w:szCs w:val="30"/>
        </w:rPr>
        <w:t>二〇二</w:t>
      </w:r>
      <w:r>
        <w:rPr>
          <w:rFonts w:hint="eastAsia" w:ascii="华文仿宋" w:hAnsi="华文仿宋" w:eastAsia="华文仿宋" w:cs="仿宋"/>
          <w:i w:val="0"/>
          <w:iCs w:val="0"/>
          <w:color w:val="auto"/>
          <w:sz w:val="36"/>
          <w:szCs w:val="30"/>
          <w:lang w:val="en-US" w:eastAsia="zh-CN"/>
        </w:rPr>
        <w:t>五</w:t>
      </w:r>
      <w:r>
        <w:rPr>
          <w:rFonts w:hint="eastAsia" w:ascii="华文仿宋" w:hAnsi="华文仿宋" w:eastAsia="华文仿宋" w:cs="仿宋"/>
          <w:i w:val="0"/>
          <w:iCs w:val="0"/>
          <w:color w:val="auto"/>
          <w:sz w:val="36"/>
          <w:szCs w:val="30"/>
        </w:rPr>
        <w:t>年</w:t>
      </w:r>
      <w:r>
        <w:rPr>
          <w:rFonts w:hint="eastAsia" w:ascii="华文仿宋" w:hAnsi="华文仿宋" w:eastAsia="华文仿宋" w:cs="仿宋"/>
          <w:i w:val="0"/>
          <w:iCs w:val="0"/>
          <w:color w:val="auto"/>
          <w:sz w:val="36"/>
          <w:szCs w:val="30"/>
          <w:lang w:val="en-US" w:eastAsia="zh-CN"/>
        </w:rPr>
        <w:t>六</w:t>
      </w:r>
      <w:r>
        <w:rPr>
          <w:rFonts w:hint="eastAsia" w:ascii="华文仿宋" w:hAnsi="华文仿宋" w:eastAsia="华文仿宋" w:cs="仿宋"/>
          <w:i w:val="0"/>
          <w:iCs w:val="0"/>
          <w:color w:val="auto"/>
          <w:sz w:val="36"/>
          <w:szCs w:val="30"/>
        </w:rPr>
        <w:t>月</w:t>
      </w:r>
      <w:r>
        <w:rPr>
          <w:rFonts w:hint="eastAsia" w:ascii="华文仿宋" w:hAnsi="华文仿宋" w:eastAsia="华文仿宋" w:cs="仿宋"/>
          <w:i w:val="0"/>
          <w:iCs w:val="0"/>
          <w:color w:val="auto"/>
          <w:sz w:val="44"/>
          <w:szCs w:val="28"/>
        </w:rPr>
        <w:br w:type="page"/>
      </w:r>
    </w:p>
    <w:p>
      <w:pPr>
        <w:snapToGrid w:val="0"/>
        <w:spacing w:line="400" w:lineRule="exact"/>
        <w:ind w:firstLine="723" w:firstLineChars="200"/>
        <w:jc w:val="center"/>
        <w:rPr>
          <w:rFonts w:hint="eastAsia" w:ascii="仿宋" w:hAnsi="仿宋" w:eastAsia="仿宋" w:cs="仿宋"/>
          <w:b/>
          <w:bCs/>
          <w:color w:val="auto"/>
          <w:sz w:val="24"/>
          <w:szCs w:val="24"/>
        </w:rPr>
      </w:pPr>
      <w:bookmarkStart w:id="9" w:name="_Toc12789052"/>
      <w:bookmarkStart w:id="10" w:name="_Toc106030870"/>
      <w:bookmarkStart w:id="11" w:name="_Toc76462316"/>
      <w:bookmarkStart w:id="12" w:name="_Toc11641050"/>
      <w:r>
        <w:rPr>
          <w:rFonts w:hint="eastAsia" w:ascii="仿宋" w:hAnsi="仿宋" w:eastAsia="仿宋" w:cs="仿宋"/>
          <w:b/>
          <w:bCs/>
          <w:color w:val="auto"/>
          <w:sz w:val="36"/>
          <w:szCs w:val="30"/>
        </w:rPr>
        <w:t xml:space="preserve">第一篇  </w:t>
      </w:r>
      <w:r>
        <w:rPr>
          <w:rFonts w:hint="eastAsia" w:ascii="仿宋" w:hAnsi="仿宋" w:eastAsia="仿宋" w:cs="仿宋"/>
          <w:b/>
          <w:bCs/>
          <w:color w:val="auto"/>
          <w:sz w:val="36"/>
          <w:szCs w:val="30"/>
          <w:lang w:val="en-US" w:eastAsia="zh-CN"/>
        </w:rPr>
        <w:t>竞采</w:t>
      </w:r>
      <w:r>
        <w:rPr>
          <w:rFonts w:hint="eastAsia" w:ascii="仿宋" w:hAnsi="仿宋" w:eastAsia="仿宋" w:cs="仿宋"/>
          <w:b/>
          <w:bCs/>
          <w:color w:val="auto"/>
          <w:sz w:val="36"/>
          <w:szCs w:val="30"/>
        </w:rPr>
        <w:t>邀请书</w:t>
      </w:r>
      <w:bookmarkEnd w:id="9"/>
      <w:bookmarkEnd w:id="10"/>
      <w:bookmarkEnd w:id="11"/>
      <w:bookmarkEnd w:id="12"/>
    </w:p>
    <w:p>
      <w:pPr>
        <w:snapToGrid w:val="0"/>
        <w:spacing w:line="400" w:lineRule="exact"/>
        <w:ind w:firstLine="480" w:firstLineChars="200"/>
        <w:rPr>
          <w:rFonts w:hint="eastAsia" w:ascii="宋体" w:hAnsi="宋体" w:cs="宋体"/>
          <w:b/>
          <w:bCs/>
          <w:i w:val="0"/>
          <w:iCs w:val="0"/>
          <w:color w:val="auto"/>
          <w:spacing w:val="80"/>
          <w:sz w:val="44"/>
          <w:szCs w:val="44"/>
          <w:highlight w:val="none"/>
          <w:lang w:eastAsia="zh-CN"/>
        </w:rPr>
      </w:pPr>
      <w:r>
        <w:rPr>
          <w:rFonts w:hint="eastAsia" w:ascii="仿宋" w:hAnsi="仿宋" w:eastAsia="仿宋" w:cs="仿宋"/>
          <w:color w:val="auto"/>
          <w:sz w:val="24"/>
          <w:szCs w:val="24"/>
          <w:highlight w:val="none"/>
          <w:lang w:val="en-US" w:eastAsia="zh-CN"/>
        </w:rPr>
        <w:t>我方组</w:t>
      </w:r>
      <w:r>
        <w:rPr>
          <w:rFonts w:hint="eastAsia" w:ascii="仿宋" w:hAnsi="仿宋" w:eastAsia="仿宋" w:cs="仿宋"/>
          <w:color w:val="auto"/>
          <w:sz w:val="24"/>
          <w:szCs w:val="24"/>
          <w:highlight w:val="none"/>
        </w:rPr>
        <w:t>织对</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年化肥农药减量增效及绿色发展推广示范项目</w:t>
      </w:r>
      <w:r>
        <w:rPr>
          <w:rFonts w:hint="eastAsia" w:ascii="仿宋" w:hAnsi="仿宋" w:eastAsia="仿宋" w:cs="仿宋"/>
          <w:color w:val="auto"/>
          <w:sz w:val="24"/>
          <w:szCs w:val="24"/>
          <w:highlight w:val="none"/>
        </w:rPr>
        <w:t>进行竞采采购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欢迎有资格的供应商前来参与</w:t>
      </w:r>
      <w:r>
        <w:rPr>
          <w:rFonts w:hint="eastAsia" w:ascii="方正仿宋_GBK" w:hAnsi="宋体" w:eastAsia="方正仿宋_GBK"/>
          <w:color w:val="auto"/>
          <w:sz w:val="24"/>
          <w:szCs w:val="24"/>
          <w:lang w:val="en-US" w:eastAsia="zh-CN"/>
        </w:rPr>
        <w:t>网上竞采</w:t>
      </w:r>
      <w:r>
        <w:rPr>
          <w:rFonts w:hint="eastAsia" w:ascii="方正仿宋_GBK" w:hAnsi="宋体" w:eastAsia="方正仿宋_GBK"/>
          <w:color w:val="auto"/>
          <w:sz w:val="24"/>
          <w:szCs w:val="24"/>
        </w:rPr>
        <w:t>。</w:t>
      </w:r>
    </w:p>
    <w:p>
      <w:pPr>
        <w:jc w:val="both"/>
        <w:outlineLvl w:val="0"/>
        <w:rPr>
          <w:rFonts w:hint="eastAsia" w:ascii="黑体" w:hAnsi="黑体" w:eastAsia="黑体"/>
          <w:b/>
          <w:bCs/>
          <w:i w:val="0"/>
          <w:iCs w:val="0"/>
          <w:color w:val="auto"/>
          <w:spacing w:val="80"/>
          <w:sz w:val="44"/>
          <w:szCs w:val="44"/>
        </w:rPr>
      </w:pPr>
    </w:p>
    <w:p>
      <w:pPr>
        <w:jc w:val="center"/>
        <w:outlineLvl w:val="0"/>
        <w:rPr>
          <w:rFonts w:ascii="黑体" w:hAnsi="黑体" w:eastAsia="黑体"/>
          <w:b/>
          <w:bCs/>
          <w:i w:val="0"/>
          <w:iCs w:val="0"/>
          <w:color w:val="auto"/>
          <w:spacing w:val="80"/>
          <w:sz w:val="44"/>
          <w:szCs w:val="44"/>
        </w:rPr>
      </w:pPr>
      <w:r>
        <w:rPr>
          <w:rFonts w:hint="eastAsia" w:ascii="黑体" w:hAnsi="黑体" w:eastAsia="黑体"/>
          <w:b/>
          <w:bCs/>
          <w:i w:val="0"/>
          <w:iCs w:val="0"/>
          <w:color w:val="auto"/>
          <w:spacing w:val="80"/>
          <w:sz w:val="44"/>
          <w:szCs w:val="44"/>
        </w:rPr>
        <w:t>（综合评</w:t>
      </w:r>
      <w:r>
        <w:rPr>
          <w:rFonts w:hint="eastAsia" w:ascii="黑体" w:hAnsi="黑体" w:eastAsia="黑体"/>
          <w:b/>
          <w:bCs/>
          <w:i w:val="0"/>
          <w:iCs w:val="0"/>
          <w:color w:val="auto"/>
          <w:spacing w:val="80"/>
          <w:sz w:val="44"/>
          <w:szCs w:val="44"/>
          <w:lang w:val="en-US" w:eastAsia="zh-CN"/>
        </w:rPr>
        <w:t>分</w:t>
      </w:r>
      <w:r>
        <w:rPr>
          <w:rFonts w:hint="eastAsia" w:ascii="黑体" w:hAnsi="黑体" w:eastAsia="黑体"/>
          <w:b/>
          <w:bCs/>
          <w:i w:val="0"/>
          <w:iCs w:val="0"/>
          <w:color w:val="auto"/>
          <w:spacing w:val="80"/>
          <w:sz w:val="44"/>
          <w:szCs w:val="44"/>
        </w:rPr>
        <w:t>法）</w:t>
      </w:r>
    </w:p>
    <w:p>
      <w:pPr>
        <w:pStyle w:val="4"/>
        <w:spacing w:before="0" w:after="0" w:line="312" w:lineRule="auto"/>
        <w:rPr>
          <w:rFonts w:hint="eastAsia" w:ascii="仿宋" w:hAnsi="仿宋" w:eastAsia="仿宋" w:cs="仿宋"/>
          <w:i w:val="0"/>
          <w:iCs w:val="0"/>
          <w:color w:val="auto"/>
          <w:sz w:val="24"/>
          <w:szCs w:val="24"/>
        </w:rPr>
      </w:pPr>
      <w:bookmarkStart w:id="13" w:name="_Toc3463"/>
      <w:bookmarkStart w:id="14" w:name="_Toc317775175"/>
      <w:bookmarkStart w:id="15" w:name="_Toc18881"/>
      <w:bookmarkStart w:id="16" w:name="_Toc12808"/>
      <w:bookmarkStart w:id="17" w:name="_Toc7625"/>
      <w:bookmarkStart w:id="18" w:name="_Toc25458"/>
      <w:bookmarkStart w:id="19" w:name="_Toc313893526"/>
      <w:bookmarkStart w:id="20" w:name="_Toc26820"/>
      <w:bookmarkStart w:id="21" w:name="_Toc18159"/>
      <w:r>
        <w:rPr>
          <w:rFonts w:hint="eastAsia" w:ascii="宋体" w:hAnsi="宋体" w:cs="宋体"/>
          <w:i w:val="0"/>
          <w:iCs w:val="0"/>
          <w:color w:val="auto"/>
          <w:sz w:val="24"/>
          <w:szCs w:val="24"/>
        </w:rPr>
        <w:t>一、</w:t>
      </w:r>
      <w:r>
        <w:rPr>
          <w:rFonts w:hint="eastAsia" w:ascii="仿宋" w:hAnsi="仿宋" w:eastAsia="仿宋" w:cs="仿宋"/>
          <w:i w:val="0"/>
          <w:iCs w:val="0"/>
          <w:color w:val="auto"/>
          <w:sz w:val="24"/>
          <w:szCs w:val="24"/>
          <w:lang w:val="en-US" w:eastAsia="zh-CN"/>
        </w:rPr>
        <w:t>竞采项目</w:t>
      </w:r>
      <w:r>
        <w:rPr>
          <w:rFonts w:hint="eastAsia" w:ascii="仿宋" w:hAnsi="仿宋" w:eastAsia="仿宋" w:cs="仿宋"/>
          <w:i w:val="0"/>
          <w:iCs w:val="0"/>
          <w:color w:val="auto"/>
          <w:sz w:val="24"/>
          <w:szCs w:val="24"/>
        </w:rPr>
        <w:t>内容</w:t>
      </w:r>
      <w:bookmarkEnd w:id="13"/>
      <w:bookmarkEnd w:id="14"/>
      <w:bookmarkEnd w:id="15"/>
      <w:bookmarkEnd w:id="16"/>
      <w:bookmarkEnd w:id="17"/>
      <w:bookmarkEnd w:id="18"/>
      <w:bookmarkEnd w:id="19"/>
      <w:bookmarkEnd w:id="20"/>
      <w:bookmarkEnd w:id="21"/>
    </w:p>
    <w:tbl>
      <w:tblPr>
        <w:tblStyle w:val="1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最高限价</w:t>
            </w:r>
          </w:p>
          <w:p>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w:t>
            </w:r>
            <w:r>
              <w:rPr>
                <w:rFonts w:hint="eastAsia" w:ascii="仿宋" w:hAnsi="仿宋" w:eastAsia="仿宋" w:cs="仿宋"/>
                <w:b/>
                <w:bCs/>
                <w:i w:val="0"/>
                <w:iCs w:val="0"/>
                <w:color w:val="auto"/>
                <w:kern w:val="0"/>
                <w:sz w:val="24"/>
                <w:szCs w:val="24"/>
                <w:lang w:val="en-US" w:eastAsia="zh-CN"/>
              </w:rPr>
              <w:t>万</w:t>
            </w:r>
            <w:r>
              <w:rPr>
                <w:rFonts w:hint="eastAsia" w:ascii="仿宋" w:hAnsi="仿宋" w:eastAsia="仿宋" w:cs="仿宋"/>
                <w:b/>
                <w:bCs/>
                <w:i w:val="0"/>
                <w:iCs w:val="0"/>
                <w:color w:val="auto"/>
                <w:kern w:val="0"/>
                <w:sz w:val="24"/>
                <w:szCs w:val="24"/>
              </w:rPr>
              <w:t>元）</w:t>
            </w:r>
          </w:p>
        </w:tc>
        <w:tc>
          <w:tcPr>
            <w:tcW w:w="1903" w:type="dxa"/>
            <w:tcBorders>
              <w:top w:val="single" w:color="auto" w:sz="4" w:space="0"/>
              <w:left w:val="single" w:color="auto" w:sz="4" w:space="0"/>
              <w:right w:val="single" w:color="auto" w:sz="4" w:space="0"/>
            </w:tcBorders>
            <w:vAlign w:val="center"/>
          </w:tcPr>
          <w:p>
            <w:pPr>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成交供应商数量（名）</w:t>
            </w:r>
          </w:p>
        </w:tc>
        <w:tc>
          <w:tcPr>
            <w:tcW w:w="1231"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color w:val="auto"/>
                <w:kern w:val="0"/>
                <w:sz w:val="24"/>
                <w:szCs w:val="24"/>
              </w:rPr>
            </w:pPr>
            <w:bookmarkStart w:id="22" w:name="_Hlk344477914"/>
            <w:r>
              <w:rPr>
                <w:rFonts w:hint="eastAsia" w:ascii="仿宋" w:hAnsi="仿宋" w:eastAsia="仿宋" w:cs="仿宋"/>
                <w:b/>
                <w:bCs/>
                <w:i w:val="0"/>
                <w:iCs w:val="0"/>
                <w:color w:val="auto"/>
                <w:kern w:val="0"/>
                <w:sz w:val="24"/>
                <w:szCs w:val="24"/>
                <w:lang w:val="en-US" w:eastAsia="zh-CN"/>
              </w:rPr>
              <w:t>2025年合</w:t>
            </w:r>
            <w:r>
              <w:rPr>
                <w:rFonts w:hint="eastAsia" w:ascii="仿宋" w:hAnsi="仿宋" w:eastAsia="仿宋" w:cs="仿宋"/>
                <w:b/>
                <w:bCs/>
                <w:i w:val="0"/>
                <w:iCs w:val="0"/>
                <w:color w:val="auto"/>
                <w:kern w:val="0"/>
                <w:sz w:val="24"/>
                <w:szCs w:val="24"/>
              </w:rPr>
              <w:t>川区化肥农药减量增效及绿色发展推广示范项目</w:t>
            </w:r>
          </w:p>
        </w:tc>
        <w:tc>
          <w:tcPr>
            <w:tcW w:w="1746" w:type="dxa"/>
            <w:tcBorders>
              <w:top w:val="single" w:color="auto" w:sz="4" w:space="0"/>
              <w:left w:val="single" w:color="auto" w:sz="4" w:space="0"/>
              <w:right w:val="single" w:color="auto" w:sz="4" w:space="0"/>
            </w:tcBorders>
            <w:vAlign w:val="center"/>
          </w:tcPr>
          <w:p>
            <w:pPr>
              <w:widowControl/>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rPr>
              <w:t xml:space="preserve"> </w:t>
            </w:r>
            <w:r>
              <w:rPr>
                <w:rFonts w:hint="eastAsia" w:ascii="仿宋" w:hAnsi="仿宋" w:eastAsia="仿宋" w:cs="仿宋"/>
                <w:b/>
                <w:bCs/>
                <w:i w:val="0"/>
                <w:iCs w:val="0"/>
                <w:color w:val="auto"/>
                <w:kern w:val="0"/>
                <w:sz w:val="24"/>
                <w:szCs w:val="24"/>
                <w:lang w:val="en-US" w:eastAsia="zh-CN"/>
              </w:rPr>
              <w:t>20</w:t>
            </w:r>
          </w:p>
        </w:tc>
        <w:tc>
          <w:tcPr>
            <w:tcW w:w="1903"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color w:val="auto"/>
                <w:kern w:val="0"/>
                <w:sz w:val="24"/>
                <w:szCs w:val="24"/>
                <w:lang w:eastAsia="zh-CN"/>
              </w:rPr>
            </w:pPr>
            <w:r>
              <w:rPr>
                <w:rFonts w:hint="eastAsia" w:ascii="仿宋" w:hAnsi="仿宋" w:eastAsia="仿宋" w:cs="仿宋"/>
                <w:b/>
                <w:bCs/>
                <w:i w:val="0"/>
                <w:iCs w:val="0"/>
                <w:color w:val="auto"/>
                <w:kern w:val="0"/>
                <w:sz w:val="24"/>
                <w:szCs w:val="24"/>
                <w:lang w:val="en-US" w:eastAsia="zh-CN"/>
              </w:rPr>
              <w:t>1</w:t>
            </w:r>
          </w:p>
        </w:tc>
        <w:tc>
          <w:tcPr>
            <w:tcW w:w="1231"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color w:val="auto"/>
                <w:kern w:val="0"/>
                <w:sz w:val="24"/>
                <w:szCs w:val="24"/>
              </w:rPr>
            </w:pPr>
          </w:p>
        </w:tc>
      </w:tr>
      <w:bookmarkEnd w:id="22"/>
    </w:tbl>
    <w:p>
      <w:pPr>
        <w:pStyle w:val="4"/>
        <w:spacing w:before="0" w:after="0" w:line="312" w:lineRule="auto"/>
        <w:rPr>
          <w:rFonts w:hint="eastAsia" w:ascii="仿宋" w:hAnsi="仿宋" w:eastAsia="仿宋" w:cs="仿宋"/>
          <w:i w:val="0"/>
          <w:iCs w:val="0"/>
          <w:color w:val="auto"/>
          <w:sz w:val="24"/>
          <w:szCs w:val="24"/>
          <w:lang w:val="en-US" w:eastAsia="zh-CN"/>
        </w:rPr>
      </w:pPr>
      <w:bookmarkStart w:id="23" w:name="_Toc6462"/>
      <w:bookmarkStart w:id="24" w:name="_Toc25190"/>
      <w:bookmarkStart w:id="25" w:name="_Toc15576"/>
      <w:bookmarkStart w:id="26" w:name="_Toc22399"/>
      <w:bookmarkStart w:id="27" w:name="_Toc15727"/>
      <w:bookmarkStart w:id="28" w:name="_Toc1790"/>
      <w:bookmarkStart w:id="29" w:name="_Toc19437"/>
      <w:bookmarkStart w:id="30" w:name="_Toc317775178"/>
      <w:bookmarkStart w:id="31" w:name="_Toc373860293"/>
    </w:p>
    <w:p>
      <w:pPr>
        <w:pStyle w:val="4"/>
        <w:spacing w:before="0" w:after="0" w:line="312" w:lineRule="auto"/>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二、资金来源</w:t>
      </w:r>
    </w:p>
    <w:p>
      <w:pPr>
        <w:pStyle w:val="4"/>
        <w:spacing w:before="0" w:after="0" w:line="312" w:lineRule="auto"/>
        <w:ind w:firstLine="480" w:firstLineChars="200"/>
        <w:rPr>
          <w:rFonts w:hint="eastAsia" w:ascii="仿宋" w:hAnsi="仿宋" w:eastAsia="仿宋" w:cs="仿宋"/>
          <w:b w:val="0"/>
          <w:bCs/>
          <w:i w:val="0"/>
          <w:iCs w:val="0"/>
          <w:color w:val="auto"/>
          <w:sz w:val="24"/>
          <w:szCs w:val="24"/>
        </w:rPr>
      </w:pPr>
      <w:r>
        <w:rPr>
          <w:rFonts w:hint="eastAsia" w:ascii="仿宋" w:hAnsi="仿宋" w:eastAsia="仿宋" w:cs="仿宋"/>
          <w:b w:val="0"/>
          <w:bCs/>
          <w:i w:val="0"/>
          <w:iCs w:val="0"/>
          <w:color w:val="auto"/>
          <w:sz w:val="24"/>
          <w:szCs w:val="24"/>
        </w:rPr>
        <w:t>财政预算资金，预算金额为</w:t>
      </w:r>
      <w:r>
        <w:rPr>
          <w:rFonts w:hint="eastAsia" w:ascii="仿宋" w:hAnsi="仿宋" w:eastAsia="仿宋" w:cs="仿宋"/>
          <w:b w:val="0"/>
          <w:bCs/>
          <w:i w:val="0"/>
          <w:iCs w:val="0"/>
          <w:color w:val="auto"/>
          <w:sz w:val="24"/>
          <w:szCs w:val="24"/>
          <w:lang w:val="en-US" w:eastAsia="zh-CN"/>
        </w:rPr>
        <w:t>20</w:t>
      </w:r>
      <w:r>
        <w:rPr>
          <w:rFonts w:hint="eastAsia" w:ascii="仿宋" w:hAnsi="仿宋" w:eastAsia="仿宋" w:cs="仿宋"/>
          <w:b w:val="0"/>
          <w:bCs/>
          <w:i w:val="0"/>
          <w:iCs w:val="0"/>
          <w:color w:val="auto"/>
          <w:sz w:val="24"/>
          <w:szCs w:val="24"/>
        </w:rPr>
        <w:t>万元。</w:t>
      </w:r>
    </w:p>
    <w:p>
      <w:pPr>
        <w:rPr>
          <w:rFonts w:hint="eastAsia"/>
          <w:color w:val="auto"/>
        </w:rPr>
      </w:pPr>
    </w:p>
    <w:p>
      <w:pPr>
        <w:pStyle w:val="4"/>
        <w:spacing w:before="0" w:after="0"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三</w:t>
      </w:r>
      <w:r>
        <w:rPr>
          <w:rFonts w:hint="eastAsia" w:ascii="仿宋" w:hAnsi="仿宋" w:eastAsia="仿宋" w:cs="仿宋"/>
          <w:i w:val="0"/>
          <w:iCs w:val="0"/>
          <w:color w:val="auto"/>
          <w:sz w:val="24"/>
          <w:szCs w:val="24"/>
        </w:rPr>
        <w:t>、</w:t>
      </w:r>
      <w:bookmarkEnd w:id="23"/>
      <w:bookmarkEnd w:id="24"/>
      <w:bookmarkEnd w:id="25"/>
      <w:bookmarkEnd w:id="26"/>
      <w:bookmarkEnd w:id="27"/>
      <w:bookmarkEnd w:id="28"/>
      <w:bookmarkEnd w:id="29"/>
      <w:r>
        <w:rPr>
          <w:rFonts w:hint="eastAsia" w:ascii="仿宋" w:hAnsi="仿宋" w:eastAsia="仿宋" w:cs="仿宋"/>
          <w:i w:val="0"/>
          <w:iCs w:val="0"/>
          <w:color w:val="auto"/>
          <w:sz w:val="24"/>
          <w:szCs w:val="24"/>
          <w:lang w:val="en-US" w:eastAsia="zh-CN"/>
        </w:rPr>
        <w:t>竞采</w:t>
      </w:r>
      <w:r>
        <w:rPr>
          <w:rFonts w:hint="eastAsia" w:ascii="仿宋" w:hAnsi="仿宋" w:eastAsia="仿宋" w:cs="仿宋"/>
          <w:i w:val="0"/>
          <w:iCs w:val="0"/>
          <w:color w:val="auto"/>
          <w:sz w:val="24"/>
          <w:szCs w:val="24"/>
        </w:rPr>
        <w:t>资格条件</w:t>
      </w:r>
    </w:p>
    <w:p>
      <w:pPr>
        <w:ind w:firstLine="480" w:firstLineChars="200"/>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基本条件</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满足《中华人民共和国政府采购法》第二十二条规定</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rPr>
        <w:t>　</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1、</w:t>
      </w:r>
      <w:r>
        <w:rPr>
          <w:rFonts w:hint="eastAsia" w:ascii="仿宋" w:hAnsi="仿宋" w:eastAsia="仿宋" w:cs="仿宋"/>
          <w:i w:val="0"/>
          <w:iCs w:val="0"/>
          <w:color w:val="auto"/>
          <w:sz w:val="24"/>
          <w:szCs w:val="24"/>
        </w:rPr>
        <w:t>法人或者其他组织的营业执照等证明文件，自然人的身份证明；</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2、</w:t>
      </w:r>
      <w:r>
        <w:rPr>
          <w:rFonts w:hint="eastAsia" w:ascii="仿宋" w:hAnsi="仿宋" w:eastAsia="仿宋" w:cs="仿宋"/>
          <w:i w:val="0"/>
          <w:iCs w:val="0"/>
          <w:color w:val="auto"/>
          <w:sz w:val="24"/>
          <w:szCs w:val="24"/>
        </w:rPr>
        <w:t>财务状况报告，依法缴纳税收和社会保障资金的相关材料；</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3、</w:t>
      </w:r>
      <w:r>
        <w:rPr>
          <w:rFonts w:hint="eastAsia" w:ascii="仿宋" w:hAnsi="仿宋" w:eastAsia="仿宋" w:cs="仿宋"/>
          <w:i w:val="0"/>
          <w:iCs w:val="0"/>
          <w:color w:val="auto"/>
          <w:sz w:val="24"/>
          <w:szCs w:val="24"/>
        </w:rPr>
        <w:t>具备履行合同所必需的设备和专业技术能力的证明材料；</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4、</w:t>
      </w:r>
      <w:r>
        <w:rPr>
          <w:rFonts w:hint="eastAsia" w:ascii="仿宋" w:hAnsi="仿宋" w:eastAsia="仿宋" w:cs="仿宋"/>
          <w:i w:val="0"/>
          <w:iCs w:val="0"/>
          <w:color w:val="auto"/>
          <w:sz w:val="24"/>
          <w:szCs w:val="24"/>
        </w:rPr>
        <w:t>参加政府采购活动前3年内在经营活动中没有重大违法记录的书面声明；</w:t>
      </w:r>
    </w:p>
    <w:p>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5、</w:t>
      </w:r>
      <w:r>
        <w:rPr>
          <w:rFonts w:hint="eastAsia" w:ascii="仿宋" w:hAnsi="仿宋" w:eastAsia="仿宋" w:cs="仿宋"/>
          <w:i w:val="0"/>
          <w:iCs w:val="0"/>
          <w:color w:val="auto"/>
          <w:sz w:val="24"/>
          <w:szCs w:val="24"/>
        </w:rPr>
        <w:t>具备法律、行政法规规定的其他条件的证明材料。</w:t>
      </w:r>
    </w:p>
    <w:p>
      <w:pPr>
        <w:ind w:firstLine="480" w:firstLineChars="200"/>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根据</w:t>
      </w:r>
      <w:r>
        <w:rPr>
          <w:rFonts w:hint="eastAsia" w:ascii="仿宋" w:hAnsi="仿宋" w:eastAsia="仿宋" w:cs="仿宋"/>
          <w:i w:val="0"/>
          <w:iCs w:val="0"/>
          <w:color w:val="auto"/>
          <w:sz w:val="24"/>
          <w:szCs w:val="24"/>
        </w:rPr>
        <w:t>渝财规〔2022〕4号</w:t>
      </w:r>
      <w:r>
        <w:rPr>
          <w:rFonts w:hint="eastAsia" w:ascii="仿宋" w:hAnsi="仿宋" w:eastAsia="仿宋" w:cs="仿宋"/>
          <w:i w:val="0"/>
          <w:iCs w:val="0"/>
          <w:color w:val="auto"/>
          <w:sz w:val="24"/>
          <w:szCs w:val="24"/>
          <w:lang w:eastAsia="zh-CN"/>
        </w:rPr>
        <w:t>，供应商在参与政府采购项目投标时，可对</w:t>
      </w:r>
      <w:r>
        <w:rPr>
          <w:rFonts w:hint="eastAsia" w:ascii="仿宋" w:hAnsi="仿宋" w:eastAsia="仿宋" w:cs="仿宋"/>
          <w:i w:val="0"/>
          <w:iCs w:val="0"/>
          <w:color w:val="auto"/>
          <w:sz w:val="24"/>
          <w:szCs w:val="24"/>
          <w:lang w:val="en-US" w:eastAsia="zh-CN"/>
        </w:rPr>
        <w:t>上述第2、3、4</w:t>
      </w:r>
      <w:r>
        <w:rPr>
          <w:rFonts w:hint="eastAsia" w:ascii="仿宋" w:hAnsi="仿宋" w:eastAsia="仿宋" w:cs="仿宋"/>
          <w:i w:val="0"/>
          <w:iCs w:val="0"/>
          <w:color w:val="auto"/>
          <w:sz w:val="24"/>
          <w:szCs w:val="24"/>
          <w:lang w:eastAsia="zh-CN"/>
        </w:rPr>
        <w:t>项所要求提供的相关材料进行简化。简化后，供应商只需以书面形式提供规定格式的《基本资格条件承诺函》（详见</w:t>
      </w:r>
      <w:r>
        <w:rPr>
          <w:rFonts w:hint="eastAsia" w:ascii="仿宋" w:hAnsi="仿宋" w:eastAsia="仿宋" w:cs="仿宋"/>
          <w:i w:val="0"/>
          <w:iCs w:val="0"/>
          <w:color w:val="auto"/>
          <w:sz w:val="24"/>
          <w:szCs w:val="24"/>
          <w:lang w:val="en-US" w:eastAsia="zh-CN"/>
        </w:rPr>
        <w:t>第七篇</w:t>
      </w:r>
      <w:r>
        <w:rPr>
          <w:rFonts w:hint="eastAsia" w:ascii="仿宋" w:hAnsi="仿宋" w:eastAsia="仿宋" w:cs="仿宋"/>
          <w:i w:val="0"/>
          <w:iCs w:val="0"/>
          <w:color w:val="auto"/>
          <w:sz w:val="24"/>
          <w:szCs w:val="24"/>
          <w:lang w:eastAsia="zh-CN"/>
        </w:rPr>
        <w:t>）</w:t>
      </w:r>
    </w:p>
    <w:p>
      <w:pPr>
        <w:pStyle w:val="6"/>
        <w:rPr>
          <w:rFonts w:hint="eastAsia" w:ascii="仿宋" w:hAnsi="仿宋" w:eastAsia="仿宋" w:cs="仿宋"/>
          <w:color w:val="auto"/>
          <w:sz w:val="24"/>
          <w:szCs w:val="24"/>
          <w:lang w:eastAsia="zh-CN"/>
        </w:rPr>
      </w:pPr>
    </w:p>
    <w:bookmarkEnd w:id="30"/>
    <w:bookmarkEnd w:id="31"/>
    <w:p>
      <w:pPr>
        <w:numPr>
          <w:ilvl w:val="0"/>
          <w:numId w:val="0"/>
        </w:numPr>
        <w:snapToGrid w:val="0"/>
        <w:spacing w:line="360" w:lineRule="auto"/>
        <w:rPr>
          <w:color w:val="auto"/>
        </w:rPr>
      </w:pPr>
    </w:p>
    <w:p>
      <w:pPr>
        <w:numPr>
          <w:ilvl w:val="0"/>
          <w:numId w:val="0"/>
        </w:numPr>
        <w:spacing w:line="360" w:lineRule="auto"/>
        <w:rPr>
          <w:rFonts w:ascii="仿宋" w:hAnsi="仿宋" w:eastAsia="仿宋"/>
          <w:b/>
          <w:bCs/>
          <w:color w:val="auto"/>
          <w:sz w:val="24"/>
          <w:szCs w:val="24"/>
        </w:rPr>
      </w:pPr>
      <w:r>
        <w:rPr>
          <w:rFonts w:hint="eastAsia" w:ascii="仿宋" w:hAnsi="仿宋" w:eastAsia="仿宋" w:cs="仿宋"/>
          <w:b/>
          <w:bCs/>
          <w:color w:val="auto"/>
          <w:sz w:val="24"/>
          <w:szCs w:val="24"/>
          <w:lang w:val="en-US" w:eastAsia="zh-CN"/>
        </w:rPr>
        <w:t>四、竞采有关说明</w:t>
      </w:r>
    </w:p>
    <w:p>
      <w:pPr>
        <w:spacing w:line="36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w:t>
      </w:r>
      <w:r>
        <w:rPr>
          <w:rFonts w:hint="eastAsia" w:ascii="仿宋" w:hAnsi="仿宋" w:eastAsia="仿宋"/>
          <w:color w:val="auto"/>
          <w:sz w:val="24"/>
          <w:szCs w:val="24"/>
          <w:lang w:eastAsia="zh-CN"/>
        </w:rPr>
        <w:t>一</w:t>
      </w:r>
      <w:r>
        <w:rPr>
          <w:rFonts w:hint="eastAsia" w:ascii="仿宋" w:hAnsi="仿宋" w:eastAsia="仿宋"/>
          <w:color w:val="auto"/>
          <w:sz w:val="24"/>
          <w:szCs w:val="24"/>
        </w:rPr>
        <w:t>）凡有意参加采购的供应商，请在</w:t>
      </w:r>
      <w:r>
        <w:rPr>
          <w:rFonts w:hint="eastAsia" w:ascii="仿宋" w:hAnsi="仿宋" w:eastAsia="仿宋" w:cs="仿宋"/>
          <w:color w:val="auto"/>
          <w:sz w:val="24"/>
          <w:szCs w:val="24"/>
          <w:highlight w:val="none"/>
        </w:rPr>
        <w:t>“行采家采购服务平台(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"https://www.gec123.com/login-app/login" \t "_blank"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https://www.gec123.com/login-app/login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olor w:val="auto"/>
          <w:sz w:val="24"/>
          <w:szCs w:val="24"/>
        </w:rPr>
        <w:t>上下载本项目网上竞采文件以及</w:t>
      </w:r>
      <w:r>
        <w:rPr>
          <w:rFonts w:hint="eastAsia" w:ascii="仿宋" w:hAnsi="仿宋" w:eastAsia="仿宋"/>
          <w:color w:val="auto"/>
          <w:sz w:val="24"/>
          <w:szCs w:val="24"/>
          <w:lang w:val="en-US" w:eastAsia="zh-CN"/>
        </w:rPr>
        <w:t>变更</w:t>
      </w:r>
      <w:r>
        <w:rPr>
          <w:rFonts w:hint="eastAsia" w:ascii="仿宋" w:hAnsi="仿宋" w:eastAsia="仿宋"/>
          <w:color w:val="auto"/>
          <w:sz w:val="24"/>
          <w:szCs w:val="24"/>
        </w:rPr>
        <w:t>等采购前公布的所有项目资料，无论供应商下载与否，均视为已知晓所有采购实质性要求内容</w:t>
      </w:r>
      <w:r>
        <w:rPr>
          <w:rFonts w:hint="eastAsia" w:ascii="仿宋" w:hAnsi="仿宋" w:eastAsia="仿宋"/>
          <w:color w:val="auto"/>
          <w:sz w:val="24"/>
          <w:szCs w:val="24"/>
          <w:lang w:eastAsia="zh-CN"/>
        </w:rPr>
        <w:t>。</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eastAsia="zh-CN"/>
        </w:rPr>
        <w:t>二</w:t>
      </w:r>
      <w:r>
        <w:rPr>
          <w:rFonts w:hint="eastAsia" w:ascii="仿宋" w:hAnsi="仿宋" w:eastAsia="仿宋"/>
          <w:color w:val="auto"/>
          <w:sz w:val="24"/>
          <w:szCs w:val="24"/>
        </w:rPr>
        <w:t>）线上报价</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1.线上报价时间：按本项目网上公告规定的报价截止时间为准。</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2.线上报价要求：按本项目规定的时间在</w:t>
      </w:r>
      <w:r>
        <w:rPr>
          <w:rFonts w:hint="eastAsia" w:ascii="仿宋" w:hAnsi="仿宋" w:eastAsia="仿宋" w:cs="仿宋"/>
          <w:color w:val="auto"/>
          <w:sz w:val="24"/>
          <w:szCs w:val="24"/>
          <w:highlight w:val="none"/>
        </w:rPr>
        <w:t>“行采家采购服务平台(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"https://www.gec123.com/login-app/login" \t "_blank"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https://www.gec123.com/login-app/login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w:t>
      </w:r>
      <w:r>
        <w:rPr>
          <w:rFonts w:hint="eastAsia" w:ascii="仿宋" w:hAnsi="仿宋" w:eastAsia="仿宋"/>
          <w:color w:val="auto"/>
          <w:sz w:val="24"/>
          <w:szCs w:val="24"/>
        </w:rPr>
        <w:t>进行网上报价。</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eastAsia="zh-CN"/>
        </w:rPr>
        <w:t>三</w:t>
      </w:r>
      <w:r>
        <w:rPr>
          <w:rFonts w:hint="eastAsia" w:ascii="仿宋" w:hAnsi="仿宋" w:eastAsia="仿宋"/>
          <w:color w:val="auto"/>
          <w:sz w:val="24"/>
          <w:szCs w:val="24"/>
        </w:rPr>
        <w:t>）</w:t>
      </w:r>
      <w:r>
        <w:rPr>
          <w:rFonts w:hint="eastAsia" w:ascii="华文仿宋" w:hAnsi="华文仿宋" w:eastAsia="华文仿宋" w:cs="仿宋"/>
          <w:bCs/>
          <w:color w:val="auto"/>
          <w:sz w:val="24"/>
          <w:szCs w:val="24"/>
        </w:rPr>
        <w:t>供应商须在平台上报价并按要求上传响应文件，未按要求提供的为无效供应商。</w:t>
      </w:r>
    </w:p>
    <w:p>
      <w:pPr>
        <w:spacing w:line="400" w:lineRule="exact"/>
        <w:ind w:firstLine="480" w:firstLineChars="200"/>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rPr>
        <w:t>备注：</w:t>
      </w:r>
    </w:p>
    <w:p>
      <w:pPr>
        <w:spacing w:line="400" w:lineRule="exact"/>
        <w:ind w:firstLine="480" w:firstLineChars="200"/>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rPr>
        <w:t>1.供应商线上报价时须上传响应文件一份。</w:t>
      </w:r>
    </w:p>
    <w:p>
      <w:pPr>
        <w:spacing w:line="400" w:lineRule="exact"/>
        <w:ind w:firstLine="480" w:firstLineChars="200"/>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rPr>
        <w:t>2.采购人将以平台的线上资料作为评判依据。</w:t>
      </w:r>
    </w:p>
    <w:p>
      <w:pPr>
        <w:spacing w:line="400" w:lineRule="exact"/>
        <w:ind w:firstLine="480" w:firstLineChars="200"/>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rPr>
        <w:t>3.供应商上传的响应文件应按照响应文件编制要求制作，规定签字、盖章的地方必须按规定签字、盖章，未按要求制作响应文件的作无效标处理。</w:t>
      </w:r>
    </w:p>
    <w:p>
      <w:pPr>
        <w:snapToGrid w:val="0"/>
        <w:spacing w:line="360" w:lineRule="auto"/>
        <w:ind w:firstLine="480" w:firstLineChars="200"/>
        <w:rPr>
          <w:rFonts w:ascii="仿宋" w:hAnsi="仿宋" w:eastAsia="仿宋"/>
          <w:color w:val="auto"/>
          <w:sz w:val="24"/>
          <w:szCs w:val="24"/>
        </w:rPr>
      </w:pPr>
    </w:p>
    <w:p>
      <w:pPr>
        <w:snapToGrid w:val="0"/>
        <w:spacing w:line="360" w:lineRule="auto"/>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lang w:val="en-US" w:eastAsia="zh-CN"/>
        </w:rPr>
        <w:t>五</w:t>
      </w:r>
      <w:r>
        <w:rPr>
          <w:rFonts w:hint="eastAsia" w:ascii="仿宋" w:hAnsi="仿宋" w:eastAsia="仿宋" w:cs="仿宋"/>
          <w:b/>
          <w:bCs/>
          <w:i w:val="0"/>
          <w:iCs w:val="0"/>
          <w:color w:val="auto"/>
          <w:sz w:val="24"/>
          <w:szCs w:val="24"/>
        </w:rPr>
        <w:t>、</w:t>
      </w:r>
      <w:bookmarkStart w:id="32" w:name="_Toc25886"/>
      <w:bookmarkStart w:id="33" w:name="_Toc5085"/>
      <w:bookmarkStart w:id="34" w:name="_Toc11828"/>
      <w:bookmarkStart w:id="35" w:name="_Toc3475"/>
      <w:bookmarkStart w:id="36" w:name="_Toc27955"/>
      <w:bookmarkStart w:id="37" w:name="_Toc9654"/>
      <w:bookmarkStart w:id="38" w:name="_Toc20778"/>
      <w:bookmarkStart w:id="39" w:name="_Toc25516"/>
      <w:bookmarkStart w:id="40" w:name="_Toc14778"/>
      <w:bookmarkStart w:id="41" w:name="_Toc19730"/>
      <w:bookmarkStart w:id="42" w:name="_Toc9027"/>
      <w:bookmarkStart w:id="43" w:name="_Toc31315"/>
      <w:bookmarkStart w:id="44" w:name="_Toc13969"/>
      <w:bookmarkStart w:id="45" w:name="_Toc15478"/>
      <w:r>
        <w:rPr>
          <w:rFonts w:hint="eastAsia" w:ascii="仿宋" w:hAnsi="仿宋" w:eastAsia="仿宋" w:cs="仿宋"/>
          <w:b/>
          <w:bCs/>
          <w:i w:val="0"/>
          <w:iCs w:val="0"/>
          <w:color w:val="auto"/>
          <w:sz w:val="24"/>
          <w:szCs w:val="24"/>
        </w:rPr>
        <w:t>联系方式</w:t>
      </w:r>
      <w:bookmarkEnd w:id="32"/>
      <w:bookmarkEnd w:id="33"/>
      <w:bookmarkEnd w:id="34"/>
      <w:bookmarkEnd w:id="35"/>
      <w:bookmarkEnd w:id="36"/>
      <w:bookmarkEnd w:id="37"/>
      <w:bookmarkEnd w:id="38"/>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重庆市合川区农业农村委员会</w:t>
      </w:r>
    </w:p>
    <w:p>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谢老师</w:t>
      </w:r>
      <w:r>
        <w:rPr>
          <w:rFonts w:hint="eastAsia" w:ascii="仿宋" w:hAnsi="仿宋" w:eastAsia="仿宋" w:cs="仿宋"/>
          <w:color w:val="auto"/>
          <w:sz w:val="24"/>
          <w:szCs w:val="24"/>
          <w:highlight w:val="none"/>
          <w:lang w:val="en-US" w:eastAsia="zh-CN"/>
        </w:rPr>
        <w:tab/>
      </w:r>
    </w:p>
    <w:p>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eastAsia="zh-CN"/>
        </w:rPr>
        <w:t>42756650</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址：重庆市合川区南园路35号</w:t>
      </w:r>
    </w:p>
    <w:p>
      <w:pPr>
        <w:pStyle w:val="2"/>
        <w:rPr>
          <w:rFonts w:hint="eastAsia"/>
          <w:color w:val="auto"/>
          <w:lang w:val="en-US" w:eastAsia="zh-CN"/>
        </w:rPr>
      </w:pPr>
    </w:p>
    <w:p>
      <w:pPr>
        <w:pStyle w:val="4"/>
        <w:spacing w:before="0" w:after="0"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六</w:t>
      </w:r>
      <w:r>
        <w:rPr>
          <w:rFonts w:hint="eastAsia" w:ascii="仿宋" w:hAnsi="仿宋" w:eastAsia="仿宋" w:cs="仿宋"/>
          <w:i w:val="0"/>
          <w:iCs w:val="0"/>
          <w:color w:val="auto"/>
          <w:sz w:val="24"/>
          <w:szCs w:val="24"/>
        </w:rPr>
        <w:t>、</w:t>
      </w:r>
      <w:bookmarkEnd w:id="39"/>
      <w:bookmarkEnd w:id="40"/>
      <w:bookmarkEnd w:id="41"/>
      <w:bookmarkEnd w:id="42"/>
      <w:bookmarkEnd w:id="43"/>
      <w:bookmarkEnd w:id="44"/>
      <w:bookmarkEnd w:id="45"/>
      <w:r>
        <w:rPr>
          <w:rFonts w:hint="eastAsia" w:ascii="仿宋" w:hAnsi="仿宋" w:eastAsia="仿宋" w:cs="仿宋"/>
          <w:i w:val="0"/>
          <w:iCs w:val="0"/>
          <w:color w:val="auto"/>
          <w:sz w:val="24"/>
          <w:szCs w:val="24"/>
        </w:rPr>
        <w:t>其它有关规定</w:t>
      </w:r>
    </w:p>
    <w:p>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（一）单位负责人为同一人或者存在直接控股、管理关系的不同供应商，不得参加同一合同项（分包）下的</w:t>
      </w:r>
      <w:r>
        <w:rPr>
          <w:rFonts w:hint="eastAsia" w:ascii="仿宋" w:hAnsi="仿宋" w:eastAsia="仿宋" w:cs="仿宋"/>
          <w:color w:val="auto"/>
          <w:sz w:val="24"/>
          <w:szCs w:val="24"/>
          <w:lang w:val="en-US" w:eastAsia="zh-CN"/>
        </w:rPr>
        <w:t>竞</w:t>
      </w:r>
      <w:r>
        <w:rPr>
          <w:rFonts w:hint="eastAsia" w:ascii="仿宋" w:hAnsi="仿宋" w:eastAsia="仿宋" w:cs="仿宋"/>
          <w:color w:val="auto"/>
          <w:sz w:val="24"/>
          <w:szCs w:val="24"/>
        </w:rPr>
        <w:t>采活动，否则均为无效响应。</w:t>
      </w:r>
    </w:p>
    <w:p>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（三）本项目的</w:t>
      </w:r>
      <w:r>
        <w:rPr>
          <w:rFonts w:hint="eastAsia" w:ascii="仿宋" w:hAnsi="仿宋" w:eastAsia="仿宋" w:cs="仿宋"/>
          <w:color w:val="auto"/>
          <w:sz w:val="24"/>
          <w:szCs w:val="24"/>
          <w:lang w:val="en-US" w:eastAsia="zh-CN"/>
        </w:rPr>
        <w:t>变更等</w:t>
      </w:r>
      <w:r>
        <w:rPr>
          <w:rFonts w:hint="eastAsia" w:ascii="仿宋" w:hAnsi="仿宋" w:eastAsia="仿宋" w:cs="仿宋"/>
          <w:color w:val="auto"/>
          <w:sz w:val="24"/>
          <w:szCs w:val="24"/>
        </w:rPr>
        <w:t>文件（如果有）一律在“重庆市政府采购云平台•网上竞采”上发布，请各供应商注意下载；无论供应商下载与否，均视同供应商已知晓本项目澄清文件（如果有）的内容。</w:t>
      </w:r>
    </w:p>
    <w:p>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（四）超过响应文件截止时间递交的响应文件，恕不接收。</w:t>
      </w:r>
    </w:p>
    <w:p>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（五）竞采费用：无论竞采结果如何，供应商参与本项目竞采的所有</w:t>
      </w:r>
      <w:r>
        <w:rPr>
          <w:rFonts w:hint="eastAsia" w:ascii="仿宋" w:hAnsi="仿宋" w:eastAsia="仿宋" w:cs="仿宋"/>
          <w:color w:val="auto"/>
          <w:sz w:val="24"/>
          <w:szCs w:val="24"/>
          <w:lang w:val="en-US" w:eastAsia="zh-CN"/>
        </w:rPr>
        <w:t>成本</w:t>
      </w:r>
      <w:r>
        <w:rPr>
          <w:rFonts w:hint="eastAsia" w:ascii="仿宋" w:hAnsi="仿宋" w:eastAsia="仿宋" w:cs="仿宋"/>
          <w:color w:val="auto"/>
          <w:sz w:val="24"/>
          <w:szCs w:val="24"/>
        </w:rPr>
        <w:t>费用均应由供应商自行承担。</w:t>
      </w:r>
    </w:p>
    <w:p>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（六）</w:t>
      </w:r>
      <w:r>
        <w:rPr>
          <w:rFonts w:hint="eastAsia" w:ascii="仿宋" w:hAnsi="仿宋" w:eastAsia="仿宋" w:cs="仿宋"/>
          <w:b/>
          <w:color w:val="auto"/>
          <w:sz w:val="24"/>
          <w:szCs w:val="24"/>
        </w:rPr>
        <w:t>本项目不接受联合体参与竞采。</w:t>
      </w:r>
    </w:p>
    <w:p>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（七）</w:t>
      </w:r>
      <w:r>
        <w:rPr>
          <w:rFonts w:hint="eastAsia" w:ascii="仿宋" w:hAnsi="仿宋" w:eastAsia="仿宋" w:cs="仿宋"/>
          <w:color w:val="auto"/>
          <w:sz w:val="24"/>
          <w:szCs w:val="24"/>
          <w:lang w:val="en-US" w:eastAsia="zh-CN"/>
        </w:rPr>
        <w:t>参</w:t>
      </w:r>
      <w:r>
        <w:rPr>
          <w:rFonts w:hint="eastAsia" w:ascii="仿宋" w:hAnsi="仿宋" w:eastAsia="仿宋" w:cs="仿宋"/>
          <w:color w:val="auto"/>
          <w:sz w:val="24"/>
          <w:szCs w:val="24"/>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b/>
          <w:bCs/>
          <w:color w:val="auto"/>
          <w:sz w:val="24"/>
          <w:szCs w:val="24"/>
          <w:lang w:val="en-US" w:eastAsia="zh-CN"/>
        </w:rPr>
        <w:t>或违反云平台相关规则、规定的供应商</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将拒绝其参与</w:t>
      </w:r>
      <w:r>
        <w:rPr>
          <w:rFonts w:hint="eastAsia" w:ascii="仿宋" w:hAnsi="仿宋" w:eastAsia="仿宋" w:cs="仿宋"/>
          <w:color w:val="auto"/>
          <w:sz w:val="24"/>
          <w:szCs w:val="24"/>
          <w:lang w:val="en-US" w:eastAsia="zh-CN"/>
        </w:rPr>
        <w:t>网上竞采</w:t>
      </w:r>
      <w:r>
        <w:rPr>
          <w:rFonts w:hint="eastAsia" w:ascii="仿宋" w:hAnsi="仿宋" w:eastAsia="仿宋" w:cs="仿宋"/>
          <w:color w:val="auto"/>
          <w:sz w:val="24"/>
          <w:szCs w:val="24"/>
        </w:rPr>
        <w:t>活动。</w:t>
      </w:r>
    </w:p>
    <w:p>
      <w:pPr>
        <w:pStyle w:val="6"/>
        <w:rPr>
          <w:rFonts w:hint="eastAsia" w:ascii="仿宋" w:hAnsi="仿宋" w:eastAsia="仿宋" w:cs="仿宋"/>
          <w:color w:val="auto"/>
          <w:sz w:val="24"/>
          <w:szCs w:val="24"/>
        </w:rPr>
      </w:pPr>
    </w:p>
    <w:p>
      <w:pPr>
        <w:snapToGrid w:val="0"/>
        <w:spacing w:line="360" w:lineRule="auto"/>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lang w:val="en-US" w:eastAsia="zh-CN"/>
        </w:rPr>
        <w:t>七</w:t>
      </w:r>
      <w:r>
        <w:rPr>
          <w:rFonts w:hint="eastAsia" w:ascii="仿宋" w:hAnsi="仿宋" w:eastAsia="仿宋" w:cs="仿宋"/>
          <w:b/>
          <w:bCs/>
          <w:i w:val="0"/>
          <w:iCs w:val="0"/>
          <w:color w:val="auto"/>
          <w:sz w:val="24"/>
          <w:szCs w:val="24"/>
        </w:rPr>
        <w:t>、供应商提交响应文件</w:t>
      </w:r>
    </w:p>
    <w:p>
      <w:pPr>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1、供应商线上报名、报价时需上传盖章后的电子文档一份。</w:t>
      </w:r>
    </w:p>
    <w:p>
      <w:pPr>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2、采购人将以平台的线上资料作为评判依据。</w:t>
      </w:r>
    </w:p>
    <w:p>
      <w:pPr>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3、供应商制作的响应文件电子文档，须按照要求制作，规定签字、盖章的地方必须按其规定签字、盖章，未按要求制作响应文件的进行废标处理。</w:t>
      </w:r>
    </w:p>
    <w:p>
      <w:pPr>
        <w:jc w:val="both"/>
        <w:rPr>
          <w:rFonts w:hint="eastAsia" w:ascii="仿宋" w:hAnsi="仿宋" w:eastAsia="仿宋" w:cs="仿宋"/>
          <w:b/>
          <w:bCs/>
          <w:i w:val="0"/>
          <w:iCs w:val="0"/>
          <w:color w:val="auto"/>
          <w:sz w:val="36"/>
          <w:szCs w:val="36"/>
        </w:rPr>
      </w:pPr>
      <w:bookmarkStart w:id="46" w:name="_Toc76462324"/>
      <w:bookmarkStart w:id="47" w:name="_Toc106030878"/>
    </w:p>
    <w:p>
      <w:pPr>
        <w:jc w:val="center"/>
        <w:rPr>
          <w:rFonts w:hint="eastAsia" w:ascii="仿宋" w:hAnsi="仿宋" w:eastAsia="仿宋" w:cs="仿宋"/>
          <w:b/>
          <w:bCs/>
          <w:i w:val="0"/>
          <w:iCs w:val="0"/>
          <w:color w:val="auto"/>
          <w:sz w:val="36"/>
          <w:szCs w:val="36"/>
        </w:rPr>
      </w:pPr>
      <w:r>
        <w:rPr>
          <w:rFonts w:hint="eastAsia" w:ascii="仿宋" w:hAnsi="仿宋" w:eastAsia="仿宋" w:cs="仿宋"/>
          <w:b/>
          <w:bCs/>
          <w:i w:val="0"/>
          <w:iCs w:val="0"/>
          <w:color w:val="auto"/>
          <w:sz w:val="36"/>
          <w:szCs w:val="36"/>
        </w:rPr>
        <w:t>第二篇  项目服务需求</w:t>
      </w:r>
      <w:bookmarkEnd w:id="46"/>
      <w:bookmarkEnd w:id="47"/>
    </w:p>
    <w:p>
      <w:pPr>
        <w:jc w:val="left"/>
        <w:rPr>
          <w:rFonts w:hint="eastAsia" w:ascii="仿宋" w:hAnsi="仿宋" w:eastAsia="仿宋" w:cs="仿宋"/>
          <w:b/>
          <w:bCs/>
          <w:color w:val="auto"/>
          <w:sz w:val="24"/>
          <w:szCs w:val="24"/>
          <w:highlight w:val="none"/>
          <w:u w:val="single"/>
        </w:rPr>
      </w:pPr>
      <w:bookmarkStart w:id="48" w:name="_Toc76462325"/>
      <w:bookmarkStart w:id="49" w:name="_Toc12789058"/>
    </w:p>
    <w:p>
      <w:pPr>
        <w:jc w:val="left"/>
        <w:rPr>
          <w:rFonts w:hint="eastAsia"/>
          <w:color w:val="auto"/>
        </w:rPr>
      </w:pPr>
      <w:r>
        <w:rPr>
          <w:rFonts w:hint="eastAsia" w:ascii="仿宋" w:hAnsi="仿宋" w:eastAsia="仿宋" w:cs="仿宋"/>
          <w:b/>
          <w:bCs/>
          <w:color w:val="auto"/>
          <w:sz w:val="24"/>
          <w:szCs w:val="24"/>
          <w:highlight w:val="none"/>
          <w:u w:val="single"/>
        </w:rPr>
        <w:t>本篇</w:t>
      </w:r>
      <w:r>
        <w:rPr>
          <w:rFonts w:hint="eastAsia" w:ascii="仿宋" w:hAnsi="仿宋" w:eastAsia="仿宋" w:cs="仿宋"/>
          <w:b/>
          <w:bCs/>
          <w:color w:val="auto"/>
          <w:sz w:val="24"/>
          <w:szCs w:val="24"/>
          <w:highlight w:val="none"/>
          <w:u w:val="single"/>
          <w:lang w:val="en-US" w:eastAsia="zh-CN"/>
        </w:rPr>
        <w:t>服务</w:t>
      </w:r>
      <w:r>
        <w:rPr>
          <w:rFonts w:hint="eastAsia" w:ascii="仿宋" w:hAnsi="仿宋" w:eastAsia="仿宋" w:cs="仿宋"/>
          <w:b/>
          <w:bCs/>
          <w:color w:val="auto"/>
          <w:sz w:val="24"/>
          <w:szCs w:val="24"/>
          <w:highlight w:val="none"/>
          <w:u w:val="single"/>
        </w:rPr>
        <w:t>需求为符合性审查中的实质性要求，响应文件若不满足按无效处理。</w:t>
      </w:r>
    </w:p>
    <w:p>
      <w:pPr>
        <w:jc w:val="left"/>
        <w:rPr>
          <w:rFonts w:hint="eastAsia" w:ascii="仿宋" w:hAnsi="仿宋" w:eastAsia="仿宋" w:cs="仿宋"/>
          <w:i w:val="0"/>
          <w:iCs w:val="0"/>
          <w:color w:val="auto"/>
          <w:sz w:val="24"/>
          <w:szCs w:val="24"/>
        </w:rPr>
      </w:pPr>
      <w:bookmarkStart w:id="50" w:name="_Toc106030879"/>
      <w:r>
        <w:rPr>
          <w:rFonts w:hint="eastAsia" w:ascii="仿宋" w:hAnsi="仿宋" w:eastAsia="仿宋" w:cs="仿宋"/>
          <w:i w:val="0"/>
          <w:iCs w:val="0"/>
          <w:color w:val="auto"/>
          <w:sz w:val="24"/>
          <w:szCs w:val="24"/>
        </w:rPr>
        <w:t>一、项目基本概况介绍</w:t>
      </w:r>
      <w:bookmarkEnd w:id="48"/>
      <w:bookmarkEnd w:id="50"/>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2802" w:type="dxa"/>
            <w:noWrap w:val="0"/>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包号及名称</w:t>
            </w:r>
          </w:p>
        </w:tc>
        <w:tc>
          <w:tcPr>
            <w:tcW w:w="2268" w:type="dxa"/>
            <w:noWrap w:val="0"/>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数量/单位</w:t>
            </w:r>
          </w:p>
        </w:tc>
        <w:tc>
          <w:tcPr>
            <w:tcW w:w="4558" w:type="dxa"/>
            <w:noWrap w:val="0"/>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2025年</w:t>
            </w:r>
            <w:r>
              <w:rPr>
                <w:rFonts w:hint="eastAsia" w:ascii="仿宋" w:hAnsi="仿宋" w:eastAsia="仿宋" w:cs="仿宋"/>
                <w:i w:val="0"/>
                <w:iCs w:val="0"/>
                <w:color w:val="auto"/>
                <w:sz w:val="24"/>
                <w:szCs w:val="24"/>
              </w:rPr>
              <w:t>合川区化肥农药减量增效及绿色发展推广示范项目</w:t>
            </w:r>
          </w:p>
        </w:tc>
        <w:tc>
          <w:tcPr>
            <w:tcW w:w="2268" w:type="dxa"/>
            <w:noWrap w:val="0"/>
            <w:vAlign w:val="center"/>
          </w:tcPr>
          <w:p>
            <w:pPr>
              <w:jc w:val="center"/>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w:t>
            </w:r>
          </w:p>
        </w:tc>
        <w:tc>
          <w:tcPr>
            <w:tcW w:w="4558" w:type="dxa"/>
            <w:noWrap w:val="0"/>
            <w:vAlign w:val="center"/>
          </w:tcPr>
          <w:p>
            <w:pPr>
              <w:jc w:val="center"/>
              <w:rPr>
                <w:rFonts w:hint="eastAsia" w:ascii="仿宋" w:hAnsi="仿宋" w:eastAsia="仿宋" w:cs="仿宋"/>
                <w:i w:val="0"/>
                <w:iCs w:val="0"/>
                <w:color w:val="auto"/>
                <w:sz w:val="24"/>
                <w:szCs w:val="24"/>
              </w:rPr>
            </w:pPr>
          </w:p>
        </w:tc>
      </w:tr>
    </w:tbl>
    <w:p>
      <w:pPr>
        <w:jc w:val="left"/>
        <w:rPr>
          <w:rFonts w:hint="eastAsia" w:ascii="仿宋" w:hAnsi="仿宋" w:eastAsia="仿宋" w:cs="仿宋"/>
          <w:i w:val="0"/>
          <w:iCs w:val="0"/>
          <w:color w:val="auto"/>
          <w:sz w:val="24"/>
          <w:szCs w:val="24"/>
        </w:rPr>
      </w:pPr>
      <w:bookmarkStart w:id="51" w:name="_Toc106030880"/>
      <w:r>
        <w:rPr>
          <w:rFonts w:hint="eastAsia" w:ascii="仿宋" w:hAnsi="仿宋" w:eastAsia="仿宋" w:cs="仿宋"/>
          <w:i w:val="0"/>
          <w:iCs w:val="0"/>
          <w:color w:val="auto"/>
          <w:sz w:val="24"/>
          <w:szCs w:val="24"/>
        </w:rPr>
        <w:t>二、服务范围、要求及标准</w:t>
      </w:r>
      <w:bookmarkEnd w:id="51"/>
    </w:p>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1.服务范围：</w:t>
      </w:r>
      <w:r>
        <w:rPr>
          <w:rFonts w:hint="eastAsia" w:ascii="宋体" w:hAnsi="宋体" w:eastAsia="仿宋" w:cs="方正仿宋_GBK"/>
          <w:color w:val="auto"/>
          <w:sz w:val="24"/>
          <w:szCs w:val="24"/>
          <w:lang w:eastAsia="zh-CN"/>
        </w:rPr>
        <w:t>重庆市合川</w:t>
      </w:r>
      <w:r>
        <w:rPr>
          <w:rFonts w:hint="eastAsia" w:ascii="仿宋" w:hAnsi="仿宋" w:eastAsia="仿宋" w:cs="仿宋"/>
          <w:i w:val="0"/>
          <w:iCs w:val="0"/>
          <w:color w:val="auto"/>
          <w:sz w:val="24"/>
          <w:szCs w:val="24"/>
        </w:rPr>
        <w:t>区330家农药经营门店</w:t>
      </w:r>
    </w:p>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2.服务要求：</w:t>
      </w:r>
      <w:r>
        <w:rPr>
          <w:rFonts w:hint="eastAsia" w:ascii="仿宋" w:hAnsi="仿宋" w:eastAsia="仿宋" w:cs="仿宋"/>
          <w:i w:val="0"/>
          <w:iCs w:val="0"/>
          <w:color w:val="auto"/>
          <w:sz w:val="24"/>
          <w:szCs w:val="24"/>
          <w:lang w:eastAsia="zh-CN"/>
        </w:rPr>
        <w:t>对</w:t>
      </w:r>
      <w:r>
        <w:rPr>
          <w:rFonts w:hint="eastAsia" w:ascii="仿宋" w:hAnsi="仿宋" w:eastAsia="仿宋" w:cs="仿宋"/>
          <w:i w:val="0"/>
          <w:iCs w:val="0"/>
          <w:color w:val="auto"/>
          <w:sz w:val="24"/>
          <w:szCs w:val="24"/>
        </w:rPr>
        <w:t>已安装农药追溯系统进行维护，通过抽样调查统计出全区农药包装废弃物产生量和田间遗弃量；预计回收农药包装废弃物约</w:t>
      </w:r>
      <w:r>
        <w:rPr>
          <w:rFonts w:hint="eastAsia" w:ascii="仿宋" w:hAnsi="仿宋" w:eastAsia="仿宋" w:cs="仿宋"/>
          <w:i w:val="0"/>
          <w:iCs w:val="0"/>
          <w:color w:val="auto"/>
          <w:sz w:val="24"/>
          <w:szCs w:val="24"/>
          <w:lang w:val="en-US" w:eastAsia="zh-CN"/>
        </w:rPr>
        <w:t>25</w:t>
      </w:r>
      <w:r>
        <w:rPr>
          <w:rFonts w:hint="eastAsia" w:ascii="仿宋" w:hAnsi="仿宋" w:eastAsia="仿宋" w:cs="仿宋"/>
          <w:i w:val="0"/>
          <w:iCs w:val="0"/>
          <w:color w:val="auto"/>
          <w:sz w:val="24"/>
          <w:szCs w:val="24"/>
        </w:rPr>
        <w:t>吨以上，处置率100%；农民满意度85%以上。</w:t>
      </w:r>
    </w:p>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3.服务标准：</w:t>
      </w:r>
    </w:p>
    <w:p>
      <w:pPr>
        <w:tabs>
          <w:tab w:val="left" w:pos="3990"/>
        </w:tabs>
        <w:spacing w:line="360" w:lineRule="auto"/>
        <w:ind w:firstLine="480" w:firstLineChars="200"/>
        <w:rPr>
          <w:rFonts w:ascii="宋体" w:eastAsia="宋体" w:cs="方正仿宋_GBK"/>
          <w:color w:val="auto"/>
          <w:sz w:val="24"/>
          <w:szCs w:val="24"/>
        </w:rPr>
      </w:pPr>
      <w:bookmarkStart w:id="52" w:name="_Toc344475116"/>
      <w:bookmarkStart w:id="53" w:name="_Toc76462326"/>
      <w:bookmarkStart w:id="54" w:name="_Toc106030881"/>
      <w:bookmarkStart w:id="55" w:name="_Toc313536013"/>
    </w:p>
    <w:p>
      <w:pPr>
        <w:tabs>
          <w:tab w:val="left" w:pos="3990"/>
        </w:tabs>
        <w:spacing w:line="360" w:lineRule="auto"/>
        <w:jc w:val="center"/>
        <w:rPr>
          <w:rFonts w:ascii="宋体" w:cs="方正仿宋_GBK"/>
          <w:color w:val="auto"/>
          <w:sz w:val="24"/>
          <w:szCs w:val="24"/>
        </w:rPr>
      </w:pPr>
      <w:r>
        <w:rPr>
          <w:rFonts w:hint="eastAsia" w:ascii="宋体" w:hAnsi="宋体" w:cs="宋体"/>
          <w:b/>
          <w:color w:val="auto"/>
          <w:sz w:val="24"/>
          <w:szCs w:val="24"/>
        </w:rPr>
        <w:t>项目服务内容一览表</w:t>
      </w:r>
    </w:p>
    <w:tbl>
      <w:tblPr>
        <w:tblStyle w:val="15"/>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63"/>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16" w:type="dxa"/>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序号</w:t>
            </w:r>
          </w:p>
        </w:tc>
        <w:tc>
          <w:tcPr>
            <w:tcW w:w="1663"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名称</w:t>
            </w:r>
          </w:p>
        </w:tc>
        <w:tc>
          <w:tcPr>
            <w:tcW w:w="7355"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具体实施内容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16" w:type="dxa"/>
            <w:vAlign w:val="center"/>
          </w:tcPr>
          <w:p>
            <w:pPr>
              <w:jc w:val="center"/>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lang w:val="en-US" w:eastAsia="zh-CN"/>
              </w:rPr>
              <w:t>1</w:t>
            </w:r>
          </w:p>
        </w:tc>
        <w:tc>
          <w:tcPr>
            <w:tcW w:w="1663" w:type="dxa"/>
            <w:vAlign w:val="center"/>
          </w:tcPr>
          <w:p>
            <w:pPr>
              <w:jc w:val="center"/>
              <w:rPr>
                <w:rFonts w:hint="eastAsia" w:ascii="仿宋" w:hAnsi="仿宋" w:eastAsia="仿宋" w:cs="仿宋"/>
                <w:i w:val="0"/>
                <w:iCs w:val="0"/>
                <w:color w:val="auto"/>
                <w:sz w:val="24"/>
                <w:szCs w:val="24"/>
              </w:rPr>
            </w:pPr>
          </w:p>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回收</w:t>
            </w:r>
            <w:r>
              <w:rPr>
                <w:rFonts w:hint="eastAsia" w:ascii="仿宋" w:hAnsi="仿宋" w:eastAsia="仿宋" w:cs="仿宋"/>
                <w:i w:val="0"/>
                <w:iCs w:val="0"/>
                <w:color w:val="auto"/>
                <w:sz w:val="24"/>
                <w:szCs w:val="24"/>
                <w:lang w:eastAsia="zh-CN"/>
              </w:rPr>
              <w:t>体系</w:t>
            </w:r>
            <w:r>
              <w:rPr>
                <w:rFonts w:hint="eastAsia" w:ascii="仿宋" w:hAnsi="仿宋" w:eastAsia="仿宋" w:cs="仿宋"/>
                <w:i w:val="0"/>
                <w:iCs w:val="0"/>
                <w:color w:val="auto"/>
                <w:sz w:val="24"/>
                <w:szCs w:val="24"/>
              </w:rPr>
              <w:t>建设</w:t>
            </w:r>
          </w:p>
        </w:tc>
        <w:tc>
          <w:tcPr>
            <w:tcW w:w="7355" w:type="dxa"/>
            <w:vAlign w:val="center"/>
          </w:tcPr>
          <w:p>
            <w:pPr>
              <w:jc w:val="both"/>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在2024年已建立的回收站点基础上，对新增的农药经营门店配备1张回收制度牌、1张回收站标牌、10-20个双层防渗漏回收袋、2本台账簿，对已建成的回收点，每个回收点配备10-20个双层防渗漏专用回收袋，并对回收制度牌、回收站标牌、台账簿、回收桶有缺失损坏的进行补充，对用药量较大的种植经营大户回收点补充回收桶。</w:t>
            </w:r>
          </w:p>
          <w:p>
            <w:pPr>
              <w:jc w:val="both"/>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716" w:type="dxa"/>
            <w:vAlign w:val="center"/>
          </w:tcPr>
          <w:p>
            <w:pPr>
              <w:jc w:val="center"/>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lang w:val="en-US" w:eastAsia="zh-CN"/>
              </w:rPr>
              <w:t>2</w:t>
            </w:r>
          </w:p>
        </w:tc>
        <w:tc>
          <w:tcPr>
            <w:tcW w:w="1663"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收集及转运</w:t>
            </w:r>
          </w:p>
        </w:tc>
        <w:tc>
          <w:tcPr>
            <w:tcW w:w="7355" w:type="dxa"/>
            <w:vAlign w:val="center"/>
          </w:tcPr>
          <w:p>
            <w:pPr>
              <w:jc w:val="both"/>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采取定期到各回收站点上门回收的方式对全区所产生的农药包装废弃物进行回收，对各回收点回收的农药包装废弃物，按农药瓶、袋分类清点数量，比对台账，与各收集点确认数量后完善相关交接手续，督促农药经营门店按照销售数量精准回收农药包装废弃物，规模种植户按照农药使用数量精准回收农药包装废弃物，并转运至区级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16" w:type="dxa"/>
            <w:vAlign w:val="center"/>
          </w:tcPr>
          <w:p>
            <w:pPr>
              <w:jc w:val="center"/>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lang w:val="en-US" w:eastAsia="zh-CN"/>
              </w:rPr>
              <w:t>3</w:t>
            </w:r>
          </w:p>
        </w:tc>
        <w:tc>
          <w:tcPr>
            <w:tcW w:w="1663"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贮存</w:t>
            </w:r>
          </w:p>
        </w:tc>
        <w:tc>
          <w:tcPr>
            <w:tcW w:w="7355" w:type="dxa"/>
            <w:vAlign w:val="center"/>
          </w:tcPr>
          <w:p>
            <w:pPr>
              <w:jc w:val="both"/>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rPr>
              <w:t>按要求设置1个农药包装废弃物区级中转站，用于农药包装废弃物堆放、分拣、暂存，并配备专人进行管理</w:t>
            </w:r>
            <w:r>
              <w:rPr>
                <w:rFonts w:hint="eastAsia" w:ascii="仿宋" w:hAnsi="仿宋" w:eastAsia="仿宋" w:cs="仿宋"/>
                <w:i w:val="0"/>
                <w:iCs w:val="0"/>
                <w:color w:val="auto"/>
                <w:sz w:val="24"/>
                <w:szCs w:val="24"/>
                <w:lang w:eastAsia="zh-CN"/>
              </w:rPr>
              <w:t>，中转站应配置防火、防雨、防遗撒、防渗漏等设施设备，设立警示标志标识。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716" w:type="dxa"/>
            <w:vAlign w:val="center"/>
          </w:tcPr>
          <w:p>
            <w:pPr>
              <w:jc w:val="center"/>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lang w:val="en-US" w:eastAsia="zh-CN"/>
              </w:rPr>
              <w:t>4</w:t>
            </w:r>
          </w:p>
        </w:tc>
        <w:tc>
          <w:tcPr>
            <w:tcW w:w="1663"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处置</w:t>
            </w:r>
          </w:p>
        </w:tc>
        <w:tc>
          <w:tcPr>
            <w:tcW w:w="7355" w:type="dxa"/>
            <w:vAlign w:val="center"/>
          </w:tcPr>
          <w:p>
            <w:pPr>
              <w:jc w:val="both"/>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依据《农药包装废弃物回收处理管理办法》、《国家危险废物名录》（2021版）等相关文件要求，将农药包装废弃物从区级中转点转运至生活垃圾焚烧厂进行无害化处置</w:t>
            </w:r>
            <w:r>
              <w:rPr>
                <w:rFonts w:hint="eastAsia" w:ascii="仿宋" w:hAnsi="仿宋" w:eastAsia="仿宋" w:cs="仿宋"/>
                <w:i w:val="0"/>
                <w:iCs w:val="0"/>
                <w:color w:val="auto"/>
                <w:sz w:val="24"/>
                <w:szCs w:val="24"/>
                <w:lang w:val="en-US" w:eastAsia="zh-CN"/>
              </w:rPr>
              <w:t>，处置范围距合川城区50㎞范围内</w:t>
            </w:r>
            <w:r>
              <w:rPr>
                <w:rFonts w:hint="eastAsia" w:ascii="仿宋" w:hAnsi="仿宋" w:eastAsia="仿宋" w:cs="仿宋"/>
                <w:i w:val="0"/>
                <w:iCs w:val="0"/>
                <w:color w:val="auto"/>
                <w:sz w:val="24"/>
                <w:szCs w:val="24"/>
              </w:rPr>
              <w:t>并完善危险废物转移相关手续。按照总重量约2</w:t>
            </w:r>
            <w:r>
              <w:rPr>
                <w:rFonts w:hint="eastAsia" w:ascii="仿宋" w:hAnsi="仿宋" w:eastAsia="仿宋" w:cs="仿宋"/>
                <w:i w:val="0"/>
                <w:iCs w:val="0"/>
                <w:color w:val="auto"/>
                <w:sz w:val="24"/>
                <w:szCs w:val="24"/>
                <w:lang w:val="en-US" w:eastAsia="zh-CN"/>
              </w:rPr>
              <w:t>5</w:t>
            </w:r>
            <w:r>
              <w:rPr>
                <w:rFonts w:hint="eastAsia" w:ascii="仿宋" w:hAnsi="仿宋" w:eastAsia="仿宋" w:cs="仿宋"/>
                <w:i w:val="0"/>
                <w:iCs w:val="0"/>
                <w:color w:val="auto"/>
                <w:sz w:val="24"/>
                <w:szCs w:val="24"/>
              </w:rPr>
              <w:t>吨</w:t>
            </w:r>
            <w:r>
              <w:rPr>
                <w:rFonts w:hint="eastAsia" w:ascii="仿宋" w:hAnsi="仿宋" w:eastAsia="仿宋" w:cs="仿宋"/>
                <w:i w:val="0"/>
                <w:iCs w:val="0"/>
                <w:color w:val="auto"/>
                <w:sz w:val="24"/>
                <w:szCs w:val="24"/>
                <w:lang w:val="en-US" w:eastAsia="zh-CN"/>
              </w:rPr>
              <w:t>或180万个</w:t>
            </w:r>
            <w:r>
              <w:rPr>
                <w:rFonts w:hint="eastAsia" w:ascii="仿宋" w:hAnsi="仿宋" w:eastAsia="仿宋" w:cs="仿宋"/>
                <w:i w:val="0"/>
                <w:iCs w:val="0"/>
                <w:color w:val="auto"/>
                <w:sz w:val="24"/>
                <w:szCs w:val="24"/>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716" w:type="dxa"/>
            <w:vAlign w:val="center"/>
          </w:tcPr>
          <w:p>
            <w:pPr>
              <w:jc w:val="center"/>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5</w:t>
            </w:r>
          </w:p>
        </w:tc>
        <w:tc>
          <w:tcPr>
            <w:tcW w:w="1663" w:type="dxa"/>
            <w:vAlign w:val="center"/>
          </w:tcPr>
          <w:p>
            <w:pPr>
              <w:jc w:val="center"/>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lang w:eastAsia="zh-CN"/>
              </w:rPr>
              <w:t>培训</w:t>
            </w:r>
          </w:p>
        </w:tc>
        <w:tc>
          <w:tcPr>
            <w:tcW w:w="7355" w:type="dxa"/>
            <w:vAlign w:val="center"/>
          </w:tcPr>
          <w:p>
            <w:pPr>
              <w:jc w:val="both"/>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组织对农药包装废弃物各回收站点负责人、部门工作人员组织开展回收全流程培训。培训内容：法律法规、回收流程、电子台账系统操作等，采取集中培训和上门一对一现场教授方式进行培训。集中培训每年不少于一次，上门一对一现场培训适时进行。</w:t>
            </w:r>
          </w:p>
          <w:p>
            <w:pPr>
              <w:jc w:val="both"/>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716" w:type="dxa"/>
            <w:vAlign w:val="center"/>
          </w:tcPr>
          <w:p>
            <w:pPr>
              <w:jc w:val="center"/>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6</w:t>
            </w:r>
          </w:p>
        </w:tc>
        <w:tc>
          <w:tcPr>
            <w:tcW w:w="1663" w:type="dxa"/>
            <w:vAlign w:val="center"/>
          </w:tcPr>
          <w:p>
            <w:pPr>
              <w:jc w:val="center"/>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t>调查统计</w:t>
            </w:r>
          </w:p>
        </w:tc>
        <w:tc>
          <w:tcPr>
            <w:tcW w:w="7355" w:type="dxa"/>
            <w:vAlign w:val="center"/>
          </w:tcPr>
          <w:p>
            <w:pPr>
              <w:jc w:val="both"/>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t>按照市农委统一调查方式，通过抽样调查得出数据从而统计出全区农药包装废弃物产生量和田间遗弃量。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716"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7</w:t>
            </w:r>
          </w:p>
        </w:tc>
        <w:tc>
          <w:tcPr>
            <w:tcW w:w="1663"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宣传</w:t>
            </w:r>
          </w:p>
        </w:tc>
        <w:tc>
          <w:tcPr>
            <w:tcW w:w="7355" w:type="dxa"/>
            <w:vAlign w:val="center"/>
          </w:tcPr>
          <w:p>
            <w:pPr>
              <w:jc w:val="both"/>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利用电视、网络、广播、微信、墙体广告等宣传载体，并通过设置宣传标语、悬挂横幅、发放宣传资料方式，提高农药使用者就农药包装废弃物对农业农村环境及公众健康危害性的意识，进一步加强农药生产企业、经营者、使用者对自身应承担的主体责任和法律义务的意识。</w:t>
            </w:r>
          </w:p>
        </w:tc>
      </w:tr>
    </w:tbl>
    <w:p>
      <w:pPr>
        <w:jc w:val="left"/>
        <w:rPr>
          <w:rFonts w:hint="eastAsia" w:ascii="仿宋" w:hAnsi="仿宋" w:eastAsia="仿宋" w:cs="仿宋"/>
          <w:i w:val="0"/>
          <w:iCs w:val="0"/>
          <w:color w:val="auto"/>
          <w:sz w:val="24"/>
          <w:szCs w:val="24"/>
        </w:rPr>
      </w:pPr>
    </w:p>
    <w:p>
      <w:pPr>
        <w:jc w:val="left"/>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t>三、</w:t>
      </w:r>
      <w:bookmarkEnd w:id="52"/>
      <w:bookmarkEnd w:id="53"/>
      <w:bookmarkEnd w:id="54"/>
      <w:bookmarkEnd w:id="55"/>
      <w:r>
        <w:rPr>
          <w:rFonts w:hint="eastAsia" w:ascii="仿宋" w:hAnsi="仿宋" w:eastAsia="仿宋" w:cs="仿宋"/>
          <w:i w:val="0"/>
          <w:iCs w:val="0"/>
          <w:color w:val="auto"/>
          <w:sz w:val="24"/>
          <w:szCs w:val="24"/>
          <w:lang w:val="en-US" w:eastAsia="zh-CN"/>
        </w:rPr>
        <w:t>其他要求</w:t>
      </w:r>
    </w:p>
    <w:p>
      <w:pPr>
        <w:ind w:firstLine="480" w:firstLineChars="200"/>
        <w:jc w:val="left"/>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无</w:t>
      </w:r>
    </w:p>
    <w:p>
      <w:pPr>
        <w:jc w:val="left"/>
        <w:rPr>
          <w:rFonts w:hint="eastAsia" w:ascii="仿宋" w:hAnsi="仿宋" w:eastAsia="仿宋" w:cs="仿宋"/>
          <w:i w:val="0"/>
          <w:iCs w:val="0"/>
          <w:color w:val="auto"/>
          <w:sz w:val="24"/>
          <w:szCs w:val="24"/>
        </w:rPr>
      </w:pPr>
    </w:p>
    <w:p>
      <w:pPr>
        <w:jc w:val="left"/>
        <w:rPr>
          <w:rFonts w:hint="eastAsia" w:ascii="仿宋" w:hAnsi="仿宋" w:eastAsia="仿宋" w:cs="仿宋"/>
          <w:i w:val="0"/>
          <w:iCs w:val="0"/>
          <w:color w:val="auto"/>
          <w:sz w:val="24"/>
          <w:szCs w:val="24"/>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p>
    <w:p>
      <w:pPr>
        <w:numPr>
          <w:ilvl w:val="0"/>
          <w:numId w:val="1"/>
        </w:numPr>
        <w:jc w:val="center"/>
        <w:rPr>
          <w:rFonts w:hint="eastAsia" w:ascii="仿宋" w:hAnsi="仿宋" w:eastAsia="仿宋" w:cs="仿宋"/>
          <w:b/>
          <w:bCs/>
          <w:i w:val="0"/>
          <w:iCs w:val="0"/>
          <w:color w:val="auto"/>
          <w:sz w:val="36"/>
          <w:szCs w:val="36"/>
        </w:rPr>
      </w:pPr>
      <w:bookmarkStart w:id="56" w:name="_Toc106030882"/>
      <w:bookmarkStart w:id="57" w:name="_Toc76462327"/>
      <w:r>
        <w:rPr>
          <w:rFonts w:hint="eastAsia" w:ascii="仿宋" w:hAnsi="仿宋" w:eastAsia="仿宋" w:cs="仿宋"/>
          <w:b/>
          <w:bCs/>
          <w:i w:val="0"/>
          <w:iCs w:val="0"/>
          <w:color w:val="auto"/>
          <w:sz w:val="36"/>
          <w:szCs w:val="36"/>
        </w:rPr>
        <w:t xml:space="preserve"> </w:t>
      </w:r>
      <w:bookmarkEnd w:id="49"/>
      <w:r>
        <w:rPr>
          <w:rFonts w:hint="eastAsia" w:ascii="仿宋" w:hAnsi="仿宋" w:eastAsia="仿宋" w:cs="仿宋"/>
          <w:b/>
          <w:bCs/>
          <w:i w:val="0"/>
          <w:iCs w:val="0"/>
          <w:color w:val="auto"/>
          <w:sz w:val="36"/>
          <w:szCs w:val="36"/>
        </w:rPr>
        <w:t>项目商务需求</w:t>
      </w:r>
      <w:bookmarkEnd w:id="56"/>
      <w:bookmarkEnd w:id="57"/>
    </w:p>
    <w:p>
      <w:pPr>
        <w:numPr>
          <w:ilvl w:val="0"/>
          <w:numId w:val="0"/>
        </w:numPr>
        <w:jc w:val="both"/>
        <w:rPr>
          <w:rFonts w:hint="eastAsia" w:ascii="仿宋" w:hAnsi="仿宋" w:eastAsia="仿宋" w:cs="仿宋"/>
          <w:b/>
          <w:bCs/>
          <w:color w:val="auto"/>
          <w:sz w:val="24"/>
          <w:szCs w:val="24"/>
          <w:highlight w:val="none"/>
          <w:u w:val="single"/>
        </w:rPr>
      </w:pPr>
    </w:p>
    <w:p>
      <w:pPr>
        <w:numPr>
          <w:ilvl w:val="0"/>
          <w:numId w:val="0"/>
        </w:numPr>
        <w:jc w:val="both"/>
        <w:rPr>
          <w:rFonts w:hint="eastAsia"/>
          <w:color w:val="auto"/>
        </w:rPr>
      </w:pPr>
      <w:r>
        <w:rPr>
          <w:rFonts w:hint="eastAsia" w:ascii="仿宋" w:hAnsi="仿宋" w:eastAsia="仿宋" w:cs="仿宋"/>
          <w:b/>
          <w:bCs/>
          <w:color w:val="auto"/>
          <w:sz w:val="24"/>
          <w:szCs w:val="24"/>
          <w:highlight w:val="none"/>
          <w:u w:val="single"/>
        </w:rPr>
        <w:t>本篇</w:t>
      </w:r>
      <w:r>
        <w:rPr>
          <w:rFonts w:hint="eastAsia" w:ascii="仿宋" w:hAnsi="仿宋" w:eastAsia="仿宋" w:cs="仿宋"/>
          <w:b/>
          <w:bCs/>
          <w:color w:val="auto"/>
          <w:sz w:val="24"/>
          <w:szCs w:val="24"/>
          <w:highlight w:val="none"/>
          <w:u w:val="single"/>
          <w:lang w:val="en-US" w:eastAsia="zh-CN"/>
        </w:rPr>
        <w:t>商务</w:t>
      </w:r>
      <w:r>
        <w:rPr>
          <w:rFonts w:hint="eastAsia" w:ascii="仿宋" w:hAnsi="仿宋" w:eastAsia="仿宋" w:cs="仿宋"/>
          <w:b/>
          <w:bCs/>
          <w:color w:val="auto"/>
          <w:sz w:val="24"/>
          <w:szCs w:val="24"/>
          <w:highlight w:val="none"/>
          <w:u w:val="single"/>
        </w:rPr>
        <w:t>需求为符合性审查中的实质性要求，响应文件若不满足按无效处理。</w:t>
      </w:r>
    </w:p>
    <w:p>
      <w:pPr>
        <w:jc w:val="left"/>
        <w:rPr>
          <w:rFonts w:hint="eastAsia" w:ascii="仿宋" w:hAnsi="仿宋" w:eastAsia="仿宋" w:cs="仿宋"/>
          <w:i w:val="0"/>
          <w:iCs w:val="0"/>
          <w:color w:val="auto"/>
          <w:sz w:val="24"/>
          <w:szCs w:val="24"/>
        </w:rPr>
      </w:pPr>
      <w:bookmarkStart w:id="58" w:name="_Toc76462328"/>
      <w:bookmarkStart w:id="59" w:name="_Toc344475120"/>
      <w:bookmarkStart w:id="60" w:name="_Toc106030883"/>
      <w:r>
        <w:rPr>
          <w:rFonts w:hint="eastAsia" w:ascii="仿宋" w:hAnsi="仿宋" w:eastAsia="仿宋" w:cs="仿宋"/>
          <w:i w:val="0"/>
          <w:iCs w:val="0"/>
          <w:color w:val="auto"/>
          <w:sz w:val="24"/>
          <w:szCs w:val="24"/>
        </w:rPr>
        <w:t>一、服务期、地点及验收方式</w:t>
      </w:r>
      <w:bookmarkEnd w:id="58"/>
      <w:bookmarkEnd w:id="59"/>
      <w:bookmarkEnd w:id="60"/>
    </w:p>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（一）服务期：自合同签订之日起</w:t>
      </w:r>
      <w:r>
        <w:rPr>
          <w:rFonts w:hint="eastAsia" w:ascii="仿宋" w:hAnsi="仿宋" w:eastAsia="仿宋" w:cs="仿宋"/>
          <w:i w:val="0"/>
          <w:iCs w:val="0"/>
          <w:color w:val="auto"/>
          <w:sz w:val="24"/>
          <w:szCs w:val="24"/>
          <w:lang w:eastAsia="zh-CN"/>
        </w:rPr>
        <w:t>至</w:t>
      </w:r>
      <w:r>
        <w:rPr>
          <w:rFonts w:hint="eastAsia" w:ascii="仿宋" w:hAnsi="仿宋" w:eastAsia="仿宋" w:cs="仿宋"/>
          <w:i w:val="0"/>
          <w:iCs w:val="0"/>
          <w:color w:val="auto"/>
          <w:sz w:val="24"/>
          <w:szCs w:val="24"/>
          <w:lang w:val="en-US" w:eastAsia="zh-CN"/>
        </w:rPr>
        <w:t>2026年6月30日</w:t>
      </w:r>
      <w:r>
        <w:rPr>
          <w:rFonts w:hint="eastAsia" w:ascii="仿宋" w:hAnsi="仿宋" w:eastAsia="仿宋" w:cs="仿宋"/>
          <w:i w:val="0"/>
          <w:iCs w:val="0"/>
          <w:color w:val="auto"/>
          <w:sz w:val="24"/>
          <w:szCs w:val="24"/>
        </w:rPr>
        <w:t>。</w:t>
      </w:r>
    </w:p>
    <w:p>
      <w:pPr>
        <w:jc w:val="left"/>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rPr>
        <w:t>（二）服务地点：</w:t>
      </w:r>
      <w:r>
        <w:rPr>
          <w:rFonts w:hint="eastAsia" w:ascii="仿宋" w:hAnsi="仿宋" w:eastAsia="仿宋" w:cs="仿宋"/>
          <w:i w:val="0"/>
          <w:iCs w:val="0"/>
          <w:color w:val="auto"/>
          <w:sz w:val="24"/>
          <w:szCs w:val="24"/>
          <w:lang w:eastAsia="zh-CN"/>
        </w:rPr>
        <w:t>重庆市合川区。</w:t>
      </w:r>
    </w:p>
    <w:p>
      <w:pPr>
        <w:jc w:val="left"/>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rPr>
        <w:t>（三）验收方式：</w:t>
      </w:r>
      <w:r>
        <w:rPr>
          <w:rFonts w:hint="eastAsia" w:ascii="仿宋" w:hAnsi="仿宋" w:eastAsia="仿宋" w:cs="仿宋"/>
          <w:i w:val="0"/>
          <w:iCs w:val="0"/>
          <w:color w:val="auto"/>
          <w:sz w:val="24"/>
          <w:szCs w:val="24"/>
          <w:lang w:eastAsia="zh-CN"/>
        </w:rPr>
        <w:t>采购人自行组织验收。</w:t>
      </w:r>
    </w:p>
    <w:p>
      <w:pPr>
        <w:jc w:val="left"/>
        <w:rPr>
          <w:rFonts w:hint="eastAsia" w:ascii="仿宋" w:hAnsi="仿宋" w:eastAsia="仿宋" w:cs="仿宋"/>
          <w:i w:val="0"/>
          <w:iCs w:val="0"/>
          <w:color w:val="auto"/>
          <w:sz w:val="24"/>
          <w:szCs w:val="24"/>
        </w:rPr>
      </w:pPr>
      <w:bookmarkStart w:id="61" w:name="_Toc344475121"/>
      <w:bookmarkStart w:id="62" w:name="_Toc106030884"/>
      <w:bookmarkStart w:id="63" w:name="_Toc76462329"/>
      <w:r>
        <w:rPr>
          <w:rFonts w:hint="eastAsia" w:ascii="仿宋" w:hAnsi="仿宋" w:eastAsia="仿宋" w:cs="仿宋"/>
          <w:i w:val="0"/>
          <w:iCs w:val="0"/>
          <w:color w:val="auto"/>
          <w:sz w:val="24"/>
          <w:szCs w:val="24"/>
        </w:rPr>
        <w:t>二、</w:t>
      </w:r>
      <w:bookmarkEnd w:id="61"/>
      <w:r>
        <w:rPr>
          <w:rFonts w:hint="eastAsia" w:ascii="仿宋" w:hAnsi="仿宋" w:eastAsia="仿宋" w:cs="仿宋"/>
          <w:i w:val="0"/>
          <w:iCs w:val="0"/>
          <w:color w:val="auto"/>
          <w:sz w:val="24"/>
          <w:szCs w:val="24"/>
        </w:rPr>
        <w:t>报价要求</w:t>
      </w:r>
      <w:bookmarkEnd w:id="62"/>
      <w:bookmarkEnd w:id="63"/>
    </w:p>
    <w:p>
      <w:pPr>
        <w:ind w:firstLine="480" w:firstLineChars="200"/>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eastAsia="zh-CN"/>
        </w:rPr>
        <w:t>竞采</w:t>
      </w:r>
      <w:bookmarkStart w:id="64" w:name="_Toc4713"/>
      <w:bookmarkStart w:id="65" w:name="_Toc24284"/>
      <w:bookmarkStart w:id="66" w:name="_Toc11730"/>
      <w:bookmarkStart w:id="67" w:name="_Toc32652"/>
      <w:r>
        <w:rPr>
          <w:rFonts w:hint="eastAsia" w:ascii="仿宋" w:hAnsi="仿宋" w:eastAsia="仿宋" w:cs="仿宋"/>
          <w:i w:val="0"/>
          <w:iCs w:val="0"/>
          <w:color w:val="auto"/>
          <w:sz w:val="24"/>
          <w:szCs w:val="24"/>
        </w:rPr>
        <w:t>本次报价为人民币报价，报价须包含但不限于：完成本项目所需的服务费、人工费及提供服务所需的设备或货物购买（制造）费、辅材费、运输费、装卸费、安装调试费、培训费及各种应纳的税费等完成本项目所需的所有费用。因成交供应商自身原因造成漏报、少报皆由其自行承担责任，采购人不再补偿任何费用。</w:t>
      </w:r>
      <w:bookmarkEnd w:id="64"/>
      <w:bookmarkEnd w:id="65"/>
      <w:bookmarkEnd w:id="66"/>
      <w:bookmarkEnd w:id="67"/>
    </w:p>
    <w:p>
      <w:pPr>
        <w:numPr>
          <w:ilvl w:val="0"/>
          <w:numId w:val="2"/>
        </w:numPr>
        <w:jc w:val="left"/>
        <w:rPr>
          <w:rFonts w:hint="eastAsia" w:ascii="仿宋" w:hAnsi="仿宋" w:eastAsia="仿宋" w:cs="仿宋"/>
          <w:i w:val="0"/>
          <w:iCs w:val="0"/>
          <w:color w:val="auto"/>
          <w:sz w:val="24"/>
          <w:szCs w:val="24"/>
        </w:rPr>
      </w:pPr>
      <w:bookmarkStart w:id="68" w:name="_Toc344475122"/>
      <w:bookmarkStart w:id="69" w:name="_Toc106030885"/>
      <w:bookmarkStart w:id="70" w:name="_Toc76462330"/>
      <w:r>
        <w:rPr>
          <w:rFonts w:hint="eastAsia" w:ascii="仿宋" w:hAnsi="仿宋" w:eastAsia="仿宋" w:cs="仿宋"/>
          <w:i w:val="0"/>
          <w:iCs w:val="0"/>
          <w:color w:val="auto"/>
          <w:sz w:val="24"/>
          <w:szCs w:val="24"/>
        </w:rPr>
        <w:t>付款方式</w:t>
      </w:r>
      <w:bookmarkEnd w:id="68"/>
      <w:bookmarkEnd w:id="69"/>
      <w:bookmarkEnd w:id="70"/>
    </w:p>
    <w:p>
      <w:pPr>
        <w:ind w:firstLine="480" w:firstLineChars="200"/>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合同签订后，成交供应商完成回收回收点建设等项目任务后15个工作日内，采购方应向成交供应商支付合同总额的30%；项目完成后并验收合格15个工作日内一次性支付剩余合同总额的70%。</w:t>
      </w:r>
    </w:p>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u w:val="single"/>
          <w:lang w:val="en-US" w:eastAsia="zh-CN"/>
        </w:rPr>
        <w:t>注意事项：根据</w:t>
      </w:r>
      <w:r>
        <w:rPr>
          <w:rFonts w:hint="eastAsia" w:ascii="仿宋" w:hAnsi="仿宋" w:eastAsia="仿宋" w:cs="仿宋"/>
          <w:i w:val="0"/>
          <w:iCs w:val="0"/>
          <w:color w:val="auto"/>
          <w:sz w:val="24"/>
          <w:szCs w:val="24"/>
          <w:u w:val="single"/>
        </w:rPr>
        <w:t>中华人民共和国国务院令第728号《保障中小企业款项支付条例》第八条　机关、事业单位从中小企业采购货物、工程、服务，应当自货物、工程、服务交付之日起30日内支付款项；合同另有约定的，付款期限最长不得超过60日。</w:t>
      </w:r>
    </w:p>
    <w:p>
      <w:pPr>
        <w:jc w:val="left"/>
        <w:rPr>
          <w:rFonts w:hint="eastAsia" w:ascii="仿宋" w:hAnsi="仿宋" w:eastAsia="仿宋" w:cs="仿宋"/>
          <w:i w:val="0"/>
          <w:iCs w:val="0"/>
          <w:color w:val="auto"/>
          <w:sz w:val="24"/>
          <w:szCs w:val="24"/>
        </w:rPr>
      </w:pPr>
    </w:p>
    <w:p>
      <w:pPr>
        <w:numPr>
          <w:ilvl w:val="0"/>
          <w:numId w:val="1"/>
        </w:numPr>
        <w:ind w:left="0" w:leftChars="0" w:firstLine="0" w:firstLineChars="0"/>
        <w:jc w:val="center"/>
        <w:rPr>
          <w:rFonts w:hint="eastAsia" w:ascii="仿宋" w:hAnsi="仿宋" w:eastAsia="仿宋" w:cs="仿宋"/>
          <w:b/>
          <w:bCs/>
          <w:i w:val="0"/>
          <w:iCs w:val="0"/>
          <w:color w:val="auto"/>
          <w:sz w:val="36"/>
          <w:szCs w:val="36"/>
          <w:lang w:val="en-US" w:eastAsia="zh-CN"/>
        </w:rPr>
      </w:pPr>
      <w:r>
        <w:rPr>
          <w:rFonts w:hint="eastAsia" w:ascii="仿宋" w:hAnsi="仿宋" w:eastAsia="仿宋" w:cs="仿宋"/>
          <w:i w:val="0"/>
          <w:iCs w:val="0"/>
          <w:color w:val="auto"/>
          <w:sz w:val="24"/>
          <w:szCs w:val="24"/>
        </w:rPr>
        <w:br w:type="page"/>
      </w:r>
      <w:bookmarkStart w:id="71" w:name="_Toc109836389"/>
      <w:r>
        <w:rPr>
          <w:rFonts w:hint="eastAsia" w:ascii="仿宋" w:hAnsi="仿宋" w:eastAsia="仿宋" w:cs="仿宋"/>
          <w:b/>
          <w:bCs/>
          <w:i w:val="0"/>
          <w:iCs w:val="0"/>
          <w:color w:val="auto"/>
          <w:sz w:val="36"/>
          <w:szCs w:val="36"/>
        </w:rPr>
        <w:t xml:space="preserve"> </w:t>
      </w:r>
      <w:r>
        <w:rPr>
          <w:rFonts w:hint="eastAsia" w:ascii="仿宋" w:hAnsi="仿宋" w:eastAsia="仿宋" w:cs="仿宋"/>
          <w:b/>
          <w:bCs/>
          <w:i w:val="0"/>
          <w:iCs w:val="0"/>
          <w:color w:val="auto"/>
          <w:sz w:val="36"/>
          <w:szCs w:val="36"/>
          <w:lang w:val="en-US" w:eastAsia="zh-CN"/>
        </w:rPr>
        <w:t>竞采程序、</w:t>
      </w:r>
      <w:r>
        <w:rPr>
          <w:rFonts w:hint="eastAsia" w:ascii="仿宋" w:hAnsi="仿宋" w:eastAsia="仿宋" w:cs="仿宋"/>
          <w:b/>
          <w:bCs/>
          <w:i w:val="0"/>
          <w:iCs w:val="0"/>
          <w:color w:val="auto"/>
          <w:sz w:val="36"/>
          <w:szCs w:val="36"/>
        </w:rPr>
        <w:t>评标办法</w:t>
      </w:r>
      <w:bookmarkEnd w:id="71"/>
      <w:r>
        <w:rPr>
          <w:rFonts w:hint="eastAsia" w:ascii="仿宋" w:hAnsi="仿宋" w:eastAsia="仿宋" w:cs="仿宋"/>
          <w:b/>
          <w:bCs/>
          <w:i w:val="0"/>
          <w:iCs w:val="0"/>
          <w:color w:val="auto"/>
          <w:sz w:val="36"/>
          <w:szCs w:val="36"/>
          <w:lang w:eastAsia="zh-CN"/>
        </w:rPr>
        <w:t>、</w:t>
      </w:r>
      <w:r>
        <w:rPr>
          <w:rFonts w:hint="eastAsia" w:ascii="仿宋" w:hAnsi="仿宋" w:eastAsia="仿宋" w:cs="仿宋"/>
          <w:b/>
          <w:bCs/>
          <w:i w:val="0"/>
          <w:iCs w:val="0"/>
          <w:color w:val="auto"/>
          <w:sz w:val="36"/>
          <w:szCs w:val="36"/>
          <w:lang w:val="en-US" w:eastAsia="zh-CN"/>
        </w:rPr>
        <w:t>无效响应及采购终止</w:t>
      </w:r>
    </w:p>
    <w:p>
      <w:pPr>
        <w:pStyle w:val="2"/>
        <w:numPr>
          <w:ilvl w:val="0"/>
          <w:numId w:val="0"/>
        </w:numPr>
        <w:ind w:leftChars="0"/>
        <w:rPr>
          <w:rFonts w:hint="default"/>
          <w:color w:val="auto"/>
          <w:lang w:val="en-US" w:eastAsia="zh-CN"/>
        </w:rPr>
      </w:pPr>
    </w:p>
    <w:p>
      <w:pPr>
        <w:jc w:val="left"/>
        <w:rPr>
          <w:rFonts w:hint="eastAsia" w:ascii="仿宋" w:hAnsi="仿宋" w:eastAsia="仿宋" w:cs="仿宋"/>
          <w:b/>
          <w:bCs/>
          <w:i w:val="0"/>
          <w:iCs w:val="0"/>
          <w:color w:val="auto"/>
          <w:sz w:val="24"/>
          <w:szCs w:val="24"/>
          <w:lang w:val="en-US" w:eastAsia="zh-CN"/>
        </w:rPr>
      </w:pPr>
      <w:bookmarkStart w:id="72" w:name="_Toc10124"/>
      <w:r>
        <w:rPr>
          <w:rFonts w:hint="eastAsia" w:ascii="仿宋" w:hAnsi="仿宋" w:eastAsia="仿宋" w:cs="仿宋"/>
          <w:b/>
          <w:bCs/>
          <w:i w:val="0"/>
          <w:iCs w:val="0"/>
          <w:color w:val="auto"/>
          <w:sz w:val="24"/>
          <w:szCs w:val="24"/>
        </w:rPr>
        <w:t>一、</w:t>
      </w:r>
      <w:bookmarkEnd w:id="72"/>
      <w:bookmarkStart w:id="73" w:name="_Toc75793518"/>
      <w:r>
        <w:rPr>
          <w:rFonts w:hint="eastAsia" w:ascii="仿宋" w:hAnsi="仿宋" w:eastAsia="仿宋" w:cs="仿宋"/>
          <w:b/>
          <w:bCs/>
          <w:i w:val="0"/>
          <w:iCs w:val="0"/>
          <w:color w:val="auto"/>
          <w:sz w:val="24"/>
          <w:szCs w:val="24"/>
          <w:lang w:val="en-US" w:eastAsia="zh-CN"/>
        </w:rPr>
        <w:t>网上竞采程序</w:t>
      </w:r>
      <w:bookmarkEnd w:id="73"/>
    </w:p>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（一）报价截止后评审小组对各供应商的资格条件、响应文件的有效性、完整性和响应程度进行审查。各供应商只有在完全符合要求的前提下，才能参与正式采购。</w:t>
      </w:r>
    </w:p>
    <w:p>
      <w:pPr>
        <w:ind w:firstLine="482" w:firstLineChars="200"/>
        <w:jc w:val="left"/>
        <w:rPr>
          <w:rFonts w:hint="eastAsia" w:ascii="仿宋" w:hAnsi="仿宋" w:eastAsia="仿宋" w:cs="仿宋"/>
          <w:i w:val="0"/>
          <w:iCs w:val="0"/>
          <w:color w:val="auto"/>
          <w:sz w:val="24"/>
          <w:szCs w:val="24"/>
        </w:rPr>
      </w:pPr>
      <w:r>
        <w:rPr>
          <w:rFonts w:hint="eastAsia" w:ascii="仿宋" w:hAnsi="仿宋" w:eastAsia="仿宋" w:cs="仿宋"/>
          <w:b/>
          <w:bCs/>
          <w:i w:val="0"/>
          <w:iCs w:val="0"/>
          <w:color w:val="auto"/>
          <w:sz w:val="24"/>
          <w:szCs w:val="24"/>
        </w:rPr>
        <w:t>1</w:t>
      </w:r>
      <w:r>
        <w:rPr>
          <w:rFonts w:hint="eastAsia" w:ascii="仿宋" w:hAnsi="仿宋" w:eastAsia="仿宋" w:cs="仿宋"/>
          <w:b/>
          <w:bCs/>
          <w:i w:val="0"/>
          <w:iCs w:val="0"/>
          <w:color w:val="auto"/>
          <w:sz w:val="24"/>
          <w:szCs w:val="24"/>
          <w:lang w:eastAsia="zh-CN"/>
        </w:rPr>
        <w:t>.</w:t>
      </w:r>
      <w:r>
        <w:rPr>
          <w:rFonts w:hint="eastAsia" w:ascii="仿宋" w:hAnsi="仿宋" w:eastAsia="仿宋" w:cs="仿宋"/>
          <w:b/>
          <w:bCs/>
          <w:i w:val="0"/>
          <w:iCs w:val="0"/>
          <w:color w:val="auto"/>
          <w:sz w:val="24"/>
          <w:szCs w:val="24"/>
        </w:rPr>
        <w:t>资格性检查。</w:t>
      </w:r>
      <w:r>
        <w:rPr>
          <w:rFonts w:hint="eastAsia" w:ascii="仿宋" w:hAnsi="仿宋" w:eastAsia="仿宋" w:cs="仿宋"/>
          <w:i w:val="0"/>
          <w:iCs w:val="0"/>
          <w:color w:val="auto"/>
          <w:sz w:val="24"/>
          <w:szCs w:val="24"/>
        </w:rPr>
        <w:t>依据法律法规和采购采购文件的规定，对响应文件中的资格证明等进行审查，以确定供应商是否具备采购资格。资格性检查资料表如下：</w:t>
      </w:r>
    </w:p>
    <w:p>
      <w:pPr>
        <w:pStyle w:val="2"/>
        <w:rPr>
          <w:rFonts w:hint="eastAsia"/>
          <w:color w:val="auto"/>
        </w:rPr>
      </w:pPr>
    </w:p>
    <w:tbl>
      <w:tblPr>
        <w:tblStyle w:val="15"/>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序号</w:t>
            </w:r>
          </w:p>
        </w:tc>
        <w:tc>
          <w:tcPr>
            <w:tcW w:w="3685" w:type="dxa"/>
            <w:gridSpan w:val="2"/>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检查因素</w:t>
            </w:r>
          </w:p>
        </w:tc>
        <w:tc>
          <w:tcPr>
            <w:tcW w:w="5155" w:type="dxa"/>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restart"/>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w:t>
            </w:r>
          </w:p>
        </w:tc>
        <w:tc>
          <w:tcPr>
            <w:tcW w:w="709" w:type="dxa"/>
            <w:vMerge w:val="restart"/>
            <w:noWrap w:val="0"/>
            <w:vAlign w:val="center"/>
          </w:tcPr>
          <w:p>
            <w:pPr>
              <w:jc w:val="left"/>
              <w:rPr>
                <w:rFonts w:hint="eastAsia" w:ascii="仿宋" w:hAnsi="仿宋" w:eastAsia="仿宋" w:cs="仿宋"/>
                <w:i w:val="0"/>
                <w:iCs w:val="0"/>
                <w:color w:val="auto"/>
                <w:sz w:val="24"/>
                <w:szCs w:val="24"/>
                <w:lang w:val="zh-CN"/>
              </w:rPr>
            </w:pPr>
            <w:r>
              <w:rPr>
                <w:rFonts w:hint="eastAsia" w:ascii="仿宋" w:hAnsi="仿宋" w:eastAsia="仿宋" w:cs="仿宋"/>
                <w:i w:val="0"/>
                <w:iCs w:val="0"/>
                <w:color w:val="auto"/>
                <w:sz w:val="24"/>
                <w:szCs w:val="24"/>
              </w:rPr>
              <w:t>供应商</w:t>
            </w:r>
            <w:r>
              <w:rPr>
                <w:rFonts w:hint="eastAsia" w:ascii="仿宋" w:hAnsi="仿宋" w:eastAsia="仿宋" w:cs="仿宋"/>
                <w:i w:val="0"/>
                <w:iCs w:val="0"/>
                <w:color w:val="auto"/>
                <w:sz w:val="24"/>
                <w:szCs w:val="24"/>
                <w:lang w:val="zh-CN"/>
              </w:rPr>
              <w:t>应符合的基本资格条件</w:t>
            </w:r>
          </w:p>
        </w:tc>
        <w:tc>
          <w:tcPr>
            <w:tcW w:w="2976" w:type="dxa"/>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（1）具有独立承担民事责任的能力</w:t>
            </w:r>
          </w:p>
        </w:tc>
        <w:tc>
          <w:tcPr>
            <w:tcW w:w="5155" w:type="dxa"/>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供应商法人营业执照（副本）或事业单位法人证书（副本）； 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jc w:val="left"/>
              <w:rPr>
                <w:rFonts w:hint="eastAsia" w:ascii="仿宋" w:hAnsi="仿宋" w:eastAsia="仿宋" w:cs="仿宋"/>
                <w:i w:val="0"/>
                <w:iCs w:val="0"/>
                <w:color w:val="auto"/>
                <w:sz w:val="24"/>
                <w:szCs w:val="24"/>
              </w:rPr>
            </w:pPr>
          </w:p>
        </w:tc>
        <w:tc>
          <w:tcPr>
            <w:tcW w:w="709" w:type="dxa"/>
            <w:vMerge w:val="continue"/>
            <w:noWrap w:val="0"/>
            <w:vAlign w:val="center"/>
          </w:tcPr>
          <w:p>
            <w:pPr>
              <w:jc w:val="left"/>
              <w:rPr>
                <w:rFonts w:hint="eastAsia" w:ascii="仿宋" w:hAnsi="仿宋" w:eastAsia="仿宋" w:cs="仿宋"/>
                <w:i w:val="0"/>
                <w:iCs w:val="0"/>
                <w:color w:val="auto"/>
                <w:sz w:val="24"/>
                <w:szCs w:val="24"/>
                <w:lang w:val="zh-CN"/>
              </w:rPr>
            </w:pPr>
          </w:p>
        </w:tc>
        <w:tc>
          <w:tcPr>
            <w:tcW w:w="2976" w:type="dxa"/>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（2）具有良好的商业信誉和健全的财务会计制度</w:t>
            </w:r>
          </w:p>
        </w:tc>
        <w:tc>
          <w:tcPr>
            <w:tcW w:w="5155" w:type="dxa"/>
            <w:vMerge w:val="restart"/>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供应商提供承诺函（见格式文件）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jc w:val="left"/>
              <w:rPr>
                <w:rFonts w:hint="eastAsia" w:ascii="仿宋" w:hAnsi="仿宋" w:eastAsia="仿宋" w:cs="仿宋"/>
                <w:i w:val="0"/>
                <w:iCs w:val="0"/>
                <w:color w:val="auto"/>
                <w:sz w:val="24"/>
                <w:szCs w:val="24"/>
              </w:rPr>
            </w:pPr>
          </w:p>
        </w:tc>
        <w:tc>
          <w:tcPr>
            <w:tcW w:w="709" w:type="dxa"/>
            <w:vMerge w:val="continue"/>
            <w:noWrap w:val="0"/>
            <w:vAlign w:val="center"/>
          </w:tcPr>
          <w:p>
            <w:pPr>
              <w:jc w:val="left"/>
              <w:rPr>
                <w:rFonts w:hint="eastAsia" w:ascii="仿宋" w:hAnsi="仿宋" w:eastAsia="仿宋" w:cs="仿宋"/>
                <w:i w:val="0"/>
                <w:iCs w:val="0"/>
                <w:color w:val="auto"/>
                <w:sz w:val="24"/>
                <w:szCs w:val="24"/>
                <w:lang w:val="zh-CN"/>
              </w:rPr>
            </w:pPr>
          </w:p>
        </w:tc>
        <w:tc>
          <w:tcPr>
            <w:tcW w:w="2976" w:type="dxa"/>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（3）具有履行合同所必需的设备和专业技术能力</w:t>
            </w:r>
          </w:p>
        </w:tc>
        <w:tc>
          <w:tcPr>
            <w:tcW w:w="5155" w:type="dxa"/>
            <w:vMerge w:val="continue"/>
            <w:noWrap w:val="0"/>
            <w:vAlign w:val="center"/>
          </w:tcPr>
          <w:p>
            <w:pPr>
              <w:jc w:val="left"/>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pPr>
              <w:jc w:val="left"/>
              <w:rPr>
                <w:rFonts w:hint="eastAsia" w:ascii="仿宋" w:hAnsi="仿宋" w:eastAsia="仿宋" w:cs="仿宋"/>
                <w:i w:val="0"/>
                <w:iCs w:val="0"/>
                <w:color w:val="auto"/>
                <w:sz w:val="24"/>
                <w:szCs w:val="24"/>
              </w:rPr>
            </w:pPr>
          </w:p>
        </w:tc>
        <w:tc>
          <w:tcPr>
            <w:tcW w:w="709" w:type="dxa"/>
            <w:vMerge w:val="continue"/>
            <w:noWrap w:val="0"/>
            <w:vAlign w:val="center"/>
          </w:tcPr>
          <w:p>
            <w:pPr>
              <w:jc w:val="left"/>
              <w:rPr>
                <w:rFonts w:hint="eastAsia" w:ascii="仿宋" w:hAnsi="仿宋" w:eastAsia="仿宋" w:cs="仿宋"/>
                <w:i w:val="0"/>
                <w:iCs w:val="0"/>
                <w:color w:val="auto"/>
                <w:sz w:val="24"/>
                <w:szCs w:val="24"/>
                <w:lang w:val="zh-CN"/>
              </w:rPr>
            </w:pPr>
          </w:p>
        </w:tc>
        <w:tc>
          <w:tcPr>
            <w:tcW w:w="2976" w:type="dxa"/>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（4）有依法缴纳税收和社会保障金的良好记录</w:t>
            </w:r>
          </w:p>
        </w:tc>
        <w:tc>
          <w:tcPr>
            <w:tcW w:w="5155" w:type="dxa"/>
            <w:vMerge w:val="continue"/>
            <w:noWrap w:val="0"/>
            <w:vAlign w:val="center"/>
          </w:tcPr>
          <w:p>
            <w:pPr>
              <w:jc w:val="left"/>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jc w:val="left"/>
              <w:rPr>
                <w:rFonts w:hint="eastAsia" w:ascii="仿宋" w:hAnsi="仿宋" w:eastAsia="仿宋" w:cs="仿宋"/>
                <w:i w:val="0"/>
                <w:iCs w:val="0"/>
                <w:color w:val="auto"/>
                <w:sz w:val="24"/>
                <w:szCs w:val="24"/>
              </w:rPr>
            </w:pPr>
          </w:p>
        </w:tc>
        <w:tc>
          <w:tcPr>
            <w:tcW w:w="709" w:type="dxa"/>
            <w:vMerge w:val="continue"/>
            <w:noWrap w:val="0"/>
            <w:vAlign w:val="center"/>
          </w:tcPr>
          <w:p>
            <w:pPr>
              <w:jc w:val="left"/>
              <w:rPr>
                <w:rFonts w:hint="eastAsia" w:ascii="仿宋" w:hAnsi="仿宋" w:eastAsia="仿宋" w:cs="仿宋"/>
                <w:i w:val="0"/>
                <w:iCs w:val="0"/>
                <w:color w:val="auto"/>
                <w:sz w:val="24"/>
                <w:szCs w:val="24"/>
                <w:lang w:val="zh-CN"/>
              </w:rPr>
            </w:pPr>
          </w:p>
        </w:tc>
        <w:tc>
          <w:tcPr>
            <w:tcW w:w="2976" w:type="dxa"/>
            <w:noWrap w:val="0"/>
            <w:vAlign w:val="center"/>
          </w:tcPr>
          <w:p>
            <w:pPr>
              <w:jc w:val="left"/>
              <w:rPr>
                <w:rFonts w:hint="eastAsia" w:ascii="仿宋" w:hAnsi="仿宋" w:eastAsia="仿宋" w:cs="仿宋"/>
                <w:i w:val="0"/>
                <w:iCs w:val="0"/>
                <w:color w:val="auto"/>
                <w:sz w:val="24"/>
                <w:szCs w:val="24"/>
                <w:lang w:val="zh-CN"/>
              </w:rPr>
            </w:pPr>
            <w:r>
              <w:rPr>
                <w:rFonts w:hint="eastAsia" w:ascii="仿宋" w:hAnsi="仿宋" w:eastAsia="仿宋" w:cs="仿宋"/>
                <w:i w:val="0"/>
                <w:iCs w:val="0"/>
                <w:color w:val="auto"/>
                <w:sz w:val="24"/>
                <w:szCs w:val="24"/>
              </w:rPr>
              <w:t>（5）参加政府采购活动前三年内，在经营活动中没有重大违法记录</w:t>
            </w:r>
          </w:p>
        </w:tc>
        <w:tc>
          <w:tcPr>
            <w:tcW w:w="5155" w:type="dxa"/>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pPr>
              <w:jc w:val="left"/>
              <w:rPr>
                <w:rFonts w:hint="eastAsia" w:ascii="仿宋" w:hAnsi="仿宋" w:eastAsia="仿宋" w:cs="仿宋"/>
                <w:i w:val="0"/>
                <w:iCs w:val="0"/>
                <w:color w:val="auto"/>
                <w:sz w:val="24"/>
                <w:szCs w:val="24"/>
              </w:rPr>
            </w:pPr>
          </w:p>
        </w:tc>
        <w:tc>
          <w:tcPr>
            <w:tcW w:w="709" w:type="dxa"/>
            <w:vMerge w:val="continue"/>
            <w:noWrap w:val="0"/>
            <w:vAlign w:val="center"/>
          </w:tcPr>
          <w:p>
            <w:pPr>
              <w:jc w:val="left"/>
              <w:rPr>
                <w:rFonts w:hint="eastAsia" w:ascii="仿宋" w:hAnsi="仿宋" w:eastAsia="仿宋" w:cs="仿宋"/>
                <w:i w:val="0"/>
                <w:iCs w:val="0"/>
                <w:color w:val="auto"/>
                <w:sz w:val="24"/>
                <w:szCs w:val="24"/>
                <w:lang w:val="zh-CN"/>
              </w:rPr>
            </w:pPr>
          </w:p>
        </w:tc>
        <w:tc>
          <w:tcPr>
            <w:tcW w:w="2976" w:type="dxa"/>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（6）法律、行政法规规定的其他条件</w:t>
            </w:r>
          </w:p>
        </w:tc>
        <w:tc>
          <w:tcPr>
            <w:tcW w:w="5155" w:type="dxa"/>
            <w:noWrap w:val="0"/>
            <w:vAlign w:val="center"/>
          </w:tcPr>
          <w:p>
            <w:pPr>
              <w:jc w:val="left"/>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w:t>
            </w:r>
          </w:p>
        </w:tc>
        <w:tc>
          <w:tcPr>
            <w:tcW w:w="3685" w:type="dxa"/>
            <w:gridSpan w:val="2"/>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特定资格条件</w:t>
            </w:r>
          </w:p>
        </w:tc>
        <w:tc>
          <w:tcPr>
            <w:tcW w:w="5155" w:type="dxa"/>
            <w:noWrap w:val="0"/>
            <w:vAlign w:val="center"/>
          </w:tcPr>
          <w:p>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按第一篇“三、供应商资格条件（二）本项目的特定资格要求”的要求提交</w:t>
            </w:r>
          </w:p>
        </w:tc>
      </w:tr>
    </w:tbl>
    <w:p>
      <w:pPr>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numPr>
          <w:ilvl w:val="0"/>
          <w:numId w:val="3"/>
        </w:numPr>
        <w:snapToGrid w:val="0"/>
        <w:spacing w:line="360" w:lineRule="auto"/>
        <w:ind w:firstLine="482" w:firstLineChars="200"/>
        <w:rPr>
          <w:rFonts w:hint="eastAsia" w:ascii="仿宋" w:hAnsi="仿宋" w:eastAsia="仿宋"/>
          <w:color w:val="auto"/>
          <w:kern w:val="0"/>
          <w:sz w:val="24"/>
          <w:szCs w:val="24"/>
        </w:rPr>
      </w:pPr>
      <w:r>
        <w:rPr>
          <w:rFonts w:hint="eastAsia" w:ascii="仿宋" w:hAnsi="仿宋" w:eastAsia="仿宋" w:cs="宋体"/>
          <w:b/>
          <w:bCs/>
          <w:color w:val="auto"/>
          <w:kern w:val="0"/>
          <w:sz w:val="24"/>
          <w:szCs w:val="24"/>
        </w:rPr>
        <w:t>符合性检查。</w:t>
      </w:r>
      <w:r>
        <w:rPr>
          <w:rFonts w:hint="eastAsia" w:ascii="仿宋" w:hAnsi="仿宋" w:eastAsia="仿宋" w:cs="宋体"/>
          <w:color w:val="auto"/>
          <w:kern w:val="0"/>
          <w:sz w:val="24"/>
          <w:szCs w:val="24"/>
        </w:rPr>
        <w:t>依据网上竞采文件的规定，从响应文件的有效性、完整性和对网上竞采文件的响应程度进行审查，以确定是否对网上竞采文件的实质性要求作出响应。</w:t>
      </w:r>
      <w:r>
        <w:rPr>
          <w:rFonts w:hint="eastAsia" w:ascii="仿宋" w:hAnsi="仿宋" w:eastAsia="仿宋"/>
          <w:color w:val="auto"/>
          <w:kern w:val="0"/>
          <w:sz w:val="24"/>
          <w:szCs w:val="24"/>
        </w:rPr>
        <w:t>符合性检查资料表如下：</w:t>
      </w:r>
    </w:p>
    <w:p>
      <w:pPr>
        <w:pStyle w:val="2"/>
        <w:numPr>
          <w:ilvl w:val="0"/>
          <w:numId w:val="0"/>
        </w:numPr>
        <w:rPr>
          <w:color w:val="auto"/>
        </w:rPr>
      </w:pPr>
    </w:p>
    <w:p>
      <w:pPr>
        <w:rPr>
          <w:color w:val="auto"/>
        </w:rPr>
      </w:pPr>
    </w:p>
    <w:p>
      <w:pPr>
        <w:pStyle w:val="2"/>
        <w:rPr>
          <w:color w:val="auto"/>
        </w:rPr>
      </w:pP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3544" w:type="dxa"/>
            <w:gridSpan w:val="2"/>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评审因素</w:t>
            </w:r>
          </w:p>
        </w:tc>
        <w:tc>
          <w:tcPr>
            <w:tcW w:w="5409" w:type="dxa"/>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560" w:type="dxa"/>
            <w:vMerge w:val="restart"/>
            <w:vAlign w:val="center"/>
          </w:tcPr>
          <w:p>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有效性审查</w:t>
            </w:r>
          </w:p>
        </w:tc>
        <w:tc>
          <w:tcPr>
            <w:tcW w:w="1984" w:type="dxa"/>
            <w:vAlign w:val="center"/>
          </w:tcPr>
          <w:p>
            <w:pPr>
              <w:spacing w:line="240" w:lineRule="exact"/>
              <w:rPr>
                <w:rFonts w:ascii="仿宋" w:hAnsi="仿宋" w:eastAsia="仿宋" w:cs="宋体"/>
                <w:color w:val="auto"/>
                <w:kern w:val="0"/>
                <w:sz w:val="24"/>
                <w:szCs w:val="24"/>
              </w:rPr>
            </w:pPr>
            <w:r>
              <w:rPr>
                <w:rFonts w:hint="eastAsia" w:ascii="仿宋" w:hAnsi="仿宋" w:eastAsia="仿宋"/>
                <w:color w:val="auto"/>
                <w:sz w:val="24"/>
                <w:szCs w:val="24"/>
              </w:rPr>
              <w:t>响应文件签署</w:t>
            </w:r>
          </w:p>
        </w:tc>
        <w:tc>
          <w:tcPr>
            <w:tcW w:w="5409" w:type="dxa"/>
            <w:vAlign w:val="center"/>
          </w:tcPr>
          <w:p>
            <w:pPr>
              <w:spacing w:line="240" w:lineRule="exact"/>
              <w:rPr>
                <w:rFonts w:ascii="仿宋" w:hAnsi="仿宋" w:eastAsia="仿宋" w:cs="宋体"/>
                <w:color w:val="auto"/>
                <w:kern w:val="0"/>
                <w:sz w:val="24"/>
                <w:szCs w:val="24"/>
              </w:rPr>
            </w:pPr>
            <w:r>
              <w:rPr>
                <w:rFonts w:hint="eastAsia" w:ascii="仿宋" w:hAnsi="仿宋" w:eastAsia="仿宋"/>
                <w:color w:val="auto"/>
                <w:sz w:val="24"/>
              </w:rPr>
              <w:t>网上电子文档及响应文件</w:t>
            </w:r>
            <w:r>
              <w:rPr>
                <w:rFonts w:hint="eastAsia" w:ascii="仿宋" w:hAnsi="仿宋" w:eastAsia="仿宋"/>
                <w:color w:val="auto"/>
                <w:sz w:val="24"/>
                <w:szCs w:val="24"/>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仿宋" w:hAnsi="仿宋" w:eastAsia="仿宋" w:cs="宋体"/>
                <w:color w:val="auto"/>
                <w:kern w:val="0"/>
                <w:sz w:val="24"/>
                <w:szCs w:val="24"/>
              </w:rPr>
            </w:pPr>
          </w:p>
        </w:tc>
        <w:tc>
          <w:tcPr>
            <w:tcW w:w="1560" w:type="dxa"/>
            <w:vMerge w:val="continue"/>
            <w:vAlign w:val="center"/>
          </w:tcPr>
          <w:p>
            <w:pPr>
              <w:spacing w:line="240" w:lineRule="exact"/>
              <w:rPr>
                <w:rFonts w:ascii="仿宋" w:hAnsi="仿宋" w:eastAsia="仿宋" w:cs="宋体"/>
                <w:color w:val="auto"/>
                <w:kern w:val="0"/>
                <w:sz w:val="24"/>
                <w:szCs w:val="24"/>
              </w:rPr>
            </w:pPr>
          </w:p>
        </w:tc>
        <w:tc>
          <w:tcPr>
            <w:tcW w:w="1984" w:type="dxa"/>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法定代表人身份证明及授权委托书</w:t>
            </w:r>
          </w:p>
        </w:tc>
        <w:tc>
          <w:tcPr>
            <w:tcW w:w="5409" w:type="dxa"/>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auto"/>
                <w:kern w:val="0"/>
                <w:sz w:val="24"/>
                <w:szCs w:val="24"/>
              </w:rPr>
            </w:pPr>
          </w:p>
        </w:tc>
        <w:tc>
          <w:tcPr>
            <w:tcW w:w="1560" w:type="dxa"/>
            <w:vMerge w:val="continue"/>
            <w:vAlign w:val="center"/>
          </w:tcPr>
          <w:p>
            <w:pPr>
              <w:spacing w:line="240" w:lineRule="exact"/>
              <w:rPr>
                <w:rFonts w:ascii="仿宋" w:hAnsi="仿宋" w:eastAsia="仿宋" w:cs="宋体"/>
                <w:color w:val="auto"/>
                <w:kern w:val="0"/>
                <w:sz w:val="24"/>
                <w:szCs w:val="24"/>
              </w:rPr>
            </w:pPr>
          </w:p>
        </w:tc>
        <w:tc>
          <w:tcPr>
            <w:tcW w:w="1984" w:type="dxa"/>
            <w:vAlign w:val="center"/>
          </w:tcPr>
          <w:p>
            <w:pPr>
              <w:spacing w:line="240" w:lineRule="exact"/>
              <w:rPr>
                <w:rFonts w:ascii="仿宋" w:hAnsi="仿宋" w:eastAsia="仿宋" w:cs="仿宋_GB2312"/>
                <w:color w:val="auto"/>
                <w:sz w:val="24"/>
                <w:szCs w:val="24"/>
                <w:lang w:val="zh-CN"/>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方案</w:t>
            </w:r>
          </w:p>
        </w:tc>
        <w:tc>
          <w:tcPr>
            <w:tcW w:w="5409" w:type="dxa"/>
            <w:vAlign w:val="center"/>
          </w:tcPr>
          <w:p>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lang w:val="zh-CN"/>
              </w:rPr>
              <w:t>每个分包只能有一个</w:t>
            </w: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auto"/>
                <w:kern w:val="0"/>
                <w:sz w:val="24"/>
                <w:szCs w:val="24"/>
              </w:rPr>
            </w:pPr>
          </w:p>
        </w:tc>
        <w:tc>
          <w:tcPr>
            <w:tcW w:w="1560" w:type="dxa"/>
            <w:vMerge w:val="continue"/>
            <w:vAlign w:val="center"/>
          </w:tcPr>
          <w:p>
            <w:pPr>
              <w:spacing w:line="240" w:lineRule="exact"/>
              <w:rPr>
                <w:rFonts w:ascii="仿宋" w:hAnsi="仿宋" w:eastAsia="仿宋" w:cs="宋体"/>
                <w:color w:val="auto"/>
                <w:kern w:val="0"/>
                <w:sz w:val="24"/>
                <w:szCs w:val="24"/>
              </w:rPr>
            </w:pPr>
          </w:p>
        </w:tc>
        <w:tc>
          <w:tcPr>
            <w:tcW w:w="1984" w:type="dxa"/>
            <w:vAlign w:val="center"/>
          </w:tcPr>
          <w:p>
            <w:pPr>
              <w:spacing w:line="240" w:lineRule="exact"/>
              <w:rPr>
                <w:rFonts w:ascii="仿宋" w:hAnsi="仿宋" w:eastAsia="仿宋" w:cs="仿宋_GB2312"/>
                <w:color w:val="auto"/>
                <w:sz w:val="24"/>
                <w:szCs w:val="24"/>
                <w:lang w:val="zh-CN"/>
              </w:rPr>
            </w:pPr>
            <w:r>
              <w:rPr>
                <w:rFonts w:hint="eastAsia" w:ascii="仿宋" w:hAnsi="仿宋" w:eastAsia="仿宋"/>
                <w:color w:val="auto"/>
                <w:sz w:val="24"/>
                <w:szCs w:val="24"/>
              </w:rPr>
              <w:t>报价唯一</w:t>
            </w:r>
          </w:p>
        </w:tc>
        <w:tc>
          <w:tcPr>
            <w:tcW w:w="5409" w:type="dxa"/>
            <w:vAlign w:val="center"/>
          </w:tcPr>
          <w:p>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lang w:val="zh-CN"/>
              </w:rPr>
              <w:t>只能在采购预算范围内报价，</w:t>
            </w:r>
            <w:r>
              <w:rPr>
                <w:rFonts w:hint="eastAsia" w:ascii="仿宋" w:hAnsi="仿宋" w:eastAsia="仿宋"/>
                <w:color w:val="auto"/>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560" w:type="dxa"/>
            <w:vAlign w:val="center"/>
          </w:tcPr>
          <w:p>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完整性审查</w:t>
            </w:r>
          </w:p>
        </w:tc>
        <w:tc>
          <w:tcPr>
            <w:tcW w:w="1984" w:type="dxa"/>
            <w:vAlign w:val="center"/>
          </w:tcPr>
          <w:p>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文件份数</w:t>
            </w:r>
          </w:p>
        </w:tc>
        <w:tc>
          <w:tcPr>
            <w:tcW w:w="5409" w:type="dxa"/>
            <w:vAlign w:val="center"/>
          </w:tcPr>
          <w:p>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文件</w:t>
            </w:r>
            <w:r>
              <w:rPr>
                <w:rFonts w:hint="eastAsia" w:ascii="仿宋" w:hAnsi="仿宋" w:eastAsia="仿宋" w:cs="仿宋_GB2312"/>
                <w:color w:val="auto"/>
                <w:sz w:val="24"/>
                <w:szCs w:val="24"/>
                <w:lang w:val="en-US" w:eastAsia="zh-CN"/>
              </w:rPr>
              <w:t>电子件壹份</w:t>
            </w:r>
            <w:r>
              <w:rPr>
                <w:rFonts w:hint="eastAsia" w:ascii="仿宋" w:hAnsi="仿宋" w:eastAsia="仿宋" w:cs="仿宋_GB2312"/>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1560" w:type="dxa"/>
            <w:vMerge w:val="restart"/>
            <w:vAlign w:val="center"/>
          </w:tcPr>
          <w:p>
            <w:pPr>
              <w:spacing w:line="240" w:lineRule="exact"/>
              <w:rPr>
                <w:rFonts w:ascii="仿宋" w:hAnsi="仿宋" w:eastAsia="仿宋" w:cs="仿宋_GB2312"/>
                <w:color w:val="auto"/>
                <w:sz w:val="24"/>
                <w:szCs w:val="24"/>
                <w:lang w:val="zh-CN"/>
              </w:rPr>
            </w:pPr>
            <w:r>
              <w:rPr>
                <w:rFonts w:hint="eastAsia" w:ascii="仿宋" w:hAnsi="仿宋" w:eastAsia="仿宋" w:cs="宋体"/>
                <w:color w:val="auto"/>
                <w:kern w:val="0"/>
                <w:sz w:val="24"/>
                <w:szCs w:val="24"/>
              </w:rPr>
              <w:t>网上竞采文件的响应程度审查</w:t>
            </w:r>
          </w:p>
        </w:tc>
        <w:tc>
          <w:tcPr>
            <w:tcW w:w="1984" w:type="dxa"/>
            <w:vAlign w:val="center"/>
          </w:tcPr>
          <w:p>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响应文件内容</w:t>
            </w:r>
          </w:p>
        </w:tc>
        <w:tc>
          <w:tcPr>
            <w:tcW w:w="5409" w:type="dxa"/>
            <w:vAlign w:val="center"/>
          </w:tcPr>
          <w:p>
            <w:pPr>
              <w:pStyle w:val="9"/>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对网上竞采文件第二篇、第三篇规定的网上竞采内容作出响应。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仿宋" w:hAnsi="仿宋" w:eastAsia="仿宋" w:cs="宋体"/>
                <w:color w:val="auto"/>
                <w:kern w:val="0"/>
                <w:sz w:val="24"/>
                <w:szCs w:val="24"/>
              </w:rPr>
            </w:pPr>
          </w:p>
        </w:tc>
        <w:tc>
          <w:tcPr>
            <w:tcW w:w="1560" w:type="dxa"/>
            <w:vMerge w:val="continue"/>
            <w:vAlign w:val="center"/>
          </w:tcPr>
          <w:p>
            <w:pPr>
              <w:spacing w:line="240" w:lineRule="exact"/>
              <w:rPr>
                <w:rFonts w:ascii="仿宋" w:hAnsi="仿宋" w:eastAsia="仿宋" w:cs="仿宋_GB2312"/>
                <w:color w:val="auto"/>
                <w:sz w:val="24"/>
                <w:szCs w:val="24"/>
                <w:lang w:val="zh-CN"/>
              </w:rPr>
            </w:pPr>
          </w:p>
        </w:tc>
        <w:tc>
          <w:tcPr>
            <w:tcW w:w="1984" w:type="dxa"/>
            <w:vAlign w:val="center"/>
          </w:tcPr>
          <w:p>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网上竞采有效期</w:t>
            </w:r>
          </w:p>
        </w:tc>
        <w:tc>
          <w:tcPr>
            <w:tcW w:w="5409" w:type="dxa"/>
            <w:vAlign w:val="center"/>
          </w:tcPr>
          <w:p>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满足网上竞采文件</w:t>
            </w:r>
            <w:r>
              <w:rPr>
                <w:rFonts w:hint="eastAsia" w:ascii="仿宋" w:hAnsi="仿宋" w:eastAsia="仿宋" w:cs="仿宋_GB2312"/>
                <w:color w:val="auto"/>
                <w:sz w:val="24"/>
                <w:szCs w:val="24"/>
                <w:lang w:val="zh-CN"/>
              </w:rPr>
              <w:t>规定。</w:t>
            </w:r>
          </w:p>
        </w:tc>
      </w:tr>
    </w:tbl>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二</w:t>
      </w:r>
      <w:r>
        <w:rPr>
          <w:rFonts w:hint="eastAsia" w:ascii="仿宋" w:hAnsi="仿宋" w:eastAsia="仿宋"/>
          <w:color w:val="auto"/>
          <w:sz w:val="24"/>
          <w:szCs w:val="24"/>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三</w:t>
      </w:r>
      <w:r>
        <w:rPr>
          <w:rFonts w:hint="eastAsia" w:ascii="仿宋" w:hAnsi="仿宋" w:eastAsia="仿宋"/>
          <w:color w:val="auto"/>
          <w:sz w:val="24"/>
          <w:szCs w:val="24"/>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四</w:t>
      </w:r>
      <w:r>
        <w:rPr>
          <w:rFonts w:hint="eastAsia" w:ascii="仿宋" w:hAnsi="仿宋" w:eastAsia="仿宋"/>
          <w:color w:val="auto"/>
          <w:sz w:val="24"/>
          <w:szCs w:val="24"/>
        </w:rPr>
        <w:t>）在网上竞采过程中网上竞采的任何一方不得向他人透露与网上竞采有关的服务资料、价格或其他信息。</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五</w:t>
      </w:r>
      <w:r>
        <w:rPr>
          <w:rFonts w:hint="eastAsia" w:ascii="仿宋" w:hAnsi="仿宋" w:eastAsia="仿宋"/>
          <w:color w:val="auto"/>
          <w:sz w:val="24"/>
          <w:szCs w:val="24"/>
        </w:rPr>
        <w:t>）供应商在网上竞采时作出的所有书面承诺须由法定代表人或其授权代表签字。</w:t>
      </w:r>
    </w:p>
    <w:p>
      <w:pPr>
        <w:spacing w:line="360" w:lineRule="auto"/>
        <w:ind w:firstLine="482" w:firstLineChars="200"/>
        <w:rPr>
          <w:rFonts w:hint="eastAsia" w:ascii="仿宋" w:hAnsi="仿宋" w:eastAsia="仿宋"/>
          <w:b/>
          <w:bCs/>
          <w:color w:val="auto"/>
          <w:sz w:val="24"/>
          <w:szCs w:val="24"/>
          <w:u w:val="none"/>
          <w:lang w:eastAsia="zh-CN"/>
        </w:rPr>
      </w:pPr>
      <w:r>
        <w:rPr>
          <w:rFonts w:hint="eastAsia" w:ascii="仿宋" w:hAnsi="仿宋" w:eastAsia="仿宋"/>
          <w:b/>
          <w:bCs/>
          <w:color w:val="auto"/>
          <w:sz w:val="24"/>
          <w:szCs w:val="24"/>
          <w:u w:val="none"/>
          <w:lang w:val="en-US" w:eastAsia="zh-CN"/>
        </w:rPr>
        <w:t>3.评选方法：</w:t>
      </w:r>
      <w:r>
        <w:rPr>
          <w:rFonts w:hint="eastAsia" w:ascii="仿宋" w:hAnsi="仿宋" w:eastAsia="仿宋"/>
          <w:b/>
          <w:bCs/>
          <w:color w:val="auto"/>
          <w:sz w:val="24"/>
          <w:szCs w:val="24"/>
          <w:u w:val="none"/>
        </w:rPr>
        <w:t>综合评分法</w:t>
      </w:r>
      <w:r>
        <w:rPr>
          <w:rFonts w:hint="eastAsia" w:ascii="仿宋" w:hAnsi="仿宋" w:eastAsia="仿宋"/>
          <w:b/>
          <w:bCs/>
          <w:color w:val="auto"/>
          <w:sz w:val="24"/>
          <w:szCs w:val="24"/>
          <w:u w:val="none"/>
          <w:lang w:eastAsia="zh-CN"/>
        </w:rPr>
        <w:t>。</w:t>
      </w:r>
    </w:p>
    <w:p>
      <w:pPr>
        <w:spacing w:line="360" w:lineRule="auto"/>
        <w:ind w:firstLine="480" w:firstLineChars="200"/>
        <w:rPr>
          <w:rFonts w:ascii="仿宋" w:hAnsi="仿宋" w:eastAsia="仿宋"/>
          <w:color w:val="auto"/>
          <w:sz w:val="24"/>
          <w:szCs w:val="24"/>
        </w:rPr>
      </w:pPr>
      <w:r>
        <w:rPr>
          <w:rFonts w:hint="eastAsia" w:ascii="仿宋" w:hAnsi="仿宋" w:eastAsia="仿宋" w:cs="宋体"/>
          <w:color w:val="auto"/>
          <w:kern w:val="0"/>
          <w:sz w:val="24"/>
          <w:szCs w:val="24"/>
        </w:rPr>
        <w:t>综合评分法，是指响应</w:t>
      </w:r>
      <w:r>
        <w:rPr>
          <w:rFonts w:ascii="仿宋" w:hAnsi="仿宋" w:eastAsia="仿宋" w:cs="宋体"/>
          <w:color w:val="auto"/>
          <w:kern w:val="0"/>
          <w:sz w:val="24"/>
          <w:szCs w:val="24"/>
        </w:rPr>
        <w:t>文件满足</w:t>
      </w:r>
      <w:r>
        <w:rPr>
          <w:rFonts w:hint="eastAsia" w:ascii="仿宋" w:hAnsi="仿宋" w:eastAsia="仿宋" w:cs="宋体"/>
          <w:color w:val="auto"/>
          <w:kern w:val="0"/>
          <w:sz w:val="24"/>
          <w:szCs w:val="24"/>
        </w:rPr>
        <w:t>网上竞采</w:t>
      </w:r>
      <w:r>
        <w:rPr>
          <w:rFonts w:ascii="仿宋" w:hAnsi="仿宋" w:eastAsia="仿宋" w:cs="宋体"/>
          <w:color w:val="auto"/>
          <w:kern w:val="0"/>
          <w:sz w:val="24"/>
          <w:szCs w:val="24"/>
        </w:rPr>
        <w:t>文件全部实质性要求且按照评审因素的量化指标评审得分最高的供应商为</w:t>
      </w:r>
      <w:r>
        <w:rPr>
          <w:rFonts w:hint="eastAsia" w:ascii="仿宋" w:hAnsi="仿宋" w:eastAsia="仿宋" w:cs="宋体"/>
          <w:color w:val="auto"/>
          <w:kern w:val="0"/>
          <w:sz w:val="24"/>
          <w:szCs w:val="24"/>
        </w:rPr>
        <w:t>成交</w:t>
      </w:r>
      <w:r>
        <w:rPr>
          <w:rFonts w:ascii="仿宋" w:hAnsi="仿宋" w:eastAsia="仿宋" w:cs="宋体"/>
          <w:color w:val="auto"/>
          <w:kern w:val="0"/>
          <w:sz w:val="24"/>
          <w:szCs w:val="24"/>
        </w:rPr>
        <w:t>候选</w:t>
      </w:r>
      <w:r>
        <w:rPr>
          <w:rFonts w:hint="eastAsia" w:ascii="仿宋" w:hAnsi="仿宋" w:eastAsia="仿宋" w:cs="宋体"/>
          <w:color w:val="auto"/>
          <w:kern w:val="0"/>
          <w:sz w:val="24"/>
          <w:szCs w:val="24"/>
        </w:rPr>
        <w:t>供应商</w:t>
      </w:r>
      <w:r>
        <w:rPr>
          <w:rFonts w:ascii="仿宋" w:hAnsi="仿宋" w:eastAsia="仿宋" w:cs="宋体"/>
          <w:color w:val="auto"/>
          <w:kern w:val="0"/>
          <w:sz w:val="24"/>
          <w:szCs w:val="24"/>
        </w:rPr>
        <w:t>的</w:t>
      </w:r>
      <w:r>
        <w:rPr>
          <w:rFonts w:hint="eastAsia" w:ascii="仿宋" w:hAnsi="仿宋" w:eastAsia="仿宋" w:cs="宋体"/>
          <w:color w:val="auto"/>
          <w:kern w:val="0"/>
          <w:sz w:val="24"/>
          <w:szCs w:val="24"/>
        </w:rPr>
        <w:t>评审</w:t>
      </w:r>
      <w:r>
        <w:rPr>
          <w:rFonts w:ascii="仿宋" w:hAnsi="仿宋" w:eastAsia="仿宋" w:cs="宋体"/>
          <w:color w:val="auto"/>
          <w:kern w:val="0"/>
          <w:sz w:val="24"/>
          <w:szCs w:val="24"/>
        </w:rPr>
        <w:t>方法</w:t>
      </w:r>
      <w:r>
        <w:rPr>
          <w:rFonts w:hint="eastAsia" w:ascii="仿宋" w:hAnsi="仿宋" w:eastAsia="仿宋" w:cs="宋体"/>
          <w:color w:val="auto"/>
          <w:kern w:val="0"/>
          <w:sz w:val="24"/>
          <w:szCs w:val="24"/>
        </w:rPr>
        <w:t>。供应商总得分为价格、技术、商务等评定因素分别按照相应权重值计算分项得分后相加，满分为100分</w:t>
      </w:r>
      <w:r>
        <w:rPr>
          <w:rFonts w:hint="eastAsia" w:ascii="仿宋" w:hAnsi="仿宋" w:eastAsia="仿宋"/>
          <w:color w:val="auto"/>
          <w:sz w:val="24"/>
          <w:szCs w:val="24"/>
        </w:rPr>
        <w:t>。</w:t>
      </w:r>
    </w:p>
    <w:p>
      <w:pPr>
        <w:spacing w:line="312" w:lineRule="auto"/>
        <w:jc w:val="both"/>
        <w:rPr>
          <w:rFonts w:hint="eastAsia" w:ascii="仿宋" w:hAnsi="仿宋" w:eastAsia="仿宋" w:cs="仿宋"/>
          <w:b/>
          <w:bCs/>
          <w:i w:val="0"/>
          <w:iCs w:val="0"/>
          <w:color w:val="auto"/>
          <w:sz w:val="24"/>
          <w:szCs w:val="24"/>
        </w:rPr>
      </w:pPr>
      <w:bookmarkStart w:id="74" w:name="_Hlk27399823"/>
    </w:p>
    <w:p>
      <w:pPr>
        <w:spacing w:line="312" w:lineRule="auto"/>
        <w:jc w:val="left"/>
        <w:rPr>
          <w:rFonts w:hint="eastAsia" w:ascii="仿宋" w:hAnsi="仿宋" w:eastAsia="仿宋" w:cs="仿宋"/>
          <w:b/>
          <w:bCs/>
          <w:i w:val="0"/>
          <w:iCs w:val="0"/>
          <w:color w:val="auto"/>
          <w:sz w:val="24"/>
          <w:szCs w:val="24"/>
          <w:lang w:val="en-US" w:eastAsia="zh-CN"/>
        </w:rPr>
      </w:pPr>
    </w:p>
    <w:p>
      <w:pPr>
        <w:spacing w:line="312" w:lineRule="auto"/>
        <w:jc w:val="left"/>
        <w:rPr>
          <w:rFonts w:hint="eastAsia" w:ascii="仿宋" w:hAnsi="仿宋" w:eastAsia="仿宋" w:cs="仿宋"/>
          <w:b/>
          <w:bCs/>
          <w:i w:val="0"/>
          <w:iCs w:val="0"/>
          <w:color w:val="auto"/>
          <w:sz w:val="24"/>
          <w:szCs w:val="24"/>
          <w:lang w:val="en-US" w:eastAsia="zh-CN"/>
        </w:rPr>
      </w:pPr>
    </w:p>
    <w:p>
      <w:pPr>
        <w:spacing w:line="312" w:lineRule="auto"/>
        <w:jc w:val="left"/>
        <w:rPr>
          <w:rFonts w:hint="eastAsia" w:ascii="仿宋" w:hAnsi="仿宋" w:eastAsia="仿宋" w:cs="仿宋"/>
          <w:b/>
          <w:bCs/>
          <w:i w:val="0"/>
          <w:iCs w:val="0"/>
          <w:color w:val="auto"/>
          <w:sz w:val="24"/>
          <w:szCs w:val="24"/>
          <w:lang w:val="en-US" w:eastAsia="zh-CN"/>
        </w:rPr>
      </w:pPr>
    </w:p>
    <w:p>
      <w:pPr>
        <w:spacing w:line="312" w:lineRule="auto"/>
        <w:jc w:val="left"/>
        <w:rPr>
          <w:rFonts w:hint="eastAsia" w:ascii="仿宋" w:hAnsi="仿宋" w:eastAsia="仿宋" w:cs="仿宋"/>
          <w:b/>
          <w:bCs/>
          <w:i w:val="0"/>
          <w:iCs w:val="0"/>
          <w:color w:val="auto"/>
          <w:sz w:val="24"/>
          <w:szCs w:val="24"/>
          <w:lang w:val="en-US" w:eastAsia="zh-CN"/>
        </w:rPr>
      </w:pPr>
    </w:p>
    <w:p>
      <w:pPr>
        <w:spacing w:line="312" w:lineRule="auto"/>
        <w:jc w:val="left"/>
        <w:rPr>
          <w:rFonts w:hint="eastAsia" w:ascii="仿宋" w:hAnsi="仿宋" w:eastAsia="仿宋" w:cs="仿宋"/>
          <w:b/>
          <w:bCs/>
          <w:i w:val="0"/>
          <w:iCs w:val="0"/>
          <w:color w:val="auto"/>
          <w:sz w:val="24"/>
          <w:szCs w:val="24"/>
          <w:lang w:val="en-US" w:eastAsia="zh-CN"/>
        </w:rPr>
      </w:pPr>
    </w:p>
    <w:p>
      <w:pPr>
        <w:spacing w:line="312" w:lineRule="auto"/>
        <w:jc w:val="left"/>
        <w:rPr>
          <w:rFonts w:hint="eastAsia" w:ascii="仿宋" w:hAnsi="仿宋" w:eastAsia="仿宋" w:cs="仿宋"/>
          <w:b/>
          <w:bCs/>
          <w:i w:val="0"/>
          <w:iCs w:val="0"/>
          <w:color w:val="auto"/>
          <w:sz w:val="24"/>
          <w:szCs w:val="24"/>
          <w:lang w:val="en-US" w:eastAsia="zh-CN"/>
        </w:rPr>
      </w:pPr>
    </w:p>
    <w:p>
      <w:pPr>
        <w:spacing w:line="312" w:lineRule="auto"/>
        <w:jc w:val="left"/>
        <w:rPr>
          <w:rFonts w:hint="eastAsia" w:ascii="仿宋" w:hAnsi="仿宋" w:eastAsia="仿宋" w:cs="仿宋"/>
          <w:b/>
          <w:bCs/>
          <w:i w:val="0"/>
          <w:iCs w:val="0"/>
          <w:color w:val="auto"/>
          <w:sz w:val="24"/>
          <w:szCs w:val="24"/>
          <w:lang w:val="en-US" w:eastAsia="zh-CN"/>
        </w:rPr>
      </w:pPr>
    </w:p>
    <w:p>
      <w:pPr>
        <w:spacing w:line="312" w:lineRule="auto"/>
        <w:jc w:val="left"/>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lang w:val="en-US" w:eastAsia="zh-CN"/>
        </w:rPr>
        <w:t>二、</w:t>
      </w:r>
      <w:r>
        <w:rPr>
          <w:rFonts w:hint="eastAsia" w:ascii="仿宋" w:hAnsi="仿宋" w:eastAsia="仿宋" w:cs="仿宋"/>
          <w:b/>
          <w:bCs/>
          <w:i w:val="0"/>
          <w:iCs w:val="0"/>
          <w:color w:val="auto"/>
          <w:sz w:val="24"/>
          <w:szCs w:val="24"/>
        </w:rPr>
        <w:t>评审标准</w:t>
      </w:r>
    </w:p>
    <w:p>
      <w:pPr>
        <w:spacing w:line="312" w:lineRule="auto"/>
        <w:ind w:firstLine="480" w:firstLineChars="200"/>
        <w:jc w:val="center"/>
        <w:rPr>
          <w:rFonts w:hint="eastAsia" w:ascii="仿宋" w:hAnsi="仿宋" w:eastAsia="仿宋" w:cs="仿宋"/>
          <w:i w:val="0"/>
          <w:iCs w:val="0"/>
          <w:color w:val="auto"/>
          <w:sz w:val="24"/>
          <w:szCs w:val="24"/>
        </w:rPr>
      </w:pPr>
    </w:p>
    <w:tbl>
      <w:tblPr>
        <w:tblStyle w:val="15"/>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4677"/>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序号</w:t>
            </w:r>
          </w:p>
        </w:tc>
        <w:tc>
          <w:tcPr>
            <w:tcW w:w="1269" w:type="dxa"/>
            <w:vAlign w:val="center"/>
          </w:tcPr>
          <w:p>
            <w:pPr>
              <w:spacing w:line="440" w:lineRule="exact"/>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评分因素</w:t>
            </w:r>
          </w:p>
        </w:tc>
        <w:tc>
          <w:tcPr>
            <w:tcW w:w="955" w:type="dxa"/>
            <w:vAlign w:val="center"/>
          </w:tcPr>
          <w:p>
            <w:pPr>
              <w:spacing w:line="440" w:lineRule="exact"/>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分值</w:t>
            </w:r>
          </w:p>
        </w:tc>
        <w:tc>
          <w:tcPr>
            <w:tcW w:w="4677" w:type="dxa"/>
            <w:vAlign w:val="center"/>
          </w:tcPr>
          <w:p>
            <w:pPr>
              <w:spacing w:line="440" w:lineRule="exact"/>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评分标准</w:t>
            </w:r>
          </w:p>
        </w:tc>
        <w:tc>
          <w:tcPr>
            <w:tcW w:w="2724" w:type="dxa"/>
            <w:vAlign w:val="center"/>
          </w:tcPr>
          <w:p>
            <w:pPr>
              <w:pStyle w:val="18"/>
              <w:spacing w:before="0" w:after="0" w:line="440" w:lineRule="exac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hint="eastAsia" w:ascii="仿宋" w:hAnsi="仿宋" w:eastAsia="仿宋" w:cs="仿宋"/>
                <w:i w:val="0"/>
                <w:iCs w:val="0"/>
                <w:color w:val="auto"/>
                <w:sz w:val="24"/>
                <w:szCs w:val="24"/>
              </w:rPr>
            </w:pPr>
            <w:r>
              <w:rPr>
                <w:rFonts w:ascii="宋体" w:hAnsi="宋体" w:cs="方正仿宋_GBK"/>
                <w:color w:val="auto"/>
                <w:sz w:val="24"/>
                <w:szCs w:val="24"/>
              </w:rPr>
              <w:t>1</w:t>
            </w:r>
          </w:p>
        </w:tc>
        <w:tc>
          <w:tcPr>
            <w:tcW w:w="1269" w:type="dxa"/>
            <w:vAlign w:val="center"/>
          </w:tcPr>
          <w:p>
            <w:pPr>
              <w:spacing w:line="360" w:lineRule="exact"/>
              <w:rPr>
                <w:rFonts w:hint="eastAsia" w:ascii="仿宋" w:hAnsi="仿宋" w:eastAsia="仿宋" w:cs="仿宋"/>
                <w:i w:val="0"/>
                <w:iCs w:val="0"/>
                <w:color w:val="auto"/>
                <w:sz w:val="24"/>
                <w:szCs w:val="24"/>
              </w:rPr>
            </w:pPr>
            <w:r>
              <w:rPr>
                <w:rFonts w:hint="eastAsia" w:ascii="宋体" w:hAnsi="宋体" w:cs="方正仿宋_GBK"/>
                <w:color w:val="auto"/>
                <w:sz w:val="24"/>
                <w:szCs w:val="24"/>
              </w:rPr>
              <w:t>投标报价</w:t>
            </w:r>
          </w:p>
        </w:tc>
        <w:tc>
          <w:tcPr>
            <w:tcW w:w="955" w:type="dxa"/>
            <w:vAlign w:val="center"/>
          </w:tcPr>
          <w:p>
            <w:pPr>
              <w:spacing w:line="360" w:lineRule="exact"/>
              <w:jc w:val="center"/>
              <w:rPr>
                <w:rFonts w:hint="eastAsia" w:ascii="仿宋" w:hAnsi="仿宋" w:eastAsia="仿宋" w:cs="仿宋"/>
                <w:i w:val="0"/>
                <w:iCs w:val="0"/>
                <w:color w:val="auto"/>
                <w:sz w:val="24"/>
                <w:szCs w:val="24"/>
              </w:rPr>
            </w:pPr>
            <w:r>
              <w:rPr>
                <w:rFonts w:ascii="宋体" w:hAnsi="宋体" w:cs="方正仿宋_GBK"/>
                <w:color w:val="auto"/>
                <w:sz w:val="24"/>
                <w:szCs w:val="24"/>
              </w:rPr>
              <w:t>20</w:t>
            </w:r>
          </w:p>
        </w:tc>
        <w:tc>
          <w:tcPr>
            <w:tcW w:w="4677" w:type="dxa"/>
            <w:vAlign w:val="center"/>
          </w:tcPr>
          <w:p>
            <w:pPr>
              <w:widowControl/>
              <w:spacing w:line="300" w:lineRule="exact"/>
              <w:outlineLvl w:val="2"/>
              <w:rPr>
                <w:rFonts w:ascii="宋体" w:cs="宋体"/>
                <w:color w:val="auto"/>
                <w:sz w:val="24"/>
                <w:szCs w:val="24"/>
              </w:rPr>
            </w:pPr>
            <w:r>
              <w:rPr>
                <w:rFonts w:hint="eastAsia" w:ascii="宋体" w:hAnsi="宋体" w:cs="宋体"/>
                <w:color w:val="auto"/>
                <w:sz w:val="24"/>
                <w:szCs w:val="24"/>
              </w:rPr>
              <w:t>有效的投标报价中的最低价为评标基准价，按照下列公式计算每个投标人的投标价格得分。</w:t>
            </w:r>
          </w:p>
          <w:p>
            <w:pPr>
              <w:widowControl/>
              <w:spacing w:line="300" w:lineRule="exact"/>
              <w:outlineLvl w:val="2"/>
              <w:rPr>
                <w:rFonts w:hint="eastAsia" w:ascii="仿宋" w:hAnsi="仿宋" w:eastAsia="仿宋" w:cs="仿宋"/>
                <w:i w:val="0"/>
                <w:iCs w:val="0"/>
                <w:color w:val="auto"/>
                <w:sz w:val="24"/>
                <w:szCs w:val="24"/>
              </w:rPr>
            </w:pPr>
            <w:r>
              <w:rPr>
                <w:rFonts w:hint="eastAsia" w:ascii="宋体" w:hAnsi="宋体" w:cs="宋体"/>
                <w:color w:val="auto"/>
                <w:sz w:val="24"/>
                <w:szCs w:val="24"/>
              </w:rPr>
              <w:t>投标报价得分＝（评标基准价</w:t>
            </w:r>
            <w:r>
              <w:rPr>
                <w:rFonts w:ascii="宋体" w:hAnsi="宋体" w:cs="宋体"/>
                <w:color w:val="auto"/>
                <w:sz w:val="24"/>
                <w:szCs w:val="24"/>
              </w:rPr>
              <w:t>/</w:t>
            </w:r>
            <w:r>
              <w:rPr>
                <w:rFonts w:hint="eastAsia" w:ascii="宋体" w:hAnsi="宋体" w:cs="宋体"/>
                <w:color w:val="auto"/>
                <w:sz w:val="24"/>
                <w:szCs w:val="24"/>
              </w:rPr>
              <w:t>投标报价）×价格权重×</w:t>
            </w:r>
            <w:r>
              <w:rPr>
                <w:rFonts w:ascii="宋体" w:hAnsi="宋体" w:cs="宋体"/>
                <w:color w:val="auto"/>
                <w:sz w:val="24"/>
                <w:szCs w:val="24"/>
              </w:rPr>
              <w:t>100</w:t>
            </w:r>
            <w:r>
              <w:rPr>
                <w:rFonts w:hint="eastAsia" w:ascii="宋体" w:hAnsi="宋体" w:cs="宋体"/>
                <w:color w:val="auto"/>
                <w:sz w:val="24"/>
                <w:szCs w:val="24"/>
              </w:rPr>
              <w:t>。</w:t>
            </w:r>
          </w:p>
        </w:tc>
        <w:tc>
          <w:tcPr>
            <w:tcW w:w="2724" w:type="dxa"/>
            <w:vAlign w:val="center"/>
          </w:tcPr>
          <w:p>
            <w:pPr>
              <w:spacing w:line="360" w:lineRule="exact"/>
              <w:rPr>
                <w:rFonts w:hint="eastAsia" w:ascii="仿宋" w:hAnsi="仿宋" w:eastAsia="仿宋" w:cs="仿宋"/>
                <w:i w:val="0"/>
                <w:iCs w:val="0"/>
                <w:color w:val="auto"/>
                <w:sz w:val="24"/>
                <w:szCs w:val="24"/>
              </w:rPr>
            </w:pPr>
            <w:r>
              <w:rPr>
                <w:rFonts w:hint="eastAsia" w:ascii="宋体" w:hAnsi="宋体" w:cs="宋体"/>
                <w:color w:val="auto"/>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vAlign w:val="center"/>
          </w:tcPr>
          <w:p>
            <w:pPr>
              <w:spacing w:line="360" w:lineRule="exact"/>
              <w:jc w:val="center"/>
              <w:rPr>
                <w:rFonts w:hint="eastAsia" w:ascii="仿宋" w:hAnsi="仿宋" w:eastAsia="仿宋" w:cs="仿宋"/>
                <w:i w:val="0"/>
                <w:iCs w:val="0"/>
                <w:color w:val="auto"/>
                <w:sz w:val="24"/>
                <w:szCs w:val="24"/>
              </w:rPr>
            </w:pPr>
            <w:r>
              <w:rPr>
                <w:rFonts w:ascii="宋体" w:hAnsi="宋体" w:cs="方正仿宋_GBK"/>
                <w:color w:val="auto"/>
                <w:sz w:val="24"/>
                <w:szCs w:val="24"/>
              </w:rPr>
              <w:t>2</w:t>
            </w:r>
          </w:p>
        </w:tc>
        <w:tc>
          <w:tcPr>
            <w:tcW w:w="1269" w:type="dxa"/>
            <w:vAlign w:val="center"/>
          </w:tcPr>
          <w:p>
            <w:pPr>
              <w:spacing w:line="360" w:lineRule="exact"/>
              <w:jc w:val="center"/>
              <w:rPr>
                <w:rFonts w:hint="eastAsia" w:ascii="仿宋" w:hAnsi="仿宋" w:eastAsia="仿宋" w:cs="仿宋"/>
                <w:i w:val="0"/>
                <w:iCs w:val="0"/>
                <w:color w:val="auto"/>
                <w:sz w:val="24"/>
                <w:szCs w:val="24"/>
              </w:rPr>
            </w:pPr>
            <w:r>
              <w:rPr>
                <w:rFonts w:hint="eastAsia" w:ascii="宋体" w:hAnsi="宋体" w:cs="方正仿宋_GBK"/>
                <w:color w:val="auto"/>
                <w:sz w:val="24"/>
                <w:szCs w:val="24"/>
              </w:rPr>
              <w:t>服务部分</w:t>
            </w:r>
          </w:p>
        </w:tc>
        <w:tc>
          <w:tcPr>
            <w:tcW w:w="955" w:type="dxa"/>
            <w:vAlign w:val="center"/>
          </w:tcPr>
          <w:p>
            <w:pPr>
              <w:spacing w:line="240" w:lineRule="exact"/>
              <w:jc w:val="center"/>
              <w:rPr>
                <w:rFonts w:hint="eastAsia" w:ascii="仿宋" w:hAnsi="仿宋" w:eastAsia="仿宋" w:cs="仿宋"/>
                <w:i w:val="0"/>
                <w:iCs w:val="0"/>
                <w:color w:val="auto"/>
                <w:sz w:val="24"/>
                <w:szCs w:val="24"/>
              </w:rPr>
            </w:pPr>
            <w:r>
              <w:rPr>
                <w:rFonts w:hint="eastAsia" w:ascii="宋体" w:hAnsi="宋体" w:eastAsia="微软雅黑" w:cs="方正仿宋_GBK"/>
                <w:color w:val="auto"/>
                <w:sz w:val="24"/>
                <w:szCs w:val="24"/>
                <w:lang w:val="en-US" w:eastAsia="zh-CN"/>
              </w:rPr>
              <w:t>45</w:t>
            </w:r>
          </w:p>
        </w:tc>
        <w:tc>
          <w:tcPr>
            <w:tcW w:w="4677" w:type="dxa"/>
            <w:vAlign w:val="center"/>
          </w:tcPr>
          <w:p>
            <w:pPr>
              <w:widowControl/>
              <w:spacing w:line="300" w:lineRule="exact"/>
              <w:outlineLvl w:val="2"/>
              <w:rPr>
                <w:rFonts w:ascii="宋体" w:cs="宋体"/>
                <w:color w:val="auto"/>
                <w:sz w:val="24"/>
                <w:szCs w:val="24"/>
              </w:rPr>
            </w:pPr>
            <w:r>
              <w:rPr>
                <w:rFonts w:hint="eastAsia" w:ascii="宋体" w:hAnsi="宋体" w:cs="宋体"/>
                <w:color w:val="auto"/>
                <w:sz w:val="24"/>
                <w:szCs w:val="24"/>
              </w:rPr>
              <w:t>服务需求内容提供书面方案。</w:t>
            </w:r>
          </w:p>
          <w:p>
            <w:pPr>
              <w:widowControl/>
              <w:spacing w:line="300" w:lineRule="exact"/>
              <w:outlineLvl w:val="2"/>
              <w:rPr>
                <w:rFonts w:asci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w:t>
            </w:r>
            <w:r>
              <w:rPr>
                <w:rFonts w:hint="eastAsia" w:ascii="宋体" w:hAnsi="宋体" w:cs="宋体"/>
                <w:color w:val="auto"/>
                <w:sz w:val="24"/>
                <w:szCs w:val="24"/>
                <w:lang w:eastAsia="zh-CN"/>
              </w:rPr>
              <w:t>实施</w:t>
            </w:r>
            <w:r>
              <w:rPr>
                <w:rFonts w:hint="eastAsia" w:ascii="宋体" w:hAnsi="宋体" w:cs="宋体"/>
                <w:color w:val="auto"/>
                <w:sz w:val="24"/>
                <w:szCs w:val="24"/>
              </w:rPr>
              <w:t>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详细、合理、可行，符合采购需求</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较详细、较合理、较可行，较符合采购需求</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基本详细、基本合理、基本可行，基本符合采购需求</w:t>
            </w:r>
            <w:r>
              <w:rPr>
                <w:rFonts w:hint="eastAsia" w:ascii="宋体" w:hAnsi="宋体" w:eastAsia="宋体" w:cs="宋体"/>
                <w:color w:val="auto"/>
                <w:sz w:val="24"/>
                <w:szCs w:val="24"/>
              </w:rPr>
              <w:t>，得1-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无方案，得0分。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技术服务</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技术服务内容、范围符合标书要求，组织机构健全、人员安排合理、工作职责明确、服务保障措施完善。优得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分，良得</w:t>
            </w:r>
            <w:r>
              <w:rPr>
                <w:rFonts w:hint="eastAsia" w:ascii="宋体" w:hAnsi="宋体" w:eastAsia="宋体" w:cs="宋体"/>
                <w:color w:val="auto"/>
                <w:sz w:val="24"/>
                <w:szCs w:val="24"/>
                <w:lang w:val="en-US" w:eastAsia="zh-CN"/>
              </w:rPr>
              <w:t>8-14</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一般得3-7分，</w:t>
            </w:r>
            <w:r>
              <w:rPr>
                <w:rFonts w:hint="eastAsia" w:ascii="宋体" w:hAnsi="宋体" w:eastAsia="宋体" w:cs="宋体"/>
                <w:color w:val="auto"/>
                <w:sz w:val="24"/>
                <w:szCs w:val="24"/>
              </w:rPr>
              <w:t>差</w:t>
            </w:r>
            <w:r>
              <w:rPr>
                <w:rFonts w:hint="eastAsia" w:ascii="宋体" w:hAnsi="宋体" w:eastAsia="宋体" w:cs="宋体"/>
                <w:color w:val="auto"/>
                <w:sz w:val="24"/>
                <w:szCs w:val="24"/>
                <w:lang w:val="en-US" w:eastAsia="zh-CN"/>
              </w:rPr>
              <w:t>得1-3分</w:t>
            </w:r>
            <w:r>
              <w:rPr>
                <w:rFonts w:hint="eastAsia" w:ascii="宋体" w:hAnsi="宋体" w:eastAsia="宋体" w:cs="宋体"/>
                <w:color w:val="auto"/>
                <w:sz w:val="24"/>
                <w:szCs w:val="24"/>
                <w:lang w:eastAsia="zh-CN"/>
              </w:rPr>
              <w:t>，未提供</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进度保障</w:t>
            </w:r>
            <w:r>
              <w:rPr>
                <w:rFonts w:hint="eastAsia" w:ascii="宋体" w:hAnsi="宋体" w:eastAsia="宋体" w:cs="宋体"/>
                <w:color w:val="auto"/>
                <w:sz w:val="24"/>
                <w:szCs w:val="24"/>
              </w:rPr>
              <w:t>（10分）</w:t>
            </w:r>
          </w:p>
          <w:p>
            <w:pPr>
              <w:widowControl/>
              <w:spacing w:line="300" w:lineRule="exact"/>
              <w:outlineLvl w:val="2"/>
              <w:rPr>
                <w:rFonts w:hint="eastAsia" w:ascii="仿宋" w:hAnsi="仿宋" w:eastAsia="仿宋" w:cs="仿宋"/>
                <w:i w:val="0"/>
                <w:iCs w:val="0"/>
                <w:color w:val="auto"/>
                <w:sz w:val="24"/>
                <w:szCs w:val="24"/>
              </w:rPr>
            </w:pPr>
            <w:r>
              <w:rPr>
                <w:rFonts w:hint="eastAsia" w:ascii="宋体" w:hAnsi="宋体" w:eastAsia="宋体" w:cs="宋体"/>
                <w:color w:val="auto"/>
                <w:sz w:val="24"/>
                <w:szCs w:val="24"/>
              </w:rPr>
              <w:t>工作阶段进度安排覆盖整个服务周期，有完善的进度保障措施，且措施科学、合理、可操作性强。优得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分，良得</w:t>
            </w:r>
            <w:r>
              <w:rPr>
                <w:rFonts w:hint="eastAsia" w:ascii="宋体" w:hAnsi="宋体" w:eastAsia="宋体" w:cs="宋体"/>
                <w:color w:val="auto"/>
                <w:sz w:val="24"/>
                <w:szCs w:val="24"/>
                <w:lang w:val="en-US" w:eastAsia="zh-CN"/>
              </w:rPr>
              <w:t>7-9</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一般得3-6分，</w:t>
            </w:r>
            <w:r>
              <w:rPr>
                <w:rFonts w:hint="eastAsia" w:ascii="宋体" w:hAnsi="宋体" w:eastAsia="宋体" w:cs="宋体"/>
                <w:color w:val="auto"/>
                <w:sz w:val="24"/>
                <w:szCs w:val="24"/>
              </w:rPr>
              <w:t>差</w:t>
            </w:r>
            <w:r>
              <w:rPr>
                <w:rFonts w:hint="eastAsia" w:ascii="宋体" w:hAnsi="宋体" w:eastAsia="宋体" w:cs="宋体"/>
                <w:color w:val="auto"/>
                <w:sz w:val="24"/>
                <w:szCs w:val="24"/>
                <w:lang w:val="en-US" w:eastAsia="zh-CN"/>
              </w:rPr>
              <w:t>得1-3分</w:t>
            </w:r>
            <w:r>
              <w:rPr>
                <w:rFonts w:hint="eastAsia" w:ascii="宋体" w:hAnsi="宋体" w:eastAsia="宋体" w:cs="宋体"/>
                <w:color w:val="auto"/>
                <w:sz w:val="24"/>
                <w:szCs w:val="24"/>
                <w:lang w:eastAsia="zh-CN"/>
              </w:rPr>
              <w:t>，未提供</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2724" w:type="dxa"/>
            <w:vAlign w:val="center"/>
          </w:tcPr>
          <w:p>
            <w:pPr>
              <w:spacing w:line="360" w:lineRule="exact"/>
              <w:rPr>
                <w:rFonts w:hint="eastAsia" w:ascii="仿宋" w:hAnsi="仿宋" w:eastAsia="仿宋" w:cs="仿宋"/>
                <w:i w:val="0"/>
                <w:iCs w:val="0"/>
                <w:color w:val="auto"/>
                <w:sz w:val="24"/>
                <w:szCs w:val="24"/>
              </w:rPr>
            </w:pPr>
            <w:r>
              <w:rPr>
                <w:rFonts w:hint="eastAsia" w:ascii="宋体" w:hAnsi="宋体" w:cs="宋体"/>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Align w:val="center"/>
          </w:tcPr>
          <w:p>
            <w:pPr>
              <w:spacing w:line="320" w:lineRule="exact"/>
              <w:jc w:val="center"/>
              <w:rPr>
                <w:rFonts w:ascii="宋体" w:cs="方正仿宋_GBK"/>
                <w:color w:val="auto"/>
                <w:sz w:val="24"/>
                <w:szCs w:val="24"/>
              </w:rPr>
            </w:pPr>
            <w:r>
              <w:rPr>
                <w:rFonts w:ascii="宋体" w:hAnsi="宋体" w:cs="方正仿宋_GBK"/>
                <w:color w:val="auto"/>
                <w:sz w:val="24"/>
                <w:szCs w:val="24"/>
              </w:rPr>
              <w:t>3</w:t>
            </w:r>
          </w:p>
          <w:p>
            <w:pPr>
              <w:spacing w:line="320" w:lineRule="exact"/>
              <w:jc w:val="center"/>
              <w:rPr>
                <w:rFonts w:hint="eastAsia" w:ascii="仿宋" w:hAnsi="仿宋" w:eastAsia="仿宋" w:cs="仿宋"/>
                <w:i w:val="0"/>
                <w:iCs w:val="0"/>
                <w:color w:val="auto"/>
                <w:sz w:val="24"/>
                <w:szCs w:val="24"/>
              </w:rPr>
            </w:pPr>
          </w:p>
        </w:tc>
        <w:tc>
          <w:tcPr>
            <w:tcW w:w="1269" w:type="dxa"/>
            <w:vAlign w:val="center"/>
          </w:tcPr>
          <w:p>
            <w:pPr>
              <w:spacing w:line="320" w:lineRule="exact"/>
              <w:jc w:val="center"/>
              <w:rPr>
                <w:rFonts w:hint="eastAsia" w:ascii="仿宋" w:hAnsi="仿宋" w:eastAsia="仿宋" w:cs="仿宋"/>
                <w:i w:val="0"/>
                <w:iCs w:val="0"/>
                <w:color w:val="auto"/>
                <w:sz w:val="24"/>
                <w:szCs w:val="24"/>
              </w:rPr>
            </w:pPr>
            <w:r>
              <w:rPr>
                <w:rFonts w:hint="eastAsia" w:ascii="宋体" w:hAnsi="宋体" w:cs="方正仿宋_GBK"/>
                <w:color w:val="auto"/>
                <w:sz w:val="24"/>
                <w:szCs w:val="24"/>
              </w:rPr>
              <w:t>商务部分</w:t>
            </w:r>
          </w:p>
        </w:tc>
        <w:tc>
          <w:tcPr>
            <w:tcW w:w="955" w:type="dxa"/>
            <w:vAlign w:val="center"/>
          </w:tcPr>
          <w:p>
            <w:pPr>
              <w:spacing w:line="300" w:lineRule="exact"/>
              <w:jc w:val="center"/>
              <w:outlineLvl w:val="2"/>
              <w:rPr>
                <w:rFonts w:hint="eastAsia" w:ascii="仿宋" w:hAnsi="仿宋" w:eastAsia="仿宋" w:cs="仿宋"/>
                <w:i w:val="0"/>
                <w:iCs w:val="0"/>
                <w:color w:val="auto"/>
                <w:sz w:val="24"/>
                <w:szCs w:val="24"/>
              </w:rPr>
            </w:pPr>
            <w:r>
              <w:rPr>
                <w:rFonts w:hint="eastAsia" w:ascii="宋体" w:hAnsi="宋体" w:cs="宋体"/>
                <w:color w:val="auto"/>
                <w:sz w:val="24"/>
                <w:szCs w:val="24"/>
              </w:rPr>
              <w:t>处置能力</w:t>
            </w:r>
            <w:r>
              <w:rPr>
                <w:rFonts w:ascii="宋体" w:hAnsi="宋体" w:cs="宋体"/>
                <w:color w:val="auto"/>
                <w:sz w:val="24"/>
                <w:szCs w:val="24"/>
              </w:rPr>
              <w:t>20</w:t>
            </w:r>
            <w:r>
              <w:rPr>
                <w:rFonts w:hint="eastAsia" w:ascii="宋体" w:hAnsi="宋体" w:cs="宋体"/>
                <w:color w:val="auto"/>
                <w:sz w:val="24"/>
                <w:szCs w:val="24"/>
              </w:rPr>
              <w:t>分</w:t>
            </w:r>
          </w:p>
        </w:tc>
        <w:tc>
          <w:tcPr>
            <w:tcW w:w="4677" w:type="dxa"/>
            <w:vAlign w:val="center"/>
          </w:tcPr>
          <w:p>
            <w:pPr>
              <w:spacing w:after="120" w:line="276" w:lineRule="auto"/>
              <w:jc w:val="left"/>
              <w:rPr>
                <w:rFonts w:hint="eastAsia" w:ascii="仿宋" w:hAnsi="仿宋" w:eastAsia="仿宋" w:cs="仿宋"/>
                <w:i w:val="0"/>
                <w:iCs w:val="0"/>
                <w:color w:val="auto"/>
                <w:sz w:val="24"/>
                <w:szCs w:val="24"/>
              </w:rPr>
            </w:pPr>
            <w:r>
              <w:rPr>
                <w:rFonts w:hint="eastAsia" w:ascii="宋体" w:hAnsi="宋体" w:cs="宋体"/>
                <w:color w:val="auto"/>
                <w:sz w:val="21"/>
                <w:szCs w:val="21"/>
                <w:lang w:val="zh-CN"/>
              </w:rPr>
              <w:t>供应商按照《国家危险废物名录》（</w:t>
            </w:r>
            <w:r>
              <w:rPr>
                <w:rFonts w:ascii="宋体" w:hAnsi="宋体" w:cs="宋体"/>
                <w:color w:val="auto"/>
                <w:sz w:val="21"/>
                <w:szCs w:val="21"/>
                <w:lang w:val="zh-CN"/>
              </w:rPr>
              <w:t>2021</w:t>
            </w:r>
            <w:r>
              <w:rPr>
                <w:rFonts w:hint="eastAsia" w:ascii="宋体" w:hAnsi="宋体" w:cs="宋体"/>
                <w:color w:val="auto"/>
                <w:sz w:val="21"/>
                <w:szCs w:val="21"/>
                <w:lang w:val="zh-CN"/>
              </w:rPr>
              <w:t>年版）危险废物豁免管理清单相关规定，采取进入生活垃圾焚烧厂焚烧或资源化利用处置方式的得</w:t>
            </w:r>
            <w:r>
              <w:rPr>
                <w:rFonts w:ascii="宋体" w:hAnsi="宋体" w:cs="宋体"/>
                <w:color w:val="auto"/>
                <w:sz w:val="21"/>
                <w:szCs w:val="21"/>
                <w:lang w:val="zh-CN"/>
              </w:rPr>
              <w:t>2</w:t>
            </w:r>
            <w:r>
              <w:rPr>
                <w:rFonts w:ascii="宋体" w:cs="宋体"/>
                <w:color w:val="auto"/>
                <w:sz w:val="21"/>
                <w:szCs w:val="21"/>
              </w:rPr>
              <w:t>0</w:t>
            </w:r>
            <w:r>
              <w:rPr>
                <w:rFonts w:hint="eastAsia" w:ascii="宋体" w:hAnsi="宋体" w:cs="宋体"/>
                <w:color w:val="auto"/>
                <w:sz w:val="21"/>
                <w:szCs w:val="21"/>
                <w:lang w:val="zh-CN"/>
              </w:rPr>
              <w:t>分；采取进入生活垃圾场填埋处置方式的得</w:t>
            </w:r>
            <w:r>
              <w:rPr>
                <w:rFonts w:ascii="宋体" w:hAnsi="宋体" w:cs="宋体"/>
                <w:color w:val="auto"/>
                <w:sz w:val="21"/>
                <w:szCs w:val="21"/>
                <w:lang w:val="zh-CN"/>
              </w:rPr>
              <w:t>1</w:t>
            </w:r>
            <w:r>
              <w:rPr>
                <w:rFonts w:ascii="宋体" w:cs="宋体"/>
                <w:color w:val="auto"/>
                <w:sz w:val="21"/>
                <w:szCs w:val="21"/>
              </w:rPr>
              <w:t>0</w:t>
            </w:r>
            <w:r>
              <w:rPr>
                <w:rFonts w:hint="eastAsia" w:ascii="宋体" w:hAnsi="宋体" w:cs="宋体"/>
                <w:color w:val="auto"/>
                <w:sz w:val="21"/>
                <w:szCs w:val="21"/>
                <w:lang w:val="zh-CN"/>
              </w:rPr>
              <w:t>分；未按照危险废物豁免管理清单相关规定</w:t>
            </w:r>
            <w:r>
              <w:rPr>
                <w:rFonts w:hint="eastAsia" w:ascii="宋体" w:hAnsi="宋体" w:cs="宋体"/>
                <w:color w:val="auto"/>
                <w:sz w:val="21"/>
                <w:szCs w:val="21"/>
              </w:rPr>
              <w:t>而采取按危险废物处置方式</w:t>
            </w:r>
            <w:r>
              <w:rPr>
                <w:rFonts w:hint="eastAsia" w:ascii="宋体" w:hAnsi="宋体" w:cs="宋体"/>
                <w:color w:val="auto"/>
                <w:sz w:val="21"/>
                <w:szCs w:val="21"/>
                <w:lang w:val="zh-CN"/>
              </w:rPr>
              <w:t>处理的得</w:t>
            </w:r>
            <w:r>
              <w:rPr>
                <w:rFonts w:ascii="宋体" w:hAnsi="宋体" w:cs="宋体"/>
                <w:color w:val="auto"/>
                <w:sz w:val="21"/>
                <w:szCs w:val="21"/>
              </w:rPr>
              <w:t>5</w:t>
            </w:r>
            <w:r>
              <w:rPr>
                <w:rFonts w:hint="eastAsia" w:ascii="宋体" w:hAnsi="宋体" w:cs="宋体"/>
                <w:color w:val="auto"/>
                <w:sz w:val="21"/>
                <w:szCs w:val="21"/>
                <w:lang w:val="zh-CN"/>
              </w:rPr>
              <w:t>分。</w:t>
            </w:r>
          </w:p>
        </w:tc>
        <w:tc>
          <w:tcPr>
            <w:tcW w:w="2724" w:type="dxa"/>
            <w:vAlign w:val="center"/>
          </w:tcPr>
          <w:p>
            <w:pPr>
              <w:spacing w:after="120" w:line="276" w:lineRule="auto"/>
              <w:rPr>
                <w:rFonts w:ascii="宋体" w:cs="宋体"/>
                <w:color w:val="auto"/>
                <w:sz w:val="21"/>
                <w:szCs w:val="21"/>
                <w:lang w:val="zh-CN"/>
              </w:rPr>
            </w:pPr>
            <w:r>
              <w:rPr>
                <w:rFonts w:hint="eastAsia" w:ascii="宋体" w:hAnsi="宋体" w:cs="宋体"/>
                <w:color w:val="auto"/>
                <w:sz w:val="21"/>
                <w:szCs w:val="21"/>
              </w:rPr>
              <w:t>供应商与具有农药包装废弃物</w:t>
            </w:r>
            <w:r>
              <w:rPr>
                <w:rFonts w:hint="eastAsia" w:ascii="宋体" w:hAnsi="宋体" w:cs="宋体"/>
                <w:color w:val="auto"/>
                <w:sz w:val="21"/>
                <w:szCs w:val="21"/>
                <w:lang w:val="zh-CN"/>
              </w:rPr>
              <w:t>豁免经营许可资</w:t>
            </w:r>
            <w:r>
              <w:rPr>
                <w:rFonts w:hint="eastAsia" w:ascii="宋体" w:hAnsi="宋体" w:cs="宋体"/>
                <w:color w:val="auto"/>
                <w:sz w:val="21"/>
                <w:szCs w:val="21"/>
              </w:rPr>
              <w:t>格</w:t>
            </w:r>
            <w:r>
              <w:rPr>
                <w:rFonts w:hint="eastAsia" w:ascii="宋体" w:hAnsi="宋体" w:cs="宋体"/>
                <w:color w:val="auto"/>
                <w:sz w:val="21"/>
                <w:szCs w:val="21"/>
                <w:lang w:val="zh-CN"/>
              </w:rPr>
              <w:t>单位签订处</w:t>
            </w:r>
            <w:r>
              <w:rPr>
                <w:rFonts w:hint="eastAsia" w:ascii="宋体" w:hAnsi="宋体" w:cs="宋体"/>
                <w:color w:val="auto"/>
                <w:sz w:val="21"/>
                <w:szCs w:val="21"/>
              </w:rPr>
              <w:t>置</w:t>
            </w:r>
            <w:r>
              <w:rPr>
                <w:rFonts w:hint="eastAsia" w:ascii="宋体" w:hAnsi="宋体" w:cs="宋体"/>
                <w:color w:val="auto"/>
                <w:sz w:val="21"/>
                <w:szCs w:val="21"/>
                <w:lang w:val="zh-CN"/>
              </w:rPr>
              <w:t>合同</w:t>
            </w:r>
            <w:r>
              <w:rPr>
                <w:rFonts w:hint="eastAsia" w:ascii="宋体" w:hAnsi="宋体" w:cs="宋体"/>
                <w:color w:val="auto"/>
                <w:sz w:val="21"/>
                <w:szCs w:val="21"/>
              </w:rPr>
              <w:t>，合同处置方农药包装废弃物豁免经营许可资格（</w:t>
            </w:r>
            <w:r>
              <w:rPr>
                <w:rFonts w:hint="eastAsia" w:ascii="宋体" w:hAnsi="宋体" w:cs="宋体"/>
                <w:color w:val="auto"/>
                <w:sz w:val="21"/>
                <w:szCs w:val="21"/>
                <w:lang w:val="zh-CN"/>
              </w:rPr>
              <w:t>豁免范围含农药包装废弃物，</w:t>
            </w:r>
            <w:r>
              <w:rPr>
                <w:rFonts w:hint="eastAsia" w:ascii="宋体" w:hAnsi="宋体" w:cs="宋体"/>
                <w:color w:val="auto"/>
                <w:sz w:val="21"/>
                <w:szCs w:val="21"/>
              </w:rPr>
              <w:t>代码为</w:t>
            </w:r>
            <w:r>
              <w:rPr>
                <w:rFonts w:ascii="宋体" w:hAnsi="宋体" w:cs="宋体"/>
                <w:color w:val="auto"/>
                <w:sz w:val="21"/>
                <w:szCs w:val="21"/>
                <w:lang w:val="zh-CN"/>
              </w:rPr>
              <w:t>900-003-04</w:t>
            </w:r>
            <w:r>
              <w:rPr>
                <w:rFonts w:hint="eastAsia" w:ascii="宋体" w:hAnsi="宋体" w:cs="宋体"/>
                <w:color w:val="auto"/>
                <w:sz w:val="21"/>
                <w:szCs w:val="21"/>
                <w:lang w:val="zh-CN"/>
              </w:rPr>
              <w:t>，</w:t>
            </w:r>
            <w:r>
              <w:rPr>
                <w:rFonts w:hint="eastAsia" w:ascii="宋体" w:hAnsi="宋体" w:cs="宋体"/>
                <w:color w:val="auto"/>
                <w:sz w:val="21"/>
                <w:szCs w:val="21"/>
              </w:rPr>
              <w:t>处置方式为：焚烧</w:t>
            </w:r>
            <w:r>
              <w:rPr>
                <w:rFonts w:ascii="宋体" w:hAnsi="宋体" w:cs="宋体"/>
                <w:color w:val="auto"/>
                <w:sz w:val="21"/>
                <w:szCs w:val="21"/>
              </w:rPr>
              <w:t>D10</w:t>
            </w:r>
            <w:r>
              <w:rPr>
                <w:rFonts w:hint="eastAsia" w:ascii="宋体" w:hAnsi="宋体" w:cs="宋体"/>
                <w:color w:val="auto"/>
                <w:sz w:val="21"/>
                <w:szCs w:val="21"/>
                <w:lang w:val="zh-CN"/>
              </w:rPr>
              <w:t>）。</w:t>
            </w:r>
            <w:r>
              <w:rPr>
                <w:rFonts w:hint="eastAsia" w:ascii="宋体" w:hAnsi="宋体" w:cs="宋体"/>
                <w:color w:val="auto"/>
                <w:sz w:val="21"/>
                <w:szCs w:val="21"/>
              </w:rPr>
              <w:t>以重庆市</w:t>
            </w:r>
            <w:r>
              <w:rPr>
                <w:rFonts w:hint="eastAsia" w:ascii="宋体" w:hAnsi="宋体" w:cs="宋体"/>
                <w:color w:val="auto"/>
                <w:sz w:val="21"/>
                <w:szCs w:val="21"/>
                <w:lang w:val="zh-CN"/>
              </w:rPr>
              <w:t>固体废物管理信息系统查询</w:t>
            </w:r>
            <w:r>
              <w:rPr>
                <w:rFonts w:hint="eastAsia" w:ascii="宋体" w:hAnsi="宋体" w:cs="宋体"/>
                <w:color w:val="auto"/>
                <w:sz w:val="21"/>
                <w:szCs w:val="21"/>
              </w:rPr>
              <w:t>结果为准</w:t>
            </w:r>
            <w:r>
              <w:rPr>
                <w:rFonts w:hint="eastAsia" w:ascii="宋体" w:hAnsi="宋体" w:cs="宋体"/>
                <w:color w:val="auto"/>
                <w:sz w:val="21"/>
                <w:szCs w:val="21"/>
                <w:lang w:val="zh-CN"/>
              </w:rPr>
              <w:t>。</w:t>
            </w:r>
          </w:p>
          <w:p>
            <w:pPr>
              <w:spacing w:line="360" w:lineRule="exact"/>
              <w:rPr>
                <w:rFonts w:hint="eastAsia" w:ascii="仿宋" w:hAnsi="仿宋" w:eastAsia="仿宋" w:cs="仿宋"/>
                <w:i w:val="0"/>
                <w:iCs w:val="0"/>
                <w:color w:val="auto"/>
                <w:sz w:val="24"/>
                <w:szCs w:val="24"/>
              </w:rPr>
            </w:pPr>
            <w:r>
              <w:rPr>
                <w:rFonts w:hint="eastAsia" w:ascii="宋体" w:hAnsi="宋体" w:cs="宋体"/>
                <w:color w:val="auto"/>
                <w:sz w:val="21"/>
                <w:szCs w:val="21"/>
                <w:lang w:val="zh-CN"/>
              </w:rPr>
              <w:t>资源化利用的</w:t>
            </w:r>
            <w:r>
              <w:rPr>
                <w:rFonts w:hint="eastAsia" w:ascii="宋体" w:hAnsi="宋体" w:cs="宋体"/>
                <w:color w:val="auto"/>
                <w:sz w:val="21"/>
                <w:szCs w:val="21"/>
              </w:rPr>
              <w:t>提供由省级</w:t>
            </w:r>
            <w:r>
              <w:rPr>
                <w:rFonts w:ascii="宋体" w:hAnsi="宋体" w:cs="宋体"/>
                <w:color w:val="auto"/>
                <w:sz w:val="21"/>
                <w:szCs w:val="21"/>
              </w:rPr>
              <w:t>(</w:t>
            </w:r>
            <w:r>
              <w:rPr>
                <w:rFonts w:hint="eastAsia" w:ascii="宋体" w:hAnsi="宋体" w:cs="宋体"/>
                <w:color w:val="auto"/>
                <w:sz w:val="21"/>
                <w:szCs w:val="21"/>
              </w:rPr>
              <w:t>直辖市或自治区）及以上人民政府农业农村主管部门会同生态环境主管部门确定的资源化利用单位的资质证明材料</w:t>
            </w:r>
            <w:r>
              <w:rPr>
                <w:rFonts w:hint="eastAsia" w:ascii="宋体" w:hAnsi="宋体" w:cs="宋体"/>
                <w:color w:val="auto"/>
                <w:sz w:val="21"/>
                <w:szCs w:val="21"/>
                <w:lang w:val="zh-CN"/>
              </w:rPr>
              <w:t>并加盖投标供应商鲜章</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Align w:val="center"/>
          </w:tcPr>
          <w:p>
            <w:pPr>
              <w:spacing w:line="320" w:lineRule="exact"/>
              <w:jc w:val="center"/>
              <w:rPr>
                <w:rFonts w:hint="eastAsia" w:ascii="仿宋" w:hAnsi="仿宋" w:eastAsia="仿宋" w:cs="仿宋"/>
                <w:i w:val="0"/>
                <w:iCs w:val="0"/>
                <w:color w:val="auto"/>
                <w:sz w:val="24"/>
                <w:szCs w:val="24"/>
              </w:rPr>
            </w:pPr>
            <w:bookmarkStart w:id="75" w:name="_Toc76462337"/>
            <w:bookmarkStart w:id="76" w:name="_Toc102227313"/>
            <w:bookmarkStart w:id="77" w:name="_Toc106030892"/>
          </w:p>
        </w:tc>
        <w:tc>
          <w:tcPr>
            <w:tcW w:w="1269" w:type="dxa"/>
            <w:vAlign w:val="center"/>
          </w:tcPr>
          <w:p>
            <w:pPr>
              <w:spacing w:line="320" w:lineRule="exact"/>
              <w:jc w:val="center"/>
              <w:rPr>
                <w:rFonts w:hint="eastAsia" w:ascii="宋体" w:hAnsi="宋体" w:cs="方正仿宋_GBK"/>
                <w:color w:val="auto"/>
                <w:sz w:val="24"/>
                <w:szCs w:val="24"/>
              </w:rPr>
            </w:pPr>
          </w:p>
        </w:tc>
        <w:tc>
          <w:tcPr>
            <w:tcW w:w="955" w:type="dxa"/>
            <w:vAlign w:val="center"/>
          </w:tcPr>
          <w:p>
            <w:pPr>
              <w:widowControl/>
              <w:spacing w:line="300" w:lineRule="exact"/>
              <w:jc w:val="center"/>
              <w:outlineLvl w:val="2"/>
              <w:rPr>
                <w:rFonts w:hint="eastAsia" w:ascii="宋体" w:hAnsi="Times New Roman" w:eastAsia="宋体" w:cs="宋体"/>
                <w:color w:val="auto"/>
                <w:kern w:val="2"/>
                <w:sz w:val="24"/>
                <w:szCs w:val="24"/>
                <w:lang w:val="en-US" w:eastAsia="zh-CN" w:bidi="ar-SA"/>
              </w:rPr>
            </w:pPr>
            <w:r>
              <w:rPr>
                <w:rFonts w:hint="eastAsia" w:ascii="宋体" w:hAnsi="宋体" w:cs="宋体"/>
                <w:color w:val="auto"/>
                <w:sz w:val="24"/>
                <w:szCs w:val="24"/>
              </w:rPr>
              <w:t>业绩情况</w:t>
            </w:r>
            <w:r>
              <w:rPr>
                <w:rFonts w:ascii="宋体" w:cs="宋体"/>
                <w:color w:val="auto"/>
                <w:sz w:val="24"/>
                <w:szCs w:val="24"/>
              </w:rPr>
              <w:t>1</w:t>
            </w:r>
            <w:r>
              <w:rPr>
                <w:rFonts w:hint="eastAsia" w:ascii="宋体" w:cs="宋体"/>
                <w:color w:val="auto"/>
                <w:sz w:val="24"/>
                <w:szCs w:val="24"/>
                <w:lang w:val="en-US" w:eastAsia="zh-CN"/>
              </w:rPr>
              <w:t>5</w:t>
            </w:r>
            <w:r>
              <w:rPr>
                <w:rFonts w:hint="eastAsia" w:ascii="宋体" w:cs="宋体"/>
                <w:color w:val="auto"/>
                <w:sz w:val="24"/>
                <w:szCs w:val="24"/>
              </w:rPr>
              <w:t>分</w:t>
            </w:r>
          </w:p>
        </w:tc>
        <w:tc>
          <w:tcPr>
            <w:tcW w:w="4677" w:type="dxa"/>
            <w:vAlign w:val="center"/>
          </w:tcPr>
          <w:p>
            <w:pPr>
              <w:widowControl/>
              <w:spacing w:line="300" w:lineRule="exact"/>
              <w:outlineLvl w:val="2"/>
              <w:rPr>
                <w:rFonts w:hint="eastAsia" w:ascii="宋体" w:hAnsi="Times New Roman" w:eastAsia="宋体" w:cs="宋体"/>
                <w:color w:val="auto"/>
                <w:kern w:val="2"/>
                <w:sz w:val="24"/>
                <w:szCs w:val="24"/>
                <w:lang w:val="zh-CN" w:eastAsia="zh-CN" w:bidi="ar-SA"/>
              </w:rPr>
            </w:pPr>
            <w:r>
              <w:rPr>
                <w:rFonts w:hint="eastAsia" w:ascii="宋体" w:hAnsi="宋体" w:cs="宋体"/>
                <w:color w:val="auto"/>
                <w:sz w:val="24"/>
                <w:szCs w:val="24"/>
              </w:rPr>
              <w:t>供应商自</w:t>
            </w:r>
            <w:r>
              <w:rPr>
                <w:rFonts w:ascii="宋体" w:hAnsi="宋体" w:cs="宋体"/>
                <w:color w:val="auto"/>
                <w:sz w:val="24"/>
                <w:szCs w:val="24"/>
              </w:rPr>
              <w:t>20</w:t>
            </w:r>
            <w:r>
              <w:rPr>
                <w:rFonts w:hint="eastAsia" w:ascii="宋体" w:hAnsi="宋体" w:cs="宋体"/>
                <w:color w:val="auto"/>
                <w:sz w:val="24"/>
                <w:szCs w:val="24"/>
                <w:lang w:val="en-US" w:eastAsia="zh-CN"/>
              </w:rPr>
              <w:t>21</w:t>
            </w:r>
            <w:r>
              <w:rPr>
                <w:rFonts w:hint="eastAsia" w:ascii="宋体" w:hAnsi="宋体" w:cs="宋体"/>
                <w:color w:val="auto"/>
                <w:sz w:val="24"/>
                <w:szCs w:val="24"/>
              </w:rPr>
              <w:t>年</w:t>
            </w:r>
            <w:r>
              <w:rPr>
                <w:rFonts w:ascii="宋体" w:hAnsi="宋体" w:cs="宋体"/>
                <w:color w:val="auto"/>
                <w:sz w:val="24"/>
                <w:szCs w:val="24"/>
              </w:rPr>
              <w:t>1</w:t>
            </w:r>
            <w:r>
              <w:rPr>
                <w:rFonts w:hint="eastAsia" w:ascii="宋体" w:hAnsi="宋体" w:cs="宋体"/>
                <w:color w:val="auto"/>
                <w:sz w:val="24"/>
                <w:szCs w:val="24"/>
              </w:rPr>
              <w:t>月</w:t>
            </w:r>
            <w:r>
              <w:rPr>
                <w:rFonts w:ascii="宋体" w:hAnsi="宋体" w:cs="宋体"/>
                <w:color w:val="auto"/>
                <w:sz w:val="24"/>
                <w:szCs w:val="24"/>
              </w:rPr>
              <w:t>1</w:t>
            </w:r>
            <w:r>
              <w:rPr>
                <w:rFonts w:hint="eastAsia" w:ascii="宋体" w:hAnsi="宋体" w:cs="宋体"/>
                <w:color w:val="auto"/>
                <w:sz w:val="24"/>
                <w:szCs w:val="24"/>
              </w:rPr>
              <w:t>日起至今有独立承担为全国范围内区县级（含）以上单位提供过农药包装废弃物回收处置全流程服务业绩证明的，每提供</w:t>
            </w:r>
            <w:r>
              <w:rPr>
                <w:rFonts w:ascii="宋体" w:hAnsi="宋体" w:cs="宋体"/>
                <w:color w:val="auto"/>
                <w:sz w:val="24"/>
                <w:szCs w:val="24"/>
              </w:rPr>
              <w:t>1</w:t>
            </w:r>
            <w:r>
              <w:rPr>
                <w:rFonts w:hint="eastAsia" w:ascii="宋体" w:hAnsi="宋体" w:cs="宋体"/>
                <w:color w:val="auto"/>
                <w:sz w:val="24"/>
                <w:szCs w:val="24"/>
              </w:rPr>
              <w:t>个得</w:t>
            </w:r>
            <w:r>
              <w:rPr>
                <w:rFonts w:ascii="宋体" w:hAnsi="宋体" w:cs="宋体"/>
                <w:color w:val="auto"/>
                <w:sz w:val="24"/>
                <w:szCs w:val="24"/>
              </w:rPr>
              <w:t>5</w:t>
            </w:r>
            <w:r>
              <w:rPr>
                <w:rFonts w:hint="eastAsia" w:ascii="宋体" w:hAnsi="宋体" w:cs="宋体"/>
                <w:color w:val="auto"/>
                <w:sz w:val="24"/>
                <w:szCs w:val="24"/>
              </w:rPr>
              <w:t>分，最高得</w:t>
            </w:r>
            <w:r>
              <w:rPr>
                <w:rFonts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2724" w:type="dxa"/>
            <w:vAlign w:val="center"/>
          </w:tcPr>
          <w:p>
            <w:pPr>
              <w:spacing w:line="320" w:lineRule="exact"/>
              <w:rPr>
                <w:rFonts w:hint="eastAsia" w:ascii="宋体" w:hAnsi="Times New Roman" w:eastAsia="宋体" w:cs="方正仿宋_GBK"/>
                <w:color w:val="auto"/>
                <w:kern w:val="2"/>
                <w:sz w:val="24"/>
                <w:szCs w:val="24"/>
                <w:lang w:val="zh-CN" w:eastAsia="zh-CN" w:bidi="ar-SA"/>
              </w:rPr>
            </w:pPr>
            <w:r>
              <w:rPr>
                <w:rFonts w:hint="eastAsia" w:ascii="宋体" w:hAnsi="宋体" w:cs="宋体"/>
                <w:color w:val="auto"/>
                <w:sz w:val="21"/>
                <w:szCs w:val="21"/>
              </w:rPr>
              <w:t>业绩是指供应商独立承担农药包装废弃物产生量和遗弃量调查、回收网络系统搭建、宣传与培训，以及回收和处置等工作。提供的业绩证明须加盖供应商鲜章，否则视为无效业绩。</w:t>
            </w:r>
          </w:p>
        </w:tc>
      </w:tr>
      <w:bookmarkEnd w:id="74"/>
    </w:tbl>
    <w:p>
      <w:pPr>
        <w:pStyle w:val="3"/>
        <w:adjustRightInd w:val="0"/>
        <w:snapToGrid w:val="0"/>
        <w:spacing w:before="0" w:after="0" w:line="400" w:lineRule="exac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rPr>
        <w:t>三、无效</w:t>
      </w:r>
      <w:r>
        <w:rPr>
          <w:rFonts w:hint="eastAsia" w:ascii="仿宋" w:hAnsi="仿宋" w:eastAsia="仿宋" w:cs="仿宋"/>
          <w:b/>
          <w:bCs w:val="0"/>
          <w:color w:val="auto"/>
          <w:sz w:val="24"/>
          <w:szCs w:val="24"/>
          <w:lang w:val="en-US" w:eastAsia="zh-CN"/>
        </w:rPr>
        <w:t>响应</w:t>
      </w:r>
    </w:p>
    <w:p>
      <w:pPr>
        <w:snapToGrid w:val="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供应商发生以下条款情况之一者，视为无效报价：</w:t>
      </w:r>
    </w:p>
    <w:p>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（一）供应商不符合规定的资格条件的；</w:t>
      </w:r>
    </w:p>
    <w:p>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（二）供应商未通过实质性响应审查的；</w:t>
      </w:r>
    </w:p>
    <w:p>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三</w:t>
      </w:r>
      <w:r>
        <w:rPr>
          <w:rFonts w:hint="eastAsia" w:ascii="仿宋" w:hAnsi="仿宋" w:eastAsia="仿宋" w:cs="仿宋"/>
          <w:b w:val="0"/>
          <w:bCs/>
          <w:color w:val="auto"/>
          <w:sz w:val="24"/>
          <w:szCs w:val="24"/>
        </w:rPr>
        <w:t>）供应商所提交的响应文件未按“第七篇响应文件格式要求”要求签署或盖章的；</w:t>
      </w:r>
    </w:p>
    <w:p>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四</w:t>
      </w:r>
      <w:r>
        <w:rPr>
          <w:rFonts w:hint="eastAsia" w:ascii="仿宋" w:hAnsi="仿宋" w:eastAsia="仿宋" w:cs="仿宋"/>
          <w:b w:val="0"/>
          <w:bCs/>
          <w:color w:val="auto"/>
          <w:sz w:val="24"/>
          <w:szCs w:val="24"/>
        </w:rPr>
        <w:t>）供应商的报价超过采购预算或最高限价的；</w:t>
      </w:r>
    </w:p>
    <w:p>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五</w:t>
      </w:r>
      <w:r>
        <w:rPr>
          <w:rFonts w:hint="eastAsia" w:ascii="仿宋" w:hAnsi="仿宋" w:eastAsia="仿宋" w:cs="仿宋"/>
          <w:b w:val="0"/>
          <w:bCs/>
          <w:color w:val="auto"/>
          <w:sz w:val="24"/>
          <w:szCs w:val="24"/>
        </w:rPr>
        <w:t>）单位负责人为同一人或者存在直接控股、管理关系的不同供应商，参加同一合同项（包）报价的；</w:t>
      </w:r>
    </w:p>
    <w:p>
      <w:pPr>
        <w:pStyle w:val="1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六</w:t>
      </w:r>
      <w:r>
        <w:rPr>
          <w:rFonts w:hint="eastAsia" w:ascii="仿宋" w:hAnsi="仿宋" w:eastAsia="仿宋" w:cs="仿宋"/>
          <w:b w:val="0"/>
          <w:bCs/>
          <w:color w:val="auto"/>
          <w:sz w:val="24"/>
          <w:szCs w:val="24"/>
        </w:rPr>
        <w:t>）为采购项目提供整体设计、规范编制或者项目管理、监理、检测等服务的供应商再参加该采购项目的其他采购活动的；</w:t>
      </w:r>
    </w:p>
    <w:p>
      <w:pPr>
        <w:pStyle w:val="10"/>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七</w:t>
      </w:r>
      <w:r>
        <w:rPr>
          <w:rFonts w:hint="eastAsia" w:ascii="仿宋" w:hAnsi="仿宋" w:eastAsia="仿宋" w:cs="仿宋"/>
          <w:b w:val="0"/>
          <w:bCs/>
          <w:color w:val="auto"/>
          <w:sz w:val="24"/>
          <w:szCs w:val="24"/>
        </w:rPr>
        <w:t>）法律、法规和</w:t>
      </w:r>
      <w:r>
        <w:rPr>
          <w:rFonts w:hint="eastAsia" w:ascii="仿宋" w:hAnsi="仿宋" w:eastAsia="仿宋" w:cs="仿宋"/>
          <w:b w:val="0"/>
          <w:bCs/>
          <w:color w:val="auto"/>
          <w:sz w:val="24"/>
          <w:szCs w:val="24"/>
          <w:lang w:val="en-US" w:eastAsia="zh-CN"/>
        </w:rPr>
        <w:t>竞采邀请书</w:t>
      </w:r>
      <w:r>
        <w:rPr>
          <w:rFonts w:hint="eastAsia" w:ascii="仿宋" w:hAnsi="仿宋" w:eastAsia="仿宋" w:cs="仿宋"/>
          <w:b w:val="0"/>
          <w:bCs/>
          <w:color w:val="auto"/>
          <w:sz w:val="24"/>
          <w:szCs w:val="24"/>
        </w:rPr>
        <w:t>规定的其他无效情形。</w:t>
      </w:r>
    </w:p>
    <w:p>
      <w:pPr>
        <w:pStyle w:val="3"/>
        <w:adjustRightInd w:val="0"/>
        <w:snapToGrid w:val="0"/>
        <w:spacing w:before="0" w:after="0" w:line="400" w:lineRule="exac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四、采购终止</w:t>
      </w:r>
    </w:p>
    <w:p>
      <w:pPr>
        <w:snapToGrid w:val="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出现下列情形之一的，采购人或者采购代理机构应当终止采购活动，发布项目终止公告并说明原因，重新开展采购活动：</w:t>
      </w:r>
    </w:p>
    <w:p>
      <w:pPr>
        <w:snapToGrid w:val="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（一）因情况变化，不再符合规定的采购方式适用情形的；</w:t>
      </w:r>
    </w:p>
    <w:p>
      <w:pPr>
        <w:snapToGrid w:val="0"/>
        <w:spacing w:line="40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（二）出现影响采购公正的违法、违规行为的；</w:t>
      </w:r>
    </w:p>
    <w:p>
      <w:pPr>
        <w:snapToGrid w:val="0"/>
        <w:spacing w:line="400" w:lineRule="exact"/>
        <w:ind w:firstLine="480" w:firstLineChars="200"/>
        <w:rPr>
          <w:rFonts w:hint="eastAsia" w:ascii="仿宋" w:hAnsi="仿宋" w:eastAsia="仿宋" w:cs="仿宋"/>
          <w:b/>
          <w:bCs w:val="0"/>
          <w:color w:val="auto"/>
          <w:sz w:val="24"/>
          <w:szCs w:val="24"/>
          <w:u w:val="single"/>
          <w:shd w:val="clear" w:color="auto" w:fill="auto"/>
        </w:rPr>
      </w:pPr>
      <w:r>
        <w:rPr>
          <w:rFonts w:hint="eastAsia" w:ascii="仿宋" w:hAnsi="仿宋" w:eastAsia="仿宋" w:cs="仿宋"/>
          <w:b w:val="0"/>
          <w:bCs/>
          <w:color w:val="auto"/>
          <w:sz w:val="24"/>
          <w:szCs w:val="24"/>
        </w:rPr>
        <w:t>（三）在采购过程中符合竞争要求的供应商或者报价未超过采购预算的供应</w:t>
      </w:r>
      <w:r>
        <w:rPr>
          <w:rFonts w:hint="eastAsia" w:ascii="仿宋" w:hAnsi="仿宋" w:eastAsia="仿宋" w:cs="仿宋"/>
          <w:b w:val="0"/>
          <w:bCs/>
          <w:color w:val="auto"/>
          <w:sz w:val="24"/>
          <w:szCs w:val="24"/>
          <w:shd w:val="clear" w:color="auto" w:fill="auto"/>
        </w:rPr>
        <w:t>商</w:t>
      </w:r>
      <w:r>
        <w:rPr>
          <w:rFonts w:hint="eastAsia" w:ascii="仿宋" w:hAnsi="仿宋" w:eastAsia="仿宋" w:cs="仿宋"/>
          <w:b/>
          <w:bCs w:val="0"/>
          <w:color w:val="auto"/>
          <w:sz w:val="24"/>
          <w:szCs w:val="24"/>
          <w:u w:val="single"/>
          <w:shd w:val="clear" w:color="auto" w:fill="auto"/>
        </w:rPr>
        <w:t>不足</w:t>
      </w:r>
      <w:r>
        <w:rPr>
          <w:rFonts w:hint="eastAsia" w:ascii="仿宋" w:hAnsi="仿宋" w:eastAsia="仿宋" w:cs="仿宋"/>
          <w:b/>
          <w:bCs w:val="0"/>
          <w:color w:val="auto"/>
          <w:sz w:val="24"/>
          <w:szCs w:val="24"/>
          <w:u w:val="single"/>
          <w:shd w:val="clear" w:color="auto" w:fill="auto"/>
          <w:lang w:val="en-US" w:eastAsia="zh-CN"/>
        </w:rPr>
        <w:t>3家</w:t>
      </w:r>
      <w:r>
        <w:rPr>
          <w:rFonts w:hint="eastAsia" w:ascii="仿宋" w:hAnsi="仿宋" w:eastAsia="仿宋" w:cs="仿宋"/>
          <w:b/>
          <w:bCs w:val="0"/>
          <w:color w:val="auto"/>
          <w:sz w:val="24"/>
          <w:szCs w:val="24"/>
          <w:u w:val="single"/>
          <w:shd w:val="clear" w:color="auto" w:fill="auto"/>
        </w:rPr>
        <w:t>的。</w:t>
      </w:r>
    </w:p>
    <w:p>
      <w:pPr>
        <w:pStyle w:val="5"/>
        <w:ind w:left="0" w:leftChars="0" w:firstLine="482" w:firstLineChars="200"/>
        <w:rPr>
          <w:rFonts w:hint="default" w:eastAsia="仿宋"/>
          <w:b/>
          <w:bCs w:val="0"/>
          <w:color w:val="auto"/>
          <w:lang w:val="en-US" w:eastAsia="zh-CN"/>
        </w:rPr>
      </w:pP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四</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项目出现其他实质性影响，可能导致项目无法正常开展的情形。</w:t>
      </w:r>
    </w:p>
    <w:p>
      <w:pPr>
        <w:pStyle w:val="19"/>
        <w:jc w:val="center"/>
        <w:rPr>
          <w:rFonts w:hint="eastAsia" w:ascii="仿宋" w:hAnsi="仿宋" w:eastAsia="仿宋" w:cs="仿宋"/>
          <w:b/>
          <w:bCs/>
          <w:color w:val="auto"/>
          <w:sz w:val="36"/>
          <w:szCs w:val="36"/>
          <w:highlight w:val="none"/>
        </w:rPr>
      </w:pPr>
    </w:p>
    <w:p>
      <w:pPr>
        <w:pStyle w:val="19"/>
        <w:jc w:val="center"/>
        <w:rPr>
          <w:rFonts w:hint="eastAsia" w:ascii="仿宋" w:hAnsi="仿宋" w:eastAsia="仿宋" w:cs="仿宋"/>
          <w:b/>
          <w:bCs/>
          <w:color w:val="auto"/>
          <w:sz w:val="36"/>
          <w:szCs w:val="36"/>
          <w:highlight w:val="none"/>
        </w:rPr>
      </w:pPr>
    </w:p>
    <w:p>
      <w:pPr>
        <w:pStyle w:val="19"/>
        <w:jc w:val="center"/>
        <w:rPr>
          <w:rFonts w:hint="eastAsia" w:ascii="仿宋" w:hAnsi="仿宋" w:eastAsia="仿宋" w:cs="仿宋"/>
          <w:b/>
          <w:bCs/>
          <w:color w:val="auto"/>
          <w:sz w:val="36"/>
          <w:szCs w:val="36"/>
          <w:highlight w:val="none"/>
        </w:rPr>
      </w:pPr>
    </w:p>
    <w:p>
      <w:pPr>
        <w:pStyle w:val="19"/>
        <w:jc w:val="center"/>
        <w:rPr>
          <w:rFonts w:hint="eastAsia" w:ascii="仿宋" w:hAnsi="仿宋" w:eastAsia="仿宋" w:cs="仿宋"/>
          <w:b/>
          <w:bCs/>
          <w:color w:val="auto"/>
          <w:sz w:val="36"/>
          <w:szCs w:val="36"/>
          <w:highlight w:val="none"/>
        </w:rPr>
      </w:pPr>
    </w:p>
    <w:p>
      <w:pPr>
        <w:pStyle w:val="19"/>
        <w:jc w:val="center"/>
        <w:rPr>
          <w:rFonts w:hint="eastAsia" w:ascii="仿宋" w:hAnsi="仿宋" w:eastAsia="仿宋" w:cs="仿宋"/>
          <w:b/>
          <w:bCs/>
          <w:color w:val="auto"/>
          <w:sz w:val="36"/>
          <w:szCs w:val="36"/>
          <w:highlight w:val="none"/>
        </w:rPr>
      </w:pPr>
    </w:p>
    <w:p>
      <w:pPr>
        <w:pStyle w:val="19"/>
        <w:jc w:val="center"/>
        <w:rPr>
          <w:rFonts w:hint="eastAsia" w:ascii="仿宋" w:hAnsi="仿宋" w:eastAsia="仿宋" w:cs="仿宋"/>
          <w:b/>
          <w:bCs/>
          <w:color w:val="auto"/>
          <w:sz w:val="36"/>
          <w:szCs w:val="36"/>
          <w:highlight w:val="none"/>
        </w:rPr>
      </w:pPr>
    </w:p>
    <w:p>
      <w:pPr>
        <w:pStyle w:val="19"/>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第五篇  供应商须知</w:t>
      </w:r>
      <w:bookmarkEnd w:id="75"/>
      <w:bookmarkEnd w:id="76"/>
      <w:bookmarkEnd w:id="77"/>
    </w:p>
    <w:p>
      <w:pPr>
        <w:pStyle w:val="19"/>
        <w:rPr>
          <w:rFonts w:hint="eastAsia" w:ascii="仿宋" w:hAnsi="仿宋" w:eastAsia="仿宋" w:cs="仿宋"/>
          <w:color w:val="auto"/>
          <w:szCs w:val="28"/>
          <w:highlight w:val="none"/>
        </w:rPr>
      </w:pPr>
      <w:bookmarkStart w:id="78" w:name="_Toc342913389"/>
      <w:bookmarkStart w:id="79" w:name="_Toc76462338"/>
      <w:bookmarkStart w:id="80" w:name="_Toc106030893"/>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val="en-US" w:eastAsia="zh-CN"/>
        </w:rPr>
        <w:t>竞采</w:t>
      </w:r>
      <w:r>
        <w:rPr>
          <w:rFonts w:hint="eastAsia" w:ascii="仿宋" w:hAnsi="仿宋" w:eastAsia="仿宋" w:cs="仿宋"/>
          <w:color w:val="auto"/>
          <w:szCs w:val="28"/>
          <w:highlight w:val="none"/>
        </w:rPr>
        <w:t>费用</w:t>
      </w:r>
      <w:bookmarkEnd w:id="78"/>
      <w:bookmarkEnd w:id="79"/>
      <w:bookmarkEnd w:id="80"/>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参与</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的供应商应承担其编制响应文件与递交响应文件所涉及的一切费用，不论</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结果如何，采购人和采购代理机构在任何情况下无义务也无责任承担这些费用。</w:t>
      </w:r>
    </w:p>
    <w:p>
      <w:pPr>
        <w:pStyle w:val="19"/>
        <w:rPr>
          <w:rFonts w:hint="eastAsia" w:ascii="仿宋" w:hAnsi="仿宋" w:eastAsia="仿宋" w:cs="仿宋"/>
          <w:color w:val="auto"/>
          <w:szCs w:val="28"/>
          <w:highlight w:val="none"/>
        </w:rPr>
      </w:pPr>
      <w:bookmarkStart w:id="81" w:name="_Toc76462339"/>
      <w:bookmarkStart w:id="82" w:name="_Toc106030894"/>
      <w:bookmarkStart w:id="83" w:name="_Toc342913391"/>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val="en-US" w:eastAsia="zh-CN"/>
        </w:rPr>
        <w:t>竞采</w:t>
      </w:r>
      <w:r>
        <w:rPr>
          <w:rFonts w:hint="eastAsia" w:ascii="仿宋" w:hAnsi="仿宋" w:eastAsia="仿宋" w:cs="仿宋"/>
          <w:color w:val="auto"/>
          <w:szCs w:val="28"/>
          <w:highlight w:val="none"/>
        </w:rPr>
        <w:t>文件</w:t>
      </w:r>
      <w:bookmarkEnd w:id="81"/>
      <w:bookmarkEnd w:id="82"/>
      <w:bookmarkEnd w:id="83"/>
    </w:p>
    <w:p>
      <w:pPr>
        <w:pStyle w:val="19"/>
        <w:ind w:left="0" w:leftChars="0" w:firstLine="480" w:firstLineChars="200"/>
        <w:rPr>
          <w:rFonts w:hint="eastAsia" w:ascii="仿宋" w:hAnsi="仿宋" w:eastAsia="仿宋" w:cs="仿宋"/>
          <w:b/>
          <w:bCs/>
          <w:color w:val="auto"/>
          <w:szCs w:val="28"/>
          <w:highlight w:val="none"/>
          <w:lang w:eastAsia="zh-CN"/>
        </w:rPr>
      </w:pPr>
      <w:r>
        <w:rPr>
          <w:rFonts w:hint="eastAsia" w:ascii="仿宋" w:hAnsi="仿宋" w:eastAsia="仿宋" w:cs="仿宋"/>
          <w:color w:val="auto"/>
          <w:szCs w:val="28"/>
          <w:highlight w:val="none"/>
        </w:rPr>
        <w:t>（一）</w:t>
      </w:r>
      <w:r>
        <w:rPr>
          <w:rFonts w:hint="eastAsia" w:ascii="仿宋" w:hAnsi="仿宋" w:eastAsia="仿宋" w:cs="仿宋"/>
          <w:b/>
          <w:bCs/>
          <w:color w:val="auto"/>
          <w:szCs w:val="28"/>
          <w:highlight w:val="none"/>
          <w:lang w:eastAsia="zh-CN"/>
        </w:rPr>
        <w:t>竞采</w:t>
      </w:r>
      <w:r>
        <w:rPr>
          <w:rFonts w:hint="eastAsia" w:ascii="仿宋" w:hAnsi="仿宋" w:eastAsia="仿宋" w:cs="仿宋"/>
          <w:b/>
          <w:bCs/>
          <w:color w:val="auto"/>
          <w:szCs w:val="28"/>
          <w:highlight w:val="none"/>
        </w:rPr>
        <w:t>文件由采购邀请书、项目服务需求、供应商须知、项目商务需求、</w:t>
      </w:r>
      <w:r>
        <w:rPr>
          <w:rFonts w:hint="eastAsia" w:ascii="仿宋" w:hAnsi="仿宋" w:eastAsia="仿宋" w:cs="仿宋"/>
          <w:b/>
          <w:bCs/>
          <w:color w:val="auto"/>
          <w:szCs w:val="28"/>
          <w:highlight w:val="none"/>
          <w:lang w:val="en-US" w:eastAsia="zh-CN"/>
        </w:rPr>
        <w:t>竞采</w:t>
      </w:r>
      <w:r>
        <w:rPr>
          <w:rFonts w:hint="eastAsia" w:ascii="仿宋" w:hAnsi="仿宋" w:eastAsia="仿宋" w:cs="仿宋"/>
          <w:b/>
          <w:bCs/>
          <w:color w:val="auto"/>
          <w:szCs w:val="28"/>
          <w:highlight w:val="none"/>
        </w:rPr>
        <w:t>程序</w:t>
      </w:r>
      <w:r>
        <w:rPr>
          <w:rFonts w:hint="eastAsia" w:ascii="仿宋" w:hAnsi="仿宋" w:eastAsia="仿宋" w:cs="仿宋"/>
          <w:b/>
          <w:bCs/>
          <w:color w:val="auto"/>
          <w:szCs w:val="28"/>
          <w:highlight w:val="none"/>
          <w:lang w:val="en-US" w:eastAsia="zh-CN"/>
        </w:rPr>
        <w:t>及</w:t>
      </w:r>
      <w:r>
        <w:rPr>
          <w:rFonts w:hint="eastAsia" w:ascii="仿宋" w:hAnsi="仿宋" w:eastAsia="仿宋" w:cs="仿宋"/>
          <w:b/>
          <w:bCs/>
          <w:color w:val="auto"/>
          <w:szCs w:val="28"/>
          <w:highlight w:val="none"/>
        </w:rPr>
        <w:t>评审标准、政府采购合同、响应文件编制要求七部分组成。</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（二）采购人（或采购代理机构）所作的一切有效的书面通知、修改及补充，都是</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文件不可分割的部分。</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文件的解释</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供应商如对</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文件有疑问，必须以书面形式在提交响应文件截止时间</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个工作日前向采购人（或采购代理机构）要求澄清，采购人（或采购代理机构）可视具体情况做出处理或答复。如供应商未提出疑问，视为完全理解并同意本</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文件。一经进入</w:t>
      </w:r>
      <w:r>
        <w:rPr>
          <w:rFonts w:hint="eastAsia" w:ascii="仿宋" w:hAnsi="仿宋" w:eastAsia="仿宋" w:cs="仿宋"/>
          <w:color w:val="auto"/>
          <w:szCs w:val="28"/>
          <w:highlight w:val="none"/>
          <w:lang w:val="en-US" w:eastAsia="zh-CN"/>
        </w:rPr>
        <w:t>评审</w:t>
      </w:r>
      <w:r>
        <w:rPr>
          <w:rFonts w:hint="eastAsia" w:ascii="仿宋" w:hAnsi="仿宋" w:eastAsia="仿宋" w:cs="仿宋"/>
          <w:color w:val="auto"/>
          <w:szCs w:val="28"/>
          <w:highlight w:val="none"/>
        </w:rPr>
        <w:t>程序，即视为供应商已详细阅读全部文件资料，完全理解</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文件所有条款内容并同意放弃对这方面有不明白及误解的权利。</w:t>
      </w:r>
      <w:bookmarkStart w:id="84" w:name="_Toc318159349"/>
      <w:bookmarkStart w:id="85" w:name="_Toc318159160"/>
      <w:bookmarkStart w:id="86" w:name="_Toc318159780"/>
      <w:bookmarkStart w:id="87" w:name="_Toc318166429"/>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）评审的依据为</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文件和响应文件（含有效的书面承诺）。</w:t>
      </w:r>
      <w:r>
        <w:rPr>
          <w:rFonts w:hint="eastAsia" w:ascii="仿宋" w:hAnsi="仿宋" w:eastAsia="仿宋" w:cs="仿宋"/>
          <w:color w:val="auto"/>
          <w:szCs w:val="28"/>
          <w:highlight w:val="none"/>
          <w:lang w:val="en-US" w:eastAsia="zh-CN"/>
        </w:rPr>
        <w:t>评审</w:t>
      </w:r>
      <w:r>
        <w:rPr>
          <w:rFonts w:hint="eastAsia" w:ascii="仿宋" w:hAnsi="仿宋" w:eastAsia="仿宋" w:cs="仿宋"/>
          <w:color w:val="auto"/>
          <w:szCs w:val="28"/>
          <w:highlight w:val="none"/>
        </w:rPr>
        <w:t>小组判断响应文件对</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文件的响应，仅基于响应文件本身而不靠外部证据。</w:t>
      </w:r>
    </w:p>
    <w:bookmarkEnd w:id="84"/>
    <w:bookmarkEnd w:id="85"/>
    <w:bookmarkEnd w:id="86"/>
    <w:bookmarkEnd w:id="87"/>
    <w:p>
      <w:pPr>
        <w:pStyle w:val="19"/>
        <w:rPr>
          <w:rFonts w:hint="eastAsia" w:ascii="仿宋" w:hAnsi="仿宋" w:eastAsia="仿宋" w:cs="仿宋"/>
          <w:color w:val="auto"/>
          <w:szCs w:val="28"/>
          <w:highlight w:val="none"/>
        </w:rPr>
      </w:pPr>
      <w:bookmarkStart w:id="88" w:name="_Toc102227318"/>
      <w:bookmarkStart w:id="89" w:name="_Toc179714297"/>
      <w:bookmarkStart w:id="90" w:name="_Toc76462340"/>
      <w:bookmarkStart w:id="91" w:name="_Toc106030895"/>
      <w:bookmarkStart w:id="92" w:name="_Toc342913392"/>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要求</w:t>
      </w:r>
      <w:bookmarkEnd w:id="88"/>
      <w:bookmarkEnd w:id="89"/>
      <w:bookmarkEnd w:id="90"/>
      <w:bookmarkEnd w:id="91"/>
      <w:bookmarkEnd w:id="92"/>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（一）响应文件</w:t>
      </w:r>
    </w:p>
    <w:p>
      <w:pPr>
        <w:pStyle w:val="19"/>
        <w:rPr>
          <w:rFonts w:hint="eastAsia" w:ascii="仿宋" w:hAnsi="仿宋" w:eastAsia="仿宋" w:cs="仿宋"/>
          <w:color w:val="auto"/>
          <w:sz w:val="48"/>
          <w:szCs w:val="48"/>
          <w:highlight w:val="none"/>
          <w:lang w:eastAsia="zh-CN"/>
        </w:rPr>
      </w:pPr>
      <w:r>
        <w:rPr>
          <w:rFonts w:hint="eastAsia" w:ascii="仿宋" w:hAnsi="仿宋" w:eastAsia="仿宋" w:cs="仿宋"/>
          <w:color w:val="auto"/>
          <w:szCs w:val="28"/>
          <w:highlight w:val="none"/>
        </w:rPr>
        <w:t>1.供应商应当按照</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文件的要求编制响应文件，并对</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文件提出的要求和条件作出实质性响应。</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2.响应文件组成</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有效期：响应文件及有关承诺文件有效期为提交响应文件截止时间起90天。</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三</w:t>
      </w:r>
      <w:r>
        <w:rPr>
          <w:rFonts w:hint="eastAsia" w:ascii="仿宋" w:hAnsi="仿宋" w:eastAsia="仿宋" w:cs="仿宋"/>
          <w:color w:val="auto"/>
          <w:szCs w:val="28"/>
          <w:highlight w:val="none"/>
        </w:rPr>
        <w:t>）修正错误</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color w:val="auto"/>
          <w:szCs w:val="28"/>
          <w:highlight w:val="none"/>
        </w:rPr>
        <w:t>。</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小组按上述修正错误的原则及方法修正供应商的报价，供应商同意并签字确认后，修正后的报价对供应商具有约束作用。如果供应商不接受修正后的价格，将失去成为成交供应商的资格。</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）提交响应文件的份数和签署</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b/>
          <w:bCs/>
          <w:color w:val="auto"/>
          <w:szCs w:val="28"/>
          <w:highlight w:val="none"/>
        </w:rPr>
        <w:t>响应文件电子文档一份</w:t>
      </w:r>
      <w:r>
        <w:rPr>
          <w:rFonts w:hint="eastAsia" w:ascii="仿宋" w:hAnsi="仿宋" w:eastAsia="仿宋" w:cs="仿宋"/>
          <w:color w:val="auto"/>
          <w:szCs w:val="28"/>
          <w:highlight w:val="none"/>
        </w:rPr>
        <w:t>。</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2.响应文件按</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文件“第七篇响应文件编制要求”要求签署或盖章。</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五</w:t>
      </w:r>
      <w:r>
        <w:rPr>
          <w:rFonts w:hint="eastAsia" w:ascii="仿宋" w:hAnsi="仿宋" w:eastAsia="仿宋" w:cs="仿宋"/>
          <w:color w:val="auto"/>
          <w:szCs w:val="28"/>
          <w:highlight w:val="none"/>
        </w:rPr>
        <w:t>）响应文件的递交</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响应文件的电子文档应</w:t>
      </w:r>
      <w:r>
        <w:rPr>
          <w:rFonts w:hint="eastAsia" w:ascii="仿宋" w:hAnsi="仿宋" w:eastAsia="仿宋" w:cs="仿宋"/>
          <w:color w:val="auto"/>
          <w:szCs w:val="28"/>
          <w:highlight w:val="none"/>
          <w:lang w:val="en-US" w:eastAsia="zh-CN"/>
        </w:rPr>
        <w:t>在有效报名时间段内，通过竞采系统在线提交</w:t>
      </w:r>
      <w:r>
        <w:rPr>
          <w:rFonts w:hint="eastAsia" w:ascii="仿宋" w:hAnsi="仿宋" w:eastAsia="仿宋" w:cs="仿宋"/>
          <w:color w:val="auto"/>
          <w:szCs w:val="28"/>
          <w:highlight w:val="none"/>
        </w:rPr>
        <w:t>。</w:t>
      </w:r>
    </w:p>
    <w:p>
      <w:pPr>
        <w:pStyle w:val="19"/>
        <w:rPr>
          <w:rFonts w:hint="eastAsia" w:ascii="仿宋" w:hAnsi="仿宋" w:eastAsia="仿宋" w:cs="仿宋"/>
          <w:b/>
          <w:bCs/>
          <w:color w:val="auto"/>
          <w:szCs w:val="28"/>
          <w:highlight w:val="none"/>
          <w:lang w:eastAsia="zh-CN"/>
        </w:rPr>
      </w:pPr>
      <w:r>
        <w:rPr>
          <w:rFonts w:hint="eastAsia" w:ascii="仿宋" w:hAnsi="仿宋" w:eastAsia="仿宋" w:cs="仿宋"/>
          <w:b/>
          <w:bCs/>
          <w:color w:val="auto"/>
          <w:szCs w:val="28"/>
          <w:highlight w:val="none"/>
          <w:lang w:val="en-US" w:eastAsia="zh-CN"/>
        </w:rPr>
        <w:t>（竞采项目实行在线报名、在线评审，非必需，原则上供应商不参与线下评审环节</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w:t>
      </w:r>
    </w:p>
    <w:p>
      <w:pPr>
        <w:pStyle w:val="19"/>
        <w:rPr>
          <w:rFonts w:hint="eastAsia" w:ascii="仿宋" w:hAnsi="仿宋" w:eastAsia="仿宋" w:cs="仿宋"/>
          <w:color w:val="auto"/>
          <w:szCs w:val="28"/>
          <w:highlight w:val="none"/>
        </w:rPr>
      </w:pPr>
      <w:bookmarkStart w:id="93" w:name="_Toc106030896"/>
      <w:bookmarkStart w:id="94" w:name="_Toc76462341"/>
      <w:r>
        <w:rPr>
          <w:rFonts w:hint="eastAsia" w:ascii="仿宋" w:hAnsi="仿宋" w:eastAsia="仿宋" w:cs="仿宋"/>
          <w:color w:val="auto"/>
          <w:szCs w:val="28"/>
          <w:highlight w:val="none"/>
        </w:rPr>
        <w:t>四、成交供应商的确认和变更</w:t>
      </w:r>
      <w:bookmarkEnd w:id="93"/>
      <w:bookmarkEnd w:id="94"/>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（一）成交供应商的确认</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采购人</w:t>
      </w:r>
      <w:r>
        <w:rPr>
          <w:rFonts w:hint="eastAsia" w:ascii="仿宋" w:hAnsi="仿宋" w:eastAsia="仿宋" w:cs="仿宋"/>
          <w:color w:val="auto"/>
          <w:szCs w:val="28"/>
          <w:highlight w:val="none"/>
        </w:rPr>
        <w:t>应当在</w:t>
      </w: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个工作日内，从评审报告提出的成交候选供应商中，按照排序由高到低的原则确定成交供应商，也可以授权</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小组直接确定成交供应商。</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（二）成交供应商的变更</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color w:val="auto"/>
          <w:szCs w:val="28"/>
          <w:highlight w:val="none"/>
          <w:lang w:val="en-US" w:eastAsia="zh-CN"/>
        </w:rPr>
        <w:t>竞采</w:t>
      </w:r>
      <w:r>
        <w:rPr>
          <w:rFonts w:hint="eastAsia" w:ascii="仿宋" w:hAnsi="仿宋" w:eastAsia="仿宋" w:cs="仿宋"/>
          <w:color w:val="auto"/>
          <w:szCs w:val="28"/>
          <w:highlight w:val="none"/>
        </w:rPr>
        <w:t>活动。</w:t>
      </w:r>
    </w:p>
    <w:p>
      <w:pPr>
        <w:pStyle w:val="19"/>
        <w:rPr>
          <w:rFonts w:hint="eastAsia" w:ascii="仿宋" w:hAnsi="仿宋" w:eastAsia="仿宋" w:cs="仿宋"/>
          <w:color w:val="auto"/>
          <w:szCs w:val="28"/>
          <w:highlight w:val="none"/>
        </w:rPr>
      </w:pPr>
      <w:bookmarkStart w:id="95" w:name="_Toc102227321"/>
      <w:bookmarkStart w:id="96" w:name="_Toc106030897"/>
      <w:bookmarkStart w:id="97" w:name="_Toc342913395"/>
      <w:bookmarkStart w:id="98" w:name="_Toc76462342"/>
      <w:r>
        <w:rPr>
          <w:rFonts w:hint="eastAsia" w:ascii="仿宋" w:hAnsi="仿宋" w:eastAsia="仿宋" w:cs="仿宋"/>
          <w:color w:val="auto"/>
          <w:szCs w:val="28"/>
          <w:highlight w:val="none"/>
        </w:rPr>
        <w:t>五、成交通知</w:t>
      </w:r>
      <w:bookmarkEnd w:id="95"/>
      <w:bookmarkEnd w:id="96"/>
      <w:bookmarkEnd w:id="97"/>
      <w:bookmarkEnd w:id="98"/>
    </w:p>
    <w:p>
      <w:pPr>
        <w:pStyle w:val="19"/>
        <w:keepNext w:val="0"/>
        <w:keepLines w:val="0"/>
        <w:pageBreakBefore w:val="0"/>
        <w:widowControl/>
        <w:kinsoku/>
        <w:wordWrap/>
        <w:overflowPunct w:val="0"/>
        <w:topLinePunct w:val="0"/>
        <w:autoSpaceDE w:val="0"/>
        <w:autoSpaceDN w:val="0"/>
        <w:bidi w:val="0"/>
        <w:adjustRightInd/>
        <w:snapToGrid/>
        <w:jc w:val="both"/>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（一）成交供应商确定后，</w:t>
      </w:r>
      <w:r>
        <w:rPr>
          <w:rFonts w:hint="eastAsia" w:ascii="仿宋" w:hAnsi="仿宋" w:eastAsia="仿宋" w:cs="仿宋"/>
          <w:color w:val="auto"/>
          <w:szCs w:val="28"/>
          <w:highlight w:val="none"/>
          <w:lang w:val="en-US" w:eastAsia="zh-CN"/>
        </w:rPr>
        <w:t>采购人</w:t>
      </w:r>
      <w:r>
        <w:rPr>
          <w:rFonts w:hint="eastAsia" w:ascii="仿宋" w:hAnsi="仿宋" w:eastAsia="仿宋" w:cs="仿宋"/>
          <w:color w:val="auto"/>
          <w:szCs w:val="28"/>
          <w:highlight w:val="none"/>
        </w:rPr>
        <w:t>将在“行采家采购服务平台(</w:t>
      </w: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"https://www.gec123.com/login-app/login" \t "_blank"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szCs w:val="28"/>
          <w:highlight w:val="none"/>
        </w:rPr>
        <w:t>https://www.gec123.com/login-app/login</w:t>
      </w:r>
      <w:r>
        <w:rPr>
          <w:rFonts w:hint="eastAsia" w:ascii="仿宋" w:hAnsi="仿宋" w:eastAsia="仿宋" w:cs="仿宋"/>
          <w:color w:val="auto"/>
          <w:szCs w:val="28"/>
          <w:highlight w:val="none"/>
        </w:rPr>
        <w:fldChar w:fldCharType="end"/>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”上发布成交结果公告。</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（二）结果公告发出同时，</w:t>
      </w:r>
      <w:r>
        <w:rPr>
          <w:rFonts w:hint="eastAsia" w:ascii="仿宋" w:hAnsi="仿宋" w:eastAsia="仿宋" w:cs="仿宋"/>
          <w:color w:val="auto"/>
          <w:szCs w:val="28"/>
          <w:highlight w:val="none"/>
          <w:lang w:val="en-US" w:eastAsia="zh-CN"/>
        </w:rPr>
        <w:t>采购人</w:t>
      </w:r>
      <w:r>
        <w:rPr>
          <w:rFonts w:hint="eastAsia" w:ascii="仿宋" w:hAnsi="仿宋" w:eastAsia="仿宋" w:cs="仿宋"/>
          <w:color w:val="auto"/>
          <w:szCs w:val="28"/>
          <w:highlight w:val="none"/>
        </w:rPr>
        <w:t>将以书面形式发出《成交通知书》。《成交通知书》一经发出即发生法律效力。</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（三）《成交通知书》作为签订合同的依据。</w:t>
      </w:r>
    </w:p>
    <w:p>
      <w:pPr>
        <w:pStyle w:val="19"/>
        <w:rPr>
          <w:rFonts w:hint="eastAsia" w:ascii="仿宋" w:hAnsi="仿宋" w:eastAsia="仿宋" w:cs="仿宋"/>
          <w:color w:val="auto"/>
          <w:szCs w:val="28"/>
          <w:highlight w:val="none"/>
          <w:lang w:eastAsia="zh-CN"/>
        </w:rPr>
      </w:pPr>
      <w:bookmarkStart w:id="99" w:name="_Toc106030898"/>
      <w:bookmarkStart w:id="100" w:name="_Toc76462343"/>
      <w:r>
        <w:rPr>
          <w:rFonts w:hint="eastAsia" w:ascii="仿宋" w:hAnsi="仿宋" w:eastAsia="仿宋" w:cs="仿宋"/>
          <w:color w:val="auto"/>
          <w:szCs w:val="28"/>
          <w:highlight w:val="none"/>
        </w:rPr>
        <w:t>六、关于质疑和投诉</w:t>
      </w:r>
      <w:bookmarkEnd w:id="99"/>
      <w:bookmarkEnd w:id="100"/>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（一）质疑</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供应商认为采购文件、采购过程和成交结果使自己的权益收到伤害的，可向采购人或采购代理机构以书面形式提出质疑。</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提出质疑的应当是参与所质疑项目采购活动的供应商。 </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1.质疑时限、内容</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供应商认为采购文件、采购过程、成交结果使自己的权益受到损害的，可以在知道或者应知其权益受到损害之日起</w:t>
      </w:r>
      <w:r>
        <w:rPr>
          <w:rFonts w:hint="eastAsia" w:ascii="仿宋" w:hAnsi="仿宋" w:eastAsia="仿宋" w:cs="仿宋"/>
          <w:b/>
          <w:bCs/>
          <w:color w:val="auto"/>
          <w:szCs w:val="28"/>
          <w:highlight w:val="none"/>
          <w:u w:val="none"/>
          <w:lang w:val="en-US" w:eastAsia="zh-CN"/>
        </w:rPr>
        <w:t>2</w:t>
      </w:r>
      <w:r>
        <w:rPr>
          <w:rFonts w:hint="eastAsia" w:ascii="仿宋" w:hAnsi="仿宋" w:eastAsia="仿宋" w:cs="仿宋"/>
          <w:color w:val="auto"/>
          <w:szCs w:val="28"/>
          <w:highlight w:val="none"/>
        </w:rPr>
        <w:t>个工作日内，以书面形式向采购人、采购代理机构提出质疑。</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1.2供应商提出质疑应当提交质疑函和必要的证明材料，质疑函应当包括下列内容：</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1.2.1供应商的名称、地址、联系人及联系电话；</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1.2.2质疑项目的名称、采购编号；</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1.2.3具体、明确的质疑事项和与质疑事项相关的请求；</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1.2.4事实依据；</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1.2.5必要的法律依据；</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1.2.6提出质疑的日期；</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1.2.7营业执照（或事业单位法人证书，或个体工商户营业执照或有效的自然人身份证明）复印件；</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1.2.8法定代表人授权委托书原件、法定代表人身份证复印件和其授权代表的身份证复印件（供应商为自然人的提供自然人身份证复印件）；</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1.3供应商为自然人的，质疑函应当由本人签字；供应商为法人或者其他组织的，质疑函应当由法定代表人、主要负责人，或者其授权代表签字或者盖章，并加盖公章。</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2.质疑答复</w:t>
      </w:r>
    </w:p>
    <w:p>
      <w:pPr>
        <w:pStyle w:val="19"/>
        <w:rPr>
          <w:rFonts w:hint="eastAsia" w:ascii="仿宋" w:hAnsi="仿宋" w:eastAsia="仿宋" w:cs="仿宋"/>
          <w:b/>
          <w:bCs/>
          <w:color w:val="auto"/>
          <w:sz w:val="48"/>
          <w:szCs w:val="48"/>
          <w:highlight w:val="none"/>
          <w:lang w:eastAsia="zh-CN"/>
        </w:rPr>
      </w:pPr>
      <w:r>
        <w:rPr>
          <w:rFonts w:hint="eastAsia" w:ascii="仿宋" w:hAnsi="仿宋" w:eastAsia="仿宋" w:cs="仿宋"/>
          <w:color w:val="auto"/>
          <w:szCs w:val="28"/>
          <w:highlight w:val="none"/>
        </w:rPr>
        <w:t>采购人、采购代理机构应当在收到供应商的书面质疑后</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个工作日内作出答复，并以书面形式通知质疑供应商和其他有关供应商。</w:t>
      </w:r>
    </w:p>
    <w:p>
      <w:pPr>
        <w:pStyle w:val="19"/>
        <w:numPr>
          <w:ilvl w:val="0"/>
          <w:numId w:val="4"/>
        </w:numPr>
        <w:tabs>
          <w:tab w:val="clear" w:pos="312"/>
        </w:tabs>
        <w:rPr>
          <w:rFonts w:hint="eastAsia" w:ascii="仿宋" w:hAnsi="仿宋" w:eastAsia="仿宋" w:cs="仿宋"/>
          <w:color w:val="auto"/>
          <w:szCs w:val="28"/>
          <w:highlight w:val="none"/>
        </w:rPr>
      </w:pPr>
      <w:r>
        <w:rPr>
          <w:rFonts w:hint="eastAsia" w:ascii="仿宋" w:hAnsi="仿宋" w:eastAsia="仿宋" w:cs="仿宋"/>
          <w:color w:val="auto"/>
          <w:szCs w:val="28"/>
          <w:highlight w:val="none"/>
        </w:rPr>
        <w:t>其他</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（二）投诉</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1.供应商对采购人、采购代理机构的答复不满意，或者采购人、采购代理机构未在规定时间内作出答复的，可以在答复期满后</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个工作日内</w:t>
      </w:r>
      <w:r>
        <w:rPr>
          <w:rFonts w:hint="eastAsia" w:ascii="仿宋" w:hAnsi="仿宋" w:eastAsia="仿宋" w:cs="仿宋"/>
          <w:b/>
          <w:bCs/>
          <w:color w:val="auto"/>
          <w:szCs w:val="28"/>
          <w:highlight w:val="none"/>
          <w:u w:val="single"/>
        </w:rPr>
        <w:t>按照</w:t>
      </w:r>
      <w:r>
        <w:rPr>
          <w:rFonts w:hint="eastAsia" w:ascii="仿宋" w:hAnsi="仿宋" w:eastAsia="仿宋" w:cs="仿宋"/>
          <w:b/>
          <w:bCs/>
          <w:color w:val="auto"/>
          <w:szCs w:val="28"/>
          <w:highlight w:val="none"/>
          <w:u w:val="single"/>
          <w:lang w:val="en-US" w:eastAsia="zh-CN"/>
        </w:rPr>
        <w:t>平台相关规则规定</w:t>
      </w:r>
      <w:r>
        <w:rPr>
          <w:rFonts w:hint="eastAsia" w:ascii="仿宋" w:hAnsi="仿宋" w:eastAsia="仿宋" w:cs="仿宋"/>
          <w:b/>
          <w:bCs/>
          <w:color w:val="auto"/>
          <w:szCs w:val="28"/>
          <w:highlight w:val="none"/>
          <w:u w:val="single"/>
        </w:rPr>
        <w:t>向</w:t>
      </w:r>
      <w:r>
        <w:rPr>
          <w:rFonts w:hint="eastAsia" w:ascii="仿宋" w:hAnsi="仿宋" w:eastAsia="仿宋" w:cs="仿宋"/>
          <w:b/>
          <w:bCs/>
          <w:color w:val="auto"/>
          <w:szCs w:val="28"/>
          <w:highlight w:val="none"/>
          <w:u w:val="single"/>
          <w:lang w:val="en-US" w:eastAsia="zh-CN"/>
        </w:rPr>
        <w:t>平台运营方</w:t>
      </w:r>
      <w:r>
        <w:rPr>
          <w:rFonts w:hint="eastAsia" w:ascii="仿宋" w:hAnsi="仿宋" w:eastAsia="仿宋" w:cs="仿宋"/>
          <w:color w:val="auto"/>
          <w:szCs w:val="28"/>
          <w:highlight w:val="none"/>
        </w:rPr>
        <w:t>提起投诉。</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2.在确定受理投诉后，</w:t>
      </w:r>
      <w:r>
        <w:rPr>
          <w:rFonts w:hint="eastAsia" w:ascii="仿宋" w:hAnsi="仿宋" w:eastAsia="仿宋" w:cs="仿宋"/>
          <w:b/>
          <w:bCs/>
          <w:color w:val="auto"/>
          <w:szCs w:val="28"/>
          <w:highlight w:val="none"/>
          <w:u w:val="single"/>
          <w:lang w:val="en-US" w:eastAsia="zh-CN"/>
        </w:rPr>
        <w:t>平台运营方</w:t>
      </w:r>
      <w:r>
        <w:rPr>
          <w:rFonts w:hint="eastAsia" w:ascii="仿宋" w:hAnsi="仿宋" w:eastAsia="仿宋" w:cs="仿宋"/>
          <w:b/>
          <w:bCs/>
          <w:color w:val="auto"/>
          <w:szCs w:val="28"/>
          <w:highlight w:val="none"/>
          <w:u w:val="single"/>
        </w:rPr>
        <w:t>自受理投诉之日起</w:t>
      </w:r>
      <w:r>
        <w:rPr>
          <w:rFonts w:hint="eastAsia" w:ascii="仿宋" w:hAnsi="仿宋" w:eastAsia="仿宋" w:cs="仿宋"/>
          <w:b/>
          <w:bCs/>
          <w:color w:val="auto"/>
          <w:szCs w:val="28"/>
          <w:highlight w:val="none"/>
          <w:u w:val="single"/>
          <w:lang w:val="en-US" w:eastAsia="zh-CN"/>
        </w:rPr>
        <w:t>7</w:t>
      </w:r>
      <w:r>
        <w:rPr>
          <w:rFonts w:hint="eastAsia" w:ascii="仿宋" w:hAnsi="仿宋" w:eastAsia="仿宋" w:cs="仿宋"/>
          <w:b/>
          <w:bCs/>
          <w:color w:val="auto"/>
          <w:szCs w:val="28"/>
          <w:highlight w:val="none"/>
          <w:u w:val="single"/>
        </w:rPr>
        <w:t>个工作日内</w:t>
      </w:r>
      <w:r>
        <w:rPr>
          <w:rFonts w:hint="eastAsia" w:ascii="仿宋" w:hAnsi="仿宋" w:eastAsia="仿宋" w:cs="仿宋"/>
          <w:color w:val="auto"/>
          <w:szCs w:val="28"/>
          <w:highlight w:val="none"/>
        </w:rPr>
        <w:t>（需要检验、检测、鉴定、专家评审以及需要投诉人补正材料的，所需时间不计算在投诉处理期限内）对投诉事项做出处理决定。</w:t>
      </w:r>
    </w:p>
    <w:p>
      <w:pPr>
        <w:pStyle w:val="19"/>
        <w:rPr>
          <w:rFonts w:hint="eastAsia" w:ascii="仿宋" w:hAnsi="仿宋" w:eastAsia="仿宋" w:cs="仿宋"/>
          <w:color w:val="auto"/>
          <w:szCs w:val="28"/>
          <w:highlight w:val="none"/>
        </w:rPr>
      </w:pPr>
      <w:bookmarkStart w:id="101" w:name="_Toc102227322"/>
      <w:bookmarkStart w:id="102" w:name="_Toc106030901"/>
      <w:bookmarkStart w:id="103" w:name="_Toc342913396"/>
      <w:bookmarkStart w:id="104" w:name="_Toc76462346"/>
      <w:r>
        <w:rPr>
          <w:rFonts w:hint="eastAsia" w:ascii="仿宋" w:hAnsi="仿宋" w:eastAsia="仿宋" w:cs="仿宋"/>
          <w:color w:val="auto"/>
          <w:szCs w:val="28"/>
          <w:highlight w:val="none"/>
          <w:lang w:val="en-US" w:eastAsia="zh-CN"/>
        </w:rPr>
        <w:t>七</w:t>
      </w:r>
      <w:r>
        <w:rPr>
          <w:rFonts w:hint="eastAsia" w:ascii="仿宋" w:hAnsi="仿宋" w:eastAsia="仿宋" w:cs="仿宋"/>
          <w:color w:val="auto"/>
          <w:szCs w:val="28"/>
          <w:highlight w:val="none"/>
        </w:rPr>
        <w:t>、签订</w:t>
      </w:r>
      <w:bookmarkEnd w:id="101"/>
      <w:r>
        <w:rPr>
          <w:rFonts w:hint="eastAsia" w:ascii="仿宋" w:hAnsi="仿宋" w:eastAsia="仿宋" w:cs="仿宋"/>
          <w:color w:val="auto"/>
          <w:szCs w:val="28"/>
          <w:highlight w:val="none"/>
        </w:rPr>
        <w:t>合同</w:t>
      </w:r>
      <w:bookmarkEnd w:id="102"/>
      <w:bookmarkEnd w:id="103"/>
      <w:bookmarkEnd w:id="104"/>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（一）采购人原则上应在</w:t>
      </w:r>
      <w:r>
        <w:rPr>
          <w:rFonts w:hint="eastAsia" w:ascii="仿宋" w:hAnsi="仿宋" w:eastAsia="仿宋" w:cs="仿宋"/>
          <w:color w:val="auto"/>
          <w:szCs w:val="28"/>
          <w:highlight w:val="none"/>
          <w:lang w:val="en-US" w:eastAsia="zh-CN"/>
        </w:rPr>
        <w:t>结果公告</w:t>
      </w:r>
      <w:r>
        <w:rPr>
          <w:rFonts w:hint="eastAsia" w:ascii="仿宋" w:hAnsi="仿宋" w:eastAsia="仿宋" w:cs="仿宋"/>
          <w:color w:val="auto"/>
          <w:szCs w:val="28"/>
          <w:highlight w:val="none"/>
        </w:rPr>
        <w:t>发出之日起</w:t>
      </w:r>
      <w:r>
        <w:rPr>
          <w:rFonts w:hint="eastAsia" w:ascii="仿宋" w:hAnsi="仿宋" w:eastAsia="仿宋" w:cs="仿宋"/>
          <w:color w:val="auto"/>
          <w:szCs w:val="28"/>
          <w:highlight w:val="none"/>
          <w:lang w:val="en-US" w:eastAsia="zh-CN"/>
        </w:rPr>
        <w:t>10个工作</w:t>
      </w:r>
      <w:r>
        <w:rPr>
          <w:rFonts w:hint="eastAsia" w:ascii="仿宋" w:hAnsi="仿宋" w:eastAsia="仿宋" w:cs="仿宋"/>
          <w:color w:val="auto"/>
          <w:szCs w:val="28"/>
          <w:highlight w:val="none"/>
        </w:rPr>
        <w:t>日内和成交供应商签订政府采购合同，无正当理由不得拒绝或拖延合同签订。所签订的合同不得对</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文件和供应商的响应文件作实质性修改。其他未尽事宜由采购人和成交供应商在采购合同中详细约定。</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文件、供应商的响应文件及澄清文件等，均为签订政府采购合同的依据。</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三</w:t>
      </w:r>
      <w:r>
        <w:rPr>
          <w:rFonts w:hint="eastAsia" w:ascii="仿宋" w:hAnsi="仿宋" w:eastAsia="仿宋" w:cs="仿宋"/>
          <w:color w:val="auto"/>
          <w:szCs w:val="28"/>
          <w:highlight w:val="none"/>
        </w:rPr>
        <w:t>）合同生效条款由供需双方约定，法律、行政法规规定应当办理批准、登记等手续后生效的合同，依照其规定。</w:t>
      </w:r>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）合同原则上应按照《重庆市政府采购合同》签订，相关单位要求适用合同通用格式版本的，应按其要求另行签订其他合同。</w:t>
      </w:r>
    </w:p>
    <w:p>
      <w:pPr>
        <w:pStyle w:val="19"/>
        <w:rPr>
          <w:rFonts w:hint="eastAsia" w:ascii="仿宋" w:hAnsi="仿宋" w:eastAsia="仿宋" w:cs="仿宋"/>
          <w:color w:val="auto"/>
          <w:szCs w:val="28"/>
          <w:highlight w:val="none"/>
        </w:rPr>
      </w:pPr>
      <w:bookmarkStart w:id="105" w:name="_Toc106030902"/>
      <w:r>
        <w:rPr>
          <w:rFonts w:hint="eastAsia" w:ascii="仿宋" w:hAnsi="仿宋" w:eastAsia="仿宋" w:cs="仿宋"/>
          <w:color w:val="auto"/>
          <w:szCs w:val="28"/>
          <w:highlight w:val="none"/>
          <w:lang w:val="en-US" w:eastAsia="zh-CN"/>
        </w:rPr>
        <w:t>八</w:t>
      </w:r>
      <w:r>
        <w:rPr>
          <w:rFonts w:hint="eastAsia" w:ascii="仿宋" w:hAnsi="仿宋" w:eastAsia="仿宋" w:cs="仿宋"/>
          <w:color w:val="auto"/>
          <w:szCs w:val="28"/>
          <w:highlight w:val="none"/>
        </w:rPr>
        <w:t>、项目验收</w:t>
      </w:r>
      <w:bookmarkEnd w:id="105"/>
    </w:p>
    <w:p>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合同执行完毕，采购人或采购代理机构原则上应在</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个工作日内组织履约情况验收，不得无故拖延或附加额外条件。</w:t>
      </w:r>
    </w:p>
    <w:p>
      <w:pPr>
        <w:pStyle w:val="19"/>
        <w:rPr>
          <w:rFonts w:hint="eastAsia" w:ascii="仿宋" w:hAnsi="仿宋" w:eastAsia="仿宋" w:cs="仿宋"/>
          <w:color w:val="auto"/>
          <w:szCs w:val="28"/>
          <w:highlight w:val="none"/>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19"/>
        <w:rPr>
          <w:rFonts w:hint="eastAsia" w:ascii="仿宋" w:hAnsi="仿宋" w:eastAsia="仿宋" w:cs="仿宋"/>
          <w:color w:val="auto"/>
          <w:szCs w:val="28"/>
          <w:highlight w:val="none"/>
          <w:lang w:val="en-US" w:eastAsia="zh-CN"/>
        </w:rPr>
      </w:pPr>
    </w:p>
    <w:p>
      <w:pPr>
        <w:pStyle w:val="3"/>
        <w:spacing w:before="0" w:after="0" w:line="360" w:lineRule="auto"/>
        <w:jc w:val="center"/>
        <w:rPr>
          <w:rFonts w:ascii="华文仿宋" w:hAnsi="华文仿宋" w:eastAsia="华文仿宋"/>
          <w:b/>
          <w:color w:val="auto"/>
          <w:sz w:val="44"/>
        </w:rPr>
      </w:pPr>
      <w:bookmarkStart w:id="106" w:name="_Toc109836391"/>
      <w:r>
        <w:rPr>
          <w:rFonts w:hint="eastAsia" w:ascii="华文仿宋" w:hAnsi="华文仿宋" w:eastAsia="华文仿宋" w:cs="仿宋"/>
          <w:bCs/>
          <w:color w:val="auto"/>
          <w:sz w:val="36"/>
          <w:szCs w:val="30"/>
        </w:rPr>
        <w:t xml:space="preserve">第六篇  </w:t>
      </w:r>
      <w:r>
        <w:rPr>
          <w:rFonts w:hint="eastAsia" w:ascii="华文仿宋" w:hAnsi="华文仿宋" w:eastAsia="华文仿宋" w:cs="仿宋"/>
          <w:bCs/>
          <w:color w:val="auto"/>
          <w:sz w:val="36"/>
          <w:szCs w:val="30"/>
          <w:lang w:val="en-US" w:eastAsia="zh-CN"/>
        </w:rPr>
        <w:t>网上竞采</w:t>
      </w:r>
      <w:r>
        <w:rPr>
          <w:rFonts w:hint="eastAsia" w:ascii="华文仿宋" w:hAnsi="华文仿宋" w:eastAsia="华文仿宋" w:cs="仿宋"/>
          <w:bCs/>
          <w:color w:val="auto"/>
          <w:sz w:val="36"/>
          <w:szCs w:val="30"/>
        </w:rPr>
        <w:t>合同</w:t>
      </w:r>
      <w:bookmarkEnd w:id="106"/>
    </w:p>
    <w:p>
      <w:pPr>
        <w:spacing w:line="440" w:lineRule="exact"/>
        <w:jc w:val="center"/>
        <w:rPr>
          <w:rFonts w:ascii="华文仿宋" w:hAnsi="华文仿宋" w:eastAsia="华文仿宋"/>
          <w:color w:val="auto"/>
        </w:rPr>
      </w:pPr>
      <w:r>
        <w:rPr>
          <w:rFonts w:ascii="华文仿宋" w:hAnsi="华文仿宋" w:eastAsia="华文仿宋"/>
          <w:color w:val="auto"/>
        </w:rPr>
        <w:t>（项目</w:t>
      </w:r>
      <w:r>
        <w:rPr>
          <w:rFonts w:hint="eastAsia" w:ascii="华文仿宋" w:hAnsi="华文仿宋" w:eastAsia="华文仿宋"/>
          <w:color w:val="auto"/>
          <w:lang w:val="en-US" w:eastAsia="zh-CN"/>
        </w:rPr>
        <w:t>采购编</w:t>
      </w:r>
      <w:r>
        <w:rPr>
          <w:rFonts w:ascii="华文仿宋" w:hAnsi="华文仿宋" w:eastAsia="华文仿宋"/>
          <w:color w:val="auto"/>
        </w:rPr>
        <w:t>号：     ）</w:t>
      </w:r>
    </w:p>
    <w:p>
      <w:pPr>
        <w:spacing w:line="440" w:lineRule="exact"/>
        <w:rPr>
          <w:rFonts w:ascii="华文仿宋" w:hAnsi="华文仿宋" w:eastAsia="华文仿宋"/>
          <w:color w:val="auto"/>
          <w:sz w:val="24"/>
        </w:rPr>
      </w:pPr>
      <w:r>
        <w:rPr>
          <w:rFonts w:ascii="华文仿宋" w:hAnsi="华文仿宋" w:eastAsia="华文仿宋"/>
          <w:color w:val="auto"/>
          <w:sz w:val="24"/>
        </w:rPr>
        <w:t>甲方（需方）：___________________________</w:t>
      </w:r>
    </w:p>
    <w:p>
      <w:pPr>
        <w:spacing w:line="440" w:lineRule="exact"/>
        <w:rPr>
          <w:rFonts w:ascii="华文仿宋" w:hAnsi="华文仿宋" w:eastAsia="华文仿宋"/>
          <w:color w:val="auto"/>
          <w:sz w:val="24"/>
        </w:rPr>
      </w:pPr>
      <w:r>
        <w:rPr>
          <w:rFonts w:ascii="华文仿宋" w:hAnsi="华文仿宋" w:eastAsia="华文仿宋"/>
          <w:color w:val="auto"/>
          <w:sz w:val="24"/>
        </w:rPr>
        <w:t>乙方（供方）：___________________________</w:t>
      </w:r>
    </w:p>
    <w:p>
      <w:pPr>
        <w:spacing w:line="440" w:lineRule="exact"/>
        <w:rPr>
          <w:rFonts w:ascii="华文仿宋" w:hAnsi="华文仿宋" w:eastAsia="华文仿宋"/>
          <w:color w:val="auto"/>
          <w:sz w:val="24"/>
        </w:rPr>
      </w:pPr>
      <w:r>
        <w:rPr>
          <w:rFonts w:ascii="华文仿宋" w:hAnsi="华文仿宋" w:eastAsia="华文仿宋"/>
          <w:color w:val="auto"/>
          <w:sz w:val="24"/>
        </w:rPr>
        <w:t>经双方协商一致，达成以下购销合同：</w:t>
      </w:r>
    </w:p>
    <w:tbl>
      <w:tblPr>
        <w:tblStyle w:val="15"/>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358" w:hRule="atLeast"/>
        </w:trPr>
        <w:tc>
          <w:tcPr>
            <w:tcW w:w="3071" w:type="dxa"/>
            <w:noWrap/>
            <w:vAlign w:val="center"/>
          </w:tcPr>
          <w:p>
            <w:pPr>
              <w:snapToGrid w:val="0"/>
              <w:jc w:val="center"/>
              <w:rPr>
                <w:rFonts w:ascii="华文仿宋" w:hAnsi="华文仿宋" w:eastAsia="华文仿宋"/>
                <w:color w:val="auto"/>
                <w:sz w:val="21"/>
                <w:szCs w:val="21"/>
              </w:rPr>
            </w:pPr>
            <w:r>
              <w:rPr>
                <w:rFonts w:hint="eastAsia" w:ascii="华文仿宋" w:hAnsi="华文仿宋" w:eastAsia="华文仿宋"/>
                <w:color w:val="auto"/>
                <w:sz w:val="21"/>
                <w:szCs w:val="21"/>
              </w:rPr>
              <w:t>项目内容</w:t>
            </w:r>
          </w:p>
        </w:tc>
        <w:tc>
          <w:tcPr>
            <w:tcW w:w="1999" w:type="dxa"/>
            <w:gridSpan w:val="2"/>
            <w:noWrap/>
            <w:vAlign w:val="center"/>
          </w:tcPr>
          <w:p>
            <w:pPr>
              <w:snapToGrid w:val="0"/>
              <w:jc w:val="center"/>
              <w:rPr>
                <w:rFonts w:ascii="华文仿宋" w:hAnsi="华文仿宋" w:eastAsia="华文仿宋"/>
                <w:color w:val="auto"/>
                <w:sz w:val="21"/>
                <w:szCs w:val="21"/>
              </w:rPr>
            </w:pPr>
            <w:r>
              <w:rPr>
                <w:rFonts w:ascii="华文仿宋" w:hAnsi="华文仿宋" w:eastAsia="华文仿宋"/>
                <w:color w:val="auto"/>
                <w:sz w:val="21"/>
                <w:szCs w:val="21"/>
              </w:rPr>
              <w:t>总价</w:t>
            </w:r>
          </w:p>
        </w:tc>
        <w:tc>
          <w:tcPr>
            <w:tcW w:w="2268" w:type="dxa"/>
            <w:noWrap/>
            <w:vAlign w:val="center"/>
          </w:tcPr>
          <w:p>
            <w:pPr>
              <w:snapToGrid w:val="0"/>
              <w:jc w:val="center"/>
              <w:rPr>
                <w:rFonts w:ascii="华文仿宋" w:hAnsi="华文仿宋" w:eastAsia="华文仿宋"/>
                <w:color w:val="auto"/>
                <w:sz w:val="21"/>
                <w:szCs w:val="21"/>
              </w:rPr>
            </w:pPr>
            <w:r>
              <w:rPr>
                <w:rFonts w:hint="eastAsia" w:ascii="华文仿宋" w:hAnsi="华文仿宋" w:eastAsia="华文仿宋"/>
                <w:color w:val="auto"/>
                <w:sz w:val="21"/>
                <w:szCs w:val="21"/>
              </w:rPr>
              <w:t>服务</w:t>
            </w:r>
            <w:r>
              <w:rPr>
                <w:rFonts w:ascii="华文仿宋" w:hAnsi="华文仿宋" w:eastAsia="华文仿宋"/>
                <w:color w:val="auto"/>
                <w:sz w:val="21"/>
                <w:szCs w:val="21"/>
              </w:rPr>
              <w:t>时间</w:t>
            </w:r>
          </w:p>
        </w:tc>
        <w:tc>
          <w:tcPr>
            <w:tcW w:w="2275" w:type="dxa"/>
            <w:noWrap/>
            <w:vAlign w:val="center"/>
          </w:tcPr>
          <w:p>
            <w:pPr>
              <w:snapToGrid w:val="0"/>
              <w:jc w:val="center"/>
              <w:rPr>
                <w:rFonts w:ascii="华文仿宋" w:hAnsi="华文仿宋" w:eastAsia="华文仿宋"/>
                <w:color w:val="auto"/>
                <w:sz w:val="21"/>
                <w:szCs w:val="21"/>
              </w:rPr>
            </w:pPr>
            <w:r>
              <w:rPr>
                <w:rFonts w:hint="eastAsia" w:ascii="华文仿宋" w:hAnsi="华文仿宋" w:eastAsia="华文仿宋"/>
                <w:color w:val="auto"/>
                <w:sz w:val="21"/>
                <w:szCs w:val="21"/>
              </w:rPr>
              <w:t>服务</w:t>
            </w:r>
            <w:r>
              <w:rPr>
                <w:rFonts w:ascii="华文仿宋" w:hAnsi="华文仿宋" w:eastAsia="华文仿宋"/>
                <w:color w:val="auto"/>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color w:val="auto"/>
                <w:sz w:val="21"/>
                <w:szCs w:val="21"/>
              </w:rPr>
            </w:pPr>
          </w:p>
        </w:tc>
        <w:tc>
          <w:tcPr>
            <w:tcW w:w="1999" w:type="dxa"/>
            <w:gridSpan w:val="2"/>
            <w:noWrap/>
            <w:vAlign w:val="center"/>
          </w:tcPr>
          <w:p>
            <w:pPr>
              <w:snapToGrid w:val="0"/>
              <w:jc w:val="center"/>
              <w:rPr>
                <w:rFonts w:ascii="华文仿宋" w:hAnsi="华文仿宋" w:eastAsia="华文仿宋"/>
                <w:color w:val="auto"/>
                <w:sz w:val="21"/>
                <w:szCs w:val="21"/>
              </w:rPr>
            </w:pPr>
          </w:p>
        </w:tc>
        <w:tc>
          <w:tcPr>
            <w:tcW w:w="2268" w:type="dxa"/>
            <w:noWrap/>
            <w:vAlign w:val="center"/>
          </w:tcPr>
          <w:p>
            <w:pPr>
              <w:snapToGrid w:val="0"/>
              <w:jc w:val="center"/>
              <w:rPr>
                <w:rFonts w:ascii="华文仿宋" w:hAnsi="华文仿宋" w:eastAsia="华文仿宋"/>
                <w:color w:val="auto"/>
                <w:sz w:val="21"/>
                <w:szCs w:val="21"/>
              </w:rPr>
            </w:pPr>
          </w:p>
        </w:tc>
        <w:tc>
          <w:tcPr>
            <w:tcW w:w="2275" w:type="dxa"/>
            <w:noWrap/>
            <w:vAlign w:val="center"/>
          </w:tcPr>
          <w:p>
            <w:pPr>
              <w:snapToGrid w:val="0"/>
              <w:jc w:val="center"/>
              <w:rPr>
                <w:rFonts w:ascii="华文仿宋" w:hAnsi="华文仿宋" w:eastAsia="华文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color w:val="auto"/>
                <w:sz w:val="21"/>
                <w:szCs w:val="21"/>
              </w:rPr>
            </w:pPr>
          </w:p>
        </w:tc>
        <w:tc>
          <w:tcPr>
            <w:tcW w:w="1999" w:type="dxa"/>
            <w:gridSpan w:val="2"/>
            <w:noWrap/>
            <w:vAlign w:val="center"/>
          </w:tcPr>
          <w:p>
            <w:pPr>
              <w:snapToGrid w:val="0"/>
              <w:jc w:val="center"/>
              <w:rPr>
                <w:rFonts w:ascii="华文仿宋" w:hAnsi="华文仿宋" w:eastAsia="华文仿宋"/>
                <w:color w:val="auto"/>
                <w:sz w:val="21"/>
                <w:szCs w:val="21"/>
              </w:rPr>
            </w:pPr>
          </w:p>
        </w:tc>
        <w:tc>
          <w:tcPr>
            <w:tcW w:w="2268" w:type="dxa"/>
            <w:noWrap/>
            <w:vAlign w:val="center"/>
          </w:tcPr>
          <w:p>
            <w:pPr>
              <w:snapToGrid w:val="0"/>
              <w:jc w:val="center"/>
              <w:rPr>
                <w:rFonts w:ascii="华文仿宋" w:hAnsi="华文仿宋" w:eastAsia="华文仿宋"/>
                <w:color w:val="auto"/>
                <w:sz w:val="21"/>
                <w:szCs w:val="21"/>
              </w:rPr>
            </w:pPr>
          </w:p>
        </w:tc>
        <w:tc>
          <w:tcPr>
            <w:tcW w:w="2275" w:type="dxa"/>
            <w:noWrap/>
            <w:vAlign w:val="center"/>
          </w:tcPr>
          <w:p>
            <w:pPr>
              <w:snapToGrid w:val="0"/>
              <w:jc w:val="center"/>
              <w:rPr>
                <w:rFonts w:ascii="华文仿宋" w:hAnsi="华文仿宋" w:eastAsia="华文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jc w:val="center"/>
              <w:rPr>
                <w:rFonts w:ascii="华文仿宋" w:hAnsi="华文仿宋" w:eastAsia="华文仿宋"/>
                <w:color w:val="auto"/>
                <w:sz w:val="21"/>
                <w:szCs w:val="21"/>
              </w:rPr>
            </w:pPr>
          </w:p>
        </w:tc>
        <w:tc>
          <w:tcPr>
            <w:tcW w:w="1999" w:type="dxa"/>
            <w:gridSpan w:val="2"/>
            <w:noWrap/>
            <w:vAlign w:val="center"/>
          </w:tcPr>
          <w:p>
            <w:pPr>
              <w:snapToGrid w:val="0"/>
              <w:jc w:val="center"/>
              <w:rPr>
                <w:rFonts w:ascii="华文仿宋" w:hAnsi="华文仿宋" w:eastAsia="华文仿宋"/>
                <w:color w:val="auto"/>
                <w:sz w:val="21"/>
                <w:szCs w:val="21"/>
              </w:rPr>
            </w:pPr>
          </w:p>
        </w:tc>
        <w:tc>
          <w:tcPr>
            <w:tcW w:w="2268" w:type="dxa"/>
            <w:noWrap/>
            <w:vAlign w:val="center"/>
          </w:tcPr>
          <w:p>
            <w:pPr>
              <w:snapToGrid w:val="0"/>
              <w:jc w:val="center"/>
              <w:rPr>
                <w:rFonts w:ascii="华文仿宋" w:hAnsi="华文仿宋" w:eastAsia="华文仿宋"/>
                <w:color w:val="auto"/>
                <w:sz w:val="21"/>
                <w:szCs w:val="21"/>
              </w:rPr>
            </w:pPr>
          </w:p>
        </w:tc>
        <w:tc>
          <w:tcPr>
            <w:tcW w:w="2275" w:type="dxa"/>
            <w:noWrap/>
            <w:vAlign w:val="center"/>
          </w:tcPr>
          <w:p>
            <w:pPr>
              <w:snapToGrid w:val="0"/>
              <w:jc w:val="center"/>
              <w:rPr>
                <w:rFonts w:ascii="华文仿宋" w:hAnsi="华文仿宋" w:eastAsia="华文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358" w:hRule="atLeast"/>
        </w:trPr>
        <w:tc>
          <w:tcPr>
            <w:tcW w:w="9613" w:type="dxa"/>
            <w:gridSpan w:val="5"/>
            <w:noWrap/>
            <w:vAlign w:val="center"/>
          </w:tcPr>
          <w:p>
            <w:pPr>
              <w:snapToGrid w:val="0"/>
              <w:rPr>
                <w:rFonts w:ascii="华文仿宋" w:hAnsi="华文仿宋" w:eastAsia="华文仿宋"/>
                <w:color w:val="auto"/>
                <w:sz w:val="21"/>
                <w:szCs w:val="21"/>
              </w:rPr>
            </w:pPr>
            <w:r>
              <w:rPr>
                <w:rFonts w:ascii="华文仿宋" w:hAnsi="华文仿宋" w:eastAsia="华文仿宋"/>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358" w:hRule="atLeast"/>
        </w:trPr>
        <w:tc>
          <w:tcPr>
            <w:tcW w:w="9613" w:type="dxa"/>
            <w:gridSpan w:val="5"/>
            <w:noWrap/>
            <w:vAlign w:val="center"/>
          </w:tcPr>
          <w:p>
            <w:pPr>
              <w:snapToGrid w:val="0"/>
              <w:rPr>
                <w:rFonts w:ascii="华文仿宋" w:hAnsi="华文仿宋" w:eastAsia="华文仿宋"/>
                <w:color w:val="auto"/>
                <w:sz w:val="21"/>
                <w:szCs w:val="21"/>
              </w:rPr>
            </w:pPr>
            <w:r>
              <w:rPr>
                <w:rFonts w:ascii="华文仿宋" w:hAnsi="华文仿宋" w:eastAsia="华文仿宋"/>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vAlign w:val="top"/>
          </w:tcPr>
          <w:p>
            <w:pPr>
              <w:snapToGrid w:val="0"/>
              <w:rPr>
                <w:rFonts w:ascii="华文仿宋" w:hAnsi="华文仿宋" w:eastAsia="华文仿宋"/>
                <w:color w:val="auto"/>
                <w:sz w:val="21"/>
                <w:szCs w:val="21"/>
              </w:rPr>
            </w:pPr>
            <w:r>
              <w:rPr>
                <w:rFonts w:ascii="华文仿宋" w:hAnsi="华文仿宋" w:eastAsia="华文仿宋"/>
                <w:color w:val="auto"/>
                <w:sz w:val="21"/>
                <w:szCs w:val="21"/>
              </w:rPr>
              <w:t>一、质量要求和技术标准：</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1、服务措施：</w:t>
            </w:r>
          </w:p>
          <w:p>
            <w:pPr>
              <w:snapToGrid w:val="0"/>
              <w:rPr>
                <w:rFonts w:ascii="华文仿宋" w:hAnsi="华文仿宋" w:eastAsia="华文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9628" w:type="dxa"/>
            <w:gridSpan w:val="6"/>
            <w:noWrap/>
            <w:vAlign w:val="top"/>
          </w:tcPr>
          <w:p>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二</w:t>
            </w:r>
            <w:r>
              <w:rPr>
                <w:rFonts w:ascii="华文仿宋" w:hAnsi="华文仿宋" w:eastAsia="华文仿宋"/>
                <w:color w:val="auto"/>
                <w:sz w:val="21"/>
                <w:szCs w:val="21"/>
              </w:rPr>
              <w:t>、验收标准、方法：</w:t>
            </w:r>
          </w:p>
          <w:p>
            <w:pPr>
              <w:snapToGrid w:val="0"/>
              <w:rPr>
                <w:rFonts w:ascii="华文仿宋" w:hAnsi="华文仿宋" w:eastAsia="华文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ign w:val="top"/>
          </w:tcPr>
          <w:p>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三</w:t>
            </w:r>
            <w:r>
              <w:rPr>
                <w:rFonts w:ascii="华文仿宋" w:hAnsi="华文仿宋" w:eastAsia="华文仿宋"/>
                <w:color w:val="auto"/>
                <w:sz w:val="21"/>
                <w:szCs w:val="21"/>
              </w:rPr>
              <w:t>、付款方式：</w:t>
            </w:r>
          </w:p>
          <w:p>
            <w:pPr>
              <w:pStyle w:val="9"/>
              <w:snapToGrid w:val="0"/>
              <w:ind w:left="1540" w:hanging="420"/>
              <w:rPr>
                <w:rFonts w:ascii="华文仿宋" w:hAnsi="华文仿宋" w:eastAsia="华文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vAlign w:val="top"/>
          </w:tcPr>
          <w:p>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四</w:t>
            </w:r>
            <w:r>
              <w:rPr>
                <w:rFonts w:ascii="华文仿宋" w:hAnsi="华文仿宋" w:eastAsia="华文仿宋"/>
                <w:color w:val="auto"/>
                <w:sz w:val="21"/>
                <w:szCs w:val="21"/>
              </w:rPr>
              <w:t>、违约责任：</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按《</w:t>
            </w:r>
            <w:r>
              <w:rPr>
                <w:rFonts w:hint="eastAsia" w:ascii="华文仿宋" w:hAnsi="华文仿宋" w:eastAsia="华文仿宋"/>
                <w:color w:val="auto"/>
                <w:sz w:val="21"/>
                <w:szCs w:val="21"/>
              </w:rPr>
              <w:t>中华人民共和国民法典</w:t>
            </w:r>
            <w:r>
              <w:rPr>
                <w:rFonts w:ascii="华文仿宋" w:hAnsi="华文仿宋" w:eastAsia="华文仿宋"/>
                <w:color w:val="auto"/>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6"/>
            <w:noWrap/>
            <w:vAlign w:val="top"/>
          </w:tcPr>
          <w:p>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五</w:t>
            </w:r>
            <w:r>
              <w:rPr>
                <w:rFonts w:ascii="华文仿宋" w:hAnsi="华文仿宋" w:eastAsia="华文仿宋"/>
                <w:color w:val="auto"/>
                <w:sz w:val="21"/>
                <w:szCs w:val="21"/>
              </w:rPr>
              <w:t>、其他约定事项：</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1、</w:t>
            </w:r>
            <w:r>
              <w:rPr>
                <w:rFonts w:hint="eastAsia" w:ascii="华文仿宋" w:hAnsi="华文仿宋" w:eastAsia="华文仿宋"/>
                <w:color w:val="auto"/>
                <w:sz w:val="21"/>
                <w:szCs w:val="21"/>
              </w:rPr>
              <w:t>采购</w:t>
            </w:r>
            <w:r>
              <w:rPr>
                <w:rFonts w:ascii="华文仿宋" w:hAnsi="华文仿宋" w:eastAsia="华文仿宋"/>
                <w:color w:val="auto"/>
                <w:sz w:val="21"/>
                <w:szCs w:val="21"/>
              </w:rPr>
              <w:t>文件及其补遗文件、</w:t>
            </w:r>
            <w:r>
              <w:rPr>
                <w:rFonts w:hint="eastAsia" w:ascii="华文仿宋" w:hAnsi="华文仿宋" w:eastAsia="华文仿宋"/>
                <w:color w:val="auto"/>
                <w:sz w:val="21"/>
                <w:szCs w:val="21"/>
              </w:rPr>
              <w:t>投标</w:t>
            </w:r>
            <w:r>
              <w:rPr>
                <w:rFonts w:ascii="华文仿宋" w:hAnsi="华文仿宋" w:eastAsia="华文仿宋"/>
                <w:color w:val="auto"/>
                <w:sz w:val="21"/>
                <w:szCs w:val="21"/>
              </w:rPr>
              <w:t>文件和承诺是本合同不可分割的部分。</w:t>
            </w:r>
          </w:p>
          <w:p>
            <w:pPr>
              <w:snapToGrid w:val="0"/>
              <w:ind w:left="360"/>
              <w:rPr>
                <w:rFonts w:ascii="华文仿宋" w:hAnsi="华文仿宋" w:eastAsia="华文仿宋"/>
                <w:color w:val="auto"/>
                <w:sz w:val="21"/>
                <w:szCs w:val="21"/>
              </w:rPr>
            </w:pPr>
            <w:r>
              <w:rPr>
                <w:rFonts w:ascii="华文仿宋" w:hAnsi="华文仿宋" w:eastAsia="华文仿宋"/>
                <w:color w:val="auto"/>
                <w:sz w:val="21"/>
                <w:szCs w:val="21"/>
              </w:rPr>
              <w:t>本合同如发生争议由双方协商解决，协商不成向需方所在人民法院提请诉讼。</w:t>
            </w:r>
          </w:p>
          <w:p>
            <w:pPr>
              <w:snapToGrid w:val="0"/>
              <w:ind w:left="360"/>
              <w:rPr>
                <w:rFonts w:ascii="华文仿宋" w:hAnsi="华文仿宋" w:eastAsia="华文仿宋"/>
                <w:color w:val="auto"/>
                <w:sz w:val="21"/>
                <w:szCs w:val="21"/>
              </w:rPr>
            </w:pPr>
            <w:r>
              <w:rPr>
                <w:rFonts w:ascii="华文仿宋" w:hAnsi="华文仿宋" w:eastAsia="华文仿宋"/>
                <w:color w:val="auto"/>
                <w:sz w:val="21"/>
                <w:szCs w:val="21"/>
              </w:rPr>
              <w:t>本合同一式__份， 需方__份，供方__份，具同等法律效力。</w:t>
            </w:r>
          </w:p>
          <w:p>
            <w:pPr>
              <w:snapToGrid w:val="0"/>
              <w:rPr>
                <w:rFonts w:ascii="华文仿宋" w:hAnsi="华文仿宋" w:eastAsia="华文仿宋"/>
                <w:color w:val="auto"/>
                <w:sz w:val="21"/>
                <w:szCs w:val="21"/>
              </w:rPr>
            </w:pPr>
            <w:r>
              <w:rPr>
                <w:rFonts w:hint="eastAsia" w:ascii="华文仿宋" w:hAnsi="华文仿宋" w:eastAsia="华文仿宋"/>
                <w:color w:val="auto"/>
                <w:sz w:val="21"/>
                <w:szCs w:val="21"/>
              </w:rPr>
              <w:t>2</w:t>
            </w:r>
            <w:r>
              <w:rPr>
                <w:rFonts w:ascii="华文仿宋" w:hAnsi="华文仿宋" w:eastAsia="华文仿宋"/>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vAlign w:val="top"/>
          </w:tcPr>
          <w:p>
            <w:pPr>
              <w:snapToGrid w:val="0"/>
              <w:rPr>
                <w:rFonts w:ascii="华文仿宋" w:hAnsi="华文仿宋" w:eastAsia="华文仿宋"/>
                <w:color w:val="auto"/>
                <w:sz w:val="21"/>
                <w:szCs w:val="21"/>
              </w:rPr>
            </w:pPr>
            <w:r>
              <w:rPr>
                <w:rFonts w:ascii="华文仿宋" w:hAnsi="华文仿宋" w:eastAsia="华文仿宋"/>
                <w:color w:val="auto"/>
                <w:sz w:val="21"/>
                <w:szCs w:val="21"/>
              </w:rPr>
              <w:t>需方：</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地址：</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联系电话：</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授权代表：</w:t>
            </w:r>
          </w:p>
        </w:tc>
        <w:tc>
          <w:tcPr>
            <w:tcW w:w="5125" w:type="dxa"/>
            <w:gridSpan w:val="4"/>
            <w:noWrap/>
            <w:vAlign w:val="top"/>
          </w:tcPr>
          <w:p>
            <w:pPr>
              <w:snapToGrid w:val="0"/>
              <w:rPr>
                <w:rFonts w:ascii="华文仿宋" w:hAnsi="华文仿宋" w:eastAsia="华文仿宋"/>
                <w:color w:val="auto"/>
                <w:sz w:val="21"/>
                <w:szCs w:val="21"/>
              </w:rPr>
            </w:pPr>
            <w:r>
              <w:rPr>
                <w:rFonts w:ascii="华文仿宋" w:hAnsi="华文仿宋" w:eastAsia="华文仿宋"/>
                <w:color w:val="auto"/>
                <w:sz w:val="21"/>
                <w:szCs w:val="21"/>
              </w:rPr>
              <w:t>供方：</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地址：</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电话：</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传真：</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开户银行：</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账号：</w:t>
            </w:r>
          </w:p>
          <w:p>
            <w:pPr>
              <w:snapToGrid w:val="0"/>
              <w:rPr>
                <w:rFonts w:ascii="华文仿宋" w:hAnsi="华文仿宋" w:eastAsia="华文仿宋"/>
                <w:color w:val="auto"/>
                <w:sz w:val="21"/>
                <w:szCs w:val="21"/>
              </w:rPr>
            </w:pPr>
            <w:r>
              <w:rPr>
                <w:rFonts w:ascii="华文仿宋" w:hAnsi="华文仿宋" w:eastAsia="华文仿宋"/>
                <w:color w:val="auto"/>
                <w:sz w:val="21"/>
                <w:szCs w:val="21"/>
              </w:rPr>
              <w:t>授权代表：</w:t>
            </w:r>
          </w:p>
          <w:p>
            <w:pPr>
              <w:widowControl/>
              <w:snapToGrid w:val="0"/>
              <w:jc w:val="left"/>
              <w:rPr>
                <w:rFonts w:ascii="华文仿宋" w:hAnsi="华文仿宋" w:eastAsia="华文仿宋"/>
                <w:color w:val="auto"/>
                <w:sz w:val="21"/>
                <w:szCs w:val="21"/>
              </w:rPr>
            </w:pPr>
            <w:r>
              <w:rPr>
                <w:rFonts w:ascii="华文仿宋" w:hAnsi="华文仿宋" w:eastAsia="华文仿宋"/>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9628" w:type="dxa"/>
            <w:gridSpan w:val="6"/>
            <w:noWrap/>
            <w:vAlign w:val="top"/>
          </w:tcPr>
          <w:p>
            <w:pPr>
              <w:snapToGrid w:val="0"/>
              <w:rPr>
                <w:rFonts w:ascii="华文仿宋" w:hAnsi="华文仿宋" w:eastAsia="华文仿宋"/>
                <w:color w:val="auto"/>
                <w:sz w:val="21"/>
                <w:szCs w:val="21"/>
              </w:rPr>
            </w:pPr>
            <w:r>
              <w:rPr>
                <w:rFonts w:ascii="华文仿宋" w:hAnsi="华文仿宋" w:eastAsia="华文仿宋"/>
                <w:color w:val="auto"/>
                <w:sz w:val="21"/>
                <w:szCs w:val="21"/>
              </w:rPr>
              <w:t>备注：</w:t>
            </w:r>
          </w:p>
        </w:tc>
      </w:tr>
    </w:tbl>
    <w:p>
      <w:pPr>
        <w:pStyle w:val="19"/>
        <w:rPr>
          <w:rFonts w:hint="eastAsia" w:ascii="仿宋" w:hAnsi="仿宋" w:eastAsia="仿宋" w:cs="仿宋"/>
          <w:color w:val="auto"/>
          <w:szCs w:val="28"/>
          <w:highlight w:val="none"/>
          <w:lang w:val="en-US" w:eastAsia="zh-CN"/>
        </w:rPr>
      </w:pPr>
      <w:r>
        <w:rPr>
          <w:rFonts w:ascii="华文仿宋" w:hAnsi="华文仿宋" w:eastAsia="华文仿宋"/>
          <w:color w:val="auto"/>
        </w:rPr>
        <w:t>签约时间：           年   月   日         签约地点：</w:t>
      </w:r>
    </w:p>
    <w:p>
      <w:pPr>
        <w:pStyle w:val="19"/>
        <w:rPr>
          <w:rFonts w:hint="eastAsia" w:ascii="仿宋" w:hAnsi="仿宋" w:eastAsia="仿宋" w:cs="仿宋"/>
          <w:color w:val="auto"/>
          <w:szCs w:val="28"/>
          <w:highlight w:val="none"/>
          <w:lang w:val="en-US" w:eastAsia="zh-CN"/>
        </w:rPr>
      </w:pPr>
    </w:p>
    <w:p>
      <w:pPr>
        <w:pStyle w:val="19"/>
        <w:ind w:left="0" w:leftChars="0" w:firstLine="0" w:firstLineChars="0"/>
        <w:rPr>
          <w:rFonts w:hint="eastAsia" w:ascii="仿宋" w:hAnsi="仿宋" w:eastAsia="仿宋" w:cs="仿宋"/>
          <w:color w:val="auto"/>
          <w:szCs w:val="28"/>
          <w:highlight w:val="none"/>
          <w:lang w:val="en-US" w:eastAsia="zh-CN"/>
        </w:rPr>
      </w:pPr>
    </w:p>
    <w:p>
      <w:pPr>
        <w:pStyle w:val="3"/>
        <w:spacing w:before="0" w:after="0" w:line="360" w:lineRule="auto"/>
        <w:jc w:val="center"/>
        <w:rPr>
          <w:rFonts w:ascii="仿宋" w:hAnsi="仿宋" w:eastAsia="仿宋"/>
          <w:b/>
          <w:bCs/>
          <w:color w:val="auto"/>
          <w:sz w:val="36"/>
          <w:szCs w:val="30"/>
        </w:rPr>
      </w:pPr>
      <w:bookmarkStart w:id="107" w:name="_Toc10837"/>
      <w:r>
        <w:rPr>
          <w:rFonts w:hint="eastAsia" w:ascii="仿宋" w:hAnsi="仿宋" w:eastAsia="仿宋"/>
          <w:b/>
          <w:bCs/>
          <w:color w:val="auto"/>
          <w:sz w:val="36"/>
          <w:szCs w:val="30"/>
        </w:rPr>
        <w:t>第七篇  响应文件编制要求</w:t>
      </w:r>
      <w:bookmarkEnd w:id="107"/>
    </w:p>
    <w:p>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一、经济部分</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（一）报价函</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（二）明细报价表</w:t>
      </w:r>
    </w:p>
    <w:p>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二、技术部分</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（一）技术应答</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（二）技术响应偏离表</w:t>
      </w:r>
    </w:p>
    <w:p>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三、商务部分</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（一）服务要求响应情况：交货时间、交货地点、质量保证期、售后服务条款等。</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（一）商务响应偏离表</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（二）其它优惠承诺</w:t>
      </w:r>
    </w:p>
    <w:p>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四、资格条件及其他</w:t>
      </w:r>
    </w:p>
    <w:p>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（二）法定代表人身份证明书（格式）</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法定代表人授权委托书（格式）</w:t>
      </w:r>
    </w:p>
    <w:p>
      <w:pPr>
        <w:snapToGrid w:val="0"/>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）基本资格条件承诺函（格式）</w:t>
      </w:r>
    </w:p>
    <w:p>
      <w:pPr>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rPr>
        <w:t>）特定资格条件证书或证明文件</w:t>
      </w:r>
    </w:p>
    <w:p>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五、其他应提供的资料</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（一）中小企业声明函、监狱企业证明文件、残疾人福利性单位声明函</w:t>
      </w:r>
    </w:p>
    <w:p>
      <w:pPr>
        <w:spacing w:line="360" w:lineRule="auto"/>
        <w:ind w:firstLine="480" w:firstLineChars="200"/>
        <w:rPr>
          <w:rFonts w:ascii="仿宋" w:hAnsi="仿宋" w:eastAsia="仿宋"/>
          <w:color w:val="auto"/>
          <w:sz w:val="24"/>
          <w:szCs w:val="24"/>
          <w:bdr w:val="single" w:color="auto" w:sz="4" w:space="0"/>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）其他与项目有关的资料（自附）</w:t>
      </w:r>
    </w:p>
    <w:p>
      <w:pPr>
        <w:pStyle w:val="6"/>
        <w:rPr>
          <w:rFonts w:hint="eastAsia" w:ascii="仿宋" w:hAnsi="仿宋" w:eastAsia="仿宋" w:cs="仿宋"/>
          <w:color w:val="auto"/>
          <w:szCs w:val="28"/>
          <w:highlight w:val="none"/>
        </w:rPr>
      </w:pPr>
    </w:p>
    <w:p>
      <w:pPr>
        <w:spacing w:line="312" w:lineRule="auto"/>
        <w:jc w:val="center"/>
        <w:rPr>
          <w:rFonts w:hint="eastAsia" w:ascii="仿宋" w:hAnsi="仿宋" w:eastAsia="仿宋" w:cs="仿宋"/>
          <w:b/>
          <w:i w:val="0"/>
          <w:iCs w:val="0"/>
          <w:color w:val="auto"/>
          <w:sz w:val="24"/>
          <w:szCs w:val="24"/>
        </w:rPr>
      </w:pPr>
    </w:p>
    <w:p>
      <w:pPr>
        <w:numPr>
          <w:ilvl w:val="0"/>
          <w:numId w:val="5"/>
        </w:numPr>
        <w:spacing w:line="312" w:lineRule="auto"/>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lang w:val="en-US" w:eastAsia="zh-CN"/>
        </w:rPr>
        <w:t>经济部分</w:t>
      </w:r>
    </w:p>
    <w:p>
      <w:pPr>
        <w:tabs>
          <w:tab w:val="left" w:pos="6300"/>
        </w:tabs>
        <w:snapToGrid w:val="0"/>
        <w:spacing w:line="312" w:lineRule="auto"/>
        <w:ind w:firstLine="480" w:firstLineChars="200"/>
        <w:rPr>
          <w:rFonts w:hint="eastAsia" w:ascii="仿宋" w:hAnsi="仿宋" w:eastAsia="仿宋" w:cs="仿宋"/>
          <w:bCs/>
          <w:i w:val="0"/>
          <w:iCs w:val="0"/>
          <w:color w:val="auto"/>
          <w:sz w:val="24"/>
          <w:szCs w:val="24"/>
        </w:rPr>
      </w:pPr>
      <w:r>
        <w:rPr>
          <w:rFonts w:hint="eastAsia" w:ascii="仿宋" w:hAnsi="仿宋" w:eastAsia="仿宋" w:cs="仿宋"/>
          <w:bCs/>
          <w:i w:val="0"/>
          <w:iCs w:val="0"/>
          <w:color w:val="auto"/>
          <w:sz w:val="24"/>
          <w:szCs w:val="24"/>
        </w:rPr>
        <w:t>（一）报价函</w:t>
      </w:r>
    </w:p>
    <w:p>
      <w:pPr>
        <w:tabs>
          <w:tab w:val="left" w:pos="6300"/>
        </w:tabs>
        <w:snapToGrid w:val="0"/>
        <w:spacing w:line="360" w:lineRule="auto"/>
        <w:jc w:val="center"/>
        <w:outlineLvl w:val="0"/>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报价函</w:t>
      </w:r>
    </w:p>
    <w:p>
      <w:pPr>
        <w:tabs>
          <w:tab w:val="left" w:pos="6300"/>
        </w:tabs>
        <w:snapToGrid w:val="0"/>
        <w:spacing w:line="360"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u w:val="single"/>
        </w:rPr>
        <w:t>（</w:t>
      </w:r>
      <w:r>
        <w:rPr>
          <w:rFonts w:hint="eastAsia" w:ascii="仿宋" w:hAnsi="仿宋" w:eastAsia="仿宋" w:cs="仿宋"/>
          <w:i w:val="0"/>
          <w:iCs w:val="0"/>
          <w:color w:val="auto"/>
          <w:sz w:val="24"/>
          <w:szCs w:val="24"/>
          <w:u w:val="single"/>
          <w:lang w:val="en-US" w:eastAsia="zh-CN"/>
        </w:rPr>
        <w:t>代理机构</w:t>
      </w:r>
      <w:r>
        <w:rPr>
          <w:rFonts w:hint="eastAsia" w:ascii="仿宋" w:hAnsi="仿宋" w:eastAsia="仿宋" w:cs="仿宋"/>
          <w:i w:val="0"/>
          <w:iCs w:val="0"/>
          <w:color w:val="auto"/>
          <w:sz w:val="24"/>
          <w:szCs w:val="24"/>
          <w:u w:val="single"/>
        </w:rPr>
        <w:t>名称）</w:t>
      </w:r>
      <w:r>
        <w:rPr>
          <w:rFonts w:hint="eastAsia" w:ascii="仿宋" w:hAnsi="仿宋" w:eastAsia="仿宋" w:cs="仿宋"/>
          <w:i w:val="0"/>
          <w:iCs w:val="0"/>
          <w:color w:val="auto"/>
          <w:sz w:val="24"/>
          <w:szCs w:val="24"/>
        </w:rPr>
        <w:t>：</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我方收到____________________________（项目名称）的</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采购文件，经详细研究，决定参加该项目的</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w:t>
      </w:r>
    </w:p>
    <w:p>
      <w:pPr>
        <w:tabs>
          <w:tab w:val="left" w:pos="6300"/>
        </w:tabs>
        <w:snapToGrid w:val="0"/>
        <w:spacing w:line="360" w:lineRule="auto"/>
        <w:ind w:left="14" w:leftChars="5" w:firstLine="458" w:firstLineChars="191"/>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1、愿意按照</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采购文件中的一切要求，提供本项目的技术服务，报价为人民币</w:t>
      </w:r>
      <w:r>
        <w:rPr>
          <w:rFonts w:hint="eastAsia" w:ascii="仿宋" w:hAnsi="仿宋" w:eastAsia="仿宋" w:cs="仿宋"/>
          <w:i w:val="0"/>
          <w:iCs w:val="0"/>
          <w:color w:val="auto"/>
          <w:sz w:val="24"/>
          <w:szCs w:val="24"/>
          <w:u w:val="single"/>
        </w:rPr>
        <w:t>大写：     元整</w:t>
      </w:r>
      <w:r>
        <w:rPr>
          <w:rFonts w:hint="eastAsia" w:ascii="仿宋" w:hAnsi="仿宋" w:eastAsia="仿宋" w:cs="仿宋"/>
          <w:i w:val="0"/>
          <w:iCs w:val="0"/>
          <w:color w:val="auto"/>
          <w:sz w:val="24"/>
          <w:szCs w:val="24"/>
        </w:rPr>
        <w:t>；人民币</w:t>
      </w:r>
      <w:r>
        <w:rPr>
          <w:rFonts w:hint="eastAsia" w:ascii="仿宋" w:hAnsi="仿宋" w:eastAsia="仿宋" w:cs="仿宋"/>
          <w:i w:val="0"/>
          <w:iCs w:val="0"/>
          <w:color w:val="auto"/>
          <w:sz w:val="24"/>
          <w:szCs w:val="24"/>
          <w:u w:val="single"/>
        </w:rPr>
        <w:t>小写：    元</w:t>
      </w:r>
      <w:r>
        <w:rPr>
          <w:rFonts w:hint="eastAsia" w:ascii="仿宋" w:hAnsi="仿宋" w:eastAsia="仿宋" w:cs="仿宋"/>
          <w:i w:val="0"/>
          <w:iCs w:val="0"/>
          <w:color w:val="auto"/>
          <w:sz w:val="24"/>
          <w:szCs w:val="24"/>
        </w:rPr>
        <w:t>。</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2、我方现提交的响应文件为：响应文件电子文档壹份。</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3、我方承诺：本次</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的有效期为90天。</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4、我方完全理解和接受贵方</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采购文件的一切规定和要求及评审办法。</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5、在整个</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采购过程中，我方若有违规行为，接受按照重庆市政府采购云平台规定给予惩罚。</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6、我方若中选，将按照</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7、我方理解，最低报价不是成交的唯一条件。</w:t>
      </w:r>
    </w:p>
    <w:p>
      <w:pPr>
        <w:tabs>
          <w:tab w:val="left" w:pos="6300"/>
        </w:tabs>
        <w:snapToGrid w:val="0"/>
        <w:spacing w:line="360" w:lineRule="auto"/>
        <w:ind w:firstLine="570"/>
        <w:rPr>
          <w:rFonts w:hint="eastAsia" w:ascii="仿宋" w:hAnsi="仿宋" w:eastAsia="仿宋" w:cs="仿宋"/>
          <w:i w:val="0"/>
          <w:iCs w:val="0"/>
          <w:color w:val="auto"/>
          <w:sz w:val="24"/>
          <w:szCs w:val="24"/>
        </w:rPr>
      </w:pPr>
    </w:p>
    <w:p>
      <w:pPr>
        <w:tabs>
          <w:tab w:val="left" w:pos="6300"/>
        </w:tabs>
        <w:snapToGrid w:val="0"/>
        <w:spacing w:line="360" w:lineRule="auto"/>
        <w:ind w:firstLine="570"/>
        <w:rPr>
          <w:rFonts w:hint="eastAsia" w:ascii="仿宋" w:hAnsi="仿宋" w:eastAsia="仿宋" w:cs="仿宋"/>
          <w:i w:val="0"/>
          <w:iCs w:val="0"/>
          <w:color w:val="auto"/>
          <w:sz w:val="24"/>
          <w:szCs w:val="24"/>
        </w:rPr>
      </w:pPr>
    </w:p>
    <w:p>
      <w:pPr>
        <w:tabs>
          <w:tab w:val="left" w:pos="6300"/>
        </w:tabs>
        <w:snapToGrid w:val="0"/>
        <w:spacing w:line="360" w:lineRule="auto"/>
        <w:ind w:firstLine="570"/>
        <w:rPr>
          <w:rFonts w:hint="eastAsia" w:ascii="仿宋" w:hAnsi="仿宋" w:eastAsia="仿宋" w:cs="仿宋"/>
          <w:i w:val="0"/>
          <w:iCs w:val="0"/>
          <w:color w:val="auto"/>
          <w:sz w:val="24"/>
          <w:szCs w:val="24"/>
        </w:rPr>
      </w:pPr>
    </w:p>
    <w:p>
      <w:pPr>
        <w:tabs>
          <w:tab w:val="left" w:pos="6300"/>
        </w:tabs>
        <w:snapToGrid w:val="0"/>
        <w:spacing w:line="360" w:lineRule="auto"/>
        <w:ind w:firstLine="570"/>
        <w:rPr>
          <w:rFonts w:hint="eastAsia" w:ascii="仿宋" w:hAnsi="仿宋" w:eastAsia="仿宋" w:cs="仿宋"/>
          <w:i w:val="0"/>
          <w:iCs w:val="0"/>
          <w:color w:val="auto"/>
          <w:sz w:val="24"/>
          <w:szCs w:val="24"/>
        </w:rPr>
      </w:pPr>
    </w:p>
    <w:p>
      <w:pPr>
        <w:tabs>
          <w:tab w:val="left" w:pos="6300"/>
        </w:tabs>
        <w:snapToGrid w:val="0"/>
        <w:spacing w:line="360"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供应商名称（公章）：</w:t>
      </w:r>
    </w:p>
    <w:p>
      <w:pPr>
        <w:snapToGrid w:val="0"/>
        <w:spacing w:line="360" w:lineRule="auto"/>
        <w:ind w:firstLine="480" w:firstLineChars="200"/>
        <w:rPr>
          <w:rFonts w:hint="eastAsia" w:ascii="仿宋" w:hAnsi="仿宋" w:eastAsia="仿宋" w:cs="仿宋"/>
          <w:i w:val="0"/>
          <w:iCs w:val="0"/>
          <w:color w:val="auto"/>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i w:val="0"/>
          <w:iCs w:val="0"/>
          <w:color w:val="auto"/>
          <w:sz w:val="24"/>
          <w:szCs w:val="24"/>
        </w:rPr>
        <w:t xml:space="preserve">                                                  年   月   日</w:t>
      </w:r>
    </w:p>
    <w:p>
      <w:pPr>
        <w:tabs>
          <w:tab w:val="left" w:pos="2895"/>
        </w:tabs>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（二）明细报价表</w:t>
      </w:r>
    </w:p>
    <w:p>
      <w:pPr>
        <w:tabs>
          <w:tab w:val="left" w:pos="2975"/>
          <w:tab w:val="center" w:pos="4765"/>
        </w:tabs>
        <w:spacing w:line="312" w:lineRule="auto"/>
        <w:jc w:val="left"/>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ab/>
      </w:r>
      <w:r>
        <w:rPr>
          <w:rFonts w:hint="eastAsia" w:ascii="仿宋" w:hAnsi="仿宋" w:eastAsia="仿宋" w:cs="仿宋"/>
          <w:b/>
          <w:i w:val="0"/>
          <w:iCs w:val="0"/>
          <w:color w:val="auto"/>
          <w:sz w:val="24"/>
          <w:szCs w:val="24"/>
        </w:rPr>
        <w:tab/>
      </w:r>
      <w:r>
        <w:rPr>
          <w:rFonts w:hint="eastAsia" w:ascii="仿宋" w:hAnsi="仿宋" w:eastAsia="仿宋" w:cs="仿宋"/>
          <w:b/>
          <w:i w:val="0"/>
          <w:iCs w:val="0"/>
          <w:color w:val="auto"/>
          <w:sz w:val="24"/>
          <w:szCs w:val="24"/>
        </w:rPr>
        <w:t>明细报价表</w:t>
      </w:r>
    </w:p>
    <w:tbl>
      <w:tblPr>
        <w:tblStyle w:val="15"/>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序号</w:t>
            </w:r>
          </w:p>
        </w:tc>
        <w:tc>
          <w:tcPr>
            <w:tcW w:w="1695" w:type="dxa"/>
            <w:vAlign w:val="center"/>
          </w:tcPr>
          <w:p>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名称</w:t>
            </w:r>
          </w:p>
        </w:tc>
        <w:tc>
          <w:tcPr>
            <w:tcW w:w="3404" w:type="dxa"/>
            <w:vAlign w:val="center"/>
          </w:tcPr>
          <w:p>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相关信息</w:t>
            </w:r>
          </w:p>
        </w:tc>
        <w:tc>
          <w:tcPr>
            <w:tcW w:w="1344" w:type="dxa"/>
            <w:vAlign w:val="center"/>
          </w:tcPr>
          <w:p>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数量</w:t>
            </w:r>
          </w:p>
        </w:tc>
        <w:tc>
          <w:tcPr>
            <w:tcW w:w="1344" w:type="dxa"/>
            <w:vAlign w:val="center"/>
          </w:tcPr>
          <w:p>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单价</w:t>
            </w:r>
          </w:p>
        </w:tc>
        <w:tc>
          <w:tcPr>
            <w:tcW w:w="1344" w:type="dxa"/>
            <w:vAlign w:val="center"/>
          </w:tcPr>
          <w:p>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2111</w:t>
            </w:r>
          </w:p>
        </w:tc>
        <w:tc>
          <w:tcPr>
            <w:tcW w:w="1695" w:type="dxa"/>
            <w:vAlign w:val="center"/>
          </w:tcPr>
          <w:p>
            <w:pPr>
              <w:jc w:val="center"/>
              <w:rPr>
                <w:rFonts w:hint="eastAsia" w:ascii="仿宋" w:hAnsi="仿宋" w:eastAsia="仿宋" w:cs="仿宋"/>
                <w:i w:val="0"/>
                <w:iCs w:val="0"/>
                <w:color w:val="auto"/>
                <w:sz w:val="24"/>
                <w:szCs w:val="24"/>
              </w:rPr>
            </w:pPr>
          </w:p>
        </w:tc>
        <w:tc>
          <w:tcPr>
            <w:tcW w:w="3404" w:type="dxa"/>
          </w:tcPr>
          <w:p>
            <w:pPr>
              <w:jc w:val="center"/>
              <w:rPr>
                <w:rFonts w:hint="eastAsia" w:ascii="仿宋" w:hAnsi="仿宋" w:eastAsia="仿宋" w:cs="仿宋"/>
                <w:i w:val="0"/>
                <w:iCs w:val="0"/>
                <w:color w:val="auto"/>
                <w:sz w:val="24"/>
                <w:szCs w:val="24"/>
              </w:rPr>
            </w:pPr>
          </w:p>
        </w:tc>
        <w:tc>
          <w:tcPr>
            <w:tcW w:w="1344" w:type="dxa"/>
            <w:vAlign w:val="center"/>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22</w:t>
            </w:r>
          </w:p>
        </w:tc>
        <w:tc>
          <w:tcPr>
            <w:tcW w:w="1695" w:type="dxa"/>
            <w:vAlign w:val="center"/>
          </w:tcPr>
          <w:p>
            <w:pPr>
              <w:jc w:val="center"/>
              <w:rPr>
                <w:rFonts w:hint="eastAsia" w:ascii="仿宋" w:hAnsi="仿宋" w:eastAsia="仿宋" w:cs="仿宋"/>
                <w:i w:val="0"/>
                <w:iCs w:val="0"/>
                <w:color w:val="auto"/>
                <w:sz w:val="24"/>
                <w:szCs w:val="24"/>
              </w:rPr>
            </w:pPr>
          </w:p>
        </w:tc>
        <w:tc>
          <w:tcPr>
            <w:tcW w:w="3404" w:type="dxa"/>
          </w:tcPr>
          <w:p>
            <w:pPr>
              <w:jc w:val="center"/>
              <w:rPr>
                <w:rFonts w:hint="eastAsia" w:ascii="仿宋" w:hAnsi="仿宋" w:eastAsia="仿宋" w:cs="仿宋"/>
                <w:i w:val="0"/>
                <w:iCs w:val="0"/>
                <w:color w:val="auto"/>
                <w:sz w:val="24"/>
                <w:szCs w:val="24"/>
              </w:rPr>
            </w:pPr>
          </w:p>
        </w:tc>
        <w:tc>
          <w:tcPr>
            <w:tcW w:w="1344" w:type="dxa"/>
            <w:vAlign w:val="center"/>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13</w:t>
            </w:r>
          </w:p>
        </w:tc>
        <w:tc>
          <w:tcPr>
            <w:tcW w:w="1695" w:type="dxa"/>
            <w:vAlign w:val="center"/>
          </w:tcPr>
          <w:p>
            <w:pPr>
              <w:jc w:val="center"/>
              <w:rPr>
                <w:rFonts w:hint="eastAsia" w:ascii="仿宋" w:hAnsi="仿宋" w:eastAsia="仿宋" w:cs="仿宋"/>
                <w:i w:val="0"/>
                <w:iCs w:val="0"/>
                <w:color w:val="auto"/>
                <w:sz w:val="24"/>
                <w:szCs w:val="24"/>
              </w:rPr>
            </w:pPr>
          </w:p>
        </w:tc>
        <w:tc>
          <w:tcPr>
            <w:tcW w:w="3404" w:type="dxa"/>
          </w:tcPr>
          <w:p>
            <w:pPr>
              <w:jc w:val="center"/>
              <w:rPr>
                <w:rFonts w:hint="eastAsia" w:ascii="仿宋" w:hAnsi="仿宋" w:eastAsia="仿宋" w:cs="仿宋"/>
                <w:i w:val="0"/>
                <w:iCs w:val="0"/>
                <w:color w:val="auto"/>
                <w:sz w:val="24"/>
                <w:szCs w:val="24"/>
              </w:rPr>
            </w:pPr>
          </w:p>
        </w:tc>
        <w:tc>
          <w:tcPr>
            <w:tcW w:w="1344" w:type="dxa"/>
            <w:vAlign w:val="center"/>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4</w:t>
            </w:r>
          </w:p>
        </w:tc>
        <w:tc>
          <w:tcPr>
            <w:tcW w:w="1695" w:type="dxa"/>
            <w:vAlign w:val="center"/>
          </w:tcPr>
          <w:p>
            <w:pPr>
              <w:jc w:val="center"/>
              <w:rPr>
                <w:rFonts w:hint="eastAsia" w:ascii="仿宋" w:hAnsi="仿宋" w:eastAsia="仿宋" w:cs="仿宋"/>
                <w:i w:val="0"/>
                <w:iCs w:val="0"/>
                <w:color w:val="auto"/>
                <w:sz w:val="24"/>
                <w:szCs w:val="24"/>
              </w:rPr>
            </w:pPr>
          </w:p>
        </w:tc>
        <w:tc>
          <w:tcPr>
            <w:tcW w:w="3404" w:type="dxa"/>
          </w:tcPr>
          <w:p>
            <w:pPr>
              <w:jc w:val="center"/>
              <w:rPr>
                <w:rFonts w:hint="eastAsia" w:ascii="仿宋" w:hAnsi="仿宋" w:eastAsia="仿宋" w:cs="仿宋"/>
                <w:i w:val="0"/>
                <w:iCs w:val="0"/>
                <w:color w:val="auto"/>
                <w:sz w:val="24"/>
                <w:szCs w:val="24"/>
              </w:rPr>
            </w:pPr>
          </w:p>
        </w:tc>
        <w:tc>
          <w:tcPr>
            <w:tcW w:w="1344" w:type="dxa"/>
            <w:vAlign w:val="center"/>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5</w:t>
            </w:r>
          </w:p>
        </w:tc>
        <w:tc>
          <w:tcPr>
            <w:tcW w:w="1695" w:type="dxa"/>
            <w:vAlign w:val="center"/>
          </w:tcPr>
          <w:p>
            <w:pPr>
              <w:jc w:val="center"/>
              <w:rPr>
                <w:rFonts w:hint="eastAsia" w:ascii="仿宋" w:hAnsi="仿宋" w:eastAsia="仿宋" w:cs="仿宋"/>
                <w:i w:val="0"/>
                <w:iCs w:val="0"/>
                <w:color w:val="auto"/>
                <w:sz w:val="24"/>
                <w:szCs w:val="24"/>
              </w:rPr>
            </w:pPr>
          </w:p>
        </w:tc>
        <w:tc>
          <w:tcPr>
            <w:tcW w:w="3404" w:type="dxa"/>
          </w:tcPr>
          <w:p>
            <w:pPr>
              <w:jc w:val="center"/>
              <w:rPr>
                <w:rFonts w:hint="eastAsia" w:ascii="仿宋" w:hAnsi="仿宋" w:eastAsia="仿宋" w:cs="仿宋"/>
                <w:i w:val="0"/>
                <w:iCs w:val="0"/>
                <w:color w:val="auto"/>
                <w:sz w:val="24"/>
                <w:szCs w:val="24"/>
              </w:rPr>
            </w:pPr>
          </w:p>
        </w:tc>
        <w:tc>
          <w:tcPr>
            <w:tcW w:w="1344" w:type="dxa"/>
            <w:vAlign w:val="center"/>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6</w:t>
            </w:r>
          </w:p>
        </w:tc>
        <w:tc>
          <w:tcPr>
            <w:tcW w:w="1695" w:type="dxa"/>
            <w:vAlign w:val="center"/>
          </w:tcPr>
          <w:p>
            <w:pPr>
              <w:jc w:val="center"/>
              <w:rPr>
                <w:rFonts w:hint="eastAsia" w:ascii="仿宋" w:hAnsi="仿宋" w:eastAsia="仿宋" w:cs="仿宋"/>
                <w:i w:val="0"/>
                <w:iCs w:val="0"/>
                <w:color w:val="auto"/>
                <w:sz w:val="24"/>
                <w:szCs w:val="24"/>
              </w:rPr>
            </w:pPr>
          </w:p>
        </w:tc>
        <w:tc>
          <w:tcPr>
            <w:tcW w:w="3404" w:type="dxa"/>
          </w:tcPr>
          <w:p>
            <w:pPr>
              <w:jc w:val="center"/>
              <w:rPr>
                <w:rFonts w:hint="eastAsia" w:ascii="仿宋" w:hAnsi="仿宋" w:eastAsia="仿宋" w:cs="仿宋"/>
                <w:i w:val="0"/>
                <w:iCs w:val="0"/>
                <w:color w:val="auto"/>
                <w:sz w:val="24"/>
                <w:szCs w:val="24"/>
              </w:rPr>
            </w:pPr>
          </w:p>
        </w:tc>
        <w:tc>
          <w:tcPr>
            <w:tcW w:w="1344" w:type="dxa"/>
            <w:vAlign w:val="center"/>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7</w:t>
            </w:r>
          </w:p>
        </w:tc>
        <w:tc>
          <w:tcPr>
            <w:tcW w:w="1695" w:type="dxa"/>
            <w:vAlign w:val="center"/>
          </w:tcPr>
          <w:p>
            <w:pPr>
              <w:jc w:val="center"/>
              <w:rPr>
                <w:rFonts w:hint="eastAsia" w:ascii="仿宋" w:hAnsi="仿宋" w:eastAsia="仿宋" w:cs="仿宋"/>
                <w:i w:val="0"/>
                <w:iCs w:val="0"/>
                <w:color w:val="auto"/>
                <w:sz w:val="24"/>
                <w:szCs w:val="24"/>
              </w:rPr>
            </w:pPr>
          </w:p>
        </w:tc>
        <w:tc>
          <w:tcPr>
            <w:tcW w:w="3404" w:type="dxa"/>
          </w:tcPr>
          <w:p>
            <w:pPr>
              <w:jc w:val="center"/>
              <w:rPr>
                <w:rFonts w:hint="eastAsia" w:ascii="仿宋" w:hAnsi="仿宋" w:eastAsia="仿宋" w:cs="仿宋"/>
                <w:i w:val="0"/>
                <w:iCs w:val="0"/>
                <w:color w:val="auto"/>
                <w:sz w:val="24"/>
                <w:szCs w:val="24"/>
              </w:rPr>
            </w:pPr>
          </w:p>
        </w:tc>
        <w:tc>
          <w:tcPr>
            <w:tcW w:w="1344" w:type="dxa"/>
            <w:vAlign w:val="center"/>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8</w:t>
            </w:r>
          </w:p>
        </w:tc>
        <w:tc>
          <w:tcPr>
            <w:tcW w:w="1695"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人工费</w:t>
            </w:r>
          </w:p>
        </w:tc>
        <w:tc>
          <w:tcPr>
            <w:tcW w:w="3404" w:type="dxa"/>
          </w:tcPr>
          <w:p>
            <w:pPr>
              <w:jc w:val="center"/>
              <w:rPr>
                <w:rFonts w:hint="eastAsia" w:ascii="仿宋" w:hAnsi="仿宋" w:eastAsia="仿宋" w:cs="仿宋"/>
                <w:i w:val="0"/>
                <w:iCs w:val="0"/>
                <w:color w:val="auto"/>
                <w:sz w:val="24"/>
                <w:szCs w:val="24"/>
              </w:rPr>
            </w:pPr>
          </w:p>
        </w:tc>
        <w:tc>
          <w:tcPr>
            <w:tcW w:w="1344"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9</w:t>
            </w:r>
          </w:p>
        </w:tc>
        <w:tc>
          <w:tcPr>
            <w:tcW w:w="1695"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各种税费</w:t>
            </w:r>
          </w:p>
        </w:tc>
        <w:tc>
          <w:tcPr>
            <w:tcW w:w="3404" w:type="dxa"/>
          </w:tcPr>
          <w:p>
            <w:pPr>
              <w:jc w:val="center"/>
              <w:rPr>
                <w:rFonts w:hint="eastAsia" w:ascii="仿宋" w:hAnsi="仿宋" w:eastAsia="仿宋" w:cs="仿宋"/>
                <w:i w:val="0"/>
                <w:iCs w:val="0"/>
                <w:color w:val="auto"/>
                <w:sz w:val="24"/>
                <w:szCs w:val="24"/>
              </w:rPr>
            </w:pPr>
          </w:p>
        </w:tc>
        <w:tc>
          <w:tcPr>
            <w:tcW w:w="1344"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10</w:t>
            </w:r>
          </w:p>
        </w:tc>
        <w:tc>
          <w:tcPr>
            <w:tcW w:w="1695"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其他费用</w:t>
            </w:r>
          </w:p>
        </w:tc>
        <w:tc>
          <w:tcPr>
            <w:tcW w:w="3404" w:type="dxa"/>
          </w:tcPr>
          <w:p>
            <w:pPr>
              <w:jc w:val="center"/>
              <w:rPr>
                <w:rFonts w:hint="eastAsia" w:ascii="仿宋" w:hAnsi="仿宋" w:eastAsia="仿宋" w:cs="仿宋"/>
                <w:i w:val="0"/>
                <w:iCs w:val="0"/>
                <w:color w:val="auto"/>
                <w:sz w:val="24"/>
                <w:szCs w:val="24"/>
              </w:rPr>
            </w:pPr>
          </w:p>
        </w:tc>
        <w:tc>
          <w:tcPr>
            <w:tcW w:w="1344"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11</w:t>
            </w:r>
          </w:p>
        </w:tc>
        <w:tc>
          <w:tcPr>
            <w:tcW w:w="1695"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3404" w:type="dxa"/>
          </w:tcPr>
          <w:p>
            <w:pPr>
              <w:jc w:val="center"/>
              <w:rPr>
                <w:rFonts w:hint="eastAsia" w:ascii="仿宋" w:hAnsi="仿宋" w:eastAsia="仿宋" w:cs="仿宋"/>
                <w:i w:val="0"/>
                <w:iCs w:val="0"/>
                <w:color w:val="auto"/>
                <w:sz w:val="24"/>
                <w:szCs w:val="24"/>
              </w:rPr>
            </w:pPr>
          </w:p>
        </w:tc>
        <w:tc>
          <w:tcPr>
            <w:tcW w:w="1344"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pPr>
              <w:jc w:val="center"/>
              <w:rPr>
                <w:rFonts w:hint="eastAsia" w:ascii="仿宋" w:hAnsi="仿宋" w:eastAsia="仿宋" w:cs="仿宋"/>
                <w:i w:val="0"/>
                <w:iCs w:val="0"/>
                <w:color w:val="auto"/>
                <w:sz w:val="24"/>
                <w:szCs w:val="24"/>
              </w:rPr>
            </w:pPr>
          </w:p>
        </w:tc>
        <w:tc>
          <w:tcPr>
            <w:tcW w:w="1344" w:type="dxa"/>
          </w:tcPr>
          <w:p>
            <w:pPr>
              <w:jc w:val="center"/>
              <w:rPr>
                <w:rFonts w:hint="eastAsia" w:ascii="仿宋" w:hAnsi="仿宋" w:eastAsia="仿宋" w:cs="仿宋"/>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12</w:t>
            </w:r>
          </w:p>
        </w:tc>
        <w:tc>
          <w:tcPr>
            <w:tcW w:w="1695" w:type="dxa"/>
            <w:vAlign w:val="center"/>
          </w:tcPr>
          <w:p>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总计</w:t>
            </w:r>
          </w:p>
        </w:tc>
        <w:tc>
          <w:tcPr>
            <w:tcW w:w="7436" w:type="dxa"/>
            <w:gridSpan w:val="4"/>
          </w:tcPr>
          <w:p>
            <w:pPr>
              <w:rPr>
                <w:rFonts w:hint="eastAsia" w:ascii="仿宋" w:hAnsi="仿宋" w:eastAsia="仿宋" w:cs="仿宋"/>
                <w:i w:val="0"/>
                <w:iCs w:val="0"/>
                <w:color w:val="auto"/>
                <w:sz w:val="24"/>
                <w:szCs w:val="24"/>
              </w:rPr>
            </w:pPr>
          </w:p>
        </w:tc>
      </w:tr>
    </w:tbl>
    <w:p>
      <w:pPr>
        <w:snapToGrid w:val="0"/>
        <w:spacing w:line="312" w:lineRule="auto"/>
        <w:ind w:firstLine="480" w:firstLineChars="200"/>
        <w:rPr>
          <w:rFonts w:hint="eastAsia" w:ascii="仿宋" w:hAnsi="仿宋" w:eastAsia="仿宋" w:cs="仿宋"/>
          <w:i w:val="0"/>
          <w:iCs w:val="0"/>
          <w:color w:val="auto"/>
          <w:sz w:val="24"/>
          <w:szCs w:val="24"/>
        </w:rPr>
      </w:pPr>
    </w:p>
    <w:p>
      <w:pPr>
        <w:snapToGrid w:val="0"/>
        <w:spacing w:line="312" w:lineRule="auto"/>
        <w:ind w:firstLine="480" w:firstLineChars="200"/>
        <w:rPr>
          <w:rFonts w:hint="eastAsia" w:ascii="仿宋" w:hAnsi="仿宋" w:eastAsia="仿宋" w:cs="仿宋"/>
          <w:i w:val="0"/>
          <w:iCs w:val="0"/>
          <w:color w:val="auto"/>
          <w:sz w:val="24"/>
          <w:szCs w:val="24"/>
        </w:rPr>
      </w:pPr>
    </w:p>
    <w:p>
      <w:pPr>
        <w:snapToGrid w:val="0"/>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注：本表可根据项目实际情况调整，并逐页盖章。</w:t>
      </w:r>
    </w:p>
    <w:p>
      <w:pPr>
        <w:pStyle w:val="13"/>
        <w:spacing w:line="312" w:lineRule="auto"/>
        <w:ind w:firstLine="480"/>
        <w:rPr>
          <w:rFonts w:hint="eastAsia" w:ascii="仿宋" w:hAnsi="仿宋" w:eastAsia="仿宋" w:cs="仿宋"/>
          <w:i w:val="0"/>
          <w:iCs w:val="0"/>
          <w:color w:val="auto"/>
          <w:sz w:val="24"/>
          <w:szCs w:val="24"/>
        </w:rPr>
      </w:pPr>
    </w:p>
    <w:p>
      <w:pPr>
        <w:pStyle w:val="13"/>
        <w:spacing w:line="312" w:lineRule="auto"/>
        <w:ind w:firstLine="48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w:t>
      </w:r>
    </w:p>
    <w:p>
      <w:pPr>
        <w:spacing w:line="312" w:lineRule="auto"/>
        <w:rPr>
          <w:rFonts w:hint="eastAsia" w:ascii="仿宋" w:hAnsi="仿宋" w:eastAsia="仿宋" w:cs="仿宋"/>
          <w:i w:val="0"/>
          <w:iCs w:val="0"/>
          <w:color w:val="auto"/>
          <w:sz w:val="24"/>
          <w:szCs w:val="24"/>
        </w:rPr>
      </w:pPr>
    </w:p>
    <w:p>
      <w:pPr>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供应商名称（公章）：</w:t>
      </w:r>
    </w:p>
    <w:p>
      <w:pPr>
        <w:spacing w:line="312" w:lineRule="auto"/>
        <w:ind w:right="480" w:firstLine="6480" w:firstLineChars="27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年     月    日</w:t>
      </w:r>
    </w:p>
    <w:p>
      <w:pPr>
        <w:spacing w:line="312" w:lineRule="auto"/>
        <w:ind w:firstLine="420"/>
        <w:rPr>
          <w:rFonts w:hint="eastAsia" w:ascii="仿宋" w:hAnsi="仿宋" w:eastAsia="仿宋" w:cs="仿宋"/>
          <w:b/>
          <w:i w:val="0"/>
          <w:iCs w:val="0"/>
          <w:color w:val="auto"/>
          <w:sz w:val="24"/>
          <w:szCs w:val="24"/>
        </w:rPr>
      </w:pPr>
    </w:p>
    <w:p>
      <w:pPr>
        <w:spacing w:line="312" w:lineRule="auto"/>
        <w:rPr>
          <w:rFonts w:hint="eastAsia" w:ascii="仿宋" w:hAnsi="仿宋" w:eastAsia="仿宋" w:cs="仿宋"/>
          <w:b/>
          <w:i w:val="0"/>
          <w:iCs w:val="0"/>
          <w:color w:val="auto"/>
          <w:sz w:val="24"/>
          <w:szCs w:val="24"/>
        </w:rPr>
      </w:pPr>
    </w:p>
    <w:p>
      <w:pPr>
        <w:spacing w:line="312" w:lineRule="auto"/>
        <w:rPr>
          <w:rFonts w:hint="eastAsia" w:ascii="仿宋" w:hAnsi="仿宋" w:eastAsia="仿宋" w:cs="仿宋"/>
          <w:b/>
          <w:i w:val="0"/>
          <w:iCs w:val="0"/>
          <w:color w:val="auto"/>
          <w:sz w:val="24"/>
          <w:szCs w:val="24"/>
        </w:rPr>
      </w:pPr>
    </w:p>
    <w:p>
      <w:pPr>
        <w:spacing w:line="312" w:lineRule="auto"/>
        <w:ind w:firstLine="480" w:firstLineChars="200"/>
        <w:rPr>
          <w:rFonts w:hint="eastAsia" w:ascii="仿宋" w:hAnsi="仿宋" w:eastAsia="仿宋" w:cs="仿宋"/>
          <w:i w:val="0"/>
          <w:iCs w:val="0"/>
          <w:color w:val="auto"/>
          <w:sz w:val="24"/>
          <w:szCs w:val="24"/>
        </w:rPr>
      </w:pPr>
    </w:p>
    <w:p>
      <w:pPr>
        <w:spacing w:line="312" w:lineRule="auto"/>
        <w:ind w:firstLine="480" w:firstLineChars="200"/>
        <w:rPr>
          <w:rFonts w:hint="eastAsia" w:ascii="仿宋" w:hAnsi="仿宋" w:eastAsia="仿宋" w:cs="仿宋"/>
          <w:i w:val="0"/>
          <w:iCs w:val="0"/>
          <w:color w:val="auto"/>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pStyle w:val="4"/>
        <w:spacing w:before="0" w:after="0" w:line="360" w:lineRule="auto"/>
        <w:rPr>
          <w:rFonts w:ascii="仿宋" w:hAnsi="仿宋" w:eastAsia="仿宋"/>
          <w:color w:val="auto"/>
          <w:sz w:val="24"/>
          <w:szCs w:val="24"/>
          <w:highlight w:val="none"/>
        </w:rPr>
      </w:pPr>
      <w:bookmarkStart w:id="108" w:name="_Toc486608278"/>
      <w:bookmarkStart w:id="109" w:name="_Toc3192"/>
      <w:bookmarkStart w:id="110" w:name="_Toc487204798"/>
      <w:bookmarkStart w:id="111" w:name="_Toc9090"/>
      <w:bookmarkStart w:id="112" w:name="_Toc486585241"/>
      <w:r>
        <w:rPr>
          <w:rFonts w:hint="eastAsia" w:ascii="仿宋" w:hAnsi="仿宋" w:eastAsia="仿宋"/>
          <w:color w:val="auto"/>
          <w:sz w:val="24"/>
          <w:szCs w:val="24"/>
          <w:highlight w:val="none"/>
        </w:rPr>
        <w:t>二、技术部分</w:t>
      </w:r>
      <w:bookmarkEnd w:id="108"/>
      <w:bookmarkEnd w:id="109"/>
      <w:bookmarkEnd w:id="110"/>
      <w:bookmarkEnd w:id="111"/>
      <w:bookmarkEnd w:id="112"/>
    </w:p>
    <w:p>
      <w:pPr>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（一）技术应答（格式自拟）</w:t>
      </w:r>
    </w:p>
    <w:p>
      <w:pPr>
        <w:pStyle w:val="5"/>
        <w:rPr>
          <w:rFonts w:hint="eastAsia" w:ascii="仿宋" w:hAnsi="仿宋" w:eastAsia="仿宋" w:cs="宋体"/>
          <w:color w:val="auto"/>
          <w:sz w:val="24"/>
          <w:szCs w:val="24"/>
          <w:highlight w:val="none"/>
        </w:rPr>
      </w:pPr>
    </w:p>
    <w:p>
      <w:pPr>
        <w:rPr>
          <w:rFonts w:hint="eastAsia" w:ascii="仿宋" w:hAnsi="仿宋" w:eastAsia="仿宋" w:cs="宋体"/>
          <w:color w:val="auto"/>
          <w:sz w:val="24"/>
          <w:szCs w:val="24"/>
          <w:highlight w:val="none"/>
        </w:rPr>
      </w:pPr>
    </w:p>
    <w:p>
      <w:pPr>
        <w:pStyle w:val="5"/>
        <w:rPr>
          <w:rFonts w:hint="eastAsia" w:ascii="仿宋" w:hAnsi="仿宋" w:eastAsia="仿宋" w:cs="宋体"/>
          <w:color w:val="auto"/>
          <w:sz w:val="24"/>
          <w:szCs w:val="24"/>
          <w:highlight w:val="none"/>
        </w:rPr>
      </w:pPr>
    </w:p>
    <w:p>
      <w:pPr>
        <w:rPr>
          <w:rFonts w:hint="eastAsia" w:ascii="仿宋" w:hAnsi="仿宋" w:eastAsia="仿宋" w:cs="宋体"/>
          <w:color w:val="auto"/>
          <w:sz w:val="24"/>
          <w:szCs w:val="24"/>
          <w:highlight w:val="none"/>
        </w:rPr>
      </w:pPr>
    </w:p>
    <w:p>
      <w:pPr>
        <w:pStyle w:val="5"/>
        <w:rPr>
          <w:rFonts w:hint="eastAsia" w:ascii="仿宋" w:hAnsi="仿宋" w:eastAsia="仿宋" w:cs="宋体"/>
          <w:color w:val="auto"/>
          <w:sz w:val="24"/>
          <w:szCs w:val="24"/>
          <w:highlight w:val="none"/>
        </w:rPr>
      </w:pPr>
    </w:p>
    <w:p>
      <w:pPr>
        <w:rPr>
          <w:rFonts w:hint="eastAsia" w:ascii="仿宋" w:hAnsi="仿宋" w:eastAsia="仿宋" w:cs="宋体"/>
          <w:color w:val="auto"/>
          <w:sz w:val="24"/>
          <w:szCs w:val="24"/>
          <w:highlight w:val="none"/>
        </w:rPr>
      </w:pPr>
    </w:p>
    <w:p>
      <w:pPr>
        <w:pStyle w:val="5"/>
        <w:rPr>
          <w:rFonts w:hint="eastAsia" w:ascii="仿宋" w:hAnsi="仿宋" w:eastAsia="仿宋" w:cs="宋体"/>
          <w:color w:val="auto"/>
          <w:sz w:val="24"/>
          <w:szCs w:val="24"/>
          <w:highlight w:val="none"/>
        </w:rPr>
      </w:pPr>
    </w:p>
    <w:p>
      <w:pPr>
        <w:rPr>
          <w:rFonts w:hint="eastAsia" w:ascii="仿宋" w:hAnsi="仿宋" w:eastAsia="仿宋" w:cs="宋体"/>
          <w:color w:val="auto"/>
          <w:sz w:val="24"/>
          <w:szCs w:val="24"/>
          <w:highlight w:val="none"/>
        </w:rPr>
      </w:pPr>
    </w:p>
    <w:p>
      <w:pPr>
        <w:pStyle w:val="5"/>
        <w:rPr>
          <w:rFonts w:hint="eastAsia" w:ascii="仿宋" w:hAnsi="仿宋" w:eastAsia="仿宋" w:cs="宋体"/>
          <w:color w:val="auto"/>
          <w:sz w:val="24"/>
          <w:szCs w:val="24"/>
          <w:highlight w:val="none"/>
        </w:rPr>
      </w:pPr>
    </w:p>
    <w:p>
      <w:pPr>
        <w:rPr>
          <w:rFonts w:hint="eastAsia" w:ascii="仿宋" w:hAnsi="仿宋" w:eastAsia="仿宋" w:cs="宋体"/>
          <w:color w:val="auto"/>
          <w:sz w:val="24"/>
          <w:szCs w:val="24"/>
          <w:highlight w:val="none"/>
        </w:rPr>
      </w:pPr>
    </w:p>
    <w:p>
      <w:pPr>
        <w:pStyle w:val="5"/>
        <w:rPr>
          <w:rFonts w:hint="eastAsia" w:ascii="仿宋" w:hAnsi="仿宋" w:eastAsia="仿宋" w:cs="宋体"/>
          <w:color w:val="auto"/>
          <w:sz w:val="24"/>
          <w:szCs w:val="24"/>
          <w:highlight w:val="none"/>
        </w:rPr>
      </w:pPr>
    </w:p>
    <w:p>
      <w:pPr>
        <w:rPr>
          <w:rFonts w:hint="eastAsia" w:ascii="仿宋" w:hAnsi="仿宋" w:eastAsia="仿宋" w:cs="宋体"/>
          <w:color w:val="auto"/>
          <w:sz w:val="24"/>
          <w:szCs w:val="24"/>
          <w:highlight w:val="none"/>
        </w:rPr>
      </w:pPr>
    </w:p>
    <w:p>
      <w:pPr>
        <w:pStyle w:val="5"/>
        <w:rPr>
          <w:rFonts w:hint="eastAsia" w:ascii="仿宋" w:hAnsi="仿宋" w:eastAsia="仿宋" w:cs="宋体"/>
          <w:color w:val="auto"/>
          <w:sz w:val="24"/>
          <w:szCs w:val="24"/>
          <w:highlight w:val="none"/>
        </w:rPr>
      </w:pPr>
    </w:p>
    <w:p>
      <w:pPr>
        <w:rPr>
          <w:rFonts w:hint="eastAsia" w:ascii="仿宋" w:hAnsi="仿宋" w:eastAsia="仿宋" w:cs="宋体"/>
          <w:color w:val="auto"/>
          <w:sz w:val="24"/>
          <w:szCs w:val="24"/>
          <w:highlight w:val="none"/>
        </w:rPr>
      </w:pPr>
    </w:p>
    <w:p>
      <w:pPr>
        <w:pStyle w:val="5"/>
        <w:rPr>
          <w:color w:val="auto"/>
        </w:rPr>
      </w:pPr>
    </w:p>
    <w:p>
      <w:pPr>
        <w:snapToGrid w:val="0"/>
        <w:spacing w:line="360" w:lineRule="auto"/>
        <w:rPr>
          <w:rFonts w:hint="eastAsia" w:ascii="仿宋" w:hAnsi="仿宋" w:eastAsia="仿宋"/>
          <w:color w:val="auto"/>
          <w:sz w:val="24"/>
          <w:szCs w:val="24"/>
          <w:highlight w:val="none"/>
        </w:rPr>
      </w:pPr>
    </w:p>
    <w:p>
      <w:pPr>
        <w:snapToGri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（二）技术响应偏离表</w:t>
      </w:r>
    </w:p>
    <w:p>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tbl>
      <w:tblPr>
        <w:tblStyle w:val="1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rPr>
                <w:rFonts w:ascii="仿宋" w:hAnsi="仿宋" w:eastAsia="仿宋" w:cs="宋体"/>
                <w:color w:val="auto"/>
                <w:sz w:val="24"/>
                <w:highlight w:val="none"/>
              </w:rPr>
            </w:pPr>
            <w:r>
              <w:rPr>
                <w:rFonts w:hint="eastAsia" w:ascii="仿宋" w:hAnsi="仿宋" w:eastAsia="仿宋" w:cs="宋体"/>
                <w:color w:val="auto"/>
                <w:sz w:val="24"/>
                <w:highlight w:val="none"/>
              </w:rPr>
              <w:t>序号</w:t>
            </w:r>
          </w:p>
        </w:tc>
        <w:tc>
          <w:tcPr>
            <w:tcW w:w="2658" w:type="dxa"/>
            <w:noWrap w:val="0"/>
            <w:vAlign w:val="center"/>
          </w:tcPr>
          <w:p>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采购需求</w:t>
            </w:r>
          </w:p>
        </w:tc>
        <w:tc>
          <w:tcPr>
            <w:tcW w:w="2759" w:type="dxa"/>
            <w:noWrap w:val="0"/>
            <w:vAlign w:val="center"/>
          </w:tcPr>
          <w:p>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响应情况</w:t>
            </w:r>
          </w:p>
        </w:tc>
        <w:tc>
          <w:tcPr>
            <w:tcW w:w="2067" w:type="dxa"/>
            <w:noWrap w:val="0"/>
            <w:vAlign w:val="center"/>
          </w:tcPr>
          <w:p>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pPr>
              <w:bidi w:val="0"/>
              <w:rPr>
                <w:color w:val="auto"/>
                <w:highlight w:val="none"/>
              </w:rPr>
            </w:pPr>
            <w:bookmarkStart w:id="113" w:name="_Toc8080"/>
            <w:bookmarkStart w:id="114" w:name="_Toc30143"/>
            <w:r>
              <w:rPr>
                <w:rFonts w:hint="eastAsia" w:ascii="仿宋" w:hAnsi="仿宋" w:eastAsia="仿宋" w:cs="宋体"/>
                <w:color w:val="auto"/>
                <w:sz w:val="24"/>
                <w:highlight w:val="none"/>
              </w:rPr>
              <w:t>提醒：请注明技术参数或具体内容</w:t>
            </w:r>
            <w:bookmarkEnd w:id="113"/>
            <w:bookmarkEnd w:id="114"/>
          </w:p>
        </w:tc>
        <w:tc>
          <w:tcPr>
            <w:tcW w:w="2067"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ascii="仿宋" w:hAnsi="仿宋" w:eastAsia="仿宋" w:cs="宋体"/>
                <w:color w:val="auto"/>
                <w:sz w:val="21"/>
                <w:szCs w:val="21"/>
                <w:highlight w:val="none"/>
              </w:rPr>
            </w:pPr>
          </w:p>
        </w:tc>
      </w:tr>
    </w:tbl>
    <w:p>
      <w:pPr>
        <w:spacing w:line="50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供应商：                                      法定代表人授权代表：</w:t>
      </w:r>
    </w:p>
    <w:p>
      <w:pPr>
        <w:spacing w:line="500" w:lineRule="exact"/>
        <w:rPr>
          <w:rFonts w:ascii="仿宋" w:hAnsi="仿宋" w:eastAsia="仿宋" w:cs="宋体"/>
          <w:color w:val="auto"/>
          <w:sz w:val="24"/>
          <w:highlight w:val="none"/>
        </w:rPr>
      </w:pPr>
    </w:p>
    <w:p>
      <w:pPr>
        <w:spacing w:line="500" w:lineRule="exact"/>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（供应商公章）                               （签字或盖章）</w:t>
      </w:r>
    </w:p>
    <w:p>
      <w:pPr>
        <w:tabs>
          <w:tab w:val="left" w:pos="6300"/>
        </w:tabs>
        <w:snapToGrid w:val="0"/>
        <w:spacing w:line="500" w:lineRule="exact"/>
        <w:ind w:firstLine="570"/>
        <w:rPr>
          <w:rFonts w:ascii="仿宋" w:hAnsi="仿宋" w:eastAsia="仿宋" w:cs="宋体"/>
          <w:color w:val="auto"/>
          <w:sz w:val="24"/>
          <w:highlight w:val="none"/>
        </w:rPr>
      </w:pPr>
      <w:r>
        <w:rPr>
          <w:rFonts w:hint="eastAsia" w:ascii="仿宋" w:hAnsi="仿宋" w:eastAsia="仿宋" w:cs="宋体"/>
          <w:color w:val="auto"/>
          <w:sz w:val="24"/>
          <w:highlight w:val="none"/>
        </w:rPr>
        <w:t xml:space="preserve">                                            年     月     日</w:t>
      </w:r>
    </w:p>
    <w:p>
      <w:pPr>
        <w:spacing w:line="312" w:lineRule="auto"/>
        <w:rPr>
          <w:rFonts w:hint="eastAsia" w:ascii="仿宋" w:hAnsi="仿宋" w:eastAsia="仿宋" w:cs="仿宋"/>
          <w:b/>
          <w:i w:val="0"/>
          <w:iCs w:val="0"/>
          <w:color w:val="auto"/>
          <w:sz w:val="24"/>
          <w:szCs w:val="24"/>
        </w:rPr>
      </w:pPr>
    </w:p>
    <w:p>
      <w:pPr>
        <w:pStyle w:val="4"/>
        <w:spacing w:before="0" w:after="0" w:line="360" w:lineRule="auto"/>
        <w:jc w:val="left"/>
        <w:rPr>
          <w:rFonts w:hint="eastAsia" w:ascii="仿宋" w:hAnsi="仿宋" w:eastAsia="仿宋" w:cs="仿宋"/>
          <w:i w:val="0"/>
          <w:iCs w:val="0"/>
          <w:color w:val="auto"/>
          <w:sz w:val="24"/>
          <w:szCs w:val="24"/>
        </w:rPr>
      </w:pPr>
    </w:p>
    <w:p>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三、商务部分</w:t>
      </w:r>
    </w:p>
    <w:p>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（一）服务要求响应情况</w:t>
      </w:r>
    </w:p>
    <w:p>
      <w:pPr>
        <w:pStyle w:val="5"/>
        <w:rPr>
          <w:rFonts w:hint="eastAsia" w:eastAsia="仿宋"/>
          <w:color w:val="auto"/>
          <w:lang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格式自拟</w:t>
      </w:r>
      <w:r>
        <w:rPr>
          <w:rFonts w:hint="eastAsia" w:ascii="仿宋" w:hAnsi="仿宋" w:eastAsia="仿宋" w:cs="宋体"/>
          <w:color w:val="auto"/>
          <w:sz w:val="24"/>
          <w:szCs w:val="24"/>
          <w:highlight w:val="none"/>
          <w:lang w:eastAsia="zh-CN"/>
        </w:rPr>
        <w:t>）</w:t>
      </w: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p>
    <w:p>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（二）商务响应偏离表</w:t>
      </w:r>
    </w:p>
    <w:p>
      <w:pPr>
        <w:snapToGrid w:val="0"/>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商务响应偏离表</w:t>
      </w:r>
    </w:p>
    <w:p>
      <w:pPr>
        <w:snapToGri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对于</w:t>
      </w:r>
      <w:r>
        <w:rPr>
          <w:rFonts w:hint="eastAsia" w:ascii="仿宋" w:hAnsi="仿宋" w:eastAsia="仿宋"/>
          <w:color w:val="auto"/>
          <w:sz w:val="24"/>
          <w:szCs w:val="24"/>
          <w:highlight w:val="none"/>
          <w:lang w:eastAsia="zh-CN"/>
        </w:rPr>
        <w:t>竞采邀请书</w:t>
      </w:r>
      <w:r>
        <w:rPr>
          <w:rFonts w:hint="eastAsia" w:ascii="仿宋" w:hAnsi="仿宋" w:eastAsia="仿宋"/>
          <w:color w:val="auto"/>
          <w:sz w:val="24"/>
          <w:szCs w:val="24"/>
          <w:highlight w:val="none"/>
        </w:rPr>
        <w:t>的商务要求，如有任何偏离请如实填写下表：</w:t>
      </w:r>
    </w:p>
    <w:tbl>
      <w:tblPr>
        <w:tblStyle w:val="15"/>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179" w:type="dxa"/>
            <w:noWrap w:val="0"/>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竞采</w:t>
            </w:r>
            <w:r>
              <w:rPr>
                <w:rFonts w:hint="eastAsia" w:ascii="仿宋" w:hAnsi="仿宋" w:eastAsia="仿宋"/>
                <w:color w:val="auto"/>
                <w:sz w:val="24"/>
                <w:szCs w:val="24"/>
                <w:highlight w:val="none"/>
              </w:rPr>
              <w:t>项目需求</w:t>
            </w:r>
          </w:p>
        </w:tc>
        <w:tc>
          <w:tcPr>
            <w:tcW w:w="2434" w:type="dxa"/>
            <w:noWrap w:val="0"/>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响应情况</w:t>
            </w:r>
          </w:p>
        </w:tc>
        <w:tc>
          <w:tcPr>
            <w:tcW w:w="2355" w:type="dxa"/>
            <w:noWrap w:val="0"/>
            <w:vAlign w:val="center"/>
          </w:tcPr>
          <w:p>
            <w:pPr>
              <w:jc w:val="center"/>
              <w:rPr>
                <w:rFonts w:ascii="仿宋" w:hAnsi="仿宋" w:eastAsia="仿宋"/>
                <w:color w:val="auto"/>
                <w:sz w:val="24"/>
                <w:szCs w:val="24"/>
                <w:highlight w:val="none"/>
              </w:rPr>
            </w:pPr>
            <w:r>
              <w:rPr>
                <w:rFonts w:hint="eastAsia" w:ascii="仿宋" w:hAnsi="仿宋" w:eastAsia="仿宋"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pPr>
              <w:bidi w:val="0"/>
              <w:rPr>
                <w:color w:val="auto"/>
                <w:highlight w:val="none"/>
              </w:rPr>
            </w:pPr>
            <w:bookmarkStart w:id="115" w:name="_Toc4318"/>
            <w:bookmarkStart w:id="116" w:name="_Toc25144"/>
            <w:r>
              <w:rPr>
                <w:rFonts w:hint="eastAsia" w:ascii="仿宋" w:hAnsi="仿宋" w:eastAsia="仿宋" w:cs="Times New Roman"/>
                <w:color w:val="auto"/>
                <w:sz w:val="24"/>
                <w:szCs w:val="24"/>
                <w:highlight w:val="none"/>
              </w:rPr>
              <w:t>提醒：请注明具体内容</w:t>
            </w:r>
            <w:bookmarkEnd w:id="115"/>
            <w:bookmarkEnd w:id="116"/>
          </w:p>
        </w:tc>
        <w:tc>
          <w:tcPr>
            <w:tcW w:w="2355"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ascii="仿宋" w:hAnsi="仿宋" w:eastAsia="仿宋" w:cs="宋体"/>
                <w:color w:val="auto"/>
                <w:sz w:val="21"/>
                <w:szCs w:val="24"/>
                <w:highlight w:val="none"/>
              </w:rPr>
            </w:pPr>
          </w:p>
        </w:tc>
      </w:tr>
    </w:tbl>
    <w:p>
      <w:pPr>
        <w:snapToGrid w:val="0"/>
        <w:spacing w:line="360" w:lineRule="auto"/>
        <w:rPr>
          <w:rFonts w:ascii="仿宋" w:hAnsi="仿宋" w:eastAsia="仿宋" w:cs="宋体"/>
          <w:color w:val="auto"/>
          <w:sz w:val="24"/>
          <w:szCs w:val="24"/>
          <w:highlight w:val="none"/>
        </w:rPr>
      </w:pPr>
    </w:p>
    <w:p>
      <w:pPr>
        <w:spacing w:line="50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供应商：                                      法定代表人授权代表：</w:t>
      </w:r>
    </w:p>
    <w:p>
      <w:pPr>
        <w:spacing w:line="500" w:lineRule="exact"/>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（供应商公章）                                 （签字或盖章）</w:t>
      </w:r>
    </w:p>
    <w:p>
      <w:pPr>
        <w:tabs>
          <w:tab w:val="left" w:pos="6300"/>
        </w:tabs>
        <w:snapToGrid w:val="0"/>
        <w:spacing w:line="500" w:lineRule="exact"/>
        <w:ind w:firstLine="570"/>
        <w:rPr>
          <w:rFonts w:ascii="仿宋" w:hAnsi="仿宋" w:eastAsia="仿宋" w:cs="宋体"/>
          <w:color w:val="auto"/>
          <w:sz w:val="24"/>
          <w:highlight w:val="none"/>
        </w:rPr>
      </w:pPr>
      <w:r>
        <w:rPr>
          <w:rFonts w:hint="eastAsia" w:ascii="仿宋" w:hAnsi="仿宋" w:eastAsia="仿宋" w:cs="宋体"/>
          <w:color w:val="auto"/>
          <w:sz w:val="24"/>
          <w:highlight w:val="none"/>
        </w:rPr>
        <w:t xml:space="preserve">                                            年     月     日</w:t>
      </w:r>
    </w:p>
    <w:p>
      <w:pPr>
        <w:spacing w:line="3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br w:type="page"/>
      </w:r>
      <w:r>
        <w:rPr>
          <w:rFonts w:hint="eastAsia" w:ascii="仿宋" w:hAnsi="仿宋" w:eastAsia="仿宋"/>
          <w:color w:val="auto"/>
          <w:sz w:val="24"/>
          <w:szCs w:val="24"/>
          <w:highlight w:val="none"/>
        </w:rPr>
        <w:t>（三）其它优惠承诺（格式自定）</w:t>
      </w: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ascii="仿宋" w:hAnsi="仿宋" w:eastAsia="仿宋" w:cs="仿宋"/>
          <w:i w:val="0"/>
          <w:iCs w:val="0"/>
          <w:color w:val="auto"/>
          <w:sz w:val="24"/>
          <w:szCs w:val="24"/>
        </w:rPr>
      </w:pPr>
    </w:p>
    <w:p>
      <w:pPr>
        <w:rPr>
          <w:rFonts w:hint="eastAsia" w:ascii="仿宋" w:hAnsi="仿宋" w:eastAsia="仿宋" w:cs="仿宋"/>
          <w:i w:val="0"/>
          <w:iCs w:val="0"/>
          <w:color w:val="auto"/>
          <w:sz w:val="24"/>
          <w:szCs w:val="24"/>
        </w:rPr>
      </w:pPr>
    </w:p>
    <w:p>
      <w:pPr>
        <w:pStyle w:val="5"/>
        <w:rPr>
          <w:rFonts w:hint="eastAsia"/>
          <w:color w:val="auto"/>
        </w:rPr>
      </w:pPr>
    </w:p>
    <w:p>
      <w:pPr>
        <w:pStyle w:val="4"/>
        <w:spacing w:before="0" w:after="0" w:line="312" w:lineRule="auto"/>
        <w:rPr>
          <w:rFonts w:hint="eastAsia" w:ascii="仿宋" w:hAnsi="仿宋" w:eastAsia="仿宋" w:cs="仿宋"/>
          <w:i w:val="0"/>
          <w:iCs w:val="0"/>
          <w:color w:val="auto"/>
          <w:sz w:val="24"/>
          <w:szCs w:val="24"/>
        </w:rPr>
      </w:pPr>
    </w:p>
    <w:p>
      <w:pPr>
        <w:spacing w:line="360" w:lineRule="auto"/>
        <w:rPr>
          <w:rFonts w:hint="eastAsia"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四、资格条件及其他</w:t>
      </w:r>
    </w:p>
    <w:p>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ind w:firstLine="480" w:firstLineChars="200"/>
        <w:rPr>
          <w:rFonts w:hint="eastAsia" w:ascii="仿宋" w:hAnsi="仿宋" w:eastAsia="仿宋"/>
          <w:color w:val="auto"/>
          <w:sz w:val="24"/>
          <w:szCs w:val="24"/>
          <w:highlight w:val="none"/>
        </w:rPr>
      </w:pPr>
    </w:p>
    <w:p>
      <w:pPr>
        <w:snapToGrid w:val="0"/>
        <w:spacing w:line="360" w:lineRule="auto"/>
        <w:rPr>
          <w:rFonts w:hint="eastAsia" w:ascii="仿宋" w:hAnsi="仿宋" w:eastAsia="仿宋"/>
          <w:color w:val="auto"/>
          <w:sz w:val="24"/>
          <w:szCs w:val="24"/>
          <w:highlight w:val="none"/>
        </w:rPr>
      </w:pPr>
    </w:p>
    <w:p>
      <w:pPr>
        <w:tabs>
          <w:tab w:val="left" w:pos="6300"/>
        </w:tabs>
        <w:snapToGrid w:val="0"/>
        <w:spacing w:line="312" w:lineRule="auto"/>
        <w:rPr>
          <w:rFonts w:hint="eastAsia" w:ascii="仿宋" w:hAnsi="仿宋" w:eastAsia="仿宋" w:cs="仿宋"/>
          <w:b/>
          <w:bCs/>
          <w:i w:val="0"/>
          <w:iCs w:val="0"/>
          <w:color w:val="auto"/>
          <w:sz w:val="24"/>
          <w:szCs w:val="24"/>
        </w:rPr>
      </w:pPr>
    </w:p>
    <w:p>
      <w:pPr>
        <w:tabs>
          <w:tab w:val="left" w:pos="6300"/>
        </w:tabs>
        <w:snapToGrid w:val="0"/>
        <w:spacing w:line="312" w:lineRule="auto"/>
        <w:rPr>
          <w:rFonts w:hint="eastAsia" w:ascii="仿宋" w:hAnsi="仿宋" w:eastAsia="仿宋" w:cs="仿宋"/>
          <w:b/>
          <w:bCs/>
          <w:i w:val="0"/>
          <w:iCs w:val="0"/>
          <w:color w:val="auto"/>
          <w:sz w:val="24"/>
          <w:szCs w:val="24"/>
        </w:rPr>
      </w:pPr>
    </w:p>
    <w:p>
      <w:pPr>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rPr>
        <w:br w:type="page"/>
      </w:r>
    </w:p>
    <w:p>
      <w:pPr>
        <w:tabs>
          <w:tab w:val="left" w:pos="6300"/>
        </w:tabs>
        <w:snapToGrid w:val="0"/>
        <w:spacing w:line="312" w:lineRule="auto"/>
        <w:rPr>
          <w:rFonts w:hint="eastAsia" w:ascii="仿宋" w:hAnsi="仿宋" w:eastAsia="仿宋" w:cs="仿宋"/>
          <w:b w:val="0"/>
          <w:bCs w:val="0"/>
          <w:i w:val="0"/>
          <w:iCs w:val="0"/>
          <w:color w:val="auto"/>
          <w:sz w:val="24"/>
          <w:szCs w:val="24"/>
        </w:rPr>
      </w:pPr>
      <w:bookmarkStart w:id="117" w:name="_Hlk27399531"/>
      <w:r>
        <w:rPr>
          <w:rFonts w:hint="eastAsia" w:ascii="仿宋" w:hAnsi="仿宋" w:eastAsia="仿宋" w:cs="仿宋"/>
          <w:b w:val="0"/>
          <w:bCs w:val="0"/>
          <w:i w:val="0"/>
          <w:iCs w:val="0"/>
          <w:color w:val="auto"/>
          <w:sz w:val="24"/>
          <w:szCs w:val="24"/>
          <w:lang w:eastAsia="zh-CN"/>
        </w:rPr>
        <w:t>（</w:t>
      </w:r>
      <w:r>
        <w:rPr>
          <w:rFonts w:hint="eastAsia" w:ascii="仿宋" w:hAnsi="仿宋" w:eastAsia="仿宋" w:cs="仿宋"/>
          <w:b w:val="0"/>
          <w:bCs w:val="0"/>
          <w:i w:val="0"/>
          <w:iCs w:val="0"/>
          <w:color w:val="auto"/>
          <w:sz w:val="24"/>
          <w:szCs w:val="24"/>
          <w:lang w:val="en-US" w:eastAsia="zh-CN"/>
        </w:rPr>
        <w:t>二</w:t>
      </w:r>
      <w:r>
        <w:rPr>
          <w:rFonts w:hint="eastAsia" w:ascii="仿宋" w:hAnsi="仿宋" w:eastAsia="仿宋" w:cs="仿宋"/>
          <w:b w:val="0"/>
          <w:bCs w:val="0"/>
          <w:i w:val="0"/>
          <w:iCs w:val="0"/>
          <w:color w:val="auto"/>
          <w:sz w:val="24"/>
          <w:szCs w:val="24"/>
          <w:lang w:eastAsia="zh-CN"/>
        </w:rPr>
        <w:t>）</w:t>
      </w:r>
      <w:r>
        <w:rPr>
          <w:rFonts w:hint="eastAsia" w:ascii="仿宋" w:hAnsi="仿宋" w:eastAsia="仿宋" w:cs="仿宋"/>
          <w:b w:val="0"/>
          <w:bCs w:val="0"/>
          <w:i w:val="0"/>
          <w:iCs w:val="0"/>
          <w:color w:val="auto"/>
          <w:sz w:val="24"/>
          <w:szCs w:val="24"/>
        </w:rPr>
        <w:t>法定代表人身份证明书（格式）</w:t>
      </w:r>
      <w:r>
        <w:rPr>
          <w:rFonts w:hint="eastAsia" w:ascii="仿宋" w:hAnsi="仿宋" w:eastAsia="仿宋" w:cs="仿宋"/>
          <w:b w:val="0"/>
          <w:bCs w:val="0"/>
          <w:i w:val="0"/>
          <w:iCs w:val="0"/>
          <w:color w:val="auto"/>
          <w:sz w:val="24"/>
          <w:szCs w:val="24"/>
          <w:lang w:val="en-US" w:eastAsia="zh-CN"/>
        </w:rPr>
        <w:t>/</w:t>
      </w:r>
      <w:r>
        <w:rPr>
          <w:rFonts w:hint="eastAsia" w:ascii="仿宋" w:hAnsi="仿宋" w:eastAsia="仿宋" w:cs="仿宋"/>
          <w:b w:val="0"/>
          <w:bCs w:val="0"/>
          <w:i w:val="0"/>
          <w:iCs w:val="0"/>
          <w:color w:val="auto"/>
          <w:sz w:val="24"/>
          <w:szCs w:val="24"/>
        </w:rPr>
        <w:t>法定代表人授权委托书（格式）（二选一）</w:t>
      </w:r>
    </w:p>
    <w:p>
      <w:pPr>
        <w:tabs>
          <w:tab w:val="left" w:pos="6300"/>
        </w:tabs>
        <w:snapToGrid w:val="0"/>
        <w:spacing w:line="312" w:lineRule="auto"/>
        <w:jc w:val="center"/>
        <w:rPr>
          <w:rFonts w:hint="eastAsia" w:ascii="仿宋" w:hAnsi="仿宋" w:eastAsia="仿宋" w:cs="仿宋"/>
          <w:i w:val="0"/>
          <w:iCs w:val="0"/>
          <w:color w:val="auto"/>
          <w:sz w:val="24"/>
          <w:szCs w:val="24"/>
        </w:rPr>
      </w:pPr>
    </w:p>
    <w:p>
      <w:pPr>
        <w:tabs>
          <w:tab w:val="left" w:pos="6300"/>
        </w:tabs>
        <w:snapToGrid w:val="0"/>
        <w:spacing w:line="312" w:lineRule="auto"/>
        <w:jc w:val="center"/>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rPr>
        <w:t>法定代表人授权委托书</w:t>
      </w:r>
    </w:p>
    <w:p>
      <w:pPr>
        <w:tabs>
          <w:tab w:val="left" w:pos="6300"/>
        </w:tabs>
        <w:snapToGrid w:val="0"/>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致：</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（采购人名称）：</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（法定代表人名称）是</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（供应商名称）的法定代表人，特授权</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（被授权人姓名及身份证代码）电话</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代表我单位全权办理上述项目的</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、签约等具体工作，并签署全部有关文件、协议及合同。</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我单位对被授权人的签字负全部责任。</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仿宋" w:hAnsi="仿宋" w:eastAsia="仿宋" w:cs="仿宋"/>
          <w:i w:val="0"/>
          <w:iCs w:val="0"/>
          <w:color w:val="auto"/>
          <w:sz w:val="24"/>
          <w:szCs w:val="24"/>
        </w:rPr>
      </w:pPr>
    </w:p>
    <w:p>
      <w:pPr>
        <w:tabs>
          <w:tab w:val="left" w:pos="6300"/>
        </w:tabs>
        <w:snapToGrid w:val="0"/>
        <w:spacing w:line="312" w:lineRule="auto"/>
        <w:ind w:firstLine="570"/>
        <w:rPr>
          <w:rFonts w:hint="eastAsia" w:ascii="仿宋" w:hAnsi="仿宋" w:eastAsia="仿宋" w:cs="仿宋"/>
          <w:i w:val="0"/>
          <w:iCs w:val="0"/>
          <w:color w:val="auto"/>
          <w:sz w:val="24"/>
          <w:szCs w:val="24"/>
        </w:rPr>
      </w:pPr>
    </w:p>
    <w:p>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被授权人：                                 法定代表人：</w:t>
      </w:r>
    </w:p>
    <w:p>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（签字或盖章）                             （签字或盖章）</w:t>
      </w:r>
    </w:p>
    <w:p>
      <w:pPr>
        <w:tabs>
          <w:tab w:val="left" w:pos="6300"/>
        </w:tabs>
        <w:snapToGrid w:val="0"/>
        <w:spacing w:line="312" w:lineRule="auto"/>
        <w:ind w:firstLine="570"/>
        <w:rPr>
          <w:rFonts w:hint="eastAsia" w:ascii="仿宋" w:hAnsi="仿宋" w:eastAsia="仿宋" w:cs="仿宋"/>
          <w:i w:val="0"/>
          <w:iCs w:val="0"/>
          <w:color w:val="auto"/>
          <w:sz w:val="24"/>
          <w:szCs w:val="24"/>
        </w:rPr>
      </w:pPr>
    </w:p>
    <w:p>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（附：被授权人身份证正反面复印件）</w:t>
      </w:r>
    </w:p>
    <w:p>
      <w:pPr>
        <w:tabs>
          <w:tab w:val="left" w:pos="6300"/>
        </w:tabs>
        <w:snapToGrid w:val="0"/>
        <w:spacing w:line="312" w:lineRule="auto"/>
        <w:ind w:firstLine="570"/>
        <w:rPr>
          <w:rFonts w:hint="eastAsia" w:ascii="仿宋" w:hAnsi="仿宋" w:eastAsia="仿宋" w:cs="仿宋"/>
          <w:i w:val="0"/>
          <w:iCs w:val="0"/>
          <w:color w:val="auto"/>
          <w:sz w:val="24"/>
          <w:szCs w:val="24"/>
        </w:rPr>
      </w:pPr>
    </w:p>
    <w:p>
      <w:pPr>
        <w:tabs>
          <w:tab w:val="left" w:pos="6300"/>
        </w:tabs>
        <w:snapToGrid w:val="0"/>
        <w:spacing w:line="312" w:lineRule="auto"/>
        <w:ind w:right="480" w:firstLine="570"/>
        <w:jc w:val="righ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供应商名称（公章）</w:t>
      </w:r>
    </w:p>
    <w:p>
      <w:pPr>
        <w:tabs>
          <w:tab w:val="left" w:pos="6300"/>
        </w:tabs>
        <w:snapToGrid w:val="0"/>
        <w:spacing w:line="312" w:lineRule="auto"/>
        <w:ind w:right="480" w:firstLine="570"/>
        <w:jc w:val="righ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年   月   日</w:t>
      </w:r>
    </w:p>
    <w:p>
      <w:pPr>
        <w:tabs>
          <w:tab w:val="left" w:pos="6300"/>
        </w:tabs>
        <w:snapToGrid w:val="0"/>
        <w:spacing w:line="312" w:lineRule="auto"/>
        <w:ind w:right="-1"/>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w:t>
      </w:r>
    </w:p>
    <w:p>
      <w:pPr>
        <w:tabs>
          <w:tab w:val="left" w:pos="6300"/>
        </w:tabs>
        <w:snapToGrid w:val="0"/>
        <w:spacing w:line="312" w:lineRule="auto"/>
        <w:ind w:right="-1"/>
        <w:rPr>
          <w:rFonts w:hint="eastAsia" w:ascii="仿宋" w:hAnsi="仿宋" w:eastAsia="仿宋" w:cs="仿宋"/>
          <w:i w:val="0"/>
          <w:iCs w:val="0"/>
          <w:color w:val="auto"/>
          <w:sz w:val="24"/>
          <w:szCs w:val="24"/>
        </w:rPr>
      </w:pPr>
    </w:p>
    <w:p>
      <w:pPr>
        <w:tabs>
          <w:tab w:val="left" w:pos="6300"/>
        </w:tabs>
        <w:snapToGrid w:val="0"/>
        <w:spacing w:line="312" w:lineRule="auto"/>
        <w:jc w:val="center"/>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rPr>
        <w:t>法定代表人</w:t>
      </w:r>
      <w:r>
        <w:rPr>
          <w:rFonts w:hint="eastAsia" w:ascii="仿宋" w:hAnsi="仿宋" w:eastAsia="仿宋" w:cs="仿宋"/>
          <w:b/>
          <w:bCs/>
          <w:i w:val="0"/>
          <w:iCs w:val="0"/>
          <w:color w:val="auto"/>
          <w:sz w:val="24"/>
          <w:szCs w:val="24"/>
          <w:lang w:val="en-US" w:eastAsia="zh-CN"/>
        </w:rPr>
        <w:t>身份</w:t>
      </w:r>
      <w:r>
        <w:rPr>
          <w:rFonts w:hint="eastAsia" w:ascii="仿宋" w:hAnsi="仿宋" w:eastAsia="仿宋" w:cs="仿宋"/>
          <w:b/>
          <w:bCs/>
          <w:i w:val="0"/>
          <w:iCs w:val="0"/>
          <w:color w:val="auto"/>
          <w:sz w:val="24"/>
          <w:szCs w:val="24"/>
        </w:rPr>
        <w:t>证明</w:t>
      </w:r>
      <w:r>
        <w:rPr>
          <w:rFonts w:hint="eastAsia" w:ascii="仿宋" w:hAnsi="仿宋" w:eastAsia="仿宋" w:cs="仿宋"/>
          <w:b/>
          <w:bCs/>
          <w:i w:val="0"/>
          <w:iCs w:val="0"/>
          <w:color w:val="auto"/>
          <w:sz w:val="24"/>
          <w:szCs w:val="24"/>
          <w:lang w:val="en-US" w:eastAsia="zh-CN"/>
        </w:rPr>
        <w:t>书</w:t>
      </w:r>
    </w:p>
    <w:p>
      <w:pPr>
        <w:tabs>
          <w:tab w:val="left" w:pos="6300"/>
        </w:tabs>
        <w:snapToGrid w:val="0"/>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致：</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（采购人名称）：</w:t>
      </w:r>
    </w:p>
    <w:p>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（法定代表人名称及身份证代码）是</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（供应商名称）的法定代表人，电话</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代表我单位全权办理上述项目的</w:t>
      </w:r>
      <w:r>
        <w:rPr>
          <w:rFonts w:hint="eastAsia" w:ascii="仿宋" w:hAnsi="仿宋" w:eastAsia="仿宋" w:cs="仿宋"/>
          <w:i w:val="0"/>
          <w:iCs w:val="0"/>
          <w:color w:val="auto"/>
          <w:sz w:val="24"/>
          <w:szCs w:val="24"/>
          <w:lang w:eastAsia="zh-CN"/>
        </w:rPr>
        <w:t>竞采</w:t>
      </w:r>
      <w:r>
        <w:rPr>
          <w:rFonts w:hint="eastAsia" w:ascii="仿宋" w:hAnsi="仿宋" w:eastAsia="仿宋" w:cs="仿宋"/>
          <w:i w:val="0"/>
          <w:iCs w:val="0"/>
          <w:color w:val="auto"/>
          <w:sz w:val="24"/>
          <w:szCs w:val="24"/>
        </w:rPr>
        <w:t>、签约等具体工作，并签署全部有关文件、协议及合同。签字负全部责任。</w:t>
      </w:r>
    </w:p>
    <w:p>
      <w:pPr>
        <w:tabs>
          <w:tab w:val="left" w:pos="6300"/>
        </w:tabs>
        <w:snapToGrid w:val="0"/>
        <w:spacing w:line="312" w:lineRule="auto"/>
        <w:ind w:firstLine="570"/>
        <w:rPr>
          <w:rFonts w:hint="eastAsia" w:ascii="仿宋" w:hAnsi="仿宋" w:eastAsia="仿宋" w:cs="仿宋"/>
          <w:i w:val="0"/>
          <w:iCs w:val="0"/>
          <w:color w:val="auto"/>
          <w:sz w:val="24"/>
          <w:szCs w:val="24"/>
        </w:rPr>
      </w:pPr>
    </w:p>
    <w:p>
      <w:pPr>
        <w:tabs>
          <w:tab w:val="left" w:pos="6300"/>
        </w:tabs>
        <w:snapToGrid w:val="0"/>
        <w:spacing w:line="312" w:lineRule="auto"/>
        <w:ind w:firstLine="570"/>
        <w:rPr>
          <w:rFonts w:hint="eastAsia" w:ascii="仿宋" w:hAnsi="仿宋" w:eastAsia="仿宋" w:cs="仿宋"/>
          <w:i w:val="0"/>
          <w:iCs w:val="0"/>
          <w:color w:val="auto"/>
          <w:sz w:val="24"/>
          <w:szCs w:val="24"/>
        </w:rPr>
      </w:pPr>
    </w:p>
    <w:p>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法定代表人（签字或盖章）：                          供应商名称（公章）</w:t>
      </w:r>
    </w:p>
    <w:p>
      <w:pPr>
        <w:tabs>
          <w:tab w:val="left" w:pos="6300"/>
        </w:tabs>
        <w:snapToGrid w:val="0"/>
        <w:spacing w:line="312" w:lineRule="auto"/>
        <w:ind w:right="360" w:firstLine="570"/>
        <w:jc w:val="righ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年   月   日</w:t>
      </w:r>
    </w:p>
    <w:p>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（附：法定代表人身份证正反面复印件）</w:t>
      </w:r>
    </w:p>
    <w:p>
      <w:pPr>
        <w:tabs>
          <w:tab w:val="left" w:pos="6300"/>
        </w:tabs>
        <w:snapToGrid w:val="0"/>
        <w:spacing w:line="312" w:lineRule="auto"/>
        <w:ind w:firstLine="570"/>
        <w:rPr>
          <w:rFonts w:hint="eastAsia" w:ascii="仿宋" w:hAnsi="仿宋" w:eastAsia="仿宋" w:cs="仿宋"/>
          <w:i w:val="0"/>
          <w:iCs w:val="0"/>
          <w:color w:val="auto"/>
          <w:sz w:val="24"/>
          <w:szCs w:val="24"/>
        </w:rPr>
      </w:pPr>
    </w:p>
    <w:p>
      <w:pPr>
        <w:tabs>
          <w:tab w:val="left" w:pos="6300"/>
        </w:tabs>
        <w:snapToGrid w:val="0"/>
        <w:spacing w:line="312" w:lineRule="auto"/>
        <w:ind w:firstLine="570"/>
        <w:rPr>
          <w:rFonts w:hint="eastAsia" w:ascii="仿宋" w:hAnsi="仿宋" w:eastAsia="仿宋" w:cs="仿宋"/>
          <w:i w:val="0"/>
          <w:iCs w:val="0"/>
          <w:color w:val="auto"/>
          <w:sz w:val="24"/>
          <w:szCs w:val="24"/>
        </w:rPr>
      </w:pPr>
    </w:p>
    <w:p>
      <w:pPr>
        <w:widowControl/>
        <w:spacing w:line="530" w:lineRule="exact"/>
        <w:jc w:val="left"/>
        <w:rPr>
          <w:rFonts w:hint="eastAsia" w:ascii="仿宋" w:hAnsi="仿宋" w:eastAsia="仿宋" w:cs="仿宋"/>
          <w:color w:val="auto"/>
          <w:sz w:val="24"/>
          <w:szCs w:val="24"/>
        </w:rPr>
      </w:pPr>
    </w:p>
    <w:p>
      <w:pPr>
        <w:snapToGrid w:val="0"/>
        <w:spacing w:line="360" w:lineRule="auto"/>
        <w:rPr>
          <w:rFonts w:hint="eastAsia" w:ascii="仿宋" w:hAnsi="仿宋" w:eastAsia="仿宋"/>
          <w:color w:val="auto"/>
          <w:sz w:val="24"/>
          <w:szCs w:val="24"/>
          <w:highlight w:val="none"/>
        </w:rPr>
      </w:pP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）基本资格条件承诺函</w:t>
      </w:r>
    </w:p>
    <w:p>
      <w:pPr>
        <w:widowControl/>
        <w:spacing w:line="530" w:lineRule="exact"/>
        <w:jc w:val="left"/>
        <w:rPr>
          <w:rFonts w:hint="eastAsia" w:ascii="仿宋" w:hAnsi="仿宋" w:eastAsia="仿宋" w:cs="仿宋"/>
          <w:color w:val="auto"/>
          <w:sz w:val="24"/>
          <w:szCs w:val="24"/>
        </w:rPr>
      </w:pPr>
    </w:p>
    <w:p>
      <w:pPr>
        <w:tabs>
          <w:tab w:val="left" w:pos="6300"/>
        </w:tabs>
        <w:snapToGrid w:val="0"/>
        <w:spacing w:line="53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基本资格条件承诺函</w:t>
      </w:r>
    </w:p>
    <w:p>
      <w:pPr>
        <w:tabs>
          <w:tab w:val="left" w:pos="6300"/>
        </w:tabs>
        <w:snapToGrid w:val="0"/>
        <w:spacing w:line="530" w:lineRule="exact"/>
        <w:rPr>
          <w:rFonts w:hint="eastAsia" w:ascii="仿宋" w:hAnsi="仿宋" w:eastAsia="仿宋" w:cs="仿宋"/>
          <w:color w:val="auto"/>
          <w:sz w:val="24"/>
          <w:szCs w:val="24"/>
        </w:rPr>
      </w:pPr>
    </w:p>
    <w:p>
      <w:pPr>
        <w:tabs>
          <w:tab w:val="left" w:pos="6300"/>
        </w:tabs>
        <w:snapToGrid w:val="0"/>
        <w:spacing w:line="53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采购人名称</w:t>
      </w:r>
      <w:r>
        <w:rPr>
          <w:rFonts w:hint="eastAsia" w:ascii="仿宋" w:hAnsi="仿宋" w:eastAsia="仿宋" w:cs="仿宋"/>
          <w:color w:val="auto"/>
          <w:sz w:val="24"/>
          <w:szCs w:val="24"/>
        </w:rPr>
        <w:t>）：</w:t>
      </w:r>
    </w:p>
    <w:p>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（投标人名称）郑重承诺：</w:t>
      </w:r>
    </w:p>
    <w:p>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1.我方具有良好的商业信誉和健全的财务会计制度，具有履行合同所必需的设备和专业技术能力，具</w:t>
      </w:r>
      <w:r>
        <w:rPr>
          <w:rFonts w:hint="eastAsia" w:ascii="仿宋" w:hAnsi="仿宋" w:eastAsia="仿宋" w:cs="仿宋"/>
          <w:color w:val="auto"/>
          <w:sz w:val="24"/>
          <w:szCs w:val="24"/>
          <w:lang w:val="zh-CN"/>
        </w:rPr>
        <w:t>有依法缴纳税收和社会保障金的良好记录</w:t>
      </w:r>
      <w:r>
        <w:rPr>
          <w:rFonts w:hint="eastAsia" w:ascii="仿宋" w:hAnsi="仿宋" w:eastAsia="仿宋" w:cs="仿宋"/>
          <w:color w:val="auto"/>
          <w:sz w:val="24"/>
          <w:szCs w:val="24"/>
        </w:rPr>
        <w:t>，参加本项目采购活动前三年内无重大违法活动记录。</w:t>
      </w:r>
    </w:p>
    <w:p>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我方对以上承诺负全部法律责任。</w:t>
      </w:r>
    </w:p>
    <w:p>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tabs>
          <w:tab w:val="left" w:pos="6300"/>
        </w:tabs>
        <w:snapToGrid w:val="0"/>
        <w:spacing w:line="530" w:lineRule="exact"/>
        <w:rPr>
          <w:rFonts w:hint="eastAsia" w:ascii="仿宋" w:hAnsi="仿宋" w:eastAsia="仿宋" w:cs="仿宋"/>
          <w:color w:val="auto"/>
          <w:sz w:val="24"/>
          <w:szCs w:val="24"/>
        </w:rPr>
      </w:pPr>
    </w:p>
    <w:p>
      <w:pPr>
        <w:tabs>
          <w:tab w:val="left" w:pos="6300"/>
        </w:tabs>
        <w:snapToGrid w:val="0"/>
        <w:spacing w:line="530" w:lineRule="exact"/>
        <w:ind w:right="424"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tabs>
          <w:tab w:val="left" w:pos="6300"/>
        </w:tabs>
        <w:snapToGrid w:val="0"/>
        <w:spacing w:line="53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312" w:lineRule="auto"/>
        <w:rPr>
          <w:rFonts w:hint="eastAsia" w:ascii="仿宋" w:hAnsi="仿宋" w:eastAsia="仿宋" w:cs="仿宋"/>
          <w:i w:val="0"/>
          <w:iCs w:val="0"/>
          <w:color w:val="auto"/>
          <w:sz w:val="24"/>
          <w:szCs w:val="24"/>
        </w:rPr>
      </w:pPr>
    </w:p>
    <w:p>
      <w:pPr>
        <w:snapToGrid w:val="0"/>
        <w:spacing w:line="360" w:lineRule="auto"/>
        <w:rPr>
          <w:rFonts w:hint="eastAsia" w:ascii="仿宋" w:hAnsi="仿宋" w:eastAsia="仿宋"/>
          <w:color w:val="auto"/>
          <w:sz w:val="24"/>
          <w:szCs w:val="24"/>
          <w:highlight w:val="none"/>
        </w:rPr>
      </w:pPr>
    </w:p>
    <w:p>
      <w:pPr>
        <w:snapToGrid w:val="0"/>
        <w:spacing w:line="360" w:lineRule="auto"/>
        <w:rPr>
          <w:rFonts w:hint="eastAsia" w:ascii="仿宋" w:hAnsi="仿宋" w:eastAsia="仿宋" w:cs="仿宋"/>
          <w:i w:val="0"/>
          <w:iCs w:val="0"/>
          <w:color w:val="auto"/>
          <w:sz w:val="24"/>
          <w:szCs w:val="24"/>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rPr>
        <w:t>）特定资格条件证书或证明文件</w:t>
      </w:r>
    </w:p>
    <w:p>
      <w:pPr>
        <w:rPr>
          <w:rFonts w:hint="eastAsia"/>
          <w:color w:val="auto"/>
        </w:rPr>
      </w:pPr>
    </w:p>
    <w:p>
      <w:pPr>
        <w:tabs>
          <w:tab w:val="left" w:pos="6300"/>
        </w:tabs>
        <w:snapToGrid w:val="0"/>
        <w:spacing w:line="312" w:lineRule="auto"/>
        <w:ind w:right="480" w:firstLine="570"/>
        <w:jc w:val="center"/>
        <w:rPr>
          <w:rFonts w:hint="eastAsia" w:ascii="仿宋" w:hAnsi="仿宋" w:eastAsia="仿宋" w:cs="仿宋"/>
          <w:i w:val="0"/>
          <w:iCs w:val="0"/>
          <w:color w:val="auto"/>
          <w:sz w:val="24"/>
          <w:szCs w:val="24"/>
        </w:rPr>
      </w:pPr>
    </w:p>
    <w:p>
      <w:pPr>
        <w:spacing w:line="360" w:lineRule="auto"/>
        <w:rPr>
          <w:rFonts w:hint="eastAsia" w:ascii="仿宋" w:hAnsi="仿宋" w:eastAsia="仿宋"/>
          <w:b/>
          <w:bCs/>
          <w:color w:val="auto"/>
          <w:sz w:val="24"/>
          <w:szCs w:val="24"/>
          <w:highlight w:val="none"/>
        </w:rPr>
      </w:pPr>
    </w:p>
    <w:p>
      <w:pPr>
        <w:spacing w:line="360" w:lineRule="auto"/>
        <w:rPr>
          <w:rFonts w:hint="eastAsia" w:ascii="仿宋" w:hAnsi="仿宋" w:eastAsia="仿宋"/>
          <w:b/>
          <w:bCs/>
          <w:color w:val="auto"/>
          <w:sz w:val="24"/>
          <w:szCs w:val="24"/>
          <w:highlight w:val="none"/>
        </w:rPr>
      </w:pPr>
    </w:p>
    <w:p>
      <w:pPr>
        <w:spacing w:line="360" w:lineRule="auto"/>
        <w:rPr>
          <w:rFonts w:hint="eastAsia" w:ascii="仿宋" w:hAnsi="仿宋" w:eastAsia="仿宋"/>
          <w:b/>
          <w:bCs/>
          <w:color w:val="auto"/>
          <w:sz w:val="24"/>
          <w:szCs w:val="24"/>
          <w:highlight w:val="none"/>
        </w:rPr>
      </w:pPr>
    </w:p>
    <w:p>
      <w:pPr>
        <w:spacing w:line="360" w:lineRule="auto"/>
        <w:rPr>
          <w:rFonts w:hint="eastAsia"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五、其他应提供的资料</w:t>
      </w:r>
    </w:p>
    <w:p>
      <w:pPr>
        <w:spacing w:line="360" w:lineRule="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（一）中小企业声明函、监狱企业证明文件、残疾人福利性单位声明函</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若有</w:t>
      </w:r>
      <w:r>
        <w:rPr>
          <w:rFonts w:hint="eastAsia" w:ascii="仿宋" w:hAnsi="仿宋" w:eastAsia="仿宋"/>
          <w:color w:val="auto"/>
          <w:sz w:val="24"/>
          <w:szCs w:val="24"/>
          <w:highlight w:val="none"/>
          <w:lang w:eastAsia="zh-CN"/>
        </w:rPr>
        <w:t>）</w:t>
      </w:r>
    </w:p>
    <w:p>
      <w:pPr>
        <w:spacing w:line="360" w:lineRule="auto"/>
        <w:ind w:firstLine="480" w:firstLineChars="200"/>
        <w:rPr>
          <w:rFonts w:hint="eastAsia" w:ascii="仿宋" w:hAnsi="仿宋" w:eastAsia="仿宋"/>
          <w:color w:val="auto"/>
          <w:sz w:val="24"/>
          <w:szCs w:val="24"/>
          <w:highlight w:val="none"/>
        </w:rPr>
      </w:pPr>
    </w:p>
    <w:p>
      <w:pPr>
        <w:spacing w:line="360" w:lineRule="auto"/>
        <w:ind w:firstLine="480" w:firstLineChars="200"/>
        <w:rPr>
          <w:rFonts w:hint="eastAsia" w:ascii="仿宋" w:hAnsi="仿宋" w:eastAsia="仿宋"/>
          <w:color w:val="auto"/>
          <w:sz w:val="24"/>
          <w:szCs w:val="24"/>
          <w:highlight w:val="none"/>
        </w:rPr>
      </w:pPr>
    </w:p>
    <w:p>
      <w:pPr>
        <w:spacing w:line="360" w:lineRule="auto"/>
        <w:ind w:firstLine="480" w:firstLineChars="200"/>
        <w:rPr>
          <w:rFonts w:hint="eastAsia" w:ascii="仿宋" w:hAnsi="仿宋" w:eastAsia="仿宋"/>
          <w:color w:val="auto"/>
          <w:sz w:val="24"/>
          <w:szCs w:val="24"/>
          <w:highlight w:val="none"/>
        </w:rPr>
      </w:pPr>
    </w:p>
    <w:p>
      <w:pPr>
        <w:spacing w:line="360" w:lineRule="auto"/>
        <w:ind w:firstLine="480" w:firstLineChars="200"/>
        <w:rPr>
          <w:rFonts w:hint="eastAsia" w:ascii="仿宋" w:hAnsi="仿宋" w:eastAsia="仿宋"/>
          <w:color w:val="auto"/>
          <w:sz w:val="24"/>
          <w:szCs w:val="24"/>
          <w:highlight w:val="none"/>
        </w:rPr>
      </w:pPr>
    </w:p>
    <w:p>
      <w:pPr>
        <w:spacing w:line="360" w:lineRule="auto"/>
        <w:ind w:firstLine="480" w:firstLineChars="200"/>
        <w:rPr>
          <w:rFonts w:hint="eastAsia" w:ascii="仿宋" w:hAnsi="仿宋" w:eastAsia="仿宋"/>
          <w:color w:val="auto"/>
          <w:sz w:val="24"/>
          <w:szCs w:val="24"/>
          <w:highlight w:val="none"/>
        </w:rPr>
      </w:pPr>
    </w:p>
    <w:p>
      <w:pPr>
        <w:numPr>
          <w:ilvl w:val="0"/>
          <w:numId w:val="6"/>
        </w:numPr>
        <w:tabs>
          <w:tab w:val="left" w:pos="6300"/>
        </w:tabs>
        <w:snapToGrid w:val="0"/>
        <w:spacing w:line="312" w:lineRule="auto"/>
        <w:ind w:right="48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其他与项目有关的资料（自附）</w:t>
      </w: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rPr>
      </w:pPr>
    </w:p>
    <w:p>
      <w:pPr>
        <w:numPr>
          <w:ilvl w:val="0"/>
          <w:numId w:val="0"/>
        </w:numPr>
        <w:tabs>
          <w:tab w:val="left" w:pos="6300"/>
        </w:tabs>
        <w:snapToGrid w:val="0"/>
        <w:spacing w:line="312" w:lineRule="auto"/>
        <w:ind w:right="480" w:rightChars="0"/>
        <w:jc w:val="center"/>
        <w:rPr>
          <w:rFonts w:ascii="仿宋" w:hAnsi="仿宋" w:eastAsia="仿宋"/>
          <w:color w:val="auto"/>
          <w:sz w:val="24"/>
          <w:szCs w:val="24"/>
          <w:bdr w:val="single" w:color="auto" w:sz="4" w:space="0"/>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color w:val="auto"/>
          <w:sz w:val="24"/>
          <w:szCs w:val="24"/>
        </w:rPr>
        <w:t>（结束）</w:t>
      </w:r>
    </w:p>
    <w:bookmarkEnd w:id="117"/>
    <w:p>
      <w:pPr>
        <w:rPr>
          <w:color w:val="auto"/>
        </w:rPr>
      </w:pPr>
    </w:p>
    <w:sectPr>
      <w:headerReference r:id="rId12" w:type="default"/>
      <w:foot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- 11 -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仿宋" w:hAnsi="仿宋" w:eastAsia="仿宋" w:cs="宋体"/>
        <w:lang w:eastAsia="zh-CN"/>
      </w:rPr>
      <w:t>重庆大家智方科技有限公司</w:t>
    </w:r>
    <w:r>
      <w:rPr>
        <w:rFonts w:hint="eastAsia" w:ascii="仿宋" w:hAnsi="仿宋" w:eastAsia="仿宋" w:cs="宋体"/>
      </w:rPr>
      <w:t xml:space="preserve">                                                      </w:t>
    </w:r>
    <w:r>
      <w:rPr>
        <w:rFonts w:hint="eastAsia" w:ascii="仿宋" w:hAnsi="仿宋" w:eastAsia="仿宋" w:cs="宋体"/>
        <w:lang w:eastAsia="zh-CN"/>
      </w:rPr>
      <w:t>竞采</w:t>
    </w:r>
    <w:r>
      <w:rPr>
        <w:rFonts w:hint="eastAsia" w:ascii="仿宋" w:hAnsi="仿宋" w:eastAsia="仿宋" w:cs="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仿宋" w:hAnsi="仿宋" w:eastAsia="仿宋" w:cs="宋体"/>
        <w:lang w:eastAsia="zh-CN"/>
      </w:rPr>
      <w:t>重庆大家智方科技有限公司</w:t>
    </w:r>
    <w:r>
      <w:rPr>
        <w:rFonts w:hint="eastAsia" w:ascii="仿宋" w:hAnsi="仿宋" w:eastAsia="仿宋" w:cs="宋体"/>
      </w:rPr>
      <w:t xml:space="preserve">                                                      </w:t>
    </w:r>
    <w:r>
      <w:rPr>
        <w:rFonts w:hint="eastAsia" w:ascii="仿宋" w:hAnsi="仿宋" w:eastAsia="仿宋" w:cs="宋体"/>
        <w:lang w:eastAsia="zh-CN"/>
      </w:rPr>
      <w:t>竞采</w:t>
    </w:r>
    <w:r>
      <w:rPr>
        <w:rFonts w:hint="eastAsia" w:ascii="仿宋" w:hAnsi="仿宋" w:eastAsia="仿宋" w:cs="宋体"/>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20C41"/>
    <w:multiLevelType w:val="singleLevel"/>
    <w:tmpl w:val="9C120C41"/>
    <w:lvl w:ilvl="0" w:tentative="0">
      <w:start w:val="2"/>
      <w:numFmt w:val="chineseCounting"/>
      <w:suff w:val="nothing"/>
      <w:lvlText w:val="（%1）"/>
      <w:lvlJc w:val="left"/>
      <w:rPr>
        <w:rFonts w:hint="eastAsia"/>
      </w:rPr>
    </w:lvl>
  </w:abstractNum>
  <w:abstractNum w:abstractNumId="1">
    <w:nsid w:val="A7E534E3"/>
    <w:multiLevelType w:val="singleLevel"/>
    <w:tmpl w:val="A7E534E3"/>
    <w:lvl w:ilvl="0" w:tentative="0">
      <w:start w:val="2"/>
      <w:numFmt w:val="decimal"/>
      <w:lvlText w:val="%1."/>
      <w:lvlJc w:val="left"/>
      <w:pPr>
        <w:tabs>
          <w:tab w:val="left" w:pos="312"/>
        </w:tabs>
      </w:pPr>
    </w:lvl>
  </w:abstractNum>
  <w:abstractNum w:abstractNumId="2">
    <w:nsid w:val="C3FF7C35"/>
    <w:multiLevelType w:val="singleLevel"/>
    <w:tmpl w:val="C3FF7C35"/>
    <w:lvl w:ilvl="0" w:tentative="0">
      <w:start w:val="3"/>
      <w:numFmt w:val="decimal"/>
      <w:lvlText w:val="%1."/>
      <w:lvlJc w:val="left"/>
      <w:pPr>
        <w:tabs>
          <w:tab w:val="left" w:pos="312"/>
        </w:tabs>
      </w:pPr>
    </w:lvl>
  </w:abstractNum>
  <w:abstractNum w:abstractNumId="3">
    <w:nsid w:val="07529D52"/>
    <w:multiLevelType w:val="singleLevel"/>
    <w:tmpl w:val="07529D52"/>
    <w:lvl w:ilvl="0" w:tentative="0">
      <w:start w:val="3"/>
      <w:numFmt w:val="chineseCounting"/>
      <w:suff w:val="nothing"/>
      <w:lvlText w:val="%1、"/>
      <w:lvlJc w:val="left"/>
      <w:rPr>
        <w:rFonts w:hint="eastAsia"/>
      </w:rPr>
    </w:lvl>
  </w:abstractNum>
  <w:abstractNum w:abstractNumId="4">
    <w:nsid w:val="64F7617D"/>
    <w:multiLevelType w:val="singleLevel"/>
    <w:tmpl w:val="64F7617D"/>
    <w:lvl w:ilvl="0" w:tentative="0">
      <w:start w:val="1"/>
      <w:numFmt w:val="chineseCounting"/>
      <w:suff w:val="nothing"/>
      <w:lvlText w:val="%1、"/>
      <w:lvlJc w:val="left"/>
      <w:rPr>
        <w:rFonts w:hint="eastAsia"/>
      </w:rPr>
    </w:lvl>
  </w:abstractNum>
  <w:abstractNum w:abstractNumId="5">
    <w:nsid w:val="7D764751"/>
    <w:multiLevelType w:val="singleLevel"/>
    <w:tmpl w:val="7D764751"/>
    <w:lvl w:ilvl="0" w:tentative="0">
      <w:start w:val="3"/>
      <w:numFmt w:val="chineseCounting"/>
      <w:suff w:val="space"/>
      <w:lvlText w:val="第%1篇"/>
      <w:lvlJc w:val="left"/>
      <w:rPr>
        <w:rFonts w:hint="eastAsi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MmRlMzFjOTE5NGY1OGFkMzVmZjU3OTQ0Y2JjMDUifQ=="/>
  </w:docVars>
  <w:rsids>
    <w:rsidRoot w:val="4DEF5E83"/>
    <w:rsid w:val="1C4948C7"/>
    <w:rsid w:val="2917483C"/>
    <w:rsid w:val="298A516E"/>
    <w:rsid w:val="2D03223E"/>
    <w:rsid w:val="372876AC"/>
    <w:rsid w:val="37B84661"/>
    <w:rsid w:val="3E9A0C6C"/>
    <w:rsid w:val="46B17A4F"/>
    <w:rsid w:val="4AAA2BA5"/>
    <w:rsid w:val="4DEF5E83"/>
    <w:rsid w:val="5265677E"/>
    <w:rsid w:val="53F51CFD"/>
    <w:rsid w:val="59104AA9"/>
    <w:rsid w:val="660174D6"/>
    <w:rsid w:val="6C4D2F6E"/>
    <w:rsid w:val="70CC09F6"/>
    <w:rsid w:val="72FF7A3A"/>
    <w:rsid w:val="78D8633B"/>
    <w:rsid w:val="79C32E8B"/>
    <w:rsid w:val="7B5B7F2E"/>
    <w:rsid w:val="7CA0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99"/>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List"/>
    <w:basedOn w:val="1"/>
    <w:semiHidden/>
    <w:qFormat/>
    <w:uiPriority w:val="0"/>
    <w:pPr>
      <w:ind w:left="200" w:hanging="200" w:hangingChars="200"/>
    </w:pPr>
  </w:style>
  <w:style w:type="character" w:styleId="17">
    <w:name w:val="page number"/>
    <w:basedOn w:val="16"/>
    <w:qFormat/>
    <w:uiPriority w:val="0"/>
  </w:style>
  <w:style w:type="paragraph" w:customStyle="1" w:styleId="18">
    <w:name w:val="图例"/>
    <w:basedOn w:val="1"/>
    <w:qFormat/>
    <w:uiPriority w:val="0"/>
    <w:pPr>
      <w:spacing w:before="120" w:after="120" w:line="360" w:lineRule="auto"/>
      <w:jc w:val="center"/>
    </w:pPr>
    <w:rPr>
      <w:rFonts w:eastAsia="仿宋_GB2312"/>
      <w:b/>
      <w:sz w:val="24"/>
    </w:rPr>
  </w:style>
  <w:style w:type="paragraph" w:customStyle="1" w:styleId="19">
    <w:name w:val="电建正文"/>
    <w:basedOn w:val="20"/>
    <w:qFormat/>
    <w:uiPriority w:val="0"/>
    <w:pPr>
      <w:tabs>
        <w:tab w:val="left" w:pos="720"/>
      </w:tabs>
      <w:spacing w:line="360" w:lineRule="auto"/>
      <w:ind w:firstLine="200" w:firstLineChars="200"/>
    </w:pPr>
    <w:rPr>
      <w:rFonts w:ascii="Tahoma" w:hAnsi="Tahoma"/>
      <w:sz w:val="24"/>
    </w:rPr>
  </w:style>
  <w:style w:type="paragraph" w:customStyle="1" w:styleId="20">
    <w:name w:val="List First"/>
    <w:basedOn w:val="14"/>
    <w:next w:val="14"/>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10169</Words>
  <Characters>10710</Characters>
  <Lines>0</Lines>
  <Paragraphs>0</Paragraphs>
  <TotalTime>33</TotalTime>
  <ScaleCrop>false</ScaleCrop>
  <LinksUpToDate>false</LinksUpToDate>
  <CharactersWithSpaces>11481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Administrator</cp:lastModifiedBy>
  <dcterms:modified xsi:type="dcterms:W3CDTF">2025-06-20T00:29:33Z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04AA283A38C3486385FA7FE02DDEA0EA</vt:lpwstr>
  </property>
  <property fmtid="{D5CDD505-2E9C-101B-9397-08002B2CF9AE}" pid="4" name="KSOTemplateDocerSaveRecord">
    <vt:lpwstr>eyJoZGlkIjoiNTM1ODQ3NTVhYzg5Mjg0ZWY0ZWVlYjBhYTZiMzUzMWQiLCJ1c2VySWQiOiIyNzk1NTY5OTkifQ==</vt:lpwstr>
  </property>
</Properties>
</file>