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A18B">
      <w:pPr>
        <w:adjustRightInd w:val="0"/>
        <w:snapToGrid w:val="0"/>
        <w:jc w:val="center"/>
        <w:rPr>
          <w:rFonts w:ascii="宋体" w:hAnsi="宋体"/>
          <w:b/>
          <w:bCs/>
          <w:sz w:val="36"/>
        </w:rPr>
      </w:pPr>
    </w:p>
    <w:p w14:paraId="5717B89C">
      <w:pPr>
        <w:adjustRightInd w:val="0"/>
        <w:snapToGrid w:val="0"/>
        <w:spacing w:line="780" w:lineRule="exact"/>
        <w:jc w:val="center"/>
        <w:rPr>
          <w:rFonts w:ascii="宋体" w:hAnsi="宋体"/>
          <w:bCs/>
          <w:sz w:val="48"/>
          <w:szCs w:val="48"/>
        </w:rPr>
      </w:pPr>
    </w:p>
    <w:p w14:paraId="18A5891B">
      <w:pPr>
        <w:adjustRightInd w:val="0"/>
        <w:snapToGrid w:val="0"/>
        <w:jc w:val="center"/>
        <w:rPr>
          <w:rFonts w:ascii="宋体" w:hAnsi="宋体"/>
          <w:b/>
          <w:bCs/>
          <w:sz w:val="48"/>
          <w:szCs w:val="48"/>
        </w:rPr>
      </w:pPr>
    </w:p>
    <w:p w14:paraId="0A728758">
      <w:pPr>
        <w:adjustRightInd w:val="0"/>
        <w:snapToGrid w:val="0"/>
        <w:jc w:val="center"/>
        <w:rPr>
          <w:rFonts w:ascii="宋体" w:hAnsi="宋体"/>
          <w:b/>
          <w:bCs/>
          <w:sz w:val="48"/>
          <w:szCs w:val="48"/>
        </w:rPr>
      </w:pPr>
    </w:p>
    <w:p w14:paraId="51152DB3">
      <w:pPr>
        <w:adjustRightInd w:val="0"/>
        <w:snapToGrid w:val="0"/>
        <w:jc w:val="center"/>
        <w:rPr>
          <w:rFonts w:ascii="宋体" w:hAnsi="宋体"/>
          <w:b/>
          <w:bCs/>
          <w:sz w:val="48"/>
          <w:szCs w:val="48"/>
        </w:rPr>
      </w:pPr>
    </w:p>
    <w:p w14:paraId="4BDD788A">
      <w:pPr>
        <w:adjustRightInd w:val="0"/>
        <w:snapToGrid w:val="0"/>
        <w:spacing w:line="960" w:lineRule="exact"/>
        <w:rPr>
          <w:rFonts w:ascii="宋体" w:hAnsi="宋体"/>
          <w:b/>
          <w:bCs/>
          <w:sz w:val="48"/>
          <w:szCs w:val="48"/>
        </w:rPr>
      </w:pPr>
    </w:p>
    <w:p w14:paraId="14C85632">
      <w:pPr>
        <w:adjustRightInd w:val="0"/>
        <w:snapToGrid w:val="0"/>
        <w:spacing w:line="960" w:lineRule="exact"/>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竞争性磋商文件</w:t>
      </w:r>
    </w:p>
    <w:p w14:paraId="286B7216">
      <w:pPr>
        <w:adjustRightInd w:val="0"/>
        <w:snapToGrid w:val="0"/>
        <w:spacing w:line="780" w:lineRule="exact"/>
        <w:jc w:val="center"/>
        <w:rPr>
          <w:rFonts w:ascii="宋体" w:hAnsi="宋体"/>
        </w:rPr>
      </w:pPr>
      <w:r>
        <w:rPr>
          <w:rFonts w:hint="eastAsia" w:ascii="宋体" w:hAnsi="宋体"/>
        </w:rPr>
        <w:t xml:space="preserve">                   </w:t>
      </w:r>
    </w:p>
    <w:p w14:paraId="5D1EBED0">
      <w:pPr>
        <w:adjustRightInd w:val="0"/>
        <w:snapToGrid w:val="0"/>
        <w:ind w:firstLine="1440" w:firstLineChars="400"/>
        <w:outlineLvl w:val="0"/>
        <w:rPr>
          <w:rFonts w:ascii="Times New Roman" w:hAnsi="Times New Roman" w:eastAsia="方正仿宋_GBK" w:cs="Times New Roman"/>
          <w:sz w:val="36"/>
          <w:szCs w:val="36"/>
        </w:rPr>
      </w:pPr>
    </w:p>
    <w:p w14:paraId="1A44FD36">
      <w:pPr>
        <w:adjustRightInd w:val="0"/>
        <w:snapToGrid w:val="0"/>
        <w:spacing w:line="780" w:lineRule="exact"/>
        <w:jc w:val="center"/>
        <w:rPr>
          <w:rFonts w:ascii="方正仿宋_GBK" w:hAnsi="方正仿宋_GBK" w:eastAsia="方正仿宋_GBK" w:cs="方正仿宋_GBK"/>
          <w:bCs/>
          <w:sz w:val="44"/>
          <w:szCs w:val="44"/>
        </w:rPr>
      </w:pPr>
      <w:r>
        <w:rPr>
          <w:rFonts w:ascii="Times New Roman" w:hAnsi="Times New Roman" w:eastAsia="方正仿宋_GBK" w:cs="Times New Roman"/>
          <w:sz w:val="36"/>
          <w:szCs w:val="36"/>
        </w:rPr>
        <w:t xml:space="preserve">  </w:t>
      </w:r>
      <w:r>
        <w:rPr>
          <w:rFonts w:ascii="Times New Roman" w:hAnsi="Times New Roman" w:eastAsia="方正仿宋_GBK" w:cs="Times New Roman"/>
          <w:sz w:val="44"/>
          <w:szCs w:val="44"/>
        </w:rPr>
        <w:t>项目名称：</w:t>
      </w:r>
      <w:r>
        <w:rPr>
          <w:rFonts w:hint="eastAsia" w:ascii="方正仿宋_GBK" w:hAnsi="方正仿宋_GBK" w:eastAsia="方正仿宋_GBK" w:cs="方正仿宋_GBK"/>
          <w:bCs/>
          <w:sz w:val="44"/>
          <w:szCs w:val="44"/>
        </w:rPr>
        <w:t>分散采购代理机构服务项目</w:t>
      </w:r>
    </w:p>
    <w:p w14:paraId="52B7518E">
      <w:pPr>
        <w:adjustRightInd w:val="0"/>
        <w:snapToGrid w:val="0"/>
        <w:spacing w:line="780" w:lineRule="exact"/>
        <w:jc w:val="center"/>
        <w:rPr>
          <w:rFonts w:ascii="方正仿宋_GBK" w:hAnsi="方正仿宋_GBK" w:eastAsia="方正仿宋_GBK" w:cs="方正仿宋_GBK"/>
          <w:bCs/>
          <w:sz w:val="44"/>
          <w:szCs w:val="44"/>
        </w:rPr>
      </w:pPr>
      <w:r>
        <w:rPr>
          <w:rFonts w:ascii="Times New Roman" w:hAnsi="Times New Roman" w:eastAsia="方正仿宋_GBK" w:cs="Times New Roman"/>
          <w:sz w:val="44"/>
          <w:szCs w:val="44"/>
        </w:rPr>
        <w:t>采</w:t>
      </w:r>
      <w:r>
        <w:rPr>
          <w:rFonts w:ascii="Times New Roman" w:hAnsi="Times New Roman" w:eastAsia="方正仿宋_GBK" w:cs="Times New Roman"/>
          <w:sz w:val="44"/>
          <w:szCs w:val="44"/>
          <w:lang w:val="en"/>
        </w:rPr>
        <w:t xml:space="preserve"> </w:t>
      </w:r>
      <w:r>
        <w:rPr>
          <w:rFonts w:ascii="Times New Roman" w:hAnsi="Times New Roman" w:eastAsia="方正仿宋_GBK" w:cs="Times New Roman"/>
          <w:sz w:val="44"/>
          <w:szCs w:val="44"/>
        </w:rPr>
        <w:t>购</w:t>
      </w:r>
      <w:r>
        <w:rPr>
          <w:rFonts w:ascii="Times New Roman" w:hAnsi="Times New Roman" w:eastAsia="方正仿宋_GBK" w:cs="Times New Roman"/>
          <w:sz w:val="44"/>
          <w:szCs w:val="44"/>
          <w:lang w:val="en"/>
        </w:rPr>
        <w:t xml:space="preserve"> </w:t>
      </w:r>
      <w:r>
        <w:rPr>
          <w:rFonts w:ascii="Times New Roman" w:hAnsi="Times New Roman" w:eastAsia="方正仿宋_GBK" w:cs="Times New Roman"/>
          <w:sz w:val="44"/>
          <w:szCs w:val="44"/>
        </w:rPr>
        <w:t>人：</w:t>
      </w:r>
      <w:r>
        <w:rPr>
          <w:rFonts w:hint="eastAsia" w:ascii="方正仿宋_GBK" w:hAnsi="方正仿宋_GBK" w:eastAsia="方正仿宋_GBK" w:cs="方正仿宋_GBK"/>
          <w:bCs/>
          <w:sz w:val="44"/>
          <w:szCs w:val="44"/>
        </w:rPr>
        <w:t>重庆市渝北职业教育中心</w:t>
      </w:r>
    </w:p>
    <w:p w14:paraId="188B79F7">
      <w:pPr>
        <w:adjustRightInd w:val="0"/>
        <w:snapToGrid w:val="0"/>
        <w:spacing w:line="960" w:lineRule="exact"/>
        <w:rPr>
          <w:rFonts w:ascii="宋体" w:hAnsi="宋体"/>
          <w:sz w:val="32"/>
          <w:szCs w:val="32"/>
        </w:rPr>
      </w:pPr>
    </w:p>
    <w:p w14:paraId="022DCD0B">
      <w:pPr>
        <w:adjustRightInd w:val="0"/>
        <w:snapToGrid w:val="0"/>
        <w:rPr>
          <w:rFonts w:ascii="宋体" w:hAnsi="宋体"/>
        </w:rPr>
      </w:pPr>
    </w:p>
    <w:p w14:paraId="22076182">
      <w:pPr>
        <w:adjustRightInd w:val="0"/>
        <w:snapToGrid w:val="0"/>
        <w:rPr>
          <w:rFonts w:ascii="宋体" w:hAnsi="宋体"/>
        </w:rPr>
      </w:pPr>
    </w:p>
    <w:p w14:paraId="539DBA5B">
      <w:pPr>
        <w:adjustRightInd w:val="0"/>
        <w:snapToGrid w:val="0"/>
        <w:jc w:val="center"/>
        <w:rPr>
          <w:rFonts w:ascii="宋体" w:hAnsi="宋体"/>
          <w:color w:val="000000"/>
        </w:rPr>
      </w:pPr>
      <w:r>
        <w:rPr>
          <w:rFonts w:hint="eastAsia" w:ascii="宋体" w:hAnsi="宋体"/>
          <w:color w:val="000000"/>
        </w:rPr>
        <w:t xml:space="preserve"> </w:t>
      </w:r>
    </w:p>
    <w:p w14:paraId="03886176">
      <w:pPr>
        <w:adjustRightInd w:val="0"/>
        <w:snapToGrid w:val="0"/>
        <w:jc w:val="center"/>
        <w:rPr>
          <w:rFonts w:ascii="宋体" w:hAnsi="宋体"/>
          <w:color w:val="000000"/>
        </w:rPr>
      </w:pPr>
    </w:p>
    <w:p w14:paraId="32A6F14E">
      <w:pPr>
        <w:adjustRightInd w:val="0"/>
        <w:snapToGrid w:val="0"/>
        <w:jc w:val="center"/>
        <w:rPr>
          <w:rFonts w:ascii="宋体" w:hAnsi="宋体"/>
          <w:color w:val="000000"/>
        </w:rPr>
      </w:pPr>
    </w:p>
    <w:p w14:paraId="4153AC84">
      <w:pPr>
        <w:adjustRightInd w:val="0"/>
        <w:snapToGrid w:val="0"/>
        <w:jc w:val="center"/>
        <w:rPr>
          <w:rFonts w:ascii="宋体" w:hAnsi="宋体"/>
          <w:color w:val="000000"/>
        </w:rPr>
      </w:pPr>
    </w:p>
    <w:p w14:paraId="589DEB50">
      <w:pPr>
        <w:adjustRightInd w:val="0"/>
        <w:snapToGrid w:val="0"/>
        <w:jc w:val="center"/>
        <w:rPr>
          <w:rFonts w:ascii="宋体" w:hAnsi="宋体"/>
          <w:color w:val="000000"/>
        </w:rPr>
      </w:pPr>
    </w:p>
    <w:p w14:paraId="6F0400D6">
      <w:pPr>
        <w:adjustRightInd w:val="0"/>
        <w:snapToGrid w:val="0"/>
        <w:jc w:val="center"/>
        <w:rPr>
          <w:rFonts w:ascii="宋体" w:hAnsi="宋体"/>
          <w:color w:val="000000"/>
        </w:rPr>
      </w:pPr>
    </w:p>
    <w:p w14:paraId="3AA6475B">
      <w:pPr>
        <w:adjustRightInd w:val="0"/>
        <w:snapToGrid w:val="0"/>
        <w:jc w:val="center"/>
        <w:rPr>
          <w:rFonts w:ascii="宋体" w:hAnsi="宋体"/>
          <w:color w:val="000000"/>
        </w:rPr>
      </w:pPr>
    </w:p>
    <w:p w14:paraId="1DC4FD5D">
      <w:pPr>
        <w:adjustRightInd w:val="0"/>
        <w:snapToGrid w:val="0"/>
        <w:jc w:val="center"/>
        <w:rPr>
          <w:rFonts w:ascii="宋体" w:hAnsi="宋体"/>
          <w:color w:val="000000"/>
        </w:rPr>
      </w:pPr>
    </w:p>
    <w:p w14:paraId="1E3815A1">
      <w:pPr>
        <w:adjustRightInd w:val="0"/>
        <w:snapToGrid w:val="0"/>
        <w:rPr>
          <w:rFonts w:ascii="宋体" w:hAnsi="宋体"/>
          <w:color w:val="000000"/>
        </w:rPr>
      </w:pPr>
    </w:p>
    <w:p w14:paraId="0F2BC3A6">
      <w:pPr>
        <w:adjustRightInd w:val="0"/>
        <w:snapToGrid w:val="0"/>
        <w:ind w:firstLine="3300" w:firstLineChars="750"/>
        <w:rPr>
          <w:rFonts w:ascii="宋体" w:hAnsi="宋体"/>
          <w:sz w:val="32"/>
        </w:rPr>
      </w:pPr>
      <w:r>
        <w:rPr>
          <w:rFonts w:hint="eastAsia" w:ascii="方正仿宋_GBK" w:hAnsi="方正仿宋_GBK" w:eastAsia="方正仿宋_GBK" w:cs="方正仿宋_GBK"/>
          <w:bCs/>
          <w:sz w:val="44"/>
          <w:szCs w:val="44"/>
        </w:rPr>
        <w:t>2025年7月</w:t>
      </w:r>
    </w:p>
    <w:p w14:paraId="3C0079AD">
      <w:pPr>
        <w:adjustRightInd w:val="0"/>
        <w:snapToGrid w:val="0"/>
        <w:jc w:val="center"/>
        <w:rPr>
          <w:rFonts w:ascii="Times New Roman" w:hAnsi="Times New Roman" w:eastAsia="方正仿宋_GBK" w:cs="Times New Roman"/>
          <w:b/>
          <w:bCs/>
          <w:sz w:val="44"/>
          <w:szCs w:val="44"/>
        </w:rPr>
      </w:pPr>
    </w:p>
    <w:p w14:paraId="28E2C0A0">
      <w:pPr>
        <w:adjustRightInd w:val="0"/>
        <w:snapToGrid w:val="0"/>
        <w:jc w:val="center"/>
        <w:rPr>
          <w:rFonts w:ascii="Times New Roman" w:hAnsi="Times New Roman" w:eastAsia="方正仿宋_GBK" w:cs="Times New Roman"/>
          <w:b/>
          <w:bCs/>
          <w:sz w:val="44"/>
          <w:szCs w:val="44"/>
        </w:rPr>
      </w:pPr>
    </w:p>
    <w:p w14:paraId="3F5EE23A">
      <w:pPr>
        <w:adjustRightInd w:val="0"/>
        <w:snapToGrid w:val="0"/>
        <w:jc w:val="center"/>
        <w:rPr>
          <w:rFonts w:ascii="Times New Roman" w:hAnsi="Times New Roman" w:eastAsia="方正仿宋_GBK" w:cs="Times New Roman"/>
          <w:b/>
          <w:bCs/>
          <w:sz w:val="44"/>
          <w:szCs w:val="44"/>
        </w:rPr>
      </w:pPr>
      <w:r>
        <w:rPr>
          <w:rFonts w:ascii="Times New Roman" w:hAnsi="Times New Roman" w:eastAsia="方正仿宋_GBK" w:cs="Times New Roman"/>
          <w:b/>
          <w:bCs/>
          <w:sz w:val="44"/>
          <w:szCs w:val="44"/>
        </w:rPr>
        <w:t>目   录</w:t>
      </w:r>
    </w:p>
    <w:p w14:paraId="6EF3EDD4">
      <w:pPr>
        <w:pStyle w:val="59"/>
        <w:tabs>
          <w:tab w:val="right" w:leader="dot" w:pos="9412"/>
        </w:tabs>
        <w:adjustRightInd w:val="0"/>
        <w:snapToGrid w:val="0"/>
        <w:jc w:val="distribute"/>
        <w:rPr>
          <w:rFonts w:ascii="方正仿宋_GBK" w:hAnsi="方正仿宋_GBK" w:eastAsia="方正仿宋_GBK" w:cs="方正仿宋_GBK"/>
          <w:szCs w:val="21"/>
        </w:rPr>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TOC \o "1-3" \h \z </w:instrText>
      </w:r>
      <w:r>
        <w:rPr>
          <w:rFonts w:hint="eastAsia" w:ascii="方正仿宋_GBK" w:hAnsi="方正仿宋_GBK" w:eastAsia="方正仿宋_GBK" w:cs="方正仿宋_GBK"/>
          <w:szCs w:val="21"/>
        </w:rPr>
        <w:fldChar w:fldCharType="separate"/>
      </w:r>
      <w:r>
        <w:fldChar w:fldCharType="begin"/>
      </w:r>
      <w:r>
        <w:instrText xml:space="preserve"> HYPERLINK \l "_Toc1061245767" </w:instrText>
      </w:r>
      <w:r>
        <w:fldChar w:fldCharType="separate"/>
      </w:r>
      <w:r>
        <w:rPr>
          <w:rFonts w:hint="eastAsia" w:ascii="方正仿宋_GBK" w:hAnsi="方正仿宋_GBK" w:eastAsia="方正仿宋_GBK" w:cs="方正仿宋_GBK"/>
          <w:szCs w:val="21"/>
        </w:rPr>
        <w:t>第一篇  采购邀请书</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_Toc1061245767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2E1686B2">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"_Toc1532862797" </w:instrText>
      </w:r>
      <w:r>
        <w:fldChar w:fldCharType="separate"/>
      </w:r>
      <w:r>
        <w:rPr>
          <w:rFonts w:hint="eastAsia" w:ascii="方正仿宋_GBK" w:hAnsi="方正仿宋_GBK" w:eastAsia="方正仿宋_GBK" w:cs="方正仿宋_GBK"/>
          <w:szCs w:val="21"/>
        </w:rPr>
        <w:t>一、竞争性磋商内容</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_Toc1532862797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791CE892">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"_Toc350394257" </w:instrText>
      </w:r>
      <w:r>
        <w:fldChar w:fldCharType="separate"/>
      </w:r>
      <w:r>
        <w:rPr>
          <w:rFonts w:hint="eastAsia" w:ascii="方正仿宋_GBK" w:hAnsi="方正仿宋_GBK" w:eastAsia="方正仿宋_GBK" w:cs="方正仿宋_GBK"/>
          <w:szCs w:val="21"/>
        </w:rPr>
        <w:t>二、资金来源</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_Toc350394257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6A0A846">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"_Toc1704685267" </w:instrText>
      </w:r>
      <w:r>
        <w:fldChar w:fldCharType="separate"/>
      </w:r>
      <w:r>
        <w:rPr>
          <w:rFonts w:hint="eastAsia" w:ascii="方正仿宋_GBK" w:hAnsi="方正仿宋_GBK" w:eastAsia="方正仿宋_GBK" w:cs="方正仿宋_GBK"/>
          <w:szCs w:val="21"/>
        </w:rPr>
        <w:t>三、供应商资格条件</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_Toc1704685267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6694D08B">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"_Toc1834803618" </w:instrText>
      </w:r>
      <w:r>
        <w:fldChar w:fldCharType="separate"/>
      </w:r>
      <w:r>
        <w:rPr>
          <w:rFonts w:hint="eastAsia" w:ascii="方正仿宋_GBK" w:hAnsi="方正仿宋_GBK" w:eastAsia="方正仿宋_GBK" w:cs="方正仿宋_GBK"/>
          <w:szCs w:val="21"/>
        </w:rPr>
        <w:t>四、磋商有关说明</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_Toc1834803618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C0A2154">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"_Toc1515934405" </w:instrText>
      </w:r>
      <w:r>
        <w:fldChar w:fldCharType="separate"/>
      </w:r>
      <w:r>
        <w:rPr>
          <w:rFonts w:hint="eastAsia" w:ascii="方正仿宋_GBK" w:hAnsi="方正仿宋_GBK" w:eastAsia="方正仿宋_GBK" w:cs="方正仿宋_GBK"/>
          <w:szCs w:val="21"/>
        </w:rPr>
        <w:t>五、采购项目需落实的政府采购政策</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_Toc1515934405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14A423D6">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"_Toc1658471972" </w:instrText>
      </w:r>
      <w:r>
        <w:fldChar w:fldCharType="separate"/>
      </w:r>
      <w:r>
        <w:rPr>
          <w:rFonts w:hint="eastAsia" w:ascii="方正仿宋_GBK" w:hAnsi="方正仿宋_GBK" w:eastAsia="方正仿宋_GBK" w:cs="方正仿宋_GBK"/>
          <w:szCs w:val="21"/>
        </w:rPr>
        <w:t>六、其它有关规定</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_Toc1658471972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1F563734">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"_Toc972399677" </w:instrText>
      </w:r>
      <w:r>
        <w:fldChar w:fldCharType="separate"/>
      </w:r>
      <w:r>
        <w:rPr>
          <w:rFonts w:hint="eastAsia" w:ascii="方正仿宋_GBK" w:hAnsi="方正仿宋_GBK" w:eastAsia="方正仿宋_GBK" w:cs="方正仿宋_GBK"/>
          <w:szCs w:val="21"/>
        </w:rPr>
        <w:t>七、联系方式</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_Toc972399677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234E976">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"_Toc1055138618" </w:instrText>
      </w:r>
      <w:r>
        <w:fldChar w:fldCharType="separate"/>
      </w:r>
      <w:r>
        <w:rPr>
          <w:rFonts w:hint="eastAsia" w:ascii="方正仿宋_GBK" w:hAnsi="方正仿宋_GBK" w:eastAsia="方正仿宋_GBK" w:cs="方正仿宋_GBK"/>
          <w:szCs w:val="21"/>
        </w:rPr>
        <w:t>第二篇 项目技术（质量）需求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_Toc1055138618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A7DF204">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"_Toc599187719" </w:instrText>
      </w:r>
      <w:r>
        <w:fldChar w:fldCharType="separate"/>
      </w:r>
      <w:r>
        <w:rPr>
          <w:rFonts w:hint="eastAsia" w:ascii="方正仿宋_GBK" w:hAnsi="方正仿宋_GBK" w:eastAsia="方正仿宋_GBK" w:cs="方正仿宋_GBK"/>
          <w:szCs w:val="21"/>
        </w:rPr>
        <w:t>一、项目基本概况介绍</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_Toc599187719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1C44C47">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"_Toc777969967" </w:instrText>
      </w:r>
      <w:r>
        <w:fldChar w:fldCharType="separate"/>
      </w:r>
      <w:r>
        <w:rPr>
          <w:rFonts w:hint="eastAsia" w:ascii="方正仿宋_GBK" w:hAnsi="方正仿宋_GBK" w:eastAsia="方正仿宋_GBK" w:cs="方正仿宋_GBK"/>
          <w:szCs w:val="21"/>
        </w:rPr>
        <w:t>二、服务范围</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_Toc777969967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780EAA80">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"_Toc1931679169" </w:instrText>
      </w:r>
      <w:r>
        <w:fldChar w:fldCharType="separate"/>
      </w:r>
      <w:r>
        <w:rPr>
          <w:rFonts w:hint="eastAsia" w:ascii="方正仿宋_GBK" w:hAnsi="方正仿宋_GBK" w:eastAsia="方正仿宋_GBK" w:cs="方正仿宋_GBK"/>
          <w:szCs w:val="21"/>
        </w:rPr>
        <w:t>三、技术（质量）需求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_Toc1931679169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878772D">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"_Toc2121179378" </w:instrText>
      </w:r>
      <w:r>
        <w:fldChar w:fldCharType="separate"/>
      </w:r>
      <w:r>
        <w:rPr>
          <w:rFonts w:hint="eastAsia" w:ascii="方正仿宋_GBK" w:hAnsi="方正仿宋_GBK" w:eastAsia="方正仿宋_GBK" w:cs="方正仿宋_GBK"/>
          <w:szCs w:val="21"/>
        </w:rPr>
        <w:t>第三篇  项目商务需求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_Toc2121179378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- 7 -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01DCDB2F">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"_Toc957013962" </w:instrText>
      </w:r>
      <w:r>
        <w:fldChar w:fldCharType="separate"/>
      </w:r>
      <w:r>
        <w:rPr>
          <w:rFonts w:hint="eastAsia" w:ascii="方正仿宋_GBK" w:hAnsi="方正仿宋_GBK" w:eastAsia="方正仿宋_GBK" w:cs="方正仿宋_GBK"/>
          <w:szCs w:val="21"/>
        </w:rPr>
        <w:t>一、服务期、地点及考核方式</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_Toc957013962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- 7 -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9410E4A">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"_Toc910902170" </w:instrText>
      </w:r>
      <w:r>
        <w:fldChar w:fldCharType="separate"/>
      </w:r>
      <w:r>
        <w:rPr>
          <w:rFonts w:hint="eastAsia" w:ascii="方正仿宋_GBK" w:hAnsi="方正仿宋_GBK" w:eastAsia="方正仿宋_GBK" w:cs="方正仿宋_GBK"/>
          <w:szCs w:val="21"/>
        </w:rPr>
        <w:t>※二、报价要求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_Toc910902170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8C54822">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"_Toc874208052" </w:instrText>
      </w:r>
      <w:r>
        <w:fldChar w:fldCharType="separate"/>
      </w:r>
      <w:r>
        <w:rPr>
          <w:rFonts w:hint="eastAsia" w:ascii="方正仿宋_GBK" w:hAnsi="方正仿宋_GBK" w:eastAsia="方正仿宋_GBK" w:cs="方正仿宋_GBK"/>
          <w:szCs w:val="21"/>
        </w:rPr>
        <w:t>三、付款方式</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_Toc874208052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A8D4F44">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"_Toc1949124931" </w:instrText>
      </w:r>
      <w:r>
        <w:fldChar w:fldCharType="separate"/>
      </w:r>
      <w:r>
        <w:rPr>
          <w:rFonts w:hint="eastAsia" w:ascii="方正仿宋_GBK" w:hAnsi="方正仿宋_GBK" w:eastAsia="方正仿宋_GBK" w:cs="方正仿宋_GBK"/>
          <w:szCs w:val="21"/>
        </w:rPr>
        <w:t>四、知识产权</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_Toc1949124931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2918ABC">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"_Toc696531659" </w:instrText>
      </w:r>
      <w:r>
        <w:fldChar w:fldCharType="separate"/>
      </w:r>
      <w:r>
        <w:rPr>
          <w:rFonts w:hint="eastAsia" w:ascii="方正仿宋_GBK" w:hAnsi="方正仿宋_GBK" w:eastAsia="方正仿宋_GBK" w:cs="方正仿宋_GBK"/>
          <w:szCs w:val="21"/>
        </w:rPr>
        <w:t>五、其他商务要求内容</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_Toc696531659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907FC94">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"_Toc161983727" </w:instrText>
      </w:r>
      <w:r>
        <w:fldChar w:fldCharType="separate"/>
      </w:r>
      <w:r>
        <w:rPr>
          <w:rFonts w:hint="eastAsia" w:ascii="方正仿宋_GBK" w:hAnsi="方正仿宋_GBK" w:eastAsia="方正仿宋_GBK" w:cs="方正仿宋_GBK"/>
          <w:szCs w:val="21"/>
        </w:rPr>
        <w:t>第四篇  磋商程序及方法、评审标准、无效响应和采购终止</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_Toc161983727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- 10 -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4EE14EF7">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"_Toc1651756697" </w:instrText>
      </w:r>
      <w:r>
        <w:fldChar w:fldCharType="separate"/>
      </w:r>
      <w:r>
        <w:rPr>
          <w:rFonts w:hint="eastAsia" w:ascii="方正仿宋_GBK" w:hAnsi="方正仿宋_GBK" w:eastAsia="方正仿宋_GBK" w:cs="方正仿宋_GBK"/>
          <w:szCs w:val="21"/>
        </w:rPr>
        <w:t>一、磋商程序及方法</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_Toc1651756697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- 10 -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40CF26E0">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"_Toc599443421" </w:instrText>
      </w:r>
      <w:r>
        <w:fldChar w:fldCharType="separate"/>
      </w:r>
      <w:r>
        <w:rPr>
          <w:rFonts w:hint="eastAsia" w:ascii="方正仿宋_GBK" w:hAnsi="方正仿宋_GBK" w:eastAsia="方正仿宋_GBK" w:cs="方正仿宋_GBK"/>
          <w:szCs w:val="21"/>
        </w:rPr>
        <w:t>二、评审标准</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_Toc599443421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- 12 -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22B70643">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"_Toc538924049" </w:instrText>
      </w:r>
      <w:r>
        <w:fldChar w:fldCharType="separate"/>
      </w:r>
      <w:r>
        <w:rPr>
          <w:rFonts w:hint="eastAsia" w:ascii="方正仿宋_GBK" w:hAnsi="方正仿宋_GBK" w:eastAsia="方正仿宋_GBK" w:cs="方正仿宋_GBK"/>
          <w:szCs w:val="21"/>
        </w:rPr>
        <w:t>三、无效响应</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_Toc538924049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26490BC2">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"_Toc1170227676" </w:instrText>
      </w:r>
      <w:r>
        <w:fldChar w:fldCharType="separate"/>
      </w:r>
      <w:r>
        <w:rPr>
          <w:rFonts w:hint="eastAsia" w:ascii="方正仿宋_GBK" w:hAnsi="方正仿宋_GBK" w:eastAsia="方正仿宋_GBK" w:cs="方正仿宋_GBK"/>
          <w:szCs w:val="21"/>
        </w:rPr>
        <w:t>四、采购终止</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_Toc1170227676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71DB0322">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"_Toc736604950" </w:instrText>
      </w:r>
      <w:r>
        <w:fldChar w:fldCharType="separate"/>
      </w:r>
      <w:r>
        <w:rPr>
          <w:rFonts w:hint="eastAsia" w:ascii="方正仿宋_GBK" w:hAnsi="方正仿宋_GBK" w:eastAsia="方正仿宋_GBK" w:cs="方正仿宋_GBK"/>
          <w:szCs w:val="21"/>
        </w:rPr>
        <w:t>第五篇  供应商须知</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_Toc736604950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- 15 -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7D689BFC">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"_Toc1902335998" </w:instrText>
      </w:r>
      <w:r>
        <w:fldChar w:fldCharType="separate"/>
      </w:r>
      <w:r>
        <w:rPr>
          <w:rFonts w:hint="eastAsia" w:ascii="方正仿宋_GBK" w:hAnsi="方正仿宋_GBK" w:eastAsia="方正仿宋_GBK" w:cs="方正仿宋_GBK"/>
          <w:szCs w:val="21"/>
        </w:rPr>
        <w:t>一、磋商费用</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_Toc1902335998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- 15 -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9289840">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"_Toc704278276" </w:instrText>
      </w:r>
      <w:r>
        <w:fldChar w:fldCharType="separate"/>
      </w:r>
      <w:r>
        <w:rPr>
          <w:rFonts w:hint="eastAsia" w:ascii="方正仿宋_GBK" w:hAnsi="方正仿宋_GBK" w:eastAsia="方正仿宋_GBK" w:cs="方正仿宋_GBK"/>
          <w:szCs w:val="21"/>
        </w:rPr>
        <w:t>二、竞争性磋商文件</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_Toc704278276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- 15 -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2A00B215">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"_Toc2012103841" </w:instrText>
      </w:r>
      <w:r>
        <w:fldChar w:fldCharType="separate"/>
      </w:r>
      <w:r>
        <w:rPr>
          <w:rFonts w:hint="eastAsia" w:ascii="方正仿宋_GBK" w:hAnsi="方正仿宋_GBK" w:eastAsia="方正仿宋_GBK" w:cs="方正仿宋_GBK"/>
          <w:szCs w:val="21"/>
        </w:rPr>
        <w:t>三、磋商要求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_Toc2012103841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- 15 -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7ECB86E">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"_Toc26349420" </w:instrText>
      </w:r>
      <w:r>
        <w:fldChar w:fldCharType="separate"/>
      </w:r>
      <w:r>
        <w:rPr>
          <w:rFonts w:hint="eastAsia" w:ascii="方正仿宋_GBK" w:hAnsi="方正仿宋_GBK" w:eastAsia="方正仿宋_GBK" w:cs="方正仿宋_GBK"/>
          <w:szCs w:val="21"/>
        </w:rPr>
        <w:t>四、成交供应商的确认和变更</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_Toc26349420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4D54504E">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"_Toc834515221" </w:instrText>
      </w:r>
      <w:r>
        <w:fldChar w:fldCharType="separate"/>
      </w:r>
      <w:r>
        <w:rPr>
          <w:rFonts w:hint="eastAsia" w:ascii="方正仿宋_GBK" w:hAnsi="方正仿宋_GBK" w:eastAsia="方正仿宋_GBK" w:cs="方正仿宋_GBK"/>
          <w:szCs w:val="21"/>
        </w:rPr>
        <w:t>五、成交通知</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_Toc834515221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5FEBD137">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"_Toc411876530" </w:instrText>
      </w:r>
      <w:r>
        <w:fldChar w:fldCharType="separate"/>
      </w:r>
      <w:r>
        <w:rPr>
          <w:rFonts w:hint="eastAsia" w:ascii="方正仿宋_GBK" w:hAnsi="方正仿宋_GBK" w:eastAsia="方正仿宋_GBK" w:cs="方正仿宋_GBK"/>
          <w:szCs w:val="21"/>
        </w:rPr>
        <w:t>六、关于质疑和投诉</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_Toc411876530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- 16 -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5E038D9">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"_Toc887922340" </w:instrText>
      </w:r>
      <w:r>
        <w:fldChar w:fldCharType="separate"/>
      </w:r>
      <w:r>
        <w:rPr>
          <w:rFonts w:hint="eastAsia" w:ascii="方正仿宋_GBK" w:hAnsi="方正仿宋_GBK" w:eastAsia="方正仿宋_GBK" w:cs="方正仿宋_GBK"/>
          <w:szCs w:val="21"/>
        </w:rPr>
        <w:t>七、签订合同</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_Toc887922340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60584FDB">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"_Toc1895760988" </w:instrText>
      </w:r>
      <w:r>
        <w:fldChar w:fldCharType="separate"/>
      </w:r>
      <w:r>
        <w:rPr>
          <w:rFonts w:hint="eastAsia" w:ascii="方正仿宋_GBK" w:hAnsi="方正仿宋_GBK" w:eastAsia="方正仿宋_GBK" w:cs="方正仿宋_GBK"/>
          <w:szCs w:val="21"/>
        </w:rPr>
        <w:t>八、项目验收</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_Toc1895760988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- 18 -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099BB558">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"_Toc1944739327" </w:instrText>
      </w:r>
      <w:r>
        <w:fldChar w:fldCharType="separate"/>
      </w:r>
      <w:r>
        <w:rPr>
          <w:rFonts w:hint="eastAsia" w:ascii="方正仿宋_GBK" w:hAnsi="方正仿宋_GBK" w:eastAsia="方正仿宋_GBK" w:cs="方正仿宋_GBK"/>
          <w:szCs w:val="21"/>
        </w:rPr>
        <w:t>第六篇  合同</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_Toc1944739327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- 19 -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097E4742">
      <w:pPr>
        <w:pStyle w:val="59"/>
        <w:tabs>
          <w:tab w:val="right" w:leader="dot" w:pos="9412"/>
        </w:tabs>
        <w:adjustRightInd w:val="0"/>
        <w:snapToGrid w:val="0"/>
        <w:rPr>
          <w:rFonts w:ascii="方正仿宋_GBK" w:hAnsi="方正仿宋_GBK" w:eastAsia="方正仿宋_GBK" w:cs="方正仿宋_GBK"/>
          <w:szCs w:val="21"/>
        </w:rPr>
      </w:pPr>
      <w:r>
        <w:fldChar w:fldCharType="begin"/>
      </w:r>
      <w:r>
        <w:instrText xml:space="preserve"> HYPERLINK \l "_Toc1238316597" </w:instrText>
      </w:r>
      <w:r>
        <w:fldChar w:fldCharType="separate"/>
      </w:r>
      <w:r>
        <w:rPr>
          <w:rFonts w:hint="eastAsia" w:ascii="方正仿宋_GBK" w:hAnsi="方正仿宋_GBK" w:eastAsia="方正仿宋_GBK" w:cs="方正仿宋_GBK"/>
          <w:szCs w:val="21"/>
        </w:rPr>
        <w:t>第七篇  响应文件编制要求</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_Toc1238316597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- 23 -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1D203473">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"_Toc1452962608" </w:instrText>
      </w:r>
      <w:r>
        <w:fldChar w:fldCharType="separate"/>
      </w:r>
      <w:r>
        <w:rPr>
          <w:rFonts w:hint="eastAsia" w:ascii="方正仿宋_GBK" w:hAnsi="方正仿宋_GBK" w:eastAsia="方正仿宋_GBK" w:cs="方正仿宋_GBK"/>
          <w:szCs w:val="21"/>
        </w:rPr>
        <w:t>一、经济部分</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_Toc1452962608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- 24 -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C4A73DA">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"_Toc1632059297" </w:instrText>
      </w:r>
      <w:r>
        <w:fldChar w:fldCharType="separate"/>
      </w:r>
      <w:r>
        <w:rPr>
          <w:rFonts w:hint="eastAsia" w:ascii="方正仿宋_GBK" w:hAnsi="方正仿宋_GBK" w:eastAsia="方正仿宋_GBK" w:cs="方正仿宋_GBK"/>
          <w:szCs w:val="21"/>
        </w:rPr>
        <w:t>二、技术（质量）部分</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_Toc1632059297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- 25 -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40584779">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"_Toc606767355" </w:instrText>
      </w:r>
      <w:r>
        <w:fldChar w:fldCharType="separate"/>
      </w:r>
      <w:r>
        <w:rPr>
          <w:rFonts w:hint="eastAsia" w:ascii="方正仿宋_GBK" w:hAnsi="方正仿宋_GBK" w:eastAsia="方正仿宋_GBK" w:cs="方正仿宋_GBK"/>
          <w:szCs w:val="21"/>
        </w:rPr>
        <w:t>三、商务部分</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_Toc606767355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- 27 -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75914EB5">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"_Toc963950932" </w:instrText>
      </w:r>
      <w:r>
        <w:fldChar w:fldCharType="separate"/>
      </w:r>
      <w:r>
        <w:rPr>
          <w:rFonts w:hint="eastAsia" w:ascii="方正仿宋_GBK" w:hAnsi="方正仿宋_GBK" w:eastAsia="方正仿宋_GBK" w:cs="方正仿宋_GBK"/>
          <w:szCs w:val="21"/>
        </w:rPr>
        <w:t>四、资格条件及其他</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_Toc963950932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- 29 -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35907DEF">
      <w:pPr>
        <w:pStyle w:val="74"/>
        <w:tabs>
          <w:tab w:val="right" w:leader="dot" w:pos="9412"/>
        </w:tabs>
        <w:adjustRightInd w:val="0"/>
        <w:snapToGrid w:val="0"/>
        <w:ind w:left="0" w:leftChars="0"/>
        <w:rPr>
          <w:rFonts w:ascii="方正仿宋_GBK" w:hAnsi="方正仿宋_GBK" w:eastAsia="方正仿宋_GBK" w:cs="方正仿宋_GBK"/>
          <w:szCs w:val="21"/>
        </w:rPr>
      </w:pPr>
      <w:r>
        <w:fldChar w:fldCharType="begin"/>
      </w:r>
      <w:r>
        <w:instrText xml:space="preserve"> HYPERLINK \l "_Toc456975326" </w:instrText>
      </w:r>
      <w:r>
        <w:fldChar w:fldCharType="separate"/>
      </w:r>
      <w:r>
        <w:rPr>
          <w:rFonts w:hint="eastAsia" w:ascii="方正仿宋_GBK" w:hAnsi="方正仿宋_GBK" w:eastAsia="方正仿宋_GBK" w:cs="方正仿宋_GBK"/>
          <w:szCs w:val="21"/>
        </w:rPr>
        <w:t>五、其他资料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PAGEREF _Toc456975326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- 34 -</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fldChar w:fldCharType="end"/>
      </w:r>
    </w:p>
    <w:p w14:paraId="13585E60">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Cs w:val="21"/>
        </w:rPr>
        <w:fldChar w:fldCharType="end"/>
      </w:r>
    </w:p>
    <w:p w14:paraId="5321B9D9">
      <w:pPr>
        <w:adjustRightInd w:val="0"/>
        <w:snapToGrid w:val="0"/>
        <w:spacing w:line="400" w:lineRule="exact"/>
        <w:jc w:val="center"/>
        <w:rPr>
          <w:rFonts w:ascii="Times New Roman" w:hAnsi="Times New Roman" w:eastAsia="方正仿宋_GBK" w:cs="Times New Roman"/>
          <w:szCs w:val="21"/>
        </w:rPr>
      </w:pPr>
    </w:p>
    <w:p w14:paraId="1F43FF8D">
      <w:pPr>
        <w:adjustRightInd w:val="0"/>
        <w:snapToGrid w:val="0"/>
        <w:spacing w:line="400" w:lineRule="exact"/>
        <w:jc w:val="center"/>
        <w:rPr>
          <w:rFonts w:ascii="Times New Roman" w:hAnsi="Times New Roman" w:eastAsia="方正仿宋_GBK" w:cs="Times New Roman"/>
          <w:szCs w:val="21"/>
        </w:rPr>
      </w:pPr>
    </w:p>
    <w:p w14:paraId="3962D491">
      <w:pPr>
        <w:adjustRightInd w:val="0"/>
        <w:snapToGrid w:val="0"/>
        <w:spacing w:line="400" w:lineRule="exact"/>
        <w:jc w:val="center"/>
        <w:rPr>
          <w:rFonts w:ascii="Times New Roman" w:hAnsi="Times New Roman" w:eastAsia="方正仿宋_GBK" w:cs="Times New Roman"/>
          <w:szCs w:val="21"/>
        </w:rPr>
      </w:pPr>
    </w:p>
    <w:p w14:paraId="7B60B903">
      <w:pPr>
        <w:adjustRightInd w:val="0"/>
        <w:snapToGrid w:val="0"/>
        <w:spacing w:line="400" w:lineRule="exact"/>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第一章  采购邀请书</w:t>
      </w:r>
    </w:p>
    <w:p w14:paraId="2B8825EC">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为了公开、公平、公正、高效地完成</w:t>
      </w:r>
      <w:r>
        <w:rPr>
          <w:rFonts w:hint="eastAsia" w:ascii="方正仿宋_GBK" w:hAnsi="方正仿宋_GBK" w:eastAsia="方正仿宋_GBK" w:cs="方正仿宋_GBK"/>
          <w:sz w:val="24"/>
        </w:rPr>
        <w:t>重庆市渝北职业教育中心</w:t>
      </w:r>
      <w:r>
        <w:rPr>
          <w:rFonts w:hint="eastAsia" w:ascii="方正仿宋_GBK" w:hAnsi="方正仿宋_GBK" w:eastAsia="方正仿宋_GBK" w:cs="方正仿宋_GBK"/>
          <w:color w:val="000000"/>
          <w:sz w:val="24"/>
        </w:rPr>
        <w:t>分散采购项目的招标采购工作，根据《中华人民共和国政府采购法》、《中华人民共和国政府采购法实施条例》等有关规定我校特对分散采购代理机构服务项目进行竞争性磋商采购。欢迎有资格的供应商前来参与磋商。</w:t>
      </w:r>
    </w:p>
    <w:p w14:paraId="2C14EDAF">
      <w:pPr>
        <w:adjustRightInd w:val="0"/>
        <w:snapToGrid w:val="0"/>
        <w:spacing w:line="40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一、采购内容</w:t>
      </w:r>
    </w:p>
    <w:tbl>
      <w:tblPr>
        <w:tblStyle w:val="88"/>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106"/>
        <w:gridCol w:w="2409"/>
        <w:gridCol w:w="1317"/>
      </w:tblGrid>
      <w:tr w14:paraId="1166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063" w:type="dxa"/>
            <w:vAlign w:val="center"/>
          </w:tcPr>
          <w:p w14:paraId="51AB4F7B">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p>
        </w:tc>
        <w:tc>
          <w:tcPr>
            <w:tcW w:w="2106" w:type="dxa"/>
            <w:vAlign w:val="center"/>
          </w:tcPr>
          <w:p w14:paraId="4F86DE44">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服务费折扣比例限价</w:t>
            </w:r>
          </w:p>
        </w:tc>
        <w:tc>
          <w:tcPr>
            <w:tcW w:w="2409" w:type="dxa"/>
            <w:vAlign w:val="center"/>
          </w:tcPr>
          <w:p w14:paraId="69B88A2B">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成交供应商</w:t>
            </w:r>
          </w:p>
          <w:p w14:paraId="13912DDC">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数量（名）</w:t>
            </w:r>
          </w:p>
        </w:tc>
        <w:tc>
          <w:tcPr>
            <w:tcW w:w="1317" w:type="dxa"/>
            <w:vAlign w:val="center"/>
          </w:tcPr>
          <w:p w14:paraId="56F24044">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w:t>
            </w:r>
          </w:p>
        </w:tc>
      </w:tr>
      <w:tr w14:paraId="7A98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063" w:type="dxa"/>
            <w:vAlign w:val="center"/>
          </w:tcPr>
          <w:p w14:paraId="42609694">
            <w:pPr>
              <w:widowControl/>
              <w:adjustRightInd w:val="0"/>
              <w:snapToGrid w:val="0"/>
              <w:spacing w:line="400" w:lineRule="exact"/>
              <w:jc w:val="center"/>
              <w:rPr>
                <w:rFonts w:ascii="方正仿宋_GBK" w:hAnsi="方正仿宋_GBK" w:eastAsia="方正仿宋_GBK" w:cs="方正仿宋_GBK"/>
                <w:kern w:val="0"/>
                <w:sz w:val="24"/>
              </w:rPr>
            </w:pPr>
            <w:bookmarkStart w:id="0" w:name="_Hlk344477914"/>
            <w:r>
              <w:rPr>
                <w:rFonts w:hint="eastAsia" w:ascii="方正仿宋_GBK" w:hAnsi="方正仿宋_GBK" w:eastAsia="方正仿宋_GBK" w:cs="方正仿宋_GBK"/>
                <w:sz w:val="24"/>
              </w:rPr>
              <w:t>重庆市渝北职业教育中心分散采购代理服务</w:t>
            </w:r>
          </w:p>
        </w:tc>
        <w:tc>
          <w:tcPr>
            <w:tcW w:w="2106" w:type="dxa"/>
            <w:vAlign w:val="center"/>
          </w:tcPr>
          <w:p w14:paraId="4B055299">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70%</w:t>
            </w:r>
          </w:p>
        </w:tc>
        <w:tc>
          <w:tcPr>
            <w:tcW w:w="2409" w:type="dxa"/>
            <w:vAlign w:val="center"/>
          </w:tcPr>
          <w:p w14:paraId="6F3E0FDA">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3</w:t>
            </w:r>
          </w:p>
        </w:tc>
        <w:tc>
          <w:tcPr>
            <w:tcW w:w="1317" w:type="dxa"/>
            <w:vAlign w:val="center"/>
          </w:tcPr>
          <w:p w14:paraId="46C454C6">
            <w:pPr>
              <w:widowControl/>
              <w:adjustRightInd w:val="0"/>
              <w:snapToGrid w:val="0"/>
              <w:spacing w:line="400" w:lineRule="exact"/>
              <w:jc w:val="center"/>
              <w:rPr>
                <w:rStyle w:val="236"/>
                <w:rFonts w:ascii="方正仿宋_GBK" w:hAnsi="方正仿宋_GBK" w:eastAsia="方正仿宋_GBK" w:cs="方正仿宋_GBK"/>
                <w:b w:val="0"/>
                <w:bCs w:val="0"/>
                <w:color w:val="auto"/>
                <w:sz w:val="24"/>
                <w:szCs w:val="24"/>
                <w:shd w:val="clear" w:color="auto" w:fill="FFFFFF"/>
              </w:rPr>
            </w:pPr>
            <w:r>
              <w:rPr>
                <w:rStyle w:val="236"/>
                <w:rFonts w:hint="eastAsia" w:ascii="方正仿宋_GBK" w:hAnsi="方正仿宋_GBK" w:eastAsia="方正仿宋_GBK" w:cs="方正仿宋_GBK"/>
                <w:b w:val="0"/>
                <w:bCs w:val="0"/>
                <w:color w:val="auto"/>
                <w:sz w:val="24"/>
                <w:szCs w:val="24"/>
                <w:shd w:val="clear" w:color="auto" w:fill="FFFFFF"/>
              </w:rPr>
              <w:t>商务服</w:t>
            </w:r>
          </w:p>
          <w:p w14:paraId="502ECA78">
            <w:pPr>
              <w:widowControl/>
              <w:adjustRightInd w:val="0"/>
              <w:snapToGrid w:val="0"/>
              <w:spacing w:line="400" w:lineRule="exact"/>
              <w:jc w:val="center"/>
              <w:rPr>
                <w:rFonts w:ascii="方正仿宋_GBK" w:hAnsi="方正仿宋_GBK" w:eastAsia="方正仿宋_GBK" w:cs="方正仿宋_GBK"/>
                <w:kern w:val="0"/>
                <w:sz w:val="24"/>
              </w:rPr>
            </w:pPr>
            <w:r>
              <w:rPr>
                <w:rStyle w:val="236"/>
                <w:rFonts w:hint="eastAsia" w:ascii="方正仿宋_GBK" w:hAnsi="方正仿宋_GBK" w:eastAsia="方正仿宋_GBK" w:cs="方正仿宋_GBK"/>
                <w:b w:val="0"/>
                <w:bCs w:val="0"/>
                <w:color w:val="auto"/>
                <w:sz w:val="24"/>
                <w:szCs w:val="24"/>
                <w:shd w:val="clear" w:color="auto" w:fill="FFFFFF"/>
              </w:rPr>
              <w:t>务业</w:t>
            </w:r>
          </w:p>
        </w:tc>
      </w:tr>
      <w:bookmarkEnd w:id="0"/>
    </w:tbl>
    <w:p w14:paraId="7AFEECAB">
      <w:pPr>
        <w:pStyle w:val="5"/>
        <w:adjustRightInd w:val="0"/>
        <w:snapToGrid w:val="0"/>
        <w:spacing w:before="0" w:after="0" w:line="400" w:lineRule="exact"/>
        <w:ind w:firstLine="482" w:firstLineChars="200"/>
        <w:jc w:val="left"/>
        <w:rPr>
          <w:rFonts w:ascii="方正仿宋_GBK" w:hAnsi="方正仿宋_GBK" w:eastAsia="方正仿宋_GBK" w:cs="方正仿宋_GBK"/>
          <w:bCs/>
          <w:sz w:val="24"/>
        </w:rPr>
      </w:pPr>
      <w:bookmarkStart w:id="1" w:name="_Toc19770"/>
      <w:bookmarkStart w:id="2" w:name="_Toc32357"/>
      <w:bookmarkStart w:id="3" w:name="_Toc76462318"/>
      <w:bookmarkStart w:id="4" w:name="_Toc31191"/>
      <w:bookmarkStart w:id="5" w:name="_Toc9682"/>
      <w:bookmarkStart w:id="6" w:name="_Toc16022"/>
      <w:bookmarkStart w:id="7" w:name="_Toc8515"/>
      <w:bookmarkStart w:id="8" w:name="_Toc350394257"/>
      <w:bookmarkStart w:id="9" w:name="_Toc28859"/>
      <w:bookmarkStart w:id="10" w:name="_Toc10518"/>
      <w:bookmarkStart w:id="11" w:name="_Toc14168"/>
      <w:bookmarkStart w:id="12" w:name="_Toc19968"/>
      <w:bookmarkStart w:id="13" w:name="_Toc25097"/>
      <w:bookmarkStart w:id="14" w:name="_Toc20737"/>
      <w:bookmarkStart w:id="15" w:name="_Toc18800"/>
      <w:bookmarkStart w:id="16" w:name="_Toc29488"/>
      <w:bookmarkStart w:id="17" w:name="_Toc29850"/>
      <w:bookmarkStart w:id="18" w:name="_Toc16915"/>
      <w:r>
        <w:rPr>
          <w:rFonts w:hint="eastAsia" w:ascii="方正仿宋_GBK" w:hAnsi="方正仿宋_GBK" w:eastAsia="方正仿宋_GBK" w:cs="方正仿宋_GBK"/>
          <w:bCs/>
          <w:sz w:val="24"/>
        </w:rPr>
        <w:t>二、资金来源</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80DE529">
      <w:pPr>
        <w:keepNext/>
        <w:keepLines/>
        <w:adjustRightInd w:val="0"/>
        <w:snapToGrid w:val="0"/>
        <w:spacing w:line="400" w:lineRule="exact"/>
        <w:ind w:firstLine="480" w:firstLineChars="20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本项目采购人不支付成交供应商任何费用。成交供应商在与采购人合同期内代理的采购项目，由具体项目的成交供应商缴纳采购代理服务费。</w:t>
      </w:r>
    </w:p>
    <w:p w14:paraId="1B7C4A4B">
      <w:pPr>
        <w:adjustRightInd w:val="0"/>
        <w:snapToGrid w:val="0"/>
        <w:spacing w:line="40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三、供应商资格条件</w:t>
      </w:r>
    </w:p>
    <w:p w14:paraId="4275B45F">
      <w:pPr>
        <w:adjustRightInd w:val="0"/>
        <w:snapToGrid w:val="0"/>
        <w:spacing w:line="400" w:lineRule="exact"/>
        <w:ind w:firstLine="480" w:firstLineChars="200"/>
        <w:rPr>
          <w:rFonts w:ascii="方正仿宋_GBK" w:hAnsi="方正仿宋_GBK" w:eastAsia="方正仿宋_GBK" w:cs="方正仿宋_GBK"/>
          <w:color w:val="000000"/>
          <w:sz w:val="24"/>
        </w:rPr>
      </w:pPr>
      <w:bookmarkStart w:id="19" w:name="_Toc495587755"/>
      <w:r>
        <w:rPr>
          <w:rFonts w:hint="eastAsia" w:ascii="方正仿宋_GBK" w:hAnsi="方正仿宋_GBK" w:eastAsia="方正仿宋_GBK" w:cs="方正仿宋_GBK"/>
          <w:color w:val="000000"/>
          <w:sz w:val="24"/>
        </w:rPr>
        <w:t>供应商是指向采购人提供服务的法人、其他组织或者自然人。合格的供应商应符合政府采购法第二十二条规定的基本资格条件，同时符合根据该项目特点设置的特定资格条件。</w:t>
      </w:r>
    </w:p>
    <w:p w14:paraId="106E65B9">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（一）基本资格条件</w:t>
      </w:r>
    </w:p>
    <w:p w14:paraId="7FF8EC93">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1.具有独立承担民事责任的能力；</w:t>
      </w:r>
    </w:p>
    <w:p w14:paraId="4A0AA684">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2.具有良好的商业信誉和健全的财务会计制度；</w:t>
      </w:r>
    </w:p>
    <w:p w14:paraId="00B32881">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3.具有履行合同所必需的设备和专业技术能力；</w:t>
      </w:r>
    </w:p>
    <w:p w14:paraId="07FA534E">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4.有依法缴纳税收的良好记录；</w:t>
      </w:r>
    </w:p>
    <w:p w14:paraId="7C2C9A2D">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5.参加政府采购活动前三年内，在经营活动中没有重大违法记录；</w:t>
      </w:r>
    </w:p>
    <w:p w14:paraId="22F2BC66">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6.法律、行政法规规定的其他条件。</w:t>
      </w:r>
    </w:p>
    <w:p w14:paraId="1E23C2A5">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（二）特定资格条件</w:t>
      </w:r>
    </w:p>
    <w:p w14:paraId="4E1C9B5F">
      <w:pPr>
        <w:pStyle w:val="6"/>
        <w:adjustRightInd w:val="0"/>
        <w:snapToGrid w:val="0"/>
        <w:spacing w:before="0" w:after="0" w:line="400" w:lineRule="exact"/>
        <w:ind w:firstLine="480" w:firstLineChars="200"/>
        <w:rPr>
          <w:rFonts w:ascii="方正仿宋_GBK" w:hAnsi="方正仿宋_GBK" w:eastAsia="方正仿宋_GBK" w:cs="方正仿宋_GBK"/>
          <w:b w:val="0"/>
          <w:color w:val="000000"/>
          <w:sz w:val="24"/>
        </w:rPr>
      </w:pPr>
      <w:r>
        <w:rPr>
          <w:rFonts w:hint="eastAsia" w:ascii="方正仿宋_GBK" w:hAnsi="方正仿宋_GBK" w:eastAsia="方正仿宋_GBK" w:cs="方正仿宋_GBK"/>
          <w:b w:val="0"/>
          <w:sz w:val="24"/>
        </w:rPr>
        <w:t>本项目的特定资格要求：根据重庆市政府采购管理规定，供应商应进入重庆市政府采购代理机构库（提供重庆市政府采购网代理机构库截图并加盖供应商公章）。</w:t>
      </w:r>
    </w:p>
    <w:p w14:paraId="4D414F6B">
      <w:pPr>
        <w:adjustRightInd w:val="0"/>
        <w:snapToGrid w:val="0"/>
        <w:spacing w:line="40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四、磋商有关说明</w:t>
      </w:r>
      <w:bookmarkEnd w:id="19"/>
    </w:p>
    <w:p w14:paraId="1DFE33C0">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（一）凡有意参加磋商的供应商，请到“行采家”（www.gec123.com）下载本项目磋商文件以及补遗文件等开标前公布的所有项目资料，无论供应商领取或下载与否，均视为已知晓所有采购内容。</w:t>
      </w:r>
    </w:p>
    <w:p w14:paraId="6A52E7A6">
      <w:pPr>
        <w:adjustRightInd w:val="0"/>
        <w:snapToGrid w:val="0"/>
        <w:spacing w:line="400" w:lineRule="exact"/>
        <w:ind w:firstLine="480" w:firstLineChars="200"/>
        <w:rPr>
          <w:rFonts w:ascii="方正仿宋_GBK" w:hAnsi="方正仿宋_GBK" w:eastAsia="方正仿宋_GBK" w:cs="方正仿宋_GBK"/>
          <w:color w:val="000000"/>
          <w:sz w:val="24"/>
          <w:highlight w:val="none"/>
          <w:shd w:val="clear" w:color="auto" w:fill="auto"/>
        </w:rPr>
      </w:pPr>
      <w:r>
        <w:rPr>
          <w:rFonts w:hint="eastAsia" w:ascii="方正仿宋_GBK" w:hAnsi="方正仿宋_GBK" w:eastAsia="方正仿宋_GBK" w:cs="方正仿宋_GBK"/>
          <w:color w:val="000000"/>
          <w:sz w:val="24"/>
          <w:highlight w:val="none"/>
          <w:shd w:val="clear" w:color="auto" w:fill="auto"/>
        </w:rPr>
        <w:t>（二）采购文件公告期限：2025年</w:t>
      </w:r>
      <w:r>
        <w:rPr>
          <w:rFonts w:hint="eastAsia" w:ascii="方正仿宋_GBK" w:hAnsi="方正仿宋_GBK" w:eastAsia="方正仿宋_GBK" w:cs="方正仿宋_GBK"/>
          <w:color w:val="000000"/>
          <w:sz w:val="24"/>
          <w:highlight w:val="none"/>
          <w:shd w:val="clear" w:color="auto" w:fill="auto"/>
          <w:lang w:val="en-US" w:eastAsia="zh-CN"/>
        </w:rPr>
        <w:t>7</w:t>
      </w:r>
      <w:r>
        <w:rPr>
          <w:rFonts w:hint="eastAsia" w:ascii="方正仿宋_GBK" w:hAnsi="方正仿宋_GBK" w:eastAsia="方正仿宋_GBK" w:cs="方正仿宋_GBK"/>
          <w:color w:val="000000"/>
          <w:sz w:val="24"/>
          <w:highlight w:val="none"/>
          <w:shd w:val="clear" w:color="auto" w:fill="auto"/>
        </w:rPr>
        <w:t>月</w:t>
      </w:r>
      <w:r>
        <w:rPr>
          <w:rFonts w:hint="eastAsia" w:ascii="方正仿宋_GBK" w:hAnsi="方正仿宋_GBK" w:eastAsia="方正仿宋_GBK" w:cs="方正仿宋_GBK"/>
          <w:color w:val="000000"/>
          <w:sz w:val="24"/>
          <w:highlight w:val="none"/>
          <w:shd w:val="clear" w:color="auto" w:fill="auto"/>
          <w:lang w:val="en-US" w:eastAsia="zh-CN"/>
        </w:rPr>
        <w:t>28</w:t>
      </w:r>
      <w:r>
        <w:rPr>
          <w:rFonts w:hint="eastAsia" w:ascii="方正仿宋_GBK" w:hAnsi="方正仿宋_GBK" w:eastAsia="方正仿宋_GBK" w:cs="方正仿宋_GBK"/>
          <w:color w:val="000000"/>
          <w:sz w:val="24"/>
          <w:highlight w:val="none"/>
          <w:shd w:val="clear" w:color="auto" w:fill="auto"/>
        </w:rPr>
        <w:t>日-2025年</w:t>
      </w:r>
      <w:r>
        <w:rPr>
          <w:rFonts w:hint="eastAsia" w:ascii="方正仿宋_GBK" w:hAnsi="方正仿宋_GBK" w:eastAsia="方正仿宋_GBK" w:cs="方正仿宋_GBK"/>
          <w:color w:val="000000"/>
          <w:sz w:val="24"/>
          <w:highlight w:val="none"/>
          <w:shd w:val="clear" w:color="auto" w:fill="auto"/>
          <w:lang w:val="en-US" w:eastAsia="zh-CN"/>
        </w:rPr>
        <w:t>8</w:t>
      </w:r>
      <w:r>
        <w:rPr>
          <w:rFonts w:hint="eastAsia" w:ascii="方正仿宋_GBK" w:hAnsi="方正仿宋_GBK" w:eastAsia="方正仿宋_GBK" w:cs="方正仿宋_GBK"/>
          <w:color w:val="000000"/>
          <w:sz w:val="24"/>
          <w:highlight w:val="none"/>
          <w:shd w:val="clear" w:color="auto" w:fill="auto"/>
        </w:rPr>
        <w:t>月</w:t>
      </w:r>
      <w:r>
        <w:rPr>
          <w:rFonts w:hint="eastAsia" w:ascii="方正仿宋_GBK" w:hAnsi="方正仿宋_GBK" w:eastAsia="方正仿宋_GBK" w:cs="方正仿宋_GBK"/>
          <w:color w:val="000000"/>
          <w:sz w:val="24"/>
          <w:highlight w:val="none"/>
          <w:shd w:val="clear" w:color="auto" w:fill="auto"/>
          <w:lang w:val="en-US" w:eastAsia="zh-CN"/>
        </w:rPr>
        <w:t>6</w:t>
      </w:r>
      <w:r>
        <w:rPr>
          <w:rFonts w:hint="eastAsia" w:ascii="方正仿宋_GBK" w:hAnsi="方正仿宋_GBK" w:eastAsia="方正仿宋_GBK" w:cs="方正仿宋_GBK"/>
          <w:color w:val="000000"/>
          <w:sz w:val="24"/>
          <w:highlight w:val="none"/>
          <w:shd w:val="clear" w:color="auto" w:fill="auto"/>
        </w:rPr>
        <w:t>日。</w:t>
      </w:r>
    </w:p>
    <w:p w14:paraId="5A119E53">
      <w:pPr>
        <w:adjustRightInd w:val="0"/>
        <w:snapToGrid w:val="0"/>
        <w:spacing w:line="400" w:lineRule="exact"/>
        <w:ind w:firstLine="480" w:firstLineChars="200"/>
        <w:rPr>
          <w:rFonts w:ascii="方正仿宋_GBK" w:hAnsi="方正仿宋_GBK" w:eastAsia="方正仿宋_GBK" w:cs="方正仿宋_GBK"/>
          <w:sz w:val="24"/>
          <w:highlight w:val="none"/>
          <w:shd w:val="clear" w:color="auto" w:fill="auto"/>
        </w:rPr>
      </w:pPr>
      <w:r>
        <w:rPr>
          <w:rFonts w:hint="eastAsia" w:ascii="方正仿宋_GBK" w:hAnsi="方正仿宋_GBK" w:eastAsia="方正仿宋_GBK" w:cs="方正仿宋_GBK"/>
          <w:color w:val="000000"/>
          <w:sz w:val="24"/>
          <w:highlight w:val="none"/>
          <w:shd w:val="clear" w:color="auto" w:fill="auto"/>
        </w:rPr>
        <w:t>（四）磋商地点：</w:t>
      </w:r>
      <w:r>
        <w:rPr>
          <w:rFonts w:hint="eastAsia" w:ascii="方正仿宋_GBK" w:hAnsi="方正仿宋_GBK" w:eastAsia="方正仿宋_GBK" w:cs="方正仿宋_GBK"/>
          <w:sz w:val="24"/>
          <w:highlight w:val="none"/>
          <w:shd w:val="clear" w:color="auto" w:fill="auto"/>
        </w:rPr>
        <w:t>重庆市渝北职业教育中心418会议室</w:t>
      </w:r>
    </w:p>
    <w:p w14:paraId="3671387F">
      <w:pPr>
        <w:adjustRightInd w:val="0"/>
        <w:snapToGrid w:val="0"/>
        <w:spacing w:line="400" w:lineRule="exact"/>
        <w:ind w:firstLine="480" w:firstLineChars="200"/>
        <w:rPr>
          <w:rFonts w:ascii="方正仿宋_GBK" w:hAnsi="方正仿宋_GBK" w:eastAsia="方正仿宋_GBK" w:cs="方正仿宋_GBK"/>
          <w:color w:val="000000"/>
          <w:sz w:val="24"/>
          <w:highlight w:val="none"/>
          <w:shd w:val="clear" w:color="auto" w:fill="auto"/>
        </w:rPr>
      </w:pPr>
      <w:r>
        <w:rPr>
          <w:rFonts w:hint="eastAsia" w:ascii="方正仿宋_GBK" w:hAnsi="方正仿宋_GBK" w:eastAsia="方正仿宋_GBK" w:cs="方正仿宋_GBK"/>
          <w:color w:val="000000"/>
          <w:sz w:val="24"/>
          <w:highlight w:val="none"/>
          <w:shd w:val="clear" w:color="auto" w:fill="auto"/>
        </w:rPr>
        <w:t>（五）响应文件递交开始时间：2025年</w:t>
      </w:r>
      <w:r>
        <w:rPr>
          <w:rFonts w:hint="eastAsia" w:ascii="方正仿宋_GBK" w:hAnsi="方正仿宋_GBK" w:eastAsia="方正仿宋_GBK" w:cs="方正仿宋_GBK"/>
          <w:color w:val="000000"/>
          <w:sz w:val="24"/>
          <w:highlight w:val="none"/>
          <w:shd w:val="clear" w:color="auto" w:fill="auto"/>
          <w:lang w:val="en-US" w:eastAsia="zh-CN"/>
        </w:rPr>
        <w:t>8</w:t>
      </w:r>
      <w:r>
        <w:rPr>
          <w:rFonts w:hint="eastAsia" w:ascii="方正仿宋_GBK" w:hAnsi="方正仿宋_GBK" w:eastAsia="方正仿宋_GBK" w:cs="方正仿宋_GBK"/>
          <w:color w:val="000000"/>
          <w:sz w:val="24"/>
          <w:highlight w:val="none"/>
          <w:shd w:val="clear" w:color="auto" w:fill="auto"/>
        </w:rPr>
        <w:t>月</w:t>
      </w:r>
      <w:r>
        <w:rPr>
          <w:rFonts w:hint="eastAsia" w:ascii="方正仿宋_GBK" w:hAnsi="方正仿宋_GBK" w:eastAsia="方正仿宋_GBK" w:cs="方正仿宋_GBK"/>
          <w:color w:val="000000"/>
          <w:sz w:val="24"/>
          <w:highlight w:val="none"/>
          <w:shd w:val="clear" w:color="auto" w:fill="auto"/>
          <w:lang w:val="en-US" w:eastAsia="zh-CN"/>
        </w:rPr>
        <w:t>7</w:t>
      </w:r>
      <w:r>
        <w:rPr>
          <w:rFonts w:hint="eastAsia" w:ascii="方正仿宋_GBK" w:hAnsi="方正仿宋_GBK" w:eastAsia="方正仿宋_GBK" w:cs="方正仿宋_GBK"/>
          <w:color w:val="000000"/>
          <w:sz w:val="24"/>
          <w:highlight w:val="none"/>
          <w:shd w:val="clear" w:color="auto" w:fill="auto"/>
        </w:rPr>
        <w:t>日北京时间</w:t>
      </w:r>
      <w:r>
        <w:rPr>
          <w:rFonts w:hint="eastAsia" w:ascii="方正仿宋_GBK" w:hAnsi="方正仿宋_GBK" w:eastAsia="方正仿宋_GBK" w:cs="方正仿宋_GBK"/>
          <w:color w:val="000000"/>
          <w:sz w:val="24"/>
          <w:highlight w:val="none"/>
          <w:shd w:val="clear" w:color="auto" w:fill="auto"/>
          <w:lang w:val="en-US" w:eastAsia="zh-CN"/>
        </w:rPr>
        <w:t>09</w:t>
      </w:r>
      <w:r>
        <w:rPr>
          <w:rFonts w:hint="eastAsia" w:ascii="方正仿宋_GBK" w:hAnsi="方正仿宋_GBK" w:eastAsia="方正仿宋_GBK" w:cs="方正仿宋_GBK"/>
          <w:color w:val="000000"/>
          <w:sz w:val="24"/>
          <w:highlight w:val="none"/>
          <w:shd w:val="clear" w:color="auto" w:fill="auto"/>
        </w:rPr>
        <w:t>时00分</w:t>
      </w:r>
    </w:p>
    <w:p w14:paraId="658DD59F">
      <w:pPr>
        <w:adjustRightInd w:val="0"/>
        <w:snapToGrid w:val="0"/>
        <w:spacing w:line="400" w:lineRule="exact"/>
        <w:ind w:firstLine="480" w:firstLineChars="200"/>
        <w:rPr>
          <w:rFonts w:ascii="方正仿宋_GBK" w:hAnsi="方正仿宋_GBK" w:eastAsia="方正仿宋_GBK" w:cs="方正仿宋_GBK"/>
          <w:color w:val="000000"/>
          <w:sz w:val="24"/>
          <w:highlight w:val="none"/>
          <w:shd w:val="clear" w:color="auto" w:fill="auto"/>
        </w:rPr>
      </w:pPr>
      <w:r>
        <w:rPr>
          <w:rFonts w:hint="eastAsia" w:ascii="方正仿宋_GBK" w:hAnsi="方正仿宋_GBK" w:eastAsia="方正仿宋_GBK" w:cs="方正仿宋_GBK"/>
          <w:color w:val="000000"/>
          <w:sz w:val="24"/>
          <w:highlight w:val="none"/>
          <w:shd w:val="clear" w:color="auto" w:fill="auto"/>
        </w:rPr>
        <w:t>（六）响应文件递交截止时间：2025年</w:t>
      </w:r>
      <w:r>
        <w:rPr>
          <w:rFonts w:hint="eastAsia" w:ascii="方正仿宋_GBK" w:hAnsi="方正仿宋_GBK" w:eastAsia="方正仿宋_GBK" w:cs="方正仿宋_GBK"/>
          <w:color w:val="000000"/>
          <w:sz w:val="24"/>
          <w:highlight w:val="none"/>
          <w:shd w:val="clear" w:color="auto" w:fill="auto"/>
          <w:lang w:val="en-US" w:eastAsia="zh-CN"/>
        </w:rPr>
        <w:t>8</w:t>
      </w:r>
      <w:r>
        <w:rPr>
          <w:rFonts w:hint="eastAsia" w:ascii="方正仿宋_GBK" w:hAnsi="方正仿宋_GBK" w:eastAsia="方正仿宋_GBK" w:cs="方正仿宋_GBK"/>
          <w:color w:val="000000"/>
          <w:sz w:val="24"/>
          <w:highlight w:val="none"/>
          <w:shd w:val="clear" w:color="auto" w:fill="auto"/>
        </w:rPr>
        <w:t>月</w:t>
      </w:r>
      <w:r>
        <w:rPr>
          <w:rFonts w:hint="eastAsia" w:ascii="方正仿宋_GBK" w:hAnsi="方正仿宋_GBK" w:eastAsia="方正仿宋_GBK" w:cs="方正仿宋_GBK"/>
          <w:color w:val="000000"/>
          <w:sz w:val="24"/>
          <w:highlight w:val="none"/>
          <w:shd w:val="clear" w:color="auto" w:fill="auto"/>
          <w:lang w:val="en-US" w:eastAsia="zh-CN"/>
        </w:rPr>
        <w:t>7</w:t>
      </w:r>
      <w:r>
        <w:rPr>
          <w:rFonts w:hint="eastAsia" w:ascii="方正仿宋_GBK" w:hAnsi="方正仿宋_GBK" w:eastAsia="方正仿宋_GBK" w:cs="方正仿宋_GBK"/>
          <w:color w:val="000000"/>
          <w:sz w:val="24"/>
          <w:highlight w:val="none"/>
          <w:shd w:val="clear" w:color="auto" w:fill="auto"/>
        </w:rPr>
        <w:t>日北京时间</w:t>
      </w:r>
      <w:r>
        <w:rPr>
          <w:rFonts w:hint="eastAsia" w:ascii="方正仿宋_GBK" w:hAnsi="方正仿宋_GBK" w:eastAsia="方正仿宋_GBK" w:cs="方正仿宋_GBK"/>
          <w:color w:val="000000"/>
          <w:sz w:val="24"/>
          <w:highlight w:val="none"/>
          <w:shd w:val="clear" w:color="auto" w:fill="auto"/>
          <w:lang w:val="en-US" w:eastAsia="zh-CN"/>
        </w:rPr>
        <w:t>09</w:t>
      </w:r>
      <w:r>
        <w:rPr>
          <w:rFonts w:hint="eastAsia" w:ascii="方正仿宋_GBK" w:hAnsi="方正仿宋_GBK" w:eastAsia="方正仿宋_GBK" w:cs="方正仿宋_GBK"/>
          <w:color w:val="000000"/>
          <w:sz w:val="24"/>
          <w:highlight w:val="none"/>
          <w:shd w:val="clear" w:color="auto" w:fill="auto"/>
        </w:rPr>
        <w:t>时30分</w:t>
      </w:r>
    </w:p>
    <w:p w14:paraId="3EA9B922">
      <w:pPr>
        <w:adjustRightInd w:val="0"/>
        <w:snapToGrid w:val="0"/>
        <w:spacing w:line="400" w:lineRule="exact"/>
        <w:ind w:firstLine="480" w:firstLineChars="200"/>
        <w:rPr>
          <w:rFonts w:ascii="方正仿宋_GBK" w:hAnsi="方正仿宋_GBK" w:eastAsia="方正仿宋_GBK" w:cs="方正仿宋_GBK"/>
          <w:color w:val="000000"/>
          <w:sz w:val="24"/>
          <w:highlight w:val="none"/>
          <w:shd w:val="clear" w:color="auto" w:fill="auto"/>
        </w:rPr>
      </w:pPr>
      <w:r>
        <w:rPr>
          <w:rFonts w:hint="eastAsia" w:ascii="方正仿宋_GBK" w:hAnsi="方正仿宋_GBK" w:eastAsia="方正仿宋_GBK" w:cs="方正仿宋_GBK"/>
          <w:color w:val="000000"/>
          <w:sz w:val="24"/>
          <w:highlight w:val="none"/>
          <w:shd w:val="clear" w:color="auto" w:fill="auto"/>
        </w:rPr>
        <w:t>（七）开标时间：2025年</w:t>
      </w:r>
      <w:r>
        <w:rPr>
          <w:rFonts w:hint="eastAsia" w:ascii="方正仿宋_GBK" w:hAnsi="方正仿宋_GBK" w:eastAsia="方正仿宋_GBK" w:cs="方正仿宋_GBK"/>
          <w:color w:val="000000"/>
          <w:sz w:val="24"/>
          <w:highlight w:val="none"/>
          <w:shd w:val="clear" w:color="auto" w:fill="auto"/>
          <w:lang w:val="en-US" w:eastAsia="zh-CN"/>
        </w:rPr>
        <w:t>8</w:t>
      </w:r>
      <w:r>
        <w:rPr>
          <w:rFonts w:hint="eastAsia" w:ascii="方正仿宋_GBK" w:hAnsi="方正仿宋_GBK" w:eastAsia="方正仿宋_GBK" w:cs="方正仿宋_GBK"/>
          <w:color w:val="000000"/>
          <w:sz w:val="24"/>
          <w:highlight w:val="none"/>
          <w:shd w:val="clear" w:color="auto" w:fill="auto"/>
        </w:rPr>
        <w:t>月</w:t>
      </w:r>
      <w:r>
        <w:rPr>
          <w:rFonts w:hint="eastAsia" w:ascii="方正仿宋_GBK" w:hAnsi="方正仿宋_GBK" w:eastAsia="方正仿宋_GBK" w:cs="方正仿宋_GBK"/>
          <w:color w:val="000000"/>
          <w:sz w:val="24"/>
          <w:highlight w:val="none"/>
          <w:shd w:val="clear" w:color="auto" w:fill="auto"/>
          <w:lang w:val="en-US" w:eastAsia="zh-CN"/>
        </w:rPr>
        <w:t>7</w:t>
      </w:r>
      <w:r>
        <w:rPr>
          <w:rFonts w:hint="eastAsia" w:ascii="方正仿宋_GBK" w:hAnsi="方正仿宋_GBK" w:eastAsia="方正仿宋_GBK" w:cs="方正仿宋_GBK"/>
          <w:color w:val="000000"/>
          <w:sz w:val="24"/>
          <w:highlight w:val="none"/>
          <w:shd w:val="clear" w:color="auto" w:fill="auto"/>
        </w:rPr>
        <w:t>日北京时间</w:t>
      </w:r>
      <w:r>
        <w:rPr>
          <w:rFonts w:hint="eastAsia" w:ascii="方正仿宋_GBK" w:hAnsi="方正仿宋_GBK" w:eastAsia="方正仿宋_GBK" w:cs="方正仿宋_GBK"/>
          <w:color w:val="000000"/>
          <w:sz w:val="24"/>
          <w:highlight w:val="none"/>
          <w:shd w:val="clear" w:color="auto" w:fill="auto"/>
          <w:lang w:val="en-US" w:eastAsia="zh-CN"/>
        </w:rPr>
        <w:t>09</w:t>
      </w:r>
      <w:r>
        <w:rPr>
          <w:rFonts w:hint="eastAsia" w:ascii="方正仿宋_GBK" w:hAnsi="方正仿宋_GBK" w:eastAsia="方正仿宋_GBK" w:cs="方正仿宋_GBK"/>
          <w:color w:val="000000"/>
          <w:sz w:val="24"/>
          <w:highlight w:val="none"/>
          <w:shd w:val="clear" w:color="auto" w:fill="auto"/>
        </w:rPr>
        <w:t>时30分</w:t>
      </w:r>
    </w:p>
    <w:p w14:paraId="1B4BED7C">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（八）超过截止时间递交的响应文件，恕不接收。</w:t>
      </w:r>
    </w:p>
    <w:p w14:paraId="17F45A7E">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0" w:name="_Toc373860294"/>
      <w:bookmarkStart w:id="21" w:name="_Toc9958"/>
      <w:bookmarkStart w:id="22" w:name="_Toc19439"/>
      <w:bookmarkStart w:id="23" w:name="_Toc14887"/>
      <w:bookmarkStart w:id="24" w:name="_Toc23097"/>
      <w:bookmarkStart w:id="25" w:name="_Toc4997"/>
      <w:bookmarkStart w:id="26" w:name="_Toc1515934405"/>
      <w:bookmarkStart w:id="27" w:name="_Toc2567"/>
      <w:bookmarkStart w:id="28" w:name="_Toc8618"/>
      <w:bookmarkStart w:id="29" w:name="_Toc23651"/>
      <w:bookmarkStart w:id="30" w:name="_Toc28153"/>
      <w:bookmarkStart w:id="31" w:name="_Toc13195"/>
      <w:bookmarkStart w:id="32" w:name="_Toc24139"/>
      <w:bookmarkStart w:id="33" w:name="_Toc18449"/>
      <w:bookmarkStart w:id="34" w:name="_Toc27924"/>
      <w:bookmarkStart w:id="35" w:name="_Toc76462321"/>
      <w:bookmarkStart w:id="36" w:name="_Toc29092"/>
      <w:bookmarkStart w:id="37" w:name="_Toc10872"/>
      <w:bookmarkStart w:id="38" w:name="_Toc25920"/>
      <w:r>
        <w:rPr>
          <w:rFonts w:hint="eastAsia" w:ascii="方正仿宋_GBK" w:hAnsi="方正仿宋_GBK" w:eastAsia="方正仿宋_GBK" w:cs="方正仿宋_GBK"/>
          <w:sz w:val="24"/>
        </w:rPr>
        <w:t>五、</w:t>
      </w:r>
      <w:bookmarkEnd w:id="20"/>
      <w:bookmarkStart w:id="39" w:name="_Toc480466698"/>
      <w:bookmarkStart w:id="40" w:name="_Toc479668114"/>
      <w:r>
        <w:rPr>
          <w:rFonts w:hint="eastAsia" w:ascii="方正仿宋_GBK" w:hAnsi="方正仿宋_GBK" w:eastAsia="方正仿宋_GBK" w:cs="方正仿宋_GBK"/>
          <w:sz w:val="24"/>
        </w:rPr>
        <w:t>采购项目需落实的政府采购政策</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EF0503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55DE25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（二）按照财政部、工业和信息化部关于印发《政府采购促进中小企业发展管理办法》的通知（财库〔2020〕46号）的规定，落实促进中小企业发展政策。</w:t>
      </w:r>
    </w:p>
    <w:p w14:paraId="1C956D7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（三）按照《财政部、司法部关于政府采购支持监狱企业发展有关问题的通知》（财库〔2014〕68号）的规定，落实支持监狱企业发展政策。监狱企业视同小型、微型企业。</w:t>
      </w:r>
    </w:p>
    <w:p w14:paraId="73391F56">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（四）按照《三部门联合发布关于促进残疾人就业政府采购政策的通知》（财库〔2017〕 141号）的规定，落实支持残疾人福利性单位发展政策。残疾人福利性单位视同小型、微型企业。</w:t>
      </w:r>
    </w:p>
    <w:p w14:paraId="5AA4BBE4">
      <w:pPr>
        <w:pStyle w:val="5"/>
        <w:adjustRightInd w:val="0"/>
        <w:snapToGrid w:val="0"/>
        <w:spacing w:before="0" w:after="0" w:line="400" w:lineRule="exact"/>
        <w:ind w:firstLine="482" w:firstLineChars="200"/>
        <w:jc w:val="left"/>
        <w:rPr>
          <w:rFonts w:ascii="方正仿宋_GBK" w:hAnsi="方正仿宋_GBK" w:eastAsia="方正仿宋_GBK" w:cs="方正仿宋_GBK"/>
          <w:bCs/>
          <w:color w:val="000000"/>
          <w:sz w:val="24"/>
        </w:rPr>
      </w:pPr>
      <w:bookmarkStart w:id="41" w:name="_Toc75"/>
      <w:bookmarkStart w:id="42" w:name="_Toc480466699"/>
      <w:bookmarkStart w:id="43" w:name="_Toc6873"/>
      <w:bookmarkStart w:id="44" w:name="_Toc28197"/>
      <w:bookmarkStart w:id="45" w:name="_Toc4481"/>
      <w:bookmarkStart w:id="46" w:name="_Toc25522"/>
      <w:bookmarkStart w:id="47" w:name="_Toc76462322"/>
      <w:bookmarkStart w:id="48" w:name="_Toc9764"/>
      <w:bookmarkStart w:id="49" w:name="_Toc10765"/>
      <w:bookmarkStart w:id="50" w:name="_Toc24938"/>
      <w:bookmarkStart w:id="51" w:name="_Toc18128"/>
      <w:bookmarkStart w:id="52" w:name="_Toc1658471972"/>
      <w:bookmarkStart w:id="53" w:name="_Toc28028"/>
      <w:bookmarkStart w:id="54" w:name="_Toc30786"/>
      <w:bookmarkStart w:id="55" w:name="_Toc14883"/>
      <w:bookmarkStart w:id="56" w:name="_Toc16001"/>
      <w:bookmarkStart w:id="57" w:name="_Toc29344"/>
      <w:bookmarkStart w:id="58" w:name="_Toc10761"/>
      <w:bookmarkStart w:id="59" w:name="_Toc12688"/>
      <w:r>
        <w:rPr>
          <w:rFonts w:hint="eastAsia" w:ascii="方正仿宋_GBK" w:hAnsi="方正仿宋_GBK" w:eastAsia="方正仿宋_GBK" w:cs="方正仿宋_GBK"/>
          <w:bCs/>
          <w:sz w:val="24"/>
        </w:rPr>
        <w:t>六、其它有关规定</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CA0EB11">
      <w:pPr>
        <w:adjustRightInd w:val="0"/>
        <w:snapToGrid w:val="0"/>
        <w:spacing w:line="400" w:lineRule="exact"/>
        <w:ind w:firstLine="360" w:firstLineChars="150"/>
        <w:rPr>
          <w:rFonts w:ascii="方正仿宋_GBK" w:hAnsi="方正仿宋_GBK" w:eastAsia="方正仿宋_GBK" w:cs="方正仿宋_GBK"/>
          <w:sz w:val="24"/>
        </w:rPr>
      </w:pPr>
      <w:bookmarkStart w:id="60" w:name="_Toc495587759"/>
      <w:r>
        <w:rPr>
          <w:rFonts w:hint="eastAsia" w:ascii="方正仿宋_GBK" w:hAnsi="方正仿宋_GBK" w:eastAsia="方正仿宋_GBK" w:cs="方正仿宋_GBK"/>
          <w:sz w:val="24"/>
        </w:rPr>
        <w:t>（一）单位负责人为同一人或者存在直接控股、管理关系的不同供应商，不得参加同一合同项（包）下的政府采购活动，否则均为无效响应。</w:t>
      </w:r>
    </w:p>
    <w:p w14:paraId="0F15DF84">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（二）为采购项目提供整体设计、规范编制或者项目管理、监理、检测等服务的供应商，不得再参加该采购项目的其他采购活动。</w:t>
      </w:r>
    </w:p>
    <w:p w14:paraId="66214835">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（三）本项目的澄清文件（如果有）一律在行采家和中国政府采购网上发布，请各供应商注意下载；无论供应商下载与否，均视同供应商已知晓本项目澄清文件（如果有）的内容。</w:t>
      </w:r>
    </w:p>
    <w:p w14:paraId="4342B581">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（四）超过响应文件截止时间递交的响应文件，恕不接收。</w:t>
      </w:r>
    </w:p>
    <w:p w14:paraId="3E174279">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（五）磋商费用：无论磋商结果如何，供应商参与本项目磋商的所有费用均应由供应商自行承担。</w:t>
      </w:r>
    </w:p>
    <w:p w14:paraId="00150E12">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（六）本项目不接受联合体参与磋商，否则按无效处理。</w:t>
      </w:r>
    </w:p>
    <w:p w14:paraId="0EF3EBFE">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（七）本项目不接受合同分包，否则按无效处理。</w:t>
      </w:r>
    </w:p>
    <w:p w14:paraId="368BDFD6">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BBF71E3">
      <w:pPr>
        <w:adjustRightInd w:val="0"/>
        <w:snapToGrid w:val="0"/>
        <w:spacing w:line="40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七、采购人联系方式</w:t>
      </w:r>
      <w:bookmarkEnd w:id="60"/>
    </w:p>
    <w:p w14:paraId="6592F7A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名  称：</w:t>
      </w:r>
      <w:r>
        <w:rPr>
          <w:rFonts w:hint="eastAsia" w:ascii="方正仿宋_GBK" w:hAnsi="方正仿宋_GBK" w:eastAsia="方正仿宋_GBK" w:cs="方正仿宋_GBK"/>
          <w:sz w:val="24"/>
        </w:rPr>
        <w:t>重庆市渝北职业教育中心</w:t>
      </w:r>
    </w:p>
    <w:p w14:paraId="5715A4E5">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联系人：王尧</w:t>
      </w:r>
    </w:p>
    <w:p w14:paraId="052D9E59">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  话：13883545808</w:t>
      </w:r>
    </w:p>
    <w:p w14:paraId="32E3D2D1">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地  址：重庆市渝北区龙兴镇两江大道985号</w:t>
      </w:r>
    </w:p>
    <w:p w14:paraId="786BE120">
      <w:pPr>
        <w:adjustRightInd w:val="0"/>
        <w:snapToGrid w:val="0"/>
        <w:spacing w:line="400" w:lineRule="exact"/>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color w:val="000000"/>
          <w:sz w:val="24"/>
        </w:rPr>
        <w:br w:type="page"/>
      </w:r>
      <w:r>
        <w:rPr>
          <w:rFonts w:hint="eastAsia" w:ascii="方正仿宋_GBK" w:hAnsi="方正仿宋_GBK" w:eastAsia="方正仿宋_GBK" w:cs="方正仿宋_GBK"/>
          <w:b/>
          <w:bCs/>
          <w:sz w:val="36"/>
          <w:szCs w:val="36"/>
        </w:rPr>
        <w:t>第二章 项目服务要求</w:t>
      </w:r>
    </w:p>
    <w:p w14:paraId="098055CD">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“※”标注的要求为符合性审查中的实质性要求，响应文件若不满足按无效投标处理。</w:t>
      </w:r>
    </w:p>
    <w:p w14:paraId="3F38AFE1">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一、招标项目一览表</w:t>
      </w:r>
    </w:p>
    <w:tbl>
      <w:tblPr>
        <w:tblStyle w:val="88"/>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106"/>
        <w:gridCol w:w="2409"/>
        <w:gridCol w:w="1317"/>
      </w:tblGrid>
      <w:tr w14:paraId="01CB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063" w:type="dxa"/>
            <w:vAlign w:val="center"/>
          </w:tcPr>
          <w:p w14:paraId="4AA0C906">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p>
        </w:tc>
        <w:tc>
          <w:tcPr>
            <w:tcW w:w="2106" w:type="dxa"/>
            <w:vAlign w:val="center"/>
          </w:tcPr>
          <w:p w14:paraId="37F86012">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服务费折扣比例限价</w:t>
            </w:r>
          </w:p>
        </w:tc>
        <w:tc>
          <w:tcPr>
            <w:tcW w:w="2409" w:type="dxa"/>
            <w:vAlign w:val="center"/>
          </w:tcPr>
          <w:p w14:paraId="6EB6E590">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成交供应商</w:t>
            </w:r>
          </w:p>
          <w:p w14:paraId="6A89AEA1">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数量（名）</w:t>
            </w:r>
          </w:p>
        </w:tc>
        <w:tc>
          <w:tcPr>
            <w:tcW w:w="1317" w:type="dxa"/>
            <w:vAlign w:val="center"/>
          </w:tcPr>
          <w:p w14:paraId="5321E4F2">
            <w:pPr>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w:t>
            </w:r>
          </w:p>
        </w:tc>
      </w:tr>
      <w:tr w14:paraId="0578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063" w:type="dxa"/>
            <w:vAlign w:val="center"/>
          </w:tcPr>
          <w:p w14:paraId="435F2A8A">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重庆市渝北职业教育中心分散采购代理服务</w:t>
            </w:r>
          </w:p>
        </w:tc>
        <w:tc>
          <w:tcPr>
            <w:tcW w:w="2106" w:type="dxa"/>
            <w:vAlign w:val="center"/>
          </w:tcPr>
          <w:p w14:paraId="706965A2">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70%</w:t>
            </w:r>
          </w:p>
        </w:tc>
        <w:tc>
          <w:tcPr>
            <w:tcW w:w="2409" w:type="dxa"/>
            <w:vAlign w:val="center"/>
          </w:tcPr>
          <w:p w14:paraId="5C73DFE3">
            <w:pPr>
              <w:widowControl/>
              <w:adjustRightInd w:val="0"/>
              <w:snapToGrid w:val="0"/>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3</w:t>
            </w:r>
          </w:p>
        </w:tc>
        <w:tc>
          <w:tcPr>
            <w:tcW w:w="1317" w:type="dxa"/>
            <w:vAlign w:val="center"/>
          </w:tcPr>
          <w:p w14:paraId="64FC6C38">
            <w:pPr>
              <w:widowControl/>
              <w:adjustRightInd w:val="0"/>
              <w:snapToGrid w:val="0"/>
              <w:spacing w:line="400" w:lineRule="exact"/>
              <w:jc w:val="center"/>
              <w:rPr>
                <w:rFonts w:ascii="方正仿宋_GBK" w:hAnsi="方正仿宋_GBK" w:eastAsia="方正仿宋_GBK" w:cs="方正仿宋_GBK"/>
                <w:kern w:val="0"/>
                <w:sz w:val="24"/>
              </w:rPr>
            </w:pPr>
          </w:p>
        </w:tc>
      </w:tr>
    </w:tbl>
    <w:p w14:paraId="4FE70104">
      <w:pPr>
        <w:adjustRightInd w:val="0"/>
        <w:snapToGrid w:val="0"/>
        <w:spacing w:line="40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color w:val="000000"/>
          <w:sz w:val="24"/>
        </w:rPr>
        <w:t>※</w:t>
      </w:r>
      <w:r>
        <w:rPr>
          <w:rFonts w:hint="eastAsia" w:ascii="方正仿宋_GBK" w:hAnsi="方正仿宋_GBK" w:eastAsia="方正仿宋_GBK" w:cs="方正仿宋_GBK"/>
          <w:sz w:val="24"/>
        </w:rPr>
        <w:t>二、</w:t>
      </w:r>
      <w:r>
        <w:rPr>
          <w:rFonts w:hint="eastAsia" w:ascii="方正仿宋_GBK" w:hAnsi="方正仿宋_GBK" w:eastAsia="方正仿宋_GBK" w:cs="方正仿宋_GBK"/>
          <w:b/>
          <w:bCs/>
          <w:sz w:val="24"/>
        </w:rPr>
        <w:t>服务内容及要求</w:t>
      </w:r>
    </w:p>
    <w:p w14:paraId="69866901">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（一）服务内容</w:t>
      </w:r>
    </w:p>
    <w:p w14:paraId="5D1E5ACE">
      <w:pPr>
        <w:adjustRightInd w:val="0"/>
        <w:snapToGrid w:val="0"/>
        <w:spacing w:line="400" w:lineRule="exact"/>
        <w:ind w:firstLine="360" w:firstLineChars="150"/>
        <w:rPr>
          <w:rFonts w:ascii="方正仿宋_GBK" w:hAnsi="方正仿宋_GBK" w:eastAsia="方正仿宋_GBK" w:cs="方正仿宋_GBK"/>
          <w:color w:val="auto"/>
          <w:sz w:val="24"/>
        </w:rPr>
      </w:pPr>
      <w:r>
        <w:rPr>
          <w:rFonts w:hint="eastAsia" w:ascii="方正仿宋_GBK" w:hAnsi="方正仿宋_GBK" w:eastAsia="方正仿宋_GBK" w:cs="方正仿宋_GBK"/>
          <w:kern w:val="0"/>
          <w:sz w:val="24"/>
        </w:rPr>
        <w:t>采购人根据评审结果，选取得分靠前的3家供应商组建采购代理机构库，采购人根</w:t>
      </w:r>
      <w:r>
        <w:rPr>
          <w:rFonts w:hint="eastAsia" w:ascii="方正仿宋_GBK" w:hAnsi="方正仿宋_GBK" w:eastAsia="方正仿宋_GBK" w:cs="方正仿宋_GBK"/>
          <w:color w:val="auto"/>
          <w:kern w:val="0"/>
          <w:sz w:val="24"/>
        </w:rPr>
        <w:t>据采购项目需要，在学校纪委监督下由需求部门代表在采购代理机构库里抽取代理机构服务采购人的采购项目，</w:t>
      </w:r>
      <w:r>
        <w:rPr>
          <w:rFonts w:hint="eastAsia" w:ascii="方正仿宋_GBK" w:hAnsi="方正仿宋_GBK" w:eastAsia="方正仿宋_GBK" w:cs="方正仿宋_GBK"/>
          <w:color w:val="auto"/>
          <w:sz w:val="24"/>
        </w:rPr>
        <w:t>包括但不限于以下内容：</w:t>
      </w:r>
    </w:p>
    <w:p w14:paraId="661A8F2F">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color w:val="auto"/>
          <w:sz w:val="24"/>
        </w:rPr>
        <w:t>1、招标准备工作：编制采购与招标方案，代理办理招标备案手续，编制、</w:t>
      </w:r>
      <w:r>
        <w:rPr>
          <w:rFonts w:hint="eastAsia" w:ascii="方正仿宋_GBK" w:hAnsi="方正仿宋_GBK" w:eastAsia="方正仿宋_GBK" w:cs="方正仿宋_GBK"/>
          <w:sz w:val="24"/>
        </w:rPr>
        <w:t>报审、发售招标（采购）文件、发布招标（采购）公告等；</w:t>
      </w:r>
    </w:p>
    <w:p w14:paraId="6F4FE90A">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2、招标评审工作：协助处理供应商（代理机构）提出的质疑和投诉，编制、报审、编制并发布答疑补遗、发布招标控制价，接收投标（响应）文件，收资料费，组织开标（评审）会，抽取评标（评审）专家，组织评标（评审），拟成交供应商（成交代理机构）行受贿犯罪记录查询，发布中标（成交）公示，发布中标（成交）结果公告等；</w:t>
      </w:r>
    </w:p>
    <w:p w14:paraId="6D1B5776">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3、招标收尾工作：办理投标保证金退款事宜，招标投标情况的书面报告编制成册，提供项目招标（采购）过程中的咨询服务，整理归集招标（采购）过程档案等工作。</w:t>
      </w:r>
    </w:p>
    <w:p w14:paraId="11980805">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4、与招标代理有关的其它事宜。</w:t>
      </w:r>
    </w:p>
    <w:p w14:paraId="62467AED">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（二）服务要求</w:t>
      </w:r>
    </w:p>
    <w:p w14:paraId="688AE943">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1、采购代理机构必须严格执行国家采购法律法规，自觉接受采购人的业务指导和监督管理，全力维护采购人的合法权益；运用自身的专业技能为采购人做好采购代理工作，并提供与采购项目有关的其它服务。在代理服务中的整个招标采购过程需按照国家政府采购相关法律法规的要求，符合代理项目的招标采购流程，不得有营私舞弊的行为。</w:t>
      </w:r>
    </w:p>
    <w:p w14:paraId="508D5F9E">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2、招标采购过程要做出工作进度表给采购人（若需），让采购人了解整个招标工作的进展情况；在服务期限内，由采购人根据工作的特点和要求具体确定时间，代理机构必须在约定的时间内完成相关工作。</w:t>
      </w:r>
    </w:p>
    <w:p w14:paraId="502DB1CC">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3、服务期限内若确实需要更换拟派负责人的，须征得采购人的同意，而且更换人员的技术职称和工作经验必须高于或等于拟派人员的技术职称和工作经验；</w:t>
      </w:r>
    </w:p>
    <w:p w14:paraId="1BEFBDFC">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4、采购代理机构向采购人移交的所有有关采购活动的资料，均须通过书面形式移交，采购人收悉后，将按审核意见予以回函；采购人向采购代理机构提出的意见建议，采购代理机构应予以审核，如与采购法规不符，采购代理机构应当予以拒绝并提出相应意见，确保代理项目合法、合规。</w:t>
      </w:r>
    </w:p>
    <w:p w14:paraId="2E348C0B">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5、采购代理过程中，如遇有供应商质疑、投诉或作出情况说明等，采购代理机构在收到相关资料后，应根据自身专业知识及工作经验，分析原因，向采购人提出合法、合规的处理意见建议，并负责对相关问题进行回复。</w:t>
      </w:r>
    </w:p>
    <w:p w14:paraId="3139B7EA">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6、采购代理机构必须对采购人单位信息进行保密，在未经采购人事先书面同意的情况下，任何时候均不得将招标信息的任何内容或者从采购人处知晓的关于采购人单位的任何信息泄露给任何其它方。</w:t>
      </w:r>
    </w:p>
    <w:p w14:paraId="6220C99B">
      <w:pPr>
        <w:adjustRightInd w:val="0"/>
        <w:snapToGrid w:val="0"/>
        <w:spacing w:line="40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7、采购代理机构承接每个项目前，应充分了解掌握采购项目需求情况，紧贴项目实际拟制各类采购文书，严禁随意将以往的采购文件复制剪贴，糊弄应付，甚至错漏百出。合同履约过程中，采购人将建立相关考评制度，对成交的采购代理机构实施量化考评，考核不合格的采购代理机构将解除服务。</w:t>
      </w:r>
    </w:p>
    <w:p w14:paraId="45F5C71C">
      <w:pPr>
        <w:pStyle w:val="2"/>
        <w:adjustRightInd w:val="0"/>
        <w:snapToGrid w:val="0"/>
        <w:spacing w:after="0" w:line="400" w:lineRule="exact"/>
        <w:ind w:left="0" w:leftChars="0" w:right="0" w:rightChars="0" w:firstLine="480" w:firstLineChars="200"/>
        <w:rPr>
          <w:rFonts w:eastAsia="方正仿宋_GBK"/>
          <w:color w:val="auto"/>
        </w:rPr>
      </w:pPr>
      <w:r>
        <w:rPr>
          <w:rFonts w:hint="eastAsia" w:ascii="方正仿宋_GBK" w:hAnsi="方正仿宋_GBK" w:eastAsia="方正仿宋_GBK" w:cs="方正仿宋_GBK"/>
          <w:color w:val="auto"/>
          <w:sz w:val="24"/>
        </w:rPr>
        <w:t>8、采购人预算金费在200万元以下的，采购代理机构收取投标供应商报各费不得超过300元，采购人预算金费在200万元及以上的，采购代理机构收取投标供应商报各费不得超过500元。</w:t>
      </w:r>
    </w:p>
    <w:p w14:paraId="75E5CE1C">
      <w:pPr>
        <w:pStyle w:val="51"/>
        <w:adjustRightInd w:val="0"/>
        <w:snapToGrid w:val="0"/>
        <w:spacing w:after="0" w:line="400" w:lineRule="exact"/>
        <w:ind w:left="0" w:leftChars="0" w:firstLine="480"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color w:val="auto"/>
          <w:sz w:val="24"/>
        </w:rPr>
        <w:t>9、采购代理机构须无条件配合采购人接收各级审计、巡察工作；采购资料（含音视频资料）保存期限为招标结束之日起至少15</w:t>
      </w:r>
      <w:r>
        <w:rPr>
          <w:rFonts w:hint="eastAsia" w:ascii="方正仿宋_GBK" w:hAnsi="方正仿宋_GBK" w:eastAsia="方正仿宋_GBK" w:cs="方正仿宋_GBK"/>
          <w:sz w:val="24"/>
        </w:rPr>
        <w:t>年。</w:t>
      </w:r>
    </w:p>
    <w:p w14:paraId="10FC9BC9">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※四、工作方式和时间要求</w:t>
      </w:r>
    </w:p>
    <w:p w14:paraId="7BABF74D">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成交供应商应当在收到采购人的《成交通知书》后20日内与采购人签订合同，并据此高效、优质地开展政府采购代理工作。</w:t>
      </w:r>
    </w:p>
    <w:p w14:paraId="27A08E53">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五、采购人在采购中的责任</w:t>
      </w:r>
    </w:p>
    <w:p w14:paraId="33BAE645">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（一）采购人负责组织本项目的全面实施；</w:t>
      </w:r>
    </w:p>
    <w:p w14:paraId="16D12938">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（二）采购人根据采购进度要求，向成交供应商委托代理任务；</w:t>
      </w:r>
    </w:p>
    <w:p w14:paraId="52B23FC4">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（三）采购人与成交供应商充分沟通，密切配合，确保项目采购工作高质、高效地完成；</w:t>
      </w:r>
    </w:p>
    <w:p w14:paraId="757C027F">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（四）采购人提供采购项目技术及服务需求；</w:t>
      </w:r>
    </w:p>
    <w:p w14:paraId="2B22B578">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（五）采购人负责审核采购文件、评标报告、合同等文件；</w:t>
      </w:r>
    </w:p>
    <w:p w14:paraId="49D09B0B">
      <w:pPr>
        <w:adjustRightInd w:val="0"/>
        <w:snapToGrid w:val="0"/>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（六）参与开标，负责合同谈判和签约。</w:t>
      </w:r>
    </w:p>
    <w:p w14:paraId="26521B19">
      <w:pPr>
        <w:adjustRightInd w:val="0"/>
        <w:snapToGrid w:val="0"/>
        <w:spacing w:line="400" w:lineRule="exact"/>
        <w:ind w:firstLine="480" w:firstLineChars="200"/>
        <w:rPr>
          <w:rFonts w:ascii="方正仿宋_GBK" w:hAnsi="方正仿宋_GBK" w:eastAsia="方正仿宋_GBK" w:cs="方正仿宋_GBK"/>
          <w:color w:val="000000"/>
          <w:sz w:val="24"/>
        </w:rPr>
      </w:pPr>
    </w:p>
    <w:p w14:paraId="3755FA3B">
      <w:pPr>
        <w:adjustRightInd w:val="0"/>
        <w:snapToGrid w:val="0"/>
        <w:spacing w:line="400" w:lineRule="exact"/>
        <w:ind w:firstLine="480" w:firstLineChars="200"/>
        <w:rPr>
          <w:rFonts w:ascii="方正仿宋_GBK" w:hAnsi="方正仿宋_GBK" w:eastAsia="方正仿宋_GBK" w:cs="方正仿宋_GBK"/>
          <w:color w:val="000000"/>
          <w:sz w:val="24"/>
        </w:rPr>
      </w:pPr>
    </w:p>
    <w:p w14:paraId="235125EA">
      <w:pPr>
        <w:adjustRightInd w:val="0"/>
        <w:snapToGrid w:val="0"/>
        <w:spacing w:line="400" w:lineRule="exact"/>
        <w:ind w:firstLine="480" w:firstLineChars="200"/>
        <w:rPr>
          <w:rFonts w:ascii="方正仿宋_GBK" w:hAnsi="方正仿宋_GBK" w:eastAsia="方正仿宋_GBK" w:cs="方正仿宋_GBK"/>
          <w:color w:val="000000"/>
          <w:sz w:val="24"/>
        </w:rPr>
      </w:pPr>
    </w:p>
    <w:p w14:paraId="1B2811EB">
      <w:pPr>
        <w:adjustRightInd w:val="0"/>
        <w:snapToGrid w:val="0"/>
        <w:spacing w:line="400" w:lineRule="exact"/>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24"/>
        </w:rPr>
        <w:br w:type="page"/>
      </w:r>
      <w:r>
        <w:rPr>
          <w:rFonts w:hint="eastAsia" w:ascii="方正仿宋_GBK" w:hAnsi="方正仿宋_GBK" w:eastAsia="方正仿宋_GBK" w:cs="方正仿宋_GBK"/>
          <w:b/>
          <w:bCs/>
          <w:sz w:val="36"/>
          <w:szCs w:val="36"/>
        </w:rPr>
        <w:t>第三章  项目商务要求</w:t>
      </w:r>
    </w:p>
    <w:p w14:paraId="4C91D4EC">
      <w:pPr>
        <w:adjustRightInd w:val="0"/>
        <w:snapToGrid w:val="0"/>
        <w:spacing w:line="400" w:lineRule="exact"/>
        <w:ind w:firstLine="480" w:firstLineChars="200"/>
        <w:jc w:val="left"/>
        <w:rPr>
          <w:rFonts w:ascii="方正仿宋_GBK" w:hAnsi="方正仿宋_GBK" w:eastAsia="方正仿宋_GBK" w:cs="方正仿宋_GBK"/>
          <w:color w:val="000000"/>
          <w:sz w:val="24"/>
        </w:rPr>
      </w:pPr>
      <w:bookmarkStart w:id="61" w:name="_Toc344475120"/>
      <w:bookmarkStart w:id="62" w:name="_Toc505850383"/>
      <w:r>
        <w:rPr>
          <w:rFonts w:hint="eastAsia" w:ascii="方正仿宋_GBK" w:hAnsi="方正仿宋_GBK" w:eastAsia="方正仿宋_GBK" w:cs="方正仿宋_GBK"/>
          <w:sz w:val="24"/>
        </w:rPr>
        <w:t>“※”标注的要求为符合性审查中的实质性要求，响应文件若不满足按无效投标处理。</w:t>
      </w:r>
    </w:p>
    <w:p w14:paraId="7F1E375F">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※一、服务时间、地点及验收方式</w:t>
      </w:r>
      <w:bookmarkEnd w:id="61"/>
      <w:bookmarkEnd w:id="62"/>
    </w:p>
    <w:p w14:paraId="38323D5E">
      <w:pPr>
        <w:adjustRightInd w:val="0"/>
        <w:snapToGrid w:val="0"/>
        <w:spacing w:line="400" w:lineRule="exact"/>
        <w:ind w:firstLine="480"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000000"/>
          <w:sz w:val="24"/>
          <w:highlight w:val="none"/>
        </w:rPr>
        <w:t>（一）服务时间：服</w:t>
      </w:r>
      <w:r>
        <w:rPr>
          <w:rFonts w:hint="eastAsia" w:ascii="方正仿宋_GBK" w:hAnsi="方正仿宋_GBK" w:eastAsia="方正仿宋_GBK" w:cs="方正仿宋_GBK"/>
          <w:sz w:val="24"/>
          <w:highlight w:val="none"/>
        </w:rPr>
        <w:t>务期3年（</w:t>
      </w:r>
      <w:r>
        <w:rPr>
          <w:rFonts w:hint="eastAsia" w:ascii="方正仿宋_GBK" w:hAnsi="方正仿宋_GBK" w:eastAsia="方正仿宋_GBK" w:cs="方正仿宋_GBK"/>
          <w:sz w:val="24"/>
          <w:highlight w:val="none"/>
          <w:shd w:val="clear" w:color="auto" w:fill="F9FAFB"/>
        </w:rPr>
        <w:t>每年度考核合格后续签下一年度服务</w:t>
      </w:r>
      <w:r>
        <w:rPr>
          <w:rFonts w:hint="eastAsia" w:ascii="方正仿宋_GBK" w:hAnsi="方正仿宋_GBK" w:eastAsia="方正仿宋_GBK" w:cs="方正仿宋_GBK"/>
          <w:sz w:val="24"/>
          <w:highlight w:val="none"/>
        </w:rPr>
        <w:t>）。</w:t>
      </w:r>
    </w:p>
    <w:p w14:paraId="48E7B6D1">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（二）服务地点：采购人指定或同意地点。</w:t>
      </w:r>
    </w:p>
    <w:p w14:paraId="6BECB1FA">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（三）验收方式：</w:t>
      </w:r>
      <w:bookmarkStart w:id="63" w:name="_Toc344475121"/>
      <w:bookmarkStart w:id="64" w:name="_Toc483557551"/>
    </w:p>
    <w:p w14:paraId="63641A45">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1.具体项目服务完毕后，整体服务是否按竞争性磋商文件服务需求标准执行，是否按响应文件服务方案承诺执行，是否按具体项目合同执行，由采购人进行验收。</w:t>
      </w:r>
    </w:p>
    <w:p w14:paraId="17C4612E">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2.成交供应商提供的服务未达到竞争性磋商文件规定要求，且对采购人造成损失的，由成交供应商承担一切责任，并赔偿所造成的损失</w:t>
      </w:r>
    </w:p>
    <w:p w14:paraId="6D329AFB">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※二、</w:t>
      </w:r>
      <w:bookmarkEnd w:id="63"/>
      <w:r>
        <w:rPr>
          <w:rFonts w:hint="eastAsia" w:ascii="方正仿宋_GBK" w:hAnsi="方正仿宋_GBK" w:eastAsia="方正仿宋_GBK" w:cs="方正仿宋_GBK"/>
          <w:b/>
          <w:color w:val="000000"/>
          <w:sz w:val="24"/>
        </w:rPr>
        <w:t>报价要求</w:t>
      </w:r>
      <w:bookmarkEnd w:id="64"/>
    </w:p>
    <w:p w14:paraId="57D08164">
      <w:pPr>
        <w:adjustRightInd w:val="0"/>
        <w:snapToGrid w:val="0"/>
        <w:spacing w:line="400" w:lineRule="exact"/>
        <w:ind w:firstLine="480" w:firstLineChars="200"/>
        <w:rPr>
          <w:rFonts w:ascii="方正仿宋_GBK" w:hAnsi="方正仿宋_GBK" w:eastAsia="方正仿宋_GBK" w:cs="方正仿宋_GBK"/>
          <w:color w:val="000000"/>
          <w:sz w:val="24"/>
        </w:rPr>
      </w:pPr>
      <w:bookmarkStart w:id="65" w:name="_Toc267320052"/>
      <w:bookmarkStart w:id="66" w:name="_Toc29988"/>
      <w:bookmarkStart w:id="67" w:name="_Toc509240276"/>
      <w:r>
        <w:rPr>
          <w:rFonts w:hint="eastAsia" w:ascii="方正仿宋_GBK" w:hAnsi="方正仿宋_GBK" w:eastAsia="方正仿宋_GBK" w:cs="方正仿宋_GBK"/>
          <w:color w:val="000000"/>
          <w:sz w:val="24"/>
        </w:rPr>
        <w:t>（一）本项目磋商报价应包括完成项目的全部费用，包括（但不限于）采购代理费、评标专家费（至少三名）、办公配套费、人工费、税费及其它与本项目相关的一切费用。因磋商报价估计不足或市场价格波动，一律由成交供应商自行负责，采购人均不承担价差补偿。</w:t>
      </w:r>
    </w:p>
    <w:p w14:paraId="765E3682">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（二）采购人不向成交供应商支付任何款项，待后续进行分散采购代理时，由项目中标人向成交供应商支付采购代理服务费。</w:t>
      </w:r>
    </w:p>
    <w:p w14:paraId="360FD926">
      <w:pPr>
        <w:pStyle w:val="6"/>
        <w:adjustRightInd w:val="0"/>
        <w:snapToGrid w:val="0"/>
        <w:spacing w:before="0" w:after="0" w:line="400" w:lineRule="exact"/>
        <w:ind w:firstLine="480" w:firstLineChars="200"/>
        <w:rPr>
          <w:rFonts w:ascii="方正仿宋_GBK" w:hAnsi="方正仿宋_GBK" w:eastAsia="方正仿宋_GBK" w:cs="方正仿宋_GBK"/>
          <w:b w:val="0"/>
          <w:sz w:val="24"/>
        </w:rPr>
      </w:pPr>
      <w:bookmarkStart w:id="68" w:name="_Toc12277"/>
      <w:r>
        <w:rPr>
          <w:rFonts w:hint="eastAsia" w:ascii="方正仿宋_GBK" w:hAnsi="方正仿宋_GBK" w:eastAsia="方正仿宋_GBK" w:cs="方正仿宋_GBK"/>
          <w:b w:val="0"/>
          <w:sz w:val="24"/>
        </w:rPr>
        <w:t>（三）采购代理服务费的收取标准</w:t>
      </w:r>
      <w:bookmarkEnd w:id="68"/>
    </w:p>
    <w:p w14:paraId="1D5A8F53">
      <w:pPr>
        <w:adjustRightInd w:val="0"/>
        <w:snapToGrid w:val="0"/>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1、采购代理服务费参照2002年国家计委印发的《招标代理服务收费管理暂行办法》规定的收费标准，供应商以折扣比例的方式报价（以综合收费折扣进行报价，折扣比例70%【含】以下为有效报价，超出的为无效报价【即为废标】），报价折扣比例为固定值，不得为区间值，计算后精确到小数点后两位。应收取代理服务费=项目中标（成交）金额×参考收费标准×折扣比例）。</w:t>
      </w:r>
      <w:r>
        <w:rPr>
          <w:rFonts w:hint="eastAsia" w:ascii="方正仿宋_GBK" w:hAnsi="方正仿宋_GBK" w:eastAsia="方正仿宋_GBK" w:cs="方正仿宋_GBK"/>
          <w:color w:val="000000"/>
          <w:sz w:val="24"/>
        </w:rPr>
        <w:t>代理服务收费按差额定率累进法计算。</w:t>
      </w:r>
    </w:p>
    <w:p w14:paraId="16B98F1F">
      <w:pPr>
        <w:adjustRightInd w:val="0"/>
        <w:snapToGrid w:val="0"/>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参照收费标准表：</w:t>
      </w:r>
    </w:p>
    <w:tbl>
      <w:tblPr>
        <w:tblStyle w:val="88"/>
        <w:tblpPr w:leftFromText="180" w:rightFromText="180" w:vertAnchor="text" w:horzAnchor="page" w:tblpX="1710" w:tblpY="177"/>
        <w:tblOverlap w:val="never"/>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833"/>
        <w:gridCol w:w="1767"/>
        <w:gridCol w:w="2066"/>
      </w:tblGrid>
      <w:tr w14:paraId="48DB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3112" w:type="dxa"/>
            <w:tcBorders>
              <w:tl2br w:val="single" w:color="auto" w:sz="4" w:space="0"/>
            </w:tcBorders>
          </w:tcPr>
          <w:p w14:paraId="05E5B727">
            <w:pPr>
              <w:adjustRightInd w:val="0"/>
              <w:snapToGrid w:val="0"/>
              <w:spacing w:line="400" w:lineRule="exact"/>
              <w:ind w:firstLine="420" w:firstLineChars="200"/>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U/zP17AEAAOQDAAAOAAAAAAAAAAEAIAAAACUBAABkcnMvZTJvRG9jLnhtbFBLBQYAAAAABgAG&#10;AFkBAACD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Cs w:val="21"/>
              </w:rPr>
              <w:t>招标类型</w:t>
            </w:r>
          </w:p>
          <w:p w14:paraId="231094D7">
            <w:pPr>
              <w:adjustRightInd w:val="0"/>
              <w:snapToGrid w:val="0"/>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中标金额（万元）</w:t>
            </w:r>
          </w:p>
        </w:tc>
        <w:tc>
          <w:tcPr>
            <w:tcW w:w="1833" w:type="dxa"/>
            <w:vAlign w:val="center"/>
          </w:tcPr>
          <w:p w14:paraId="2346D99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货物招标</w:t>
            </w:r>
          </w:p>
        </w:tc>
        <w:tc>
          <w:tcPr>
            <w:tcW w:w="1767" w:type="dxa"/>
            <w:vAlign w:val="center"/>
          </w:tcPr>
          <w:p w14:paraId="1F678072">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服务招标</w:t>
            </w:r>
          </w:p>
        </w:tc>
        <w:tc>
          <w:tcPr>
            <w:tcW w:w="2066" w:type="dxa"/>
            <w:vAlign w:val="center"/>
          </w:tcPr>
          <w:p w14:paraId="114D9470">
            <w:pPr>
              <w:pStyle w:val="241"/>
              <w:widowControl w:val="0"/>
              <w:pBdr>
                <w:left w:val="none" w:color="auto" w:sz="0" w:space="0"/>
                <w:right w:val="none" w:color="auto" w:sz="0" w:space="0"/>
              </w:pBdr>
              <w:adjustRightInd w:val="0"/>
              <w:snapToGrid w:val="0"/>
              <w:spacing w:before="0" w:beforeAutospacing="0" w:after="0" w:afterAutospacing="0" w:line="400" w:lineRule="exact"/>
              <w:ind w:firstLine="420" w:firstLineChars="200"/>
              <w:rPr>
                <w:rFonts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21"/>
                <w:szCs w:val="21"/>
              </w:rPr>
              <w:t>工程招标</w:t>
            </w:r>
          </w:p>
        </w:tc>
      </w:tr>
      <w:tr w14:paraId="599A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112" w:type="dxa"/>
            <w:vAlign w:val="center"/>
          </w:tcPr>
          <w:p w14:paraId="637EEC53">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100以下</w:t>
            </w:r>
          </w:p>
        </w:tc>
        <w:tc>
          <w:tcPr>
            <w:tcW w:w="1833" w:type="dxa"/>
            <w:vAlign w:val="center"/>
          </w:tcPr>
          <w:p w14:paraId="1C029FF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767" w:type="dxa"/>
            <w:vAlign w:val="center"/>
          </w:tcPr>
          <w:p w14:paraId="442B804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2066" w:type="dxa"/>
            <w:vAlign w:val="center"/>
          </w:tcPr>
          <w:p w14:paraId="1D8D5203">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r>
      <w:tr w14:paraId="58A7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24712C20">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100-200</w:t>
            </w:r>
          </w:p>
        </w:tc>
        <w:tc>
          <w:tcPr>
            <w:tcW w:w="1833" w:type="dxa"/>
            <w:vAlign w:val="center"/>
          </w:tcPr>
          <w:p w14:paraId="5119B153">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767" w:type="dxa"/>
            <w:vAlign w:val="center"/>
          </w:tcPr>
          <w:p w14:paraId="6E7638A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0.8%</w:t>
            </w:r>
          </w:p>
        </w:tc>
        <w:tc>
          <w:tcPr>
            <w:tcW w:w="2066" w:type="dxa"/>
            <w:vAlign w:val="center"/>
          </w:tcPr>
          <w:p w14:paraId="353EA6DC">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w:t>
            </w:r>
          </w:p>
        </w:tc>
      </w:tr>
      <w:tr w14:paraId="77F3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4996725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200-500</w:t>
            </w:r>
          </w:p>
        </w:tc>
        <w:tc>
          <w:tcPr>
            <w:tcW w:w="1833" w:type="dxa"/>
            <w:vAlign w:val="center"/>
          </w:tcPr>
          <w:p w14:paraId="3A6F72C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1.08%</w:t>
            </w:r>
          </w:p>
        </w:tc>
        <w:tc>
          <w:tcPr>
            <w:tcW w:w="1767" w:type="dxa"/>
            <w:vAlign w:val="center"/>
          </w:tcPr>
          <w:p w14:paraId="264FB3F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0.78%</w:t>
            </w:r>
          </w:p>
        </w:tc>
        <w:tc>
          <w:tcPr>
            <w:tcW w:w="2066" w:type="dxa"/>
            <w:vAlign w:val="center"/>
          </w:tcPr>
          <w:p w14:paraId="1EB1575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0.69%</w:t>
            </w:r>
          </w:p>
        </w:tc>
      </w:tr>
      <w:tr w14:paraId="429E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73096CBD">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500-1000</w:t>
            </w:r>
          </w:p>
        </w:tc>
        <w:tc>
          <w:tcPr>
            <w:tcW w:w="1833" w:type="dxa"/>
            <w:vAlign w:val="center"/>
          </w:tcPr>
          <w:p w14:paraId="360B2E4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0.76%</w:t>
            </w:r>
          </w:p>
        </w:tc>
        <w:tc>
          <w:tcPr>
            <w:tcW w:w="1767" w:type="dxa"/>
            <w:vAlign w:val="center"/>
          </w:tcPr>
          <w:p w14:paraId="70C95A3F">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0.43%</w:t>
            </w:r>
          </w:p>
        </w:tc>
        <w:tc>
          <w:tcPr>
            <w:tcW w:w="2066" w:type="dxa"/>
            <w:vAlign w:val="center"/>
          </w:tcPr>
          <w:p w14:paraId="571E540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0.52%</w:t>
            </w:r>
          </w:p>
        </w:tc>
      </w:tr>
      <w:tr w14:paraId="2B07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257890B5">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1000-5000</w:t>
            </w:r>
          </w:p>
        </w:tc>
        <w:tc>
          <w:tcPr>
            <w:tcW w:w="1833" w:type="dxa"/>
            <w:vAlign w:val="center"/>
          </w:tcPr>
          <w:p w14:paraId="401C816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0.45%</w:t>
            </w:r>
          </w:p>
        </w:tc>
        <w:tc>
          <w:tcPr>
            <w:tcW w:w="1767" w:type="dxa"/>
            <w:vAlign w:val="center"/>
          </w:tcPr>
          <w:p w14:paraId="66938C4D">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0.23%</w:t>
            </w:r>
          </w:p>
        </w:tc>
        <w:tc>
          <w:tcPr>
            <w:tcW w:w="2066" w:type="dxa"/>
            <w:vAlign w:val="center"/>
          </w:tcPr>
          <w:p w14:paraId="2551ACD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0.32%</w:t>
            </w:r>
          </w:p>
        </w:tc>
      </w:tr>
      <w:tr w14:paraId="1D9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72F17AD9">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5000-10000</w:t>
            </w:r>
          </w:p>
        </w:tc>
        <w:tc>
          <w:tcPr>
            <w:tcW w:w="1833" w:type="dxa"/>
            <w:vAlign w:val="center"/>
          </w:tcPr>
          <w:p w14:paraId="35AEC3C0">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0.23%</w:t>
            </w:r>
          </w:p>
        </w:tc>
        <w:tc>
          <w:tcPr>
            <w:tcW w:w="1767" w:type="dxa"/>
            <w:vAlign w:val="center"/>
          </w:tcPr>
          <w:p w14:paraId="2B71D9B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0.09%</w:t>
            </w:r>
          </w:p>
        </w:tc>
        <w:tc>
          <w:tcPr>
            <w:tcW w:w="2066" w:type="dxa"/>
            <w:vAlign w:val="center"/>
          </w:tcPr>
          <w:p w14:paraId="1B41D79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0.18%</w:t>
            </w:r>
          </w:p>
        </w:tc>
      </w:tr>
      <w:tr w14:paraId="43EB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0F42B8D7">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10000-100000</w:t>
            </w:r>
          </w:p>
        </w:tc>
        <w:tc>
          <w:tcPr>
            <w:tcW w:w="1833" w:type="dxa"/>
            <w:vAlign w:val="center"/>
          </w:tcPr>
          <w:p w14:paraId="6DC2BDB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c>
          <w:tcPr>
            <w:tcW w:w="1767" w:type="dxa"/>
            <w:vAlign w:val="center"/>
          </w:tcPr>
          <w:p w14:paraId="566A502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c>
          <w:tcPr>
            <w:tcW w:w="2066" w:type="dxa"/>
            <w:vAlign w:val="center"/>
          </w:tcPr>
          <w:p w14:paraId="216AB29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r>
      <w:tr w14:paraId="7838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6A132B92">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1000000以上</w:t>
            </w:r>
          </w:p>
        </w:tc>
        <w:tc>
          <w:tcPr>
            <w:tcW w:w="1833" w:type="dxa"/>
            <w:vAlign w:val="center"/>
          </w:tcPr>
          <w:p w14:paraId="41F13541">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c>
          <w:tcPr>
            <w:tcW w:w="1767" w:type="dxa"/>
            <w:vAlign w:val="center"/>
          </w:tcPr>
          <w:p w14:paraId="09E798E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c>
          <w:tcPr>
            <w:tcW w:w="2066" w:type="dxa"/>
            <w:vAlign w:val="center"/>
          </w:tcPr>
          <w:p w14:paraId="59DDA5BE">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r>
    </w:tbl>
    <w:p w14:paraId="406F1BBF">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2、本项目采用人民币结算。</w:t>
      </w:r>
    </w:p>
    <w:p w14:paraId="011787C4">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（四）供应商磋商报价按本磋商文件格式填报。</w:t>
      </w:r>
    </w:p>
    <w:p w14:paraId="1C6A8F4C">
      <w:pPr>
        <w:pStyle w:val="6"/>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※三、付款方式</w:t>
      </w:r>
    </w:p>
    <w:p w14:paraId="7FEEC7FB">
      <w:pPr>
        <w:adjustRightInd w:val="0"/>
        <w:snapToGrid w:val="0"/>
        <w:spacing w:line="400" w:lineRule="exact"/>
        <w:ind w:firstLine="480" w:firstLineChars="200"/>
        <w:rPr>
          <w:rFonts w:ascii="方正仿宋_GBK" w:hAnsi="方正仿宋_GBK" w:eastAsia="方正仿宋_GBK" w:cs="方正仿宋_GBK"/>
          <w:sz w:val="24"/>
        </w:rPr>
      </w:pPr>
      <w:bookmarkStart w:id="69" w:name="_Toc31232"/>
      <w:bookmarkStart w:id="70" w:name="_Toc19786043"/>
      <w:bookmarkStart w:id="71" w:name="_Toc511812888"/>
      <w:r>
        <w:rPr>
          <w:rFonts w:hint="eastAsia" w:ascii="方正仿宋_GBK" w:hAnsi="方正仿宋_GBK" w:eastAsia="方正仿宋_GBK" w:cs="方正仿宋_GBK"/>
          <w:color w:val="000000"/>
          <w:sz w:val="24"/>
        </w:rPr>
        <w:t>（一）综合得分靠前的3名供应商中，报价最低的折扣为本次采购价，其他两家供应商的投标授权代表需书面承诺认同本次采购价，作为项目代理服务时向中标供应商收费的依据。</w:t>
      </w:r>
    </w:p>
    <w:p w14:paraId="30AEB9AE">
      <w:pPr>
        <w:pStyle w:val="8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80"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sz w:val="24"/>
        </w:rPr>
        <w:t>（二）单个采购项目计算出的采购代理费低于3000元的，采购代理费按3000元计取。单个项目的采购代理费由单个项目的成交供应商支付，采购代理费具体金额及支付方式，采购代理机构必须在采购文件中明确注明，告知供应商。多次招标后产生成交供应商，采购代理机构均按前述标准只收取一次采购代理服务费。</w:t>
      </w:r>
      <w:bookmarkEnd w:id="69"/>
      <w:bookmarkEnd w:id="70"/>
      <w:bookmarkEnd w:id="71"/>
    </w:p>
    <w:p w14:paraId="2215DCD8">
      <w:pPr>
        <w:pStyle w:val="6"/>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72" w:name="_Toc23850"/>
      <w:bookmarkStart w:id="73" w:name="_Toc4084"/>
      <w:bookmarkStart w:id="74" w:name="_Toc105667061"/>
      <w:r>
        <w:rPr>
          <w:rFonts w:hint="eastAsia" w:ascii="方正仿宋_GBK" w:hAnsi="方正仿宋_GBK" w:eastAsia="方正仿宋_GBK" w:cs="方正仿宋_GBK"/>
          <w:sz w:val="24"/>
        </w:rPr>
        <w:t>※四、</w:t>
      </w:r>
      <w:bookmarkEnd w:id="72"/>
      <w:r>
        <w:rPr>
          <w:rFonts w:hint="eastAsia" w:ascii="方正仿宋_GBK" w:hAnsi="方正仿宋_GBK" w:eastAsia="方正仿宋_GBK" w:cs="方正仿宋_GBK"/>
          <w:sz w:val="24"/>
        </w:rPr>
        <w:t>知识产权</w:t>
      </w:r>
      <w:bookmarkEnd w:id="73"/>
      <w:bookmarkEnd w:id="74"/>
    </w:p>
    <w:p w14:paraId="3ED66E0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3B690EC">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※五、</w:t>
      </w:r>
      <w:bookmarkEnd w:id="65"/>
      <w:bookmarkEnd w:id="66"/>
      <w:bookmarkEnd w:id="67"/>
      <w:bookmarkStart w:id="75" w:name="_Toc509240277"/>
      <w:bookmarkStart w:id="76" w:name="_Toc3413"/>
      <w:r>
        <w:rPr>
          <w:rFonts w:hint="eastAsia" w:ascii="方正仿宋_GBK" w:hAnsi="方正仿宋_GBK" w:eastAsia="方正仿宋_GBK" w:cs="方正仿宋_GBK"/>
          <w:b/>
          <w:color w:val="000000"/>
          <w:sz w:val="24"/>
        </w:rPr>
        <w:t>其他商务要求内容</w:t>
      </w:r>
      <w:bookmarkEnd w:id="75"/>
      <w:bookmarkEnd w:id="76"/>
    </w:p>
    <w:p w14:paraId="24F0A784">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（一）成交供应商不得将服务资格转让其他机构。</w:t>
      </w:r>
    </w:p>
    <w:p w14:paraId="02871CC0">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（二）成交供应商拒绝承接采购人安排的服务项目或服务后验收不合格的，采购人有权单方解除合同。</w:t>
      </w:r>
    </w:p>
    <w:p w14:paraId="5698AD44">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（三）采购人将不定期对成交供应商的服务进行测评，如测评不合格，采购人有权单方解除合同。</w:t>
      </w:r>
    </w:p>
    <w:p w14:paraId="42127830">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（四）如国家相关法律法规发生变化，则按新的法律法规执行。</w:t>
      </w:r>
    </w:p>
    <w:p w14:paraId="601C1501">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（五）供应商必须在响应文件中对以上条款和服务承诺明确列出，承诺内容必须达到本篇及竞争性磋商文件其他条款的要求。</w:t>
      </w:r>
    </w:p>
    <w:p w14:paraId="2D8026BC">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（六）其他未尽事宜由供需双方在采购合同中详细约定。</w:t>
      </w:r>
    </w:p>
    <w:p w14:paraId="7C7E90B5">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（七）响应文件一式三份，一正两副。</w:t>
      </w:r>
    </w:p>
    <w:p w14:paraId="4A059AED">
      <w:pPr>
        <w:adjustRightInd w:val="0"/>
        <w:snapToGrid w:val="0"/>
        <w:spacing w:line="400" w:lineRule="exact"/>
        <w:ind w:firstLine="480" w:firstLineChars="200"/>
        <w:rPr>
          <w:rFonts w:ascii="方正仿宋_GBK" w:hAnsi="方正仿宋_GBK" w:eastAsia="方正仿宋_GBK" w:cs="方正仿宋_GBK"/>
          <w:color w:val="000000"/>
          <w:sz w:val="24"/>
        </w:rPr>
      </w:pPr>
    </w:p>
    <w:p w14:paraId="6930D6FE">
      <w:pPr>
        <w:adjustRightInd w:val="0"/>
        <w:snapToGrid w:val="0"/>
        <w:spacing w:line="400" w:lineRule="exact"/>
        <w:ind w:firstLine="480" w:firstLineChars="200"/>
        <w:rPr>
          <w:rFonts w:ascii="方正仿宋_GBK" w:hAnsi="方正仿宋_GBK" w:eastAsia="方正仿宋_GBK" w:cs="方正仿宋_GBK"/>
          <w:color w:val="000000"/>
          <w:sz w:val="24"/>
        </w:rPr>
      </w:pPr>
    </w:p>
    <w:p w14:paraId="1C0AE8CA">
      <w:pPr>
        <w:adjustRightInd w:val="0"/>
        <w:snapToGrid w:val="0"/>
        <w:spacing w:line="400" w:lineRule="exact"/>
        <w:ind w:firstLine="480" w:firstLineChars="200"/>
        <w:rPr>
          <w:rFonts w:ascii="方正仿宋_GBK" w:hAnsi="方正仿宋_GBK" w:eastAsia="方正仿宋_GBK" w:cs="方正仿宋_GBK"/>
          <w:color w:val="000000"/>
          <w:sz w:val="24"/>
        </w:rPr>
      </w:pPr>
    </w:p>
    <w:p w14:paraId="61FADA43">
      <w:pPr>
        <w:adjustRightInd w:val="0"/>
        <w:snapToGrid w:val="0"/>
        <w:spacing w:line="400" w:lineRule="exact"/>
        <w:ind w:firstLine="480" w:firstLineChars="200"/>
        <w:rPr>
          <w:rFonts w:ascii="方正仿宋_GBK" w:hAnsi="方正仿宋_GBK" w:eastAsia="方正仿宋_GBK" w:cs="方正仿宋_GBK"/>
          <w:color w:val="000000"/>
          <w:sz w:val="24"/>
        </w:rPr>
      </w:pPr>
    </w:p>
    <w:p w14:paraId="106B7BB1">
      <w:pPr>
        <w:adjustRightInd w:val="0"/>
        <w:snapToGrid w:val="0"/>
        <w:spacing w:line="400" w:lineRule="exact"/>
        <w:ind w:firstLine="480" w:firstLineChars="200"/>
        <w:rPr>
          <w:rFonts w:ascii="方正仿宋_GBK" w:hAnsi="方正仿宋_GBK" w:eastAsia="方正仿宋_GBK" w:cs="方正仿宋_GBK"/>
          <w:color w:val="000000"/>
          <w:sz w:val="24"/>
        </w:rPr>
      </w:pPr>
    </w:p>
    <w:p w14:paraId="57DEF4A6">
      <w:pPr>
        <w:adjustRightInd w:val="0"/>
        <w:snapToGrid w:val="0"/>
        <w:spacing w:line="400" w:lineRule="exact"/>
        <w:ind w:firstLine="480" w:firstLineChars="200"/>
        <w:rPr>
          <w:rFonts w:ascii="方正仿宋_GBK" w:hAnsi="方正仿宋_GBK" w:eastAsia="方正仿宋_GBK" w:cs="方正仿宋_GBK"/>
          <w:color w:val="000000"/>
          <w:sz w:val="24"/>
        </w:rPr>
      </w:pPr>
    </w:p>
    <w:p w14:paraId="7BB899A4">
      <w:pPr>
        <w:adjustRightInd w:val="0"/>
        <w:snapToGrid w:val="0"/>
        <w:spacing w:line="400" w:lineRule="exact"/>
        <w:ind w:firstLine="480" w:firstLineChars="200"/>
        <w:rPr>
          <w:rFonts w:ascii="方正仿宋_GBK" w:hAnsi="方正仿宋_GBK" w:eastAsia="方正仿宋_GBK" w:cs="方正仿宋_GBK"/>
          <w:color w:val="000000"/>
          <w:sz w:val="24"/>
        </w:rPr>
      </w:pPr>
    </w:p>
    <w:p w14:paraId="37B30750">
      <w:pPr>
        <w:adjustRightInd w:val="0"/>
        <w:snapToGrid w:val="0"/>
        <w:spacing w:line="400" w:lineRule="exact"/>
        <w:jc w:val="center"/>
        <w:rPr>
          <w:rFonts w:ascii="方正仿宋_GBK" w:hAnsi="方正仿宋_GBK" w:eastAsia="方正仿宋_GBK" w:cs="方正仿宋_GBK"/>
          <w:b/>
          <w:bCs/>
          <w:sz w:val="36"/>
          <w:szCs w:val="36"/>
        </w:rPr>
      </w:pPr>
      <w:bookmarkStart w:id="77" w:name="_Toc16770"/>
      <w:bookmarkStart w:id="78" w:name="_Toc21628"/>
      <w:bookmarkStart w:id="79" w:name="_Toc13048"/>
      <w:bookmarkStart w:id="80" w:name="_Toc18730"/>
      <w:bookmarkStart w:id="81" w:name="_Toc1612"/>
      <w:bookmarkStart w:id="82" w:name="_Toc7130"/>
      <w:bookmarkStart w:id="83" w:name="_Toc10994"/>
      <w:bookmarkStart w:id="84" w:name="_Toc20923"/>
      <w:r>
        <w:rPr>
          <w:rFonts w:hint="eastAsia" w:ascii="方正仿宋_GBK" w:hAnsi="方正仿宋_GBK" w:eastAsia="方正仿宋_GBK" w:cs="方正仿宋_GBK"/>
          <w:b/>
          <w:bCs/>
          <w:sz w:val="24"/>
        </w:rPr>
        <w:br w:type="page"/>
      </w:r>
      <w:r>
        <w:rPr>
          <w:rFonts w:hint="eastAsia" w:ascii="方正仿宋_GBK" w:hAnsi="方正仿宋_GBK" w:eastAsia="方正仿宋_GBK" w:cs="方正仿宋_GBK"/>
          <w:b/>
          <w:bCs/>
          <w:sz w:val="36"/>
          <w:szCs w:val="36"/>
        </w:rPr>
        <w:t xml:space="preserve">第四章 </w:t>
      </w:r>
      <w:bookmarkEnd w:id="77"/>
      <w:bookmarkEnd w:id="78"/>
      <w:bookmarkEnd w:id="79"/>
      <w:bookmarkEnd w:id="80"/>
      <w:r>
        <w:rPr>
          <w:rFonts w:hint="eastAsia" w:ascii="方正仿宋_GBK" w:hAnsi="方正仿宋_GBK" w:eastAsia="方正仿宋_GBK" w:cs="方正仿宋_GBK"/>
          <w:b/>
          <w:bCs/>
          <w:sz w:val="36"/>
          <w:szCs w:val="36"/>
        </w:rPr>
        <w:t>磋商程序及方法、评审标准</w:t>
      </w:r>
    </w:p>
    <w:p w14:paraId="0F197DF7">
      <w:pPr>
        <w:adjustRightInd w:val="0"/>
        <w:snapToGrid w:val="0"/>
        <w:spacing w:line="400" w:lineRule="exact"/>
        <w:ind w:firstLine="482" w:firstLineChars="200"/>
        <w:rPr>
          <w:rFonts w:ascii="方正仿宋_GBK" w:hAnsi="方正仿宋_GBK" w:eastAsia="方正仿宋_GBK" w:cs="方正仿宋_GBK"/>
          <w:b/>
          <w:color w:val="000000"/>
          <w:sz w:val="24"/>
        </w:rPr>
      </w:pPr>
      <w:bookmarkStart w:id="85" w:name="_Toc532648434"/>
      <w:r>
        <w:rPr>
          <w:rFonts w:hint="eastAsia" w:ascii="方正仿宋_GBK" w:hAnsi="方正仿宋_GBK" w:eastAsia="方正仿宋_GBK" w:cs="方正仿宋_GBK"/>
          <w:b/>
          <w:color w:val="000000"/>
          <w:sz w:val="24"/>
        </w:rPr>
        <w:t>一、磋商程序及方法</w:t>
      </w:r>
      <w:bookmarkEnd w:id="85"/>
    </w:p>
    <w:p w14:paraId="22013E77">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855339A">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（二）磋商小组对各供应商的资格条件、响应文件的有效性、完整性和响应程度进行审查。各供应商只有在完全符合要求的前提下，才能参与正式磋商。</w:t>
      </w:r>
    </w:p>
    <w:p w14:paraId="687984AF">
      <w:pPr>
        <w:adjustRightInd w:val="0"/>
        <w:snapToGrid w:val="0"/>
        <w:spacing w:line="0" w:lineRule="atLeas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1.资格性检查。依据法律法规和竞争性磋商文件的规定，对响应文件中的资格证明等进行审查，以确定供应商是否具备磋商资格。资格性检查资料表如下：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3112"/>
        <w:gridCol w:w="4925"/>
      </w:tblGrid>
      <w:tr w14:paraId="1B7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7ECC4B5">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3824" w:type="dxa"/>
            <w:gridSpan w:val="2"/>
            <w:vAlign w:val="center"/>
          </w:tcPr>
          <w:p w14:paraId="65AF2083">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检查因素</w:t>
            </w:r>
          </w:p>
        </w:tc>
        <w:tc>
          <w:tcPr>
            <w:tcW w:w="4925" w:type="dxa"/>
            <w:vAlign w:val="center"/>
          </w:tcPr>
          <w:p w14:paraId="5231C2A3">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检查内容</w:t>
            </w:r>
          </w:p>
        </w:tc>
      </w:tr>
      <w:tr w14:paraId="400B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2E1BBAD9">
            <w:pPr>
              <w:adjustRightInd w:val="0"/>
              <w:snapToGrid w:val="0"/>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12" w:type="dxa"/>
            <w:vMerge w:val="restart"/>
            <w:vAlign w:val="center"/>
          </w:tcPr>
          <w:p w14:paraId="77A06B5B">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供应商应符合的基本资格条件</w:t>
            </w:r>
          </w:p>
        </w:tc>
        <w:tc>
          <w:tcPr>
            <w:tcW w:w="3112" w:type="dxa"/>
            <w:vAlign w:val="center"/>
          </w:tcPr>
          <w:p w14:paraId="5C82737F">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（1）具有独立承担民事责任的能力</w:t>
            </w:r>
          </w:p>
        </w:tc>
        <w:tc>
          <w:tcPr>
            <w:tcW w:w="4925" w:type="dxa"/>
            <w:vAlign w:val="center"/>
          </w:tcPr>
          <w:p w14:paraId="7489FA66">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供应商法人营业执照副本或事业单位法人证书副本、税务登记证副本；</w:t>
            </w:r>
          </w:p>
          <w:p w14:paraId="26B4F15D">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供应商法定代表人身份证明和法定代表人授权代表委托书。</w:t>
            </w:r>
          </w:p>
        </w:tc>
      </w:tr>
      <w:tr w14:paraId="32C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07464DCA">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03A92F2E">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22D33FD1">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（2）</w:t>
            </w:r>
            <w:r>
              <w:rPr>
                <w:rFonts w:hint="eastAsia" w:ascii="方正仿宋_GBK" w:hAnsi="方正仿宋_GBK" w:eastAsia="方正仿宋_GBK" w:cs="方正仿宋_GBK"/>
                <w:szCs w:val="21"/>
              </w:rPr>
              <w:t>具有良好的商业信誉和健全的财务会计制度</w:t>
            </w:r>
          </w:p>
        </w:tc>
        <w:tc>
          <w:tcPr>
            <w:tcW w:w="4925" w:type="dxa"/>
            <w:vAlign w:val="center"/>
          </w:tcPr>
          <w:p w14:paraId="5163E862">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提供上一年度财务状况报告（表），本年度新成立或成立不满一年的组织和自然人无法提供财务状况报告（表）的，可提供银行出具的资信证明复印件。</w:t>
            </w:r>
          </w:p>
        </w:tc>
      </w:tr>
      <w:tr w14:paraId="1A78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2B2D100">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74E0C607">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4C4E2128">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（3）具有履行合同所必需的设备和专业技术能力</w:t>
            </w:r>
          </w:p>
        </w:tc>
        <w:tc>
          <w:tcPr>
            <w:tcW w:w="4925" w:type="dxa"/>
            <w:vAlign w:val="center"/>
          </w:tcPr>
          <w:p w14:paraId="36772D49">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供应商提供书面声明</w:t>
            </w:r>
          </w:p>
        </w:tc>
      </w:tr>
      <w:tr w14:paraId="5CE3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0726204A">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5E6F5C1B">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36ECE3A7">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（4）有依法缴纳税收的良好记录</w:t>
            </w:r>
          </w:p>
        </w:tc>
        <w:tc>
          <w:tcPr>
            <w:tcW w:w="4925" w:type="dxa"/>
            <w:vAlign w:val="center"/>
          </w:tcPr>
          <w:p w14:paraId="31DB0F23">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1.税务登记证（副本）复印件（注</w:t>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 1 \* GB3 \* MERGEFORMAT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①</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t>）2.缴纳社会保障金的证明材料复印件（缴纳社会保障金的证明材料指：社会保险登记证（注</w:t>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 1 \* GB3 \* MERGEFORMAT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①</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t>）或缴纳社会保险的凭据（专用收据或社会保险缴纳清单）。依法免税或不需要缴纳社会保障资金的供应商，应提供相应文件证明其依法免税或不需要缴纳社会保障资金。</w:t>
            </w:r>
          </w:p>
        </w:tc>
      </w:tr>
      <w:tr w14:paraId="2D47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248115E9">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296E9182">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23BE211B">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rPr>
              <w:t>（5）参加政府采购活动前三年内，在经营活动中没有重大违法记录（注</w:t>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 2 \* GB3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②</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t>）</w:t>
            </w:r>
          </w:p>
        </w:tc>
        <w:tc>
          <w:tcPr>
            <w:tcW w:w="4925" w:type="dxa"/>
            <w:vAlign w:val="center"/>
          </w:tcPr>
          <w:p w14:paraId="45CB57BA">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1.供应商提供书面声明（见格式文件）；</w:t>
            </w:r>
          </w:p>
          <w:p w14:paraId="0F865D8C">
            <w:pPr>
              <w:adjustRightInd w:val="0"/>
              <w:snapToGrid w:val="0"/>
              <w:spacing w:line="0" w:lineRule="atLeast"/>
              <w:rPr>
                <w:rFonts w:ascii="方正仿宋_GBK" w:hAnsi="方正仿宋_GBK" w:eastAsia="方正仿宋_GBK" w:cs="方正仿宋_GBK"/>
                <w:b/>
                <w:szCs w:val="21"/>
              </w:rPr>
            </w:pPr>
            <w:r>
              <w:rPr>
                <w:rFonts w:hint="eastAsia" w:ascii="方正仿宋_GBK" w:hAnsi="方正仿宋_GBK" w:eastAsia="方正仿宋_GBK" w:cs="方正仿宋_GBK"/>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8F6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3952B28">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5FC4C964">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115A90E7">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（6）法律、行政法规规定的其他条件</w:t>
            </w:r>
          </w:p>
        </w:tc>
        <w:tc>
          <w:tcPr>
            <w:tcW w:w="4925" w:type="dxa"/>
            <w:vAlign w:val="center"/>
          </w:tcPr>
          <w:p w14:paraId="3F11667C">
            <w:pPr>
              <w:adjustRightInd w:val="0"/>
              <w:snapToGrid w:val="0"/>
              <w:spacing w:line="0" w:lineRule="atLeast"/>
              <w:rPr>
                <w:rFonts w:ascii="方正仿宋_GBK" w:hAnsi="方正仿宋_GBK" w:eastAsia="方正仿宋_GBK" w:cs="方正仿宋_GBK"/>
                <w:szCs w:val="21"/>
              </w:rPr>
            </w:pPr>
          </w:p>
        </w:tc>
      </w:tr>
      <w:tr w14:paraId="68F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Align w:val="center"/>
          </w:tcPr>
          <w:p w14:paraId="69FDDCD1">
            <w:pPr>
              <w:adjustRightInd w:val="0"/>
              <w:snapToGrid w:val="0"/>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3824" w:type="dxa"/>
            <w:gridSpan w:val="2"/>
            <w:vAlign w:val="center"/>
          </w:tcPr>
          <w:p w14:paraId="5665E6F5">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特定资格条件</w:t>
            </w:r>
          </w:p>
        </w:tc>
        <w:tc>
          <w:tcPr>
            <w:tcW w:w="4925" w:type="dxa"/>
            <w:vAlign w:val="center"/>
          </w:tcPr>
          <w:p w14:paraId="6507864A">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按第一篇“三、供应商资格要求（二）特定资格条件”的要求提交</w:t>
            </w:r>
          </w:p>
        </w:tc>
      </w:tr>
    </w:tbl>
    <w:p w14:paraId="6BBA3002">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w:t>
      </w:r>
      <w:r>
        <w:rPr>
          <w:rFonts w:hint="eastAsia" w:ascii="方正仿宋_GBK" w:hAnsi="方正仿宋_GBK" w:eastAsia="方正仿宋_GBK" w:cs="方正仿宋_GBK"/>
          <w:color w:val="000000"/>
          <w:sz w:val="24"/>
        </w:rPr>
        <w:fldChar w:fldCharType="begin"/>
      </w:r>
      <w:r>
        <w:rPr>
          <w:rFonts w:hint="eastAsia" w:ascii="方正仿宋_GBK" w:hAnsi="方正仿宋_GBK" w:eastAsia="方正仿宋_GBK" w:cs="方正仿宋_GBK"/>
          <w:color w:val="000000"/>
          <w:sz w:val="24"/>
        </w:rPr>
        <w:instrText xml:space="preserve"> = 1 \* GB3 \* MERGEFORMAT </w:instrText>
      </w:r>
      <w:r>
        <w:rPr>
          <w:rFonts w:hint="eastAsia" w:ascii="方正仿宋_GBK" w:hAnsi="方正仿宋_GBK" w:eastAsia="方正仿宋_GBK" w:cs="方正仿宋_GBK"/>
          <w:color w:val="000000"/>
          <w:sz w:val="24"/>
        </w:rPr>
        <w:fldChar w:fldCharType="separate"/>
      </w:r>
      <w:r>
        <w:rPr>
          <w:rFonts w:hint="eastAsia" w:ascii="方正仿宋_GBK" w:hAnsi="方正仿宋_GBK" w:eastAsia="方正仿宋_GBK" w:cs="方正仿宋_GBK"/>
          <w:color w:val="000000"/>
          <w:sz w:val="24"/>
        </w:rPr>
        <w:t>①</w:t>
      </w:r>
      <w:r>
        <w:rPr>
          <w:rFonts w:hint="eastAsia" w:ascii="方正仿宋_GBK" w:hAnsi="方正仿宋_GBK" w:eastAsia="方正仿宋_GBK" w:cs="方正仿宋_GBK"/>
          <w:color w:val="000000"/>
          <w:sz w:val="24"/>
        </w:rPr>
        <w:fldChar w:fldCharType="end"/>
      </w:r>
      <w:r>
        <w:rPr>
          <w:rFonts w:hint="eastAsia" w:ascii="方正仿宋_GBK" w:hAnsi="方正仿宋_GBK" w:eastAsia="方正仿宋_GBK" w:cs="方正仿宋_GBK"/>
          <w:color w:val="000000"/>
          <w:sz w:val="24"/>
        </w:rPr>
        <w:t>供应商按“三证合一”登记制度办理营业执照的，组织机构代码证和税务登记证以供应商所提供的法人营业执照（副本）复印件为准。</w:t>
      </w:r>
    </w:p>
    <w:p w14:paraId="3817A98D">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fldChar w:fldCharType="begin"/>
      </w:r>
      <w:r>
        <w:rPr>
          <w:rFonts w:hint="eastAsia" w:ascii="方正仿宋_GBK" w:hAnsi="方正仿宋_GBK" w:eastAsia="方正仿宋_GBK" w:cs="方正仿宋_GBK"/>
          <w:color w:val="000000"/>
          <w:sz w:val="24"/>
        </w:rPr>
        <w:instrText xml:space="preserve"> = 2 \* GB3 </w:instrText>
      </w:r>
      <w:r>
        <w:rPr>
          <w:rFonts w:hint="eastAsia" w:ascii="方正仿宋_GBK" w:hAnsi="方正仿宋_GBK" w:eastAsia="方正仿宋_GBK" w:cs="方正仿宋_GBK"/>
          <w:color w:val="000000"/>
          <w:sz w:val="24"/>
        </w:rPr>
        <w:fldChar w:fldCharType="separate"/>
      </w:r>
      <w:r>
        <w:rPr>
          <w:rFonts w:hint="eastAsia" w:ascii="方正仿宋_GBK" w:hAnsi="方正仿宋_GBK" w:eastAsia="方正仿宋_GBK" w:cs="方正仿宋_GBK"/>
          <w:color w:val="000000"/>
          <w:sz w:val="24"/>
        </w:rPr>
        <w:t>②</w:t>
      </w:r>
      <w:r>
        <w:rPr>
          <w:rFonts w:hint="eastAsia" w:ascii="方正仿宋_GBK" w:hAnsi="方正仿宋_GBK" w:eastAsia="方正仿宋_GBK" w:cs="方正仿宋_GBK"/>
          <w:color w:val="000000"/>
          <w:sz w:val="24"/>
        </w:rPr>
        <w:fldChar w:fldCharType="end"/>
      </w:r>
      <w:r>
        <w:rPr>
          <w:rFonts w:hint="eastAsia" w:ascii="方正仿宋_GBK" w:hAnsi="方正仿宋_GBK" w:eastAsia="方正仿宋_GBK" w:cs="方正仿宋_GBK"/>
          <w:color w:val="000000"/>
          <w:sz w:val="24"/>
        </w:rPr>
        <w:t>供应商应对所提供的全部资料的真实性负责，如提供虚假材料，一经查实，将取消投标资格或中标资格，并按照《政府采购法》及相关法律法规的规定进行处理。</w:t>
      </w:r>
    </w:p>
    <w:p w14:paraId="1755156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kern w:val="0"/>
          <w:sz w:val="24"/>
        </w:rPr>
        <w:t>③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信用中国”网站(www.creditchina.gov.cn)、"行采家"(</w:t>
      </w:r>
      <w:r>
        <w:rPr>
          <w:rFonts w:hint="eastAsia" w:ascii="方正仿宋_GBK" w:hAnsi="方正仿宋_GBK" w:eastAsia="方正仿宋_GBK" w:cs="方正仿宋_GBK"/>
          <w:color w:val="000000"/>
          <w:sz w:val="24"/>
        </w:rPr>
        <w:t>www.gec123.com</w:t>
      </w:r>
      <w:r>
        <w:rPr>
          <w:rFonts w:hint="eastAsia" w:ascii="方正仿宋_GBK" w:hAnsi="方正仿宋_GBK" w:eastAsia="方正仿宋_GBK" w:cs="方正仿宋_GBK"/>
          <w:kern w:val="0"/>
          <w:sz w:val="24"/>
        </w:rPr>
        <w:t>)等渠道查询信用记录。</w:t>
      </w:r>
    </w:p>
    <w:p w14:paraId="788D5448">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91"/>
        <w:gridCol w:w="1985"/>
        <w:gridCol w:w="5574"/>
      </w:tblGrid>
      <w:tr w14:paraId="05C1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0" w:type="dxa"/>
            <w:vAlign w:val="center"/>
          </w:tcPr>
          <w:p w14:paraId="42E37444">
            <w:pPr>
              <w:adjustRightInd w:val="0"/>
              <w:snapToGrid w:val="0"/>
              <w:spacing w:line="4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3276" w:type="dxa"/>
            <w:gridSpan w:val="2"/>
            <w:vAlign w:val="center"/>
          </w:tcPr>
          <w:p w14:paraId="33EC9774">
            <w:pPr>
              <w:adjustRightInd w:val="0"/>
              <w:snapToGrid w:val="0"/>
              <w:spacing w:line="4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评审因素</w:t>
            </w:r>
          </w:p>
        </w:tc>
        <w:tc>
          <w:tcPr>
            <w:tcW w:w="5574" w:type="dxa"/>
            <w:vAlign w:val="center"/>
          </w:tcPr>
          <w:p w14:paraId="5304EB47">
            <w:pPr>
              <w:adjustRightInd w:val="0"/>
              <w:snapToGrid w:val="0"/>
              <w:spacing w:line="40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评审标准</w:t>
            </w:r>
          </w:p>
        </w:tc>
      </w:tr>
      <w:tr w14:paraId="67F0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60" w:type="dxa"/>
            <w:vMerge w:val="restart"/>
            <w:vAlign w:val="center"/>
          </w:tcPr>
          <w:p w14:paraId="6C00067D">
            <w:pPr>
              <w:adjustRightInd w:val="0"/>
              <w:snapToGrid w:val="0"/>
              <w:spacing w:line="40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291" w:type="dxa"/>
            <w:vMerge w:val="restart"/>
            <w:vAlign w:val="center"/>
          </w:tcPr>
          <w:p w14:paraId="15E8CBB6">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有效性审查</w:t>
            </w:r>
          </w:p>
        </w:tc>
        <w:tc>
          <w:tcPr>
            <w:tcW w:w="1985" w:type="dxa"/>
            <w:vAlign w:val="center"/>
          </w:tcPr>
          <w:p w14:paraId="37F7CB4C">
            <w:pPr>
              <w:adjustRightInd w:val="0"/>
              <w:snapToGrid w:val="0"/>
              <w:spacing w:line="4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响应文件签署</w:t>
            </w:r>
          </w:p>
        </w:tc>
        <w:tc>
          <w:tcPr>
            <w:tcW w:w="5574" w:type="dxa"/>
            <w:vAlign w:val="center"/>
          </w:tcPr>
          <w:p w14:paraId="2EB822C1">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szCs w:val="21"/>
              </w:rPr>
              <w:t>响应文件上法定代表人或其授权代表人的签字齐全。</w:t>
            </w:r>
          </w:p>
        </w:tc>
      </w:tr>
      <w:tr w14:paraId="4086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0" w:type="dxa"/>
            <w:vMerge w:val="continue"/>
            <w:vAlign w:val="center"/>
          </w:tcPr>
          <w:p w14:paraId="58EDB9D4">
            <w:pPr>
              <w:adjustRightInd w:val="0"/>
              <w:snapToGrid w:val="0"/>
              <w:spacing w:line="400" w:lineRule="exact"/>
              <w:jc w:val="center"/>
              <w:rPr>
                <w:rFonts w:ascii="方正仿宋_GBK" w:hAnsi="方正仿宋_GBK" w:eastAsia="方正仿宋_GBK" w:cs="方正仿宋_GBK"/>
                <w:kern w:val="0"/>
                <w:szCs w:val="21"/>
              </w:rPr>
            </w:pPr>
          </w:p>
        </w:tc>
        <w:tc>
          <w:tcPr>
            <w:tcW w:w="1291" w:type="dxa"/>
            <w:vMerge w:val="continue"/>
            <w:vAlign w:val="center"/>
          </w:tcPr>
          <w:p w14:paraId="501FC84E">
            <w:pPr>
              <w:adjustRightInd w:val="0"/>
              <w:snapToGrid w:val="0"/>
              <w:spacing w:line="400" w:lineRule="exact"/>
              <w:rPr>
                <w:rFonts w:ascii="方正仿宋_GBK" w:hAnsi="方正仿宋_GBK" w:eastAsia="方正仿宋_GBK" w:cs="方正仿宋_GBK"/>
                <w:kern w:val="0"/>
                <w:szCs w:val="21"/>
              </w:rPr>
            </w:pPr>
          </w:p>
        </w:tc>
        <w:tc>
          <w:tcPr>
            <w:tcW w:w="1985" w:type="dxa"/>
            <w:vAlign w:val="center"/>
          </w:tcPr>
          <w:p w14:paraId="7AAEA77B">
            <w:pPr>
              <w:adjustRightInd w:val="0"/>
              <w:snapToGrid w:val="0"/>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法定代表人身份证明及授权委托书</w:t>
            </w:r>
          </w:p>
        </w:tc>
        <w:tc>
          <w:tcPr>
            <w:tcW w:w="5574" w:type="dxa"/>
            <w:vAlign w:val="center"/>
          </w:tcPr>
          <w:p w14:paraId="24ADEF5B">
            <w:pPr>
              <w:adjustRightInd w:val="0"/>
              <w:snapToGrid w:val="0"/>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法定代表人身份证明及授权委托书有效，符合竞争性磋商文件规定的格式，签字或盖章齐全。</w:t>
            </w:r>
          </w:p>
        </w:tc>
      </w:tr>
      <w:tr w14:paraId="365C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60" w:type="dxa"/>
            <w:vMerge w:val="continue"/>
            <w:vAlign w:val="center"/>
          </w:tcPr>
          <w:p w14:paraId="64D97B1F">
            <w:pPr>
              <w:adjustRightInd w:val="0"/>
              <w:snapToGrid w:val="0"/>
              <w:spacing w:line="400" w:lineRule="exact"/>
              <w:jc w:val="center"/>
              <w:rPr>
                <w:rFonts w:ascii="方正仿宋_GBK" w:hAnsi="方正仿宋_GBK" w:eastAsia="方正仿宋_GBK" w:cs="方正仿宋_GBK"/>
                <w:kern w:val="0"/>
                <w:szCs w:val="21"/>
              </w:rPr>
            </w:pPr>
          </w:p>
        </w:tc>
        <w:tc>
          <w:tcPr>
            <w:tcW w:w="1291" w:type="dxa"/>
            <w:vMerge w:val="continue"/>
            <w:vAlign w:val="center"/>
          </w:tcPr>
          <w:p w14:paraId="28947E8E">
            <w:pPr>
              <w:adjustRightInd w:val="0"/>
              <w:snapToGrid w:val="0"/>
              <w:spacing w:line="400" w:lineRule="exact"/>
              <w:rPr>
                <w:rFonts w:ascii="方正仿宋_GBK" w:hAnsi="方正仿宋_GBK" w:eastAsia="方正仿宋_GBK" w:cs="方正仿宋_GBK"/>
                <w:kern w:val="0"/>
                <w:szCs w:val="21"/>
              </w:rPr>
            </w:pPr>
          </w:p>
        </w:tc>
        <w:tc>
          <w:tcPr>
            <w:tcW w:w="1985" w:type="dxa"/>
            <w:vAlign w:val="center"/>
          </w:tcPr>
          <w:p w14:paraId="4C5AE784">
            <w:pPr>
              <w:adjustRightInd w:val="0"/>
              <w:snapToGrid w:val="0"/>
              <w:spacing w:line="400" w:lineRule="exact"/>
              <w:jc w:val="lef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磋商方案</w:t>
            </w:r>
          </w:p>
        </w:tc>
        <w:tc>
          <w:tcPr>
            <w:tcW w:w="5574" w:type="dxa"/>
            <w:vAlign w:val="center"/>
          </w:tcPr>
          <w:p w14:paraId="6D512B22">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只能有一个方案参与磋商。</w:t>
            </w:r>
          </w:p>
        </w:tc>
      </w:tr>
      <w:tr w14:paraId="690A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14:paraId="135629DF">
            <w:pPr>
              <w:adjustRightInd w:val="0"/>
              <w:snapToGrid w:val="0"/>
              <w:spacing w:line="400" w:lineRule="exact"/>
              <w:jc w:val="center"/>
              <w:rPr>
                <w:rFonts w:ascii="方正仿宋_GBK" w:hAnsi="方正仿宋_GBK" w:eastAsia="方正仿宋_GBK" w:cs="方正仿宋_GBK"/>
                <w:kern w:val="0"/>
                <w:szCs w:val="21"/>
              </w:rPr>
            </w:pPr>
          </w:p>
        </w:tc>
        <w:tc>
          <w:tcPr>
            <w:tcW w:w="1291" w:type="dxa"/>
            <w:vMerge w:val="continue"/>
            <w:vAlign w:val="center"/>
          </w:tcPr>
          <w:p w14:paraId="22DCD74F">
            <w:pPr>
              <w:adjustRightInd w:val="0"/>
              <w:snapToGrid w:val="0"/>
              <w:spacing w:line="400" w:lineRule="exact"/>
              <w:rPr>
                <w:rFonts w:ascii="方正仿宋_GBK" w:hAnsi="方正仿宋_GBK" w:eastAsia="方正仿宋_GBK" w:cs="方正仿宋_GBK"/>
                <w:kern w:val="0"/>
                <w:szCs w:val="21"/>
              </w:rPr>
            </w:pPr>
          </w:p>
        </w:tc>
        <w:tc>
          <w:tcPr>
            <w:tcW w:w="1985" w:type="dxa"/>
            <w:vAlign w:val="center"/>
          </w:tcPr>
          <w:p w14:paraId="5CEA9DBE">
            <w:pPr>
              <w:adjustRightInd w:val="0"/>
              <w:snapToGrid w:val="0"/>
              <w:spacing w:line="400" w:lineRule="exact"/>
              <w:jc w:val="lef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rPr>
              <w:t>报价唯一</w:t>
            </w:r>
          </w:p>
        </w:tc>
        <w:tc>
          <w:tcPr>
            <w:tcW w:w="5574" w:type="dxa"/>
            <w:vAlign w:val="center"/>
          </w:tcPr>
          <w:p w14:paraId="19017830">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只能在采购预算范围内报价，</w:t>
            </w:r>
            <w:r>
              <w:rPr>
                <w:rFonts w:hint="eastAsia" w:ascii="方正仿宋_GBK" w:hAnsi="方正仿宋_GBK" w:eastAsia="方正仿宋_GBK" w:cs="方正仿宋_GBK"/>
                <w:szCs w:val="21"/>
              </w:rPr>
              <w:t>只能有一个有效报价，不得提交选择性报价。</w:t>
            </w:r>
          </w:p>
        </w:tc>
      </w:tr>
      <w:tr w14:paraId="5C8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0" w:type="dxa"/>
            <w:vAlign w:val="center"/>
          </w:tcPr>
          <w:p w14:paraId="06BD08EE">
            <w:pPr>
              <w:adjustRightInd w:val="0"/>
              <w:snapToGrid w:val="0"/>
              <w:spacing w:line="40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291" w:type="dxa"/>
            <w:vAlign w:val="center"/>
          </w:tcPr>
          <w:p w14:paraId="145FFA80">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完整性审查</w:t>
            </w:r>
          </w:p>
        </w:tc>
        <w:tc>
          <w:tcPr>
            <w:tcW w:w="1985" w:type="dxa"/>
            <w:vAlign w:val="center"/>
          </w:tcPr>
          <w:p w14:paraId="77E026F9">
            <w:pPr>
              <w:adjustRightInd w:val="0"/>
              <w:snapToGrid w:val="0"/>
              <w:spacing w:line="4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响应文件份数</w:t>
            </w:r>
          </w:p>
        </w:tc>
        <w:tc>
          <w:tcPr>
            <w:tcW w:w="5574" w:type="dxa"/>
            <w:vAlign w:val="center"/>
          </w:tcPr>
          <w:p w14:paraId="3A67A5DB">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szCs w:val="21"/>
                <w:lang w:val="zh-CN"/>
              </w:rPr>
              <w:t>响应文件正、副本数量符合本竞争性磋商文件要求。</w:t>
            </w:r>
          </w:p>
        </w:tc>
      </w:tr>
      <w:tr w14:paraId="2AB9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0" w:type="dxa"/>
            <w:vMerge w:val="restart"/>
            <w:vAlign w:val="center"/>
          </w:tcPr>
          <w:p w14:paraId="065EF0DC">
            <w:pPr>
              <w:adjustRightInd w:val="0"/>
              <w:snapToGrid w:val="0"/>
              <w:spacing w:line="40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291" w:type="dxa"/>
            <w:vMerge w:val="restart"/>
            <w:vAlign w:val="center"/>
          </w:tcPr>
          <w:p w14:paraId="7F832CF1">
            <w:pPr>
              <w:adjustRightInd w:val="0"/>
              <w:snapToGrid w:val="0"/>
              <w:spacing w:line="400" w:lineRule="exact"/>
              <w:rPr>
                <w:rFonts w:ascii="方正仿宋_GBK" w:hAnsi="方正仿宋_GBK" w:eastAsia="方正仿宋_GBK" w:cs="方正仿宋_GBK"/>
                <w:szCs w:val="21"/>
                <w:lang w:val="zh-CN"/>
              </w:rPr>
            </w:pPr>
            <w:r>
              <w:rPr>
                <w:rFonts w:hint="eastAsia" w:ascii="方正仿宋_GBK" w:hAnsi="方正仿宋_GBK" w:eastAsia="方正仿宋_GBK" w:cs="方正仿宋_GBK"/>
                <w:kern w:val="0"/>
                <w:szCs w:val="21"/>
              </w:rPr>
              <w:t>实质性审查</w:t>
            </w:r>
          </w:p>
        </w:tc>
        <w:tc>
          <w:tcPr>
            <w:tcW w:w="1985" w:type="dxa"/>
            <w:vAlign w:val="center"/>
          </w:tcPr>
          <w:p w14:paraId="166C47D6">
            <w:pPr>
              <w:adjustRightInd w:val="0"/>
              <w:snapToGrid w:val="0"/>
              <w:spacing w:line="4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响应文件内容</w:t>
            </w:r>
          </w:p>
        </w:tc>
        <w:tc>
          <w:tcPr>
            <w:tcW w:w="5574" w:type="dxa"/>
            <w:vAlign w:val="center"/>
          </w:tcPr>
          <w:p w14:paraId="5B49467D">
            <w:pPr>
              <w:adjustRightInd w:val="0"/>
              <w:snapToGrid w:val="0"/>
              <w:spacing w:line="400" w:lineRule="exac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满足本竞争性磋商文件第二篇、第三篇中（※）号标注的部分要求</w:t>
            </w:r>
          </w:p>
        </w:tc>
      </w:tr>
      <w:tr w14:paraId="0EE1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60" w:type="dxa"/>
            <w:vMerge w:val="continue"/>
            <w:vAlign w:val="center"/>
          </w:tcPr>
          <w:p w14:paraId="37811771">
            <w:pPr>
              <w:adjustRightInd w:val="0"/>
              <w:snapToGrid w:val="0"/>
              <w:spacing w:line="400" w:lineRule="exact"/>
              <w:jc w:val="center"/>
              <w:rPr>
                <w:rFonts w:ascii="方正仿宋_GBK" w:hAnsi="方正仿宋_GBK" w:eastAsia="方正仿宋_GBK" w:cs="方正仿宋_GBK"/>
                <w:kern w:val="0"/>
                <w:szCs w:val="21"/>
              </w:rPr>
            </w:pPr>
          </w:p>
        </w:tc>
        <w:tc>
          <w:tcPr>
            <w:tcW w:w="1291" w:type="dxa"/>
            <w:vMerge w:val="continue"/>
            <w:vAlign w:val="center"/>
          </w:tcPr>
          <w:p w14:paraId="04A439C3">
            <w:pPr>
              <w:adjustRightInd w:val="0"/>
              <w:snapToGrid w:val="0"/>
              <w:spacing w:line="400" w:lineRule="exact"/>
              <w:rPr>
                <w:rFonts w:ascii="方正仿宋_GBK" w:hAnsi="方正仿宋_GBK" w:eastAsia="方正仿宋_GBK" w:cs="方正仿宋_GBK"/>
                <w:szCs w:val="21"/>
                <w:lang w:val="zh-CN"/>
              </w:rPr>
            </w:pPr>
          </w:p>
        </w:tc>
        <w:tc>
          <w:tcPr>
            <w:tcW w:w="1985" w:type="dxa"/>
            <w:vAlign w:val="center"/>
          </w:tcPr>
          <w:p w14:paraId="7FF64D97">
            <w:pPr>
              <w:adjustRightInd w:val="0"/>
              <w:snapToGrid w:val="0"/>
              <w:spacing w:line="4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磋商有效期</w:t>
            </w:r>
          </w:p>
        </w:tc>
        <w:tc>
          <w:tcPr>
            <w:tcW w:w="5574" w:type="dxa"/>
            <w:vAlign w:val="center"/>
          </w:tcPr>
          <w:p w14:paraId="0FE6BB30">
            <w:pPr>
              <w:adjustRightInd w:val="0"/>
              <w:snapToGrid w:val="0"/>
              <w:spacing w:line="4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满足竞争性磋商文件</w:t>
            </w:r>
            <w:r>
              <w:rPr>
                <w:rFonts w:hint="eastAsia" w:ascii="方正仿宋_GBK" w:hAnsi="方正仿宋_GBK" w:eastAsia="方正仿宋_GBK" w:cs="方正仿宋_GBK"/>
                <w:szCs w:val="21"/>
                <w:lang w:val="zh-CN"/>
              </w:rPr>
              <w:t>规定。</w:t>
            </w:r>
          </w:p>
        </w:tc>
      </w:tr>
    </w:tbl>
    <w:p w14:paraId="329B04AB">
      <w:pPr>
        <w:adjustRightInd w:val="0"/>
        <w:snapToGrid w:val="0"/>
        <w:spacing w:line="40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注：未通过</w:t>
      </w:r>
      <w:r>
        <w:rPr>
          <w:rFonts w:hint="eastAsia" w:ascii="方正仿宋_GBK" w:hAnsi="方正仿宋_GBK" w:eastAsia="方正仿宋_GBK" w:cs="方正仿宋_GBK"/>
          <w:color w:val="000000"/>
          <w:sz w:val="24"/>
        </w:rPr>
        <w:t>资格性和</w:t>
      </w:r>
      <w:r>
        <w:rPr>
          <w:rFonts w:hint="eastAsia" w:ascii="方正仿宋_GBK" w:hAnsi="方正仿宋_GBK" w:eastAsia="方正仿宋_GBK" w:cs="方正仿宋_GBK"/>
          <w:b/>
          <w:color w:val="000000"/>
          <w:sz w:val="24"/>
        </w:rPr>
        <w:t>符合性检查的响应文件按无效响应处理，磋商小组应当告知提交响应文件的供应商。</w:t>
      </w:r>
    </w:p>
    <w:p w14:paraId="3889E822">
      <w:pPr>
        <w:adjustRightInd w:val="0"/>
        <w:snapToGrid w:val="0"/>
        <w:spacing w:line="40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D891C2">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911CE">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5.在磋商过程中磋商的任何一方不得向他人透露与磋商有关的技术资料、价格或其他信息。</w:t>
      </w:r>
    </w:p>
    <w:p w14:paraId="50B95B0B">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CD28E0A">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7.供应商在磋商时作出的所有书面承诺须由法定代表人或其授权代表签字。</w:t>
      </w:r>
    </w:p>
    <w:p w14:paraId="4F8436F3">
      <w:pPr>
        <w:adjustRightInd w:val="0"/>
        <w:snapToGrid w:val="0"/>
        <w:spacing w:line="40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8.经磋商确定最终采购需求且磋商结束后，供应商应当按照竞争性磋商文件的变动情况和磋商小组的要求（如有），重新提交响应文件或重新做出相关的书面承诺。</w:t>
      </w:r>
    </w:p>
    <w:p w14:paraId="4F6AE405">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auto"/>
          <w:sz w:val="24"/>
        </w:rPr>
        <w:t>9.磋商小组采用综合评分法对供应商最</w:t>
      </w:r>
      <w:r>
        <w:rPr>
          <w:rFonts w:hint="eastAsia" w:ascii="方正仿宋_GBK" w:hAnsi="方正仿宋_GBK" w:eastAsia="方正仿宋_GBK" w:cs="方正仿宋_GBK"/>
          <w:color w:val="000000"/>
          <w:sz w:val="24"/>
        </w:rPr>
        <w:t>后提的交响应文件（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304F218">
      <w:pPr>
        <w:adjustRightInd w:val="0"/>
        <w:snapToGrid w:val="0"/>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报价得分相同的，按照技术指标优劣顺序排列推荐，技术指标得分相同的，按照商务指标优劣顺序排列推荐，以上都相同的则抽签决定排列推荐。</w:t>
      </w:r>
      <w:r>
        <w:rPr>
          <w:rFonts w:hint="eastAsia" w:ascii="方正仿宋_GBK" w:hAnsi="方正仿宋_GBK" w:eastAsia="方正仿宋_GBK" w:cs="方正仿宋_GBK"/>
          <w:sz w:val="24"/>
        </w:rPr>
        <w:t>若供应商的技术部分为0分，将失去成为成交候选供应商的资格。</w:t>
      </w:r>
    </w:p>
    <w:p w14:paraId="096BCFFA">
      <w:pPr>
        <w:adjustRightInd w:val="0"/>
        <w:snapToGrid w:val="0"/>
        <w:spacing w:line="380" w:lineRule="exact"/>
        <w:ind w:firstLine="482" w:firstLineChars="200"/>
        <w:rPr>
          <w:rFonts w:ascii="方正仿宋_GBK" w:hAnsi="方正仿宋_GBK" w:eastAsia="方正仿宋_GBK" w:cs="方正仿宋_GBK"/>
          <w:b/>
          <w:bCs/>
          <w:sz w:val="24"/>
        </w:rPr>
      </w:pPr>
      <w:bookmarkStart w:id="86" w:name="_Toc9588"/>
      <w:bookmarkStart w:id="87" w:name="_Toc6787"/>
      <w:bookmarkStart w:id="88" w:name="_Toc7578"/>
      <w:bookmarkStart w:id="89" w:name="_Toc10548"/>
      <w:bookmarkStart w:id="90" w:name="_Toc9662"/>
      <w:bookmarkStart w:id="91" w:name="_Toc22999"/>
      <w:bookmarkStart w:id="92" w:name="_Toc14050"/>
      <w:bookmarkStart w:id="93" w:name="_Toc76462334"/>
      <w:bookmarkStart w:id="94" w:name="_Toc24164"/>
      <w:bookmarkStart w:id="95" w:name="_Toc30683"/>
      <w:bookmarkStart w:id="96" w:name="_Toc8143"/>
      <w:bookmarkStart w:id="97" w:name="_Toc14176"/>
      <w:bookmarkStart w:id="98" w:name="_Toc31749"/>
      <w:bookmarkStart w:id="99" w:name="_Toc599443421"/>
      <w:bookmarkStart w:id="100" w:name="_Toc18112"/>
      <w:bookmarkStart w:id="101" w:name="_Toc11351"/>
      <w:bookmarkStart w:id="102" w:name="_Toc5785"/>
      <w:bookmarkStart w:id="103" w:name="_Toc12084"/>
      <w:bookmarkStart w:id="104" w:name="_Toc30288"/>
      <w:r>
        <w:rPr>
          <w:rFonts w:hint="eastAsia" w:ascii="方正仿宋_GBK" w:hAnsi="方正仿宋_GBK" w:eastAsia="方正仿宋_GBK" w:cs="方正仿宋_GBK"/>
          <w:b/>
          <w:bCs/>
          <w:sz w:val="24"/>
        </w:rPr>
        <w:t>二、</w:t>
      </w:r>
      <w:bookmarkStart w:id="105" w:name="_Toc102227320"/>
      <w:bookmarkStart w:id="106" w:name="_Toc342913394"/>
      <w:r>
        <w:rPr>
          <w:rFonts w:hint="eastAsia" w:ascii="方正仿宋_GBK" w:hAnsi="方正仿宋_GBK" w:eastAsia="方正仿宋_GBK" w:cs="方正仿宋_GBK"/>
          <w:b/>
          <w:bCs/>
          <w:sz w:val="24"/>
        </w:rPr>
        <w:t>评审标准</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7ABBE34">
      <w:pPr>
        <w:adjustRightInd w:val="0"/>
        <w:snapToGrid w:val="0"/>
        <w:spacing w:line="3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（一）评审因素</w:t>
      </w:r>
    </w:p>
    <w:tbl>
      <w:tblPr>
        <w:tblStyle w:val="8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5EA0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72FCFAA">
            <w:pPr>
              <w:adjustRightInd w:val="0"/>
              <w:snapToGrid w:val="0"/>
              <w:spacing w:line="0" w:lineRule="atLeast"/>
              <w:ind w:firstLine="28"/>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462" w:type="dxa"/>
            <w:vAlign w:val="center"/>
          </w:tcPr>
          <w:p w14:paraId="72945CB1">
            <w:pPr>
              <w:adjustRightInd w:val="0"/>
              <w:snapToGrid w:val="0"/>
              <w:spacing w:line="0" w:lineRule="atLeast"/>
              <w:ind w:firstLine="28"/>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评分因素</w:t>
            </w:r>
          </w:p>
          <w:p w14:paraId="4D262007">
            <w:pPr>
              <w:adjustRightInd w:val="0"/>
              <w:snapToGrid w:val="0"/>
              <w:spacing w:line="0" w:lineRule="atLeast"/>
              <w:ind w:firstLine="28"/>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及权重</w:t>
            </w:r>
          </w:p>
        </w:tc>
        <w:tc>
          <w:tcPr>
            <w:tcW w:w="913" w:type="dxa"/>
            <w:vAlign w:val="center"/>
          </w:tcPr>
          <w:p w14:paraId="0E6237BF">
            <w:pPr>
              <w:adjustRightInd w:val="0"/>
              <w:snapToGrid w:val="0"/>
              <w:spacing w:line="0" w:lineRule="atLeast"/>
              <w:ind w:firstLine="28"/>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分值</w:t>
            </w:r>
          </w:p>
        </w:tc>
        <w:tc>
          <w:tcPr>
            <w:tcW w:w="3978" w:type="dxa"/>
            <w:vAlign w:val="center"/>
          </w:tcPr>
          <w:p w14:paraId="22A7EFEA">
            <w:pPr>
              <w:adjustRightInd w:val="0"/>
              <w:snapToGrid w:val="0"/>
              <w:spacing w:line="0" w:lineRule="atLeast"/>
              <w:ind w:firstLine="28"/>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评分标准</w:t>
            </w:r>
          </w:p>
        </w:tc>
        <w:tc>
          <w:tcPr>
            <w:tcW w:w="2440" w:type="dxa"/>
            <w:vAlign w:val="center"/>
          </w:tcPr>
          <w:p w14:paraId="1A62E357">
            <w:pPr>
              <w:pStyle w:val="242"/>
              <w:adjustRightInd w:val="0"/>
              <w:snapToGrid w:val="0"/>
              <w:spacing w:before="0" w:after="0" w:line="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41E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B8C9E8C">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462" w:type="dxa"/>
            <w:vAlign w:val="center"/>
          </w:tcPr>
          <w:p w14:paraId="19527E90">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价格报价</w:t>
            </w:r>
          </w:p>
          <w:p w14:paraId="0DC6E849">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r>
              <w:rPr>
                <w:rFonts w:ascii="方正仿宋_GBK" w:hAnsi="方正仿宋_GBK" w:eastAsia="方正仿宋_GBK" w:cs="方正仿宋_GBK"/>
                <w:szCs w:val="21"/>
              </w:rPr>
              <w:t>50</w:t>
            </w:r>
            <w:r>
              <w:rPr>
                <w:rFonts w:hint="eastAsia" w:ascii="方正仿宋_GBK" w:hAnsi="方正仿宋_GBK" w:eastAsia="方正仿宋_GBK" w:cs="方正仿宋_GBK"/>
                <w:szCs w:val="21"/>
              </w:rPr>
              <w:t>%）</w:t>
            </w:r>
          </w:p>
        </w:tc>
        <w:tc>
          <w:tcPr>
            <w:tcW w:w="913" w:type="dxa"/>
            <w:vAlign w:val="center"/>
          </w:tcPr>
          <w:p w14:paraId="381FEE7E">
            <w:pPr>
              <w:adjustRightInd w:val="0"/>
              <w:snapToGrid w:val="0"/>
              <w:spacing w:line="0" w:lineRule="atLeast"/>
              <w:ind w:firstLine="28"/>
              <w:jc w:val="center"/>
              <w:rPr>
                <w:rFonts w:ascii="方正仿宋_GBK" w:hAnsi="方正仿宋_GBK" w:eastAsia="方正仿宋_GBK" w:cs="方正仿宋_GBK"/>
                <w:szCs w:val="21"/>
              </w:rPr>
            </w:pPr>
            <w:r>
              <w:rPr>
                <w:rFonts w:ascii="方正仿宋_GBK" w:hAnsi="方正仿宋_GBK" w:eastAsia="方正仿宋_GBK" w:cs="方正仿宋_GBK"/>
                <w:szCs w:val="21"/>
              </w:rPr>
              <w:t>50</w:t>
            </w:r>
          </w:p>
        </w:tc>
        <w:tc>
          <w:tcPr>
            <w:tcW w:w="3978" w:type="dxa"/>
            <w:vAlign w:val="center"/>
          </w:tcPr>
          <w:p w14:paraId="6C50CE71">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有效的报价中的最低价为评标基准价，其价格分为满分。其他供应商的价格分统一按照下列公式计算：</w:t>
            </w:r>
          </w:p>
          <w:p w14:paraId="4A4964F7">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价格报价得分＝（评标基准价/价格报价）×价格权重×100。</w:t>
            </w:r>
          </w:p>
        </w:tc>
        <w:tc>
          <w:tcPr>
            <w:tcW w:w="2440" w:type="dxa"/>
            <w:vAlign w:val="center"/>
          </w:tcPr>
          <w:p w14:paraId="0C42ADDE">
            <w:pPr>
              <w:adjustRightInd w:val="0"/>
              <w:snapToGrid w:val="0"/>
              <w:spacing w:line="0" w:lineRule="atLeast"/>
              <w:rPr>
                <w:rFonts w:ascii="方正仿宋_GBK" w:hAnsi="方正仿宋_GBK" w:eastAsia="方正仿宋_GBK" w:cs="方正仿宋_GBK"/>
                <w:b/>
                <w:szCs w:val="21"/>
              </w:rPr>
            </w:pPr>
          </w:p>
        </w:tc>
      </w:tr>
      <w:tr w14:paraId="215E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vAlign w:val="center"/>
          </w:tcPr>
          <w:p w14:paraId="61E7735F">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462" w:type="dxa"/>
            <w:vMerge w:val="restart"/>
            <w:vAlign w:val="center"/>
          </w:tcPr>
          <w:p w14:paraId="09B7F22A">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技术（质量）部分</w:t>
            </w:r>
          </w:p>
          <w:p w14:paraId="73D7E94A">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r>
              <w:rPr>
                <w:rFonts w:ascii="方正仿宋_GBK" w:hAnsi="方正仿宋_GBK" w:eastAsia="方正仿宋_GBK" w:cs="方正仿宋_GBK"/>
                <w:szCs w:val="21"/>
              </w:rPr>
              <w:t>35</w:t>
            </w:r>
            <w:r>
              <w:rPr>
                <w:rFonts w:hint="eastAsia" w:ascii="方正仿宋_GBK" w:hAnsi="方正仿宋_GBK" w:eastAsia="方正仿宋_GBK" w:cs="方正仿宋_GBK"/>
                <w:szCs w:val="21"/>
              </w:rPr>
              <w:t>%）</w:t>
            </w:r>
          </w:p>
        </w:tc>
        <w:tc>
          <w:tcPr>
            <w:tcW w:w="913" w:type="dxa"/>
            <w:vAlign w:val="center"/>
          </w:tcPr>
          <w:p w14:paraId="1811CFB9">
            <w:pPr>
              <w:adjustRightInd w:val="0"/>
              <w:snapToGrid w:val="0"/>
              <w:spacing w:line="0" w:lineRule="atLeast"/>
              <w:ind w:firstLine="28"/>
              <w:jc w:val="center"/>
              <w:rPr>
                <w:rFonts w:ascii="方正仿宋_GBK" w:hAnsi="方正仿宋_GBK" w:eastAsia="方正仿宋_GBK" w:cs="方正仿宋_GBK"/>
                <w:szCs w:val="21"/>
              </w:rPr>
            </w:pPr>
            <w:r>
              <w:rPr>
                <w:rFonts w:ascii="方正仿宋_GBK" w:hAnsi="方正仿宋_GBK" w:eastAsia="方正仿宋_GBK" w:cs="方正仿宋_GBK"/>
                <w:szCs w:val="21"/>
              </w:rPr>
              <w:t>15</w:t>
            </w:r>
          </w:p>
        </w:tc>
        <w:tc>
          <w:tcPr>
            <w:tcW w:w="3978" w:type="dxa"/>
            <w:vAlign w:val="center"/>
          </w:tcPr>
          <w:p w14:paraId="4B1ADC58">
            <w:pPr>
              <w:adjustRightInd w:val="0"/>
              <w:snapToGrid w:val="0"/>
              <w:spacing w:line="0" w:lineRule="atLeast"/>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rPr>
              <w:t>1.根据供应商提供的采购代理工作总体方案进行评审（如何为采购人服务，包含但不限于组织机构设置，服务措施，代理招标流程、服务质量保障、质疑投诉管理办法、项目完成后的归档方案等）。防范风险措施</w:t>
            </w:r>
            <w:r>
              <w:rPr>
                <w:rFonts w:hint="eastAsia" w:ascii="方正仿宋_GBK" w:hAnsi="方正仿宋_GBK" w:eastAsia="方正仿宋_GBK" w:cs="方正仿宋_GBK"/>
                <w:szCs w:val="21"/>
                <w:highlight w:val="none"/>
                <w:lang w:val="en-US" w:eastAsia="zh-CN"/>
              </w:rPr>
              <w:t>在技术部分第2单独完成。</w:t>
            </w:r>
          </w:p>
          <w:p w14:paraId="49931304">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（1）方案流程表达非常清晰，服务方案体现出对招标代理项目能够涉及的政策及规章非常熟悉，流程非常清晰，总体优秀得</w:t>
            </w:r>
            <w:r>
              <w:rPr>
                <w:rFonts w:ascii="方正仿宋_GBK" w:hAnsi="方正仿宋_GBK" w:eastAsia="方正仿宋_GBK" w:cs="方正仿宋_GBK"/>
                <w:szCs w:val="21"/>
                <w:highlight w:val="none"/>
              </w:rPr>
              <w:t>15</w:t>
            </w:r>
            <w:r>
              <w:rPr>
                <w:rFonts w:hint="eastAsia" w:ascii="方正仿宋_GBK" w:hAnsi="方正仿宋_GBK" w:eastAsia="方正仿宋_GBK" w:cs="方正仿宋_GBK"/>
                <w:szCs w:val="21"/>
                <w:highlight w:val="none"/>
              </w:rPr>
              <w:t>分；</w:t>
            </w:r>
          </w:p>
          <w:p w14:paraId="708FA9BF">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（2）方案流程表达较清晰，服务方案体现出对招标代理项目能够涉及的政策及规章比较熟悉，流程比较清晰，总体良好得1</w:t>
            </w:r>
            <w:r>
              <w:rPr>
                <w:rFonts w:ascii="方正仿宋_GBK" w:hAnsi="方正仿宋_GBK" w:eastAsia="方正仿宋_GBK" w:cs="方正仿宋_GBK"/>
                <w:szCs w:val="21"/>
                <w:highlight w:val="none"/>
              </w:rPr>
              <w:t>3</w:t>
            </w:r>
            <w:r>
              <w:rPr>
                <w:rFonts w:hint="eastAsia" w:ascii="方正仿宋_GBK" w:hAnsi="方正仿宋_GBK" w:eastAsia="方正仿宋_GBK" w:cs="方正仿宋_GBK"/>
                <w:szCs w:val="21"/>
                <w:highlight w:val="none"/>
              </w:rPr>
              <w:t>分；</w:t>
            </w:r>
          </w:p>
          <w:p w14:paraId="1C078746">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（3）方案流程表达一般，服务方案体现出对招标代理项目能够涉及的政策及规章了解程度一般，流程不太清晰，总体一般得1</w:t>
            </w:r>
            <w:r>
              <w:rPr>
                <w:rFonts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rPr>
              <w:t>分；</w:t>
            </w:r>
          </w:p>
          <w:p w14:paraId="17A02A06">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（4）方案流程表达差，服务方案体现出对招标代理项目能够涉及的政策及规章了解程度差，流程不清晰，总体差得5分。</w:t>
            </w:r>
          </w:p>
          <w:p w14:paraId="4F88A352">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（5）未提供相关内容得0分。</w:t>
            </w:r>
          </w:p>
        </w:tc>
        <w:tc>
          <w:tcPr>
            <w:tcW w:w="2440" w:type="dxa"/>
            <w:vAlign w:val="center"/>
          </w:tcPr>
          <w:p w14:paraId="0937B8EE">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根据供应商提供的服务方案进行评审，供应商技术（质量）部分得分取各评审专家评分的算术平均值。</w:t>
            </w:r>
          </w:p>
        </w:tc>
      </w:tr>
      <w:tr w14:paraId="4920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7DDA2BD3">
            <w:pPr>
              <w:adjustRightInd w:val="0"/>
              <w:snapToGrid w:val="0"/>
              <w:spacing w:line="0" w:lineRule="atLeast"/>
              <w:ind w:firstLine="28"/>
              <w:jc w:val="center"/>
              <w:rPr>
                <w:rFonts w:hint="eastAsia" w:ascii="方正仿宋_GBK" w:hAnsi="方正仿宋_GBK" w:eastAsia="方正仿宋_GBK" w:cs="方正仿宋_GBK"/>
                <w:szCs w:val="21"/>
              </w:rPr>
            </w:pPr>
          </w:p>
        </w:tc>
        <w:tc>
          <w:tcPr>
            <w:tcW w:w="1462" w:type="dxa"/>
            <w:vMerge w:val="continue"/>
            <w:vAlign w:val="center"/>
          </w:tcPr>
          <w:p w14:paraId="42FB8071">
            <w:pPr>
              <w:adjustRightInd w:val="0"/>
              <w:snapToGrid w:val="0"/>
              <w:spacing w:line="0" w:lineRule="atLeast"/>
              <w:ind w:firstLine="28"/>
              <w:jc w:val="center"/>
              <w:rPr>
                <w:rFonts w:hint="eastAsia" w:ascii="方正仿宋_GBK" w:hAnsi="方正仿宋_GBK" w:eastAsia="方正仿宋_GBK" w:cs="方正仿宋_GBK"/>
                <w:szCs w:val="21"/>
              </w:rPr>
            </w:pPr>
          </w:p>
        </w:tc>
        <w:tc>
          <w:tcPr>
            <w:tcW w:w="913" w:type="dxa"/>
            <w:vAlign w:val="center"/>
          </w:tcPr>
          <w:p w14:paraId="1C78883E">
            <w:pPr>
              <w:adjustRightInd w:val="0"/>
              <w:snapToGrid w:val="0"/>
              <w:spacing w:line="0" w:lineRule="atLeast"/>
              <w:ind w:firstLine="28"/>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3978" w:type="dxa"/>
            <w:vAlign w:val="center"/>
          </w:tcPr>
          <w:p w14:paraId="1239C2C2">
            <w:pPr>
              <w:numPr>
                <w:ilvl w:val="0"/>
                <w:numId w:val="0"/>
              </w:numPr>
              <w:adjustRightInd w:val="0"/>
              <w:snapToGrid w:val="0"/>
              <w:spacing w:line="0" w:lineRule="atLeast"/>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val="en-US" w:eastAsia="zh-CN"/>
              </w:rPr>
              <w:t>2.</w:t>
            </w:r>
            <w:r>
              <w:rPr>
                <w:rFonts w:hint="eastAsia" w:ascii="方正仿宋_GBK" w:hAnsi="方正仿宋_GBK" w:eastAsia="方正仿宋_GBK" w:cs="方正仿宋_GBK"/>
                <w:szCs w:val="21"/>
                <w:highlight w:val="none"/>
              </w:rPr>
              <w:t>根据供应商提供的采购代理防范风险措施进行评审（</w:t>
            </w:r>
            <w:r>
              <w:rPr>
                <w:rFonts w:hint="eastAsia" w:ascii="方正仿宋_GBK" w:hAnsi="方正仿宋_GBK" w:eastAsia="方正仿宋_GBK" w:cs="方正仿宋_GBK"/>
                <w:szCs w:val="21"/>
                <w:highlight w:val="none"/>
                <w:lang w:val="en-US" w:eastAsia="zh-CN"/>
              </w:rPr>
              <w:t>如何防范各类风险的出现</w:t>
            </w: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保障项目采购公平、公正、廉洁的完成，</w:t>
            </w:r>
            <w:r>
              <w:rPr>
                <w:rFonts w:hint="eastAsia" w:ascii="方正仿宋_GBK" w:hAnsi="方正仿宋_GBK" w:eastAsia="方正仿宋_GBK" w:cs="方正仿宋_GBK"/>
                <w:szCs w:val="21"/>
                <w:highlight w:val="none"/>
              </w:rPr>
              <w:t>包含但不限于</w:t>
            </w:r>
            <w:r>
              <w:rPr>
                <w:rFonts w:hint="eastAsia" w:ascii="方正仿宋_GBK" w:hAnsi="方正仿宋_GBK" w:eastAsia="方正仿宋_GBK" w:cs="方正仿宋_GBK"/>
                <w:szCs w:val="21"/>
                <w:highlight w:val="none"/>
                <w:lang w:val="en-US" w:eastAsia="zh-CN"/>
              </w:rPr>
              <w:t>廉政</w:t>
            </w:r>
            <w:r>
              <w:rPr>
                <w:rFonts w:hint="eastAsia" w:ascii="方正仿宋_GBK" w:hAnsi="方正仿宋_GBK" w:eastAsia="方正仿宋_GBK" w:cs="方正仿宋_GBK"/>
                <w:szCs w:val="21"/>
                <w:highlight w:val="none"/>
              </w:rPr>
              <w:t>风险措施</w:t>
            </w:r>
            <w:r>
              <w:rPr>
                <w:rFonts w:hint="eastAsia" w:ascii="方正仿宋_GBK" w:hAnsi="方正仿宋_GBK" w:eastAsia="方正仿宋_GBK" w:cs="方正仿宋_GBK"/>
                <w:szCs w:val="21"/>
                <w:highlight w:val="none"/>
                <w:lang w:eastAsia="zh-CN"/>
              </w:rPr>
              <w:t>）。</w:t>
            </w:r>
          </w:p>
          <w:p w14:paraId="55B73977">
            <w:pPr>
              <w:numPr>
                <w:ilvl w:val="0"/>
                <w:numId w:val="0"/>
              </w:numPr>
              <w:adjustRightInd w:val="0"/>
              <w:snapToGrid w:val="0"/>
              <w:spacing w:line="0" w:lineRule="atLeas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（1）表达非常清晰，</w:t>
            </w:r>
            <w:r>
              <w:rPr>
                <w:rFonts w:hint="eastAsia" w:ascii="方正仿宋_GBK" w:hAnsi="方正仿宋_GBK" w:eastAsia="方正仿宋_GBK" w:cs="方正仿宋_GBK"/>
                <w:szCs w:val="21"/>
                <w:highlight w:val="none"/>
                <w:lang w:val="en-US" w:eastAsia="zh-CN"/>
              </w:rPr>
              <w:t>能有效</w:t>
            </w:r>
            <w:r>
              <w:rPr>
                <w:rFonts w:hint="eastAsia" w:ascii="方正仿宋_GBK" w:hAnsi="方正仿宋_GBK" w:eastAsia="方正仿宋_GBK" w:cs="方正仿宋_GBK"/>
                <w:szCs w:val="21"/>
                <w:highlight w:val="none"/>
              </w:rPr>
              <w:t>防范</w:t>
            </w:r>
            <w:r>
              <w:rPr>
                <w:rFonts w:hint="eastAsia" w:ascii="方正仿宋_GBK" w:hAnsi="方正仿宋_GBK" w:eastAsia="方正仿宋_GBK" w:cs="方正仿宋_GBK"/>
                <w:szCs w:val="21"/>
                <w:highlight w:val="none"/>
                <w:lang w:val="en-US" w:eastAsia="zh-CN"/>
              </w:rPr>
              <w:t>各类</w:t>
            </w:r>
            <w:r>
              <w:rPr>
                <w:rFonts w:hint="eastAsia" w:ascii="方正仿宋_GBK" w:hAnsi="方正仿宋_GBK" w:eastAsia="方正仿宋_GBK" w:cs="方正仿宋_GBK"/>
                <w:szCs w:val="21"/>
                <w:highlight w:val="none"/>
              </w:rPr>
              <w:t>风险</w:t>
            </w:r>
            <w:r>
              <w:rPr>
                <w:rFonts w:hint="eastAsia" w:ascii="方正仿宋_GBK" w:hAnsi="方正仿宋_GBK" w:eastAsia="方正仿宋_GBK" w:cs="方正仿宋_GBK"/>
                <w:szCs w:val="21"/>
                <w:highlight w:val="none"/>
                <w:lang w:val="en-US" w:eastAsia="zh-CN"/>
              </w:rPr>
              <w:t>的出现</w:t>
            </w:r>
            <w:r>
              <w:rPr>
                <w:rFonts w:hint="eastAsia" w:ascii="方正仿宋_GBK" w:hAnsi="方正仿宋_GBK" w:eastAsia="方正仿宋_GBK" w:cs="方正仿宋_GBK"/>
                <w:szCs w:val="21"/>
                <w:highlight w:val="none"/>
              </w:rPr>
              <w:t>，总体优秀得</w:t>
            </w:r>
            <w:r>
              <w:rPr>
                <w:rFonts w:ascii="方正仿宋_GBK" w:hAnsi="方正仿宋_GBK" w:eastAsia="方正仿宋_GBK" w:cs="方正仿宋_GBK"/>
                <w:szCs w:val="21"/>
                <w:highlight w:val="none"/>
              </w:rPr>
              <w:t>5</w:t>
            </w:r>
            <w:r>
              <w:rPr>
                <w:rFonts w:hint="eastAsia" w:ascii="方正仿宋_GBK" w:hAnsi="方正仿宋_GBK" w:eastAsia="方正仿宋_GBK" w:cs="方正仿宋_GBK"/>
                <w:szCs w:val="21"/>
                <w:highlight w:val="none"/>
              </w:rPr>
              <w:t>分；</w:t>
            </w:r>
          </w:p>
          <w:p w14:paraId="3B40A952">
            <w:pPr>
              <w:numPr>
                <w:ilvl w:val="0"/>
                <w:numId w:val="0"/>
              </w:num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2</w:t>
            </w:r>
            <w:r>
              <w:rPr>
                <w:rFonts w:hint="eastAsia" w:ascii="方正仿宋_GBK" w:hAnsi="方正仿宋_GBK" w:eastAsia="方正仿宋_GBK" w:cs="方正仿宋_GBK"/>
                <w:szCs w:val="21"/>
                <w:highlight w:val="none"/>
              </w:rPr>
              <w:t>）表达</w:t>
            </w:r>
            <w:r>
              <w:rPr>
                <w:rFonts w:hint="eastAsia" w:ascii="方正仿宋_GBK" w:hAnsi="方正仿宋_GBK" w:eastAsia="方正仿宋_GBK" w:cs="方正仿宋_GBK"/>
                <w:szCs w:val="21"/>
                <w:highlight w:val="none"/>
                <w:lang w:val="en-US" w:eastAsia="zh-CN"/>
              </w:rPr>
              <w:t>比较</w:t>
            </w:r>
            <w:r>
              <w:rPr>
                <w:rFonts w:hint="eastAsia" w:ascii="方正仿宋_GBK" w:hAnsi="方正仿宋_GBK" w:eastAsia="方正仿宋_GBK" w:cs="方正仿宋_GBK"/>
                <w:szCs w:val="21"/>
                <w:highlight w:val="none"/>
              </w:rPr>
              <w:t>清晰，</w:t>
            </w:r>
            <w:r>
              <w:rPr>
                <w:rFonts w:hint="eastAsia" w:ascii="方正仿宋_GBK" w:hAnsi="方正仿宋_GBK" w:eastAsia="方正仿宋_GBK" w:cs="方正仿宋_GBK"/>
                <w:szCs w:val="21"/>
                <w:highlight w:val="none"/>
                <w:lang w:val="en-US" w:eastAsia="zh-CN"/>
              </w:rPr>
              <w:t>比较能有效</w:t>
            </w:r>
            <w:r>
              <w:rPr>
                <w:rFonts w:hint="eastAsia" w:ascii="方正仿宋_GBK" w:hAnsi="方正仿宋_GBK" w:eastAsia="方正仿宋_GBK" w:cs="方正仿宋_GBK"/>
                <w:szCs w:val="21"/>
                <w:highlight w:val="none"/>
              </w:rPr>
              <w:t>防范</w:t>
            </w:r>
            <w:r>
              <w:rPr>
                <w:rFonts w:hint="eastAsia" w:ascii="方正仿宋_GBK" w:hAnsi="方正仿宋_GBK" w:eastAsia="方正仿宋_GBK" w:cs="方正仿宋_GBK"/>
                <w:szCs w:val="21"/>
                <w:highlight w:val="none"/>
                <w:lang w:val="en-US" w:eastAsia="zh-CN"/>
              </w:rPr>
              <w:t>各类</w:t>
            </w:r>
            <w:r>
              <w:rPr>
                <w:rFonts w:hint="eastAsia" w:ascii="方正仿宋_GBK" w:hAnsi="方正仿宋_GBK" w:eastAsia="方正仿宋_GBK" w:cs="方正仿宋_GBK"/>
                <w:szCs w:val="21"/>
                <w:highlight w:val="none"/>
              </w:rPr>
              <w:t>风险</w:t>
            </w:r>
            <w:r>
              <w:rPr>
                <w:rFonts w:hint="eastAsia" w:ascii="方正仿宋_GBK" w:hAnsi="方正仿宋_GBK" w:eastAsia="方正仿宋_GBK" w:cs="方正仿宋_GBK"/>
                <w:szCs w:val="21"/>
                <w:highlight w:val="none"/>
                <w:lang w:val="en-US" w:eastAsia="zh-CN"/>
              </w:rPr>
              <w:t>的出现</w:t>
            </w:r>
            <w:r>
              <w:rPr>
                <w:rFonts w:hint="eastAsia" w:ascii="方正仿宋_GBK" w:hAnsi="方正仿宋_GBK" w:eastAsia="方正仿宋_GBK" w:cs="方正仿宋_GBK"/>
                <w:szCs w:val="21"/>
                <w:highlight w:val="none"/>
              </w:rPr>
              <w:t>，总体</w:t>
            </w:r>
            <w:r>
              <w:rPr>
                <w:rFonts w:hint="eastAsia" w:ascii="方正仿宋_GBK" w:hAnsi="方正仿宋_GBK" w:eastAsia="方正仿宋_GBK" w:cs="方正仿宋_GBK"/>
                <w:szCs w:val="21"/>
                <w:highlight w:val="none"/>
                <w:lang w:val="en-US" w:eastAsia="zh-CN"/>
              </w:rPr>
              <w:t>良好</w:t>
            </w:r>
            <w:r>
              <w:rPr>
                <w:rFonts w:hint="eastAsia" w:ascii="方正仿宋_GBK" w:hAnsi="方正仿宋_GBK" w:eastAsia="方正仿宋_GBK" w:cs="方正仿宋_GBK"/>
                <w:szCs w:val="21"/>
                <w:highlight w:val="none"/>
              </w:rPr>
              <w:t>得</w:t>
            </w:r>
            <w:r>
              <w:rPr>
                <w:rFonts w:hint="eastAsia" w:ascii="方正仿宋_GBK" w:hAnsi="方正仿宋_GBK" w:eastAsia="方正仿宋_GBK" w:cs="方正仿宋_GBK"/>
                <w:szCs w:val="21"/>
                <w:highlight w:val="none"/>
                <w:lang w:val="en-US" w:eastAsia="zh-CN"/>
              </w:rPr>
              <w:t>4</w:t>
            </w:r>
            <w:r>
              <w:rPr>
                <w:rFonts w:hint="eastAsia" w:ascii="方正仿宋_GBK" w:hAnsi="方正仿宋_GBK" w:eastAsia="方正仿宋_GBK" w:cs="方正仿宋_GBK"/>
                <w:szCs w:val="21"/>
                <w:highlight w:val="none"/>
              </w:rPr>
              <w:t>分；</w:t>
            </w:r>
          </w:p>
          <w:p w14:paraId="4B15D20A">
            <w:pPr>
              <w:numPr>
                <w:ilvl w:val="0"/>
                <w:numId w:val="0"/>
              </w:num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）表达</w:t>
            </w:r>
            <w:r>
              <w:rPr>
                <w:rFonts w:hint="eastAsia" w:ascii="方正仿宋_GBK" w:hAnsi="方正仿宋_GBK" w:eastAsia="方正仿宋_GBK" w:cs="方正仿宋_GBK"/>
                <w:szCs w:val="21"/>
                <w:highlight w:val="none"/>
                <w:lang w:val="en-US" w:eastAsia="zh-CN"/>
              </w:rPr>
              <w:t>不太</w:t>
            </w:r>
            <w:r>
              <w:rPr>
                <w:rFonts w:hint="eastAsia" w:ascii="方正仿宋_GBK" w:hAnsi="方正仿宋_GBK" w:eastAsia="方正仿宋_GBK" w:cs="方正仿宋_GBK"/>
                <w:szCs w:val="21"/>
                <w:highlight w:val="none"/>
              </w:rPr>
              <w:t>清晰</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不太能有效</w:t>
            </w:r>
            <w:r>
              <w:rPr>
                <w:rFonts w:hint="eastAsia" w:ascii="方正仿宋_GBK" w:hAnsi="方正仿宋_GBK" w:eastAsia="方正仿宋_GBK" w:cs="方正仿宋_GBK"/>
                <w:szCs w:val="21"/>
                <w:highlight w:val="none"/>
              </w:rPr>
              <w:t>防范</w:t>
            </w:r>
            <w:r>
              <w:rPr>
                <w:rFonts w:hint="eastAsia" w:ascii="方正仿宋_GBK" w:hAnsi="方正仿宋_GBK" w:eastAsia="方正仿宋_GBK" w:cs="方正仿宋_GBK"/>
                <w:szCs w:val="21"/>
                <w:highlight w:val="none"/>
                <w:lang w:val="en-US" w:eastAsia="zh-CN"/>
              </w:rPr>
              <w:t>各类</w:t>
            </w:r>
            <w:r>
              <w:rPr>
                <w:rFonts w:hint="eastAsia" w:ascii="方正仿宋_GBK" w:hAnsi="方正仿宋_GBK" w:eastAsia="方正仿宋_GBK" w:cs="方正仿宋_GBK"/>
                <w:szCs w:val="21"/>
                <w:highlight w:val="none"/>
              </w:rPr>
              <w:t>风险</w:t>
            </w:r>
            <w:r>
              <w:rPr>
                <w:rFonts w:hint="eastAsia" w:ascii="方正仿宋_GBK" w:hAnsi="方正仿宋_GBK" w:eastAsia="方正仿宋_GBK" w:cs="方正仿宋_GBK"/>
                <w:szCs w:val="21"/>
                <w:highlight w:val="none"/>
                <w:lang w:val="en-US" w:eastAsia="zh-CN"/>
              </w:rPr>
              <w:t>的出现</w:t>
            </w:r>
            <w:r>
              <w:rPr>
                <w:rFonts w:hint="eastAsia" w:ascii="方正仿宋_GBK" w:hAnsi="方正仿宋_GBK" w:eastAsia="方正仿宋_GBK" w:cs="方正仿宋_GBK"/>
                <w:szCs w:val="21"/>
                <w:highlight w:val="none"/>
              </w:rPr>
              <w:t>，总体</w:t>
            </w:r>
            <w:r>
              <w:rPr>
                <w:rFonts w:hint="eastAsia" w:ascii="方正仿宋_GBK" w:hAnsi="方正仿宋_GBK" w:eastAsia="方正仿宋_GBK" w:cs="方正仿宋_GBK"/>
                <w:szCs w:val="21"/>
                <w:highlight w:val="none"/>
                <w:lang w:val="en-US" w:eastAsia="zh-CN"/>
              </w:rPr>
              <w:t>一般</w:t>
            </w:r>
            <w:r>
              <w:rPr>
                <w:rFonts w:hint="eastAsia" w:ascii="方正仿宋_GBK" w:hAnsi="方正仿宋_GBK" w:eastAsia="方正仿宋_GBK" w:cs="方正仿宋_GBK"/>
                <w:szCs w:val="21"/>
                <w:highlight w:val="none"/>
              </w:rPr>
              <w:t>得</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分；</w:t>
            </w:r>
          </w:p>
          <w:p w14:paraId="51EDCE72">
            <w:pPr>
              <w:numPr>
                <w:ilvl w:val="0"/>
                <w:numId w:val="0"/>
              </w:num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4</w:t>
            </w:r>
            <w:r>
              <w:rPr>
                <w:rFonts w:hint="eastAsia" w:ascii="方正仿宋_GBK" w:hAnsi="方正仿宋_GBK" w:eastAsia="方正仿宋_GBK" w:cs="方正仿宋_GBK"/>
                <w:szCs w:val="21"/>
                <w:highlight w:val="none"/>
              </w:rPr>
              <w:t>）表达</w:t>
            </w:r>
            <w:r>
              <w:rPr>
                <w:rFonts w:hint="eastAsia" w:ascii="方正仿宋_GBK" w:hAnsi="方正仿宋_GBK" w:eastAsia="方正仿宋_GBK" w:cs="方正仿宋_GBK"/>
                <w:szCs w:val="21"/>
                <w:highlight w:val="none"/>
                <w:lang w:val="en-US" w:eastAsia="zh-CN"/>
              </w:rPr>
              <w:t>不</w:t>
            </w:r>
            <w:r>
              <w:rPr>
                <w:rFonts w:hint="eastAsia" w:ascii="方正仿宋_GBK" w:hAnsi="方正仿宋_GBK" w:eastAsia="方正仿宋_GBK" w:cs="方正仿宋_GBK"/>
                <w:szCs w:val="21"/>
                <w:highlight w:val="none"/>
              </w:rPr>
              <w:t>清晰，</w:t>
            </w:r>
            <w:r>
              <w:rPr>
                <w:rFonts w:hint="eastAsia" w:ascii="方正仿宋_GBK" w:hAnsi="方正仿宋_GBK" w:eastAsia="方正仿宋_GBK" w:cs="方正仿宋_GBK"/>
                <w:szCs w:val="21"/>
                <w:highlight w:val="none"/>
                <w:lang w:val="en-US" w:eastAsia="zh-CN"/>
              </w:rPr>
              <w:t>不能有效</w:t>
            </w:r>
            <w:r>
              <w:rPr>
                <w:rFonts w:hint="eastAsia" w:ascii="方正仿宋_GBK" w:hAnsi="方正仿宋_GBK" w:eastAsia="方正仿宋_GBK" w:cs="方正仿宋_GBK"/>
                <w:szCs w:val="21"/>
                <w:highlight w:val="none"/>
              </w:rPr>
              <w:t>防范</w:t>
            </w:r>
            <w:r>
              <w:rPr>
                <w:rFonts w:hint="eastAsia" w:ascii="方正仿宋_GBK" w:hAnsi="方正仿宋_GBK" w:eastAsia="方正仿宋_GBK" w:cs="方正仿宋_GBK"/>
                <w:szCs w:val="21"/>
                <w:highlight w:val="none"/>
                <w:lang w:val="en-US" w:eastAsia="zh-CN"/>
              </w:rPr>
              <w:t>各类</w:t>
            </w:r>
            <w:r>
              <w:rPr>
                <w:rFonts w:hint="eastAsia" w:ascii="方正仿宋_GBK" w:hAnsi="方正仿宋_GBK" w:eastAsia="方正仿宋_GBK" w:cs="方正仿宋_GBK"/>
                <w:szCs w:val="21"/>
                <w:highlight w:val="none"/>
              </w:rPr>
              <w:t>风险</w:t>
            </w:r>
            <w:r>
              <w:rPr>
                <w:rFonts w:hint="eastAsia" w:ascii="方正仿宋_GBK" w:hAnsi="方正仿宋_GBK" w:eastAsia="方正仿宋_GBK" w:cs="方正仿宋_GBK"/>
                <w:szCs w:val="21"/>
                <w:highlight w:val="none"/>
                <w:lang w:val="en-US" w:eastAsia="zh-CN"/>
              </w:rPr>
              <w:t>的出现</w:t>
            </w:r>
            <w:r>
              <w:rPr>
                <w:rFonts w:hint="eastAsia" w:ascii="方正仿宋_GBK" w:hAnsi="方正仿宋_GBK" w:eastAsia="方正仿宋_GBK" w:cs="方正仿宋_GBK"/>
                <w:szCs w:val="21"/>
                <w:highlight w:val="none"/>
              </w:rPr>
              <w:t>，总体</w:t>
            </w:r>
            <w:r>
              <w:rPr>
                <w:rFonts w:hint="eastAsia" w:ascii="方正仿宋_GBK" w:hAnsi="方正仿宋_GBK" w:eastAsia="方正仿宋_GBK" w:cs="方正仿宋_GBK"/>
                <w:szCs w:val="21"/>
                <w:highlight w:val="none"/>
                <w:lang w:val="en-US" w:eastAsia="zh-CN"/>
              </w:rPr>
              <w:t>差</w:t>
            </w:r>
            <w:r>
              <w:rPr>
                <w:rFonts w:hint="eastAsia" w:ascii="方正仿宋_GBK" w:hAnsi="方正仿宋_GBK" w:eastAsia="方正仿宋_GBK" w:cs="方正仿宋_GBK"/>
                <w:szCs w:val="21"/>
                <w:highlight w:val="none"/>
              </w:rPr>
              <w:t>得</w:t>
            </w:r>
            <w:r>
              <w:rPr>
                <w:rFonts w:hint="eastAsia" w:ascii="方正仿宋_GBK" w:hAnsi="方正仿宋_GBK" w:eastAsia="方正仿宋_GBK" w:cs="方正仿宋_GBK"/>
                <w:szCs w:val="21"/>
                <w:highlight w:val="none"/>
                <w:lang w:val="en-US" w:eastAsia="zh-CN"/>
              </w:rPr>
              <w:t>1</w:t>
            </w:r>
            <w:r>
              <w:rPr>
                <w:rFonts w:hint="eastAsia" w:ascii="方正仿宋_GBK" w:hAnsi="方正仿宋_GBK" w:eastAsia="方正仿宋_GBK" w:cs="方正仿宋_GBK"/>
                <w:szCs w:val="21"/>
                <w:highlight w:val="none"/>
              </w:rPr>
              <w:t>分；</w:t>
            </w:r>
          </w:p>
          <w:p w14:paraId="5C73C213">
            <w:pPr>
              <w:adjustRightInd w:val="0"/>
              <w:snapToGrid w:val="0"/>
              <w:spacing w:line="0" w:lineRule="atLeast"/>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rPr>
              <w:t>（5）未提供相关内容得0分。</w:t>
            </w:r>
          </w:p>
        </w:tc>
        <w:tc>
          <w:tcPr>
            <w:tcW w:w="2440" w:type="dxa"/>
            <w:vAlign w:val="center"/>
          </w:tcPr>
          <w:p w14:paraId="590FAE5E">
            <w:pPr>
              <w:adjustRightInd w:val="0"/>
              <w:snapToGrid w:val="0"/>
              <w:spacing w:line="0" w:lineRule="atLeast"/>
              <w:rPr>
                <w:rFonts w:hint="eastAsia" w:ascii="方正仿宋_GBK" w:hAnsi="方正仿宋_GBK" w:eastAsia="方正仿宋_GBK" w:cs="方正仿宋_GBK"/>
                <w:szCs w:val="21"/>
              </w:rPr>
            </w:pPr>
          </w:p>
        </w:tc>
      </w:tr>
      <w:tr w14:paraId="62B8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35" w:type="dxa"/>
            <w:vMerge w:val="continue"/>
            <w:vAlign w:val="center"/>
          </w:tcPr>
          <w:p w14:paraId="4655139E">
            <w:pPr>
              <w:adjustRightInd w:val="0"/>
              <w:snapToGrid w:val="0"/>
              <w:spacing w:line="0" w:lineRule="atLeast"/>
              <w:ind w:firstLine="28"/>
              <w:jc w:val="center"/>
              <w:rPr>
                <w:rFonts w:ascii="方正仿宋_GBK" w:hAnsi="方正仿宋_GBK" w:eastAsia="方正仿宋_GBK" w:cs="方正仿宋_GBK"/>
                <w:szCs w:val="21"/>
              </w:rPr>
            </w:pPr>
          </w:p>
        </w:tc>
        <w:tc>
          <w:tcPr>
            <w:tcW w:w="1462" w:type="dxa"/>
            <w:vMerge w:val="continue"/>
            <w:vAlign w:val="center"/>
          </w:tcPr>
          <w:p w14:paraId="1E5FA2F5">
            <w:pPr>
              <w:adjustRightInd w:val="0"/>
              <w:snapToGrid w:val="0"/>
              <w:spacing w:line="0" w:lineRule="atLeast"/>
              <w:ind w:firstLine="28"/>
              <w:jc w:val="center"/>
              <w:rPr>
                <w:rFonts w:ascii="方正仿宋_GBK" w:hAnsi="方正仿宋_GBK" w:eastAsia="方正仿宋_GBK" w:cs="方正仿宋_GBK"/>
                <w:szCs w:val="21"/>
              </w:rPr>
            </w:pPr>
          </w:p>
        </w:tc>
        <w:tc>
          <w:tcPr>
            <w:tcW w:w="913" w:type="dxa"/>
            <w:vAlign w:val="center"/>
          </w:tcPr>
          <w:p w14:paraId="4F541B01">
            <w:pPr>
              <w:adjustRightInd w:val="0"/>
              <w:snapToGrid w:val="0"/>
              <w:spacing w:line="0" w:lineRule="atLeast"/>
              <w:ind w:firstLine="28"/>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15</w:t>
            </w:r>
          </w:p>
        </w:tc>
        <w:tc>
          <w:tcPr>
            <w:tcW w:w="3978" w:type="dxa"/>
          </w:tcPr>
          <w:p w14:paraId="40C30DD8">
            <w:pPr>
              <w:pStyle w:val="2"/>
              <w:ind w:left="0" w:leftChars="0" w:right="-20" w:rightChars="0"/>
              <w:jc w:val="left"/>
              <w:rPr>
                <w:rFonts w:ascii="Times New Roman" w:hAnsi="Times New Roman" w:eastAsia="方正仿宋_GBK" w:cs="Times New Roman"/>
                <w:szCs w:val="21"/>
                <w:highlight w:val="none"/>
              </w:rPr>
            </w:pPr>
            <w:r>
              <w:rPr>
                <w:rFonts w:hint="eastAsia" w:eastAsia="方正仿宋_GBK" w:cs="Times New Roman"/>
                <w:szCs w:val="21"/>
                <w:highlight w:val="none"/>
                <w:lang w:val="en-US" w:eastAsia="zh-CN"/>
              </w:rPr>
              <w:t>3</w:t>
            </w:r>
            <w:r>
              <w:rPr>
                <w:rFonts w:hint="eastAsia" w:eastAsia="方正仿宋_GBK" w:cs="Times New Roman"/>
                <w:szCs w:val="21"/>
                <w:highlight w:val="none"/>
              </w:rPr>
              <w:t>.投标供应商在采购系统（如重庆市政府采购网、行采家）下载</w:t>
            </w:r>
            <w:r>
              <w:rPr>
                <w:rFonts w:hint="eastAsia" w:eastAsia="方正仿宋_GBK" w:cs="Times New Roman"/>
                <w:szCs w:val="21"/>
                <w:highlight w:val="none"/>
                <w:lang w:val="en-US" w:eastAsia="zh-CN"/>
              </w:rPr>
              <w:t>3</w:t>
            </w:r>
            <w:r>
              <w:rPr>
                <w:rFonts w:hint="eastAsia" w:eastAsia="方正仿宋_GBK" w:cs="Times New Roman"/>
                <w:szCs w:val="21"/>
                <w:highlight w:val="none"/>
              </w:rPr>
              <w:t>个给其他单位制作的</w:t>
            </w:r>
            <w:r>
              <w:rPr>
                <w:rFonts w:ascii="Times New Roman" w:hAnsi="Times New Roman" w:eastAsia="方正仿宋_GBK" w:cs="Times New Roman"/>
                <w:szCs w:val="21"/>
                <w:highlight w:val="none"/>
              </w:rPr>
              <w:t>采购文件</w:t>
            </w:r>
            <w:r>
              <w:rPr>
                <w:rFonts w:hint="eastAsia" w:eastAsia="方正仿宋_GBK" w:cs="Times New Roman"/>
                <w:szCs w:val="21"/>
                <w:highlight w:val="none"/>
              </w:rPr>
              <w:t>（下载后不得修改），分别为竞争性磋商、竞争性谈判、询价，并附上采购系统发布公告页面截图</w:t>
            </w:r>
            <w:r>
              <w:rPr>
                <w:rFonts w:ascii="Times New Roman" w:hAnsi="Times New Roman" w:eastAsia="方正仿宋_GBK" w:cs="Times New Roman"/>
                <w:szCs w:val="21"/>
                <w:highlight w:val="none"/>
              </w:rPr>
              <w:t>。根据合规性、全面性、安全性、规范性、效益型五个方面进行评审。</w:t>
            </w:r>
          </w:p>
          <w:p w14:paraId="7F27BC79">
            <w:pPr>
              <w:pStyle w:val="2"/>
              <w:adjustRightInd w:val="0"/>
              <w:snapToGrid w:val="0"/>
              <w:spacing w:after="0" w:line="0" w:lineRule="atLeast"/>
              <w:ind w:left="0" w:leftChars="0" w:right="0" w:rightChars="0"/>
              <w:jc w:val="left"/>
              <w:rPr>
                <w:rFonts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①合规性：符合国家法律法规，无违反采购政策规定情况；</w:t>
            </w:r>
          </w:p>
          <w:p w14:paraId="78B7D040">
            <w:pPr>
              <w:pStyle w:val="2"/>
              <w:adjustRightInd w:val="0"/>
              <w:snapToGrid w:val="0"/>
              <w:spacing w:after="0" w:line="0" w:lineRule="atLeast"/>
              <w:ind w:left="0" w:leftChars="0" w:right="0" w:rightChars="0"/>
              <w:jc w:val="left"/>
              <w:rPr>
                <w:rFonts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②全面性：内容全面准确，满足采购人需求；</w:t>
            </w:r>
          </w:p>
          <w:p w14:paraId="3B099C96">
            <w:pPr>
              <w:pStyle w:val="2"/>
              <w:adjustRightInd w:val="0"/>
              <w:snapToGrid w:val="0"/>
              <w:spacing w:after="0" w:line="0" w:lineRule="atLeast"/>
              <w:ind w:left="0" w:leftChars="0" w:right="0" w:rightChars="0"/>
              <w:jc w:val="left"/>
              <w:rPr>
                <w:rFonts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③安全性：全面评估项目投资风险、科学预判可能引起的投诉质疑；</w:t>
            </w:r>
          </w:p>
          <w:p w14:paraId="0886887C">
            <w:pPr>
              <w:pStyle w:val="2"/>
              <w:adjustRightInd w:val="0"/>
              <w:snapToGrid w:val="0"/>
              <w:spacing w:after="0" w:line="0" w:lineRule="atLeast"/>
              <w:ind w:left="0" w:leftChars="0" w:right="0" w:rightChars="0"/>
              <w:jc w:val="left"/>
              <w:rPr>
                <w:rFonts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④规范性：文本格式规范，前后表述一致、无错别字、标点符号使用规范，合同格式内容与招标内容匹配。</w:t>
            </w:r>
          </w:p>
          <w:p w14:paraId="52253C37">
            <w:pPr>
              <w:adjustRightInd w:val="0"/>
              <w:snapToGrid w:val="0"/>
              <w:spacing w:line="0" w:lineRule="atLeast"/>
              <w:jc w:val="left"/>
              <w:rPr>
                <w:rFonts w:ascii="方正仿宋_GBK" w:hAnsi="方正仿宋_GBK" w:eastAsia="方正仿宋_GBK" w:cs="方正仿宋_GBK"/>
                <w:b/>
                <w:bCs/>
                <w:szCs w:val="21"/>
                <w:highlight w:val="none"/>
              </w:rPr>
            </w:pPr>
            <w:r>
              <w:rPr>
                <w:rFonts w:hint="eastAsia" w:ascii="方正仿宋_GBK" w:hAnsi="方正仿宋_GBK" w:eastAsia="方正仿宋_GBK" w:cs="方正仿宋_GBK"/>
                <w:b/>
                <w:bCs/>
                <w:szCs w:val="21"/>
                <w:highlight w:val="none"/>
              </w:rPr>
              <w:t>⑤效益性：依法实现采购人利益最大化（应避免低价中标导致项目质量低劣等情况）。</w:t>
            </w:r>
          </w:p>
          <w:p w14:paraId="16B70FF1">
            <w:pPr>
              <w:pStyle w:val="2"/>
              <w:adjustRightInd w:val="0"/>
              <w:snapToGrid w:val="0"/>
              <w:spacing w:after="0" w:line="0" w:lineRule="atLeast"/>
              <w:ind w:left="0" w:leftChars="0" w:right="0" w:rightChars="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每一个采购文件符合上述五个方面要求，每个方面表述优秀得</w:t>
            </w:r>
            <w:r>
              <w:rPr>
                <w:rFonts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rPr>
              <w:t>分，不优秀不得分，每个采购文件最多得</w:t>
            </w:r>
            <w:r>
              <w:rPr>
                <w:rFonts w:ascii="方正仿宋_GBK" w:hAnsi="方正仿宋_GBK" w:eastAsia="方正仿宋_GBK" w:cs="方正仿宋_GBK"/>
                <w:szCs w:val="21"/>
                <w:highlight w:val="none"/>
              </w:rPr>
              <w:t>5</w:t>
            </w:r>
            <w:r>
              <w:rPr>
                <w:rFonts w:hint="eastAsia" w:ascii="方正仿宋_GBK" w:hAnsi="方正仿宋_GBK" w:eastAsia="方正仿宋_GBK" w:cs="方正仿宋_GBK"/>
                <w:szCs w:val="21"/>
                <w:highlight w:val="none"/>
              </w:rPr>
              <w:t>分。</w:t>
            </w:r>
          </w:p>
        </w:tc>
        <w:tc>
          <w:tcPr>
            <w:tcW w:w="2440" w:type="dxa"/>
            <w:vAlign w:val="center"/>
          </w:tcPr>
          <w:p w14:paraId="2181EC57">
            <w:pPr>
              <w:adjustRightInd w:val="0"/>
              <w:snapToGrid w:val="0"/>
              <w:spacing w:line="0" w:lineRule="atLeast"/>
              <w:rPr>
                <w:rFonts w:ascii="方正仿宋_GBK" w:hAnsi="方正仿宋_GBK" w:eastAsia="方正仿宋_GBK" w:cs="方正仿宋_GBK"/>
                <w:szCs w:val="21"/>
              </w:rPr>
            </w:pPr>
          </w:p>
        </w:tc>
      </w:tr>
      <w:tr w14:paraId="297A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28" w:type="dxa"/>
            <w:gridSpan w:val="5"/>
            <w:vAlign w:val="center"/>
          </w:tcPr>
          <w:p w14:paraId="588A9028">
            <w:pPr>
              <w:adjustRightInd w:val="0"/>
              <w:snapToGrid w:val="0"/>
              <w:spacing w:line="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供应商的应答应满足招标文件“第三篇项目商务需求”，有一条不满足的（第三篇中※号标注的部分），商务部分得分为0分，不再进入商务部分的评审。</w:t>
            </w:r>
          </w:p>
        </w:tc>
      </w:tr>
      <w:tr w14:paraId="2896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35" w:type="dxa"/>
            <w:vMerge w:val="restart"/>
            <w:vAlign w:val="center"/>
          </w:tcPr>
          <w:p w14:paraId="0B46288A">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462" w:type="dxa"/>
            <w:vMerge w:val="restart"/>
            <w:vAlign w:val="center"/>
          </w:tcPr>
          <w:p w14:paraId="60DA3EBA">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商务部分（</w:t>
            </w:r>
            <w:r>
              <w:rPr>
                <w:rFonts w:ascii="方正仿宋_GBK" w:hAnsi="方正仿宋_GBK" w:eastAsia="方正仿宋_GBK" w:cs="方正仿宋_GBK"/>
                <w:szCs w:val="21"/>
              </w:rPr>
              <w:t>15</w:t>
            </w:r>
            <w:r>
              <w:rPr>
                <w:rFonts w:hint="eastAsia" w:ascii="方正仿宋_GBK" w:hAnsi="方正仿宋_GBK" w:eastAsia="方正仿宋_GBK" w:cs="方正仿宋_GBK"/>
                <w:szCs w:val="21"/>
              </w:rPr>
              <w:t>%）</w:t>
            </w:r>
          </w:p>
        </w:tc>
        <w:tc>
          <w:tcPr>
            <w:tcW w:w="913" w:type="dxa"/>
            <w:vAlign w:val="center"/>
          </w:tcPr>
          <w:p w14:paraId="0D61A3D0">
            <w:pPr>
              <w:adjustRightInd w:val="0"/>
              <w:snapToGrid w:val="0"/>
              <w:spacing w:line="0" w:lineRule="atLeast"/>
              <w:ind w:firstLine="28"/>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6</w:t>
            </w:r>
          </w:p>
        </w:tc>
        <w:tc>
          <w:tcPr>
            <w:tcW w:w="3978" w:type="dxa"/>
            <w:vAlign w:val="center"/>
          </w:tcPr>
          <w:p w14:paraId="13702363">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供应商能为采购人的服务项目提供专业人员：</w:t>
            </w:r>
          </w:p>
          <w:p w14:paraId="7A38E6A2">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（1）有</w:t>
            </w:r>
            <w:r>
              <w:rPr>
                <w:rFonts w:ascii="方正仿宋_GBK" w:hAnsi="方正仿宋_GBK" w:eastAsia="方正仿宋_GBK" w:cs="方正仿宋_GBK"/>
                <w:szCs w:val="21"/>
                <w:highlight w:val="none"/>
              </w:rPr>
              <w:t>9</w:t>
            </w:r>
            <w:r>
              <w:rPr>
                <w:rFonts w:hint="eastAsia" w:ascii="方正仿宋_GBK" w:hAnsi="方正仿宋_GBK" w:eastAsia="方正仿宋_GBK" w:cs="方正仿宋_GBK"/>
                <w:szCs w:val="21"/>
                <w:highlight w:val="none"/>
              </w:rPr>
              <w:t>人及以上得</w:t>
            </w:r>
            <w:r>
              <w:rPr>
                <w:rFonts w:hint="eastAsia" w:ascii="方正仿宋_GBK" w:hAnsi="方正仿宋_GBK" w:eastAsia="方正仿宋_GBK" w:cs="方正仿宋_GBK"/>
                <w:szCs w:val="21"/>
                <w:highlight w:val="none"/>
                <w:lang w:val="en-US" w:eastAsia="zh-CN"/>
              </w:rPr>
              <w:t>6</w:t>
            </w:r>
            <w:r>
              <w:rPr>
                <w:rFonts w:hint="eastAsia" w:ascii="方正仿宋_GBK" w:hAnsi="方正仿宋_GBK" w:eastAsia="方正仿宋_GBK" w:cs="方正仿宋_GBK"/>
                <w:szCs w:val="21"/>
                <w:highlight w:val="none"/>
              </w:rPr>
              <w:t>分；</w:t>
            </w:r>
          </w:p>
          <w:p w14:paraId="11B79CD5">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（2）有</w:t>
            </w:r>
            <w:r>
              <w:rPr>
                <w:rFonts w:ascii="方正仿宋_GBK" w:hAnsi="方正仿宋_GBK" w:eastAsia="方正仿宋_GBK" w:cs="方正仿宋_GBK"/>
                <w:szCs w:val="21"/>
                <w:highlight w:val="none"/>
              </w:rPr>
              <w:t>6</w:t>
            </w:r>
            <w:r>
              <w:rPr>
                <w:rFonts w:hint="eastAsia" w:ascii="方正仿宋_GBK" w:hAnsi="方正仿宋_GBK" w:eastAsia="方正仿宋_GBK" w:cs="方正仿宋_GBK"/>
                <w:szCs w:val="21"/>
                <w:highlight w:val="none"/>
              </w:rPr>
              <w:t>人及以上得</w:t>
            </w:r>
            <w:r>
              <w:rPr>
                <w:rFonts w:hint="eastAsia" w:ascii="方正仿宋_GBK" w:hAnsi="方正仿宋_GBK" w:eastAsia="方正仿宋_GBK" w:cs="方正仿宋_GBK"/>
                <w:szCs w:val="21"/>
                <w:highlight w:val="none"/>
                <w:lang w:val="en-US" w:eastAsia="zh-CN"/>
              </w:rPr>
              <w:t>4</w:t>
            </w:r>
            <w:r>
              <w:rPr>
                <w:rFonts w:hint="eastAsia" w:ascii="方正仿宋_GBK" w:hAnsi="方正仿宋_GBK" w:eastAsia="方正仿宋_GBK" w:cs="方正仿宋_GBK"/>
                <w:szCs w:val="21"/>
                <w:highlight w:val="none"/>
              </w:rPr>
              <w:t>分；</w:t>
            </w:r>
          </w:p>
          <w:p w14:paraId="79F2622D">
            <w:pPr>
              <w:adjustRightInd w:val="0"/>
              <w:snapToGrid w:val="0"/>
              <w:spacing w:line="0" w:lineRule="atLeas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（3）有3人及以上得</w:t>
            </w:r>
            <w:r>
              <w:rPr>
                <w:rFonts w:hint="eastAsia" w:ascii="方正仿宋_GBK" w:hAnsi="方正仿宋_GBK" w:eastAsia="方正仿宋_GBK" w:cs="方正仿宋_GBK"/>
                <w:szCs w:val="21"/>
                <w:highlight w:val="none"/>
                <w:lang w:val="en-US" w:eastAsia="zh-CN"/>
              </w:rPr>
              <w:t>2</w:t>
            </w:r>
            <w:r>
              <w:rPr>
                <w:rFonts w:hint="eastAsia" w:ascii="方正仿宋_GBK" w:hAnsi="方正仿宋_GBK" w:eastAsia="方正仿宋_GBK" w:cs="方正仿宋_GBK"/>
                <w:szCs w:val="21"/>
                <w:highlight w:val="none"/>
              </w:rPr>
              <w:t>分；</w:t>
            </w:r>
          </w:p>
          <w:p w14:paraId="705CB48A">
            <w:pPr>
              <w:pStyle w:val="87"/>
              <w:adjustRightInd w:val="0"/>
              <w:snapToGrid w:val="0"/>
              <w:spacing w:after="0"/>
              <w:ind w:left="0" w:leftChars="0" w:firstLine="0" w:firstLineChars="0"/>
              <w:jc w:val="left"/>
              <w:rPr>
                <w:highlight w:val="none"/>
              </w:rPr>
            </w:pPr>
            <w:r>
              <w:rPr>
                <w:rFonts w:hint="eastAsia" w:ascii="方正仿宋_GBK" w:hAnsi="方正仿宋_GBK" w:eastAsia="方正仿宋_GBK" w:cs="方正仿宋_GBK"/>
                <w:szCs w:val="21"/>
                <w:highlight w:val="none"/>
              </w:rPr>
              <w:t>（4）不足</w:t>
            </w:r>
            <w:r>
              <w:rPr>
                <w:rFonts w:ascii="方正仿宋_GBK" w:hAnsi="方正仿宋_GBK" w:eastAsia="方正仿宋_GBK" w:cs="方正仿宋_GBK"/>
                <w:szCs w:val="21"/>
                <w:highlight w:val="none"/>
              </w:rPr>
              <w:t>3</w:t>
            </w:r>
            <w:r>
              <w:rPr>
                <w:rFonts w:hint="eastAsia" w:ascii="方正仿宋_GBK" w:hAnsi="方正仿宋_GBK" w:eastAsia="方正仿宋_GBK" w:cs="方正仿宋_GBK"/>
                <w:szCs w:val="21"/>
                <w:highlight w:val="none"/>
              </w:rPr>
              <w:t>人及以上得0分。</w:t>
            </w:r>
          </w:p>
        </w:tc>
        <w:tc>
          <w:tcPr>
            <w:tcW w:w="2440" w:type="dxa"/>
            <w:vAlign w:val="center"/>
          </w:tcPr>
          <w:p w14:paraId="4C3B371E">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color w:val="000000" w:themeColor="text1"/>
                <w:szCs w:val="21"/>
                <w14:textFill>
                  <w14:solidFill>
                    <w14:schemeClr w14:val="tx1"/>
                  </w14:solidFill>
                </w14:textFill>
              </w:rPr>
              <w:t>供应商提供近三个月以来缴纳本单位社保人员的资料加盖公章</w:t>
            </w:r>
          </w:p>
        </w:tc>
      </w:tr>
      <w:tr w14:paraId="2713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35" w:type="dxa"/>
            <w:vMerge w:val="continue"/>
            <w:vAlign w:val="center"/>
          </w:tcPr>
          <w:p w14:paraId="09696685">
            <w:pPr>
              <w:adjustRightInd w:val="0"/>
              <w:snapToGrid w:val="0"/>
              <w:spacing w:line="0" w:lineRule="atLeast"/>
              <w:ind w:firstLine="28"/>
              <w:jc w:val="center"/>
              <w:rPr>
                <w:rFonts w:ascii="方正仿宋_GBK" w:hAnsi="方正仿宋_GBK" w:eastAsia="方正仿宋_GBK" w:cs="方正仿宋_GBK"/>
                <w:szCs w:val="21"/>
              </w:rPr>
            </w:pPr>
          </w:p>
        </w:tc>
        <w:tc>
          <w:tcPr>
            <w:tcW w:w="1462" w:type="dxa"/>
            <w:vMerge w:val="continue"/>
            <w:vAlign w:val="center"/>
          </w:tcPr>
          <w:p w14:paraId="1C9F8C99">
            <w:pPr>
              <w:adjustRightInd w:val="0"/>
              <w:snapToGrid w:val="0"/>
              <w:spacing w:line="0" w:lineRule="atLeast"/>
              <w:ind w:firstLine="28"/>
              <w:jc w:val="center"/>
              <w:rPr>
                <w:rFonts w:ascii="方正仿宋_GBK" w:hAnsi="方正仿宋_GBK" w:eastAsia="方正仿宋_GBK" w:cs="方正仿宋_GBK"/>
                <w:szCs w:val="21"/>
              </w:rPr>
            </w:pPr>
          </w:p>
        </w:tc>
        <w:tc>
          <w:tcPr>
            <w:tcW w:w="913" w:type="dxa"/>
            <w:vAlign w:val="center"/>
          </w:tcPr>
          <w:p w14:paraId="644F6ED5">
            <w:pPr>
              <w:adjustRightInd w:val="0"/>
              <w:snapToGrid w:val="0"/>
              <w:spacing w:line="0" w:lineRule="atLeast"/>
              <w:ind w:firstLine="28"/>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4</w:t>
            </w:r>
          </w:p>
        </w:tc>
        <w:tc>
          <w:tcPr>
            <w:tcW w:w="3978" w:type="dxa"/>
            <w:vAlign w:val="center"/>
          </w:tcPr>
          <w:p w14:paraId="502A4D9E">
            <w:pPr>
              <w:adjustRightInd w:val="0"/>
              <w:snapToGrid w:val="0"/>
              <w:spacing w:line="0" w:lineRule="atLeas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）2022年7月以来供应商参加政府采购主管部门培训，培训1人（或1次）得0.5分，最多得</w:t>
            </w:r>
            <w:r>
              <w:rPr>
                <w:rFonts w:hint="eastAsia" w:ascii="方正仿宋_GBK" w:hAnsi="方正仿宋_GBK" w:eastAsia="方正仿宋_GBK" w:cs="方正仿宋_GBK"/>
                <w:color w:val="auto"/>
                <w:szCs w:val="21"/>
                <w:highlight w:val="none"/>
                <w:lang w:val="en-US" w:eastAsia="zh-CN"/>
              </w:rPr>
              <w:t>4</w:t>
            </w:r>
            <w:r>
              <w:rPr>
                <w:rFonts w:hint="eastAsia" w:ascii="方正仿宋_GBK" w:hAnsi="方正仿宋_GBK" w:eastAsia="方正仿宋_GBK" w:cs="方正仿宋_GBK"/>
                <w:color w:val="auto"/>
                <w:szCs w:val="21"/>
                <w:highlight w:val="none"/>
              </w:rPr>
              <w:t>分。</w:t>
            </w:r>
          </w:p>
        </w:tc>
        <w:tc>
          <w:tcPr>
            <w:tcW w:w="2440" w:type="dxa"/>
            <w:vAlign w:val="center"/>
          </w:tcPr>
          <w:p w14:paraId="4167B604">
            <w:pPr>
              <w:adjustRightInd w:val="0"/>
              <w:snapToGrid w:val="0"/>
              <w:spacing w:line="0" w:lineRule="atLeas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参加政府采购主管部门培训提供参加人培训合格证书复印件加盖公章。</w:t>
            </w:r>
          </w:p>
        </w:tc>
      </w:tr>
      <w:tr w14:paraId="0119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35" w:type="dxa"/>
            <w:vMerge w:val="continue"/>
            <w:vAlign w:val="center"/>
          </w:tcPr>
          <w:p w14:paraId="5B87689F">
            <w:pPr>
              <w:adjustRightInd w:val="0"/>
              <w:snapToGrid w:val="0"/>
              <w:spacing w:line="0" w:lineRule="atLeast"/>
              <w:ind w:firstLine="28"/>
              <w:jc w:val="center"/>
              <w:rPr>
                <w:rFonts w:ascii="方正仿宋_GBK" w:hAnsi="方正仿宋_GBK" w:eastAsia="方正仿宋_GBK" w:cs="方正仿宋_GBK"/>
                <w:szCs w:val="21"/>
              </w:rPr>
            </w:pPr>
          </w:p>
        </w:tc>
        <w:tc>
          <w:tcPr>
            <w:tcW w:w="1462" w:type="dxa"/>
            <w:vMerge w:val="continue"/>
            <w:vAlign w:val="center"/>
          </w:tcPr>
          <w:p w14:paraId="0280286C">
            <w:pPr>
              <w:adjustRightInd w:val="0"/>
              <w:snapToGrid w:val="0"/>
              <w:spacing w:line="0" w:lineRule="atLeast"/>
              <w:ind w:firstLine="28"/>
              <w:jc w:val="center"/>
              <w:rPr>
                <w:rFonts w:ascii="方正仿宋_GBK" w:hAnsi="方正仿宋_GBK" w:eastAsia="方正仿宋_GBK" w:cs="方正仿宋_GBK"/>
                <w:szCs w:val="21"/>
              </w:rPr>
            </w:pPr>
          </w:p>
        </w:tc>
        <w:tc>
          <w:tcPr>
            <w:tcW w:w="913" w:type="dxa"/>
            <w:vAlign w:val="center"/>
          </w:tcPr>
          <w:p w14:paraId="10D652AA">
            <w:pPr>
              <w:adjustRightInd w:val="0"/>
              <w:snapToGrid w:val="0"/>
              <w:spacing w:line="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3978" w:type="dxa"/>
            <w:vAlign w:val="center"/>
          </w:tcPr>
          <w:p w14:paraId="69AF55E4">
            <w:pPr>
              <w:adjustRightInd w:val="0"/>
              <w:snapToGrid w:val="0"/>
              <w:spacing w:line="0" w:lineRule="atLeas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2022年7月以来（以签订合同时间为准），供应商签订货物或服务采购代理合同，每提供1份得0.5分，最多得 </w:t>
            </w:r>
            <w:r>
              <w:rPr>
                <w:rFonts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分；签订工程采购代理合同，每提供1份得0.5分，最多得 1分。同一采购人具有多份合同，只计0.5分。</w:t>
            </w:r>
          </w:p>
        </w:tc>
        <w:tc>
          <w:tcPr>
            <w:tcW w:w="2440" w:type="dxa"/>
            <w:vAlign w:val="center"/>
          </w:tcPr>
          <w:p w14:paraId="62921CEF">
            <w:pPr>
              <w:adjustRightInd w:val="0"/>
              <w:snapToGrid w:val="0"/>
              <w:spacing w:line="0" w:lineRule="atLeast"/>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提供显示有供应商名称采购平台</w:t>
            </w:r>
            <w:r>
              <w:rPr>
                <w:rFonts w:hint="eastAsia" w:eastAsia="方正仿宋_GBK" w:cs="Times New Roman"/>
                <w:color w:val="auto"/>
                <w:szCs w:val="21"/>
              </w:rPr>
              <w:t>（如重庆市政府采购网、行采家）</w:t>
            </w:r>
            <w:r>
              <w:rPr>
                <w:rFonts w:hint="eastAsia" w:ascii="方正仿宋_GBK" w:hAnsi="方正仿宋_GBK" w:eastAsia="方正仿宋_GBK" w:cs="方正仿宋_GBK"/>
                <w:color w:val="auto"/>
                <w:szCs w:val="21"/>
              </w:rPr>
              <w:t>发布公告截图加盖公章，同时提供供应商合同复印件加盖公章，</w:t>
            </w:r>
          </w:p>
        </w:tc>
      </w:tr>
      <w:tr w14:paraId="004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628" w:type="dxa"/>
            <w:gridSpan w:val="5"/>
            <w:vAlign w:val="center"/>
          </w:tcPr>
          <w:p w14:paraId="43AC1C08">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查证报名供应商自2022年以来遭受过政府采购主管部门给予的行政处罚，采购人将拒收供应商提交的响应文件。供应商未遭受行政处罚的，提供政府采购网查询证明截图加盖公章；如无法查明，提供未遭受行政处罚的承诺函加盖公章。</w:t>
            </w:r>
          </w:p>
        </w:tc>
      </w:tr>
    </w:tbl>
    <w:p w14:paraId="0044669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1303B2F4">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注：关于小微企业报价扣除比例说明</w:t>
      </w:r>
    </w:p>
    <w:p w14:paraId="0861690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1.供应商为非联合体参与磋商的，对小微型企业给予10%的扣除，以扣除后的报价参与评审。</w:t>
      </w:r>
    </w:p>
    <w:p w14:paraId="6EEC99B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2.监狱企业、残疾人福利性单位视同小型、微型企业。</w:t>
      </w:r>
    </w:p>
    <w:p w14:paraId="27976C81">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07" w:name="_Toc18428"/>
      <w:bookmarkStart w:id="108" w:name="_Toc26413"/>
      <w:bookmarkStart w:id="109" w:name="_Toc29853"/>
      <w:bookmarkStart w:id="110" w:name="_Toc538924049"/>
      <w:bookmarkStart w:id="111" w:name="_Toc13099"/>
      <w:bookmarkStart w:id="112" w:name="_Toc76462335"/>
      <w:bookmarkStart w:id="113" w:name="_Toc2023"/>
      <w:bookmarkStart w:id="114" w:name="_Toc31353"/>
      <w:bookmarkStart w:id="115" w:name="_Toc16120"/>
      <w:bookmarkStart w:id="116" w:name="_Toc20576"/>
      <w:bookmarkStart w:id="117" w:name="_Toc5816"/>
      <w:bookmarkStart w:id="118" w:name="_Toc6019"/>
      <w:bookmarkStart w:id="119" w:name="_Toc14129"/>
      <w:bookmarkStart w:id="120" w:name="_Toc27475"/>
      <w:bookmarkStart w:id="121" w:name="_Toc29967"/>
      <w:bookmarkStart w:id="122" w:name="_Toc21491"/>
      <w:bookmarkStart w:id="123" w:name="_Toc5436"/>
      <w:bookmarkStart w:id="124" w:name="_Toc8959"/>
      <w:r>
        <w:rPr>
          <w:rFonts w:hint="eastAsia" w:ascii="方正仿宋_GBK" w:hAnsi="方正仿宋_GBK" w:eastAsia="方正仿宋_GBK" w:cs="方正仿宋_GBK"/>
          <w:sz w:val="24"/>
        </w:rPr>
        <w:t>三、无效响应</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090A4AD">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供应商发生以下条款情况之一者，视为无效响应，其响应文件将被拒绝：</w:t>
      </w:r>
    </w:p>
    <w:p w14:paraId="0036B9BB">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（一）供应商不符合规定的资格条件的；</w:t>
      </w:r>
    </w:p>
    <w:p w14:paraId="228F8A1C">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（二）供应商的法定代表人（或其授权代表）或自然人未参加磋商；</w:t>
      </w:r>
    </w:p>
    <w:p w14:paraId="3AB447B6">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（三）供应商所提交的响应文件不按“第七篇响应文件编制要求”要求签署或盖章；</w:t>
      </w:r>
    </w:p>
    <w:p w14:paraId="119AEFF4">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（四）供应商的最后报价超过采购预算或最高限价的；</w:t>
      </w:r>
    </w:p>
    <w:p w14:paraId="61B8CFC5">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（五）法定代表人为同一个人的两个及两个以上法人，母公司、全资子公司及其控股公司，在同一包采购中同时参与磋商；</w:t>
      </w:r>
    </w:p>
    <w:p w14:paraId="1BE9D9EF">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（六）单位负责人为同一人或者存在直接控股、管理关系的不同供应商，参加同一合同项下的政府采购活动的；</w:t>
      </w:r>
    </w:p>
    <w:p w14:paraId="08EBA6E0">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（七）为采购项目提供整体设计、规范编制或者项目管理、监理、检测等服务的供应商，再参加该采购项目的其他采购活动；</w:t>
      </w:r>
    </w:p>
    <w:p w14:paraId="1E83922E">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（八）供应商磋商有效期不满足竞争性磋商文件要求的；</w:t>
      </w:r>
    </w:p>
    <w:p w14:paraId="18E4D615">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（九）供应商响应文件内容有与国家现行法律法规相违背的内容，或附有采购人无法接受的条件；</w:t>
      </w:r>
    </w:p>
    <w:p w14:paraId="3B61F46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（十）法律、法规和竞争性磋商文件规定的其他无效情形；</w:t>
      </w:r>
    </w:p>
    <w:p w14:paraId="15CB704E">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25" w:name="_Toc12197"/>
      <w:bookmarkStart w:id="126" w:name="_Toc18545"/>
      <w:bookmarkStart w:id="127" w:name="_Toc22944"/>
      <w:bookmarkStart w:id="128" w:name="_Toc10466"/>
      <w:bookmarkStart w:id="129" w:name="_Toc10254"/>
      <w:bookmarkStart w:id="130" w:name="_Toc12510"/>
      <w:bookmarkStart w:id="131" w:name="_Toc4767"/>
      <w:bookmarkStart w:id="132" w:name="_Toc9827"/>
      <w:bookmarkStart w:id="133" w:name="_Toc1170227676"/>
      <w:bookmarkStart w:id="134" w:name="_Toc19865"/>
      <w:bookmarkStart w:id="135" w:name="_Toc1791"/>
      <w:bookmarkStart w:id="136" w:name="_Toc7641"/>
      <w:bookmarkStart w:id="137" w:name="_Toc18459"/>
      <w:bookmarkStart w:id="138" w:name="_Toc292"/>
      <w:bookmarkStart w:id="139" w:name="_Toc11456"/>
      <w:bookmarkStart w:id="140" w:name="_Toc25586"/>
      <w:bookmarkStart w:id="141" w:name="_Toc31634"/>
      <w:bookmarkStart w:id="142" w:name="_Toc76462336"/>
      <w:r>
        <w:rPr>
          <w:rFonts w:hint="eastAsia" w:ascii="方正仿宋_GBK" w:hAnsi="方正仿宋_GBK" w:eastAsia="方正仿宋_GBK" w:cs="方正仿宋_GBK"/>
          <w:sz w:val="24"/>
        </w:rPr>
        <w:t>四、</w:t>
      </w:r>
      <w:bookmarkEnd w:id="105"/>
      <w:bookmarkEnd w:id="106"/>
      <w:r>
        <w:rPr>
          <w:rFonts w:hint="eastAsia" w:ascii="方正仿宋_GBK" w:hAnsi="方正仿宋_GBK" w:eastAsia="方正仿宋_GBK" w:cs="方正仿宋_GBK"/>
          <w:sz w:val="24"/>
        </w:rPr>
        <w:t>采购终止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248F6C2">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出现下列情形之一的，采购人应当终止竞争性磋商采购活动，发布项目终止公告并说明原因，重新开展采购活动：</w:t>
      </w:r>
    </w:p>
    <w:p w14:paraId="4C8FFA06">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（一）因情况变化，不再符合规定的竞争性磋商采购方式适用情形的；</w:t>
      </w:r>
    </w:p>
    <w:p w14:paraId="1B4CA35D">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（二）出现影响采购公正的违法、违规行为的；</w:t>
      </w:r>
    </w:p>
    <w:p w14:paraId="4E1782E9">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（三）在采购过程中符合要求的供应商或者报价未超过采购预算的供应商不足3家的。</w:t>
      </w:r>
    </w:p>
    <w:p w14:paraId="6A1EE5AC">
      <w:pPr>
        <w:pStyle w:val="4"/>
        <w:adjustRightInd w:val="0"/>
        <w:snapToGrid w:val="0"/>
        <w:spacing w:before="0" w:after="0" w:line="400" w:lineRule="exact"/>
        <w:jc w:val="center"/>
        <w:rPr>
          <w:rFonts w:ascii="方正仿宋_GBK" w:hAnsi="方正仿宋_GBK" w:eastAsia="方正仿宋_GBK" w:cs="方正仿宋_GBK"/>
          <w:bCs/>
          <w:sz w:val="36"/>
          <w:szCs w:val="36"/>
        </w:rPr>
      </w:pPr>
      <w:r>
        <w:rPr>
          <w:rFonts w:hint="eastAsia" w:ascii="方正仿宋_GBK" w:hAnsi="方正仿宋_GBK" w:eastAsia="方正仿宋_GBK" w:cs="方正仿宋_GBK"/>
          <w:sz w:val="24"/>
        </w:rPr>
        <w:br w:type="page"/>
      </w:r>
      <w:bookmarkEnd w:id="81"/>
      <w:bookmarkEnd w:id="82"/>
      <w:bookmarkEnd w:id="83"/>
      <w:bookmarkEnd w:id="84"/>
      <w:bookmarkEnd w:id="104"/>
      <w:bookmarkStart w:id="143" w:name="_Toc28660"/>
      <w:bookmarkStart w:id="144" w:name="_Toc14313"/>
      <w:bookmarkStart w:id="145" w:name="_Toc8009"/>
      <w:bookmarkStart w:id="146" w:name="_Toc736604950"/>
      <w:bookmarkStart w:id="147" w:name="_Toc26130"/>
      <w:bookmarkStart w:id="148" w:name="_Toc76462337"/>
      <w:bookmarkStart w:id="149" w:name="_Toc15373"/>
      <w:bookmarkStart w:id="150" w:name="_Toc13956"/>
      <w:bookmarkStart w:id="151" w:name="_Toc20096"/>
      <w:bookmarkStart w:id="152" w:name="_Toc20039"/>
      <w:bookmarkStart w:id="153" w:name="_Toc15885"/>
      <w:bookmarkStart w:id="154" w:name="_Toc8251"/>
      <w:bookmarkStart w:id="155" w:name="_Toc8196"/>
      <w:bookmarkStart w:id="156" w:name="_Toc706"/>
      <w:bookmarkStart w:id="157" w:name="_Toc1279"/>
      <w:bookmarkStart w:id="158" w:name="_Toc102227313"/>
      <w:bookmarkStart w:id="159" w:name="_Toc16632"/>
      <w:bookmarkStart w:id="160" w:name="_Toc1938"/>
      <w:bookmarkStart w:id="161" w:name="_Toc21331"/>
      <w:r>
        <w:rPr>
          <w:rFonts w:hint="eastAsia" w:ascii="方正仿宋_GBK" w:hAnsi="方正仿宋_GBK" w:eastAsia="方正仿宋_GBK" w:cs="方正仿宋_GBK"/>
          <w:bCs/>
          <w:sz w:val="36"/>
          <w:szCs w:val="36"/>
        </w:rPr>
        <w:t>第五篇  供应商须知</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5A3D787">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62" w:name="_Toc27450"/>
      <w:bookmarkStart w:id="163" w:name="_Toc17186"/>
      <w:bookmarkStart w:id="164" w:name="_Toc13127"/>
      <w:bookmarkStart w:id="165" w:name="_Toc21556"/>
      <w:bookmarkStart w:id="166" w:name="_Toc19124"/>
      <w:bookmarkStart w:id="167" w:name="_Toc11819"/>
      <w:bookmarkStart w:id="168" w:name="_Toc7999"/>
      <w:bookmarkStart w:id="169" w:name="_Toc19632"/>
      <w:bookmarkStart w:id="170" w:name="_Toc23240"/>
      <w:bookmarkStart w:id="171" w:name="_Toc16478"/>
      <w:bookmarkStart w:id="172" w:name="_Toc342913389"/>
      <w:bookmarkStart w:id="173" w:name="_Toc12390"/>
      <w:bookmarkStart w:id="174" w:name="_Toc793"/>
      <w:bookmarkStart w:id="175" w:name="_Toc27580"/>
      <w:bookmarkStart w:id="176" w:name="_Toc1902335998"/>
      <w:bookmarkStart w:id="177" w:name="_Toc76462338"/>
      <w:bookmarkStart w:id="178" w:name="_Toc7713"/>
      <w:bookmarkStart w:id="179" w:name="_Toc5692"/>
      <w:bookmarkStart w:id="180" w:name="_Toc21252"/>
      <w:r>
        <w:rPr>
          <w:rFonts w:hint="eastAsia" w:ascii="方正仿宋_GBK" w:hAnsi="方正仿宋_GBK" w:eastAsia="方正仿宋_GBK" w:cs="方正仿宋_GBK"/>
          <w:sz w:val="24"/>
        </w:rPr>
        <w:t>一、磋商费用</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DC3B36D">
      <w:pPr>
        <w:pStyle w:val="243"/>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参与磋商的供应商应承担其编制响应文件与递交响应文件所涉及的一切费用，不论磋商结果如何，采购人在任何情况下无义务也无责任承担这些费用。</w:t>
      </w:r>
    </w:p>
    <w:p w14:paraId="5DC0A4F0">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81" w:name="_Toc76462339"/>
      <w:bookmarkStart w:id="182" w:name="_Toc342913391"/>
      <w:bookmarkStart w:id="183" w:name="_Toc8698"/>
      <w:bookmarkStart w:id="184" w:name="_Toc26606"/>
      <w:bookmarkStart w:id="185" w:name="_Toc8461"/>
      <w:bookmarkStart w:id="186" w:name="_Toc18966"/>
      <w:bookmarkStart w:id="187" w:name="_Toc4573"/>
      <w:bookmarkStart w:id="188" w:name="_Toc22221"/>
      <w:bookmarkStart w:id="189" w:name="_Toc9045"/>
      <w:bookmarkStart w:id="190" w:name="_Toc9497"/>
      <w:bookmarkStart w:id="191" w:name="_Toc8038"/>
      <w:bookmarkStart w:id="192" w:name="_Toc15704"/>
      <w:bookmarkStart w:id="193" w:name="_Toc20922"/>
      <w:bookmarkStart w:id="194" w:name="_Toc704278276"/>
      <w:bookmarkStart w:id="195" w:name="_Toc4199"/>
      <w:bookmarkStart w:id="196" w:name="_Toc30080"/>
      <w:bookmarkStart w:id="197" w:name="_Toc7754"/>
      <w:bookmarkStart w:id="198" w:name="_Toc29521"/>
      <w:bookmarkStart w:id="199" w:name="_Toc18232"/>
      <w:r>
        <w:rPr>
          <w:rFonts w:hint="eastAsia" w:ascii="方正仿宋_GBK" w:hAnsi="方正仿宋_GBK" w:eastAsia="方正仿宋_GBK" w:cs="方正仿宋_GBK"/>
          <w:sz w:val="24"/>
        </w:rPr>
        <w:t>二、竞争性磋商文件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3C78F3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（一）竞争性磋商文件由采购邀请书、项目服务需求、供应商须知、项目商务需求、磋商程序及方法、评审标准、无效响应和采购终止、供应商须知</w:t>
      </w:r>
      <w:r>
        <w:rPr>
          <w:rFonts w:hint="eastAsia" w:ascii="方正仿宋_GBK" w:hAnsi="方正仿宋_GBK" w:eastAsia="方正仿宋_GBK" w:cs="方正仿宋_GBK"/>
          <w:b/>
          <w:sz w:val="24"/>
        </w:rPr>
        <w:t>、</w:t>
      </w:r>
      <w:r>
        <w:rPr>
          <w:rFonts w:hint="eastAsia" w:ascii="方正仿宋_GBK" w:hAnsi="方正仿宋_GBK" w:eastAsia="方正仿宋_GBK" w:cs="方正仿宋_GBK"/>
          <w:sz w:val="24"/>
        </w:rPr>
        <w:t>政府采购合同</w:t>
      </w:r>
      <w:r>
        <w:rPr>
          <w:rFonts w:hint="eastAsia" w:ascii="方正仿宋_GBK" w:hAnsi="方正仿宋_GBK" w:eastAsia="方正仿宋_GBK" w:cs="方正仿宋_GBK"/>
          <w:b/>
          <w:sz w:val="24"/>
        </w:rPr>
        <w:t>、</w:t>
      </w:r>
      <w:r>
        <w:rPr>
          <w:rFonts w:hint="eastAsia" w:ascii="方正仿宋_GBK" w:hAnsi="方正仿宋_GBK" w:eastAsia="方正仿宋_GBK" w:cs="方正仿宋_GBK"/>
          <w:sz w:val="24"/>
        </w:rPr>
        <w:t>响应文件编制要求七部分组成。</w:t>
      </w:r>
    </w:p>
    <w:p w14:paraId="6461D47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（二）采购人所作的一切有效的书面通知、修改及补充，都是竞争性磋商文件不可分割的部分。</w:t>
      </w:r>
    </w:p>
    <w:p w14:paraId="26B28B5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（三）竞争性磋商文件的解释</w:t>
      </w:r>
    </w:p>
    <w:p w14:paraId="2DC6EDB0">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0" w:name="_Toc318166429"/>
      <w:bookmarkStart w:id="201" w:name="_Toc318159160"/>
      <w:bookmarkStart w:id="202" w:name="_Toc318159349"/>
      <w:bookmarkStart w:id="203" w:name="_Toc318159780"/>
    </w:p>
    <w:p w14:paraId="4A27798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（四）本竞争性磋商文件中，磋商小组根据与供应商进行磋商可能实质性变动的内容为竞争性磋商文件第二、三、六篇全部内容。</w:t>
      </w:r>
    </w:p>
    <w:p w14:paraId="5DE5DD8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（五）评审的依据为竞争性磋商文件和响应文件（含有效的书面承诺）。磋商小组判断响应文件对竞争性磋商文件的响应，仅基于响应文件本身而不靠外部证据。</w:t>
      </w:r>
    </w:p>
    <w:bookmarkEnd w:id="200"/>
    <w:bookmarkEnd w:id="201"/>
    <w:bookmarkEnd w:id="202"/>
    <w:bookmarkEnd w:id="203"/>
    <w:p w14:paraId="311C6EE3">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04" w:name="_Toc6100"/>
      <w:bookmarkStart w:id="205" w:name="_Toc2735"/>
      <w:bookmarkStart w:id="206" w:name="_Toc20247"/>
      <w:bookmarkStart w:id="207" w:name="_Toc632"/>
      <w:bookmarkStart w:id="208" w:name="_Toc14191"/>
      <w:bookmarkStart w:id="209" w:name="_Toc23552"/>
      <w:bookmarkStart w:id="210" w:name="_Toc25054"/>
      <w:bookmarkStart w:id="211" w:name="_Toc20791"/>
      <w:bookmarkStart w:id="212" w:name="_Toc29340"/>
      <w:bookmarkStart w:id="213" w:name="_Toc9407"/>
      <w:bookmarkStart w:id="214" w:name="_Toc21811"/>
      <w:bookmarkStart w:id="215" w:name="_Toc11304"/>
      <w:bookmarkStart w:id="216" w:name="_Toc28796"/>
      <w:bookmarkStart w:id="217" w:name="_Toc102227318"/>
      <w:bookmarkStart w:id="218" w:name="_Toc31661"/>
      <w:bookmarkStart w:id="219" w:name="_Toc342913392"/>
      <w:bookmarkStart w:id="220" w:name="_Toc76462340"/>
      <w:bookmarkStart w:id="221" w:name="_Toc179714297"/>
      <w:bookmarkStart w:id="222" w:name="_Toc2012103841"/>
      <w:bookmarkStart w:id="223" w:name="_Toc13838"/>
      <w:bookmarkStart w:id="224" w:name="_Toc11189"/>
      <w:r>
        <w:rPr>
          <w:rFonts w:hint="eastAsia" w:ascii="方正仿宋_GBK" w:hAnsi="方正仿宋_GBK" w:eastAsia="方正仿宋_GBK" w:cs="方正仿宋_GBK"/>
          <w:sz w:val="24"/>
        </w:rPr>
        <w:t>三、磋商要求</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86DC94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（一）响应文件</w:t>
      </w:r>
    </w:p>
    <w:p w14:paraId="38F0DD7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1.供应商应当按照竞争性磋商文件的要求编制响应文件，并对竞争性磋商文件提出的要求和条件作出实质性响应，响应文件原则上采用软面订本，同时应编制完整的页码、目录。</w:t>
      </w:r>
    </w:p>
    <w:p w14:paraId="0978B1D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2.响应文件组成</w:t>
      </w:r>
    </w:p>
    <w:p w14:paraId="18E2697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2F871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（二）联合体</w:t>
      </w:r>
    </w:p>
    <w:p w14:paraId="0AE10405">
      <w:pPr>
        <w:adjustRightInd w:val="0"/>
        <w:snapToGrid w:val="0"/>
        <w:spacing w:line="400" w:lineRule="exact"/>
        <w:ind w:firstLine="720" w:firstLineChars="300"/>
        <w:rPr>
          <w:rFonts w:ascii="方正仿宋_GBK" w:hAnsi="方正仿宋_GBK" w:eastAsia="方正仿宋_GBK" w:cs="方正仿宋_GBK"/>
          <w:sz w:val="24"/>
        </w:rPr>
      </w:pPr>
      <w:r>
        <w:rPr>
          <w:rFonts w:hint="eastAsia" w:ascii="方正仿宋_GBK" w:hAnsi="方正仿宋_GBK" w:eastAsia="方正仿宋_GBK" w:cs="方正仿宋_GBK"/>
          <w:sz w:val="24"/>
        </w:rPr>
        <w:t>无。</w:t>
      </w:r>
    </w:p>
    <w:p w14:paraId="6138C21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（三）磋商有效期：响应文件及有关承诺文件有效期为提交响应文件截止时间起90天。</w:t>
      </w:r>
    </w:p>
    <w:p w14:paraId="78E328B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（四）修正错误</w:t>
      </w:r>
    </w:p>
    <w:p w14:paraId="4CE53DC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1.若供应商所递交的响应文件或最后报价中的价格出现大写金额和小写金额不一致的错误，以大写金额修正为准。</w:t>
      </w:r>
    </w:p>
    <w:p w14:paraId="0D83F75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2.磋商小组按上述修正错误的原则及方法修正供应商的报价，供应商同意并签署确认后，修正后的报价对供应商具有约束作用。如果供应商不接受修正后的价格，将失去成为成交供应商的资格。</w:t>
      </w:r>
    </w:p>
    <w:p w14:paraId="695D5D4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（五）提交响应文件的份数和签署</w:t>
      </w:r>
    </w:p>
    <w:p w14:paraId="31E7BA8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1.响应文件一式三份，其中正本一份，副本二份，副本可为正本的复印件，应与正本一致，如出现不一致情况以正本为准。</w:t>
      </w:r>
    </w:p>
    <w:p w14:paraId="0BC6C05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2.响应文件按竞争性磋商文件“第七篇响应文件编制要求”要求签署或盖章。</w:t>
      </w:r>
    </w:p>
    <w:p w14:paraId="028E782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（六）响应文件的递交</w:t>
      </w:r>
    </w:p>
    <w:p w14:paraId="62C75CFA">
      <w:pPr>
        <w:pStyle w:val="45"/>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1.响应文件的正本、副本均应密封送达磋商地点，应在封套上注明磋商项目名称、供应商名称。若正本、副本分别进行密封的，还应在封套上注明“正本”、“副本”字样。</w:t>
      </w:r>
    </w:p>
    <w:p w14:paraId="201C8EE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2.如果未按上述规定进行密封和标记，采购人对响应文件误投、丢失或提前拆封不负责任。</w:t>
      </w:r>
    </w:p>
    <w:p w14:paraId="103E78F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（七）供应商参与人员</w:t>
      </w:r>
    </w:p>
    <w:p w14:paraId="6D293CD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各个供应商应当派1-2名代表参与磋商，至少1人应为法定代表人（或其授权代表）或自然人（供应商为自然人）。</w:t>
      </w:r>
    </w:p>
    <w:p w14:paraId="3AD960BE">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25" w:name="_Toc29902"/>
      <w:bookmarkStart w:id="226" w:name="_Toc6872"/>
      <w:bookmarkStart w:id="227" w:name="_Toc2807"/>
      <w:bookmarkStart w:id="228" w:name="_Toc16815"/>
      <w:bookmarkStart w:id="229" w:name="_Toc3211"/>
      <w:bookmarkStart w:id="230" w:name="_Toc1654"/>
      <w:bookmarkStart w:id="231" w:name="_Toc27253"/>
      <w:bookmarkStart w:id="232" w:name="_Toc26349420"/>
      <w:bookmarkStart w:id="233" w:name="_Toc10675"/>
      <w:bookmarkStart w:id="234" w:name="_Toc6975"/>
      <w:bookmarkStart w:id="235" w:name="_Toc4358"/>
      <w:bookmarkStart w:id="236" w:name="_Toc26891"/>
      <w:bookmarkStart w:id="237" w:name="_Toc76462341"/>
      <w:bookmarkStart w:id="238" w:name="_Toc10146"/>
      <w:bookmarkStart w:id="239" w:name="_Toc4255"/>
      <w:bookmarkStart w:id="240" w:name="_Toc28339"/>
      <w:bookmarkStart w:id="241" w:name="_Toc13618"/>
      <w:bookmarkStart w:id="242" w:name="_Toc3816"/>
      <w:r>
        <w:rPr>
          <w:rFonts w:hint="eastAsia" w:ascii="方正仿宋_GBK" w:hAnsi="方正仿宋_GBK" w:eastAsia="方正仿宋_GBK" w:cs="方正仿宋_GBK"/>
          <w:sz w:val="24"/>
        </w:rPr>
        <w:t>四、成交供应商的确认和变更</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53B765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（一）成交供应商的确认</w:t>
      </w:r>
    </w:p>
    <w:p w14:paraId="3948DDB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结束后采购人应当制作评审报告，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0CEE0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（二）成交供应商的变更</w:t>
      </w:r>
    </w:p>
    <w:p w14:paraId="5AD20E1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成交供应商拒绝与采购人签订合同的，采购人可以按照评标报告推荐的成交候选供应商顺序，确定排名下一位的候选人为成交供应商，也可以重新开展政府采购活动。</w:t>
      </w:r>
    </w:p>
    <w:p w14:paraId="686EE2D1">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43" w:name="_Toc1176"/>
      <w:bookmarkStart w:id="244" w:name="_Toc7139"/>
      <w:bookmarkStart w:id="245" w:name="_Toc1927"/>
      <w:bookmarkStart w:id="246" w:name="_Toc5669"/>
      <w:bookmarkStart w:id="247" w:name="_Toc102227321"/>
      <w:bookmarkStart w:id="248" w:name="_Toc76462342"/>
      <w:bookmarkStart w:id="249" w:name="_Toc342913395"/>
      <w:bookmarkStart w:id="250" w:name="_Toc9729"/>
      <w:bookmarkStart w:id="251" w:name="_Toc7024"/>
      <w:bookmarkStart w:id="252" w:name="_Toc17733"/>
      <w:bookmarkStart w:id="253" w:name="_Toc13900"/>
      <w:bookmarkStart w:id="254" w:name="_Toc27893"/>
      <w:bookmarkStart w:id="255" w:name="_Toc834515221"/>
      <w:bookmarkStart w:id="256" w:name="_Toc3600"/>
      <w:bookmarkStart w:id="257" w:name="_Toc16227"/>
      <w:bookmarkStart w:id="258" w:name="_Toc21706"/>
      <w:bookmarkStart w:id="259" w:name="_Toc4036"/>
      <w:bookmarkStart w:id="260" w:name="_Toc20539"/>
      <w:bookmarkStart w:id="261" w:name="_Toc17789"/>
      <w:bookmarkStart w:id="262" w:name="_Toc9305"/>
      <w:r>
        <w:rPr>
          <w:rFonts w:hint="eastAsia" w:ascii="方正仿宋_GBK" w:hAnsi="方正仿宋_GBK" w:eastAsia="方正仿宋_GBK" w:cs="方正仿宋_GBK"/>
          <w:sz w:val="24"/>
        </w:rPr>
        <w:t>五、成交通知</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917979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（一）成交供应商确定后，采购人将在行采家上发布成交结果公告。</w:t>
      </w:r>
    </w:p>
    <w:p w14:paraId="5D21AE58">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（二）结果公告发出同时，采购人将以书面形式发出《成交通知书》。《成交通知书》一经发出即发生法律效力。</w:t>
      </w:r>
    </w:p>
    <w:p w14:paraId="71D9E60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（三）《成交通知书》将作为签订合同的依据。</w:t>
      </w:r>
    </w:p>
    <w:p w14:paraId="3DFA6493">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63" w:name="_Toc76462343"/>
      <w:bookmarkStart w:id="264" w:name="_Toc7014"/>
      <w:bookmarkStart w:id="265" w:name="_Toc23273"/>
      <w:bookmarkStart w:id="266" w:name="_Toc20620"/>
      <w:bookmarkStart w:id="267" w:name="_Toc27645"/>
      <w:bookmarkStart w:id="268" w:name="_Toc5614"/>
      <w:bookmarkStart w:id="269" w:name="_Toc19659"/>
      <w:bookmarkStart w:id="270" w:name="_Toc24711"/>
      <w:bookmarkStart w:id="271" w:name="_Toc15280"/>
      <w:bookmarkStart w:id="272" w:name="_Toc26027"/>
      <w:bookmarkStart w:id="273" w:name="_Toc20445"/>
      <w:bookmarkStart w:id="274" w:name="_Toc5629"/>
      <w:bookmarkStart w:id="275" w:name="_Toc8117"/>
      <w:bookmarkStart w:id="276" w:name="_Toc9500"/>
      <w:bookmarkStart w:id="277" w:name="_Toc411876530"/>
      <w:bookmarkStart w:id="278" w:name="_Toc24378"/>
      <w:r>
        <w:rPr>
          <w:rFonts w:hint="eastAsia" w:ascii="方正仿宋_GBK" w:hAnsi="方正仿宋_GBK" w:eastAsia="方正仿宋_GBK" w:cs="方正仿宋_GBK"/>
          <w:sz w:val="24"/>
        </w:rPr>
        <w:t>六、关于质疑和投诉</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472CBD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（一）质疑</w:t>
      </w:r>
    </w:p>
    <w:p w14:paraId="1D8F78F8">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供应商认为采购文件、采购过程和成交结果使自己的权益受到伤害的，可向采购人以书面形式提出质疑。</w:t>
      </w:r>
    </w:p>
    <w:p w14:paraId="41E6359C">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提出质疑的应当是参与所质疑项目采购活动的供应商。</w:t>
      </w:r>
    </w:p>
    <w:p w14:paraId="373C69C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14:paraId="7DD06470">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1.1供应商认为采购文件、采购过程、成交结果使自己的权益受到损害的，可以在知道或者应知其权益受到损害之日起7个工作日内，以书面形式向采购人提出质疑。</w:t>
      </w:r>
    </w:p>
    <w:p w14:paraId="31926B0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14:paraId="6ED467E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14:paraId="1736445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1.2.2质疑项目的名称、项目号以及采购执行编号；</w:t>
      </w:r>
    </w:p>
    <w:p w14:paraId="66266E7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14:paraId="2245D2D0">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14:paraId="27092267">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14:paraId="0188E56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14:paraId="4E57D05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1.2.7营业执照（或事业单位法人证书，或个体工商户营业执照或有效的自然人身份证明）复印件；</w:t>
      </w:r>
    </w:p>
    <w:p w14:paraId="0E4B38F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1.2.8法定代表人授权委托书原件、法定代表人身份证复印件和其授权代表的身份证复印件（供应商为自然人的提供自然人身份证复印件）；</w:t>
      </w:r>
    </w:p>
    <w:p w14:paraId="280B590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1.3供应商为自然人的，质疑函应当由本人签字；供应商为法人或者其他组织的，质疑函应当由法定代表人、主要负责人，或者其授权代表签字或者盖章，并加盖公章。</w:t>
      </w:r>
    </w:p>
    <w:p w14:paraId="3B3D3FF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2.质疑答复</w:t>
      </w:r>
    </w:p>
    <w:p w14:paraId="3EB7579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采购人应当在收到供应商的书面质疑后七个工作日内作出答复，并以书面形式通知质疑供应商和其他有关供应商。</w:t>
      </w:r>
    </w:p>
    <w:p w14:paraId="3AD37D1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3.其他</w:t>
      </w:r>
    </w:p>
    <w:p w14:paraId="592514B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3.1供应商应按照《政府采购质疑和投诉办法》（财政部令第94号）及相关法律法规要求，在法定质疑期内一次性提出针对同一采购程序环节的质疑。</w:t>
      </w:r>
    </w:p>
    <w:p w14:paraId="266C8D0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3.2质疑函范本可在财政部门户网站和行采家下载。</w:t>
      </w:r>
    </w:p>
    <w:p w14:paraId="4FBF7A2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（二）投诉</w:t>
      </w:r>
    </w:p>
    <w:p w14:paraId="04F5780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1.供应商对采购人的答复不满意，或者采购人未在规定时间内作出答复的，可以在答复期满后15个工作日内按照相关法律法规向采购人相关部门提起投诉。</w:t>
      </w:r>
    </w:p>
    <w:p w14:paraId="0AD1494C">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2.供应商应按照《政府采购质疑和投诉办法》（财政部令第94号）及相关法律法规要求递交投诉书和必要的证明材料。投诉书范本可在财政部门户网站和行采家下载。</w:t>
      </w:r>
    </w:p>
    <w:p w14:paraId="0D7C2C7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5BAAD4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4.在确定受理投诉后，采购人相关部门自受理投诉之日起30个工作日内（需要检验、检测、鉴定、专家评审以及需要投诉人补正材料的，所需时间不计算在投诉处理期限内）对投诉事项做出处理决定。</w:t>
      </w:r>
    </w:p>
    <w:p w14:paraId="7522540A">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279" w:name="_Toc102227322"/>
      <w:bookmarkStart w:id="280" w:name="_Toc17728"/>
      <w:bookmarkStart w:id="281" w:name="_Toc26629"/>
      <w:bookmarkStart w:id="282" w:name="_Toc11278"/>
      <w:bookmarkStart w:id="283" w:name="_Toc7501"/>
      <w:bookmarkStart w:id="284" w:name="_Toc887922340"/>
      <w:bookmarkStart w:id="285" w:name="_Toc20308"/>
      <w:bookmarkStart w:id="286" w:name="_Toc18211"/>
      <w:bookmarkStart w:id="287" w:name="_Toc342913396"/>
      <w:bookmarkStart w:id="288" w:name="_Toc31502"/>
      <w:bookmarkStart w:id="289" w:name="_Toc26372"/>
      <w:bookmarkStart w:id="290" w:name="_Toc17651"/>
      <w:bookmarkStart w:id="291" w:name="_Toc8704"/>
      <w:bookmarkStart w:id="292" w:name="_Toc2209"/>
      <w:bookmarkStart w:id="293" w:name="_Toc3327"/>
      <w:bookmarkStart w:id="294" w:name="_Toc16077"/>
      <w:bookmarkStart w:id="295" w:name="_Toc24303"/>
      <w:bookmarkStart w:id="296" w:name="_Toc76462346"/>
      <w:bookmarkStart w:id="297" w:name="_Toc24713"/>
      <w:bookmarkStart w:id="298" w:name="_Toc8595"/>
      <w:bookmarkStart w:id="299" w:name="_Toc12789059"/>
      <w:bookmarkStart w:id="300" w:name="_Toc11641055"/>
      <w:r>
        <w:rPr>
          <w:rFonts w:hint="eastAsia" w:ascii="方正仿宋_GBK" w:hAnsi="方正仿宋_GBK" w:eastAsia="方正仿宋_GBK" w:cs="方正仿宋_GBK"/>
          <w:sz w:val="24"/>
        </w:rPr>
        <w:t>七、签订</w:t>
      </w:r>
      <w:bookmarkEnd w:id="279"/>
      <w:r>
        <w:rPr>
          <w:rFonts w:hint="eastAsia" w:ascii="方正仿宋_GBK" w:hAnsi="方正仿宋_GBK" w:eastAsia="方正仿宋_GBK" w:cs="方正仿宋_GBK"/>
          <w:sz w:val="24"/>
        </w:rPr>
        <w:t>合同</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B567E5C">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22CA2D7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（二）竞争性磋商文件、供应商的响应文件及澄清文件等，均为签订采购合同的依据。</w:t>
      </w:r>
    </w:p>
    <w:p w14:paraId="61BB3CE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（三）合同生效条款由供需双方约定，法律、行政法规规定应当办理批准、登记等手续后生效的合同，依照其规定。</w:t>
      </w:r>
    </w:p>
    <w:p w14:paraId="68B2346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（四）合同原则上应按照《采购合同》签订，相关单位要求适用合同通用格式版本的，应按其要求另行签订其他合同。</w:t>
      </w:r>
    </w:p>
    <w:p w14:paraId="7C2BF53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（五）采购人要求成交供应商提供履约保证金的，应当在竞争性磋商文件中予以约定。成交供应商履约完毕后，采购人根据采购文件规定无息退还其履约保证金。</w:t>
      </w:r>
    </w:p>
    <w:p w14:paraId="328A83C8">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301" w:name="_Toc30471"/>
      <w:bookmarkStart w:id="302" w:name="_Toc1895760988"/>
      <w:r>
        <w:rPr>
          <w:rFonts w:hint="eastAsia" w:ascii="方正仿宋_GBK" w:hAnsi="方正仿宋_GBK" w:eastAsia="方正仿宋_GBK" w:cs="方正仿宋_GBK"/>
          <w:sz w:val="24"/>
        </w:rPr>
        <w:t>八、</w:t>
      </w:r>
      <w:bookmarkEnd w:id="301"/>
      <w:r>
        <w:rPr>
          <w:rFonts w:hint="eastAsia" w:ascii="方正仿宋_GBK" w:hAnsi="方正仿宋_GBK" w:eastAsia="方正仿宋_GBK" w:cs="方正仿宋_GBK"/>
          <w:sz w:val="24"/>
        </w:rPr>
        <w:t>项目验收</w:t>
      </w:r>
      <w:bookmarkEnd w:id="302"/>
    </w:p>
    <w:p w14:paraId="0E48B81C">
      <w:pPr>
        <w:pStyle w:val="244"/>
        <w:adjustRightInd w:val="0"/>
        <w:snapToGrid w:val="0"/>
        <w:spacing w:before="0" w:after="0" w:line="400" w:lineRule="exact"/>
        <w:ind w:firstLine="480"/>
        <w:rPr>
          <w:rFonts w:ascii="方正仿宋_GBK" w:hAnsi="方正仿宋_GBK" w:eastAsia="方正仿宋_GBK" w:cs="方正仿宋_GBK"/>
        </w:rPr>
      </w:pPr>
      <w:r>
        <w:rPr>
          <w:rFonts w:hint="eastAsia" w:ascii="方正仿宋_GBK" w:hAnsi="方正仿宋_GBK" w:eastAsia="方正仿宋_GBK" w:cs="方正仿宋_GBK"/>
        </w:rPr>
        <w:t>合同履行期间，成交供应商代理的采购服务质量应达到采购人要求。</w:t>
      </w:r>
    </w:p>
    <w:p w14:paraId="4DA1BEDA">
      <w:pPr>
        <w:pStyle w:val="4"/>
        <w:tabs>
          <w:tab w:val="left" w:pos="3360"/>
        </w:tabs>
        <w:adjustRightInd w:val="0"/>
        <w:snapToGrid w:val="0"/>
        <w:spacing w:before="0" w:after="0" w:line="40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24"/>
        </w:rPr>
        <w:br w:type="page"/>
      </w:r>
      <w:bookmarkStart w:id="303" w:name="_Toc1505"/>
      <w:bookmarkStart w:id="304" w:name="_Toc27280"/>
      <w:bookmarkStart w:id="305" w:name="_Toc17453"/>
      <w:bookmarkStart w:id="306" w:name="_Toc28948"/>
      <w:bookmarkStart w:id="307" w:name="_Toc424"/>
      <w:bookmarkStart w:id="308" w:name="_Toc84"/>
      <w:bookmarkStart w:id="309" w:name="_Toc6967"/>
      <w:bookmarkStart w:id="310" w:name="_Toc18306"/>
      <w:bookmarkStart w:id="311" w:name="_Toc1411"/>
      <w:bookmarkStart w:id="312" w:name="_Toc18910"/>
      <w:bookmarkStart w:id="313" w:name="_Toc1944739327"/>
      <w:bookmarkStart w:id="314" w:name="_Toc229"/>
      <w:bookmarkStart w:id="315" w:name="_Toc23229"/>
      <w:bookmarkStart w:id="316" w:name="_Toc18187"/>
      <w:bookmarkStart w:id="317" w:name="_Toc130"/>
      <w:bookmarkStart w:id="318" w:name="_Toc20965"/>
      <w:bookmarkStart w:id="319" w:name="_Toc76462348"/>
      <w:bookmarkStart w:id="320" w:name="_Toc18101"/>
      <w:r>
        <w:rPr>
          <w:rFonts w:hint="eastAsia" w:ascii="方正仿宋_GBK" w:hAnsi="方正仿宋_GBK" w:eastAsia="方正仿宋_GBK" w:cs="方正仿宋_GBK"/>
          <w:sz w:val="36"/>
          <w:szCs w:val="36"/>
        </w:rPr>
        <w:t xml:space="preserve">第六篇  </w:t>
      </w:r>
      <w:bookmarkEnd w:id="299"/>
      <w:bookmarkEnd w:id="300"/>
      <w:r>
        <w:rPr>
          <w:rFonts w:hint="eastAsia" w:ascii="方正仿宋_GBK" w:hAnsi="方正仿宋_GBK" w:eastAsia="方正仿宋_GBK" w:cs="方正仿宋_GBK"/>
          <w:sz w:val="36"/>
          <w:szCs w:val="36"/>
        </w:rPr>
        <w:t>合同</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7B3015C">
      <w:pPr>
        <w:widowControl/>
        <w:adjustRightInd w:val="0"/>
        <w:snapToGrid w:val="0"/>
        <w:spacing w:line="400" w:lineRule="exact"/>
        <w:jc w:val="left"/>
        <w:rPr>
          <w:rFonts w:ascii="方正仿宋_GBK" w:hAnsi="方正仿宋_GBK" w:eastAsia="方正仿宋_GBK" w:cs="方正仿宋_GBK"/>
          <w:kern w:val="0"/>
          <w:sz w:val="24"/>
          <w:u w:val="single"/>
        </w:rPr>
      </w:pPr>
    </w:p>
    <w:p w14:paraId="3AF8BEBF">
      <w:pPr>
        <w:adjustRightInd w:val="0"/>
        <w:snapToGrid w:val="0"/>
        <w:spacing w:line="40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甲方：</w:t>
      </w:r>
    </w:p>
    <w:p w14:paraId="1954DB8F">
      <w:pPr>
        <w:widowControl/>
        <w:adjustRightInd w:val="0"/>
        <w:snapToGrid w:val="0"/>
        <w:spacing w:line="400" w:lineRule="exact"/>
        <w:jc w:val="left"/>
        <w:rPr>
          <w:rFonts w:ascii="方正仿宋_GBK" w:hAnsi="方正仿宋_GBK" w:eastAsia="方正仿宋_GBK" w:cs="方正仿宋_GBK"/>
          <w:b/>
          <w:bCs/>
          <w:sz w:val="24"/>
        </w:rPr>
      </w:pPr>
      <w:r>
        <w:rPr>
          <w:rFonts w:hint="eastAsia" w:ascii="方正仿宋_GBK" w:hAnsi="方正仿宋_GBK" w:eastAsia="方正仿宋_GBK" w:cs="方正仿宋_GBK"/>
          <w:kern w:val="0"/>
          <w:sz w:val="24"/>
        </w:rPr>
        <w:t>乙方：</w:t>
      </w:r>
    </w:p>
    <w:p w14:paraId="0009E109">
      <w:pPr>
        <w:adjustRightInd w:val="0"/>
        <w:snapToGrid w:val="0"/>
        <w:spacing w:line="400" w:lineRule="exact"/>
        <w:rPr>
          <w:rFonts w:ascii="方正仿宋_GBK" w:hAnsi="方正仿宋_GBK" w:eastAsia="方正仿宋_GBK" w:cs="方正仿宋_GBK"/>
          <w:sz w:val="24"/>
        </w:rPr>
      </w:pPr>
    </w:p>
    <w:p w14:paraId="0BBA0E91">
      <w:pPr>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甲方在行采家发布公告，按相关要求进行采购，选取了3家中标供应商（乙方）组建采购代理机构库，甲方将根据采购项目需要，在采购代理机构库里抽取乙方服务甲方的采购项目。被抽取到的乙方在服务甲方的采购项目时，应共同遵守：</w:t>
      </w:r>
    </w:p>
    <w:p w14:paraId="14E95744">
      <w:pPr>
        <w:widowControl/>
        <w:adjustRightInd w:val="0"/>
        <w:snapToGrid w:val="0"/>
        <w:spacing w:line="400" w:lineRule="exact"/>
        <w:jc w:val="left"/>
        <w:rPr>
          <w:rFonts w:ascii="方正仿宋_GBK" w:hAnsi="方正仿宋_GBK" w:eastAsia="方正仿宋_GBK" w:cs="方正仿宋_GBK"/>
          <w:b/>
          <w:kern w:val="0"/>
          <w:sz w:val="24"/>
        </w:rPr>
      </w:pPr>
      <w:r>
        <w:rPr>
          <w:rFonts w:hint="eastAsia" w:ascii="方正仿宋_GBK" w:hAnsi="方正仿宋_GBK" w:eastAsia="方正仿宋_GBK" w:cs="方正仿宋_GBK"/>
          <w:b/>
          <w:color w:val="000000"/>
          <w:kern w:val="0"/>
          <w:sz w:val="24"/>
        </w:rPr>
        <w:t xml:space="preserve">第一条  总   则 </w:t>
      </w:r>
    </w:p>
    <w:p w14:paraId="52B14ECB">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1.1 双方应严格贯彻执行国家有关政府采购及招标投标的各项方针、政策、条例和法规。</w:t>
      </w:r>
    </w:p>
    <w:p w14:paraId="586C0509">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 双方应严格遵守国家有关的规定，做好采购全过程的保密工作。</w:t>
      </w:r>
    </w:p>
    <w:p w14:paraId="58859AFC">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1.3 双方应密切配合，分工协作，共同做好采购工作。 </w:t>
      </w:r>
    </w:p>
    <w:p w14:paraId="07D9F262">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1.4 甲方授权乙方在本合同规定的工作范围内全权代理有关的采购事宜。乙方应本着诚实信用的原则认真履行本合同项下的各项工作，并保证其采购工作符合国家、地方有关法律法规及政策规定。</w:t>
      </w:r>
    </w:p>
    <w:p w14:paraId="30712D80">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第二条  委托代理范围 </w:t>
      </w:r>
    </w:p>
    <w:p w14:paraId="022F57C4">
      <w:pPr>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2.1 代理采购的范围：</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委托金额：</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元(人民币)。</w:t>
      </w:r>
    </w:p>
    <w:p w14:paraId="15073951">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2.2 代理采购范围以甲方实际委托的范围为准。乙方不得超出委托采购范围行使职权。</w:t>
      </w:r>
    </w:p>
    <w:p w14:paraId="543D2D36">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第三条  双方职责 </w:t>
      </w:r>
    </w:p>
    <w:p w14:paraId="0FD87052">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3.1甲方职责：</w:t>
      </w:r>
    </w:p>
    <w:p w14:paraId="730C6BA7">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3.1.1提供本项目采购所需的文件资料并对其真实性负责：</w:t>
      </w:r>
    </w:p>
    <w:p w14:paraId="5FB11841">
      <w:pPr>
        <w:widowControl/>
        <w:adjustRightInd w:val="0"/>
        <w:snapToGrid w:val="0"/>
        <w:spacing w:line="400" w:lineRule="exact"/>
        <w:ind w:firstLine="480" w:firstLineChars="200"/>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3.1.1.1项目有关的审批文件；</w:t>
      </w:r>
    </w:p>
    <w:p w14:paraId="2D793872">
      <w:pPr>
        <w:widowControl/>
        <w:adjustRightInd w:val="0"/>
        <w:snapToGrid w:val="0"/>
        <w:spacing w:line="400" w:lineRule="exact"/>
        <w:ind w:firstLine="480" w:firstLineChars="200"/>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3.1.1.2资金及外汇来源证明； </w:t>
      </w:r>
    </w:p>
    <w:p w14:paraId="17FCA289">
      <w:pPr>
        <w:widowControl/>
        <w:adjustRightInd w:val="0"/>
        <w:snapToGrid w:val="0"/>
        <w:spacing w:line="400" w:lineRule="exact"/>
        <w:ind w:firstLine="480" w:firstLineChars="200"/>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3.1.1.3采购标的的技术及商务方面的具体要求； </w:t>
      </w:r>
    </w:p>
    <w:p w14:paraId="56579166">
      <w:pPr>
        <w:widowControl/>
        <w:adjustRightInd w:val="0"/>
        <w:snapToGrid w:val="0"/>
        <w:spacing w:line="400" w:lineRule="exact"/>
        <w:ind w:firstLine="480" w:firstLineChars="200"/>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3.1.1.4采购工作所需的其它文件资料。 </w:t>
      </w:r>
    </w:p>
    <w:p w14:paraId="4F10B8A8">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3.1.2提供项目实施进度安排，协助乙方制订采购计划。</w:t>
      </w:r>
    </w:p>
    <w:p w14:paraId="0BABBA76">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3.1.3在乙方的协助下完善采购的各种报批文件和材料。</w:t>
      </w:r>
    </w:p>
    <w:p w14:paraId="09E5C655">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3.1.4协助乙方组织采购答疑，核定采购文件。</w:t>
      </w:r>
    </w:p>
    <w:p w14:paraId="36D4571A">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3.1.5按照国家有关规定与乙方共同确定评标委员会的成员。</w:t>
      </w:r>
    </w:p>
    <w:p w14:paraId="55F42658">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3.1.6按国家有关规定及《评标报告》之结论确定成交供应商。</w:t>
      </w:r>
    </w:p>
    <w:p w14:paraId="46EB8E23">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3.1.7 负责按照《成交通知书》的要求，与成交供应商进行合同谈判，在规定时间内签订合同并进行验收工作。</w:t>
      </w:r>
    </w:p>
    <w:p w14:paraId="394E79BD">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3.1.8 履行甲方的其它有关职责。</w:t>
      </w:r>
    </w:p>
    <w:p w14:paraId="00120F92">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3.2乙方职责</w:t>
      </w:r>
    </w:p>
    <w:p w14:paraId="23C193DC">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3.2.1 乙方在处理与项目及本合同有关的一切事务中，必须严格执行国家的法律法规，自觉接受政府采购行政主管部门的监督管理，维护甲方的合法权益。运用自身的专业技能为甲方做好采购代理工作，并提供与本相目有关的其他服务。 </w:t>
      </w:r>
    </w:p>
    <w:p w14:paraId="3015C4A6">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3.2.2 根据甲方要求，乙方依法编制采购公告、采购文件、评标方法及标准，经甲方确认后报有关采购监督部门批准后实施；根据国家有关规定和项目实施进度要求，认真制订采购工作计划，并征得甲方同意。根据甲方的要求参与采购前期准备工作。</w:t>
      </w:r>
    </w:p>
    <w:p w14:paraId="4643102C">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3.2.3 根据采购文件确定的采购方式，编写、刊登采购公告或发出投标邀请函。</w:t>
      </w:r>
    </w:p>
    <w:p w14:paraId="6C699FD9">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3.2.4 负责整理答疑资料，形成澄清或修改的文件作为采购文件的一部分并通知所有潜在的供应商。</w:t>
      </w:r>
    </w:p>
    <w:p w14:paraId="38B48F40">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3.2.5 与甲方共同确定评标原则和方法，确定评标的具体标准。</w:t>
      </w:r>
    </w:p>
    <w:p w14:paraId="3BF1934B">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3.2.6 按照有关规定，组建评标委员会。</w:t>
      </w:r>
    </w:p>
    <w:p w14:paraId="42FFC08E">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3.2.7 接受供应商的投标并确认其有效性；主持开标会议，做好开标原始记录。</w:t>
      </w:r>
    </w:p>
    <w:p w14:paraId="113AFC1A">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3.2.8 组织评标会议，做好评标记录，编写采购情况报告和评标委员会做出的《评标报告》，经甲方认可后报送有关主管部门。</w:t>
      </w:r>
    </w:p>
    <w:p w14:paraId="03D37428">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3.2.9 填写、发放《成交通知书》。</w:t>
      </w:r>
    </w:p>
    <w:p w14:paraId="2ED535C6">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3.2.10 负责组织甲方与成交供应商签订合同的协调工作。</w:t>
      </w:r>
    </w:p>
    <w:p w14:paraId="677CDB15">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第四条  招标代理费 </w:t>
      </w:r>
    </w:p>
    <w:p w14:paraId="7048431B">
      <w:pPr>
        <w:adjustRightInd w:val="0"/>
        <w:snapToGrid w:val="0"/>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kern w:val="0"/>
          <w:sz w:val="24"/>
        </w:rPr>
        <w:t>4.1供应商成交后向乙方缴纳采购代理服务费，采购代理服务费的参照收取标准</w:t>
      </w:r>
      <w:r>
        <w:rPr>
          <w:rFonts w:hint="eastAsia" w:ascii="方正仿宋_GBK" w:hAnsi="方正仿宋_GBK" w:eastAsia="方正仿宋_GBK" w:cs="方正仿宋_GBK"/>
          <w:color w:val="000000"/>
          <w:sz w:val="24"/>
        </w:rPr>
        <w:t>（下表4.2）</w:t>
      </w:r>
      <w:r>
        <w:rPr>
          <w:rFonts w:hint="eastAsia" w:ascii="方正仿宋_GBK" w:hAnsi="方正仿宋_GBK" w:eastAsia="方正仿宋_GBK" w:cs="方正仿宋_GBK"/>
          <w:kern w:val="0"/>
          <w:sz w:val="24"/>
        </w:rPr>
        <w:t>的</w:t>
      </w:r>
      <w:r>
        <w:rPr>
          <w:rFonts w:hint="eastAsia" w:ascii="方正仿宋_GBK" w:hAnsi="方正仿宋_GBK" w:eastAsia="方正仿宋_GBK" w:cs="方正仿宋_GBK"/>
          <w:kern w:val="0"/>
          <w:sz w:val="24"/>
          <w:u w:val="single"/>
        </w:rPr>
        <w:t xml:space="preserve">        ％（采购成交费率）</w:t>
      </w:r>
      <w:r>
        <w:rPr>
          <w:rFonts w:hint="eastAsia" w:ascii="方正仿宋_GBK" w:hAnsi="方正仿宋_GBK" w:eastAsia="方正仿宋_GBK" w:cs="方正仿宋_GBK"/>
          <w:kern w:val="0"/>
          <w:sz w:val="24"/>
        </w:rPr>
        <w:t>执行，不足3000元按3000元收取。</w:t>
      </w:r>
      <w:r>
        <w:rPr>
          <w:rFonts w:hint="eastAsia" w:ascii="方正仿宋_GBK" w:hAnsi="方正仿宋_GBK" w:eastAsia="方正仿宋_GBK" w:cs="方正仿宋_GBK"/>
          <w:sz w:val="24"/>
        </w:rPr>
        <w:t>应收取</w:t>
      </w:r>
      <w:r>
        <w:rPr>
          <w:rFonts w:hint="eastAsia" w:ascii="方正仿宋_GBK" w:hAnsi="方正仿宋_GBK" w:eastAsia="方正仿宋_GBK" w:cs="方正仿宋_GBK"/>
          <w:color w:val="000000"/>
          <w:sz w:val="24"/>
        </w:rPr>
        <w:t>代理服务收费按差额定率累进法计算。</w:t>
      </w:r>
    </w:p>
    <w:p w14:paraId="522A1601">
      <w:pPr>
        <w:pStyle w:val="35"/>
        <w:adjustRightInd w:val="0"/>
        <w:snapToGrid w:val="0"/>
        <w:spacing w:after="0"/>
        <w:ind w:firstLine="480" w:firstLineChars="200"/>
        <w:rPr>
          <w:rFonts w:eastAsia="方正仿宋_GBK"/>
        </w:rPr>
      </w:pPr>
      <w:r>
        <w:rPr>
          <w:rFonts w:hint="eastAsia" w:ascii="方正仿宋_GBK" w:hAnsi="方正仿宋_GBK" w:eastAsia="方正仿宋_GBK" w:cs="方正仿宋_GBK"/>
          <w:sz w:val="24"/>
        </w:rPr>
        <w:t>4.2参照</w:t>
      </w:r>
      <w:r>
        <w:rPr>
          <w:rFonts w:hint="eastAsia" w:ascii="方正仿宋_GBK" w:hAnsi="方正仿宋_GBK" w:eastAsia="方正仿宋_GBK" w:cs="方正仿宋_GBK"/>
          <w:color w:val="000000"/>
          <w:sz w:val="24"/>
        </w:rPr>
        <w:t>收费标准：</w:t>
      </w:r>
    </w:p>
    <w:tbl>
      <w:tblPr>
        <w:tblStyle w:val="88"/>
        <w:tblpPr w:leftFromText="180" w:rightFromText="180" w:vertAnchor="text" w:horzAnchor="page" w:tblpX="1710" w:tblpY="177"/>
        <w:tblOverlap w:val="never"/>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833"/>
        <w:gridCol w:w="1767"/>
        <w:gridCol w:w="2066"/>
      </w:tblGrid>
      <w:tr w14:paraId="4360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12" w:type="dxa"/>
            <w:tcBorders>
              <w:tl2br w:val="single" w:color="auto" w:sz="4" w:space="0"/>
            </w:tcBorders>
          </w:tcPr>
          <w:p w14:paraId="756E5C4A">
            <w:pPr>
              <w:adjustRightInd w:val="0"/>
              <w:snapToGrid w:val="0"/>
              <w:spacing w:line="400" w:lineRule="exact"/>
              <w:ind w:firstLine="420" w:firstLineChars="200"/>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Cs w:val="21"/>
              </w:rPr>
              <w:t>招标类型</w:t>
            </w:r>
          </w:p>
          <w:p w14:paraId="14530D42">
            <w:pPr>
              <w:adjustRightInd w:val="0"/>
              <w:snapToGrid w:val="0"/>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中标金额（万元）</w:t>
            </w:r>
          </w:p>
        </w:tc>
        <w:tc>
          <w:tcPr>
            <w:tcW w:w="1833" w:type="dxa"/>
            <w:vAlign w:val="center"/>
          </w:tcPr>
          <w:p w14:paraId="3FE37065">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货物招标</w:t>
            </w:r>
          </w:p>
        </w:tc>
        <w:tc>
          <w:tcPr>
            <w:tcW w:w="1767" w:type="dxa"/>
            <w:vAlign w:val="center"/>
          </w:tcPr>
          <w:p w14:paraId="1DBD2E4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服务招标</w:t>
            </w:r>
          </w:p>
        </w:tc>
        <w:tc>
          <w:tcPr>
            <w:tcW w:w="2066" w:type="dxa"/>
            <w:vAlign w:val="center"/>
          </w:tcPr>
          <w:p w14:paraId="4963AEDD">
            <w:pPr>
              <w:pStyle w:val="241"/>
              <w:widowControl w:val="0"/>
              <w:pBdr>
                <w:left w:val="none" w:color="auto" w:sz="0" w:space="0"/>
                <w:right w:val="none" w:color="auto" w:sz="0" w:space="0"/>
              </w:pBdr>
              <w:adjustRightInd w:val="0"/>
              <w:snapToGrid w:val="0"/>
              <w:spacing w:before="0" w:beforeAutospacing="0" w:after="0" w:afterAutospacing="0" w:line="400" w:lineRule="exact"/>
              <w:ind w:firstLine="420" w:firstLineChars="200"/>
              <w:rPr>
                <w:rFonts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21"/>
                <w:szCs w:val="21"/>
              </w:rPr>
              <w:t>工程招标</w:t>
            </w:r>
          </w:p>
        </w:tc>
      </w:tr>
      <w:tr w14:paraId="5ADC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112" w:type="dxa"/>
            <w:vAlign w:val="center"/>
          </w:tcPr>
          <w:p w14:paraId="293649CF">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100以下</w:t>
            </w:r>
          </w:p>
        </w:tc>
        <w:tc>
          <w:tcPr>
            <w:tcW w:w="1833" w:type="dxa"/>
            <w:vAlign w:val="center"/>
          </w:tcPr>
          <w:p w14:paraId="173CE537">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767" w:type="dxa"/>
            <w:vAlign w:val="center"/>
          </w:tcPr>
          <w:p w14:paraId="0824059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2066" w:type="dxa"/>
            <w:vAlign w:val="center"/>
          </w:tcPr>
          <w:p w14:paraId="2C1F6E3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r>
      <w:tr w14:paraId="2D96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11851D0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100-200</w:t>
            </w:r>
          </w:p>
        </w:tc>
        <w:tc>
          <w:tcPr>
            <w:tcW w:w="1833" w:type="dxa"/>
            <w:vAlign w:val="center"/>
          </w:tcPr>
          <w:p w14:paraId="73E39559">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767" w:type="dxa"/>
            <w:vAlign w:val="center"/>
          </w:tcPr>
          <w:p w14:paraId="6F3E66F0">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0.8%</w:t>
            </w:r>
          </w:p>
        </w:tc>
        <w:tc>
          <w:tcPr>
            <w:tcW w:w="2066" w:type="dxa"/>
            <w:vAlign w:val="center"/>
          </w:tcPr>
          <w:p w14:paraId="16A9320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w:t>
            </w:r>
          </w:p>
        </w:tc>
      </w:tr>
      <w:tr w14:paraId="674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3A07581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200-500</w:t>
            </w:r>
          </w:p>
        </w:tc>
        <w:tc>
          <w:tcPr>
            <w:tcW w:w="1833" w:type="dxa"/>
            <w:vAlign w:val="center"/>
          </w:tcPr>
          <w:p w14:paraId="75D5EC52">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1.08%</w:t>
            </w:r>
          </w:p>
        </w:tc>
        <w:tc>
          <w:tcPr>
            <w:tcW w:w="1767" w:type="dxa"/>
            <w:vAlign w:val="center"/>
          </w:tcPr>
          <w:p w14:paraId="2525FB1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0.78%</w:t>
            </w:r>
          </w:p>
        </w:tc>
        <w:tc>
          <w:tcPr>
            <w:tcW w:w="2066" w:type="dxa"/>
            <w:vAlign w:val="center"/>
          </w:tcPr>
          <w:p w14:paraId="217BD00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0.69%</w:t>
            </w:r>
          </w:p>
        </w:tc>
      </w:tr>
      <w:tr w14:paraId="37C2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27F4759D">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500-1000</w:t>
            </w:r>
          </w:p>
        </w:tc>
        <w:tc>
          <w:tcPr>
            <w:tcW w:w="1833" w:type="dxa"/>
            <w:vAlign w:val="center"/>
          </w:tcPr>
          <w:p w14:paraId="2136AD67">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0.76%</w:t>
            </w:r>
          </w:p>
        </w:tc>
        <w:tc>
          <w:tcPr>
            <w:tcW w:w="1767" w:type="dxa"/>
            <w:vAlign w:val="center"/>
          </w:tcPr>
          <w:p w14:paraId="6D0D578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0.43%</w:t>
            </w:r>
          </w:p>
        </w:tc>
        <w:tc>
          <w:tcPr>
            <w:tcW w:w="2066" w:type="dxa"/>
            <w:vAlign w:val="center"/>
          </w:tcPr>
          <w:p w14:paraId="4FEB84CD">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0.52%</w:t>
            </w:r>
          </w:p>
        </w:tc>
      </w:tr>
      <w:tr w14:paraId="048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4079AA7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1000-5000</w:t>
            </w:r>
          </w:p>
        </w:tc>
        <w:tc>
          <w:tcPr>
            <w:tcW w:w="1833" w:type="dxa"/>
            <w:vAlign w:val="center"/>
          </w:tcPr>
          <w:p w14:paraId="269F21D2">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0.45%</w:t>
            </w:r>
          </w:p>
        </w:tc>
        <w:tc>
          <w:tcPr>
            <w:tcW w:w="1767" w:type="dxa"/>
            <w:vAlign w:val="center"/>
          </w:tcPr>
          <w:p w14:paraId="79B8DB7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0.23%</w:t>
            </w:r>
          </w:p>
        </w:tc>
        <w:tc>
          <w:tcPr>
            <w:tcW w:w="2066" w:type="dxa"/>
            <w:vAlign w:val="center"/>
          </w:tcPr>
          <w:p w14:paraId="09D779A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0.32%</w:t>
            </w:r>
          </w:p>
        </w:tc>
      </w:tr>
      <w:tr w14:paraId="37E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448B0FA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5000-10000</w:t>
            </w:r>
          </w:p>
        </w:tc>
        <w:tc>
          <w:tcPr>
            <w:tcW w:w="1833" w:type="dxa"/>
            <w:vAlign w:val="center"/>
          </w:tcPr>
          <w:p w14:paraId="40E7CCA3">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0.23%</w:t>
            </w:r>
          </w:p>
        </w:tc>
        <w:tc>
          <w:tcPr>
            <w:tcW w:w="1767" w:type="dxa"/>
            <w:vAlign w:val="center"/>
          </w:tcPr>
          <w:p w14:paraId="20FE75F8">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0.09%</w:t>
            </w:r>
          </w:p>
        </w:tc>
        <w:tc>
          <w:tcPr>
            <w:tcW w:w="2066" w:type="dxa"/>
            <w:vAlign w:val="center"/>
          </w:tcPr>
          <w:p w14:paraId="6C454285">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0.18%</w:t>
            </w:r>
          </w:p>
        </w:tc>
      </w:tr>
      <w:tr w14:paraId="4BDF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5174229E">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10000-100000</w:t>
            </w:r>
          </w:p>
        </w:tc>
        <w:tc>
          <w:tcPr>
            <w:tcW w:w="1833" w:type="dxa"/>
            <w:vAlign w:val="center"/>
          </w:tcPr>
          <w:p w14:paraId="724EBB4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c>
          <w:tcPr>
            <w:tcW w:w="1767" w:type="dxa"/>
            <w:vAlign w:val="center"/>
          </w:tcPr>
          <w:p w14:paraId="1342B67A">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c>
          <w:tcPr>
            <w:tcW w:w="2066" w:type="dxa"/>
            <w:vAlign w:val="center"/>
          </w:tcPr>
          <w:p w14:paraId="2E5AAF04">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0.045%</w:t>
            </w:r>
          </w:p>
        </w:tc>
      </w:tr>
      <w:tr w14:paraId="722D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14:paraId="1B5DFF41">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1000000以上</w:t>
            </w:r>
          </w:p>
        </w:tc>
        <w:tc>
          <w:tcPr>
            <w:tcW w:w="1833" w:type="dxa"/>
            <w:vAlign w:val="center"/>
          </w:tcPr>
          <w:p w14:paraId="52CA2E8C">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c>
          <w:tcPr>
            <w:tcW w:w="1767" w:type="dxa"/>
            <w:vAlign w:val="center"/>
          </w:tcPr>
          <w:p w14:paraId="5241FC76">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c>
          <w:tcPr>
            <w:tcW w:w="2066" w:type="dxa"/>
            <w:vAlign w:val="center"/>
          </w:tcPr>
          <w:p w14:paraId="3E43547B">
            <w:pPr>
              <w:adjustRightInd w:val="0"/>
              <w:snapToGrid w:val="0"/>
              <w:spacing w:line="400" w:lineRule="exact"/>
              <w:ind w:firstLine="420" w:firstLineChars="20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0.009%</w:t>
            </w:r>
          </w:p>
        </w:tc>
      </w:tr>
    </w:tbl>
    <w:p w14:paraId="2BD94813">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第五条  违约责任 </w:t>
      </w:r>
    </w:p>
    <w:p w14:paraId="5BA17FCD">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根据《中华人民共和国政府采购法》、《中华人民共和国招标投标法》、《中华人民共和国民法典》以及原国家计委、国家经贸委等七部委12号令有关规定，双方按其规定各自承担相应的法律责任。</w:t>
      </w:r>
    </w:p>
    <w:p w14:paraId="416DC266">
      <w:pPr>
        <w:keepNext/>
        <w:keepLines/>
        <w:adjustRightInd w:val="0"/>
        <w:snapToGrid w:val="0"/>
        <w:spacing w:line="400" w:lineRule="exact"/>
        <w:jc w:val="left"/>
        <w:rPr>
          <w:rFonts w:ascii="方正仿宋_GBK" w:hAnsi="方正仿宋_GBK" w:eastAsia="方正仿宋_GBK" w:cs="方正仿宋_GBK"/>
          <w:b/>
          <w:sz w:val="24"/>
        </w:rPr>
      </w:pPr>
      <w:r>
        <w:rPr>
          <w:rFonts w:hint="eastAsia" w:ascii="方正仿宋_GBK" w:hAnsi="方正仿宋_GBK" w:eastAsia="方正仿宋_GBK" w:cs="方正仿宋_GBK"/>
          <w:b/>
          <w:sz w:val="24"/>
        </w:rPr>
        <w:t>第六条 考核及运用</w:t>
      </w:r>
    </w:p>
    <w:p w14:paraId="5960E308">
      <w:pPr>
        <w:keepNext/>
        <w:keepLines/>
        <w:adjustRightInd w:val="0"/>
        <w:snapToGrid w:val="0"/>
        <w:spacing w:line="400" w:lineRule="exact"/>
        <w:ind w:firstLine="480" w:firstLineChars="20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实行项目考核制，甲方按照《重庆市渝北职业教育中心采购代理服务考核细则》对乙方提供的每一个采购代理服务项目质量进行打分。年度考核平均分达到90分以上，可以续签下一年合同。</w:t>
      </w:r>
    </w:p>
    <w:p w14:paraId="6728B58F">
      <w:pPr>
        <w:keepNext/>
        <w:keepLines/>
        <w:adjustRightInd w:val="0"/>
        <w:snapToGrid w:val="0"/>
        <w:spacing w:line="400" w:lineRule="exact"/>
        <w:ind w:firstLine="480" w:firstLineChars="20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日常考核两个项目（或两次采购代理服务）得分低于80分，采购人可以解除合同。</w:t>
      </w:r>
    </w:p>
    <w:p w14:paraId="461E8DB7">
      <w:pPr>
        <w:adjustRightInd w:val="0"/>
        <w:snapToGrid w:val="0"/>
        <w:spacing w:line="400" w:lineRule="exact"/>
        <w:rPr>
          <w:rFonts w:ascii="方正仿宋_GBK" w:hAnsi="方正仿宋_GBK" w:eastAsia="方正仿宋_GBK" w:cs="方正仿宋_GBK"/>
          <w:sz w:val="24"/>
        </w:rPr>
      </w:pPr>
    </w:p>
    <w:p w14:paraId="7C3F64A5">
      <w:pPr>
        <w:keepNext/>
        <w:keepLines/>
        <w:adjustRightInd w:val="0"/>
        <w:snapToGrid w:val="0"/>
        <w:spacing w:line="400" w:lineRule="exact"/>
        <w:ind w:firstLine="720" w:firstLineChars="30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             重庆市渝北职业教育中心采购代理服务考核细则</w:t>
      </w:r>
    </w:p>
    <w:tbl>
      <w:tblPr>
        <w:tblStyle w:val="89"/>
        <w:tblW w:w="957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0"/>
        <w:gridCol w:w="3495"/>
        <w:gridCol w:w="3825"/>
      </w:tblGrid>
      <w:tr w14:paraId="46B1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50" w:type="dxa"/>
            <w:vAlign w:val="center"/>
          </w:tcPr>
          <w:p w14:paraId="7E240568">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500" w:type="dxa"/>
            <w:vAlign w:val="center"/>
          </w:tcPr>
          <w:p w14:paraId="0D61BBC6">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考核项目</w:t>
            </w:r>
          </w:p>
        </w:tc>
        <w:tc>
          <w:tcPr>
            <w:tcW w:w="3495" w:type="dxa"/>
            <w:vAlign w:val="center"/>
          </w:tcPr>
          <w:p w14:paraId="5119048C">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考核内容</w:t>
            </w:r>
          </w:p>
        </w:tc>
        <w:tc>
          <w:tcPr>
            <w:tcW w:w="3825" w:type="dxa"/>
            <w:vAlign w:val="center"/>
          </w:tcPr>
          <w:p w14:paraId="51137CEA">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扣分标准</w:t>
            </w:r>
          </w:p>
        </w:tc>
      </w:tr>
      <w:tr w14:paraId="7ACD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trPr>
        <w:tc>
          <w:tcPr>
            <w:tcW w:w="750" w:type="dxa"/>
            <w:vMerge w:val="restart"/>
            <w:vAlign w:val="center"/>
          </w:tcPr>
          <w:p w14:paraId="4E6334AC">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500" w:type="dxa"/>
            <w:vMerge w:val="restart"/>
            <w:vAlign w:val="center"/>
          </w:tcPr>
          <w:p w14:paraId="029291D4">
            <w:pPr>
              <w:adjustRightInd w:val="0"/>
              <w:snapToGrid w:val="0"/>
              <w:spacing w:line="400" w:lineRule="exact"/>
              <w:ind w:left="480" w:hanging="480" w:hanging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采购文件</w:t>
            </w:r>
          </w:p>
          <w:p w14:paraId="13FBEF5F">
            <w:pPr>
              <w:adjustRightInd w:val="0"/>
              <w:snapToGrid w:val="0"/>
              <w:spacing w:line="400" w:lineRule="exact"/>
              <w:ind w:left="480" w:hanging="480" w:hanging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制作质量</w:t>
            </w:r>
          </w:p>
          <w:p w14:paraId="51627768">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（50分）</w:t>
            </w:r>
          </w:p>
        </w:tc>
        <w:tc>
          <w:tcPr>
            <w:tcW w:w="3495" w:type="dxa"/>
            <w:vAlign w:val="center"/>
          </w:tcPr>
          <w:p w14:paraId="3292598D">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合规性：符合国家法律法规，无违反采购政策规定情况（10分）。</w:t>
            </w:r>
          </w:p>
        </w:tc>
        <w:tc>
          <w:tcPr>
            <w:tcW w:w="3825" w:type="dxa"/>
            <w:vAlign w:val="center"/>
          </w:tcPr>
          <w:p w14:paraId="174BD640">
            <w:pPr>
              <w:pStyle w:val="2"/>
              <w:adjustRightInd w:val="0"/>
              <w:snapToGrid w:val="0"/>
              <w:spacing w:after="0" w:line="400" w:lineRule="exact"/>
              <w:ind w:left="0" w:leftChars="0" w:right="0" w:right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采购文件制内容违反国家法律法规每项次扣2分。</w:t>
            </w:r>
          </w:p>
        </w:tc>
      </w:tr>
      <w:tr w14:paraId="4148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750" w:type="dxa"/>
            <w:vMerge w:val="continue"/>
            <w:vAlign w:val="center"/>
          </w:tcPr>
          <w:p w14:paraId="08CA7BEA">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1500" w:type="dxa"/>
            <w:vMerge w:val="continue"/>
            <w:vAlign w:val="center"/>
          </w:tcPr>
          <w:p w14:paraId="2309C859">
            <w:pPr>
              <w:pStyle w:val="2"/>
              <w:adjustRightInd w:val="0"/>
              <w:snapToGrid w:val="0"/>
              <w:spacing w:after="0" w:line="400" w:lineRule="exact"/>
              <w:ind w:left="0" w:leftChars="0" w:right="0" w:rightChars="0"/>
              <w:rPr>
                <w:rFonts w:ascii="方正仿宋_GBK" w:hAnsi="方正仿宋_GBK" w:eastAsia="方正仿宋_GBK" w:cs="方正仿宋_GBK"/>
                <w:sz w:val="24"/>
              </w:rPr>
            </w:pPr>
          </w:p>
        </w:tc>
        <w:tc>
          <w:tcPr>
            <w:tcW w:w="3495" w:type="dxa"/>
            <w:vAlign w:val="center"/>
          </w:tcPr>
          <w:p w14:paraId="416E35E4">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全面性：内容全面准确，满足采购人需求（10分）。</w:t>
            </w:r>
          </w:p>
        </w:tc>
        <w:tc>
          <w:tcPr>
            <w:tcW w:w="3825" w:type="dxa"/>
            <w:vAlign w:val="center"/>
          </w:tcPr>
          <w:p w14:paraId="2E2B4C11">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采购文件内容漏关键内容每项次扣1分。</w:t>
            </w:r>
          </w:p>
        </w:tc>
      </w:tr>
      <w:tr w14:paraId="37F2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750" w:type="dxa"/>
            <w:vMerge w:val="continue"/>
            <w:vAlign w:val="center"/>
          </w:tcPr>
          <w:p w14:paraId="2411F0A1">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1500" w:type="dxa"/>
            <w:vMerge w:val="continue"/>
            <w:vAlign w:val="center"/>
          </w:tcPr>
          <w:p w14:paraId="0E9DDB89">
            <w:pPr>
              <w:pStyle w:val="2"/>
              <w:adjustRightInd w:val="0"/>
              <w:snapToGrid w:val="0"/>
              <w:spacing w:after="0" w:line="400" w:lineRule="exact"/>
              <w:ind w:left="0" w:leftChars="0" w:right="0" w:rightChars="0"/>
              <w:rPr>
                <w:rFonts w:ascii="方正仿宋_GBK" w:hAnsi="方正仿宋_GBK" w:eastAsia="方正仿宋_GBK" w:cs="方正仿宋_GBK"/>
                <w:sz w:val="24"/>
              </w:rPr>
            </w:pPr>
          </w:p>
        </w:tc>
        <w:tc>
          <w:tcPr>
            <w:tcW w:w="3495" w:type="dxa"/>
            <w:vAlign w:val="center"/>
          </w:tcPr>
          <w:p w14:paraId="639281B3">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安全性：全面评估项目投资风险、科学预判可能引起的投诉质疑（10分）。</w:t>
            </w:r>
          </w:p>
        </w:tc>
        <w:tc>
          <w:tcPr>
            <w:tcW w:w="3825" w:type="dxa"/>
            <w:vAlign w:val="center"/>
          </w:tcPr>
          <w:p w14:paraId="449BFECB">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每漏一项扣1分。</w:t>
            </w:r>
          </w:p>
        </w:tc>
      </w:tr>
      <w:tr w14:paraId="34D3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50" w:type="dxa"/>
            <w:vMerge w:val="continue"/>
            <w:vAlign w:val="center"/>
          </w:tcPr>
          <w:p w14:paraId="6D50E71C">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1500" w:type="dxa"/>
            <w:vMerge w:val="continue"/>
            <w:vAlign w:val="center"/>
          </w:tcPr>
          <w:p w14:paraId="423DEA14">
            <w:pPr>
              <w:pStyle w:val="2"/>
              <w:adjustRightInd w:val="0"/>
              <w:snapToGrid w:val="0"/>
              <w:spacing w:after="0" w:line="400" w:lineRule="exact"/>
              <w:ind w:left="0" w:leftChars="0" w:right="0" w:rightChars="0"/>
              <w:rPr>
                <w:rFonts w:ascii="方正仿宋_GBK" w:hAnsi="方正仿宋_GBK" w:eastAsia="方正仿宋_GBK" w:cs="方正仿宋_GBK"/>
                <w:sz w:val="24"/>
              </w:rPr>
            </w:pPr>
          </w:p>
        </w:tc>
        <w:tc>
          <w:tcPr>
            <w:tcW w:w="3495" w:type="dxa"/>
            <w:vAlign w:val="center"/>
          </w:tcPr>
          <w:p w14:paraId="7D1925A6">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规范性：文本格式规范，前后表述一致、无错别字、标点符号使用规范。合同格式内容与招标内容匹配（10分）。</w:t>
            </w:r>
          </w:p>
          <w:p w14:paraId="0FE13854">
            <w:pPr>
              <w:adjustRightInd w:val="0"/>
              <w:snapToGrid w:val="0"/>
              <w:spacing w:line="400" w:lineRule="exact"/>
              <w:rPr>
                <w:rFonts w:ascii="方正仿宋_GBK" w:hAnsi="方正仿宋_GBK" w:eastAsia="方正仿宋_GBK" w:cs="方正仿宋_GBK"/>
                <w:sz w:val="24"/>
              </w:rPr>
            </w:pPr>
          </w:p>
        </w:tc>
        <w:tc>
          <w:tcPr>
            <w:tcW w:w="3825" w:type="dxa"/>
            <w:vAlign w:val="center"/>
          </w:tcPr>
          <w:p w14:paraId="080A88BB">
            <w:pPr>
              <w:pStyle w:val="2"/>
              <w:adjustRightInd w:val="0"/>
              <w:snapToGrid w:val="0"/>
              <w:spacing w:after="0" w:line="400" w:lineRule="exact"/>
              <w:ind w:left="0" w:leftChars="0" w:right="0" w:right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每错漏一项扣1分。</w:t>
            </w:r>
          </w:p>
        </w:tc>
      </w:tr>
      <w:tr w14:paraId="5266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750" w:type="dxa"/>
            <w:vMerge w:val="continue"/>
            <w:vAlign w:val="center"/>
          </w:tcPr>
          <w:p w14:paraId="35BE320B">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1500" w:type="dxa"/>
            <w:vMerge w:val="continue"/>
            <w:vAlign w:val="center"/>
          </w:tcPr>
          <w:p w14:paraId="17B22B58">
            <w:pPr>
              <w:pStyle w:val="2"/>
              <w:adjustRightInd w:val="0"/>
              <w:snapToGrid w:val="0"/>
              <w:spacing w:after="0" w:line="400" w:lineRule="exact"/>
              <w:ind w:left="0" w:leftChars="0" w:right="0" w:rightChars="0"/>
              <w:rPr>
                <w:rFonts w:ascii="方正仿宋_GBK" w:hAnsi="方正仿宋_GBK" w:eastAsia="方正仿宋_GBK" w:cs="方正仿宋_GBK"/>
                <w:sz w:val="24"/>
              </w:rPr>
            </w:pPr>
          </w:p>
        </w:tc>
        <w:tc>
          <w:tcPr>
            <w:tcW w:w="3495" w:type="dxa"/>
            <w:vAlign w:val="center"/>
          </w:tcPr>
          <w:p w14:paraId="6FB65AB6">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效益性：依法实现委托方利益最大化（应避免低价中标导致项目质量低劣等情况）（10分）。</w:t>
            </w:r>
          </w:p>
        </w:tc>
        <w:tc>
          <w:tcPr>
            <w:tcW w:w="3825" w:type="dxa"/>
            <w:vAlign w:val="center"/>
          </w:tcPr>
          <w:p w14:paraId="2990CBE5">
            <w:pPr>
              <w:pStyle w:val="2"/>
              <w:adjustRightInd w:val="0"/>
              <w:snapToGrid w:val="0"/>
              <w:spacing w:after="0" w:line="400" w:lineRule="exact"/>
              <w:ind w:left="0" w:leftChars="0" w:right="0" w:rightChars="0"/>
              <w:rPr>
                <w:rFonts w:ascii="方正仿宋_GBK" w:hAnsi="方正仿宋_GBK" w:eastAsia="方正仿宋_GBK" w:cs="方正仿宋_GBK"/>
                <w:sz w:val="24"/>
              </w:rPr>
            </w:pPr>
            <w:r>
              <w:rPr>
                <w:rFonts w:hint="eastAsia" w:ascii="方正仿宋_GBK" w:hAnsi="方正仿宋_GBK" w:eastAsia="方正仿宋_GBK" w:cs="方正仿宋_GBK"/>
                <w:sz w:val="24"/>
              </w:rPr>
              <w:t>采购文件未设置重要材料等参数、标准等，导致采购项目质量低劣，未充分体现采购人利益最大化扣5分。</w:t>
            </w:r>
          </w:p>
        </w:tc>
      </w:tr>
      <w:tr w14:paraId="59C1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exact"/>
        </w:trPr>
        <w:tc>
          <w:tcPr>
            <w:tcW w:w="750" w:type="dxa"/>
            <w:vAlign w:val="center"/>
          </w:tcPr>
          <w:p w14:paraId="59ED4CEE">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500" w:type="dxa"/>
            <w:vAlign w:val="center"/>
          </w:tcPr>
          <w:p w14:paraId="34276F24">
            <w:pPr>
              <w:adjustRightInd w:val="0"/>
              <w:snapToGrid w:val="0"/>
              <w:spacing w:line="400" w:lineRule="exact"/>
              <w:ind w:left="240" w:hanging="240" w:hangingChars="100"/>
              <w:rPr>
                <w:rFonts w:ascii="方正仿宋_GBK" w:hAnsi="方正仿宋_GBK" w:eastAsia="方正仿宋_GBK" w:cs="方正仿宋_GBK"/>
                <w:sz w:val="24"/>
              </w:rPr>
            </w:pPr>
            <w:r>
              <w:rPr>
                <w:rFonts w:hint="eastAsia" w:ascii="方正仿宋_GBK" w:hAnsi="方正仿宋_GBK" w:eastAsia="方正仿宋_GBK" w:cs="方正仿宋_GBK"/>
                <w:sz w:val="24"/>
              </w:rPr>
              <w:t>组织采购</w:t>
            </w:r>
          </w:p>
          <w:p w14:paraId="590EF755">
            <w:pPr>
              <w:adjustRightInd w:val="0"/>
              <w:snapToGrid w:val="0"/>
              <w:spacing w:line="400" w:lineRule="exact"/>
              <w:ind w:left="240" w:hanging="240" w:hangingChars="100"/>
              <w:rPr>
                <w:rFonts w:ascii="方正仿宋_GBK" w:hAnsi="方正仿宋_GBK" w:eastAsia="方正仿宋_GBK" w:cs="方正仿宋_GBK"/>
                <w:sz w:val="24"/>
              </w:rPr>
            </w:pPr>
            <w:r>
              <w:rPr>
                <w:rFonts w:hint="eastAsia" w:ascii="方正仿宋_GBK" w:hAnsi="方正仿宋_GBK" w:eastAsia="方正仿宋_GBK" w:cs="方正仿宋_GBK"/>
                <w:sz w:val="24"/>
              </w:rPr>
              <w:t>工作（20分）</w:t>
            </w:r>
          </w:p>
        </w:tc>
        <w:tc>
          <w:tcPr>
            <w:tcW w:w="3495" w:type="dxa"/>
            <w:vAlign w:val="center"/>
          </w:tcPr>
          <w:p w14:paraId="4C6686A4">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合同约定实施的采购工作</w:t>
            </w:r>
          </w:p>
        </w:tc>
        <w:tc>
          <w:tcPr>
            <w:tcW w:w="3825" w:type="dxa"/>
            <w:vAlign w:val="center"/>
          </w:tcPr>
          <w:p w14:paraId="5F14781D">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采购流程每错漏一项，扣2分；未积极协助委托方澄清答疑造成不良影响的扣5分。</w:t>
            </w:r>
          </w:p>
        </w:tc>
      </w:tr>
      <w:tr w14:paraId="01F1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750" w:type="dxa"/>
            <w:vMerge w:val="restart"/>
            <w:vAlign w:val="center"/>
          </w:tcPr>
          <w:p w14:paraId="3FC4AB5B">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500" w:type="dxa"/>
            <w:vMerge w:val="restart"/>
            <w:vAlign w:val="center"/>
          </w:tcPr>
          <w:p w14:paraId="5768A7E2">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档案装订</w:t>
            </w:r>
          </w:p>
          <w:p w14:paraId="0FE949F7">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（10分）</w:t>
            </w:r>
          </w:p>
        </w:tc>
        <w:tc>
          <w:tcPr>
            <w:tcW w:w="3495" w:type="dxa"/>
            <w:vAlign w:val="center"/>
          </w:tcPr>
          <w:p w14:paraId="23E63BEA">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档案装订在一个月内完成（5分）</w:t>
            </w:r>
          </w:p>
        </w:tc>
        <w:tc>
          <w:tcPr>
            <w:tcW w:w="3825" w:type="dxa"/>
            <w:vAlign w:val="center"/>
          </w:tcPr>
          <w:p w14:paraId="42F4DBA4">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未在规定时间内装订并交付采购人的扣5分。</w:t>
            </w:r>
          </w:p>
        </w:tc>
      </w:tr>
      <w:tr w14:paraId="424F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750" w:type="dxa"/>
            <w:vMerge w:val="continue"/>
            <w:vAlign w:val="center"/>
          </w:tcPr>
          <w:p w14:paraId="063F8351">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1500" w:type="dxa"/>
            <w:vMerge w:val="continue"/>
            <w:vAlign w:val="center"/>
          </w:tcPr>
          <w:p w14:paraId="690DAD37">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p>
        </w:tc>
        <w:tc>
          <w:tcPr>
            <w:tcW w:w="3495" w:type="dxa"/>
            <w:vAlign w:val="center"/>
          </w:tcPr>
          <w:p w14:paraId="2744C798">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档案装订内容完整（5分）</w:t>
            </w:r>
          </w:p>
        </w:tc>
        <w:tc>
          <w:tcPr>
            <w:tcW w:w="3825" w:type="dxa"/>
            <w:vAlign w:val="center"/>
          </w:tcPr>
          <w:p w14:paraId="017E5252">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每缺失一项扣1分。</w:t>
            </w:r>
          </w:p>
        </w:tc>
      </w:tr>
      <w:tr w14:paraId="0348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750" w:type="dxa"/>
            <w:vAlign w:val="center"/>
          </w:tcPr>
          <w:p w14:paraId="0D6A01C9">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500" w:type="dxa"/>
            <w:vAlign w:val="center"/>
          </w:tcPr>
          <w:p w14:paraId="738E4E82">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廉洁行为</w:t>
            </w:r>
          </w:p>
          <w:p w14:paraId="7D329215">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（10分）</w:t>
            </w:r>
          </w:p>
        </w:tc>
        <w:tc>
          <w:tcPr>
            <w:tcW w:w="3495" w:type="dxa"/>
            <w:vAlign w:val="center"/>
          </w:tcPr>
          <w:p w14:paraId="457A97A8">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遵守《廉政承诺书》要求</w:t>
            </w:r>
          </w:p>
        </w:tc>
        <w:tc>
          <w:tcPr>
            <w:tcW w:w="3825" w:type="dxa"/>
            <w:vAlign w:val="center"/>
          </w:tcPr>
          <w:p w14:paraId="33D7902E">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违反《廉政承诺书》的要求实行一票否决，不得续签下一年合同。</w:t>
            </w:r>
          </w:p>
        </w:tc>
      </w:tr>
      <w:tr w14:paraId="65C6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750" w:type="dxa"/>
            <w:vAlign w:val="center"/>
          </w:tcPr>
          <w:p w14:paraId="2E8EAEB7">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500" w:type="dxa"/>
            <w:vAlign w:val="center"/>
          </w:tcPr>
          <w:p w14:paraId="32EC6C25">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采购代理机构工作人员工作态度</w:t>
            </w:r>
          </w:p>
          <w:p w14:paraId="32D35BD2">
            <w:pPr>
              <w:adjustRightInd w:val="0"/>
              <w:snapToGrid w:val="0"/>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（10分）</w:t>
            </w:r>
          </w:p>
        </w:tc>
        <w:tc>
          <w:tcPr>
            <w:tcW w:w="3495" w:type="dxa"/>
            <w:vAlign w:val="center"/>
          </w:tcPr>
          <w:p w14:paraId="3BD9C010">
            <w:pPr>
              <w:pStyle w:val="2"/>
              <w:adjustRightInd w:val="0"/>
              <w:snapToGrid w:val="0"/>
              <w:spacing w:after="0" w:line="400" w:lineRule="exact"/>
              <w:ind w:left="0" w:leftChars="0" w:right="0" w:right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工作人员工作认真负责、态度积极</w:t>
            </w:r>
          </w:p>
        </w:tc>
        <w:tc>
          <w:tcPr>
            <w:tcW w:w="3825" w:type="dxa"/>
            <w:vAlign w:val="center"/>
          </w:tcPr>
          <w:p w14:paraId="5013F227">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每一项目中一个工作环节不认真负责或态度敷衍扣2分。</w:t>
            </w:r>
          </w:p>
        </w:tc>
      </w:tr>
    </w:tbl>
    <w:p w14:paraId="2170E425">
      <w:pPr>
        <w:pStyle w:val="4"/>
        <w:tabs>
          <w:tab w:val="left" w:pos="3360"/>
        </w:tabs>
        <w:adjustRightInd w:val="0"/>
        <w:snapToGrid w:val="0"/>
        <w:spacing w:before="0" w:after="0" w:line="400" w:lineRule="exact"/>
        <w:rPr>
          <w:rFonts w:ascii="方正仿宋_GBK" w:hAnsi="方正仿宋_GBK" w:eastAsia="方正仿宋_GBK" w:cs="方正仿宋_GBK"/>
          <w:bCs/>
          <w:sz w:val="24"/>
        </w:rPr>
      </w:pPr>
    </w:p>
    <w:p w14:paraId="44464F54">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第七条  合同的签署及生效 </w:t>
      </w:r>
    </w:p>
    <w:p w14:paraId="7E03C4BA">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本合同自双方单位盖章，法定代表人或委托代理人（授权代表）签字后生效。合同一</w:t>
      </w:r>
      <w:r>
        <w:rPr>
          <w:rFonts w:hint="eastAsia" w:ascii="方正仿宋_GBK" w:hAnsi="方正仿宋_GBK" w:eastAsia="方正仿宋_GBK" w:cs="方正仿宋_GBK"/>
          <w:color w:val="000000"/>
          <w:kern w:val="0"/>
          <w:sz w:val="24"/>
        </w:rPr>
        <w:t>式贰份，双方各执壹</w:t>
      </w:r>
      <w:r>
        <w:rPr>
          <w:rFonts w:hint="eastAsia" w:ascii="方正仿宋_GBK" w:hAnsi="方正仿宋_GBK" w:eastAsia="方正仿宋_GBK" w:cs="方正仿宋_GBK"/>
          <w:kern w:val="0"/>
          <w:sz w:val="24"/>
        </w:rPr>
        <w:t>份，具有同等法律效力。</w:t>
      </w:r>
    </w:p>
    <w:p w14:paraId="606A574C">
      <w:pPr>
        <w:widowControl/>
        <w:adjustRightInd w:val="0"/>
        <w:snapToGrid w:val="0"/>
        <w:spacing w:line="400" w:lineRule="exact"/>
        <w:jc w:val="left"/>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 xml:space="preserve">第八条  争议解决办法 </w:t>
      </w:r>
    </w:p>
    <w:p w14:paraId="489A2763">
      <w:pPr>
        <w:widowControl/>
        <w:adjustRightInd w:val="0"/>
        <w:snapToGrid w:val="0"/>
        <w:spacing w:line="4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本合同执行过程中发生争议，甲乙双方应协商解决。协商不成，任何一方均可向法院起诉。</w:t>
      </w:r>
    </w:p>
    <w:p w14:paraId="0293FE45">
      <w:pPr>
        <w:pStyle w:val="2"/>
        <w:adjustRightInd w:val="0"/>
        <w:snapToGrid w:val="0"/>
        <w:spacing w:after="0" w:line="400" w:lineRule="exact"/>
        <w:ind w:left="0" w:leftChars="0" w:right="0" w:rightChars="0"/>
        <w:rPr>
          <w:rFonts w:ascii="方正仿宋_GBK" w:hAnsi="方正仿宋_GBK" w:eastAsia="方正仿宋_GBK" w:cs="方正仿宋_GBK"/>
          <w:sz w:val="24"/>
        </w:rPr>
      </w:pPr>
    </w:p>
    <w:tbl>
      <w:tblPr>
        <w:tblStyle w:val="88"/>
        <w:tblpPr w:leftFromText="180" w:rightFromText="180" w:vertAnchor="text" w:horzAnchor="page" w:tblpX="1510" w:tblpY="77"/>
        <w:tblOverlap w:val="never"/>
        <w:tblW w:w="8850" w:type="dxa"/>
        <w:tblInd w:w="0" w:type="dxa"/>
        <w:tblLayout w:type="fixed"/>
        <w:tblCellMar>
          <w:top w:w="0" w:type="dxa"/>
          <w:left w:w="108" w:type="dxa"/>
          <w:bottom w:w="0" w:type="dxa"/>
          <w:right w:w="108" w:type="dxa"/>
        </w:tblCellMar>
      </w:tblPr>
      <w:tblGrid>
        <w:gridCol w:w="4543"/>
        <w:gridCol w:w="4307"/>
      </w:tblGrid>
      <w:tr w14:paraId="088C27F2">
        <w:trPr>
          <w:trHeight w:val="702" w:hRule="atLeast"/>
        </w:trPr>
        <w:tc>
          <w:tcPr>
            <w:tcW w:w="4543" w:type="dxa"/>
          </w:tcPr>
          <w:p w14:paraId="48BF9E45">
            <w:pPr>
              <w:adjustRightInd w:val="0"/>
              <w:snapToGrid w:val="0"/>
              <w:spacing w:line="400" w:lineRule="exact"/>
              <w:rPr>
                <w:rFonts w:ascii="方正仿宋_GBK" w:hAnsi="方正仿宋_GBK" w:eastAsia="方正仿宋_GBK" w:cs="方正仿宋_GBK"/>
                <w:sz w:val="24"/>
              </w:rPr>
            </w:pPr>
          </w:p>
          <w:p w14:paraId="47507D9A">
            <w:pPr>
              <w:adjustRightInd w:val="0"/>
              <w:snapToGrid w:val="0"/>
              <w:spacing w:line="400" w:lineRule="exac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甲方（</w:t>
            </w:r>
            <w:r>
              <w:rPr>
                <w:rFonts w:hint="eastAsia" w:ascii="方正仿宋_GBK" w:hAnsi="方正仿宋_GBK" w:eastAsia="方正仿宋_GBK" w:cs="方正仿宋_GBK"/>
                <w:kern w:val="0"/>
                <w:sz w:val="24"/>
              </w:rPr>
              <w:t>盖章）：</w:t>
            </w:r>
          </w:p>
        </w:tc>
        <w:tc>
          <w:tcPr>
            <w:tcW w:w="4307" w:type="dxa"/>
          </w:tcPr>
          <w:p w14:paraId="30449D9C">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乙方（盖章）：</w:t>
            </w:r>
          </w:p>
        </w:tc>
      </w:tr>
      <w:tr w14:paraId="3E248B62">
        <w:tblPrEx>
          <w:tblCellMar>
            <w:top w:w="0" w:type="dxa"/>
            <w:left w:w="108" w:type="dxa"/>
            <w:bottom w:w="0" w:type="dxa"/>
            <w:right w:w="108" w:type="dxa"/>
          </w:tblCellMar>
        </w:tblPrEx>
        <w:trPr>
          <w:trHeight w:val="521" w:hRule="atLeast"/>
        </w:trPr>
        <w:tc>
          <w:tcPr>
            <w:tcW w:w="4543" w:type="dxa"/>
          </w:tcPr>
          <w:p w14:paraId="02F95086">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授权代表：</w:t>
            </w:r>
          </w:p>
        </w:tc>
        <w:tc>
          <w:tcPr>
            <w:tcW w:w="4307" w:type="dxa"/>
          </w:tcPr>
          <w:p w14:paraId="0C8DB0B1">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法定代表：</w:t>
            </w:r>
          </w:p>
        </w:tc>
      </w:tr>
      <w:tr w14:paraId="023AB4EE">
        <w:tblPrEx>
          <w:tblCellMar>
            <w:top w:w="0" w:type="dxa"/>
            <w:left w:w="108" w:type="dxa"/>
            <w:bottom w:w="0" w:type="dxa"/>
            <w:right w:w="108" w:type="dxa"/>
          </w:tblCellMar>
        </w:tblPrEx>
        <w:trPr>
          <w:trHeight w:val="550" w:hRule="atLeast"/>
        </w:trPr>
        <w:tc>
          <w:tcPr>
            <w:tcW w:w="4543" w:type="dxa"/>
          </w:tcPr>
          <w:p w14:paraId="5E6C20A9">
            <w:pPr>
              <w:widowControl/>
              <w:adjustRightInd w:val="0"/>
              <w:snapToGrid w:val="0"/>
              <w:spacing w:line="400" w:lineRule="exact"/>
              <w:jc w:val="left"/>
              <w:rPr>
                <w:rFonts w:ascii="方正仿宋_GBK" w:hAnsi="方正仿宋_GBK" w:eastAsia="方正仿宋_GBK" w:cs="方正仿宋_GBK"/>
                <w:kern w:val="0"/>
                <w:sz w:val="24"/>
              </w:rPr>
            </w:pPr>
          </w:p>
        </w:tc>
        <w:tc>
          <w:tcPr>
            <w:tcW w:w="4307" w:type="dxa"/>
          </w:tcPr>
          <w:p w14:paraId="4315D204">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授权代理人（签字）：</w:t>
            </w:r>
          </w:p>
        </w:tc>
      </w:tr>
      <w:tr w14:paraId="3188952F">
        <w:tblPrEx>
          <w:tblCellMar>
            <w:top w:w="0" w:type="dxa"/>
            <w:left w:w="108" w:type="dxa"/>
            <w:bottom w:w="0" w:type="dxa"/>
            <w:right w:w="108" w:type="dxa"/>
          </w:tblCellMar>
        </w:tblPrEx>
        <w:trPr>
          <w:trHeight w:val="656" w:hRule="atLeast"/>
        </w:trPr>
        <w:tc>
          <w:tcPr>
            <w:tcW w:w="4543" w:type="dxa"/>
          </w:tcPr>
          <w:p w14:paraId="4F07A29B">
            <w:pPr>
              <w:widowControl/>
              <w:adjustRightInd w:val="0"/>
              <w:snapToGrid w:val="0"/>
              <w:spacing w:line="400" w:lineRule="exact"/>
              <w:ind w:left="4680" w:hanging="4680" w:hangingChars="195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单位地址：</w:t>
            </w:r>
          </w:p>
        </w:tc>
        <w:tc>
          <w:tcPr>
            <w:tcW w:w="4307" w:type="dxa"/>
          </w:tcPr>
          <w:p w14:paraId="07E99311">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单位地址：</w:t>
            </w:r>
          </w:p>
        </w:tc>
      </w:tr>
      <w:tr w14:paraId="0D143A14">
        <w:tblPrEx>
          <w:tblCellMar>
            <w:top w:w="0" w:type="dxa"/>
            <w:left w:w="108" w:type="dxa"/>
            <w:bottom w:w="0" w:type="dxa"/>
            <w:right w:w="108" w:type="dxa"/>
          </w:tblCellMar>
        </w:tblPrEx>
        <w:trPr>
          <w:trHeight w:val="708" w:hRule="atLeast"/>
        </w:trPr>
        <w:tc>
          <w:tcPr>
            <w:tcW w:w="4543" w:type="dxa"/>
          </w:tcPr>
          <w:p w14:paraId="0F9334E7">
            <w:pPr>
              <w:widowControl/>
              <w:adjustRightInd w:val="0"/>
              <w:snapToGrid w:val="0"/>
              <w:spacing w:line="400" w:lineRule="exact"/>
              <w:ind w:left="4680" w:hanging="4680" w:hangingChars="195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日期：</w:t>
            </w:r>
          </w:p>
        </w:tc>
        <w:tc>
          <w:tcPr>
            <w:tcW w:w="4307" w:type="dxa"/>
          </w:tcPr>
          <w:p w14:paraId="7C4DFE11">
            <w:pPr>
              <w:widowControl/>
              <w:adjustRightInd w:val="0"/>
              <w:snapToGrid w:val="0"/>
              <w:spacing w:line="4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日期：</w:t>
            </w:r>
          </w:p>
        </w:tc>
      </w:tr>
    </w:tbl>
    <w:p w14:paraId="469D29D7">
      <w:pPr>
        <w:adjustRightInd w:val="0"/>
        <w:snapToGrid w:val="0"/>
        <w:spacing w:line="400" w:lineRule="exact"/>
        <w:jc w:val="center"/>
        <w:rPr>
          <w:rFonts w:ascii="方正仿宋_GBK" w:hAnsi="方正仿宋_GBK" w:eastAsia="方正仿宋_GBK" w:cs="方正仿宋_GBK"/>
          <w:b/>
          <w:sz w:val="24"/>
        </w:rPr>
      </w:pPr>
    </w:p>
    <w:p w14:paraId="419FC842">
      <w:pPr>
        <w:adjustRightInd w:val="0"/>
        <w:snapToGrid w:val="0"/>
        <w:spacing w:line="400" w:lineRule="exact"/>
        <w:jc w:val="center"/>
        <w:rPr>
          <w:rFonts w:ascii="方正仿宋_GBK" w:hAnsi="方正仿宋_GBK" w:eastAsia="方正仿宋_GBK" w:cs="方正仿宋_GBK"/>
          <w:b/>
          <w:sz w:val="24"/>
        </w:rPr>
      </w:pPr>
    </w:p>
    <w:p w14:paraId="684DB4BA">
      <w:pPr>
        <w:adjustRightInd w:val="0"/>
        <w:snapToGrid w:val="0"/>
        <w:spacing w:line="400" w:lineRule="exact"/>
        <w:jc w:val="center"/>
        <w:rPr>
          <w:rFonts w:ascii="方正仿宋_GBK" w:hAnsi="方正仿宋_GBK" w:eastAsia="方正仿宋_GBK" w:cs="方正仿宋_GBK"/>
          <w:b/>
          <w:sz w:val="24"/>
        </w:rPr>
      </w:pPr>
    </w:p>
    <w:p w14:paraId="70A4CCE6">
      <w:pPr>
        <w:adjustRightInd w:val="0"/>
        <w:snapToGrid w:val="0"/>
        <w:spacing w:line="400" w:lineRule="exact"/>
        <w:jc w:val="center"/>
        <w:rPr>
          <w:rFonts w:ascii="方正仿宋_GBK" w:hAnsi="方正仿宋_GBK" w:eastAsia="方正仿宋_GBK" w:cs="方正仿宋_GBK"/>
          <w:b/>
          <w:sz w:val="24"/>
        </w:rPr>
      </w:pPr>
    </w:p>
    <w:p w14:paraId="79BDD38A">
      <w:pPr>
        <w:adjustRightInd w:val="0"/>
        <w:snapToGrid w:val="0"/>
        <w:spacing w:line="400" w:lineRule="exact"/>
        <w:jc w:val="center"/>
        <w:rPr>
          <w:rFonts w:ascii="方正仿宋_GBK" w:hAnsi="方正仿宋_GBK" w:eastAsia="方正仿宋_GBK" w:cs="方正仿宋_GBK"/>
          <w:b/>
          <w:sz w:val="24"/>
        </w:rPr>
      </w:pPr>
    </w:p>
    <w:p w14:paraId="4F612AD1">
      <w:pPr>
        <w:adjustRightInd w:val="0"/>
        <w:snapToGrid w:val="0"/>
        <w:spacing w:line="400" w:lineRule="exact"/>
        <w:jc w:val="center"/>
        <w:rPr>
          <w:rFonts w:ascii="方正仿宋_GBK" w:hAnsi="方正仿宋_GBK" w:eastAsia="方正仿宋_GBK" w:cs="方正仿宋_GBK"/>
          <w:b/>
          <w:sz w:val="24"/>
        </w:rPr>
      </w:pPr>
    </w:p>
    <w:p w14:paraId="5E7FD97F">
      <w:pPr>
        <w:adjustRightInd w:val="0"/>
        <w:snapToGrid w:val="0"/>
        <w:spacing w:line="400" w:lineRule="exact"/>
        <w:jc w:val="center"/>
        <w:rPr>
          <w:rFonts w:ascii="方正仿宋_GBK" w:hAnsi="方正仿宋_GBK" w:eastAsia="方正仿宋_GBK" w:cs="方正仿宋_GBK"/>
          <w:b/>
          <w:sz w:val="24"/>
        </w:rPr>
      </w:pPr>
    </w:p>
    <w:p w14:paraId="510C441A">
      <w:pPr>
        <w:adjustRightInd w:val="0"/>
        <w:snapToGrid w:val="0"/>
        <w:spacing w:line="400" w:lineRule="exact"/>
        <w:jc w:val="center"/>
        <w:rPr>
          <w:rFonts w:ascii="方正仿宋_GBK" w:hAnsi="方正仿宋_GBK" w:eastAsia="方正仿宋_GBK" w:cs="方正仿宋_GBK"/>
          <w:b/>
          <w:sz w:val="24"/>
        </w:rPr>
      </w:pPr>
    </w:p>
    <w:p w14:paraId="34D95B2F">
      <w:pPr>
        <w:adjustRightInd w:val="0"/>
        <w:snapToGrid w:val="0"/>
        <w:spacing w:line="400" w:lineRule="exact"/>
        <w:jc w:val="center"/>
        <w:rPr>
          <w:rFonts w:ascii="方正仿宋_GBK" w:hAnsi="方正仿宋_GBK" w:eastAsia="方正仿宋_GBK" w:cs="方正仿宋_GBK"/>
          <w:b/>
          <w:sz w:val="24"/>
        </w:rPr>
      </w:pPr>
    </w:p>
    <w:p w14:paraId="2E413793">
      <w:pPr>
        <w:adjustRightInd w:val="0"/>
        <w:snapToGrid w:val="0"/>
        <w:spacing w:line="400" w:lineRule="exact"/>
        <w:jc w:val="center"/>
        <w:rPr>
          <w:rFonts w:ascii="方正仿宋_GBK" w:hAnsi="方正仿宋_GBK" w:eastAsia="方正仿宋_GBK" w:cs="方正仿宋_GBK"/>
          <w:b/>
          <w:sz w:val="24"/>
        </w:rPr>
      </w:pPr>
    </w:p>
    <w:p w14:paraId="1FA0191C">
      <w:pPr>
        <w:adjustRightInd w:val="0"/>
        <w:snapToGrid w:val="0"/>
        <w:spacing w:line="400" w:lineRule="exact"/>
        <w:jc w:val="center"/>
        <w:rPr>
          <w:rFonts w:ascii="方正仿宋_GBK" w:hAnsi="方正仿宋_GBK" w:eastAsia="方正仿宋_GBK" w:cs="方正仿宋_GBK"/>
          <w:b/>
          <w:sz w:val="24"/>
        </w:rPr>
      </w:pPr>
    </w:p>
    <w:p w14:paraId="3E254B5D">
      <w:pPr>
        <w:adjustRightInd w:val="0"/>
        <w:snapToGrid w:val="0"/>
        <w:spacing w:line="400" w:lineRule="exact"/>
        <w:jc w:val="center"/>
        <w:rPr>
          <w:rFonts w:ascii="方正仿宋_GBK" w:hAnsi="方正仿宋_GBK" w:eastAsia="方正仿宋_GBK" w:cs="方正仿宋_GBK"/>
          <w:b/>
          <w:sz w:val="24"/>
        </w:rPr>
      </w:pPr>
    </w:p>
    <w:p w14:paraId="2F377E2A">
      <w:pPr>
        <w:adjustRightInd w:val="0"/>
        <w:snapToGrid w:val="0"/>
        <w:spacing w:line="400" w:lineRule="exact"/>
        <w:jc w:val="center"/>
        <w:rPr>
          <w:rFonts w:ascii="方正仿宋_GBK" w:hAnsi="方正仿宋_GBK" w:eastAsia="方正仿宋_GBK" w:cs="方正仿宋_GBK"/>
          <w:b/>
          <w:sz w:val="24"/>
        </w:rPr>
      </w:pPr>
    </w:p>
    <w:p w14:paraId="1F1F4A32">
      <w:pPr>
        <w:adjustRightInd w:val="0"/>
        <w:snapToGrid w:val="0"/>
        <w:spacing w:line="400" w:lineRule="exact"/>
        <w:jc w:val="center"/>
        <w:rPr>
          <w:rFonts w:ascii="方正仿宋_GBK" w:hAnsi="方正仿宋_GBK" w:eastAsia="方正仿宋_GBK" w:cs="方正仿宋_GBK"/>
          <w:bCs/>
          <w:sz w:val="24"/>
        </w:rPr>
      </w:pPr>
    </w:p>
    <w:p w14:paraId="61FC2711">
      <w:pPr>
        <w:adjustRightInd w:val="0"/>
        <w:snapToGrid w:val="0"/>
        <w:spacing w:line="400" w:lineRule="exact"/>
        <w:jc w:val="center"/>
        <w:rPr>
          <w:rFonts w:ascii="方正仿宋_GBK" w:hAnsi="方正仿宋_GBK" w:eastAsia="方正仿宋_GBK" w:cs="方正仿宋_GBK"/>
          <w:bCs/>
          <w:sz w:val="24"/>
        </w:rPr>
      </w:pPr>
    </w:p>
    <w:p w14:paraId="066DA2D1">
      <w:pPr>
        <w:adjustRightInd w:val="0"/>
        <w:snapToGrid w:val="0"/>
        <w:spacing w:line="400" w:lineRule="exact"/>
        <w:jc w:val="center"/>
        <w:rPr>
          <w:rFonts w:ascii="方正仿宋_GBK" w:hAnsi="方正仿宋_GBK" w:eastAsia="方正仿宋_GBK" w:cs="方正仿宋_GBK"/>
          <w:bCs/>
          <w:sz w:val="24"/>
        </w:rPr>
      </w:pPr>
    </w:p>
    <w:p w14:paraId="65A02A49">
      <w:pPr>
        <w:adjustRightInd w:val="0"/>
        <w:snapToGrid w:val="0"/>
        <w:spacing w:line="400" w:lineRule="exact"/>
        <w:jc w:val="center"/>
        <w:rPr>
          <w:rFonts w:ascii="方正仿宋_GBK" w:hAnsi="方正仿宋_GBK" w:eastAsia="方正仿宋_GBK" w:cs="方正仿宋_GBK"/>
          <w:bCs/>
          <w:sz w:val="24"/>
        </w:rPr>
      </w:pPr>
    </w:p>
    <w:p w14:paraId="4980C025">
      <w:pPr>
        <w:adjustRightInd w:val="0"/>
        <w:snapToGrid w:val="0"/>
        <w:spacing w:line="400" w:lineRule="exact"/>
        <w:jc w:val="center"/>
        <w:rPr>
          <w:rFonts w:ascii="方正仿宋_GBK" w:hAnsi="方正仿宋_GBK" w:eastAsia="方正仿宋_GBK" w:cs="方正仿宋_GBK"/>
          <w:bCs/>
          <w:sz w:val="24"/>
        </w:rPr>
      </w:pPr>
    </w:p>
    <w:p w14:paraId="6F8B019F">
      <w:pPr>
        <w:adjustRightInd w:val="0"/>
        <w:snapToGrid w:val="0"/>
        <w:spacing w:line="400" w:lineRule="exact"/>
        <w:jc w:val="center"/>
        <w:rPr>
          <w:rFonts w:ascii="方正仿宋_GBK" w:hAnsi="方正仿宋_GBK" w:eastAsia="方正仿宋_GBK" w:cs="方正仿宋_GBK"/>
          <w:bCs/>
          <w:sz w:val="24"/>
        </w:rPr>
      </w:pPr>
    </w:p>
    <w:p w14:paraId="4073C9E8">
      <w:pPr>
        <w:pStyle w:val="87"/>
        <w:adjustRightInd w:val="0"/>
        <w:snapToGrid w:val="0"/>
        <w:spacing w:after="0"/>
        <w:ind w:left="0" w:leftChars="0" w:firstLine="480"/>
        <w:rPr>
          <w:rFonts w:ascii="方正仿宋_GBK" w:hAnsi="方正仿宋_GBK" w:eastAsia="方正仿宋_GBK" w:cs="方正仿宋_GBK"/>
          <w:bCs/>
          <w:sz w:val="24"/>
        </w:rPr>
      </w:pPr>
    </w:p>
    <w:p w14:paraId="7BA11346">
      <w:pPr>
        <w:pStyle w:val="87"/>
        <w:adjustRightInd w:val="0"/>
        <w:snapToGrid w:val="0"/>
        <w:spacing w:after="0"/>
        <w:ind w:left="0" w:leftChars="0" w:firstLine="480"/>
        <w:rPr>
          <w:rFonts w:ascii="方正仿宋_GBK" w:hAnsi="方正仿宋_GBK" w:eastAsia="方正仿宋_GBK" w:cs="方正仿宋_GBK"/>
          <w:bCs/>
          <w:sz w:val="24"/>
        </w:rPr>
      </w:pPr>
    </w:p>
    <w:p w14:paraId="66BE5FE2">
      <w:pPr>
        <w:pStyle w:val="87"/>
        <w:adjustRightInd w:val="0"/>
        <w:snapToGrid w:val="0"/>
        <w:spacing w:after="0"/>
        <w:ind w:left="0" w:leftChars="0" w:firstLine="480"/>
        <w:rPr>
          <w:rFonts w:ascii="方正仿宋_GBK" w:hAnsi="方正仿宋_GBK" w:eastAsia="方正仿宋_GBK" w:cs="方正仿宋_GBK"/>
          <w:bCs/>
          <w:sz w:val="24"/>
        </w:rPr>
      </w:pPr>
    </w:p>
    <w:p w14:paraId="012068D2">
      <w:pPr>
        <w:pStyle w:val="87"/>
        <w:adjustRightInd w:val="0"/>
        <w:snapToGrid w:val="0"/>
        <w:spacing w:after="0"/>
        <w:ind w:left="0" w:leftChars="0" w:firstLine="480"/>
        <w:rPr>
          <w:rFonts w:ascii="方正仿宋_GBK" w:hAnsi="方正仿宋_GBK" w:eastAsia="方正仿宋_GBK" w:cs="方正仿宋_GBK"/>
          <w:bCs/>
          <w:sz w:val="24"/>
        </w:rPr>
      </w:pPr>
    </w:p>
    <w:p w14:paraId="49F24491">
      <w:pPr>
        <w:pStyle w:val="87"/>
        <w:adjustRightInd w:val="0"/>
        <w:snapToGrid w:val="0"/>
        <w:spacing w:after="0"/>
        <w:ind w:left="0" w:leftChars="0" w:firstLine="480"/>
        <w:rPr>
          <w:rFonts w:ascii="方正仿宋_GBK" w:hAnsi="方正仿宋_GBK" w:eastAsia="方正仿宋_GBK" w:cs="方正仿宋_GBK"/>
          <w:bCs/>
          <w:sz w:val="24"/>
        </w:rPr>
      </w:pPr>
    </w:p>
    <w:p w14:paraId="07A2EFEF">
      <w:pPr>
        <w:pStyle w:val="87"/>
        <w:adjustRightInd w:val="0"/>
        <w:snapToGrid w:val="0"/>
        <w:spacing w:after="0"/>
        <w:ind w:left="0" w:leftChars="0" w:firstLine="480"/>
        <w:rPr>
          <w:rFonts w:ascii="方正仿宋_GBK" w:hAnsi="方正仿宋_GBK" w:eastAsia="方正仿宋_GBK" w:cs="方正仿宋_GBK"/>
          <w:bCs/>
          <w:sz w:val="24"/>
        </w:rPr>
      </w:pPr>
    </w:p>
    <w:p w14:paraId="7582E0CC">
      <w:pPr>
        <w:pStyle w:val="87"/>
        <w:adjustRightInd w:val="0"/>
        <w:snapToGrid w:val="0"/>
        <w:spacing w:after="0"/>
        <w:ind w:left="0" w:leftChars="0" w:firstLine="480"/>
        <w:rPr>
          <w:rFonts w:ascii="方正仿宋_GBK" w:hAnsi="方正仿宋_GBK" w:eastAsia="方正仿宋_GBK" w:cs="方正仿宋_GBK"/>
          <w:bCs/>
          <w:sz w:val="24"/>
        </w:rPr>
      </w:pPr>
    </w:p>
    <w:p w14:paraId="1554CC1D">
      <w:pPr>
        <w:pStyle w:val="87"/>
        <w:adjustRightInd w:val="0"/>
        <w:snapToGrid w:val="0"/>
        <w:spacing w:after="0"/>
        <w:ind w:left="0" w:leftChars="0" w:firstLine="480"/>
        <w:rPr>
          <w:rFonts w:ascii="方正仿宋_GBK" w:hAnsi="方正仿宋_GBK" w:eastAsia="方正仿宋_GBK" w:cs="方正仿宋_GBK"/>
          <w:bCs/>
          <w:sz w:val="24"/>
        </w:rPr>
      </w:pPr>
    </w:p>
    <w:p w14:paraId="50AEA72E">
      <w:pPr>
        <w:pStyle w:val="87"/>
        <w:adjustRightInd w:val="0"/>
        <w:snapToGrid w:val="0"/>
        <w:spacing w:after="0"/>
        <w:ind w:left="0" w:leftChars="0" w:firstLine="480"/>
        <w:rPr>
          <w:rFonts w:ascii="方正仿宋_GBK" w:hAnsi="方正仿宋_GBK" w:eastAsia="方正仿宋_GBK" w:cs="方正仿宋_GBK"/>
          <w:bCs/>
          <w:sz w:val="24"/>
        </w:rPr>
      </w:pPr>
    </w:p>
    <w:p w14:paraId="0C8EE18D">
      <w:pPr>
        <w:pStyle w:val="87"/>
        <w:adjustRightInd w:val="0"/>
        <w:snapToGrid w:val="0"/>
        <w:spacing w:after="0"/>
        <w:ind w:left="0" w:leftChars="0" w:firstLine="480"/>
        <w:rPr>
          <w:rFonts w:ascii="方正仿宋_GBK" w:hAnsi="方正仿宋_GBK" w:eastAsia="方正仿宋_GBK" w:cs="方正仿宋_GBK"/>
          <w:bCs/>
          <w:sz w:val="24"/>
        </w:rPr>
      </w:pPr>
    </w:p>
    <w:p w14:paraId="4584AB51">
      <w:pPr>
        <w:pStyle w:val="87"/>
        <w:adjustRightInd w:val="0"/>
        <w:snapToGrid w:val="0"/>
        <w:spacing w:after="0"/>
        <w:ind w:left="0" w:leftChars="0" w:firstLine="480"/>
        <w:rPr>
          <w:rFonts w:ascii="方正仿宋_GBK" w:hAnsi="方正仿宋_GBK" w:eastAsia="方正仿宋_GBK" w:cs="方正仿宋_GBK"/>
          <w:bCs/>
          <w:sz w:val="24"/>
        </w:rPr>
      </w:pPr>
    </w:p>
    <w:p w14:paraId="5B7F496D">
      <w:pPr>
        <w:pStyle w:val="87"/>
        <w:adjustRightInd w:val="0"/>
        <w:snapToGrid w:val="0"/>
        <w:spacing w:after="0"/>
        <w:ind w:left="0" w:leftChars="0" w:firstLine="480"/>
        <w:rPr>
          <w:rFonts w:ascii="方正仿宋_GBK" w:hAnsi="方正仿宋_GBK" w:eastAsia="方正仿宋_GBK" w:cs="方正仿宋_GBK"/>
          <w:bCs/>
          <w:sz w:val="24"/>
        </w:rPr>
      </w:pPr>
    </w:p>
    <w:p w14:paraId="354D5B36">
      <w:pPr>
        <w:pStyle w:val="87"/>
        <w:adjustRightInd w:val="0"/>
        <w:snapToGrid w:val="0"/>
        <w:spacing w:after="0"/>
        <w:ind w:left="0" w:leftChars="0" w:firstLine="480"/>
        <w:rPr>
          <w:rFonts w:ascii="方正仿宋_GBK" w:hAnsi="方正仿宋_GBK" w:eastAsia="方正仿宋_GBK" w:cs="方正仿宋_GBK"/>
          <w:bCs/>
          <w:sz w:val="24"/>
        </w:rPr>
      </w:pPr>
    </w:p>
    <w:p w14:paraId="40A36517">
      <w:pPr>
        <w:pStyle w:val="87"/>
        <w:adjustRightInd w:val="0"/>
        <w:snapToGrid w:val="0"/>
        <w:spacing w:after="0"/>
        <w:ind w:left="0" w:leftChars="0" w:firstLine="480"/>
        <w:rPr>
          <w:rFonts w:ascii="方正仿宋_GBK" w:hAnsi="方正仿宋_GBK" w:eastAsia="方正仿宋_GBK" w:cs="方正仿宋_GBK"/>
          <w:bCs/>
          <w:sz w:val="24"/>
        </w:rPr>
      </w:pPr>
    </w:p>
    <w:p w14:paraId="107BBD54">
      <w:pPr>
        <w:adjustRightInd w:val="0"/>
        <w:snapToGrid w:val="0"/>
        <w:spacing w:line="400" w:lineRule="exact"/>
        <w:jc w:val="center"/>
        <w:rPr>
          <w:rFonts w:ascii="方正仿宋_GBK" w:hAnsi="方正仿宋_GBK" w:eastAsia="方正仿宋_GBK" w:cs="方正仿宋_GBK"/>
          <w:b/>
          <w:sz w:val="36"/>
          <w:szCs w:val="36"/>
        </w:rPr>
      </w:pPr>
    </w:p>
    <w:p w14:paraId="2CFBD37B">
      <w:pPr>
        <w:adjustRightInd w:val="0"/>
        <w:snapToGrid w:val="0"/>
        <w:spacing w:line="400" w:lineRule="exact"/>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廉政承诺书</w:t>
      </w:r>
    </w:p>
    <w:p w14:paraId="3F830E08">
      <w:pPr>
        <w:adjustRightInd w:val="0"/>
        <w:snapToGrid w:val="0"/>
        <w:spacing w:line="400" w:lineRule="exact"/>
        <w:ind w:firstLine="480" w:firstLineChars="200"/>
        <w:rPr>
          <w:rFonts w:ascii="方正仿宋_GBK" w:hAnsi="方正仿宋_GBK" w:eastAsia="方正仿宋_GBK" w:cs="方正仿宋_GBK"/>
          <w:sz w:val="24"/>
        </w:rPr>
      </w:pPr>
    </w:p>
    <w:p w14:paraId="743B5693">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为提高财政资金的使用效益，增大采购行为和合同执行的透明度，严防贪腐违纪违法行为的发生，同时使企业拥有公平的竞争环境，经双方协商一致，作如下承诺：</w:t>
      </w:r>
    </w:p>
    <w:p w14:paraId="2F201F95">
      <w:pPr>
        <w:adjustRightInd w:val="0"/>
        <w:snapToGrid w:val="0"/>
        <w:spacing w:line="40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甲方承诺：</w:t>
      </w:r>
    </w:p>
    <w:p w14:paraId="44D6A3C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1.不向相关服务对象及相关利益人索取回扣。</w:t>
      </w:r>
    </w:p>
    <w:p w14:paraId="495425F7">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2.不接受相关服务对象及相关利益人吃请或旅游。</w:t>
      </w:r>
    </w:p>
    <w:p w14:paraId="3377B64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3.不接受相关服务对象及相关利益人礼金、有价证券、礼品等财物。</w:t>
      </w:r>
    </w:p>
    <w:p w14:paraId="115686D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4.严格按合同督查验收，不提超合同约定要求，按约定付款。</w:t>
      </w:r>
    </w:p>
    <w:p w14:paraId="0837B42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如有违反上述行为，可向甲方纪委进行举报，举报查实后对相关责任人按照纪律、法规予以处理。</w:t>
      </w:r>
    </w:p>
    <w:p w14:paraId="62E7B287">
      <w:pPr>
        <w:adjustRightInd w:val="0"/>
        <w:snapToGrid w:val="0"/>
        <w:spacing w:line="400" w:lineRule="exact"/>
        <w:ind w:firstLine="480" w:firstLineChars="200"/>
        <w:rPr>
          <w:rFonts w:ascii="方正仿宋_GBK" w:hAnsi="方正仿宋_GBK" w:eastAsia="方正仿宋_GBK" w:cs="方正仿宋_GBK"/>
          <w:sz w:val="24"/>
        </w:rPr>
      </w:pPr>
    </w:p>
    <w:p w14:paraId="0D0D70FC">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单位负责人(授权代表）：               单位公章</w:t>
      </w:r>
    </w:p>
    <w:p w14:paraId="1152D9DA">
      <w:pPr>
        <w:adjustRightInd w:val="0"/>
        <w:snapToGrid w:val="0"/>
        <w:spacing w:line="400" w:lineRule="exact"/>
        <w:ind w:firstLine="482" w:firstLineChars="200"/>
        <w:rPr>
          <w:rFonts w:ascii="方正仿宋_GBK" w:hAnsi="方正仿宋_GBK" w:eastAsia="方正仿宋_GBK" w:cs="方正仿宋_GBK"/>
          <w:b/>
          <w:sz w:val="24"/>
        </w:rPr>
      </w:pPr>
    </w:p>
    <w:p w14:paraId="31AF2949">
      <w:pPr>
        <w:adjustRightInd w:val="0"/>
        <w:snapToGrid w:val="0"/>
        <w:spacing w:line="400" w:lineRule="exact"/>
        <w:ind w:firstLine="482" w:firstLineChars="200"/>
        <w:rPr>
          <w:rFonts w:ascii="方正仿宋_GBK" w:hAnsi="方正仿宋_GBK" w:eastAsia="方正仿宋_GBK" w:cs="方正仿宋_GBK"/>
          <w:sz w:val="24"/>
        </w:rPr>
      </w:pPr>
      <w:r>
        <w:rPr>
          <w:rFonts w:hint="eastAsia" w:ascii="方正仿宋_GBK" w:hAnsi="方正仿宋_GBK" w:eastAsia="方正仿宋_GBK" w:cs="方正仿宋_GBK"/>
          <w:b/>
          <w:sz w:val="24"/>
        </w:rPr>
        <w:t>乙方承诺</w:t>
      </w:r>
      <w:r>
        <w:rPr>
          <w:rFonts w:hint="eastAsia" w:ascii="方正仿宋_GBK" w:hAnsi="方正仿宋_GBK" w:eastAsia="方正仿宋_GBK" w:cs="方正仿宋_GBK"/>
          <w:sz w:val="24"/>
        </w:rPr>
        <w:t>：</w:t>
      </w:r>
    </w:p>
    <w:p w14:paraId="55769EB7">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1.提供相关产品或是服务不赚取暴利。</w:t>
      </w:r>
    </w:p>
    <w:p w14:paraId="28E8B4E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2.承诺不向贵院工作人员赠送礼金、有价证券等。</w:t>
      </w:r>
    </w:p>
    <w:p w14:paraId="1E77A41E">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3.承诺不安排贵院工作人员旅游或是安排吃请。</w:t>
      </w:r>
    </w:p>
    <w:p w14:paraId="404A9F9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4.严格履行合同，确保质量。</w:t>
      </w:r>
    </w:p>
    <w:p w14:paraId="42E72E08">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5.在代理项目采购服务过程中，不泄密，不得有营私舞弊，不与投标供应商有不正当行为。</w:t>
      </w:r>
    </w:p>
    <w:p w14:paraId="1BCC8B3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若发生以上行为，我公司自愿解除合同，并对相关责任人按照纪律、法规予以处理。</w:t>
      </w:r>
    </w:p>
    <w:p w14:paraId="6FD4A441">
      <w:pPr>
        <w:adjustRightInd w:val="0"/>
        <w:snapToGrid w:val="0"/>
        <w:spacing w:line="400" w:lineRule="exact"/>
        <w:ind w:firstLine="480" w:firstLineChars="200"/>
        <w:rPr>
          <w:rFonts w:ascii="方正仿宋_GBK" w:hAnsi="方正仿宋_GBK" w:eastAsia="方正仿宋_GBK" w:cs="方正仿宋_GBK"/>
          <w:sz w:val="24"/>
        </w:rPr>
      </w:pPr>
    </w:p>
    <w:p w14:paraId="6E329297">
      <w:pPr>
        <w:adjustRightInd w:val="0"/>
        <w:snapToGrid w:val="0"/>
        <w:spacing w:line="400" w:lineRule="exact"/>
        <w:ind w:firstLine="480" w:firstLineChars="200"/>
        <w:rPr>
          <w:rFonts w:ascii="方正仿宋_GBK" w:hAnsi="方正仿宋_GBK" w:eastAsia="方正仿宋_GBK" w:cs="方正仿宋_GBK"/>
          <w:sz w:val="24"/>
        </w:rPr>
      </w:pPr>
    </w:p>
    <w:p w14:paraId="00335F0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乙方法人(授权代表）：               单位公章</w:t>
      </w:r>
    </w:p>
    <w:p w14:paraId="6BC64CE1">
      <w:pPr>
        <w:adjustRightInd w:val="0"/>
        <w:snapToGrid w:val="0"/>
        <w:spacing w:line="400" w:lineRule="exact"/>
        <w:ind w:firstLine="480" w:firstLineChars="200"/>
        <w:rPr>
          <w:rFonts w:ascii="方正仿宋_GBK" w:hAnsi="方正仿宋_GBK" w:eastAsia="方正仿宋_GBK" w:cs="方正仿宋_GBK"/>
          <w:sz w:val="24"/>
        </w:rPr>
      </w:pPr>
    </w:p>
    <w:p w14:paraId="28E40C2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该承诺作为合同的附件。</w:t>
      </w:r>
    </w:p>
    <w:p w14:paraId="31F9A276">
      <w:pPr>
        <w:adjustRightInd w:val="0"/>
        <w:snapToGrid w:val="0"/>
        <w:spacing w:line="400" w:lineRule="exact"/>
        <w:ind w:firstLine="480" w:firstLineChars="200"/>
        <w:rPr>
          <w:rFonts w:ascii="方正仿宋_GBK" w:hAnsi="方正仿宋_GBK" w:eastAsia="方正仿宋_GBK" w:cs="方正仿宋_GBK"/>
          <w:sz w:val="24"/>
        </w:rPr>
      </w:pPr>
    </w:p>
    <w:p w14:paraId="01EB440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B7B405D">
      <w:pPr>
        <w:adjustRightInd w:val="0"/>
        <w:snapToGrid w:val="0"/>
        <w:spacing w:line="400" w:lineRule="exact"/>
        <w:jc w:val="center"/>
        <w:rPr>
          <w:rFonts w:ascii="方正仿宋_GBK" w:hAnsi="方正仿宋_GBK" w:eastAsia="方正仿宋_GBK" w:cs="方正仿宋_GBK"/>
          <w:b/>
          <w:bCs/>
          <w:snapToGrid w:val="0"/>
          <w:sz w:val="24"/>
        </w:rPr>
      </w:pPr>
    </w:p>
    <w:p w14:paraId="6A735DE6">
      <w:pPr>
        <w:adjustRightInd w:val="0"/>
        <w:snapToGrid w:val="0"/>
        <w:spacing w:line="400" w:lineRule="exact"/>
        <w:jc w:val="center"/>
        <w:rPr>
          <w:rFonts w:ascii="方正仿宋_GBK" w:hAnsi="方正仿宋_GBK" w:eastAsia="方正仿宋_GBK" w:cs="方正仿宋_GBK"/>
          <w:b/>
          <w:bCs/>
          <w:snapToGrid w:val="0"/>
          <w:sz w:val="24"/>
        </w:rPr>
      </w:pPr>
    </w:p>
    <w:p w14:paraId="134ED6DF">
      <w:pPr>
        <w:adjustRightInd w:val="0"/>
        <w:snapToGrid w:val="0"/>
        <w:spacing w:line="400" w:lineRule="exact"/>
        <w:rPr>
          <w:rFonts w:ascii="方正仿宋_GBK" w:hAnsi="方正仿宋_GBK" w:eastAsia="方正仿宋_GBK" w:cs="方正仿宋_GBK"/>
          <w:sz w:val="24"/>
        </w:rPr>
      </w:pPr>
      <w:bookmarkStart w:id="321" w:name="_Hlt41879464"/>
      <w:bookmarkEnd w:id="321"/>
      <w:bookmarkStart w:id="322" w:name="_Toc429"/>
      <w:bookmarkStart w:id="323" w:name="_Toc17879"/>
      <w:bookmarkStart w:id="324" w:name="_Toc9338"/>
      <w:bookmarkStart w:id="325" w:name="_Toc6342"/>
      <w:bookmarkStart w:id="326" w:name="_Toc15809"/>
      <w:bookmarkStart w:id="327" w:name="_Toc27521"/>
      <w:bookmarkStart w:id="328" w:name="_Toc76462349"/>
      <w:bookmarkStart w:id="329" w:name="_Toc7605"/>
      <w:bookmarkStart w:id="330" w:name="_Toc29379"/>
      <w:bookmarkStart w:id="331" w:name="_Toc19195"/>
      <w:bookmarkStart w:id="332" w:name="_Toc5150"/>
      <w:bookmarkStart w:id="333" w:name="_Toc16351"/>
      <w:bookmarkStart w:id="334" w:name="_Toc2705"/>
      <w:bookmarkStart w:id="335" w:name="_Toc11195"/>
      <w:bookmarkStart w:id="336" w:name="_Toc2393"/>
      <w:bookmarkStart w:id="337" w:name="_Toc23433"/>
      <w:bookmarkStart w:id="338" w:name="_Toc23212"/>
    </w:p>
    <w:p w14:paraId="72ECB997">
      <w:pPr>
        <w:adjustRightInd w:val="0"/>
        <w:snapToGrid w:val="0"/>
      </w:pPr>
      <w:bookmarkStart w:id="339" w:name="_Toc1238316597"/>
    </w:p>
    <w:p w14:paraId="78C3DEFA">
      <w:pPr>
        <w:pStyle w:val="4"/>
        <w:tabs>
          <w:tab w:val="left" w:pos="3360"/>
        </w:tabs>
        <w:adjustRightInd w:val="0"/>
        <w:snapToGrid w:val="0"/>
        <w:spacing w:before="0" w:after="0" w:line="40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第七篇  响应文件编制要求</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7B4C12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一、经济部分</w:t>
      </w:r>
    </w:p>
    <w:p w14:paraId="3CCDF05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（一）竞争性磋商报价函</w:t>
      </w:r>
    </w:p>
    <w:p w14:paraId="4D33FA28">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（二）明细报价表</w:t>
      </w:r>
    </w:p>
    <w:p w14:paraId="454D6DB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二、技术（质量）部分</w:t>
      </w:r>
    </w:p>
    <w:p w14:paraId="10FFCA4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（一）技术（质量）响应偏离表</w:t>
      </w:r>
    </w:p>
    <w:p w14:paraId="32B4CE9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（二）其他资料（格式自定）</w:t>
      </w:r>
    </w:p>
    <w:p w14:paraId="6C9C6C6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三、商务部分</w:t>
      </w:r>
    </w:p>
    <w:p w14:paraId="17944D37">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（一）商务响应偏离表</w:t>
      </w:r>
    </w:p>
    <w:p w14:paraId="45EF4AB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（二）其它优惠服务承诺（格式自定）</w:t>
      </w:r>
    </w:p>
    <w:p w14:paraId="7F8055F2">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四、资格条件及其他</w:t>
      </w:r>
    </w:p>
    <w:p w14:paraId="3609E9F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（一）法人营业执照（副本）或事业单位法人证书（副本）或个体工商户营业执照或有效的自然人身份证明或社会团体法人登记证书复印件</w:t>
      </w:r>
    </w:p>
    <w:p w14:paraId="53A544C3">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（二）法定代表人身份证明书（格式）</w:t>
      </w:r>
    </w:p>
    <w:p w14:paraId="4CFC560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（三）法定代表人授权委托书（格式）</w:t>
      </w:r>
    </w:p>
    <w:p w14:paraId="0CF86693">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（四）基本资格条件承诺函（格式）</w:t>
      </w:r>
    </w:p>
    <w:p w14:paraId="7BDE18CC">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（五）特定资格条件证书或证明文件</w:t>
      </w:r>
    </w:p>
    <w:p w14:paraId="13B6A2E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五、其他资料</w:t>
      </w:r>
    </w:p>
    <w:p w14:paraId="28C0DDB6">
      <w:pPr>
        <w:adjustRightInd w:val="0"/>
        <w:snapToGrid w:val="0"/>
        <w:spacing w:line="400" w:lineRule="exact"/>
        <w:ind w:firstLine="480" w:firstLineChars="200"/>
        <w:rPr>
          <w:rFonts w:ascii="方正仿宋_GBK" w:hAnsi="方正仿宋_GBK" w:eastAsia="方正仿宋_GBK" w:cs="方正仿宋_GBK"/>
          <w:b/>
          <w:sz w:val="24"/>
        </w:rPr>
      </w:pPr>
      <w:r>
        <w:rPr>
          <w:rFonts w:hint="eastAsia" w:ascii="方正仿宋_GBK" w:hAnsi="方正仿宋_GBK" w:eastAsia="方正仿宋_GBK" w:cs="方正仿宋_GBK"/>
          <w:sz w:val="24"/>
        </w:rPr>
        <w:t>（一）中小企业声明函、监狱企业证明文件、残疾人福利性单位声明函</w:t>
      </w:r>
    </w:p>
    <w:p w14:paraId="1A2EE60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（二）其他与项目有关的资料</w:t>
      </w:r>
    </w:p>
    <w:p w14:paraId="31947606">
      <w:pPr>
        <w:adjustRightInd w:val="0"/>
        <w:snapToGrid w:val="0"/>
        <w:spacing w:line="400" w:lineRule="exact"/>
        <w:rPr>
          <w:rFonts w:ascii="方正仿宋_GBK" w:hAnsi="方正仿宋_GBK" w:eastAsia="方正仿宋_GBK" w:cs="方正仿宋_GBK"/>
          <w:sz w:val="24"/>
          <w:bdr w:val="single" w:color="auto" w:sz="4" w:space="0"/>
        </w:rPr>
        <w:sectPr>
          <w:pgSz w:w="11906" w:h="16838"/>
          <w:pgMar w:top="1440" w:right="1800" w:bottom="1440" w:left="1800" w:header="851" w:footer="992" w:gutter="0"/>
          <w:cols w:space="425" w:num="1"/>
          <w:docGrid w:type="lines" w:linePitch="312" w:charSpace="0"/>
        </w:sectPr>
      </w:pPr>
    </w:p>
    <w:p w14:paraId="53B26C76">
      <w:pPr>
        <w:pStyle w:val="5"/>
        <w:adjustRightInd w:val="0"/>
        <w:snapToGrid w:val="0"/>
        <w:spacing w:before="0" w:after="0" w:line="400" w:lineRule="exact"/>
        <w:jc w:val="left"/>
        <w:rPr>
          <w:rFonts w:ascii="方正仿宋_GBK" w:hAnsi="方正仿宋_GBK" w:eastAsia="方正仿宋_GBK" w:cs="方正仿宋_GBK"/>
          <w:sz w:val="24"/>
        </w:rPr>
      </w:pPr>
      <w:bookmarkStart w:id="340" w:name="_Toc21652"/>
      <w:bookmarkStart w:id="341" w:name="_Toc32301"/>
      <w:bookmarkStart w:id="342" w:name="_Toc13221"/>
      <w:bookmarkStart w:id="343" w:name="_Toc31455"/>
      <w:bookmarkStart w:id="344" w:name="_Toc27684"/>
      <w:bookmarkStart w:id="345" w:name="_Toc342913419"/>
      <w:bookmarkStart w:id="346" w:name="_Toc1452962608"/>
      <w:bookmarkStart w:id="347" w:name="_Toc5655"/>
      <w:bookmarkStart w:id="348" w:name="_Toc30801"/>
      <w:bookmarkStart w:id="349" w:name="_Toc17915"/>
      <w:bookmarkStart w:id="350" w:name="_Toc313008356"/>
      <w:bookmarkStart w:id="351" w:name="_Toc16224"/>
      <w:bookmarkStart w:id="352" w:name="_Toc32046"/>
      <w:bookmarkStart w:id="353" w:name="_Toc15773"/>
      <w:bookmarkStart w:id="354" w:name="_Toc313888360"/>
      <w:bookmarkStart w:id="355" w:name="_Toc14916"/>
      <w:bookmarkStart w:id="356" w:name="_Toc18885"/>
      <w:bookmarkStart w:id="357" w:name="_Toc12292"/>
      <w:bookmarkStart w:id="358" w:name="_Toc76462350"/>
      <w:bookmarkStart w:id="359" w:name="_Toc19492"/>
      <w:bookmarkStart w:id="360" w:name="_Toc13366"/>
      <w:bookmarkStart w:id="361" w:name="_Toc283382454"/>
      <w:bookmarkStart w:id="362" w:name="_Toc12789073"/>
      <w:r>
        <w:rPr>
          <w:rFonts w:hint="eastAsia" w:ascii="方正仿宋_GBK" w:hAnsi="方正仿宋_GBK" w:eastAsia="方正仿宋_GBK" w:cs="方正仿宋_GBK"/>
          <w:sz w:val="24"/>
        </w:rPr>
        <w:t>一、经济部分</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14:paraId="6EA942D5">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（一）竞争性磋商报价函</w:t>
      </w:r>
    </w:p>
    <w:p w14:paraId="253A8313">
      <w:pPr>
        <w:adjustRightInd w:val="0"/>
        <w:snapToGrid w:val="0"/>
        <w:spacing w:line="40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竞争性磋商报价函</w:t>
      </w:r>
    </w:p>
    <w:p w14:paraId="202FAB8E">
      <w:pPr>
        <w:tabs>
          <w:tab w:val="left" w:pos="6300"/>
        </w:tabs>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（采购人名称）</w:t>
      </w:r>
      <w:r>
        <w:rPr>
          <w:rFonts w:hint="eastAsia" w:ascii="方正仿宋_GBK" w:hAnsi="方正仿宋_GBK" w:eastAsia="方正仿宋_GBK" w:cs="方正仿宋_GBK"/>
          <w:sz w:val="24"/>
        </w:rPr>
        <w:t>：</w:t>
      </w:r>
    </w:p>
    <w:p w14:paraId="2AABB6FC">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我方收到____________________________（磋商项目名称）的竞争性磋商文件，经详细研究，决定参加该项目的磋商。</w:t>
      </w:r>
    </w:p>
    <w:p w14:paraId="2B99C2A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1.愿意按照竞争性磋商文件中的一切要求，提供本项目的服务，报价折扣如下：</w:t>
      </w:r>
    </w:p>
    <w:p w14:paraId="4E5BC968">
      <w:pPr>
        <w:tabs>
          <w:tab w:val="left" w:pos="6300"/>
        </w:tabs>
        <w:adjustRightInd w:val="0"/>
        <w:snapToGrid w:val="0"/>
        <w:spacing w:line="400" w:lineRule="exact"/>
        <w:ind w:firstLine="480" w:firstLineChars="20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采购代理服务折扣报价为大写：</w:t>
      </w:r>
      <w:r>
        <w:rPr>
          <w:rFonts w:hint="eastAsia" w:ascii="方正仿宋_GBK" w:hAnsi="方正仿宋_GBK" w:eastAsia="方正仿宋_GBK" w:cs="方正仿宋_GBK"/>
          <w:sz w:val="24"/>
          <w:u w:val="single"/>
        </w:rPr>
        <w:t xml:space="preserve"> 百分之        </w:t>
      </w:r>
      <w:r>
        <w:rPr>
          <w:rFonts w:hint="eastAsia" w:ascii="方正仿宋_GBK" w:hAnsi="方正仿宋_GBK" w:eastAsia="方正仿宋_GBK" w:cs="方正仿宋_GBK"/>
          <w:sz w:val="24"/>
        </w:rPr>
        <w:t>；折扣小写：</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23A70D4A">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2.我方现提交的响应文件为：响应文件正本</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份，副本</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份。</w:t>
      </w:r>
    </w:p>
    <w:p w14:paraId="0663A365">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3.我方承诺：本次磋商的有效期为提交响应文件截止时间起90天。</w:t>
      </w:r>
    </w:p>
    <w:p w14:paraId="2FBFFE3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4.我方完全理解和接受贵方竞争性磋商文件的一切规定和要求及评审办法。</w:t>
      </w:r>
    </w:p>
    <w:p w14:paraId="3ADB3192">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5.在整个竞争性磋商过程中，我方若有违规行为，接受按照《中华人民共和国政府采购法》和《竞争性磋商文件》之规定给予惩罚。</w:t>
      </w:r>
    </w:p>
    <w:p w14:paraId="228CB0D3">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6.我方若成为成交供应商，将按照最终磋商结果签订合同，并且严格履行合同义务。本承诺函将成为合同不可分割的一部分，与合同具有同等的法律效力。</w:t>
      </w:r>
    </w:p>
    <w:p w14:paraId="51D320AF">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7.如果我方成为成交供应商，保证在接到成交通知书后，向采购代理机构缴纳竞争性磋商文件规定的采购代理服务费。</w:t>
      </w:r>
    </w:p>
    <w:p w14:paraId="76513B9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8.我方未为采购项目提供整体设计、规范编制或者项目管理、监理、检测等服务。</w:t>
      </w:r>
    </w:p>
    <w:p w14:paraId="5E14391F">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供应商（公章）或自然人签署：</w:t>
      </w:r>
    </w:p>
    <w:p w14:paraId="22A44E37">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地址：  </w:t>
      </w:r>
    </w:p>
    <w:p w14:paraId="61CEF424">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电话：                                             传真：</w:t>
      </w:r>
    </w:p>
    <w:p w14:paraId="255E598E">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网址：                                             邮编：</w:t>
      </w:r>
    </w:p>
    <w:p w14:paraId="0EC5AC36">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p w14:paraId="6F6C834D">
      <w:pPr>
        <w:adjustRightInd w:val="0"/>
        <w:snapToGrid w:val="0"/>
        <w:spacing w:line="400" w:lineRule="exact"/>
        <w:ind w:firstLine="480" w:firstLineChars="200"/>
        <w:rPr>
          <w:rFonts w:ascii="方正仿宋_GBK" w:hAnsi="方正仿宋_GBK" w:eastAsia="方正仿宋_GBK" w:cs="方正仿宋_GBK"/>
          <w:sz w:val="24"/>
        </w:rPr>
        <w:sectPr>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24"/>
        </w:rPr>
        <w:t xml:space="preserve">                                                  年   月   日</w:t>
      </w:r>
    </w:p>
    <w:p w14:paraId="3C8644F1">
      <w:pPr>
        <w:pStyle w:val="5"/>
        <w:adjustRightInd w:val="0"/>
        <w:snapToGrid w:val="0"/>
        <w:spacing w:before="0" w:after="0" w:line="400" w:lineRule="exact"/>
        <w:jc w:val="left"/>
        <w:rPr>
          <w:rFonts w:ascii="方正仿宋_GBK" w:hAnsi="方正仿宋_GBK" w:eastAsia="方正仿宋_GBK" w:cs="方正仿宋_GBK"/>
          <w:sz w:val="24"/>
        </w:rPr>
      </w:pPr>
      <w:bookmarkStart w:id="363" w:name="_Toc23625"/>
      <w:bookmarkStart w:id="364" w:name="_Toc31255"/>
      <w:bookmarkStart w:id="365" w:name="_Toc25411"/>
      <w:bookmarkStart w:id="366" w:name="_Toc16376"/>
      <w:bookmarkStart w:id="367" w:name="_Toc22313"/>
      <w:bookmarkStart w:id="368" w:name="_Toc313888361"/>
      <w:bookmarkStart w:id="369" w:name="_Toc26593"/>
      <w:bookmarkStart w:id="370" w:name="_Toc11754"/>
      <w:bookmarkStart w:id="371" w:name="_Toc25494"/>
      <w:bookmarkStart w:id="372" w:name="_Toc342913420"/>
      <w:bookmarkStart w:id="373" w:name="_Toc4111"/>
      <w:bookmarkStart w:id="374" w:name="_Toc19994"/>
      <w:bookmarkStart w:id="375" w:name="_Toc1632059297"/>
      <w:bookmarkStart w:id="376" w:name="_Toc28779"/>
      <w:bookmarkStart w:id="377" w:name="_Toc7071"/>
      <w:bookmarkStart w:id="378" w:name="_Toc29582"/>
      <w:bookmarkStart w:id="379" w:name="_Toc313008357"/>
      <w:bookmarkStart w:id="380" w:name="_Toc12788"/>
      <w:bookmarkStart w:id="381" w:name="_Toc32746"/>
      <w:bookmarkStart w:id="382" w:name="_Toc18490"/>
      <w:bookmarkStart w:id="383" w:name="_Toc76462351"/>
      <w:r>
        <w:rPr>
          <w:rFonts w:hint="eastAsia" w:ascii="方正仿宋_GBK" w:hAnsi="方正仿宋_GBK" w:eastAsia="方正仿宋_GBK" w:cs="方正仿宋_GBK"/>
          <w:sz w:val="24"/>
        </w:rPr>
        <w:t>二、技术（质量）部分</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90816D3">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（一）技术（质量）响应偏离表</w:t>
      </w:r>
    </w:p>
    <w:p w14:paraId="380A778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项目号：                                </w:t>
      </w:r>
    </w:p>
    <w:p w14:paraId="62B409E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磋商项目名称：</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6"/>
        <w:gridCol w:w="2727"/>
        <w:gridCol w:w="2044"/>
      </w:tblGrid>
      <w:tr w14:paraId="0E9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3DC46FB4">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541" w:type="pct"/>
            <w:vAlign w:val="center"/>
          </w:tcPr>
          <w:p w14:paraId="4B0D110C">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项目技术（质量）需求</w:t>
            </w:r>
          </w:p>
        </w:tc>
        <w:tc>
          <w:tcPr>
            <w:tcW w:w="1600" w:type="pct"/>
            <w:vAlign w:val="center"/>
          </w:tcPr>
          <w:p w14:paraId="791005C3">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响应情况</w:t>
            </w:r>
          </w:p>
        </w:tc>
        <w:tc>
          <w:tcPr>
            <w:tcW w:w="1199" w:type="pct"/>
            <w:vAlign w:val="center"/>
          </w:tcPr>
          <w:p w14:paraId="75290998">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差异说明</w:t>
            </w:r>
          </w:p>
        </w:tc>
      </w:tr>
      <w:tr w14:paraId="59DF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73C5B17">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5DB050AD">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509656D1">
            <w:pPr>
              <w:tabs>
                <w:tab w:val="left" w:pos="6300"/>
              </w:tabs>
              <w:adjustRightInd w:val="0"/>
              <w:snapToGrid w:val="0"/>
              <w:spacing w:line="400" w:lineRule="exact"/>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提醒：请注明具体内容以及响应文件中具体内容的位置（页码）</w:t>
            </w:r>
          </w:p>
        </w:tc>
        <w:tc>
          <w:tcPr>
            <w:tcW w:w="1199" w:type="pct"/>
            <w:vAlign w:val="center"/>
          </w:tcPr>
          <w:p w14:paraId="72D62B2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4309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0050BF6">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02848E71">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3A472E69">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1950436E">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287C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2E938F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76313B0F">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4A850368">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71959654">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0D3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0D3803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2F61885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7BED1B51">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07D8F3D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22FB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09184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2653D41E">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03B01111">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3CAE9E0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6601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EF8412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79CBC7D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34F52C27">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0EA64EE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5310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E6C1911">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0E1A75CA">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6797FF3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5CE88B36">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70FA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291D149">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07CEF8F4">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1636F81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6C4DC14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3D17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35393AD">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65324E0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7C3F7ABC">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00A5771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616B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1500E8">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541" w:type="pct"/>
            <w:vAlign w:val="center"/>
          </w:tcPr>
          <w:p w14:paraId="6454AD9E">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600" w:type="pct"/>
            <w:vAlign w:val="center"/>
          </w:tcPr>
          <w:p w14:paraId="6626A086">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1199" w:type="pct"/>
            <w:vAlign w:val="center"/>
          </w:tcPr>
          <w:p w14:paraId="3880BA56">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bl>
    <w:p w14:paraId="7E05E9DD">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470A08C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31CDC712">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7AEF99FB">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69A7790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0DCCBA9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3E703A27">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1.本表即为对本项目“第二篇  项目技术（质量）需求”中所列条款进行比较和响应；</w:t>
      </w:r>
    </w:p>
    <w:p w14:paraId="78A57F9A">
      <w:pPr>
        <w:adjustRightInd w:val="0"/>
        <w:snapToGrid w:val="0"/>
        <w:spacing w:line="40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45032F88">
      <w:pPr>
        <w:adjustRightInd w:val="0"/>
        <w:snapToGrid w:val="0"/>
        <w:spacing w:line="400" w:lineRule="exact"/>
        <w:ind w:firstLine="480" w:firstLineChars="200"/>
        <w:jc w:val="left"/>
        <w:rPr>
          <w:rFonts w:ascii="方正仿宋_GBK" w:hAnsi="方正仿宋_GBK" w:eastAsia="方正仿宋_GBK" w:cs="方正仿宋_GBK"/>
          <w:sz w:val="24"/>
        </w:rPr>
      </w:pPr>
    </w:p>
    <w:p w14:paraId="4BB1BE42">
      <w:pPr>
        <w:adjustRightInd w:val="0"/>
        <w:snapToGrid w:val="0"/>
        <w:spacing w:line="400" w:lineRule="exact"/>
        <w:ind w:firstLine="480" w:firstLineChars="200"/>
        <w:jc w:val="left"/>
        <w:rPr>
          <w:rFonts w:ascii="方正仿宋_GBK" w:hAnsi="方正仿宋_GBK" w:eastAsia="方正仿宋_GBK" w:cs="方正仿宋_GBK"/>
          <w:sz w:val="24"/>
        </w:rPr>
      </w:pPr>
    </w:p>
    <w:p w14:paraId="5042A6EF">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（二）其他资料（格式自定）</w:t>
      </w:r>
    </w:p>
    <w:p w14:paraId="30559E7C">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3665B17F">
      <w:pPr>
        <w:pStyle w:val="5"/>
        <w:adjustRightInd w:val="0"/>
        <w:snapToGrid w:val="0"/>
        <w:spacing w:before="0" w:after="0" w:line="40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b w:val="0"/>
          <w:sz w:val="24"/>
        </w:rPr>
        <w:br w:type="page"/>
      </w:r>
      <w:bookmarkStart w:id="384" w:name="_Toc2576"/>
      <w:bookmarkStart w:id="385" w:name="_Toc313008358"/>
      <w:bookmarkStart w:id="386" w:name="_Toc26398"/>
      <w:bookmarkStart w:id="387" w:name="_Toc26647"/>
      <w:bookmarkStart w:id="388" w:name="_Toc313888362"/>
      <w:bookmarkStart w:id="389" w:name="_Toc606767355"/>
      <w:bookmarkStart w:id="390" w:name="_Toc342913421"/>
      <w:bookmarkStart w:id="391" w:name="_Toc28240"/>
      <w:bookmarkStart w:id="392" w:name="_Toc22505"/>
      <w:bookmarkStart w:id="393" w:name="_Toc21216"/>
      <w:bookmarkStart w:id="394" w:name="_Toc29761"/>
      <w:bookmarkStart w:id="395" w:name="_Toc21538"/>
      <w:bookmarkStart w:id="396" w:name="_Toc76462352"/>
      <w:bookmarkStart w:id="397" w:name="_Toc9093"/>
      <w:bookmarkStart w:id="398" w:name="_Toc573"/>
      <w:bookmarkStart w:id="399" w:name="_Toc28099"/>
      <w:bookmarkStart w:id="400" w:name="_Toc29841"/>
      <w:bookmarkStart w:id="401" w:name="_Toc520"/>
      <w:bookmarkStart w:id="402" w:name="_Toc19297"/>
      <w:bookmarkStart w:id="403" w:name="_Toc6238"/>
      <w:bookmarkStart w:id="404" w:name="_Toc9936"/>
      <w:r>
        <w:rPr>
          <w:rFonts w:hint="eastAsia" w:ascii="方正仿宋_GBK" w:hAnsi="方正仿宋_GBK" w:eastAsia="方正仿宋_GBK" w:cs="方正仿宋_GBK"/>
          <w:sz w:val="24"/>
        </w:rPr>
        <w:t>三、商务部分</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7E0B9BE9">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（一）商务响应偏离表</w:t>
      </w:r>
    </w:p>
    <w:p w14:paraId="224C82EB">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项目号：                                </w:t>
      </w:r>
    </w:p>
    <w:p w14:paraId="7CD7A3D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磋商项目名称：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9EB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38B393C">
            <w:pPr>
              <w:adjustRightInd w:val="0"/>
              <w:snapToGrid w:val="0"/>
              <w:spacing w:line="400" w:lineRule="exact"/>
              <w:ind w:firstLine="465"/>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3179" w:type="dxa"/>
            <w:vAlign w:val="center"/>
          </w:tcPr>
          <w:p w14:paraId="1E1365CF">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项目商务需求</w:t>
            </w:r>
          </w:p>
        </w:tc>
        <w:tc>
          <w:tcPr>
            <w:tcW w:w="2434" w:type="dxa"/>
            <w:vAlign w:val="center"/>
          </w:tcPr>
          <w:p w14:paraId="7F2B0CE6">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响应情况</w:t>
            </w:r>
          </w:p>
        </w:tc>
        <w:tc>
          <w:tcPr>
            <w:tcW w:w="2355" w:type="dxa"/>
            <w:vAlign w:val="center"/>
          </w:tcPr>
          <w:p w14:paraId="443571BC">
            <w:pPr>
              <w:tabs>
                <w:tab w:val="left" w:pos="6300"/>
              </w:tabs>
              <w:adjustRightInd w:val="0"/>
              <w:snapToGrid w:val="0"/>
              <w:spacing w:line="400" w:lineRule="exact"/>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偏离说明</w:t>
            </w:r>
          </w:p>
        </w:tc>
      </w:tr>
      <w:tr w14:paraId="3082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E5C9D8">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4E06367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453394B8">
            <w:pPr>
              <w:tabs>
                <w:tab w:val="left" w:pos="6300"/>
              </w:tabs>
              <w:adjustRightInd w:val="0"/>
              <w:snapToGrid w:val="0"/>
              <w:spacing w:line="400" w:lineRule="exact"/>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提醒：请注明具体内容以及响应文件中具体内容的位置（页码）</w:t>
            </w:r>
          </w:p>
        </w:tc>
        <w:tc>
          <w:tcPr>
            <w:tcW w:w="2355" w:type="dxa"/>
            <w:vAlign w:val="center"/>
          </w:tcPr>
          <w:p w14:paraId="76F1035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710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C3A6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09BF1EC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2861BD6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355" w:type="dxa"/>
            <w:vAlign w:val="center"/>
          </w:tcPr>
          <w:p w14:paraId="71FA5BE8">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36E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9F67D1">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2E11AE00">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09121169">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355" w:type="dxa"/>
            <w:vAlign w:val="center"/>
          </w:tcPr>
          <w:p w14:paraId="0A70035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7F0C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4BABEF">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1C339F6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284890A6">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355" w:type="dxa"/>
            <w:vAlign w:val="center"/>
          </w:tcPr>
          <w:p w14:paraId="4CF0F257">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6F30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853005">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23F13A7F">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72E8CD42">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355" w:type="dxa"/>
            <w:vAlign w:val="center"/>
          </w:tcPr>
          <w:p w14:paraId="26C2660B">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r w14:paraId="5D3B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2289A8">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3179" w:type="dxa"/>
            <w:vAlign w:val="center"/>
          </w:tcPr>
          <w:p w14:paraId="2FC32BDC">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434" w:type="dxa"/>
            <w:vAlign w:val="center"/>
          </w:tcPr>
          <w:p w14:paraId="7464B0E3">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c>
          <w:tcPr>
            <w:tcW w:w="2355" w:type="dxa"/>
            <w:vAlign w:val="center"/>
          </w:tcPr>
          <w:p w14:paraId="2A8A5E3F">
            <w:pPr>
              <w:tabs>
                <w:tab w:val="left" w:pos="6300"/>
              </w:tabs>
              <w:adjustRightInd w:val="0"/>
              <w:snapToGrid w:val="0"/>
              <w:spacing w:line="400" w:lineRule="exact"/>
              <w:jc w:val="center"/>
              <w:outlineLvl w:val="0"/>
              <w:rPr>
                <w:rFonts w:ascii="方正仿宋_GBK" w:hAnsi="方正仿宋_GBK" w:eastAsia="方正仿宋_GBK" w:cs="方正仿宋_GBK"/>
                <w:sz w:val="24"/>
              </w:rPr>
            </w:pPr>
          </w:p>
        </w:tc>
      </w:tr>
    </w:tbl>
    <w:p w14:paraId="6F17619A">
      <w:pPr>
        <w:adjustRightInd w:val="0"/>
        <w:snapToGrid w:val="0"/>
        <w:spacing w:line="400" w:lineRule="exact"/>
        <w:ind w:firstLine="465"/>
        <w:rPr>
          <w:rFonts w:ascii="方正仿宋_GBK" w:hAnsi="方正仿宋_GBK" w:eastAsia="方正仿宋_GBK" w:cs="方正仿宋_GBK"/>
          <w:sz w:val="24"/>
        </w:rPr>
      </w:pPr>
    </w:p>
    <w:p w14:paraId="78E482E0">
      <w:pPr>
        <w:tabs>
          <w:tab w:val="left" w:pos="6300"/>
        </w:tabs>
        <w:adjustRightInd w:val="0"/>
        <w:snapToGrid w:val="0"/>
        <w:spacing w:line="400" w:lineRule="exact"/>
        <w:rPr>
          <w:rFonts w:ascii="方正仿宋_GBK" w:hAnsi="方正仿宋_GBK" w:eastAsia="方正仿宋_GBK" w:cs="方正仿宋_GBK"/>
          <w:sz w:val="24"/>
        </w:rPr>
      </w:pPr>
    </w:p>
    <w:p w14:paraId="3E4F27DC">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340DC02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0FC6980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75B3246D">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1.本表即为对本项目“第三篇  项目商务需求”中所列条款进行比较和响应；</w:t>
      </w:r>
    </w:p>
    <w:p w14:paraId="2A1717FD">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70ACD700">
      <w:pPr>
        <w:adjustRightInd w:val="0"/>
        <w:snapToGrid w:val="0"/>
        <w:spacing w:line="400" w:lineRule="exact"/>
        <w:ind w:firstLine="482" w:firstLineChars="200"/>
        <w:rPr>
          <w:rFonts w:ascii="方正仿宋_GBK" w:hAnsi="方正仿宋_GBK" w:eastAsia="方正仿宋_GBK" w:cs="方正仿宋_GBK"/>
          <w:b/>
          <w:sz w:val="24"/>
        </w:rPr>
        <w:sectPr>
          <w:headerReference r:id="rId3" w:type="default"/>
          <w:pgSz w:w="11906" w:h="16838"/>
          <w:pgMar w:top="1440" w:right="1800" w:bottom="1440" w:left="1800" w:header="851" w:footer="992" w:gutter="0"/>
          <w:pgNumType w:fmt="numberInDash"/>
          <w:cols w:space="425" w:num="1"/>
          <w:docGrid w:type="lines" w:linePitch="312" w:charSpace="0"/>
        </w:sectPr>
      </w:pPr>
    </w:p>
    <w:p w14:paraId="07AC557E">
      <w:pPr>
        <w:adjustRightInd w:val="0"/>
        <w:snapToGrid w:val="0"/>
        <w:spacing w:line="400" w:lineRule="exact"/>
        <w:ind w:firstLine="480" w:firstLineChars="200"/>
        <w:rPr>
          <w:rFonts w:ascii="方正仿宋_GBK" w:hAnsi="方正仿宋_GBK" w:eastAsia="方正仿宋_GBK" w:cs="方正仿宋_GBK"/>
          <w:sz w:val="24"/>
        </w:rPr>
      </w:pPr>
      <w:bookmarkStart w:id="405" w:name="_Toc283382459"/>
      <w:r>
        <w:rPr>
          <w:rFonts w:hint="eastAsia" w:ascii="方正仿宋_GBK" w:hAnsi="方正仿宋_GBK" w:eastAsia="方正仿宋_GBK" w:cs="方正仿宋_GBK"/>
          <w:sz w:val="24"/>
        </w:rPr>
        <w:t>（二）其它优惠承诺（格式自定）</w:t>
      </w:r>
    </w:p>
    <w:p w14:paraId="7731EF02">
      <w:pPr>
        <w:pStyle w:val="5"/>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bookmarkEnd w:id="405"/>
      <w:bookmarkStart w:id="406" w:name="_Toc313008359"/>
      <w:bookmarkStart w:id="407" w:name="_Toc190"/>
      <w:bookmarkStart w:id="408" w:name="_Toc10729"/>
      <w:bookmarkStart w:id="409" w:name="_Toc22916"/>
      <w:bookmarkStart w:id="410" w:name="_Toc12319"/>
      <w:bookmarkStart w:id="411" w:name="_Toc23426"/>
      <w:bookmarkStart w:id="412" w:name="_Toc9472"/>
      <w:bookmarkStart w:id="413" w:name="_Toc19652"/>
      <w:bookmarkStart w:id="414" w:name="_Toc342913422"/>
      <w:bookmarkStart w:id="415" w:name="_Toc76462353"/>
      <w:bookmarkStart w:id="416" w:name="_Toc6829"/>
      <w:bookmarkStart w:id="417" w:name="_Toc21368"/>
      <w:bookmarkStart w:id="418" w:name="_Toc25332"/>
      <w:bookmarkStart w:id="419" w:name="_Toc1742"/>
      <w:bookmarkStart w:id="420" w:name="_Toc4499"/>
      <w:bookmarkStart w:id="421" w:name="_Toc6268"/>
      <w:bookmarkStart w:id="422" w:name="_Toc10514"/>
      <w:bookmarkStart w:id="423" w:name="_Toc313888363"/>
      <w:bookmarkStart w:id="424" w:name="_Toc20384"/>
      <w:bookmarkStart w:id="425" w:name="_Toc963950932"/>
      <w:bookmarkStart w:id="426" w:name="_Toc28090"/>
      <w:r>
        <w:rPr>
          <w:rFonts w:hint="eastAsia" w:ascii="方正仿宋_GBK" w:hAnsi="方正仿宋_GBK" w:eastAsia="方正仿宋_GBK" w:cs="方正仿宋_GBK"/>
          <w:sz w:val="24"/>
        </w:rPr>
        <w:t>四、资格条件</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方正仿宋_GBK" w:hAnsi="方正仿宋_GBK" w:eastAsia="方正仿宋_GBK" w:cs="方正仿宋_GBK"/>
          <w:sz w:val="24"/>
        </w:rPr>
        <w:t>及其他</w:t>
      </w:r>
      <w:bookmarkEnd w:id="425"/>
      <w:bookmarkEnd w:id="426"/>
    </w:p>
    <w:p w14:paraId="1771B745">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（一）法人营业执照（副本）或事业单位法人证书（副本）或个体工商户营业执照或有效的自然人身份证明或社会团体法人登记证书复印件</w:t>
      </w:r>
    </w:p>
    <w:p w14:paraId="2B9D04EA">
      <w:pPr>
        <w:tabs>
          <w:tab w:val="left" w:pos="6300"/>
        </w:tabs>
        <w:adjustRightInd w:val="0"/>
        <w:snapToGrid w:val="0"/>
        <w:spacing w:line="400" w:lineRule="exact"/>
        <w:ind w:firstLine="570"/>
        <w:rPr>
          <w:rFonts w:ascii="方正仿宋_GBK" w:hAnsi="方正仿宋_GBK" w:eastAsia="方正仿宋_GBK" w:cs="方正仿宋_GBK"/>
          <w:sz w:val="24"/>
        </w:rPr>
      </w:pPr>
    </w:p>
    <w:p w14:paraId="06B5DB73">
      <w:pPr>
        <w:tabs>
          <w:tab w:val="left" w:pos="6300"/>
        </w:tabs>
        <w:adjustRightInd w:val="0"/>
        <w:snapToGrid w:val="0"/>
        <w:spacing w:line="400" w:lineRule="exact"/>
        <w:ind w:firstLine="570"/>
        <w:rPr>
          <w:rFonts w:ascii="方正仿宋_GBK" w:hAnsi="方正仿宋_GBK" w:eastAsia="方正仿宋_GBK" w:cs="方正仿宋_GBK"/>
          <w:sz w:val="24"/>
        </w:rPr>
      </w:pPr>
    </w:p>
    <w:p w14:paraId="0CBC0339">
      <w:pPr>
        <w:tabs>
          <w:tab w:val="left" w:pos="6300"/>
        </w:tabs>
        <w:adjustRightInd w:val="0"/>
        <w:snapToGrid w:val="0"/>
        <w:spacing w:line="400" w:lineRule="exact"/>
        <w:ind w:firstLine="570"/>
        <w:rPr>
          <w:rFonts w:ascii="方正仿宋_GBK" w:hAnsi="方正仿宋_GBK" w:eastAsia="方正仿宋_GBK" w:cs="方正仿宋_GBK"/>
          <w:sz w:val="24"/>
        </w:rPr>
      </w:pPr>
    </w:p>
    <w:p w14:paraId="7B5BCDE7">
      <w:pPr>
        <w:tabs>
          <w:tab w:val="left" w:pos="6300"/>
        </w:tabs>
        <w:adjustRightInd w:val="0"/>
        <w:snapToGrid w:val="0"/>
        <w:spacing w:line="400" w:lineRule="exact"/>
        <w:ind w:firstLine="570"/>
        <w:rPr>
          <w:rFonts w:ascii="方正仿宋_GBK" w:hAnsi="方正仿宋_GBK" w:eastAsia="方正仿宋_GBK" w:cs="方正仿宋_GBK"/>
          <w:sz w:val="24"/>
        </w:rPr>
      </w:pPr>
    </w:p>
    <w:p w14:paraId="09D4098A">
      <w:pPr>
        <w:tabs>
          <w:tab w:val="left" w:pos="6300"/>
        </w:tabs>
        <w:adjustRightInd w:val="0"/>
        <w:snapToGrid w:val="0"/>
        <w:spacing w:line="400" w:lineRule="exact"/>
        <w:ind w:firstLine="570"/>
        <w:rPr>
          <w:rFonts w:ascii="方正仿宋_GBK" w:hAnsi="方正仿宋_GBK" w:eastAsia="方正仿宋_GBK" w:cs="方正仿宋_GBK"/>
          <w:sz w:val="24"/>
        </w:rPr>
      </w:pPr>
    </w:p>
    <w:p w14:paraId="1190A62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（二）法定代表人身份证明书（格式）</w:t>
      </w:r>
    </w:p>
    <w:p w14:paraId="03A093F4">
      <w:pPr>
        <w:tabs>
          <w:tab w:val="left" w:pos="6300"/>
        </w:tabs>
        <w:adjustRightInd w:val="0"/>
        <w:snapToGrid w:val="0"/>
        <w:spacing w:line="400" w:lineRule="exact"/>
        <w:ind w:firstLine="570"/>
        <w:rPr>
          <w:rFonts w:ascii="方正仿宋_GBK" w:hAnsi="方正仿宋_GBK" w:eastAsia="方正仿宋_GBK" w:cs="方正仿宋_GBK"/>
          <w:sz w:val="24"/>
        </w:rPr>
      </w:pPr>
    </w:p>
    <w:p w14:paraId="5D0B69F4">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磋商项目名称：</w:t>
      </w:r>
      <w:r>
        <w:rPr>
          <w:rFonts w:hint="eastAsia" w:ascii="方正仿宋_GBK" w:hAnsi="方正仿宋_GBK" w:eastAsia="方正仿宋_GBK" w:cs="方正仿宋_GBK"/>
          <w:sz w:val="24"/>
          <w:u w:val="single"/>
        </w:rPr>
        <w:t xml:space="preserve">                                                </w:t>
      </w:r>
    </w:p>
    <w:p w14:paraId="3E8FF13E">
      <w:pPr>
        <w:tabs>
          <w:tab w:val="left" w:pos="6300"/>
        </w:tabs>
        <w:adjustRightInd w:val="0"/>
        <w:snapToGrid w:val="0"/>
        <w:spacing w:line="400" w:lineRule="exact"/>
        <w:ind w:firstLine="570"/>
        <w:rPr>
          <w:rFonts w:ascii="方正仿宋_GBK" w:hAnsi="方正仿宋_GBK" w:eastAsia="方正仿宋_GBK" w:cs="方正仿宋_GBK"/>
          <w:sz w:val="24"/>
        </w:rPr>
      </w:pPr>
    </w:p>
    <w:p w14:paraId="132567F2">
      <w:pPr>
        <w:tabs>
          <w:tab w:val="left" w:pos="6300"/>
        </w:tabs>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3B6BD29B">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151F2C40">
      <w:pPr>
        <w:tabs>
          <w:tab w:val="left" w:pos="6300"/>
        </w:tabs>
        <w:adjustRightInd w:val="0"/>
        <w:snapToGrid w:val="0"/>
        <w:spacing w:line="400" w:lineRule="exact"/>
        <w:ind w:firstLine="570"/>
        <w:rPr>
          <w:rFonts w:ascii="方正仿宋_GBK" w:hAnsi="方正仿宋_GBK" w:eastAsia="方正仿宋_GBK" w:cs="方正仿宋_GBK"/>
          <w:sz w:val="24"/>
        </w:rPr>
      </w:pPr>
    </w:p>
    <w:p w14:paraId="12641074">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7E0CB85B">
      <w:pPr>
        <w:tabs>
          <w:tab w:val="left" w:pos="6300"/>
        </w:tabs>
        <w:adjustRightInd w:val="0"/>
        <w:snapToGrid w:val="0"/>
        <w:spacing w:line="400" w:lineRule="exact"/>
        <w:ind w:firstLine="570"/>
        <w:rPr>
          <w:rFonts w:ascii="方正仿宋_GBK" w:hAnsi="方正仿宋_GBK" w:eastAsia="方正仿宋_GBK" w:cs="方正仿宋_GBK"/>
          <w:sz w:val="24"/>
        </w:rPr>
      </w:pPr>
    </w:p>
    <w:p w14:paraId="5E1AB1FC">
      <w:pPr>
        <w:tabs>
          <w:tab w:val="left" w:pos="6300"/>
        </w:tabs>
        <w:adjustRightInd w:val="0"/>
        <w:snapToGrid w:val="0"/>
        <w:spacing w:line="400" w:lineRule="exact"/>
        <w:ind w:firstLine="570"/>
        <w:rPr>
          <w:rFonts w:ascii="方正仿宋_GBK" w:hAnsi="方正仿宋_GBK" w:eastAsia="方正仿宋_GBK" w:cs="方正仿宋_GBK"/>
          <w:sz w:val="24"/>
        </w:rPr>
      </w:pPr>
    </w:p>
    <w:p w14:paraId="279C2BBE">
      <w:pPr>
        <w:tabs>
          <w:tab w:val="left" w:pos="6300"/>
        </w:tabs>
        <w:adjustRightInd w:val="0"/>
        <w:snapToGrid w:val="0"/>
        <w:spacing w:line="400" w:lineRule="exact"/>
        <w:ind w:firstLine="570"/>
        <w:rPr>
          <w:rFonts w:ascii="方正仿宋_GBK" w:hAnsi="方正仿宋_GBK" w:eastAsia="方正仿宋_GBK" w:cs="方正仿宋_GBK"/>
          <w:sz w:val="24"/>
        </w:rPr>
      </w:pPr>
    </w:p>
    <w:p w14:paraId="4841F470">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292D9FD7">
      <w:pPr>
        <w:tabs>
          <w:tab w:val="left" w:pos="6300"/>
        </w:tabs>
        <w:adjustRightInd w:val="0"/>
        <w:snapToGrid w:val="0"/>
        <w:spacing w:line="400" w:lineRule="exact"/>
        <w:ind w:firstLine="570"/>
        <w:rPr>
          <w:rFonts w:ascii="方正仿宋_GBK" w:hAnsi="方正仿宋_GBK" w:eastAsia="方正仿宋_GBK" w:cs="方正仿宋_GBK"/>
          <w:sz w:val="24"/>
        </w:rPr>
      </w:pPr>
    </w:p>
    <w:p w14:paraId="5E80C968">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9E8EA2D">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04A962F8">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5319F9CF">
      <w:pPr>
        <w:tabs>
          <w:tab w:val="left" w:pos="6300"/>
        </w:tabs>
        <w:adjustRightInd w:val="0"/>
        <w:snapToGrid w:val="0"/>
        <w:spacing w:line="400" w:lineRule="exact"/>
        <w:ind w:firstLine="570"/>
        <w:rPr>
          <w:rFonts w:ascii="方正仿宋_GBK" w:hAnsi="方正仿宋_GBK" w:eastAsia="方正仿宋_GBK" w:cs="方正仿宋_GBK"/>
          <w:sz w:val="24"/>
        </w:rPr>
      </w:pPr>
    </w:p>
    <w:p w14:paraId="1FB32953">
      <w:pPr>
        <w:tabs>
          <w:tab w:val="left" w:pos="6300"/>
        </w:tabs>
        <w:adjustRightInd w:val="0"/>
        <w:snapToGrid w:val="0"/>
        <w:spacing w:line="400" w:lineRule="exact"/>
        <w:ind w:firstLine="570"/>
        <w:rPr>
          <w:rFonts w:ascii="方正仿宋_GBK" w:hAnsi="方正仿宋_GBK" w:eastAsia="方正仿宋_GBK" w:cs="方正仿宋_GBK"/>
          <w:sz w:val="24"/>
        </w:rPr>
      </w:pPr>
    </w:p>
    <w:p w14:paraId="45ED753B">
      <w:pPr>
        <w:tabs>
          <w:tab w:val="left" w:pos="6300"/>
        </w:tabs>
        <w:adjustRightInd w:val="0"/>
        <w:snapToGrid w:val="0"/>
        <w:spacing w:line="400" w:lineRule="exact"/>
        <w:ind w:firstLine="570"/>
        <w:rPr>
          <w:rFonts w:ascii="方正仿宋_GBK" w:hAnsi="方正仿宋_GBK" w:eastAsia="方正仿宋_GBK" w:cs="方正仿宋_GBK"/>
          <w:sz w:val="24"/>
        </w:rPr>
      </w:pPr>
    </w:p>
    <w:p w14:paraId="525C0786">
      <w:pPr>
        <w:tabs>
          <w:tab w:val="left" w:pos="6300"/>
        </w:tabs>
        <w:adjustRightInd w:val="0"/>
        <w:snapToGrid w:val="0"/>
        <w:spacing w:line="400" w:lineRule="exact"/>
        <w:ind w:firstLine="570"/>
        <w:rPr>
          <w:rFonts w:ascii="方正仿宋_GBK" w:hAnsi="方正仿宋_GBK" w:eastAsia="方正仿宋_GBK" w:cs="方正仿宋_GBK"/>
          <w:sz w:val="24"/>
        </w:rPr>
      </w:pPr>
    </w:p>
    <w:p w14:paraId="0EA2D5C0">
      <w:pPr>
        <w:tabs>
          <w:tab w:val="left" w:pos="6300"/>
        </w:tabs>
        <w:adjustRightInd w:val="0"/>
        <w:snapToGrid w:val="0"/>
        <w:spacing w:line="400" w:lineRule="exact"/>
        <w:ind w:firstLine="570"/>
        <w:rPr>
          <w:rFonts w:ascii="方正仿宋_GBK" w:hAnsi="方正仿宋_GBK" w:eastAsia="方正仿宋_GBK" w:cs="方正仿宋_GBK"/>
          <w:sz w:val="24"/>
        </w:rPr>
      </w:pPr>
    </w:p>
    <w:p w14:paraId="6B51797B">
      <w:pPr>
        <w:tabs>
          <w:tab w:val="left" w:pos="6300"/>
        </w:tabs>
        <w:adjustRightInd w:val="0"/>
        <w:snapToGrid w:val="0"/>
        <w:spacing w:line="400" w:lineRule="exact"/>
        <w:ind w:firstLine="570"/>
        <w:rPr>
          <w:rFonts w:ascii="方正仿宋_GBK" w:hAnsi="方正仿宋_GBK" w:eastAsia="方正仿宋_GBK" w:cs="方正仿宋_GBK"/>
          <w:sz w:val="24"/>
        </w:rPr>
      </w:pPr>
    </w:p>
    <w:p w14:paraId="5A0DE62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br w:type="column"/>
      </w:r>
      <w:r>
        <w:rPr>
          <w:rFonts w:hint="eastAsia" w:ascii="方正仿宋_GBK" w:hAnsi="方正仿宋_GBK" w:eastAsia="方正仿宋_GBK" w:cs="方正仿宋_GBK"/>
          <w:sz w:val="24"/>
        </w:rPr>
        <w:t>（三）法定代表人授权委托书（格式）</w:t>
      </w:r>
    </w:p>
    <w:p w14:paraId="5AA64DB0">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5E07784">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磋商项目名称：</w:t>
      </w:r>
      <w:r>
        <w:rPr>
          <w:rFonts w:hint="eastAsia" w:ascii="方正仿宋_GBK" w:hAnsi="方正仿宋_GBK" w:eastAsia="方正仿宋_GBK" w:cs="方正仿宋_GBK"/>
          <w:sz w:val="24"/>
          <w:u w:val="single"/>
        </w:rPr>
        <w:t xml:space="preserve">                                                </w:t>
      </w:r>
    </w:p>
    <w:p w14:paraId="72310395">
      <w:pPr>
        <w:tabs>
          <w:tab w:val="left" w:pos="6300"/>
        </w:tabs>
        <w:adjustRightInd w:val="0"/>
        <w:snapToGrid w:val="0"/>
        <w:spacing w:line="400" w:lineRule="exact"/>
        <w:ind w:firstLine="570"/>
        <w:rPr>
          <w:rFonts w:ascii="方正仿宋_GBK" w:hAnsi="方正仿宋_GBK" w:eastAsia="方正仿宋_GBK" w:cs="方正仿宋_GBK"/>
          <w:sz w:val="24"/>
        </w:rPr>
      </w:pPr>
    </w:p>
    <w:p w14:paraId="3B950512">
      <w:pPr>
        <w:tabs>
          <w:tab w:val="left" w:pos="6300"/>
        </w:tabs>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1A7149A0">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（身份证号码）代表我单位全权办理上述项目的磋商、签约等具体工作，并签署全部有关文件、协议及合同。</w:t>
      </w:r>
    </w:p>
    <w:p w14:paraId="008ED457">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我单位对被授权人的签署负全部责任。</w:t>
      </w:r>
    </w:p>
    <w:p w14:paraId="7590F5A3">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2F731523">
      <w:pPr>
        <w:tabs>
          <w:tab w:val="left" w:pos="6300"/>
        </w:tabs>
        <w:adjustRightInd w:val="0"/>
        <w:snapToGrid w:val="0"/>
        <w:spacing w:line="400" w:lineRule="exact"/>
        <w:ind w:firstLine="570"/>
        <w:rPr>
          <w:rFonts w:ascii="方正仿宋_GBK" w:hAnsi="方正仿宋_GBK" w:eastAsia="方正仿宋_GBK" w:cs="方正仿宋_GBK"/>
          <w:sz w:val="24"/>
        </w:rPr>
      </w:pPr>
    </w:p>
    <w:p w14:paraId="1327AB7E">
      <w:pPr>
        <w:tabs>
          <w:tab w:val="left" w:pos="6300"/>
        </w:tabs>
        <w:adjustRightInd w:val="0"/>
        <w:snapToGrid w:val="0"/>
        <w:spacing w:line="400" w:lineRule="exact"/>
        <w:ind w:firstLine="570"/>
        <w:rPr>
          <w:rFonts w:ascii="方正仿宋_GBK" w:hAnsi="方正仿宋_GBK" w:eastAsia="方正仿宋_GBK" w:cs="方正仿宋_GBK"/>
          <w:sz w:val="24"/>
        </w:rPr>
      </w:pPr>
    </w:p>
    <w:p w14:paraId="6CECC58D">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7577922D">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（签署或盖章）                                （签署或盖章）</w:t>
      </w:r>
    </w:p>
    <w:p w14:paraId="6EC9FC92">
      <w:pPr>
        <w:tabs>
          <w:tab w:val="left" w:pos="6300"/>
        </w:tabs>
        <w:adjustRightInd w:val="0"/>
        <w:snapToGrid w:val="0"/>
        <w:spacing w:line="400" w:lineRule="exact"/>
        <w:ind w:firstLine="570"/>
        <w:rPr>
          <w:rFonts w:ascii="方正仿宋_GBK" w:hAnsi="方正仿宋_GBK" w:eastAsia="方正仿宋_GBK" w:cs="方正仿宋_GBK"/>
          <w:sz w:val="24"/>
        </w:rPr>
      </w:pPr>
    </w:p>
    <w:p w14:paraId="3411E09A">
      <w:pPr>
        <w:tabs>
          <w:tab w:val="left" w:pos="6300"/>
        </w:tabs>
        <w:adjustRightInd w:val="0"/>
        <w:snapToGrid w:val="0"/>
        <w:spacing w:line="400" w:lineRule="exact"/>
        <w:ind w:firstLine="570"/>
        <w:rPr>
          <w:rFonts w:ascii="方正仿宋_GBK" w:hAnsi="方正仿宋_GBK" w:eastAsia="方正仿宋_GBK" w:cs="方正仿宋_GBK"/>
          <w:sz w:val="24"/>
        </w:rPr>
      </w:pPr>
    </w:p>
    <w:p w14:paraId="5A3B332B">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3ABB9E94">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5A61F6FB">
      <w:pPr>
        <w:tabs>
          <w:tab w:val="left" w:pos="6300"/>
        </w:tabs>
        <w:adjustRightInd w:val="0"/>
        <w:snapToGrid w:val="0"/>
        <w:spacing w:line="400" w:lineRule="exact"/>
        <w:ind w:firstLine="570"/>
        <w:rPr>
          <w:rFonts w:ascii="方正仿宋_GBK" w:hAnsi="方正仿宋_GBK" w:eastAsia="方正仿宋_GBK" w:cs="方正仿宋_GBK"/>
          <w:sz w:val="24"/>
        </w:rPr>
      </w:pPr>
    </w:p>
    <w:p w14:paraId="6A46C39D">
      <w:pPr>
        <w:tabs>
          <w:tab w:val="left" w:pos="6300"/>
        </w:tabs>
        <w:adjustRightInd w:val="0"/>
        <w:snapToGrid w:val="0"/>
        <w:spacing w:line="400" w:lineRule="exact"/>
        <w:ind w:firstLine="570"/>
        <w:rPr>
          <w:rFonts w:ascii="方正仿宋_GBK" w:hAnsi="方正仿宋_GBK" w:eastAsia="方正仿宋_GBK" w:cs="方正仿宋_GBK"/>
          <w:sz w:val="24"/>
        </w:rPr>
      </w:pPr>
    </w:p>
    <w:p w14:paraId="4BC3E37D">
      <w:pPr>
        <w:tabs>
          <w:tab w:val="left" w:pos="6300"/>
        </w:tabs>
        <w:adjustRightInd w:val="0"/>
        <w:snapToGrid w:val="0"/>
        <w:spacing w:line="400" w:lineRule="exact"/>
        <w:ind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60C917E3">
      <w:pPr>
        <w:tabs>
          <w:tab w:val="left" w:pos="6300"/>
        </w:tabs>
        <w:adjustRightInd w:val="0"/>
        <w:snapToGrid w:val="0"/>
        <w:spacing w:line="400" w:lineRule="exact"/>
        <w:ind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191BB315">
      <w:pPr>
        <w:tabs>
          <w:tab w:val="left" w:pos="6300"/>
        </w:tabs>
        <w:adjustRightInd w:val="0"/>
        <w:snapToGrid w:val="0"/>
        <w:spacing w:line="400" w:lineRule="exact"/>
        <w:ind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159C52BF">
      <w:pPr>
        <w:tabs>
          <w:tab w:val="left" w:pos="6300"/>
        </w:tabs>
        <w:adjustRightInd w:val="0"/>
        <w:snapToGrid w:val="0"/>
        <w:spacing w:line="400" w:lineRule="exact"/>
        <w:ind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DD3BBF2">
      <w:pPr>
        <w:tabs>
          <w:tab w:val="left" w:pos="6300"/>
        </w:tabs>
        <w:adjustRightInd w:val="0"/>
        <w:snapToGrid w:val="0"/>
        <w:spacing w:line="400" w:lineRule="exact"/>
        <w:ind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1.若为法定代表人办理并签署响应文件的，不提供此文件。</w:t>
      </w:r>
    </w:p>
    <w:p w14:paraId="33DE8B42">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2.若为联合体参与的，法定代表人授权委托书由联合体主办方</w:t>
      </w:r>
      <w:r>
        <w:rPr>
          <w:rFonts w:hint="eastAsia" w:ascii="方正仿宋_GBK" w:hAnsi="方正仿宋_GBK" w:eastAsia="方正仿宋_GBK" w:cs="方正仿宋_GBK"/>
          <w:kern w:val="0"/>
          <w:sz w:val="24"/>
        </w:rPr>
        <w:t>（主体）</w:t>
      </w:r>
      <w:r>
        <w:rPr>
          <w:rFonts w:hint="eastAsia" w:ascii="方正仿宋_GBK" w:hAnsi="方正仿宋_GBK" w:eastAsia="方正仿宋_GBK" w:cs="方正仿宋_GBK"/>
          <w:sz w:val="24"/>
        </w:rPr>
        <w:t>出具。</w:t>
      </w:r>
    </w:p>
    <w:p w14:paraId="46EAA746">
      <w:pPr>
        <w:tabs>
          <w:tab w:val="left" w:pos="6300"/>
        </w:tabs>
        <w:adjustRightInd w:val="0"/>
        <w:snapToGrid w:val="0"/>
        <w:spacing w:line="4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br w:type="column"/>
      </w:r>
      <w:r>
        <w:rPr>
          <w:rFonts w:hint="eastAsia" w:ascii="方正仿宋_GBK" w:hAnsi="方正仿宋_GBK" w:eastAsia="方正仿宋_GBK" w:cs="方正仿宋_GBK"/>
          <w:sz w:val="24"/>
        </w:rPr>
        <w:t>（四）基本资格条件承诺函（格式）</w:t>
      </w:r>
    </w:p>
    <w:p w14:paraId="235D39F4">
      <w:pPr>
        <w:tabs>
          <w:tab w:val="left" w:pos="6300"/>
        </w:tabs>
        <w:adjustRightInd w:val="0"/>
        <w:snapToGrid w:val="0"/>
        <w:spacing w:line="400" w:lineRule="exact"/>
        <w:ind w:firstLine="570"/>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基本资格条件承诺函</w:t>
      </w:r>
    </w:p>
    <w:p w14:paraId="4785F7CE">
      <w:pPr>
        <w:tabs>
          <w:tab w:val="left" w:pos="6300"/>
        </w:tabs>
        <w:adjustRightInd w:val="0"/>
        <w:snapToGrid w:val="0"/>
        <w:spacing w:line="400" w:lineRule="exact"/>
        <w:rPr>
          <w:rFonts w:ascii="方正仿宋_GBK" w:hAnsi="方正仿宋_GBK" w:eastAsia="方正仿宋_GBK" w:cs="方正仿宋_GBK"/>
          <w:sz w:val="24"/>
        </w:rPr>
      </w:pPr>
    </w:p>
    <w:p w14:paraId="0ADEE36F">
      <w:pPr>
        <w:tabs>
          <w:tab w:val="left" w:pos="6300"/>
        </w:tabs>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6937375F">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23994BA4">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184817D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w:t>
      </w:r>
      <w:r>
        <w:rPr>
          <w:rFonts w:hint="eastAsia" w:ascii="方正仿宋_GBK" w:hAnsi="方正仿宋_GBK" w:eastAsia="方正仿宋_GBK" w:cs="方正仿宋_GBK"/>
          <w:sz w:val="24"/>
          <w:highlight w:val="none"/>
        </w:rPr>
        <w:t>creditchina.gov.cn）“失信被</w:t>
      </w:r>
      <w:bookmarkStart w:id="446" w:name="_GoBack"/>
      <w:bookmarkEnd w:id="446"/>
      <w:r>
        <w:rPr>
          <w:rFonts w:hint="eastAsia" w:ascii="方正仿宋_GBK" w:hAnsi="方正仿宋_GBK" w:eastAsia="方正仿宋_GBK" w:cs="方正仿宋_GBK"/>
          <w:sz w:val="24"/>
          <w:highlight w:val="none"/>
        </w:rPr>
        <w:t>执行人”、“重大税收违法案件当事人名单”中，也未列入行采家（</w:t>
      </w:r>
      <w:r>
        <w:rPr>
          <w:rFonts w:hint="eastAsia" w:ascii="方正仿宋_GBK" w:hAnsi="方正仿宋_GBK" w:eastAsia="方正仿宋_GBK" w:cs="方正仿宋_GBK"/>
          <w:color w:val="000000"/>
          <w:sz w:val="24"/>
          <w:highlight w:val="none"/>
        </w:rPr>
        <w:t>www.gec123.com</w:t>
      </w:r>
      <w:r>
        <w:rPr>
          <w:rFonts w:hint="eastAsia" w:ascii="方正仿宋_GBK" w:hAnsi="方正仿宋_GBK" w:eastAsia="方正仿宋_GBK" w:cs="方正仿宋_GBK"/>
          <w:color w:val="000000"/>
          <w:sz w:val="24"/>
          <w:highlight w:val="none"/>
          <w:lang w:eastAsia="zh-CN"/>
        </w:rPr>
        <w:t>）</w:t>
      </w:r>
      <w:r>
        <w:rPr>
          <w:rFonts w:hint="eastAsia" w:ascii="方正仿宋_GBK" w:hAnsi="方正仿宋_GBK" w:eastAsia="方正仿宋_GBK" w:cs="方正仿宋_GBK"/>
          <w:sz w:val="24"/>
          <w:highlight w:val="none"/>
        </w:rPr>
        <w:t xml:space="preserve"> “政</w:t>
      </w:r>
      <w:r>
        <w:rPr>
          <w:rFonts w:hint="eastAsia" w:ascii="方正仿宋_GBK" w:hAnsi="方正仿宋_GBK" w:eastAsia="方正仿宋_GBK" w:cs="方正仿宋_GBK"/>
          <w:sz w:val="24"/>
        </w:rPr>
        <w:t>府采购严重违法失信行为记录名单”中。</w:t>
      </w:r>
    </w:p>
    <w:p w14:paraId="1950B971">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3.我方在采购项目评审（评标）环节结束后，随时接受采购人、采购代理机构的检查验证，配合提供相关证明材料，证明符合《中华人民共和国政府采购法》规定的供应商基本资格条件。</w:t>
      </w:r>
    </w:p>
    <w:p w14:paraId="49B45FED">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380E77F0">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59C2071A">
      <w:pPr>
        <w:tabs>
          <w:tab w:val="left" w:pos="6300"/>
        </w:tabs>
        <w:adjustRightInd w:val="0"/>
        <w:snapToGrid w:val="0"/>
        <w:spacing w:line="400" w:lineRule="exact"/>
        <w:rPr>
          <w:rFonts w:ascii="方正仿宋_GBK" w:hAnsi="方正仿宋_GBK" w:eastAsia="方正仿宋_GBK" w:cs="方正仿宋_GBK"/>
          <w:sz w:val="24"/>
        </w:rPr>
      </w:pPr>
    </w:p>
    <w:p w14:paraId="02AA2CB7">
      <w:pPr>
        <w:tabs>
          <w:tab w:val="left" w:pos="6300"/>
        </w:tabs>
        <w:adjustRightInd w:val="0"/>
        <w:snapToGrid w:val="0"/>
        <w:spacing w:line="400" w:lineRule="exact"/>
        <w:ind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36A8295B">
      <w:pPr>
        <w:tabs>
          <w:tab w:val="left" w:pos="6300"/>
        </w:tabs>
        <w:adjustRightInd w:val="0"/>
        <w:snapToGrid w:val="0"/>
        <w:spacing w:line="400" w:lineRule="exact"/>
        <w:ind w:firstLine="7442" w:firstLineChars="3101"/>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5E788ACF">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（五）特定资格条件证书或证明文件</w:t>
      </w:r>
    </w:p>
    <w:p w14:paraId="77B6D03B">
      <w:pPr>
        <w:pStyle w:val="5"/>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427" w:name="_Toc14422"/>
      <w:r>
        <w:rPr>
          <w:rFonts w:hint="eastAsia" w:ascii="方正仿宋_GBK" w:hAnsi="方正仿宋_GBK" w:eastAsia="方正仿宋_GBK" w:cs="方正仿宋_GBK"/>
          <w:b w:val="0"/>
          <w:sz w:val="24"/>
        </w:rPr>
        <w:br w:type="page"/>
      </w:r>
      <w:bookmarkStart w:id="428" w:name="_Toc20423"/>
      <w:bookmarkStart w:id="429" w:name="_Toc6831"/>
      <w:bookmarkStart w:id="430" w:name="_Toc6349"/>
      <w:bookmarkStart w:id="431" w:name="_Toc19623"/>
      <w:bookmarkStart w:id="432" w:name="_Toc16255"/>
      <w:bookmarkStart w:id="433" w:name="_Toc7266"/>
      <w:bookmarkStart w:id="434" w:name="_Toc3613"/>
      <w:bookmarkStart w:id="435" w:name="_Toc456975326"/>
      <w:bookmarkStart w:id="436" w:name="_Toc20899"/>
      <w:bookmarkStart w:id="437" w:name="_Toc29174"/>
      <w:bookmarkStart w:id="438" w:name="_Toc20080"/>
      <w:bookmarkStart w:id="439" w:name="_Toc2044"/>
      <w:bookmarkStart w:id="440" w:name="_Toc5287"/>
      <w:bookmarkStart w:id="441" w:name="_Toc15507"/>
      <w:bookmarkStart w:id="442" w:name="_Toc4342"/>
      <w:bookmarkStart w:id="443" w:name="_Toc3994"/>
      <w:bookmarkStart w:id="444" w:name="_Toc76462354"/>
      <w:bookmarkStart w:id="445" w:name="_Toc12029"/>
      <w:r>
        <w:rPr>
          <w:rFonts w:hint="eastAsia" w:ascii="方正仿宋_GBK" w:hAnsi="方正仿宋_GBK" w:eastAsia="方正仿宋_GBK" w:cs="方正仿宋_GBK"/>
          <w:sz w:val="24"/>
        </w:rPr>
        <w:t>五、其他资料</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DC02F76">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（一）中小企业声明函、监狱企业证明文件、残疾人福利性单位声明函</w:t>
      </w:r>
    </w:p>
    <w:p w14:paraId="52BDDE82">
      <w:pPr>
        <w:tabs>
          <w:tab w:val="left" w:pos="6300"/>
        </w:tabs>
        <w:adjustRightInd w:val="0"/>
        <w:snapToGrid w:val="0"/>
        <w:spacing w:line="400" w:lineRule="exact"/>
        <w:ind w:firstLine="480" w:firstLine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中小企业声明函</w:t>
      </w:r>
    </w:p>
    <w:p w14:paraId="4609C7F5">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本公司（联合体）郑重声明，根据《政府采购促进中小企业发展管理办法》（财库〔2020〕46号）的规定，本公司（联合体）参加</w:t>
      </w:r>
      <w:r>
        <w:rPr>
          <w:rFonts w:hint="eastAsia" w:ascii="方正仿宋_GBK" w:hAnsi="方正仿宋_GBK" w:eastAsia="方正仿宋_GBK" w:cs="方正仿宋_GBK"/>
          <w:i/>
          <w:sz w:val="24"/>
          <w:u w:val="single"/>
        </w:rPr>
        <w:t>（单位名称）</w:t>
      </w:r>
      <w:r>
        <w:rPr>
          <w:rFonts w:hint="eastAsia" w:ascii="方正仿宋_GBK" w:hAnsi="方正仿宋_GBK" w:eastAsia="方正仿宋_GBK" w:cs="方正仿宋_GBK"/>
          <w:sz w:val="24"/>
        </w:rPr>
        <w:t>的</w:t>
      </w:r>
      <w:r>
        <w:rPr>
          <w:rFonts w:hint="eastAsia" w:ascii="方正仿宋_GBK" w:hAnsi="方正仿宋_GBK" w:eastAsia="方正仿宋_GBK" w:cs="方正仿宋_GBK"/>
          <w:i/>
          <w:sz w:val="24"/>
          <w:u w:val="single"/>
        </w:rPr>
        <w:t>（项目名称）</w:t>
      </w:r>
      <w:r>
        <w:rPr>
          <w:rFonts w:hint="eastAsia" w:ascii="方正仿宋_GBK" w:hAnsi="方正仿宋_GBK" w:eastAsia="方正仿宋_GBK" w:cs="方正仿宋_GBK"/>
          <w:sz w:val="24"/>
        </w:rPr>
        <w:t>采购活动，工程的施工单位全部为符合政策要求的中小企业（或者：服务全部由符合政策要求的中小企业承接）。相关企业（含联合体中的中小企业、签订分包意向协议的中小企业）的具体情况如下：</w:t>
      </w:r>
    </w:p>
    <w:p w14:paraId="08E68264">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i/>
          <w:sz w:val="24"/>
          <w:u w:val="single"/>
        </w:rPr>
        <w:t>（标的名称）</w:t>
      </w:r>
      <w:r>
        <w:rPr>
          <w:rFonts w:hint="eastAsia" w:ascii="方正仿宋_GBK" w:hAnsi="方正仿宋_GBK" w:eastAsia="方正仿宋_GBK" w:cs="方正仿宋_GBK"/>
          <w:sz w:val="24"/>
        </w:rPr>
        <w:t>，属于</w:t>
      </w:r>
      <w:r>
        <w:rPr>
          <w:rFonts w:hint="eastAsia" w:ascii="方正仿宋_GBK" w:hAnsi="方正仿宋_GBK" w:eastAsia="方正仿宋_GBK" w:cs="方正仿宋_GBK"/>
          <w:i/>
          <w:sz w:val="24"/>
          <w:u w:val="single"/>
        </w:rPr>
        <w:t>（采购文件中明确的所属行业）</w:t>
      </w:r>
      <w:r>
        <w:rPr>
          <w:rFonts w:hint="eastAsia" w:ascii="方正仿宋_GBK" w:hAnsi="方正仿宋_GBK" w:eastAsia="方正仿宋_GBK" w:cs="方正仿宋_GBK"/>
          <w:sz w:val="24"/>
        </w:rPr>
        <w:t>；承建（承接）企业为</w:t>
      </w:r>
      <w:r>
        <w:rPr>
          <w:rFonts w:hint="eastAsia" w:ascii="方正仿宋_GBK" w:hAnsi="方正仿宋_GBK" w:eastAsia="方正仿宋_GBK" w:cs="方正仿宋_GBK"/>
          <w:i/>
          <w:sz w:val="24"/>
          <w:u w:val="single"/>
        </w:rPr>
        <w:t>（企业名称）</w:t>
      </w:r>
      <w:r>
        <w:rPr>
          <w:rFonts w:hint="eastAsia" w:ascii="方正仿宋_GBK" w:hAnsi="方正仿宋_GBK" w:eastAsia="方正仿宋_GBK" w:cs="方正仿宋_GBK"/>
          <w:sz w:val="24"/>
        </w:rPr>
        <w:t>，从业人员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人，营业收入为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万元，资产总额为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万元，属于</w:t>
      </w:r>
      <w:r>
        <w:rPr>
          <w:rFonts w:hint="eastAsia" w:ascii="方正仿宋_GBK" w:hAnsi="方正仿宋_GBK" w:eastAsia="方正仿宋_GBK" w:cs="方正仿宋_GBK"/>
          <w:i/>
          <w:sz w:val="24"/>
          <w:u w:val="single"/>
        </w:rPr>
        <w:t>（中型企业、小型企业、微型企业）</w:t>
      </w:r>
      <w:r>
        <w:rPr>
          <w:rFonts w:hint="eastAsia" w:ascii="方正仿宋_GBK" w:hAnsi="方正仿宋_GBK" w:eastAsia="方正仿宋_GBK" w:cs="方正仿宋_GBK"/>
          <w:sz w:val="24"/>
        </w:rPr>
        <w:t>；</w:t>
      </w:r>
    </w:p>
    <w:p w14:paraId="61BE8FE4">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为本标的提供的服务人员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人，其中与本企业签订劳动合同</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人，其他人员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人。有其他人员的不符合中小企业扶持政策（适用于服务采购项目）;</w:t>
      </w:r>
    </w:p>
    <w:p w14:paraId="21455C45">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i/>
          <w:sz w:val="24"/>
          <w:u w:val="single"/>
        </w:rPr>
        <w:t xml:space="preserve"> （标的名称）</w:t>
      </w:r>
      <w:r>
        <w:rPr>
          <w:rFonts w:hint="eastAsia" w:ascii="方正仿宋_GBK" w:hAnsi="方正仿宋_GBK" w:eastAsia="方正仿宋_GBK" w:cs="方正仿宋_GBK"/>
          <w:sz w:val="24"/>
        </w:rPr>
        <w:t>，属于</w:t>
      </w:r>
      <w:r>
        <w:rPr>
          <w:rFonts w:hint="eastAsia" w:ascii="方正仿宋_GBK" w:hAnsi="方正仿宋_GBK" w:eastAsia="方正仿宋_GBK" w:cs="方正仿宋_GBK"/>
          <w:i/>
          <w:sz w:val="24"/>
          <w:u w:val="single"/>
        </w:rPr>
        <w:t>（采购文件中明确的所属行业）</w:t>
      </w:r>
      <w:r>
        <w:rPr>
          <w:rFonts w:hint="eastAsia" w:ascii="方正仿宋_GBK" w:hAnsi="方正仿宋_GBK" w:eastAsia="方正仿宋_GBK" w:cs="方正仿宋_GBK"/>
          <w:sz w:val="24"/>
        </w:rPr>
        <w:t>；承建（承接）企业为</w:t>
      </w:r>
      <w:r>
        <w:rPr>
          <w:rFonts w:hint="eastAsia" w:ascii="方正仿宋_GBK" w:hAnsi="方正仿宋_GBK" w:eastAsia="方正仿宋_GBK" w:cs="方正仿宋_GBK"/>
          <w:i/>
          <w:sz w:val="24"/>
          <w:u w:val="single"/>
        </w:rPr>
        <w:t>（企业名称）</w:t>
      </w:r>
      <w:r>
        <w:rPr>
          <w:rFonts w:hint="eastAsia" w:ascii="方正仿宋_GBK" w:hAnsi="方正仿宋_GBK" w:eastAsia="方正仿宋_GBK" w:cs="方正仿宋_GBK"/>
          <w:sz w:val="24"/>
        </w:rPr>
        <w:t>，从业人员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人，营业收入为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万元，资产总额为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万元，属于</w:t>
      </w:r>
      <w:r>
        <w:rPr>
          <w:rFonts w:hint="eastAsia" w:ascii="方正仿宋_GBK" w:hAnsi="方正仿宋_GBK" w:eastAsia="方正仿宋_GBK" w:cs="方正仿宋_GBK"/>
          <w:i/>
          <w:sz w:val="24"/>
          <w:u w:val="single"/>
        </w:rPr>
        <w:t>（中型企业、小型企业、微型企业）</w:t>
      </w:r>
      <w:r>
        <w:rPr>
          <w:rFonts w:hint="eastAsia" w:ascii="方正仿宋_GBK" w:hAnsi="方正仿宋_GBK" w:eastAsia="方正仿宋_GBK" w:cs="方正仿宋_GBK"/>
          <w:sz w:val="24"/>
        </w:rPr>
        <w:t>；</w:t>
      </w:r>
    </w:p>
    <w:p w14:paraId="1F39BDE7">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为本标的提供的服务人员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人，其中与本企业签订劳动合同</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人，其他人员</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人。有其他人员的不符合中小企业扶持政策（适用于服务采购项目）;</w:t>
      </w:r>
    </w:p>
    <w:p w14:paraId="3D1FE36B">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w:t>
      </w:r>
    </w:p>
    <w:p w14:paraId="02363632">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以上企业，不属于大企业的分支机构，不存在控股股东为大企业的情形，也不存在与大企业的负责人为同一人的情形。</w:t>
      </w:r>
    </w:p>
    <w:p w14:paraId="1C678670">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本企业对上述声明内容的真实性负责。如有虚假，将依法承担相应责任。</w:t>
      </w:r>
    </w:p>
    <w:p w14:paraId="18C8A1E3">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2EDAA877">
      <w:pPr>
        <w:tabs>
          <w:tab w:val="left" w:pos="6300"/>
        </w:tabs>
        <w:adjustRightInd w:val="0"/>
        <w:snapToGrid w:val="0"/>
        <w:spacing w:line="400" w:lineRule="exact"/>
        <w:ind w:firstLine="6120" w:firstLineChars="255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企业名称（盖章）： </w:t>
      </w:r>
    </w:p>
    <w:p w14:paraId="7B91FED2">
      <w:pPr>
        <w:tabs>
          <w:tab w:val="left" w:pos="6300"/>
        </w:tabs>
        <w:adjustRightInd w:val="0"/>
        <w:snapToGrid w:val="0"/>
        <w:spacing w:line="400" w:lineRule="exact"/>
        <w:ind w:firstLine="6120" w:firstLineChars="2550"/>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p w14:paraId="470CDB24">
      <w:pPr>
        <w:tabs>
          <w:tab w:val="left" w:pos="6300"/>
        </w:tabs>
        <w:adjustRightInd w:val="0"/>
        <w:snapToGrid w:val="0"/>
        <w:spacing w:line="4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填写时应注意以下事项：</w:t>
      </w:r>
    </w:p>
    <w:p w14:paraId="65AA5837">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1.从业人员、营业收入、资产总额填报上一年度数据，无上一年度数据的新成立企业可不填报。</w:t>
      </w:r>
    </w:p>
    <w:p w14:paraId="59BEB81E">
      <w:pPr>
        <w:tabs>
          <w:tab w:val="left" w:pos="6300"/>
        </w:tabs>
        <w:adjustRightInd w:val="0"/>
        <w:snapToGrid w:val="0"/>
        <w:spacing w:line="400" w:lineRule="exact"/>
        <w:ind w:firstLine="482" w:firstLineChars="200"/>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2.中小企业应当按照《中小企业划型标准规定》（工信部联企业〔2011〕300号），如实填写并提交《中小企业声明函》。</w:t>
      </w:r>
    </w:p>
    <w:p w14:paraId="6DCC1D1F">
      <w:pPr>
        <w:tabs>
          <w:tab w:val="left" w:pos="6300"/>
        </w:tabs>
        <w:adjustRightInd w:val="0"/>
        <w:snapToGrid w:val="0"/>
        <w:spacing w:line="400" w:lineRule="exact"/>
        <w:ind w:firstLine="482" w:firstLineChars="200"/>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3.供应商填写《中小企业声明函》中所属行业时，应与采购文件第一篇“采购标的对应的中小企业划分标准所属行业”中填写的所属行业一致。</w:t>
      </w:r>
    </w:p>
    <w:p w14:paraId="1F5CB499">
      <w:pPr>
        <w:tabs>
          <w:tab w:val="left" w:pos="6300"/>
        </w:tabs>
        <w:adjustRightInd w:val="0"/>
        <w:snapToGrid w:val="0"/>
        <w:spacing w:line="400" w:lineRule="exact"/>
        <w:ind w:firstLine="482" w:firstLineChars="200"/>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4.</w:t>
      </w:r>
      <w:r>
        <w:rPr>
          <w:rFonts w:hint="eastAsia" w:ascii="方正仿宋_GBK" w:hAnsi="方正仿宋_GBK" w:eastAsia="方正仿宋_GBK" w:cs="方正仿宋_GBK"/>
          <w:b/>
          <w:kern w:val="0"/>
          <w:sz w:val="24"/>
          <w:u w:val="single"/>
        </w:rPr>
        <w:t>本声明函“企业名称（盖章）”处为参加磋商的供应商盖章。</w:t>
      </w:r>
    </w:p>
    <w:p w14:paraId="62360086">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注：各行业划型标准：</w:t>
      </w:r>
    </w:p>
    <w:p w14:paraId="6191AF2F">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（一）农、林、牧、渔业。营业收入20000万元以下的为中小微型企业。其中，营业收入500万元及以上的为中型企业，营业收入50万元及以上的为小型企业，营业收入50万元以下的为微型企业。</w:t>
      </w:r>
    </w:p>
    <w:p w14:paraId="6664C184">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D03EF">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C14FC9">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FABCCA">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1D2182">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6483EA">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62E214">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18012">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BEBB5A">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58FA9F">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4CA926">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DF1A91">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821E86">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F978F9">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93DBEA">
      <w:pPr>
        <w:tabs>
          <w:tab w:val="left" w:pos="6300"/>
        </w:tabs>
        <w:adjustRightInd w:val="0"/>
        <w:snapToGrid w:val="0"/>
        <w:spacing w:line="4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（十六）其他未列明行业。从业人员300人以下的为中小微型企业。其中，从业人员100人及以上的为中型企业；从业人员10人及以上的为小型企业；从业人员10人以下的为微型企业。</w:t>
      </w:r>
    </w:p>
    <w:p w14:paraId="684085A1">
      <w:pPr>
        <w:tabs>
          <w:tab w:val="left" w:pos="6300"/>
        </w:tabs>
        <w:adjustRightInd w:val="0"/>
        <w:snapToGrid w:val="0"/>
        <w:spacing w:line="400" w:lineRule="exact"/>
        <w:ind w:firstLine="480" w:firstLine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监狱企业证明文件</w:t>
      </w:r>
    </w:p>
    <w:p w14:paraId="7865D658">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以省级以上监狱管理局、戒毒管理局（含新疆生产建设兵团）出具的属于监狱企业的证明文件为准。</w:t>
      </w:r>
    </w:p>
    <w:p w14:paraId="63A465F7">
      <w:pPr>
        <w:tabs>
          <w:tab w:val="left" w:pos="6300"/>
        </w:tabs>
        <w:adjustRightInd w:val="0"/>
        <w:snapToGrid w:val="0"/>
        <w:spacing w:line="400" w:lineRule="exact"/>
        <w:ind w:firstLine="480" w:firstLine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残疾人福利性单位声明函</w:t>
      </w:r>
    </w:p>
    <w:p w14:paraId="114F9A34">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C1032A">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本单位对上述声明的真实性负责。如有虚假，将依法承担相应责任。</w:t>
      </w:r>
    </w:p>
    <w:p w14:paraId="21591D95">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7D0F06A0">
      <w:pPr>
        <w:tabs>
          <w:tab w:val="left" w:pos="6300"/>
        </w:tabs>
        <w:adjustRightInd w:val="0"/>
        <w:snapToGrid w:val="0"/>
        <w:spacing w:line="400" w:lineRule="exact"/>
        <w:ind w:firstLine="480" w:firstLineChars="200"/>
        <w:rPr>
          <w:rFonts w:ascii="方正仿宋_GBK" w:hAnsi="方正仿宋_GBK" w:eastAsia="方正仿宋_GBK" w:cs="方正仿宋_GBK"/>
          <w:sz w:val="24"/>
        </w:rPr>
      </w:pPr>
    </w:p>
    <w:p w14:paraId="726AA4CE">
      <w:pPr>
        <w:tabs>
          <w:tab w:val="left" w:pos="6300"/>
        </w:tabs>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供应商名称（盖章）：</w:t>
      </w:r>
    </w:p>
    <w:p w14:paraId="7C929446">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日  期：</w:t>
      </w:r>
    </w:p>
    <w:p w14:paraId="53B03F08">
      <w:pPr>
        <w:adjustRightInd w:val="0"/>
        <w:snapToGrid w:val="0"/>
        <w:spacing w:line="400" w:lineRule="exact"/>
        <w:ind w:firstLine="480" w:firstLineChars="200"/>
        <w:rPr>
          <w:rFonts w:ascii="方正仿宋_GBK" w:hAnsi="方正仿宋_GBK" w:eastAsia="方正仿宋_GBK" w:cs="方正仿宋_GBK"/>
          <w:sz w:val="24"/>
        </w:rPr>
      </w:pPr>
    </w:p>
    <w:p w14:paraId="3749FA3F">
      <w:pPr>
        <w:adjustRightInd w:val="0"/>
        <w:snapToGrid w:val="0"/>
        <w:spacing w:line="400" w:lineRule="exact"/>
        <w:ind w:firstLine="480" w:firstLineChars="200"/>
        <w:rPr>
          <w:rFonts w:ascii="方正仿宋_GBK" w:hAnsi="方正仿宋_GBK" w:eastAsia="方正仿宋_GBK" w:cs="方正仿宋_GBK"/>
          <w:sz w:val="24"/>
        </w:rPr>
      </w:pPr>
    </w:p>
    <w:p w14:paraId="1674D1DC">
      <w:pPr>
        <w:adjustRightInd w:val="0"/>
        <w:snapToGrid w:val="0"/>
        <w:spacing w:line="400" w:lineRule="exact"/>
        <w:ind w:firstLine="480" w:firstLineChars="200"/>
        <w:rPr>
          <w:rFonts w:ascii="方正仿宋_GBK" w:hAnsi="方正仿宋_GBK" w:eastAsia="方正仿宋_GBK" w:cs="方正仿宋_GBK"/>
          <w:sz w:val="24"/>
        </w:rPr>
      </w:pPr>
    </w:p>
    <w:p w14:paraId="5CBBB7D5">
      <w:pPr>
        <w:adjustRightInd w:val="0"/>
        <w:snapToGrid w:val="0"/>
        <w:spacing w:line="400" w:lineRule="exact"/>
        <w:ind w:firstLine="480" w:firstLineChars="200"/>
        <w:rPr>
          <w:rFonts w:ascii="方正仿宋_GBK" w:hAnsi="方正仿宋_GBK" w:eastAsia="方正仿宋_GBK" w:cs="方正仿宋_GBK"/>
          <w:sz w:val="24"/>
        </w:rPr>
      </w:pPr>
    </w:p>
    <w:p w14:paraId="7241EC57">
      <w:pPr>
        <w:adjustRightInd w:val="0"/>
        <w:snapToGrid w:val="0"/>
        <w:spacing w:line="400" w:lineRule="exact"/>
        <w:ind w:firstLine="480" w:firstLineChars="200"/>
        <w:rPr>
          <w:rFonts w:ascii="方正仿宋_GBK" w:hAnsi="方正仿宋_GBK" w:eastAsia="方正仿宋_GBK" w:cs="方正仿宋_GBK"/>
          <w:sz w:val="24"/>
        </w:rPr>
      </w:pPr>
    </w:p>
    <w:p w14:paraId="637288B6">
      <w:pPr>
        <w:adjustRightInd w:val="0"/>
        <w:snapToGrid w:val="0"/>
        <w:spacing w:line="400" w:lineRule="exact"/>
        <w:ind w:firstLine="480" w:firstLineChars="200"/>
        <w:rPr>
          <w:rFonts w:ascii="方正仿宋_GBK" w:hAnsi="方正仿宋_GBK" w:eastAsia="方正仿宋_GBK" w:cs="方正仿宋_GBK"/>
          <w:sz w:val="24"/>
        </w:rPr>
      </w:pPr>
    </w:p>
    <w:p w14:paraId="1961BC71">
      <w:pPr>
        <w:adjustRightInd w:val="0"/>
        <w:snapToGrid w:val="0"/>
        <w:spacing w:line="400" w:lineRule="exact"/>
        <w:ind w:firstLine="480" w:firstLineChars="200"/>
        <w:rPr>
          <w:rFonts w:ascii="方正仿宋_GBK" w:hAnsi="方正仿宋_GBK" w:eastAsia="方正仿宋_GBK" w:cs="方正仿宋_GBK"/>
          <w:sz w:val="24"/>
        </w:rPr>
      </w:pPr>
    </w:p>
    <w:p w14:paraId="0832E712">
      <w:pPr>
        <w:adjustRightInd w:val="0"/>
        <w:snapToGrid w:val="0"/>
        <w:spacing w:line="400" w:lineRule="exact"/>
        <w:ind w:firstLine="480" w:firstLineChars="200"/>
        <w:rPr>
          <w:rFonts w:ascii="方正仿宋_GBK" w:hAnsi="方正仿宋_GBK" w:eastAsia="方正仿宋_GBK" w:cs="方正仿宋_GBK"/>
          <w:sz w:val="24"/>
        </w:rPr>
      </w:pPr>
    </w:p>
    <w:p w14:paraId="6E6E8C41">
      <w:pPr>
        <w:adjustRightInd w:val="0"/>
        <w:snapToGrid w:val="0"/>
        <w:spacing w:line="400" w:lineRule="exact"/>
        <w:ind w:firstLine="480" w:firstLineChars="200"/>
        <w:rPr>
          <w:rFonts w:ascii="方正仿宋_GBK" w:hAnsi="方正仿宋_GBK" w:eastAsia="方正仿宋_GBK" w:cs="方正仿宋_GBK"/>
          <w:sz w:val="24"/>
        </w:rPr>
      </w:pPr>
    </w:p>
    <w:p w14:paraId="5597A4B7">
      <w:pPr>
        <w:adjustRightInd w:val="0"/>
        <w:snapToGrid w:val="0"/>
        <w:spacing w:line="400" w:lineRule="exact"/>
        <w:ind w:firstLine="480" w:firstLineChars="200"/>
        <w:rPr>
          <w:rFonts w:ascii="方正仿宋_GBK" w:hAnsi="方正仿宋_GBK" w:eastAsia="方正仿宋_GBK" w:cs="方正仿宋_GBK"/>
          <w:sz w:val="24"/>
        </w:rPr>
      </w:pPr>
    </w:p>
    <w:p w14:paraId="5906E2E9">
      <w:pPr>
        <w:adjustRightInd w:val="0"/>
        <w:snapToGrid w:val="0"/>
        <w:spacing w:line="400" w:lineRule="exact"/>
        <w:ind w:firstLine="480" w:firstLineChars="200"/>
        <w:rPr>
          <w:rFonts w:ascii="方正仿宋_GBK" w:hAnsi="方正仿宋_GBK" w:eastAsia="方正仿宋_GBK" w:cs="方正仿宋_GBK"/>
          <w:sz w:val="24"/>
        </w:rPr>
      </w:pPr>
    </w:p>
    <w:p w14:paraId="4BF23AA4">
      <w:pPr>
        <w:adjustRightInd w:val="0"/>
        <w:snapToGrid w:val="0"/>
        <w:spacing w:line="400" w:lineRule="exact"/>
        <w:ind w:firstLine="480" w:firstLineChars="200"/>
        <w:rPr>
          <w:rFonts w:ascii="方正仿宋_GBK" w:hAnsi="方正仿宋_GBK" w:eastAsia="方正仿宋_GBK" w:cs="方正仿宋_GBK"/>
          <w:sz w:val="24"/>
        </w:rPr>
      </w:pPr>
    </w:p>
    <w:p w14:paraId="78365665">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若成交供应商为残疾人福利性单位的，将在结果公告时公告其《残疾人福利性单位声明函》。</w:t>
      </w:r>
    </w:p>
    <w:p w14:paraId="7C50AAAC">
      <w:pPr>
        <w:adjustRightInd w:val="0"/>
        <w:snapToGrid w:val="0"/>
        <w:spacing w:line="400" w:lineRule="exact"/>
        <w:ind w:firstLine="480" w:firstLineChars="200"/>
        <w:rPr>
          <w:rFonts w:ascii="方正仿宋_GBK" w:hAnsi="方正仿宋_GBK" w:eastAsia="方正仿宋_GBK" w:cs="方正仿宋_GBK"/>
          <w:sz w:val="24"/>
        </w:rPr>
      </w:pPr>
    </w:p>
    <w:p w14:paraId="7BE3D00A">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br w:type="page"/>
      </w:r>
      <w:r>
        <w:rPr>
          <w:rFonts w:hint="eastAsia" w:ascii="方正仿宋_GBK" w:hAnsi="方正仿宋_GBK" w:eastAsia="方正仿宋_GBK" w:cs="方正仿宋_GBK"/>
          <w:sz w:val="24"/>
        </w:rPr>
        <w:t>（二）其他与项目有关的资料</w:t>
      </w:r>
    </w:p>
    <w:p w14:paraId="45D783F8">
      <w:pPr>
        <w:adjustRightInd w:val="0"/>
        <w:snapToGrid w:val="0"/>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其他与项目有关的资料（自附）：供应商总体情况介绍、其他与本项目有关的资料等。</w:t>
      </w:r>
    </w:p>
    <w:p w14:paraId="023B1438">
      <w:pPr>
        <w:adjustRightInd w:val="0"/>
        <w:snapToGrid w:val="0"/>
        <w:spacing w:line="400" w:lineRule="exact"/>
        <w:ind w:firstLine="480" w:firstLineChars="200"/>
        <w:rPr>
          <w:rFonts w:ascii="方正仿宋_GBK" w:hAnsi="方正仿宋_GBK" w:eastAsia="方正仿宋_GBK" w:cs="方正仿宋_GBK"/>
          <w:sz w:val="24"/>
        </w:rPr>
      </w:pPr>
    </w:p>
    <w:p w14:paraId="53CD72EB">
      <w:pPr>
        <w:adjustRightInd w:val="0"/>
        <w:snapToGrid w:val="0"/>
        <w:spacing w:line="400" w:lineRule="exact"/>
        <w:ind w:firstLine="480" w:firstLineChars="200"/>
        <w:jc w:val="center"/>
        <w:rPr>
          <w:rFonts w:ascii="方正仿宋_GBK" w:hAnsi="方正仿宋_GBK" w:eastAsia="方正仿宋_GBK" w:cs="方正仿宋_GBK"/>
          <w:sz w:val="24"/>
        </w:rPr>
      </w:pPr>
    </w:p>
    <w:p w14:paraId="13BF5A56">
      <w:pPr>
        <w:adjustRightInd w:val="0"/>
        <w:snapToGrid w:val="0"/>
        <w:spacing w:line="400" w:lineRule="exact"/>
        <w:ind w:firstLine="480" w:firstLineChars="200"/>
        <w:jc w:val="center"/>
        <w:rPr>
          <w:rFonts w:ascii="方正仿宋_GBK" w:hAnsi="方正仿宋_GBK" w:eastAsia="方正仿宋_GBK" w:cs="方正仿宋_GBK"/>
          <w:sz w:val="24"/>
        </w:rPr>
      </w:pPr>
    </w:p>
    <w:p w14:paraId="6AB2B685">
      <w:pPr>
        <w:adjustRightInd w:val="0"/>
        <w:snapToGrid w:val="0"/>
        <w:spacing w:line="400" w:lineRule="exact"/>
        <w:ind w:firstLine="480" w:firstLineChars="200"/>
        <w:jc w:val="center"/>
        <w:rPr>
          <w:rFonts w:ascii="方正仿宋_GBK" w:hAnsi="方正仿宋_GBK" w:eastAsia="方正仿宋_GBK" w:cs="方正仿宋_GBK"/>
          <w:sz w:val="24"/>
        </w:rPr>
      </w:pPr>
    </w:p>
    <w:p w14:paraId="6394D4DF">
      <w:pPr>
        <w:adjustRightInd w:val="0"/>
        <w:snapToGrid w:val="0"/>
        <w:spacing w:line="400" w:lineRule="exact"/>
        <w:ind w:firstLine="480" w:firstLineChars="200"/>
        <w:jc w:val="center"/>
        <w:rPr>
          <w:rFonts w:ascii="方正仿宋_GBK" w:hAnsi="方正仿宋_GBK" w:eastAsia="方正仿宋_GBK" w:cs="方正仿宋_GBK"/>
          <w:sz w:val="24"/>
        </w:rPr>
      </w:pPr>
    </w:p>
    <w:p w14:paraId="7575855E">
      <w:pPr>
        <w:adjustRightInd w:val="0"/>
        <w:snapToGrid w:val="0"/>
        <w:spacing w:line="400" w:lineRule="exact"/>
        <w:ind w:firstLine="480" w:firstLineChars="200"/>
        <w:jc w:val="center"/>
        <w:rPr>
          <w:rFonts w:ascii="方正仿宋_GBK" w:hAnsi="方正仿宋_GBK" w:eastAsia="方正仿宋_GBK" w:cs="方正仿宋_GBK"/>
          <w:sz w:val="24"/>
        </w:rPr>
      </w:pPr>
    </w:p>
    <w:p w14:paraId="678B5992">
      <w:pPr>
        <w:adjustRightInd w:val="0"/>
        <w:snapToGrid w:val="0"/>
        <w:spacing w:line="400" w:lineRule="exact"/>
        <w:ind w:firstLine="480" w:firstLineChars="200"/>
        <w:jc w:val="center"/>
        <w:rPr>
          <w:rFonts w:ascii="方正仿宋_GBK" w:hAnsi="方正仿宋_GBK" w:eastAsia="方正仿宋_GBK" w:cs="方正仿宋_GBK"/>
          <w:sz w:val="24"/>
        </w:rPr>
      </w:pPr>
    </w:p>
    <w:p w14:paraId="24D5B6BC">
      <w:pPr>
        <w:adjustRightInd w:val="0"/>
        <w:snapToGrid w:val="0"/>
        <w:spacing w:line="400" w:lineRule="exact"/>
        <w:ind w:firstLine="480" w:firstLineChars="200"/>
        <w:jc w:val="center"/>
        <w:rPr>
          <w:rFonts w:ascii="方正仿宋_GBK" w:hAnsi="方正仿宋_GBK" w:eastAsia="方正仿宋_GBK" w:cs="方正仿宋_GBK"/>
          <w:sz w:val="24"/>
        </w:rPr>
      </w:pPr>
    </w:p>
    <w:p w14:paraId="57ACA37C">
      <w:pPr>
        <w:adjustRightInd w:val="0"/>
        <w:snapToGrid w:val="0"/>
        <w:spacing w:line="400" w:lineRule="exact"/>
        <w:ind w:firstLine="480" w:firstLineChars="200"/>
        <w:jc w:val="center"/>
        <w:rPr>
          <w:rFonts w:ascii="方正仿宋_GBK" w:hAnsi="方正仿宋_GBK" w:eastAsia="方正仿宋_GBK" w:cs="方正仿宋_GBK"/>
          <w:sz w:val="24"/>
        </w:rPr>
      </w:pPr>
    </w:p>
    <w:p w14:paraId="414A488C">
      <w:pPr>
        <w:adjustRightInd w:val="0"/>
        <w:snapToGrid w:val="0"/>
        <w:spacing w:line="400" w:lineRule="exact"/>
        <w:ind w:firstLine="480" w:firstLineChars="200"/>
        <w:jc w:val="center"/>
        <w:rPr>
          <w:rFonts w:ascii="方正仿宋_GBK" w:hAnsi="方正仿宋_GBK" w:eastAsia="方正仿宋_GBK" w:cs="方正仿宋_GBK"/>
          <w:sz w:val="24"/>
        </w:rPr>
      </w:pPr>
    </w:p>
    <w:p w14:paraId="6B321CD3">
      <w:pPr>
        <w:adjustRightInd w:val="0"/>
        <w:snapToGrid w:val="0"/>
        <w:spacing w:line="400" w:lineRule="exact"/>
        <w:ind w:firstLine="480" w:firstLineChars="200"/>
        <w:jc w:val="center"/>
        <w:rPr>
          <w:rFonts w:ascii="方正仿宋_GBK" w:hAnsi="方正仿宋_GBK" w:eastAsia="方正仿宋_GBK" w:cs="方正仿宋_GBK"/>
          <w:sz w:val="24"/>
        </w:rPr>
      </w:pPr>
    </w:p>
    <w:p w14:paraId="55E915E4">
      <w:pPr>
        <w:adjustRightInd w:val="0"/>
        <w:snapToGrid w:val="0"/>
        <w:spacing w:line="400" w:lineRule="exact"/>
        <w:ind w:firstLine="480" w:firstLineChars="200"/>
        <w:jc w:val="center"/>
        <w:rPr>
          <w:rFonts w:ascii="方正仿宋_GBK" w:hAnsi="方正仿宋_GBK" w:eastAsia="方正仿宋_GBK" w:cs="方正仿宋_GBK"/>
          <w:sz w:val="24"/>
        </w:rPr>
      </w:pPr>
    </w:p>
    <w:p w14:paraId="08FF62F7">
      <w:pPr>
        <w:adjustRightInd w:val="0"/>
        <w:snapToGrid w:val="0"/>
        <w:spacing w:line="400" w:lineRule="exact"/>
        <w:ind w:firstLine="480" w:firstLineChars="200"/>
        <w:jc w:val="center"/>
        <w:rPr>
          <w:rFonts w:ascii="方正仿宋_GBK" w:hAnsi="方正仿宋_GBK" w:eastAsia="方正仿宋_GBK" w:cs="方正仿宋_GBK"/>
          <w:sz w:val="24"/>
        </w:rPr>
      </w:pPr>
    </w:p>
    <w:p w14:paraId="25C8E1D5">
      <w:pPr>
        <w:adjustRightInd w:val="0"/>
        <w:snapToGrid w:val="0"/>
        <w:spacing w:line="400" w:lineRule="exact"/>
        <w:ind w:firstLine="480" w:firstLineChars="200"/>
        <w:jc w:val="center"/>
        <w:rPr>
          <w:rFonts w:ascii="方正仿宋_GBK" w:hAnsi="方正仿宋_GBK" w:eastAsia="方正仿宋_GBK" w:cs="方正仿宋_GBK"/>
          <w:sz w:val="24"/>
        </w:rPr>
      </w:pPr>
    </w:p>
    <w:p w14:paraId="7BE0C8FF">
      <w:pPr>
        <w:pStyle w:val="2"/>
        <w:adjustRightInd w:val="0"/>
        <w:snapToGrid w:val="0"/>
        <w:spacing w:after="0" w:line="400" w:lineRule="exact"/>
        <w:ind w:left="0" w:leftChars="0" w:right="0" w:rightChars="0"/>
        <w:rPr>
          <w:rFonts w:ascii="方正仿宋_GBK" w:hAnsi="方正仿宋_GBK" w:eastAsia="方正仿宋_GBK" w:cs="方正仿宋_GBK"/>
          <w:sz w:val="24"/>
        </w:rPr>
      </w:pPr>
    </w:p>
    <w:p w14:paraId="307EDCDF">
      <w:pPr>
        <w:pStyle w:val="2"/>
        <w:adjustRightInd w:val="0"/>
        <w:snapToGrid w:val="0"/>
        <w:spacing w:after="0" w:line="400" w:lineRule="exact"/>
        <w:ind w:left="0" w:leftChars="0" w:right="0" w:rightChars="0"/>
        <w:rPr>
          <w:rFonts w:ascii="方正仿宋_GBK" w:hAnsi="方正仿宋_GBK" w:eastAsia="方正仿宋_GBK" w:cs="方正仿宋_GBK"/>
          <w:sz w:val="24"/>
        </w:rPr>
      </w:pPr>
    </w:p>
    <w:p w14:paraId="6672B182">
      <w:pPr>
        <w:pStyle w:val="2"/>
        <w:adjustRightInd w:val="0"/>
        <w:snapToGrid w:val="0"/>
        <w:spacing w:after="0" w:line="400" w:lineRule="exact"/>
        <w:ind w:left="0" w:leftChars="0" w:right="0" w:rightChars="0"/>
        <w:rPr>
          <w:rFonts w:ascii="方正仿宋_GBK" w:hAnsi="方正仿宋_GBK" w:eastAsia="方正仿宋_GBK" w:cs="方正仿宋_GBK"/>
          <w:sz w:val="24"/>
        </w:rPr>
      </w:pPr>
    </w:p>
    <w:p w14:paraId="327055EE">
      <w:pPr>
        <w:pStyle w:val="2"/>
        <w:adjustRightInd w:val="0"/>
        <w:snapToGrid w:val="0"/>
        <w:spacing w:after="0" w:line="400" w:lineRule="exact"/>
        <w:ind w:left="0" w:leftChars="0" w:right="0" w:rightChars="0"/>
        <w:rPr>
          <w:rFonts w:ascii="方正仿宋_GBK" w:hAnsi="方正仿宋_GBK" w:eastAsia="方正仿宋_GBK" w:cs="方正仿宋_GBK"/>
          <w:sz w:val="24"/>
        </w:rPr>
      </w:pPr>
    </w:p>
    <w:p w14:paraId="2C6FC2EE">
      <w:pPr>
        <w:adjustRightInd w:val="0"/>
        <w:snapToGrid w:val="0"/>
        <w:spacing w:line="400" w:lineRule="exact"/>
        <w:ind w:firstLine="480" w:firstLineChars="200"/>
        <w:jc w:val="center"/>
        <w:rPr>
          <w:rFonts w:ascii="方正仿宋_GBK" w:hAnsi="方正仿宋_GBK" w:eastAsia="方正仿宋_GBK" w:cs="方正仿宋_GBK"/>
          <w:sz w:val="24"/>
        </w:rPr>
      </w:pPr>
    </w:p>
    <w:p w14:paraId="3DACF221">
      <w:pPr>
        <w:adjustRightInd w:val="0"/>
        <w:snapToGrid w:val="0"/>
        <w:spacing w:line="400" w:lineRule="exact"/>
        <w:ind w:firstLine="480" w:firstLineChars="200"/>
        <w:jc w:val="center"/>
        <w:rPr>
          <w:rFonts w:ascii="方正仿宋_GBK" w:hAnsi="方正仿宋_GBK" w:eastAsia="方正仿宋_GBK" w:cs="方正仿宋_GBK"/>
          <w:sz w:val="24"/>
        </w:rPr>
      </w:pPr>
    </w:p>
    <w:p w14:paraId="08C75A01">
      <w:pPr>
        <w:adjustRightInd w:val="0"/>
        <w:snapToGrid w:val="0"/>
        <w:spacing w:line="400" w:lineRule="exact"/>
        <w:ind w:firstLine="480" w:firstLineChars="200"/>
        <w:jc w:val="center"/>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（结束）</w:t>
      </w:r>
    </w:p>
    <w:p w14:paraId="3192D9F0">
      <w:pPr>
        <w:adjustRightInd w:val="0"/>
        <w:snapToGrid w:val="0"/>
        <w:spacing w:line="400" w:lineRule="exact"/>
        <w:jc w:val="center"/>
        <w:rPr>
          <w:rFonts w:ascii="方正仿宋_GBK" w:hAnsi="方正仿宋_GBK" w:eastAsia="方正仿宋_GBK" w:cs="方正仿宋_GBK"/>
          <w:color w:val="000000"/>
          <w:sz w:val="24"/>
        </w:rPr>
      </w:pPr>
    </w:p>
    <w:p w14:paraId="0709D527">
      <w:pPr>
        <w:adjustRightInd w:val="0"/>
        <w:snapToGrid w:val="0"/>
        <w:spacing w:line="400" w:lineRule="exact"/>
        <w:rPr>
          <w:rFonts w:ascii="方正仿宋_GBK" w:hAnsi="方正仿宋_GBK" w:eastAsia="方正仿宋_GBK" w:cs="方正仿宋_GBK"/>
          <w:sz w:val="24"/>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1" w:fontKey="{2BE43E07-D958-409C-A0A1-DBF57AF4DB48}"/>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34276D51-22D9-436A-B67B-9C58FF5B6469}"/>
  </w:font>
  <w:font w:name="方正仿宋_GBK">
    <w:panose1 w:val="03000509000000000000"/>
    <w:charset w:val="86"/>
    <w:family w:val="script"/>
    <w:pitch w:val="default"/>
    <w:sig w:usb0="00000001" w:usb1="080E0000" w:usb2="00000000" w:usb3="00000000" w:csb0="00040000" w:csb1="00000000"/>
    <w:embedRegular r:id="rId3" w:fontKey="{CE96A710-3C4D-4AA7-90E9-35515F6421E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15FA">
    <w:pPr>
      <w:pStyle w:val="55"/>
      <w:framePr w:wrap="around" w:vAnchor="text" w:hAnchor="margin" w:xAlign="right" w:y="1"/>
      <w:rPr>
        <w:rStyle w:val="234"/>
      </w:rPr>
    </w:pPr>
    <w:r>
      <w:fldChar w:fldCharType="begin"/>
    </w:r>
    <w:r>
      <w:rPr>
        <w:rStyle w:val="234"/>
      </w:rPr>
      <w:instrText xml:space="preserve">PAGE  </w:instrText>
    </w:r>
    <w:r>
      <w:fldChar w:fldCharType="separate"/>
    </w:r>
    <w:r>
      <w:rPr>
        <w:rStyle w:val="234"/>
      </w:rPr>
      <w:t>33</w:t>
    </w:r>
    <w:r>
      <w:fldChar w:fldCharType="end"/>
    </w:r>
  </w:p>
  <w:p w14:paraId="37DE4E39">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A255">
    <w:pPr>
      <w:pStyle w:val="55"/>
      <w:framePr w:wrap="around" w:vAnchor="text" w:hAnchor="margin" w:xAlign="right" w:y="1"/>
      <w:rPr>
        <w:rStyle w:val="234"/>
      </w:rPr>
    </w:pPr>
    <w:r>
      <w:fldChar w:fldCharType="begin"/>
    </w:r>
    <w:r>
      <w:rPr>
        <w:rStyle w:val="234"/>
      </w:rPr>
      <w:instrText xml:space="preserve">PAGE  </w:instrText>
    </w:r>
    <w:r>
      <w:fldChar w:fldCharType="end"/>
    </w:r>
  </w:p>
  <w:p w14:paraId="74832B42">
    <w:pPr>
      <w:pStyle w:val="5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4F169">
    <w:pPr>
      <w:pStyle w:val="57"/>
      <w:ind w:firstLine="840" w:firstLineChars="400"/>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DC78CE72"/>
    <w:multiLevelType w:val="singleLevel"/>
    <w:tmpl w:val="DC78CE72"/>
    <w:lvl w:ilvl="0" w:tentative="0">
      <w:start w:val="1"/>
      <w:numFmt w:val="decimal"/>
      <w:pStyle w:val="695"/>
      <w:lvlText w:val="[%1]"/>
      <w:lvlJc w:val="left"/>
      <w:pPr>
        <w:tabs>
          <w:tab w:val="left" w:pos="420"/>
        </w:tabs>
        <w:ind w:left="425" w:hanging="425"/>
      </w:pPr>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EF81268F"/>
    <w:multiLevelType w:val="singleLevel"/>
    <w:tmpl w:val="EF81268F"/>
    <w:lvl w:ilvl="0" w:tentative="0">
      <w:start w:val="1"/>
      <w:numFmt w:val="decimal"/>
      <w:pStyle w:val="699"/>
      <w:suff w:val="space"/>
      <w:lvlText w:val="图%1"/>
      <w:lvlJc w:val="left"/>
      <w:pPr>
        <w:ind w:left="425" w:hanging="425"/>
      </w:pPr>
    </w:lvl>
  </w:abstractNum>
  <w:abstractNum w:abstractNumId="5">
    <w:nsid w:val="0382B6CA"/>
    <w:multiLevelType w:val="singleLevel"/>
    <w:tmpl w:val="0382B6CA"/>
    <w:lvl w:ilvl="0" w:tentative="0">
      <w:start w:val="1"/>
      <w:numFmt w:val="decimal"/>
      <w:pStyle w:val="698"/>
      <w:suff w:val="space"/>
      <w:lvlText w:val="表%1"/>
      <w:lvlJc w:val="left"/>
      <w:pPr>
        <w:ind w:left="425" w:hanging="425"/>
      </w:pPr>
    </w:lvl>
  </w:abstractNum>
  <w:abstractNum w:abstractNumId="6">
    <w:nsid w:val="12D298AE"/>
    <w:multiLevelType w:val="singleLevel"/>
    <w:tmpl w:val="12D298AE"/>
    <w:lvl w:ilvl="0" w:tentative="0">
      <w:start w:val="1"/>
      <w:numFmt w:val="decimal"/>
      <w:pStyle w:val="15"/>
      <w:lvlText w:val="%1."/>
      <w:lvlJc w:val="left"/>
      <w:pPr>
        <w:tabs>
          <w:tab w:val="left" w:pos="780"/>
        </w:tabs>
        <w:ind w:left="780" w:hanging="360"/>
      </w:pPr>
    </w:lvl>
  </w:abstractNum>
  <w:abstractNum w:abstractNumId="7">
    <w:nsid w:val="22B4D954"/>
    <w:multiLevelType w:val="singleLevel"/>
    <w:tmpl w:val="22B4D954"/>
    <w:lvl w:ilvl="0" w:tentative="0">
      <w:start w:val="1"/>
      <w:numFmt w:val="decimal"/>
      <w:pStyle w:val="21"/>
      <w:lvlText w:val="%1."/>
      <w:lvlJc w:val="left"/>
      <w:pPr>
        <w:tabs>
          <w:tab w:val="left" w:pos="360"/>
        </w:tabs>
        <w:ind w:left="360" w:hanging="360"/>
      </w:pPr>
    </w:lvl>
  </w:abstractNum>
  <w:abstractNum w:abstractNumId="8">
    <w:nsid w:val="3F3DD94F"/>
    <w:multiLevelType w:val="singleLevel"/>
    <w:tmpl w:val="3F3DD94F"/>
    <w:lvl w:ilvl="0" w:tentative="0">
      <w:start w:val="1"/>
      <w:numFmt w:val="decimal"/>
      <w:pStyle w:val="37"/>
      <w:lvlText w:val="%1."/>
      <w:lvlJc w:val="left"/>
      <w:pPr>
        <w:tabs>
          <w:tab w:val="left" w:pos="1200"/>
        </w:tabs>
        <w:ind w:left="1200" w:hanging="360"/>
      </w:pPr>
    </w:lvl>
  </w:abstractNum>
  <w:abstractNum w:abstractNumId="9">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10">
    <w:nsid w:val="5F4F22E9"/>
    <w:multiLevelType w:val="singleLevel"/>
    <w:tmpl w:val="5F4F22E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1">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2">
    <w:nsid w:val="7B9DAE66"/>
    <w:multiLevelType w:val="singleLevel"/>
    <w:tmpl w:val="7B9DAE66"/>
    <w:lvl w:ilvl="0" w:tentative="0">
      <w:start w:val="1"/>
      <w:numFmt w:val="bullet"/>
      <w:pStyle w:val="34"/>
      <w:lvlText w:val=""/>
      <w:lvlJc w:val="left"/>
      <w:pPr>
        <w:tabs>
          <w:tab w:val="left" w:pos="1200"/>
        </w:tabs>
        <w:ind w:left="1200" w:hanging="360"/>
      </w:pPr>
      <w:rPr>
        <w:rFonts w:hint="default" w:ascii="Wingdings" w:hAnsi="Wingdings"/>
      </w:rPr>
    </w:lvl>
  </w:abstractNum>
  <w:num w:numId="1">
    <w:abstractNumId w:val="6"/>
  </w:num>
  <w:num w:numId="2">
    <w:abstractNumId w:val="0"/>
  </w:num>
  <w:num w:numId="3">
    <w:abstractNumId w:val="7"/>
  </w:num>
  <w:num w:numId="4">
    <w:abstractNumId w:val="10"/>
  </w:num>
  <w:num w:numId="5">
    <w:abstractNumId w:val="12"/>
  </w:num>
  <w:num w:numId="6">
    <w:abstractNumId w:val="8"/>
  </w:num>
  <w:num w:numId="7">
    <w:abstractNumId w:val="11"/>
  </w:num>
  <w:num w:numId="8">
    <w:abstractNumId w:val="3"/>
  </w:num>
  <w:num w:numId="9">
    <w:abstractNumId w:val="1"/>
  </w:num>
  <w:num w:numId="10">
    <w:abstractNumId w:val="9"/>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66174"/>
    <w:rsid w:val="00045BB9"/>
    <w:rsid w:val="00093088"/>
    <w:rsid w:val="000951EC"/>
    <w:rsid w:val="000B0E8C"/>
    <w:rsid w:val="001469BE"/>
    <w:rsid w:val="00210D7E"/>
    <w:rsid w:val="00226D4D"/>
    <w:rsid w:val="0023795E"/>
    <w:rsid w:val="00294944"/>
    <w:rsid w:val="003932D1"/>
    <w:rsid w:val="006E70FD"/>
    <w:rsid w:val="006F77D6"/>
    <w:rsid w:val="007E59BA"/>
    <w:rsid w:val="00845B47"/>
    <w:rsid w:val="009C0615"/>
    <w:rsid w:val="00A255B1"/>
    <w:rsid w:val="00AC0479"/>
    <w:rsid w:val="00C9678E"/>
    <w:rsid w:val="00CE331B"/>
    <w:rsid w:val="00D05E72"/>
    <w:rsid w:val="00D501BB"/>
    <w:rsid w:val="00E22E04"/>
    <w:rsid w:val="00F054D5"/>
    <w:rsid w:val="00FF0E03"/>
    <w:rsid w:val="03F531F0"/>
    <w:rsid w:val="04B1068B"/>
    <w:rsid w:val="077A57D9"/>
    <w:rsid w:val="091B54AD"/>
    <w:rsid w:val="097D1872"/>
    <w:rsid w:val="0A183EA3"/>
    <w:rsid w:val="0BF66174"/>
    <w:rsid w:val="0EA3213F"/>
    <w:rsid w:val="105D02E8"/>
    <w:rsid w:val="115971B4"/>
    <w:rsid w:val="116002DE"/>
    <w:rsid w:val="159266A5"/>
    <w:rsid w:val="1E5D2345"/>
    <w:rsid w:val="1E726D03"/>
    <w:rsid w:val="21201FC3"/>
    <w:rsid w:val="21380A48"/>
    <w:rsid w:val="2539485F"/>
    <w:rsid w:val="25C805EC"/>
    <w:rsid w:val="26A139B9"/>
    <w:rsid w:val="272E26D1"/>
    <w:rsid w:val="2C8C703D"/>
    <w:rsid w:val="2D594989"/>
    <w:rsid w:val="308E2433"/>
    <w:rsid w:val="312A7DC4"/>
    <w:rsid w:val="3179174A"/>
    <w:rsid w:val="3371728B"/>
    <w:rsid w:val="33C5616B"/>
    <w:rsid w:val="34AD7352"/>
    <w:rsid w:val="34C226AB"/>
    <w:rsid w:val="38A30D72"/>
    <w:rsid w:val="3D3C6D8B"/>
    <w:rsid w:val="416A65A4"/>
    <w:rsid w:val="430F539D"/>
    <w:rsid w:val="434A2CC5"/>
    <w:rsid w:val="437B35B5"/>
    <w:rsid w:val="45806396"/>
    <w:rsid w:val="4CBF120F"/>
    <w:rsid w:val="4D362F84"/>
    <w:rsid w:val="4E257ADB"/>
    <w:rsid w:val="4FEA34AF"/>
    <w:rsid w:val="548E3F00"/>
    <w:rsid w:val="55142657"/>
    <w:rsid w:val="57825F9E"/>
    <w:rsid w:val="594076E2"/>
    <w:rsid w:val="59710078"/>
    <w:rsid w:val="5BF24D5F"/>
    <w:rsid w:val="5E912F6A"/>
    <w:rsid w:val="5FD9754E"/>
    <w:rsid w:val="624349F1"/>
    <w:rsid w:val="64F8126C"/>
    <w:rsid w:val="675A043F"/>
    <w:rsid w:val="67BC24AB"/>
    <w:rsid w:val="684D1CB0"/>
    <w:rsid w:val="68C75EC7"/>
    <w:rsid w:val="68F42A0B"/>
    <w:rsid w:val="6C983716"/>
    <w:rsid w:val="6E512D78"/>
    <w:rsid w:val="6F4A0232"/>
    <w:rsid w:val="706F0B3B"/>
    <w:rsid w:val="70D32A4B"/>
    <w:rsid w:val="71436346"/>
    <w:rsid w:val="71B37676"/>
    <w:rsid w:val="75F652E4"/>
    <w:rsid w:val="795B11E6"/>
    <w:rsid w:val="796306F0"/>
    <w:rsid w:val="797846B3"/>
    <w:rsid w:val="7A490C32"/>
    <w:rsid w:val="7C930B6D"/>
    <w:rsid w:val="7D0F3586"/>
    <w:rsid w:val="7D692C90"/>
    <w:rsid w:val="7F81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0" w:semiHidden="0" w:name="List Paragraph"/>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64"/>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paragraph" w:styleId="7">
    <w:name w:val="heading 4"/>
    <w:basedOn w:val="1"/>
    <w:next w:val="1"/>
    <w:link w:val="247"/>
    <w:semiHidden/>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spacing w:before="280" w:after="290" w:line="372" w:lineRule="auto"/>
      <w:outlineLvl w:val="4"/>
    </w:pPr>
    <w:rPr>
      <w:b/>
      <w:sz w:val="28"/>
    </w:rPr>
  </w:style>
  <w:style w:type="paragraph" w:styleId="9">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spacing w:before="240" w:after="64" w:line="317" w:lineRule="auto"/>
      <w:outlineLvl w:val="6"/>
    </w:pPr>
    <w:rPr>
      <w:b/>
      <w:sz w:val="24"/>
    </w:rPr>
  </w:style>
  <w:style w:type="paragraph" w:styleId="11">
    <w:name w:val="heading 8"/>
    <w:basedOn w:val="1"/>
    <w:next w:val="1"/>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spacing w:before="240" w:after="64" w:line="317" w:lineRule="auto"/>
      <w:outlineLvl w:val="8"/>
    </w:pPr>
    <w:rPr>
      <w:rFonts w:ascii="Arial" w:hAnsi="Arial" w:eastAsia="黑体"/>
    </w:rPr>
  </w:style>
  <w:style w:type="character" w:default="1" w:styleId="231">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macro"/>
    <w:link w:val="6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pPr>
  </w:style>
  <w:style w:type="paragraph" w:styleId="16">
    <w:name w:val="table of authorities"/>
    <w:basedOn w:val="1"/>
    <w:next w:val="1"/>
    <w:qFormat/>
    <w:uiPriority w:val="0"/>
    <w:pPr>
      <w:ind w:left="420" w:leftChars="200"/>
    </w:pPr>
  </w:style>
  <w:style w:type="paragraph" w:styleId="17">
    <w:name w:val="Note Heading"/>
    <w:basedOn w:val="1"/>
    <w:next w:val="1"/>
    <w:link w:val="676"/>
    <w:qFormat/>
    <w:uiPriority w:val="0"/>
    <w:pPr>
      <w:jc w:val="center"/>
    </w:pPr>
  </w:style>
  <w:style w:type="paragraph" w:styleId="18">
    <w:name w:val="List Bullet 4"/>
    <w:basedOn w:val="1"/>
    <w:qFormat/>
    <w:uiPriority w:val="0"/>
    <w:pPr>
      <w:numPr>
        <w:ilvl w:val="0"/>
        <w:numId w:val="2"/>
      </w:numPr>
    </w:pPr>
  </w:style>
  <w:style w:type="paragraph" w:styleId="19">
    <w:name w:val="index 8"/>
    <w:basedOn w:val="1"/>
    <w:next w:val="1"/>
    <w:qFormat/>
    <w:uiPriority w:val="0"/>
    <w:pPr>
      <w:ind w:left="1400" w:leftChars="1400"/>
    </w:pPr>
  </w:style>
  <w:style w:type="paragraph" w:styleId="20">
    <w:name w:val="E-mail Signature"/>
    <w:basedOn w:val="1"/>
    <w:link w:val="670"/>
    <w:qFormat/>
    <w:uiPriority w:val="0"/>
  </w:style>
  <w:style w:type="paragraph" w:styleId="21">
    <w:name w:val="List Number"/>
    <w:basedOn w:val="1"/>
    <w:qFormat/>
    <w:uiPriority w:val="0"/>
    <w:pPr>
      <w:numPr>
        <w:ilvl w:val="0"/>
        <w:numId w:val="3"/>
      </w:numPr>
    </w:pPr>
  </w:style>
  <w:style w:type="paragraph" w:styleId="22">
    <w:name w:val="Normal Indent"/>
    <w:basedOn w:val="1"/>
    <w:qFormat/>
    <w:uiPriority w:val="0"/>
    <w:pPr>
      <w:ind w:firstLine="420" w:firstLineChars="200"/>
    </w:pPr>
  </w:style>
  <w:style w:type="paragraph" w:styleId="23">
    <w:name w:val="caption"/>
    <w:basedOn w:val="1"/>
    <w:next w:val="1"/>
    <w:semiHidden/>
    <w:unhideWhenUsed/>
    <w:qFormat/>
    <w:uiPriority w:val="0"/>
    <w:rPr>
      <w:rFonts w:ascii="Arial" w:hAnsi="Arial" w:eastAsia="黑体"/>
      <w:sz w:val="20"/>
    </w:rPr>
  </w:style>
  <w:style w:type="paragraph" w:styleId="24">
    <w:name w:val="index 5"/>
    <w:basedOn w:val="1"/>
    <w:next w:val="1"/>
    <w:qFormat/>
    <w:uiPriority w:val="0"/>
    <w:pPr>
      <w:ind w:left="800" w:leftChars="800"/>
    </w:pPr>
  </w:style>
  <w:style w:type="paragraph" w:styleId="25">
    <w:name w:val="List Bullet"/>
    <w:basedOn w:val="1"/>
    <w:qFormat/>
    <w:uiPriority w:val="0"/>
    <w:pPr>
      <w:numPr>
        <w:ilvl w:val="0"/>
        <w:numId w:val="4"/>
      </w:numPr>
    </w:p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674"/>
    <w:qFormat/>
    <w:uiPriority w:val="0"/>
    <w:pPr>
      <w:shd w:val="clear" w:color="auto" w:fill="000080"/>
    </w:p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qFormat/>
    <w:uiPriority w:val="0"/>
    <w:pPr>
      <w:jc w:val="left"/>
    </w:pPr>
  </w:style>
  <w:style w:type="paragraph" w:styleId="30">
    <w:name w:val="index 6"/>
    <w:basedOn w:val="1"/>
    <w:next w:val="1"/>
    <w:qFormat/>
    <w:uiPriority w:val="0"/>
    <w:pPr>
      <w:ind w:left="1000" w:leftChars="1000"/>
    </w:pPr>
  </w:style>
  <w:style w:type="paragraph" w:styleId="31">
    <w:name w:val="Salutation"/>
    <w:basedOn w:val="1"/>
    <w:next w:val="1"/>
    <w:qFormat/>
    <w:uiPriority w:val="0"/>
  </w:style>
  <w:style w:type="paragraph" w:styleId="32">
    <w:name w:val="Body Text 3"/>
    <w:basedOn w:val="1"/>
    <w:qFormat/>
    <w:uiPriority w:val="0"/>
    <w:pPr>
      <w:spacing w:after="120"/>
    </w:pPr>
    <w:rPr>
      <w:sz w:val="16"/>
    </w:rPr>
  </w:style>
  <w:style w:type="paragraph" w:styleId="33">
    <w:name w:val="Closing"/>
    <w:basedOn w:val="1"/>
    <w:link w:val="672"/>
    <w:qFormat/>
    <w:uiPriority w:val="0"/>
    <w:pPr>
      <w:ind w:left="100" w:leftChars="2100"/>
    </w:pPr>
  </w:style>
  <w:style w:type="paragraph" w:styleId="34">
    <w:name w:val="List Bullet 3"/>
    <w:basedOn w:val="1"/>
    <w:qFormat/>
    <w:uiPriority w:val="0"/>
    <w:pPr>
      <w:numPr>
        <w:ilvl w:val="0"/>
        <w:numId w:val="5"/>
      </w:numPr>
    </w:pPr>
  </w:style>
  <w:style w:type="paragraph" w:styleId="35">
    <w:name w:val="Body Text"/>
    <w:basedOn w:val="1"/>
    <w:link w:val="355"/>
    <w:qFormat/>
    <w:uiPriority w:val="0"/>
    <w:pPr>
      <w:spacing w:after="120"/>
    </w:pPr>
  </w:style>
  <w:style w:type="paragraph" w:styleId="36">
    <w:name w:val="Body Text Indent"/>
    <w:basedOn w:val="1"/>
    <w:qFormat/>
    <w:uiPriority w:val="0"/>
    <w:pPr>
      <w:spacing w:after="120"/>
      <w:ind w:left="420" w:leftChars="200"/>
    </w:pPr>
  </w:style>
  <w:style w:type="paragraph" w:styleId="37">
    <w:name w:val="List Number 3"/>
    <w:basedOn w:val="1"/>
    <w:qFormat/>
    <w:uiPriority w:val="0"/>
    <w:pPr>
      <w:numPr>
        <w:ilvl w:val="0"/>
        <w:numId w:val="6"/>
      </w:numPr>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669"/>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250"/>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link w:val="246"/>
    <w:qFormat/>
    <w:uiPriority w:val="0"/>
    <w:pPr>
      <w:spacing w:before="240" w:after="6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link w:val="677"/>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67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b/>
      <w:sz w:val="32"/>
    </w:rPr>
  </w:style>
  <w:style w:type="paragraph" w:styleId="85">
    <w:name w:val="annotation subject"/>
    <w:basedOn w:val="29"/>
    <w:next w:val="29"/>
    <w:qFormat/>
    <w:uiPriority w:val="0"/>
    <w:rPr>
      <w:b/>
    </w:rPr>
  </w:style>
  <w:style w:type="paragraph" w:styleId="86">
    <w:name w:val="Body Text First Indent"/>
    <w:basedOn w:val="35"/>
    <w:qFormat/>
    <w:uiPriority w:val="0"/>
    <w:pPr>
      <w:ind w:firstLine="420" w:firstLineChars="100"/>
    </w:pPr>
  </w:style>
  <w:style w:type="paragraph" w:styleId="87">
    <w:name w:val="Body Text First Indent 2"/>
    <w:basedOn w:val="36"/>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0"/>
    <w:pPr>
      <w:widowControl w:val="0"/>
      <w:adjustRightInd w:val="0"/>
      <w:snapToGrid w:val="0"/>
      <w:spacing w:line="336" w:lineRule="auto"/>
      <w:ind w:firstLine="44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0"/>
    <w:pPr>
      <w:widowControl w:val="0"/>
      <w:adjustRightInd w:val="0"/>
      <w:snapToGrid w:val="0"/>
      <w:spacing w:line="336" w:lineRule="auto"/>
      <w:ind w:firstLine="44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0"/>
    <w:pPr>
      <w:widowControl w:val="0"/>
      <w:adjustRightInd w:val="0"/>
      <w:snapToGrid w:val="0"/>
      <w:spacing w:line="336" w:lineRule="auto"/>
      <w:ind w:firstLine="44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0"/>
    <w:pPr>
      <w:widowControl w:val="0"/>
      <w:adjustRightInd w:val="0"/>
      <w:snapToGrid w:val="0"/>
      <w:spacing w:line="336" w:lineRule="auto"/>
      <w:ind w:firstLine="44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0"/>
    <w:pPr>
      <w:widowControl w:val="0"/>
      <w:adjustRightInd w:val="0"/>
      <w:snapToGrid w:val="0"/>
      <w:spacing w:line="336" w:lineRule="auto"/>
      <w:ind w:firstLine="440" w:firstLineChars="20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0"/>
    <w:pPr>
      <w:widowControl w:val="0"/>
      <w:adjustRightInd w:val="0"/>
      <w:snapToGrid w:val="0"/>
      <w:spacing w:line="336" w:lineRule="auto"/>
      <w:ind w:firstLine="440" w:firstLineChars="20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0"/>
    <w:pPr>
      <w:widowControl w:val="0"/>
      <w:adjustRightInd w:val="0"/>
      <w:snapToGrid w:val="0"/>
      <w:spacing w:line="336" w:lineRule="auto"/>
      <w:ind w:firstLine="44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0"/>
    <w:pPr>
      <w:widowControl w:val="0"/>
      <w:adjustRightInd w:val="0"/>
      <w:snapToGrid w:val="0"/>
      <w:spacing w:line="336" w:lineRule="auto"/>
      <w:ind w:firstLine="44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54A1" w:themeColor="accent1" w:themeShade="BF"/>
    </w:rPr>
    <w:tblPr>
      <w:tblBorders>
        <w:top w:val="single" w:color="4874CB" w:themeColor="accent1" w:sz="8" w:space="0"/>
        <w:bottom w:val="single" w:color="4874CB" w:themeColor="accent1" w:sz="8" w:space="0"/>
      </w:tblBorders>
    </w:tblPr>
    <w:tblStylePr w:type="fir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la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135">
    <w:name w:val="Light Shading Accent 2"/>
    <w:basedOn w:val="88"/>
    <w:autoRedefine/>
    <w:semiHidden/>
    <w:unhideWhenUsed/>
    <w:qFormat/>
    <w:uiPriority w:val="60"/>
    <w:rPr>
      <w:color w:val="C65F10" w:themeColor="accent2" w:themeShade="BF"/>
    </w:rPr>
    <w:tblPr>
      <w:tblBorders>
        <w:top w:val="single" w:color="EE822F" w:themeColor="accent2" w:sz="8" w:space="0"/>
        <w:bottom w:val="single" w:color="EE822F" w:themeColor="accent2" w:sz="8" w:space="0"/>
      </w:tblBorders>
    </w:tblPr>
    <w:tblStylePr w:type="fir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la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left w:val="nil"/>
          <w:right w:val="nil"/>
          <w:insideH w:val="nil"/>
          <w:insideV w:val="nil"/>
        </w:tcBorders>
        <w:shd w:val="clear" w:color="auto" w:fill="FAE0CB" w:themeFill="accent2" w:themeFillTint="3F"/>
      </w:tcPr>
    </w:tblStylePr>
  </w:style>
  <w:style w:type="table" w:styleId="136">
    <w:name w:val="Light Shading Accent 3"/>
    <w:basedOn w:val="88"/>
    <w:autoRedefine/>
    <w:semiHidden/>
    <w:unhideWhenUsed/>
    <w:qFormat/>
    <w:uiPriority w:val="60"/>
    <w:rPr>
      <w:color w:val="B68C02" w:themeColor="accent3" w:themeShade="BF"/>
    </w:rPr>
    <w:tblPr>
      <w:tblBorders>
        <w:top w:val="single" w:color="F2BA02" w:themeColor="accent3" w:sz="8" w:space="0"/>
        <w:bottom w:val="single" w:color="F2BA02" w:themeColor="accent3" w:sz="8" w:space="0"/>
      </w:tblBorders>
    </w:tblPr>
    <w:tblStylePr w:type="fir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la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137">
    <w:name w:val="Light Shading Accent 4"/>
    <w:basedOn w:val="88"/>
    <w:autoRedefine/>
    <w:semiHidden/>
    <w:unhideWhenUsed/>
    <w:qFormat/>
    <w:uiPriority w:val="60"/>
    <w:rPr>
      <w:color w:val="588E32" w:themeColor="accent4" w:themeShade="BF"/>
    </w:rPr>
    <w:tblPr>
      <w:tblBorders>
        <w:top w:val="single" w:color="75BD42" w:themeColor="accent4" w:sz="8" w:space="0"/>
        <w:bottom w:val="single" w:color="75BD42" w:themeColor="accent4" w:sz="8" w:space="0"/>
      </w:tblBorders>
    </w:tblPr>
    <w:tblStylePr w:type="fir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la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138">
    <w:name w:val="Light Shading Accent 5"/>
    <w:basedOn w:val="88"/>
    <w:autoRedefine/>
    <w:semiHidden/>
    <w:unhideWhenUsed/>
    <w:qFormat/>
    <w:uiPriority w:val="60"/>
    <w:rPr>
      <w:color w:val="249087" w:themeColor="accent5" w:themeShade="BF"/>
    </w:rPr>
    <w:tblPr>
      <w:tblBorders>
        <w:top w:val="single" w:color="30C0B4" w:themeColor="accent5" w:sz="8" w:space="0"/>
        <w:bottom w:val="single" w:color="30C0B4" w:themeColor="accent5" w:sz="8" w:space="0"/>
      </w:tblBorders>
    </w:tblPr>
    <w:tblStylePr w:type="fir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la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139">
    <w:name w:val="Light Shading Accent 6"/>
    <w:basedOn w:val="88"/>
    <w:autoRedefine/>
    <w:semiHidden/>
    <w:unhideWhenUsed/>
    <w:qFormat/>
    <w:uiPriority w:val="60"/>
    <w:rPr>
      <w:color w:val="C81D31" w:themeColor="accent6" w:themeShade="BF"/>
    </w:rPr>
    <w:tblPr>
      <w:tblBorders>
        <w:top w:val="single" w:color="E54C5E" w:themeColor="accent6" w:sz="8" w:space="0"/>
        <w:bottom w:val="single" w:color="E54C5E" w:themeColor="accent6" w:sz="8" w:space="0"/>
      </w:tblBorders>
    </w:tblPr>
    <w:tblStylePr w:type="fir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la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874CB" w:themeFill="accent1"/>
      </w:tcPr>
    </w:tblStylePr>
    <w:tblStylePr w:type="lastRow">
      <w:pPr>
        <w:spacing w:before="0" w:after="0" w:line="240" w:lineRule="auto"/>
      </w:pPr>
      <w:rPr>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tcBorders>
      </w:tcPr>
    </w:tblStylePr>
    <w:tblStylePr w:type="firstCol">
      <w:rPr>
        <w:b/>
        <w:bCs/>
      </w:rPr>
    </w:tblStylePr>
    <w:tblStylePr w:type="lastCol">
      <w:rPr>
        <w:b/>
        <w:bCs/>
      </w:r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style>
  <w:style w:type="table" w:styleId="142">
    <w:name w:val="Light List Accent 2"/>
    <w:basedOn w:val="88"/>
    <w:autoRedefine/>
    <w:semiHidden/>
    <w:unhideWhenUsed/>
    <w:qFormat/>
    <w:uiPriority w:val="61"/>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E822F" w:themeFill="accent2"/>
      </w:tcPr>
    </w:tblStylePr>
    <w:tblStylePr w:type="lastRow">
      <w:pPr>
        <w:spacing w:before="0" w:after="0" w:line="240" w:lineRule="auto"/>
      </w:pPr>
      <w:rPr>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tcBorders>
      </w:tcPr>
    </w:tblStylePr>
    <w:tblStylePr w:type="firstCol">
      <w:rPr>
        <w:b/>
        <w:bCs/>
      </w:rPr>
    </w:tblStylePr>
    <w:tblStylePr w:type="lastCol">
      <w:rPr>
        <w:b/>
        <w:bCs/>
      </w:r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style>
  <w:style w:type="table" w:styleId="143">
    <w:name w:val="Light List Accent 3"/>
    <w:basedOn w:val="88"/>
    <w:autoRedefine/>
    <w:semiHidden/>
    <w:unhideWhenUsed/>
    <w:qFormat/>
    <w:uiPriority w:val="61"/>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2BA02" w:themeFill="accent3"/>
      </w:tcPr>
    </w:tblStylePr>
    <w:tblStylePr w:type="lastRow">
      <w:pPr>
        <w:spacing w:before="0" w:after="0" w:line="240" w:lineRule="auto"/>
      </w:pPr>
      <w:rPr>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tcBorders>
      </w:tcPr>
    </w:tblStylePr>
    <w:tblStylePr w:type="firstCol">
      <w:rPr>
        <w:b/>
        <w:bCs/>
      </w:rPr>
    </w:tblStylePr>
    <w:tblStylePr w:type="lastCol">
      <w:rPr>
        <w:b/>
        <w:bCs/>
      </w:r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style>
  <w:style w:type="table" w:styleId="144">
    <w:name w:val="Light List Accent 4"/>
    <w:basedOn w:val="88"/>
    <w:autoRedefine/>
    <w:semiHidden/>
    <w:unhideWhenUsed/>
    <w:qFormat/>
    <w:uiPriority w:val="61"/>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5BD42" w:themeFill="accent4"/>
      </w:tcPr>
    </w:tblStylePr>
    <w:tblStylePr w:type="lastRow">
      <w:pPr>
        <w:spacing w:before="0" w:after="0" w:line="240" w:lineRule="auto"/>
      </w:pPr>
      <w:rPr>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tcBorders>
      </w:tcPr>
    </w:tblStylePr>
    <w:tblStylePr w:type="firstCol">
      <w:rPr>
        <w:b/>
        <w:bCs/>
      </w:rPr>
    </w:tblStylePr>
    <w:tblStylePr w:type="lastCol">
      <w:rPr>
        <w:b/>
        <w:bCs/>
      </w:r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style>
  <w:style w:type="table" w:styleId="145">
    <w:name w:val="Light List Accent 5"/>
    <w:basedOn w:val="88"/>
    <w:autoRedefine/>
    <w:semiHidden/>
    <w:unhideWhenUsed/>
    <w:qFormat/>
    <w:uiPriority w:val="61"/>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0C0B4" w:themeFill="accent5"/>
      </w:tcPr>
    </w:tblStylePr>
    <w:tblStylePr w:type="lastRow">
      <w:pPr>
        <w:spacing w:before="0" w:after="0" w:line="240" w:lineRule="auto"/>
      </w:pPr>
      <w:rPr>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tcBorders>
      </w:tcPr>
    </w:tblStylePr>
    <w:tblStylePr w:type="firstCol">
      <w:rPr>
        <w:b/>
        <w:bCs/>
      </w:rPr>
    </w:tblStylePr>
    <w:tblStylePr w:type="lastCol">
      <w:rPr>
        <w:b/>
        <w:bCs/>
      </w:r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style>
  <w:style w:type="table" w:styleId="146">
    <w:name w:val="Light List Accent 6"/>
    <w:basedOn w:val="88"/>
    <w:autoRedefine/>
    <w:semiHidden/>
    <w:unhideWhenUsed/>
    <w:qFormat/>
    <w:uiPriority w:val="61"/>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54C5E" w:themeFill="accent6"/>
      </w:tcPr>
    </w:tblStylePr>
    <w:tblStylePr w:type="lastRow">
      <w:pPr>
        <w:spacing w:before="0" w:after="0" w:line="240" w:lineRule="auto"/>
      </w:pPr>
      <w:rPr>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tcBorders>
      </w:tcPr>
    </w:tblStylePr>
    <w:tblStylePr w:type="firstCol">
      <w:rPr>
        <w:b/>
        <w:bCs/>
      </w:rPr>
    </w:tblStylePr>
    <w:tblStylePr w:type="lastCol">
      <w:rPr>
        <w:b/>
        <w:bCs/>
      </w:r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18" w:space="0"/>
          <w:right w:val="single" w:color="4874CB"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shd w:val="clear" w:color="auto" w:fill="D1DCF2" w:themeFill="accent1" w:themeFillTint="3F"/>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shd w:val="clear" w:color="auto" w:fill="D1DCF2" w:themeFill="accent1" w:themeFillTint="3F"/>
      </w:tcPr>
    </w:tblStylePr>
    <w:tblStylePr w:type="band2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18" w:space="0"/>
          <w:right w:val="single" w:color="EE822F"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shd w:val="clear" w:color="auto" w:fill="FAE0CB" w:themeFill="accent2" w:themeFillTint="3F"/>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shd w:val="clear" w:color="auto" w:fill="FAE0CB" w:themeFill="accent2" w:themeFillTint="3F"/>
      </w:tcPr>
    </w:tblStylePr>
    <w:tblStylePr w:type="band2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18" w:space="0"/>
          <w:right w:val="single" w:color="F2BA0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shd w:val="clear" w:color="auto" w:fill="FEEFBD" w:themeFill="accent3" w:themeFillTint="3F"/>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shd w:val="clear" w:color="auto" w:fill="FEEFBD" w:themeFill="accent3" w:themeFillTint="3F"/>
      </w:tcPr>
    </w:tblStylePr>
    <w:tblStylePr w:type="band2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18" w:space="0"/>
          <w:right w:val="single" w:color="75BD4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shd w:val="clear" w:color="auto" w:fill="DCEED0" w:themeFill="accent4" w:themeFillTint="3F"/>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shd w:val="clear" w:color="auto" w:fill="DCEED0" w:themeFill="accent4" w:themeFillTint="3F"/>
      </w:tcPr>
    </w:tblStylePr>
    <w:tblStylePr w:type="band2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18" w:space="0"/>
          <w:right w:val="single" w:color="30C0B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shd w:val="clear" w:color="auto" w:fill="C9F1EE" w:themeFill="accent5" w:themeFillTint="3F"/>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shd w:val="clear" w:color="auto" w:fill="C9F1EE" w:themeFill="accent5" w:themeFillTint="3F"/>
      </w:tcPr>
    </w:tblStylePr>
    <w:tblStylePr w:type="band2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18" w:space="0"/>
          <w:right w:val="single" w:color="E54C5E"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shd w:val="clear" w:color="auto" w:fill="F8D2D7" w:themeFill="accent6" w:themeFillTint="3F"/>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shd w:val="clear" w:color="auto" w:fill="F8D2D7" w:themeFill="accent6" w:themeFillTint="3F"/>
      </w:tcPr>
    </w:tblStylePr>
    <w:tblStylePr w:type="band2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shd w:val="clear" w:color="auto" w:fill="4874CB" w:themeFill="accent1"/>
      </w:tcPr>
    </w:tblStylePr>
    <w:tblStylePr w:type="lastRow">
      <w:pPr>
        <w:spacing w:before="0" w:after="0" w:line="240" w:lineRule="auto"/>
      </w:pPr>
      <w:rPr>
        <w:b/>
        <w:bCs/>
      </w:rPr>
      <w:tblPr/>
      <w:tcPr>
        <w:tcBorders>
          <w:top w:val="double" w:color="7596D8" w:themeColor="accent1" w:themeTint="BF" w:sz="6"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shd w:val="clear" w:color="auto" w:fill="EE822F" w:themeFill="accent2"/>
      </w:tcPr>
    </w:tblStylePr>
    <w:tblStylePr w:type="lastRow">
      <w:pPr>
        <w:spacing w:before="0" w:after="0" w:line="240" w:lineRule="auto"/>
      </w:pPr>
      <w:rPr>
        <w:b/>
        <w:bCs/>
      </w:rPr>
      <w:tblPr/>
      <w:tcPr>
        <w:tcBorders>
          <w:top w:val="double" w:color="F2A163" w:themeColor="accent2" w:themeTint="BF" w:sz="6"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CB" w:themeFill="accent2" w:themeFillTint="3F"/>
      </w:tcPr>
    </w:tblStylePr>
    <w:tblStylePr w:type="band1Horz">
      <w:tblPr/>
      <w:tcPr>
        <w:tcBorders>
          <w:insideH w:val="nil"/>
          <w:insideV w:val="nil"/>
        </w:tcBorders>
        <w:shd w:val="clear" w:color="auto" w:fill="FAE0CB"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shd w:val="clear" w:color="auto" w:fill="F2BA02" w:themeFill="accent3"/>
      </w:tcPr>
    </w:tblStylePr>
    <w:tblStylePr w:type="lastRow">
      <w:pPr>
        <w:spacing w:before="0" w:after="0" w:line="240" w:lineRule="auto"/>
      </w:pPr>
      <w:rPr>
        <w:b/>
        <w:bCs/>
      </w:rPr>
      <w:tblPr/>
      <w:tcPr>
        <w:tcBorders>
          <w:top w:val="double" w:color="FDCF39" w:themeColor="accent3" w:themeTint="BF" w:sz="6"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shd w:val="clear" w:color="auto" w:fill="75BD42" w:themeFill="accent4"/>
      </w:tcPr>
    </w:tblStylePr>
    <w:tblStylePr w:type="lastRow">
      <w:pPr>
        <w:spacing w:before="0" w:after="0" w:line="240" w:lineRule="auto"/>
      </w:pPr>
      <w:rPr>
        <w:b/>
        <w:bCs/>
      </w:rPr>
      <w:tblPr/>
      <w:tcPr>
        <w:tcBorders>
          <w:top w:val="double" w:color="97CD71" w:themeColor="accent4" w:themeTint="BF" w:sz="6"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shd w:val="clear" w:color="auto" w:fill="30C0B4" w:themeFill="accent5"/>
      </w:tcPr>
    </w:tblStylePr>
    <w:tblStylePr w:type="lastRow">
      <w:pPr>
        <w:spacing w:before="0" w:after="0" w:line="240" w:lineRule="auto"/>
      </w:pPr>
      <w:rPr>
        <w:b/>
        <w:bCs/>
      </w:rPr>
      <w:tblPr/>
      <w:tcPr>
        <w:tcBorders>
          <w:top w:val="double" w:color="5DD6CC" w:themeColor="accent5" w:themeTint="BF" w:sz="6"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shd w:val="clear" w:color="auto" w:fill="E54C5E" w:themeFill="accent6"/>
      </w:tcPr>
    </w:tblStylePr>
    <w:tblStylePr w:type="lastRow">
      <w:pPr>
        <w:spacing w:before="0" w:after="0" w:line="240" w:lineRule="auto"/>
      </w:pPr>
      <w:rPr>
        <w:b/>
        <w:bCs/>
      </w:rPr>
      <w:tblPr/>
      <w:tcPr>
        <w:tcBorders>
          <w:top w:val="double" w:color="EB7886" w:themeColor="accent6" w:themeTint="BF" w:sz="6"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874CB"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E822F"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2BA0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5BD4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30C0B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54C5E"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4874CB" w:themeColor="accent1" w:sz="8" w:space="0"/>
        <w:bottom w:val="single" w:color="4874CB" w:themeColor="accent1" w:sz="8" w:space="0"/>
      </w:tblBorders>
    </w:tblPr>
    <w:tblStylePr w:type="firstRow">
      <w:rPr>
        <w:rFonts w:asciiTheme="majorHAnsi" w:hAnsiTheme="majorHAnsi" w:eastAsiaTheme="majorEastAsia" w:cstheme="majorBidi"/>
      </w:rPr>
      <w:tblPr/>
      <w:tcPr>
        <w:tcBorders>
          <w:top w:val="nil"/>
          <w:bottom w:val="single" w:color="4874CB" w:themeColor="accent1" w:sz="8" w:space="0"/>
        </w:tcBorders>
      </w:tcPr>
    </w:tblStylePr>
    <w:tblStylePr w:type="lastRow">
      <w:rPr>
        <w:b/>
        <w:bCs/>
        <w:color w:val="44546A" w:themeColor="text2"/>
        <w14:textFill>
          <w14:solidFill>
            <w14:schemeClr w14:val="tx2"/>
          </w14:solidFill>
        </w14:textFill>
      </w:rPr>
      <w:tblPr/>
      <w:tcPr>
        <w:tcBorders>
          <w:top w:val="single" w:color="4874CB" w:themeColor="accent1" w:sz="8" w:space="0"/>
          <w:bottom w:val="single" w:color="4874CB" w:themeColor="accent1" w:sz="8" w:space="0"/>
        </w:tcBorders>
      </w:tcPr>
    </w:tblStylePr>
    <w:tblStylePr w:type="firstCol">
      <w:rPr>
        <w:b/>
        <w:bCs/>
      </w:rPr>
    </w:tblStylePr>
    <w:tblStylePr w:type="lastCol">
      <w:rPr>
        <w:b/>
        <w:bCs/>
      </w:rPr>
      <w:tblPr/>
      <w:tcPr>
        <w:tcBorders>
          <w:top w:val="single" w:color="4874CB" w:themeColor="accent1" w:sz="8" w:space="0"/>
          <w:bottom w:val="single" w:color="4874CB" w:themeColor="accent1" w:sz="8" w:space="0"/>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E822F" w:themeColor="accent2" w:sz="8" w:space="0"/>
        <w:bottom w:val="single" w:color="EE822F" w:themeColor="accent2" w:sz="8" w:space="0"/>
      </w:tblBorders>
    </w:tblPr>
    <w:tblStylePr w:type="firstRow">
      <w:rPr>
        <w:rFonts w:asciiTheme="majorHAnsi" w:hAnsiTheme="majorHAnsi" w:eastAsiaTheme="majorEastAsia" w:cstheme="majorBidi"/>
      </w:rPr>
      <w:tblPr/>
      <w:tcPr>
        <w:tcBorders>
          <w:top w:val="nil"/>
          <w:bottom w:val="single" w:color="EE822F" w:themeColor="accent2" w:sz="8" w:space="0"/>
        </w:tcBorders>
      </w:tcPr>
    </w:tblStylePr>
    <w:tblStylePr w:type="lastRow">
      <w:rPr>
        <w:b/>
        <w:bCs/>
        <w:color w:val="44546A" w:themeColor="text2"/>
        <w14:textFill>
          <w14:solidFill>
            <w14:schemeClr w14:val="tx2"/>
          </w14:solidFill>
        </w14:textFill>
      </w:rPr>
      <w:tblPr/>
      <w:tcPr>
        <w:tcBorders>
          <w:top w:val="single" w:color="EE822F" w:themeColor="accent2" w:sz="8" w:space="0"/>
          <w:bottom w:val="single" w:color="EE822F" w:themeColor="accent2" w:sz="8" w:space="0"/>
        </w:tcBorders>
      </w:tcPr>
    </w:tblStylePr>
    <w:tblStylePr w:type="firstCol">
      <w:rPr>
        <w:b/>
        <w:bCs/>
      </w:rPr>
    </w:tblStylePr>
    <w:tblStylePr w:type="lastCol">
      <w:rPr>
        <w:b/>
        <w:bCs/>
      </w:rPr>
      <w:tblPr/>
      <w:tcPr>
        <w:tcBorders>
          <w:top w:val="single" w:color="EE822F" w:themeColor="accent2" w:sz="8" w:space="0"/>
          <w:bottom w:val="single" w:color="EE822F" w:themeColor="accent2" w:sz="8" w:space="0"/>
        </w:tcBorders>
      </w:tcPr>
    </w:tblStylePr>
    <w:tblStylePr w:type="band1Vert">
      <w:tblPr/>
      <w:tcPr>
        <w:shd w:val="clear" w:color="auto" w:fill="FAE0CB" w:themeFill="accent2" w:themeFillTint="3F"/>
      </w:tcPr>
    </w:tblStylePr>
    <w:tblStylePr w:type="band1Horz">
      <w:tblPr/>
      <w:tcPr>
        <w:shd w:val="clear" w:color="auto" w:fill="FAE0CB"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F2BA02" w:themeColor="accent3" w:sz="8" w:space="0"/>
        <w:bottom w:val="single" w:color="F2BA02" w:themeColor="accent3" w:sz="8" w:space="0"/>
      </w:tblBorders>
    </w:tblPr>
    <w:tblStylePr w:type="firstRow">
      <w:rPr>
        <w:rFonts w:asciiTheme="majorHAnsi" w:hAnsiTheme="majorHAnsi" w:eastAsiaTheme="majorEastAsia" w:cstheme="majorBidi"/>
      </w:rPr>
      <w:tblPr/>
      <w:tcPr>
        <w:tcBorders>
          <w:top w:val="nil"/>
          <w:bottom w:val="single" w:color="F2BA02" w:themeColor="accent3" w:sz="8" w:space="0"/>
        </w:tcBorders>
      </w:tcPr>
    </w:tblStylePr>
    <w:tblStylePr w:type="lastRow">
      <w:rPr>
        <w:b/>
        <w:bCs/>
        <w:color w:val="44546A" w:themeColor="text2"/>
        <w14:textFill>
          <w14:solidFill>
            <w14:schemeClr w14:val="tx2"/>
          </w14:solidFill>
        </w14:textFill>
      </w:rPr>
      <w:tblPr/>
      <w:tcPr>
        <w:tcBorders>
          <w:top w:val="single" w:color="F2BA02" w:themeColor="accent3" w:sz="8" w:space="0"/>
          <w:bottom w:val="single" w:color="F2BA02" w:themeColor="accent3" w:sz="8" w:space="0"/>
        </w:tcBorders>
      </w:tcPr>
    </w:tblStylePr>
    <w:tblStylePr w:type="firstCol">
      <w:rPr>
        <w:b/>
        <w:bCs/>
      </w:rPr>
    </w:tblStylePr>
    <w:tblStylePr w:type="lastCol">
      <w:rPr>
        <w:b/>
        <w:bCs/>
      </w:rPr>
      <w:tblPr/>
      <w:tcPr>
        <w:tcBorders>
          <w:top w:val="single" w:color="F2BA02" w:themeColor="accent3" w:sz="8" w:space="0"/>
          <w:bottom w:val="single" w:color="F2BA02" w:themeColor="accent3" w:sz="8" w:space="0"/>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75BD42" w:themeColor="accent4" w:sz="8" w:space="0"/>
        <w:bottom w:val="single" w:color="75BD42" w:themeColor="accent4" w:sz="8" w:space="0"/>
      </w:tblBorders>
    </w:tblPr>
    <w:tblStylePr w:type="firstRow">
      <w:rPr>
        <w:rFonts w:asciiTheme="majorHAnsi" w:hAnsiTheme="majorHAnsi" w:eastAsiaTheme="majorEastAsia" w:cstheme="majorBidi"/>
      </w:rPr>
      <w:tblPr/>
      <w:tcPr>
        <w:tcBorders>
          <w:top w:val="nil"/>
          <w:bottom w:val="single" w:color="75BD42" w:themeColor="accent4" w:sz="8" w:space="0"/>
        </w:tcBorders>
      </w:tcPr>
    </w:tblStylePr>
    <w:tblStylePr w:type="lastRow">
      <w:rPr>
        <w:b/>
        <w:bCs/>
        <w:color w:val="44546A" w:themeColor="text2"/>
        <w14:textFill>
          <w14:solidFill>
            <w14:schemeClr w14:val="tx2"/>
          </w14:solidFill>
        </w14:textFill>
      </w:rPr>
      <w:tblPr/>
      <w:tcPr>
        <w:tcBorders>
          <w:top w:val="single" w:color="75BD42" w:themeColor="accent4" w:sz="8" w:space="0"/>
          <w:bottom w:val="single" w:color="75BD42" w:themeColor="accent4" w:sz="8" w:space="0"/>
        </w:tcBorders>
      </w:tcPr>
    </w:tblStylePr>
    <w:tblStylePr w:type="firstCol">
      <w:rPr>
        <w:b/>
        <w:bCs/>
      </w:rPr>
    </w:tblStylePr>
    <w:tblStylePr w:type="lastCol">
      <w:rPr>
        <w:b/>
        <w:bCs/>
      </w:rPr>
      <w:tblPr/>
      <w:tcPr>
        <w:tcBorders>
          <w:top w:val="single" w:color="75BD42" w:themeColor="accent4" w:sz="8" w:space="0"/>
          <w:bottom w:val="single" w:color="75BD42" w:themeColor="accent4" w:sz="8" w:space="0"/>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30C0B4" w:themeColor="accent5" w:sz="8" w:space="0"/>
        <w:bottom w:val="single" w:color="30C0B4" w:themeColor="accent5" w:sz="8" w:space="0"/>
      </w:tblBorders>
    </w:tblPr>
    <w:tblStylePr w:type="firstRow">
      <w:rPr>
        <w:rFonts w:asciiTheme="majorHAnsi" w:hAnsiTheme="majorHAnsi" w:eastAsiaTheme="majorEastAsia" w:cstheme="majorBidi"/>
      </w:rPr>
      <w:tblPr/>
      <w:tcPr>
        <w:tcBorders>
          <w:top w:val="nil"/>
          <w:bottom w:val="single" w:color="30C0B4" w:themeColor="accent5" w:sz="8" w:space="0"/>
        </w:tcBorders>
      </w:tcPr>
    </w:tblStylePr>
    <w:tblStylePr w:type="lastRow">
      <w:rPr>
        <w:b/>
        <w:bCs/>
        <w:color w:val="44546A" w:themeColor="text2"/>
        <w14:textFill>
          <w14:solidFill>
            <w14:schemeClr w14:val="tx2"/>
          </w14:solidFill>
        </w14:textFill>
      </w:rPr>
      <w:tblPr/>
      <w:tcPr>
        <w:tcBorders>
          <w:top w:val="single" w:color="30C0B4" w:themeColor="accent5" w:sz="8" w:space="0"/>
          <w:bottom w:val="single" w:color="30C0B4" w:themeColor="accent5" w:sz="8" w:space="0"/>
        </w:tcBorders>
      </w:tcPr>
    </w:tblStylePr>
    <w:tblStylePr w:type="firstCol">
      <w:rPr>
        <w:b/>
        <w:bCs/>
      </w:rPr>
    </w:tblStylePr>
    <w:tblStylePr w:type="lastCol">
      <w:rPr>
        <w:b/>
        <w:bCs/>
      </w:rPr>
      <w:tblPr/>
      <w:tcPr>
        <w:tcBorders>
          <w:top w:val="single" w:color="30C0B4" w:themeColor="accent5" w:sz="8" w:space="0"/>
          <w:bottom w:val="single" w:color="30C0B4" w:themeColor="accent5" w:sz="8" w:space="0"/>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E54C5E" w:themeColor="accent6" w:sz="8" w:space="0"/>
        <w:bottom w:val="single" w:color="E54C5E" w:themeColor="accent6" w:sz="8" w:space="0"/>
      </w:tblBorders>
    </w:tblPr>
    <w:tblStylePr w:type="firstRow">
      <w:rPr>
        <w:rFonts w:asciiTheme="majorHAnsi" w:hAnsiTheme="majorHAnsi" w:eastAsiaTheme="majorEastAsia" w:cstheme="majorBidi"/>
      </w:rPr>
      <w:tblPr/>
      <w:tcPr>
        <w:tcBorders>
          <w:top w:val="nil"/>
          <w:bottom w:val="single" w:color="E54C5E" w:themeColor="accent6" w:sz="8" w:space="0"/>
        </w:tcBorders>
      </w:tcPr>
    </w:tblStylePr>
    <w:tblStylePr w:type="lastRow">
      <w:rPr>
        <w:b/>
        <w:bCs/>
        <w:color w:val="44546A" w:themeColor="text2"/>
        <w14:textFill>
          <w14:solidFill>
            <w14:schemeClr w14:val="tx2"/>
          </w14:solidFill>
        </w14:textFill>
      </w:rPr>
      <w:tblPr/>
      <w:tcPr>
        <w:tcBorders>
          <w:top w:val="single" w:color="E54C5E" w:themeColor="accent6" w:sz="8" w:space="0"/>
          <w:bottom w:val="single" w:color="E54C5E" w:themeColor="accent6" w:sz="8" w:space="0"/>
        </w:tcBorders>
      </w:tcPr>
    </w:tblStylePr>
    <w:tblStylePr w:type="firstCol">
      <w:rPr>
        <w:b/>
        <w:bCs/>
      </w:rPr>
    </w:tblStylePr>
    <w:tblStylePr w:type="lastCol">
      <w:rPr>
        <w:b/>
        <w:bCs/>
      </w:rPr>
      <w:tblPr/>
      <w:tcPr>
        <w:tcBorders>
          <w:top w:val="single" w:color="E54C5E" w:themeColor="accent6" w:sz="8" w:space="0"/>
          <w:bottom w:val="single" w:color="E54C5E" w:themeColor="accent6" w:sz="8" w:space="0"/>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rPr>
        <w:sz w:val="24"/>
        <w:szCs w:val="24"/>
      </w:rPr>
      <w:tblPr/>
      <w:tcPr>
        <w:tcBorders>
          <w:top w:val="nil"/>
          <w:left w:val="nil"/>
          <w:bottom w:val="single" w:color="4874CB" w:themeColor="accent1" w:sz="24" w:space="0"/>
          <w:right w:val="nil"/>
          <w:insideH w:val="nil"/>
          <w:insideV w:val="nil"/>
        </w:tcBorders>
        <w:shd w:val="clear" w:color="auto" w:fill="FFFFFF" w:themeFill="background1"/>
      </w:tcPr>
    </w:tblStylePr>
    <w:tblStylePr w:type="lastRow">
      <w:tblPr/>
      <w:tcPr>
        <w:tcBorders>
          <w:top w:val="single" w:color="4874CB"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74CB" w:themeColor="accent1" w:sz="8" w:space="0"/>
          <w:insideH w:val="nil"/>
          <w:insideV w:val="nil"/>
        </w:tcBorders>
        <w:shd w:val="clear" w:color="auto" w:fill="FFFFFF" w:themeFill="background1"/>
      </w:tcPr>
    </w:tblStylePr>
    <w:tblStylePr w:type="lastCol">
      <w:tblPr/>
      <w:tcPr>
        <w:tcBorders>
          <w:top w:val="nil"/>
          <w:left w:val="single" w:color="4874C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rPr>
        <w:sz w:val="24"/>
        <w:szCs w:val="24"/>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tblPr/>
      <w:tcPr>
        <w:tcBorders>
          <w:top w:val="single" w:color="EE822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E822F" w:themeColor="accent2" w:sz="8" w:space="0"/>
          <w:insideH w:val="nil"/>
          <w:insideV w:val="nil"/>
        </w:tcBorders>
        <w:shd w:val="clear" w:color="auto" w:fill="FFFFFF" w:themeFill="background1"/>
      </w:tcPr>
    </w:tblStylePr>
    <w:tblStylePr w:type="lastCol">
      <w:tblPr/>
      <w:tcPr>
        <w:tcBorders>
          <w:top w:val="nil"/>
          <w:left w:val="single" w:color="EE822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top w:val="nil"/>
          <w:bottom w:val="nil"/>
          <w:insideH w:val="nil"/>
          <w:insideV w:val="nil"/>
        </w:tcBorders>
        <w:shd w:val="clear" w:color="auto" w:fill="FAE0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rPr>
        <w:sz w:val="24"/>
        <w:szCs w:val="24"/>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tblPr/>
      <w:tcPr>
        <w:tcBorders>
          <w:top w:val="single" w:color="F2BA0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BA02" w:themeColor="accent3" w:sz="8" w:space="0"/>
          <w:insideH w:val="nil"/>
          <w:insideV w:val="nil"/>
        </w:tcBorders>
        <w:shd w:val="clear" w:color="auto" w:fill="FFFFFF" w:themeFill="background1"/>
      </w:tcPr>
    </w:tblStylePr>
    <w:tblStylePr w:type="lastCol">
      <w:tblPr/>
      <w:tcPr>
        <w:tcBorders>
          <w:top w:val="nil"/>
          <w:left w:val="single" w:color="F2BA0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rPr>
        <w:sz w:val="24"/>
        <w:szCs w:val="24"/>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tblPr/>
      <w:tcPr>
        <w:tcBorders>
          <w:top w:val="single" w:color="75BD4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42" w:themeColor="accent4" w:sz="8" w:space="0"/>
          <w:insideH w:val="nil"/>
          <w:insideV w:val="nil"/>
        </w:tcBorders>
        <w:shd w:val="clear" w:color="auto" w:fill="FFFFFF" w:themeFill="background1"/>
      </w:tcPr>
    </w:tblStylePr>
    <w:tblStylePr w:type="lastCol">
      <w:tblPr/>
      <w:tcPr>
        <w:tcBorders>
          <w:top w:val="nil"/>
          <w:left w:val="single" w:color="75BD4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rPr>
        <w:sz w:val="24"/>
        <w:szCs w:val="24"/>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tblPr/>
      <w:tcPr>
        <w:tcBorders>
          <w:top w:val="single" w:color="30C0B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C0B4" w:themeColor="accent5" w:sz="8" w:space="0"/>
          <w:insideH w:val="nil"/>
          <w:insideV w:val="nil"/>
        </w:tcBorders>
        <w:shd w:val="clear" w:color="auto" w:fill="FFFFFF" w:themeFill="background1"/>
      </w:tcPr>
    </w:tblStylePr>
    <w:tblStylePr w:type="lastCol">
      <w:tblPr/>
      <w:tcPr>
        <w:tcBorders>
          <w:top w:val="nil"/>
          <w:left w:val="single" w:color="30C0B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rPr>
        <w:sz w:val="24"/>
        <w:szCs w:val="24"/>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tblPr/>
      <w:tcPr>
        <w:tcBorders>
          <w:top w:val="single" w:color="E54C5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54C5E" w:themeColor="accent6" w:sz="8" w:space="0"/>
          <w:insideH w:val="nil"/>
          <w:insideV w:val="nil"/>
        </w:tcBorders>
        <w:shd w:val="clear" w:color="auto" w:fill="FFFFFF" w:themeFill="background1"/>
      </w:tcPr>
    </w:tblStylePr>
    <w:tblStylePr w:type="lastCol">
      <w:tblPr/>
      <w:tcPr>
        <w:tcBorders>
          <w:top w:val="nil"/>
          <w:left w:val="single" w:color="E54C5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insideV w:val="single" w:color="7596D8" w:themeColor="accent1" w:themeTint="BF" w:sz="8" w:space="0"/>
      </w:tblBorders>
    </w:tblPr>
    <w:tcPr>
      <w:shd w:val="clear" w:color="auto" w:fill="D1DCF2" w:themeFill="accent1" w:themeFillTint="3F"/>
    </w:tcPr>
    <w:tblStylePr w:type="firstRow">
      <w:rPr>
        <w:b/>
        <w:bCs/>
      </w:rPr>
    </w:tblStylePr>
    <w:tblStylePr w:type="lastRow">
      <w:rPr>
        <w:b/>
        <w:bCs/>
      </w:rPr>
      <w:tblPr/>
      <w:tcPr>
        <w:tcBorders>
          <w:top w:val="single" w:color="7596D8" w:themeColor="accent1" w:themeTint="BF" w:sz="18" w:space="0"/>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84">
    <w:name w:val="Medium Grid 1 Accent 2"/>
    <w:basedOn w:val="88"/>
    <w:autoRedefine/>
    <w:semiHidden/>
    <w:unhideWhenUsed/>
    <w:qFormat/>
    <w:uiPriority w:val="67"/>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insideV w:val="single" w:color="F2A163" w:themeColor="accent2" w:themeTint="BF" w:sz="8" w:space="0"/>
      </w:tblBorders>
    </w:tblPr>
    <w:tcPr>
      <w:shd w:val="clear" w:color="auto" w:fill="FAE0CB" w:themeFill="accent2" w:themeFillTint="3F"/>
    </w:tcPr>
    <w:tblStylePr w:type="firstRow">
      <w:rPr>
        <w:b/>
        <w:bCs/>
      </w:rPr>
    </w:tblStylePr>
    <w:tblStylePr w:type="lastRow">
      <w:rPr>
        <w:b/>
        <w:bCs/>
      </w:rPr>
      <w:tblPr/>
      <w:tcPr>
        <w:tcBorders>
          <w:top w:val="single" w:color="F2A163" w:themeColor="accent2" w:themeTint="BF" w:sz="18" w:space="0"/>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85">
    <w:name w:val="Medium Grid 1 Accent 3"/>
    <w:basedOn w:val="88"/>
    <w:autoRedefine/>
    <w:semiHidden/>
    <w:unhideWhenUsed/>
    <w:qFormat/>
    <w:uiPriority w:val="67"/>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insideV w:val="single" w:color="FDCF39" w:themeColor="accent3" w:themeTint="BF" w:sz="8" w:space="0"/>
      </w:tblBorders>
    </w:tblPr>
    <w:tcPr>
      <w:shd w:val="clear" w:color="auto" w:fill="FEEFBD" w:themeFill="accent3" w:themeFillTint="3F"/>
    </w:tcPr>
    <w:tblStylePr w:type="firstRow">
      <w:rPr>
        <w:b/>
        <w:bCs/>
      </w:rPr>
    </w:tblStylePr>
    <w:tblStylePr w:type="lastRow">
      <w:rPr>
        <w:b/>
        <w:bCs/>
      </w:rPr>
      <w:tblPr/>
      <w:tcPr>
        <w:tcBorders>
          <w:top w:val="single" w:color="FDCF39" w:themeColor="accent3" w:themeTint="BF" w:sz="18" w:space="0"/>
        </w:tcBorders>
      </w:tcPr>
    </w:tblStylePr>
    <w:tblStylePr w:type="firstCol">
      <w:rPr>
        <w:b/>
        <w:bCs/>
      </w:rPr>
    </w:tblStylePr>
    <w:tblStylePr w:type="lastCol">
      <w:rPr>
        <w:b/>
        <w:bCs/>
      </w:r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186">
    <w:name w:val="Medium Grid 1 Accent 4"/>
    <w:basedOn w:val="88"/>
    <w:autoRedefine/>
    <w:semiHidden/>
    <w:unhideWhenUsed/>
    <w:qFormat/>
    <w:uiPriority w:val="67"/>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insideV w:val="single" w:color="97CD71" w:themeColor="accent4" w:themeTint="BF" w:sz="8" w:space="0"/>
      </w:tblBorders>
    </w:tblPr>
    <w:tcPr>
      <w:shd w:val="clear" w:color="auto" w:fill="DCEED0" w:themeFill="accent4" w:themeFillTint="3F"/>
    </w:tcPr>
    <w:tblStylePr w:type="firstRow">
      <w:rPr>
        <w:b/>
        <w:bCs/>
      </w:rPr>
    </w:tblStylePr>
    <w:tblStylePr w:type="lastRow">
      <w:rPr>
        <w:b/>
        <w:bCs/>
      </w:rPr>
      <w:tblPr/>
      <w:tcPr>
        <w:tcBorders>
          <w:top w:val="single" w:color="97CD71" w:themeColor="accent4" w:themeTint="BF" w:sz="18" w:space="0"/>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87">
    <w:name w:val="Medium Grid 1 Accent 5"/>
    <w:basedOn w:val="88"/>
    <w:autoRedefine/>
    <w:semiHidden/>
    <w:unhideWhenUsed/>
    <w:qFormat/>
    <w:uiPriority w:val="67"/>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insideV w:val="single" w:color="5DD6CC" w:themeColor="accent5" w:themeTint="BF" w:sz="8" w:space="0"/>
      </w:tblBorders>
    </w:tblPr>
    <w:tcPr>
      <w:shd w:val="clear" w:color="auto" w:fill="C9F1EE" w:themeFill="accent5" w:themeFillTint="3F"/>
    </w:tcPr>
    <w:tblStylePr w:type="firstRow">
      <w:rPr>
        <w:b/>
        <w:bCs/>
      </w:rPr>
    </w:tblStylePr>
    <w:tblStylePr w:type="lastRow">
      <w:rPr>
        <w:b/>
        <w:bCs/>
      </w:rPr>
      <w:tblPr/>
      <w:tcPr>
        <w:tcBorders>
          <w:top w:val="single" w:color="5DD6CC" w:themeColor="accent5" w:themeTint="BF" w:sz="18" w:space="0"/>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88">
    <w:name w:val="Medium Grid 1 Accent 6"/>
    <w:basedOn w:val="88"/>
    <w:autoRedefine/>
    <w:semiHidden/>
    <w:unhideWhenUsed/>
    <w:qFormat/>
    <w:uiPriority w:val="67"/>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insideV w:val="single" w:color="EB7886" w:themeColor="accent6" w:themeTint="BF" w:sz="8" w:space="0"/>
      </w:tblBorders>
    </w:tblPr>
    <w:tcPr>
      <w:shd w:val="clear" w:color="auto" w:fill="F8D2D7" w:themeFill="accent6" w:themeFillTint="3F"/>
    </w:tcPr>
    <w:tblStylePr w:type="firstRow">
      <w:rPr>
        <w:b/>
        <w:bCs/>
      </w:rPr>
    </w:tblStylePr>
    <w:tblStylePr w:type="lastRow">
      <w:rPr>
        <w:b/>
        <w:bCs/>
      </w:rPr>
      <w:tblPr/>
      <w:tcPr>
        <w:tcBorders>
          <w:top w:val="single" w:color="EB7886" w:themeColor="accent6" w:themeTint="BF" w:sz="18" w:space="0"/>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cPr>
      <w:shd w:val="clear" w:color="auto" w:fill="D1DCF2" w:themeFill="accent1" w:themeFillTint="3F"/>
    </w:tcPr>
    <w:tblStylePr w:type="firstRow">
      <w:rPr>
        <w:b/>
        <w:bCs/>
        <w:color w:val="000000" w:themeColor="text1"/>
        <w14:textFill>
          <w14:solidFill>
            <w14:schemeClr w14:val="tx1"/>
          </w14:solidFill>
        </w14:textFill>
      </w:rPr>
      <w:tblPr/>
      <w:tcPr>
        <w:shd w:val="clear" w:color="auto" w:fill="ED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insideV w:val="single" w:sz="6" w:space="0"/>
        </w:tcBorders>
        <w:shd w:val="clear" w:color="auto" w:fill="A3B9E5"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cPr>
      <w:shd w:val="clear" w:color="auto" w:fill="FAE0CB"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insideV w:val="single" w:sz="6" w:space="0"/>
        </w:tcBorders>
        <w:shd w:val="clear" w:color="auto" w:fill="F6C097"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cPr>
      <w:shd w:val="clear" w:color="auto" w:fill="FEEFBD" w:themeFill="accent3" w:themeFillTint="3F"/>
    </w:tcPr>
    <w:tblStylePr w:type="firstRow">
      <w:rPr>
        <w:b/>
        <w:bCs/>
        <w:color w:val="000000" w:themeColor="text1"/>
        <w14:textFill>
          <w14:solidFill>
            <w14:schemeClr w14:val="tx1"/>
          </w14:solidFill>
        </w14:textFill>
      </w:rPr>
      <w:tblPr/>
      <w:tcPr>
        <w:shd w:val="clear" w:color="auto" w:fill="FEF8E5"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DDF7B" w:themeFill="accent3" w:themeFillTint="7F"/>
      </w:tcPr>
    </w:tblStylePr>
    <w:tblStylePr w:type="band1Horz">
      <w:tblPr/>
      <w:tcPr>
        <w:tcBorders>
          <w:insideH w:val="single" w:sz="6" w:space="0"/>
          <w:insideV w:val="single" w:sz="6" w:space="0"/>
        </w:tcBorders>
        <w:shd w:val="clear" w:color="auto" w:fill="FDDF7B"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cPr>
      <w:shd w:val="clear" w:color="auto" w:fill="DCEED0" w:themeFill="accent4" w:themeFillTint="3F"/>
    </w:tcPr>
    <w:tblStylePr w:type="firstRow">
      <w:rPr>
        <w:b/>
        <w:bCs/>
        <w:color w:val="000000" w:themeColor="text1"/>
        <w14:textFill>
          <w14:solidFill>
            <w14:schemeClr w14:val="tx1"/>
          </w14:solidFill>
        </w14:textFill>
      </w:rPr>
      <w:tblPr/>
      <w:tcPr>
        <w:shd w:val="clear" w:color="auto" w:fill="F1F8EC"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insideV w:val="single" w:sz="6" w:space="0"/>
        </w:tcBorders>
        <w:shd w:val="clear" w:color="auto" w:fill="BADEA0"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cPr>
      <w:shd w:val="clear" w:color="auto" w:fill="C9F1EE" w:themeFill="accent5" w:themeFillTint="3F"/>
    </w:tcPr>
    <w:tblStylePr w:type="firstRow">
      <w:rPr>
        <w:b/>
        <w:bCs/>
        <w:color w:val="000000" w:themeColor="text1"/>
        <w14:textFill>
          <w14:solidFill>
            <w14:schemeClr w14:val="tx1"/>
          </w14:solidFill>
        </w14:textFill>
      </w:rPr>
      <w:tblPr/>
      <w:tcPr>
        <w:shd w:val="clear" w:color="auto" w:fill="E9F9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insideV w:val="single" w:sz="6" w:space="0"/>
        </w:tcBorders>
        <w:shd w:val="clear" w:color="auto" w:fill="93E4DD"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cPr>
      <w:shd w:val="clear" w:color="auto" w:fill="F8D2D7" w:themeFill="accent6" w:themeFillTint="3F"/>
    </w:tcPr>
    <w:tblStylePr w:type="firstRow">
      <w:rPr>
        <w:b/>
        <w:bCs/>
        <w:color w:val="000000" w:themeColor="text1"/>
        <w14:textFill>
          <w14:solidFill>
            <w14:schemeClr w14:val="tx1"/>
          </w14:solidFill>
        </w14:textFill>
      </w:rPr>
      <w:tblPr/>
      <w:tcPr>
        <w:shd w:val="clear" w:color="auto" w:fill="FCEDEF"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insideV w:val="single" w:sz="6" w:space="0"/>
        </w:tcBorders>
        <w:shd w:val="clear" w:color="auto" w:fill="F2A5AE"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1DCF2"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874CB"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874CB"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874CB"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874C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3B9E5"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3B9E5"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C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E822F"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E822F"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E822F"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E822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09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C097"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FBD"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2BA0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2BA0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2BA0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2BA0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F7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DDF7B"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D0"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5BD4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5BD4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5BD4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5BD4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A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ADEA0"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F1EE"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0C0B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0C0B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0C0B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0C0B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E4D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3E4DD"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2D7"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54C5E"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54C5E"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54C5E"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54C5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A5A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2A5AE"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874C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D54A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D54A0" w:themeFill="accent1" w:themeFillShade="BF"/>
      </w:tcPr>
    </w:tblStylePr>
    <w:tblStylePr w:type="band1Vert">
      <w:tblPr/>
      <w:tcPr>
        <w:tcBorders>
          <w:top w:val="nil"/>
          <w:left w:val="nil"/>
          <w:bottom w:val="nil"/>
          <w:right w:val="nil"/>
          <w:insideH w:val="nil"/>
          <w:insideV w:val="nil"/>
        </w:tcBorders>
        <w:shd w:val="clear" w:color="auto" w:fill="2D54A0" w:themeFill="accent1" w:themeFillShade="BF"/>
      </w:tcPr>
    </w:tblStylePr>
    <w:tblStylePr w:type="band1Horz">
      <w:tblPr/>
      <w:tcPr>
        <w:tcBorders>
          <w:top w:val="nil"/>
          <w:left w:val="nil"/>
          <w:bottom w:val="nil"/>
          <w:right w:val="nil"/>
          <w:insideH w:val="nil"/>
          <w:insideV w:val="nil"/>
        </w:tcBorders>
        <w:shd w:val="clear" w:color="auto" w:fill="2D54A0"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E822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33F0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E1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2BA0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C0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B0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B01" w:themeFill="accent3" w:themeFillShade="BF"/>
      </w:tcPr>
    </w:tblStylePr>
    <w:tblStylePr w:type="band1Vert">
      <w:tblPr/>
      <w:tcPr>
        <w:tcBorders>
          <w:top w:val="nil"/>
          <w:left w:val="nil"/>
          <w:bottom w:val="nil"/>
          <w:right w:val="nil"/>
          <w:insideH w:val="nil"/>
          <w:insideV w:val="nil"/>
        </w:tcBorders>
        <w:shd w:val="clear" w:color="auto" w:fill="B58B01" w:themeFill="accent3" w:themeFillShade="BF"/>
      </w:tcPr>
    </w:tblStylePr>
    <w:tblStylePr w:type="band1Horz">
      <w:tblPr/>
      <w:tcPr>
        <w:tcBorders>
          <w:top w:val="nil"/>
          <w:left w:val="nil"/>
          <w:bottom w:val="nil"/>
          <w:right w:val="nil"/>
          <w:insideH w:val="nil"/>
          <w:insideV w:val="nil"/>
        </w:tcBorders>
        <w:shd w:val="clear" w:color="auto" w:fill="B58B01"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5BD4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E2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78D3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30C0B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75F5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38F8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38F86" w:themeFill="accent5" w:themeFillShade="BF"/>
      </w:tcPr>
    </w:tblStylePr>
    <w:tblStylePr w:type="band1Vert">
      <w:tblPr/>
      <w:tcPr>
        <w:tcBorders>
          <w:top w:val="nil"/>
          <w:left w:val="nil"/>
          <w:bottom w:val="nil"/>
          <w:right w:val="nil"/>
          <w:insideH w:val="nil"/>
          <w:insideV w:val="nil"/>
        </w:tcBorders>
        <w:shd w:val="clear" w:color="auto" w:fill="238F86" w:themeFill="accent5" w:themeFillShade="BF"/>
      </w:tcPr>
    </w:tblStylePr>
    <w:tblStylePr w:type="band1Horz">
      <w:tblPr/>
      <w:tcPr>
        <w:tcBorders>
          <w:top w:val="nil"/>
          <w:left w:val="nil"/>
          <w:bottom w:val="nil"/>
          <w:right w:val="nil"/>
          <w:insideH w:val="nil"/>
          <w:insideV w:val="nil"/>
        </w:tcBorders>
        <w:shd w:val="clear" w:color="auto" w:fill="238F8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54C5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71C31"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71C31" w:themeFill="accent6" w:themeFillShade="BF"/>
      </w:tcPr>
    </w:tblStylePr>
    <w:tblStylePr w:type="band1Vert">
      <w:tblPr/>
      <w:tcPr>
        <w:tcBorders>
          <w:top w:val="nil"/>
          <w:left w:val="nil"/>
          <w:bottom w:val="nil"/>
          <w:right w:val="nil"/>
          <w:insideH w:val="nil"/>
          <w:insideV w:val="nil"/>
        </w:tcBorders>
        <w:shd w:val="clear" w:color="auto" w:fill="C71C31" w:themeFill="accent6" w:themeFillShade="BF"/>
      </w:tcPr>
    </w:tblStylePr>
    <w:tblStylePr w:type="band1Horz">
      <w:tblPr/>
      <w:tcPr>
        <w:tcBorders>
          <w:top w:val="nil"/>
          <w:left w:val="nil"/>
          <w:bottom w:val="nil"/>
          <w:right w:val="nil"/>
          <w:insideH w:val="nil"/>
          <w:insideV w:val="nil"/>
        </w:tcBorders>
        <w:shd w:val="clear" w:color="auto" w:fill="C71C31"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4874CB" w:themeColor="accent1" w:sz="4" w:space="0"/>
        <w:bottom w:val="single" w:color="4874CB" w:themeColor="accent1" w:sz="4" w:space="0"/>
        <w:right w:val="single" w:color="4874CB" w:themeColor="accent1" w:sz="4" w:space="0"/>
        <w:insideH w:val="single" w:color="FFFFFF" w:themeColor="background1" w:sz="4" w:space="0"/>
        <w:insideV w:val="single" w:color="FFFFFF" w:themeColor="background1" w:sz="4" w:space="0"/>
      </w:tblBorders>
    </w:tblPr>
    <w:tcPr>
      <w:shd w:val="clear" w:color="auto" w:fill="EDF1F9" w:themeFill="accen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4438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4438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EE822F" w:themeColor="accent2" w:sz="4" w:space="0"/>
        <w:bottom w:val="single" w:color="EE822F" w:themeColor="accent2" w:sz="4" w:space="0"/>
        <w:right w:val="single" w:color="EE822F"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E4B0C"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E4B0C"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E4B0C"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75BD42" w:themeColor="accent4" w:sz="24" w:space="0"/>
        <w:left w:val="single" w:color="F2BA02" w:themeColor="accent3" w:sz="4" w:space="0"/>
        <w:bottom w:val="single" w:color="F2BA02" w:themeColor="accent3" w:sz="4" w:space="0"/>
        <w:right w:val="single" w:color="F2BA02" w:themeColor="accent3" w:sz="4" w:space="0"/>
        <w:insideH w:val="single" w:color="FFFFFF" w:themeColor="background1" w:sz="4" w:space="0"/>
        <w:insideV w:val="single" w:color="FFFFFF" w:themeColor="background1" w:sz="4" w:space="0"/>
      </w:tblBorders>
    </w:tblPr>
    <w:tcPr>
      <w:shd w:val="clear" w:color="auto" w:fill="FEF8E5" w:themeFill="accent3" w:themeFillTint="19"/>
    </w:tcPr>
    <w:tblStylePr w:type="firstRow">
      <w:rPr>
        <w:b/>
        <w:bCs/>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6F01"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6F01"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DDF7B"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F2BA02" w:themeColor="accent3" w:sz="24" w:space="0"/>
        <w:left w:val="single" w:color="75BD42" w:themeColor="accent4" w:sz="4" w:space="0"/>
        <w:bottom w:val="single" w:color="75BD42" w:themeColor="accent4" w:sz="4" w:space="0"/>
        <w:right w:val="single" w:color="75BD42" w:themeColor="accent4" w:sz="4" w:space="0"/>
        <w:insideH w:val="single" w:color="FFFFFF" w:themeColor="background1" w:sz="4" w:space="0"/>
        <w:insideV w:val="single" w:color="FFFFFF" w:themeColor="background1" w:sz="4" w:space="0"/>
      </w:tblBorders>
    </w:tblPr>
    <w:tcPr>
      <w:shd w:val="clear" w:color="auto" w:fill="F1F8EC" w:themeFill="accent4" w:themeFillTint="19"/>
    </w:tcPr>
    <w:tblStylePr w:type="firstRow">
      <w:rPr>
        <w:b/>
        <w:bCs/>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6712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6712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E54C5E" w:themeColor="accent6" w:sz="24" w:space="0"/>
        <w:left w:val="single" w:color="30C0B4" w:themeColor="accent5" w:sz="4" w:space="0"/>
        <w:bottom w:val="single" w:color="30C0B4" w:themeColor="accent5" w:sz="4" w:space="0"/>
        <w:right w:val="single" w:color="30C0B4" w:themeColor="accent5" w:sz="4" w:space="0"/>
        <w:insideH w:val="single" w:color="FFFFFF" w:themeColor="background1" w:sz="4" w:space="0"/>
        <w:insideV w:val="single" w:color="FFFFFF" w:themeColor="background1" w:sz="4" w:space="0"/>
      </w:tblBorders>
    </w:tblPr>
    <w:tcPr>
      <w:shd w:val="clear" w:color="auto" w:fill="E9F9F8" w:themeFill="accent5" w:themeFillTint="19"/>
    </w:tcPr>
    <w:tblStylePr w:type="firstRow">
      <w:rPr>
        <w:b/>
        <w:bCs/>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C736B"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C736B"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30C0B4" w:themeColor="accent5" w:sz="24" w:space="0"/>
        <w:left w:val="single" w:color="E54C5E" w:themeColor="accent6" w:sz="4" w:space="0"/>
        <w:bottom w:val="single" w:color="E54C5E" w:themeColor="accent6" w:sz="4" w:space="0"/>
        <w:right w:val="single" w:color="E54C5E" w:themeColor="accent6" w:sz="4" w:space="0"/>
        <w:insideH w:val="single" w:color="FFFFFF" w:themeColor="background1" w:sz="4" w:space="0"/>
        <w:insideV w:val="single" w:color="FFFFFF" w:themeColor="background1" w:sz="4" w:space="0"/>
      </w:tblBorders>
    </w:tblPr>
    <w:tcPr>
      <w:shd w:val="clear" w:color="auto" w:fill="FCEDEF" w:themeFill="accent6" w:themeFillTint="19"/>
    </w:tcPr>
    <w:tblStylePr w:type="firstRow">
      <w:rPr>
        <w:b/>
        <w:bCs/>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F172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F172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B" w:themeFill="accent2" w:themeFillTint="3F"/>
      </w:tcPr>
    </w:tblStylePr>
    <w:tblStylePr w:type="band1Horz">
      <w:tblPr/>
      <w:tcPr>
        <w:shd w:val="clear" w:color="auto" w:fill="FBE5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EF8E5"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D9734" w:themeFill="accent4" w:themeFillShade="CC"/>
      </w:tcPr>
    </w:tblStylePr>
    <w:tblStylePr w:type="lastRow">
      <w:rPr>
        <w:b/>
        <w:bCs/>
        <w:color w:val="5E9735"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1F8EC"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19401" w:themeFill="accent3" w:themeFillShade="CC"/>
      </w:tcPr>
    </w:tblStylePr>
    <w:tblStylePr w:type="lastRow">
      <w:rPr>
        <w:b/>
        <w:bCs/>
        <w:color w:val="C295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9F9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51E34" w:themeFill="accent6" w:themeFillShade="CC"/>
      </w:tcPr>
    </w:tblStylePr>
    <w:tblStylePr w:type="lastRow">
      <w:rPr>
        <w:b/>
        <w:bCs/>
        <w:color w:val="D51F3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CEDE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6998F" w:themeFill="accent5" w:themeFillShade="CC"/>
      </w:tcPr>
    </w:tblStylePr>
    <w:tblStylePr w:type="lastRow">
      <w:rPr>
        <w:b/>
        <w:bCs/>
        <w:color w:val="269A9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14:textFill>
          <w14:solidFill>
            <w14:schemeClr w14:val="tx1"/>
          </w14:solidFill>
        </w14:textFill>
      </w:rPr>
      <w:tblPr/>
      <w:tcPr>
        <w:shd w:val="clear" w:color="auto" w:fill="B5C7EA" w:themeFill="accent1" w:themeFillTint="66"/>
      </w:tcPr>
    </w:tblStylePr>
    <w:tblStylePr w:type="firstCol">
      <w:rPr>
        <w:color w:val="FFFFFF" w:themeColor="background1"/>
        <w14:textFill>
          <w14:solidFill>
            <w14:schemeClr w14:val="bg1"/>
          </w14:solidFill>
        </w14:textFill>
      </w:rPr>
      <w:tblPr/>
      <w:tcPr>
        <w:shd w:val="clear" w:color="auto" w:fill="2D54A0" w:themeFill="accent1" w:themeFillShade="BF"/>
      </w:tcPr>
    </w:tblStylePr>
    <w:tblStylePr w:type="lastCol">
      <w:rPr>
        <w:color w:val="FFFFFF" w:themeColor="background1"/>
        <w14:textFill>
          <w14:solidFill>
            <w14:schemeClr w14:val="bg1"/>
          </w14:solidFill>
        </w14:textFill>
      </w:rPr>
      <w:tblPr/>
      <w:tcPr>
        <w:shd w:val="clear" w:color="auto" w:fill="2D54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14:textFill>
          <w14:solidFill>
            <w14:schemeClr w14:val="tx1"/>
          </w14:solidFill>
        </w14:textFill>
      </w:rPr>
      <w:tblPr/>
      <w:tcPr>
        <w:shd w:val="clear" w:color="auto" w:fill="F8CCAB" w:themeFill="accent2" w:themeFillTint="66"/>
      </w:tcPr>
    </w:tblStylePr>
    <w:tblStylePr w:type="firstCol">
      <w:rPr>
        <w:color w:val="FFFFFF" w:themeColor="background1"/>
        <w14:textFill>
          <w14:solidFill>
            <w14:schemeClr w14:val="bg1"/>
          </w14:solidFill>
        </w14:textFill>
      </w:rPr>
      <w:tblPr/>
      <w:tcPr>
        <w:shd w:val="clear" w:color="auto" w:fill="C55E10" w:themeFill="accent2" w:themeFillShade="BF"/>
      </w:tcPr>
    </w:tblStylePr>
    <w:tblStylePr w:type="lastCol">
      <w:rPr>
        <w:color w:val="FFFFFF" w:themeColor="background1"/>
        <w14:textFill>
          <w14:solidFill>
            <w14:schemeClr w14:val="bg1"/>
          </w14:solidFill>
        </w14:textFill>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14:textFill>
          <w14:solidFill>
            <w14:schemeClr w14:val="tx1"/>
          </w14:solidFill>
        </w14:textFill>
      </w:rPr>
      <w:tblPr/>
      <w:tcPr>
        <w:shd w:val="clear" w:color="auto" w:fill="FEE595" w:themeFill="accent3" w:themeFillTint="66"/>
      </w:tcPr>
    </w:tblStylePr>
    <w:tblStylePr w:type="firstCol">
      <w:rPr>
        <w:color w:val="FFFFFF" w:themeColor="background1"/>
        <w14:textFill>
          <w14:solidFill>
            <w14:schemeClr w14:val="bg1"/>
          </w14:solidFill>
        </w14:textFill>
      </w:rPr>
      <w:tblPr/>
      <w:tcPr>
        <w:shd w:val="clear" w:color="auto" w:fill="B58B01" w:themeFill="accent3" w:themeFillShade="BF"/>
      </w:tcPr>
    </w:tblStylePr>
    <w:tblStylePr w:type="lastCol">
      <w:rPr>
        <w:color w:val="FFFFFF" w:themeColor="background1"/>
        <w14:textFill>
          <w14:solidFill>
            <w14:schemeClr w14:val="bg1"/>
          </w14:solidFill>
        </w14:textFill>
      </w:rPr>
      <w:tblPr/>
      <w:tcPr>
        <w:shd w:val="clear" w:color="auto" w:fill="B58B01" w:themeFill="accent3" w:themeFillShade="BF"/>
      </w:tc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14:textFill>
          <w14:solidFill>
            <w14:schemeClr w14:val="tx1"/>
          </w14:solidFill>
        </w14:textFill>
      </w:rPr>
      <w:tblPr/>
      <w:tcPr>
        <w:shd w:val="clear" w:color="auto" w:fill="C7E4B3" w:themeFill="accent4" w:themeFillTint="66"/>
      </w:tcPr>
    </w:tblStylePr>
    <w:tblStylePr w:type="firstCol">
      <w:rPr>
        <w:color w:val="FFFFFF" w:themeColor="background1"/>
        <w14:textFill>
          <w14:solidFill>
            <w14:schemeClr w14:val="bg1"/>
          </w14:solidFill>
        </w14:textFill>
      </w:rPr>
      <w:tblPr/>
      <w:tcPr>
        <w:shd w:val="clear" w:color="auto" w:fill="578D31" w:themeFill="accent4" w:themeFillShade="BF"/>
      </w:tcPr>
    </w:tblStylePr>
    <w:tblStylePr w:type="lastCol">
      <w:rPr>
        <w:color w:val="FFFFFF" w:themeColor="background1"/>
        <w14:textFill>
          <w14:solidFill>
            <w14:schemeClr w14:val="bg1"/>
          </w14:solidFill>
        </w14:textFill>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14:textFill>
          <w14:solidFill>
            <w14:schemeClr w14:val="tx1"/>
          </w14:solidFill>
        </w14:textFill>
      </w:rPr>
      <w:tblPr/>
      <w:tcPr>
        <w:shd w:val="clear" w:color="auto" w:fill="A8E9E3" w:themeFill="accent5" w:themeFillTint="66"/>
      </w:tcPr>
    </w:tblStylePr>
    <w:tblStylePr w:type="firstCol">
      <w:rPr>
        <w:color w:val="FFFFFF" w:themeColor="background1"/>
        <w14:textFill>
          <w14:solidFill>
            <w14:schemeClr w14:val="bg1"/>
          </w14:solidFill>
        </w14:textFill>
      </w:rPr>
      <w:tblPr/>
      <w:tcPr>
        <w:shd w:val="clear" w:color="auto" w:fill="238F86" w:themeFill="accent5" w:themeFillShade="BF"/>
      </w:tcPr>
    </w:tblStylePr>
    <w:tblStylePr w:type="lastCol">
      <w:rPr>
        <w:color w:val="FFFFFF" w:themeColor="background1"/>
        <w14:textFill>
          <w14:solidFill>
            <w14:schemeClr w14:val="bg1"/>
          </w14:solidFill>
        </w14:textFill>
      </w:rPr>
      <w:tblPr/>
      <w:tcPr>
        <w:shd w:val="clear" w:color="auto" w:fill="23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14:textFill>
          <w14:solidFill>
            <w14:schemeClr w14:val="tx1"/>
          </w14:solidFill>
        </w14:textFill>
      </w:rPr>
      <w:tblPr/>
      <w:tcPr>
        <w:shd w:val="clear" w:color="auto" w:fill="F4B7BE" w:themeFill="accent6" w:themeFillTint="66"/>
      </w:tcPr>
    </w:tblStylePr>
    <w:tblStylePr w:type="firstCol">
      <w:rPr>
        <w:color w:val="FFFFFF" w:themeColor="background1"/>
        <w14:textFill>
          <w14:solidFill>
            <w14:schemeClr w14:val="bg1"/>
          </w14:solidFill>
        </w14:textFill>
      </w:rPr>
      <w:tblPr/>
      <w:tcPr>
        <w:shd w:val="clear" w:color="auto" w:fill="C71C31" w:themeFill="accent6" w:themeFillShade="BF"/>
      </w:tcPr>
    </w:tblStylePr>
    <w:tblStylePr w:type="lastCol">
      <w:rPr>
        <w:color w:val="FFFFFF" w:themeColor="background1"/>
        <w14:textFill>
          <w14:solidFill>
            <w14:schemeClr w14:val="bg1"/>
          </w14:solidFill>
        </w14:textFill>
      </w:rPr>
      <w:tblPr/>
      <w:tcPr>
        <w:shd w:val="clear" w:color="auto" w:fill="C71C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character" w:styleId="232">
    <w:name w:val="Strong"/>
    <w:basedOn w:val="231"/>
    <w:qFormat/>
    <w:uiPriority w:val="22"/>
    <w:rPr>
      <w:rFonts w:ascii="汉仪正圆 55简" w:hAnsi="汉仪正圆 55简" w:eastAsia="汉仪正圆 55简" w:cs="Times New Roman"/>
      <w:b/>
      <w:bCs/>
      <w:color w:val="auto"/>
      <w:sz w:val="32"/>
      <w:szCs w:val="32"/>
    </w:rPr>
  </w:style>
  <w:style w:type="character" w:styleId="233">
    <w:name w:val="endnote reference"/>
    <w:qFormat/>
    <w:uiPriority w:val="0"/>
    <w:rPr>
      <w:rFonts w:ascii="汉仪正圆 55简" w:hAnsi="汉仪正圆 55简" w:eastAsia="汉仪正圆 55简" w:cs="Times New Roman"/>
      <w:color w:val="000000" w:themeColor="text1"/>
      <w:kern w:val="2"/>
      <w:sz w:val="28"/>
      <w:szCs w:val="28"/>
      <w:lang w:val="en-US" w:eastAsia="zh-CN" w:bidi="ar-SA"/>
      <w14:textFill>
        <w14:solidFill>
          <w14:schemeClr w14:val="tx1"/>
        </w14:solidFill>
      </w14:textFill>
    </w:rPr>
  </w:style>
  <w:style w:type="character" w:styleId="234">
    <w:name w:val="page number"/>
    <w:basedOn w:val="231"/>
    <w:qFormat/>
    <w:uiPriority w:val="0"/>
    <w:rPr>
      <w:rFonts w:ascii="汉仪正圆 55简" w:hAnsi="汉仪正圆 55简" w:eastAsia="汉仪正圆 55简" w:cs="Times New Roman"/>
      <w:color w:val="3F3F3F"/>
      <w:sz w:val="18"/>
      <w:szCs w:val="18"/>
    </w:rPr>
  </w:style>
  <w:style w:type="character" w:styleId="235">
    <w:name w:val="FollowedHyperlink"/>
    <w:basedOn w:val="231"/>
    <w:qFormat/>
    <w:uiPriority w:val="0"/>
    <w:rPr>
      <w:rFonts w:cs="Times New Roman"/>
      <w:color w:val="800080"/>
      <w:kern w:val="2"/>
      <w:sz w:val="30"/>
      <w:szCs w:val="30"/>
      <w:u w:val="single"/>
      <w:lang w:val="en-US" w:eastAsia="zh-CN" w:bidi="ar-SA"/>
    </w:rPr>
  </w:style>
  <w:style w:type="character" w:styleId="236">
    <w:name w:val="Emphasis"/>
    <w:qFormat/>
    <w:uiPriority w:val="0"/>
    <w:rPr>
      <w:rFonts w:ascii="汉仪正圆 55简" w:hAnsi="汉仪正圆 55简" w:eastAsia="汉仪正圆 55简" w:cs="Times New Roman"/>
      <w:b/>
      <w:bCs/>
      <w:color w:val="172328"/>
      <w:kern w:val="2"/>
      <w:sz w:val="30"/>
      <w:szCs w:val="30"/>
      <w:lang w:val="en-US" w:eastAsia="zh-CN" w:bidi="ar-SA"/>
    </w:rPr>
  </w:style>
  <w:style w:type="character" w:styleId="237">
    <w:name w:val="Hyperlink"/>
    <w:basedOn w:val="231"/>
    <w:qFormat/>
    <w:uiPriority w:val="0"/>
    <w:rPr>
      <w:rFonts w:ascii="汉仪正圆 55简" w:hAnsi="汉仪正圆 55简" w:eastAsia="汉仪正圆 55简" w:cs="Times New Roman"/>
      <w:color w:val="0000FF"/>
      <w:kern w:val="2"/>
      <w:sz w:val="30"/>
      <w:szCs w:val="30"/>
      <w:u w:val="single"/>
      <w:lang w:val="en-US" w:eastAsia="zh-CN" w:bidi="ar-SA"/>
    </w:rPr>
  </w:style>
  <w:style w:type="character" w:styleId="238">
    <w:name w:val="annotation reference"/>
    <w:basedOn w:val="231"/>
    <w:qFormat/>
    <w:uiPriority w:val="0"/>
    <w:rPr>
      <w:rFonts w:ascii="汉仪正圆 55简" w:hAnsi="汉仪正圆 55简" w:eastAsia="汉仪正圆 55简" w:cs="Times New Roman"/>
      <w:color w:val="auto"/>
      <w:kern w:val="2"/>
      <w:sz w:val="21"/>
      <w:szCs w:val="21"/>
      <w:lang w:val="en-US" w:eastAsia="zh-CN" w:bidi="ar-SA"/>
    </w:rPr>
  </w:style>
  <w:style w:type="character" w:styleId="239">
    <w:name w:val="footnote reference"/>
    <w:basedOn w:val="231"/>
    <w:qFormat/>
    <w:uiPriority w:val="0"/>
    <w:rPr>
      <w:rFonts w:ascii="汉仪正圆 55简" w:hAnsi="汉仪正圆 55简" w:eastAsia="汉仪正圆 55简" w:cs="Times New Roman"/>
      <w:szCs w:val="20"/>
      <w:vertAlign w:val="superscript"/>
    </w:rPr>
  </w:style>
  <w:style w:type="paragraph" w:styleId="240">
    <w:name w:val="List Paragraph"/>
    <w:basedOn w:val="1"/>
    <w:qFormat/>
    <w:uiPriority w:val="0"/>
    <w:pPr>
      <w:ind w:firstLine="420" w:firstLineChars="200"/>
    </w:pPr>
    <w:rPr>
      <w:kern w:val="0"/>
      <w:sz w:val="20"/>
      <w:szCs w:val="21"/>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2">
    <w:name w:val="图例"/>
    <w:basedOn w:val="1"/>
    <w:qFormat/>
    <w:uiPriority w:val="0"/>
    <w:pPr>
      <w:spacing w:before="120" w:after="120" w:line="360" w:lineRule="auto"/>
      <w:jc w:val="center"/>
    </w:pPr>
    <w:rPr>
      <w:rFonts w:eastAsia="仿宋_GB2312"/>
      <w:b/>
      <w:sz w:val="24"/>
    </w:rPr>
  </w:style>
  <w:style w:type="paragraph" w:customStyle="1" w:styleId="243">
    <w:name w:val="1"/>
    <w:basedOn w:val="1"/>
    <w:next w:val="45"/>
    <w:qFormat/>
    <w:uiPriority w:val="0"/>
    <w:rPr>
      <w:rFonts w:ascii="宋体" w:hAnsi="Courier New"/>
    </w:rPr>
  </w:style>
  <w:style w:type="paragraph" w:customStyle="1" w:styleId="244">
    <w:name w:val="电建正文"/>
    <w:basedOn w:val="245"/>
    <w:qFormat/>
    <w:uiPriority w:val="0"/>
    <w:pPr>
      <w:tabs>
        <w:tab w:val="left" w:pos="720"/>
      </w:tabs>
      <w:spacing w:line="360" w:lineRule="auto"/>
      <w:ind w:firstLine="200" w:firstLineChars="200"/>
    </w:pPr>
    <w:rPr>
      <w:rFonts w:ascii="Tahoma" w:hAnsi="Tahoma"/>
      <w:sz w:val="24"/>
    </w:rPr>
  </w:style>
  <w:style w:type="paragraph" w:customStyle="1" w:styleId="245">
    <w:name w:val="List First"/>
    <w:basedOn w:val="66"/>
    <w:next w:val="6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246">
    <w:name w:val="副标题 字符"/>
    <w:link w:val="64"/>
    <w:autoRedefine/>
    <w:qFormat/>
    <w:uiPriority w:val="0"/>
    <w:rPr>
      <w:rFonts w:ascii="Arial" w:hAnsi="Arial"/>
      <w:b/>
      <w:kern w:val="28"/>
      <w:sz w:val="32"/>
    </w:rPr>
  </w:style>
  <w:style w:type="character" w:customStyle="1" w:styleId="247">
    <w:name w:val="标题 4 字符"/>
    <w:link w:val="7"/>
    <w:autoRedefine/>
    <w:qFormat/>
    <w:uiPriority w:val="9"/>
    <w:rPr>
      <w:rFonts w:ascii="Arial" w:hAnsi="Arial" w:eastAsia="黑体"/>
      <w:b/>
      <w:sz w:val="28"/>
    </w:rPr>
  </w:style>
  <w:style w:type="paragraph" w:customStyle="1" w:styleId="248">
    <w:name w:val="目录标题"/>
    <w:link w:val="249"/>
    <w:qFormat/>
    <w:uiPriority w:val="0"/>
    <w:pPr>
      <w:adjustRightInd w:val="0"/>
      <w:snapToGrid w:val="0"/>
      <w:jc w:val="center"/>
      <w:textAlignment w:val="bottom"/>
    </w:pPr>
    <w:rPr>
      <w:rFonts w:ascii="汉仪正圆 55简" w:hAnsi="汉仪正圆 55简" w:eastAsia="汉仪正圆 55简" w:cs="Times New Roman"/>
      <w:b/>
      <w:bCs/>
      <w:sz w:val="32"/>
      <w:szCs w:val="32"/>
      <w:lang w:val="en-US" w:eastAsia="zh-CN" w:bidi="ar-SA"/>
    </w:rPr>
  </w:style>
  <w:style w:type="character" w:customStyle="1" w:styleId="249">
    <w:name w:val="目录标题 Char"/>
    <w:link w:val="248"/>
    <w:autoRedefine/>
    <w:qFormat/>
    <w:uiPriority w:val="0"/>
    <w:rPr>
      <w:rFonts w:ascii="汉仪正圆 55简" w:hAnsi="汉仪正圆 55简" w:eastAsia="汉仪正圆 55简" w:cs="Times New Roman"/>
      <w:b/>
      <w:bCs/>
      <w:sz w:val="32"/>
      <w:szCs w:val="32"/>
      <w:lang w:val="en-US" w:eastAsia="zh-CN" w:bidi="ar-SA"/>
    </w:rPr>
  </w:style>
  <w:style w:type="character" w:customStyle="1" w:styleId="250">
    <w:name w:val="日期 字符"/>
    <w:link w:val="50"/>
    <w:autoRedefine/>
    <w:qFormat/>
    <w:uiPriority w:val="0"/>
  </w:style>
  <w:style w:type="table" w:customStyle="1" w:styleId="251">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2">
    <w:name w:val="清单表 1 浅色 - 着色 11"/>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53">
    <w:name w:val="清单表 1 浅色 - 着色 21"/>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54">
    <w:name w:val="清单表 1 浅色 - 着色 31"/>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55">
    <w:name w:val="清单表 1 浅色 - 着色 41"/>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56">
    <w:name w:val="清单表 1 浅色 - 着色 51"/>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57">
    <w:name w:val="清单表 1 浅色 - 着色 61"/>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58">
    <w:name w:val="清单表 21"/>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9">
    <w:name w:val="清单表 2 - 着色 11"/>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60">
    <w:name w:val="清单表 2 - 着色 21"/>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61">
    <w:name w:val="清单表 2 - 着色 31"/>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62">
    <w:name w:val="清单表 2 - 着色 41"/>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63">
    <w:name w:val="清单表 2 - 着色 51"/>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64">
    <w:name w:val="清单表 2 - 着色 61"/>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65">
    <w:name w:val="清单表 31"/>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266">
    <w:name w:val="清单表 3 - 着色 11"/>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267">
    <w:name w:val="清单表 3 - 着色 21"/>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268">
    <w:name w:val="清单表 3 - 着色 31"/>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269">
    <w:name w:val="清单表 3 - 着色 41"/>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270">
    <w:name w:val="清单表 3 - 着色 51"/>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271">
    <w:name w:val="清单表 3 - 着色 61"/>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272">
    <w:name w:val="清单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73">
    <w:name w:val="清单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74">
    <w:name w:val="清单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75">
    <w:name w:val="清单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76">
    <w:name w:val="清单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77">
    <w:name w:val="清单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78">
    <w:name w:val="清单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79">
    <w:name w:val="清单表 5 深色1"/>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0">
    <w:name w:val="清单表 5 深色 - 着色 11"/>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1">
    <w:name w:val="清单表 5 深色 - 着色 21"/>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2">
    <w:name w:val="清单表 5 深色 - 着色 31"/>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3">
    <w:name w:val="清单表 5 深色 - 着色 41"/>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4">
    <w:name w:val="清单表 5 深色 - 着色 51"/>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5">
    <w:name w:val="清单表 5 深色 - 着色 61"/>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6">
    <w:name w:val="清单表 6 彩色1"/>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7">
    <w:name w:val="清单表 6 彩色 - 着色 11"/>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88">
    <w:name w:val="清单表 6 彩色 - 着色 21"/>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89">
    <w:name w:val="清单表 6 彩色 - 着色 31"/>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90">
    <w:name w:val="清单表 6 彩色 - 着色 41"/>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91">
    <w:name w:val="清单表 6 彩色 - 着色 51"/>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92">
    <w:name w:val="清单表 6 彩色 - 着色 61"/>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93">
    <w:name w:val="清单表 7 彩色1"/>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4">
    <w:name w:val="清单表 7 彩色 - 着色 11"/>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5">
    <w:name w:val="清单表 7 彩色 - 着色 21"/>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6">
    <w:name w:val="清单表 7 彩色 - 着色 31"/>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7">
    <w:name w:val="清单表 7 彩色 - 着色 41"/>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8">
    <w:name w:val="清单表 7 彩色 - 着色 51"/>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9">
    <w:name w:val="清单表 7 彩色 - 着色 61"/>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0">
    <w:name w:val="网格表 1 浅色1"/>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1">
    <w:name w:val="网格表 1 浅色 - 着色 11"/>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302">
    <w:name w:val="网格表 1 浅色 - 着色 21"/>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303">
    <w:name w:val="网格表 1 浅色 - 着色 31"/>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304">
    <w:name w:val="网格表 1 浅色 - 着色 41"/>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305">
    <w:name w:val="网格表 1 浅色 - 着色 51"/>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306">
    <w:name w:val="网格表 1 浅色 - 着色 61"/>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307">
    <w:name w:val="网格表 21"/>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8">
    <w:name w:val="网格表 2 - 着色 11"/>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09">
    <w:name w:val="网格表 2 - 着色 21"/>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10">
    <w:name w:val="网格表 2 - 着色 31"/>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11">
    <w:name w:val="网格表 2 - 着色 41"/>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12">
    <w:name w:val="网格表 2 - 着色 51"/>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13">
    <w:name w:val="网格表 2 - 着色 61"/>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14">
    <w:name w:val="网格表 31"/>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5">
    <w:name w:val="网格表 3 - 着色 11"/>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16">
    <w:name w:val="网格表 3 - 着色 21"/>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17">
    <w:name w:val="网格表 3 - 着色 31"/>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18">
    <w:name w:val="网格表 3 - 着色 41"/>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19">
    <w:name w:val="网格表 3 - 着色 51"/>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20">
    <w:name w:val="网格表 3 - 着色 61"/>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21">
    <w:name w:val="网格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2">
    <w:name w:val="网格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23">
    <w:name w:val="网格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24">
    <w:name w:val="网格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25">
    <w:name w:val="网格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26">
    <w:name w:val="网格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27">
    <w:name w:val="网格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28">
    <w:name w:val="网格表 5 深色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9">
    <w:name w:val="网格表 5 深色 - 着色 1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330">
    <w:name w:val="网格表 5 深色 - 着色 2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331">
    <w:name w:val="网格表 5 深色 - 着色 3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332">
    <w:name w:val="网格表 5 深色 - 着色 4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333">
    <w:name w:val="网格表 5 深色 - 着色 5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334">
    <w:name w:val="网格表 5 深色 - 着色 6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335">
    <w:name w:val="网格表 6 彩色1"/>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6">
    <w:name w:val="网格表 6 彩色 - 着色 11"/>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37">
    <w:name w:val="网格表 6 彩色 - 着色 21"/>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38">
    <w:name w:val="网格表 6 彩色 - 着色 31"/>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39">
    <w:name w:val="网格表 6 彩色 - 着色 41"/>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40">
    <w:name w:val="网格表 6 彩色 - 着色 51"/>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41">
    <w:name w:val="网格表 6 彩色 - 着色 61"/>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42">
    <w:name w:val="网格表 7 彩色1"/>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3">
    <w:name w:val="网格表 7 彩色 - 着色 11"/>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44">
    <w:name w:val="网格表 7 彩色 - 着色 21"/>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45">
    <w:name w:val="网格表 7 彩色 - 着色 31"/>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46">
    <w:name w:val="网格表 7 彩色 - 着色 41"/>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47">
    <w:name w:val="网格表 7 彩色 - 着色 51"/>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48">
    <w:name w:val="网格表 7 彩色 - 着色 61"/>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49">
    <w:name w:val="网格型浅色1"/>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50">
    <w:name w:val="无格式表格 1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51">
    <w:name w:val="无格式表格 21"/>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52">
    <w:name w:val="无格式表格 31"/>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53">
    <w:name w:val="无格式表格 41"/>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54">
    <w:name w:val="无格式表格 51"/>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55">
    <w:name w:val="正文文本 字符"/>
    <w:link w:val="35"/>
    <w:autoRedefine/>
    <w:qFormat/>
    <w:uiPriority w:val="0"/>
  </w:style>
  <w:style w:type="table" w:customStyle="1" w:styleId="356">
    <w:name w:val="清单表 1 浅色2"/>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7">
    <w:name w:val="清单表 1 浅色 - 着色 12"/>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58">
    <w:name w:val="清单表 1 浅色 - 着色 22"/>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59">
    <w:name w:val="清单表 1 浅色 - 着色 32"/>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60">
    <w:name w:val="清单表 1 浅色 - 着色 42"/>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61">
    <w:name w:val="清单表 1 浅色 - 着色 52"/>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62">
    <w:name w:val="清单表 1 浅色 - 着色 62"/>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63">
    <w:name w:val="清单表 2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4">
    <w:name w:val="清单表 2 - 着色 12"/>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65">
    <w:name w:val="清单表 2 - 着色 22"/>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66">
    <w:name w:val="清单表 2 - 着色 32"/>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67">
    <w:name w:val="清单表 2 - 着色 42"/>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68">
    <w:name w:val="清单表 2 - 着色 52"/>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69">
    <w:name w:val="清单表 2 - 着色 62"/>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70">
    <w:name w:val="清单表 32"/>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71">
    <w:name w:val="清单表 3 - 着色 12"/>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372">
    <w:name w:val="清单表 3 - 着色 22"/>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373">
    <w:name w:val="清单表 3 - 着色 32"/>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374">
    <w:name w:val="清单表 3 - 着色 42"/>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375">
    <w:name w:val="清单表 3 - 着色 52"/>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376">
    <w:name w:val="清单表 3 - 着色 62"/>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377">
    <w:name w:val="清单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清单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79">
    <w:name w:val="清单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80">
    <w:name w:val="清单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81">
    <w:name w:val="清单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82">
    <w:name w:val="清单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83">
    <w:name w:val="清单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84">
    <w:name w:val="清单表 5 深色2"/>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5">
    <w:name w:val="清单表 5 深色 - 着色 12"/>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6">
    <w:name w:val="清单表 5 深色 - 着色 22"/>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7">
    <w:name w:val="清单表 5 深色 - 着色 32"/>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8">
    <w:name w:val="清单表 5 深色 - 着色 42"/>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9">
    <w:name w:val="清单表 5 深色 - 着色 52"/>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0">
    <w:name w:val="清单表 5 深色 - 着色 62"/>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1">
    <w:name w:val="清单表 6 彩色2"/>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清单表 6 彩色 - 着色 12"/>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93">
    <w:name w:val="清单表 6 彩色 - 着色 22"/>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94">
    <w:name w:val="清单表 6 彩色 - 着色 32"/>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95">
    <w:name w:val="清单表 6 彩色 - 着色 42"/>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96">
    <w:name w:val="清单表 6 彩色 - 着色 52"/>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97">
    <w:name w:val="清单表 6 彩色 - 着色 62"/>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98">
    <w:name w:val="清单表 7 彩色2"/>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9">
    <w:name w:val="清单表 7 彩色 - 着色 12"/>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0">
    <w:name w:val="清单表 7 彩色 - 着色 22"/>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1">
    <w:name w:val="清单表 7 彩色 - 着色 32"/>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2">
    <w:name w:val="清单表 7 彩色 - 着色 42"/>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3">
    <w:name w:val="清单表 7 彩色 - 着色 52"/>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4">
    <w:name w:val="清单表 7 彩色 - 着色 62"/>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5">
    <w:name w:val="网格表 1 浅色2"/>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06">
    <w:name w:val="网格表 1 浅色 - 着色 12"/>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407">
    <w:name w:val="网格表 1 浅色 - 着色 22"/>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408">
    <w:name w:val="网格表 1 浅色 - 着色 32"/>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409">
    <w:name w:val="网格表 1 浅色 - 着色 42"/>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410">
    <w:name w:val="网格表 1 浅色 - 着色 52"/>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411">
    <w:name w:val="网格表 1 浅色 - 着色 62"/>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412">
    <w:name w:val="网格表 2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3">
    <w:name w:val="网格表 2 - 着色 12"/>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14">
    <w:name w:val="网格表 2 - 着色 22"/>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15">
    <w:name w:val="网格表 2 - 着色 32"/>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16">
    <w:name w:val="网格表 2 - 着色 42"/>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17">
    <w:name w:val="网格表 2 - 着色 52"/>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18">
    <w:name w:val="网格表 2 - 着色 62"/>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19">
    <w:name w:val="网格表 32"/>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20">
    <w:name w:val="网格表 3 - 着色 12"/>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421">
    <w:name w:val="网格表 3 - 着色 22"/>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422">
    <w:name w:val="网格表 3 - 着色 32"/>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423">
    <w:name w:val="网格表 3 - 着色 42"/>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424">
    <w:name w:val="网格表 3 - 着色 52"/>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425">
    <w:name w:val="网格表 3 - 着色 62"/>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426">
    <w:name w:val="网格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7">
    <w:name w:val="网格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28">
    <w:name w:val="网格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29">
    <w:name w:val="网格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30">
    <w:name w:val="网格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31">
    <w:name w:val="网格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32">
    <w:name w:val="网格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33">
    <w:name w:val="网格表 5 深色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34">
    <w:name w:val="网格表 5 深色 - 着色 1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435">
    <w:name w:val="网格表 5 深色 - 着色 2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436">
    <w:name w:val="网格表 5 深色 - 着色 3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437">
    <w:name w:val="网格表 5 深色 - 着色 4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438">
    <w:name w:val="网格表 5 深色 - 着色 5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439">
    <w:name w:val="网格表 5 深色 - 着色 6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440">
    <w:name w:val="网格表 6 彩色2"/>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1">
    <w:name w:val="网格表 6 彩色 - 着色 12"/>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42">
    <w:name w:val="网格表 6 彩色 - 着色 22"/>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43">
    <w:name w:val="网格表 6 彩色 - 着色 32"/>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44">
    <w:name w:val="网格表 6 彩色 - 着色 42"/>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45">
    <w:name w:val="网格表 6 彩色 - 着色 52"/>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46">
    <w:name w:val="网格表 6 彩色 - 着色 62"/>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47">
    <w:name w:val="网格表 7 彩色2"/>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48">
    <w:name w:val="网格表 7 彩色 - 着色 12"/>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449">
    <w:name w:val="网格表 7 彩色 - 着色 22"/>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450">
    <w:name w:val="网格表 7 彩色 - 着色 32"/>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451">
    <w:name w:val="网格表 7 彩色 - 着色 42"/>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452">
    <w:name w:val="网格表 7 彩色 - 着色 52"/>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453">
    <w:name w:val="网格表 7 彩色 - 着色 62"/>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454">
    <w:name w:val="网格型浅色2"/>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55">
    <w:name w:val="无格式表格 12"/>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56">
    <w:name w:val="无格式表格 22"/>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57">
    <w:name w:val="无格式表格 32"/>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58">
    <w:name w:val="无格式表格 42"/>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59">
    <w:name w:val="无格式表格 52"/>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0">
    <w:name w:val="清单表 1 浅色3"/>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1">
    <w:name w:val="清单表 1 浅色 - 着色 13"/>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62">
    <w:name w:val="清单表 1 浅色 - 着色 23"/>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63">
    <w:name w:val="清单表 1 浅色 - 着色 33"/>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64">
    <w:name w:val="清单表 1 浅色 - 着色 43"/>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65">
    <w:name w:val="清单表 1 浅色 - 着色 53"/>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66">
    <w:name w:val="清单表 1 浅色 - 着色 63"/>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67">
    <w:name w:val="清单表 23"/>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8">
    <w:name w:val="清单表 2 - 着色 13"/>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69">
    <w:name w:val="清单表 2 - 着色 23"/>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70">
    <w:name w:val="清单表 2 - 着色 33"/>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71">
    <w:name w:val="清单表 2 - 着色 43"/>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72">
    <w:name w:val="清单表 2 - 着色 53"/>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73">
    <w:name w:val="清单表 2 - 着色 63"/>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74">
    <w:name w:val="清单表 3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75">
    <w:name w:val="清单表 3 - 着色 13"/>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476">
    <w:name w:val="清单表 3 - 着色 23"/>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477">
    <w:name w:val="清单表 3 - 着色 33"/>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478">
    <w:name w:val="清单表 3 - 着色 43"/>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479">
    <w:name w:val="清单表 3 - 着色 53"/>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480">
    <w:name w:val="清单表 3 - 着色 63"/>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481">
    <w:name w:val="清单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82">
    <w:name w:val="清单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83">
    <w:name w:val="清单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84">
    <w:name w:val="清单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85">
    <w:name w:val="清单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86">
    <w:name w:val="清单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87">
    <w:name w:val="清单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88">
    <w:name w:val="清单表 5 深色3"/>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9">
    <w:name w:val="清单表 5 深色 - 着色 13"/>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0">
    <w:name w:val="清单表 5 深色 - 着色 23"/>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1">
    <w:name w:val="清单表 5 深色 - 着色 33"/>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2">
    <w:name w:val="清单表 5 深色 - 着色 43"/>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3">
    <w:name w:val="清单表 5 深色 - 着色 53"/>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4">
    <w:name w:val="清单表 5 深色 - 着色 63"/>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5">
    <w:name w:val="清单表 6 彩色3"/>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96">
    <w:name w:val="清单表 6 彩色 - 着色 13"/>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97">
    <w:name w:val="清单表 6 彩色 - 着色 23"/>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98">
    <w:name w:val="清单表 6 彩色 - 着色 33"/>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99">
    <w:name w:val="清单表 6 彩色 - 着色 43"/>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00">
    <w:name w:val="清单表 6 彩色 - 着色 53"/>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01">
    <w:name w:val="清单表 6 彩色 - 着色 63"/>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02">
    <w:name w:val="清单表 7 彩色3"/>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3">
    <w:name w:val="清单表 7 彩色 - 着色 13"/>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4">
    <w:name w:val="清单表 7 彩色 - 着色 23"/>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5">
    <w:name w:val="清单表 7 彩色 - 着色 33"/>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6">
    <w:name w:val="清单表 7 彩色 - 着色 43"/>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7">
    <w:name w:val="清单表 7 彩色 - 着色 53"/>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8">
    <w:name w:val="清单表 7 彩色 - 着色 63"/>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9">
    <w:name w:val="网格表 1 浅色3"/>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10">
    <w:name w:val="网格表 1 浅色 - 着色 13"/>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511">
    <w:name w:val="网格表 1 浅色 - 着色 23"/>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512">
    <w:name w:val="网格表 1 浅色 - 着色 33"/>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513">
    <w:name w:val="网格表 1 浅色 - 着色 43"/>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514">
    <w:name w:val="网格表 1 浅色 - 着色 53"/>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515">
    <w:name w:val="网格表 1 浅色 - 着色 63"/>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516">
    <w:name w:val="网格表 23"/>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17">
    <w:name w:val="网格表 2 - 着色 13"/>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18">
    <w:name w:val="网格表 2 - 着色 23"/>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19">
    <w:name w:val="网格表 2 - 着色 33"/>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20">
    <w:name w:val="网格表 2 - 着色 43"/>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21">
    <w:name w:val="网格表 2 - 着色 53"/>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22">
    <w:name w:val="网格表 2 - 着色 63"/>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23">
    <w:name w:val="网格表 3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24">
    <w:name w:val="网格表 3 - 着色 13"/>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25">
    <w:name w:val="网格表 3 - 着色 23"/>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26">
    <w:name w:val="网格表 3 - 着色 33"/>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27">
    <w:name w:val="网格表 3 - 着色 43"/>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28">
    <w:name w:val="网格表 3 - 着色 53"/>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29">
    <w:name w:val="网格表 3 - 着色 63"/>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30">
    <w:name w:val="网格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31">
    <w:name w:val="网格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32">
    <w:name w:val="网格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33">
    <w:name w:val="网格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34">
    <w:name w:val="网格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35">
    <w:name w:val="网格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36">
    <w:name w:val="网格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37">
    <w:name w:val="网格表 5 深色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538">
    <w:name w:val="网格表 5 深色 - 着色 1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539">
    <w:name w:val="网格表 5 深色 - 着色 2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540">
    <w:name w:val="网格表 5 深色 - 着色 3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541">
    <w:name w:val="网格表 5 深色 - 着色 4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542">
    <w:name w:val="网格表 5 深色 - 着色 5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543">
    <w:name w:val="网格表 5 深色 - 着色 6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544">
    <w:name w:val="网格表 6 彩色3"/>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45">
    <w:name w:val="网格表 6 彩色 - 着色 13"/>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46">
    <w:name w:val="网格表 6 彩色 - 着色 23"/>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47">
    <w:name w:val="网格表 6 彩色 - 着色 33"/>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48">
    <w:name w:val="网格表 6 彩色 - 着色 43"/>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49">
    <w:name w:val="网格表 6 彩色 - 着色 53"/>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50">
    <w:name w:val="网格表 6 彩色 - 着色 63"/>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51">
    <w:name w:val="网格表 7 彩色3"/>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52">
    <w:name w:val="网格表 7 彩色 - 着色 13"/>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53">
    <w:name w:val="网格表 7 彩色 - 着色 23"/>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54">
    <w:name w:val="网格表 7 彩色 - 着色 33"/>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55">
    <w:name w:val="网格表 7 彩色 - 着色 43"/>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56">
    <w:name w:val="网格表 7 彩色 - 着色 53"/>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57">
    <w:name w:val="网格表 7 彩色 - 着色 63"/>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58">
    <w:name w:val="网格型浅色3"/>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59">
    <w:name w:val="无格式表格 13"/>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60">
    <w:name w:val="无格式表格 23"/>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61">
    <w:name w:val="无格式表格 33"/>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62">
    <w:name w:val="无格式表格 43"/>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63">
    <w:name w:val="无格式表格 53"/>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564">
    <w:name w:val="标题 1 字符"/>
    <w:link w:val="4"/>
    <w:autoRedefine/>
    <w:qFormat/>
    <w:uiPriority w:val="9"/>
    <w:rPr>
      <w:b/>
      <w:kern w:val="44"/>
      <w:sz w:val="44"/>
    </w:rPr>
  </w:style>
  <w:style w:type="table" w:customStyle="1" w:styleId="565">
    <w:name w:val="清单表 1 浅色4"/>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66">
    <w:name w:val="清单表 1 浅色 - 着色 14"/>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67">
    <w:name w:val="清单表 1 浅色 - 着色 24"/>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68">
    <w:name w:val="清单表 1 浅色 - 着色 34"/>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69">
    <w:name w:val="清单表 1 浅色 - 着色 44"/>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70">
    <w:name w:val="清单表 1 浅色 - 着色 54"/>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71">
    <w:name w:val="清单表 1 浅色 - 着色 64"/>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72">
    <w:name w:val="清单表 24"/>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73">
    <w:name w:val="清单表 2 - 着色 14"/>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74">
    <w:name w:val="清单表 2 - 着色 24"/>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75">
    <w:name w:val="清单表 2 - 着色 34"/>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76">
    <w:name w:val="清单表 2 - 着色 44"/>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77">
    <w:name w:val="清单表 2 - 着色 54"/>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78">
    <w:name w:val="清单表 2 - 着色 64"/>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79">
    <w:name w:val="清单表 34"/>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580">
    <w:name w:val="清单表 3 - 着色 14"/>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581">
    <w:name w:val="清单表 3 - 着色 24"/>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582">
    <w:name w:val="清单表 3 - 着色 34"/>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583">
    <w:name w:val="清单表 3 - 着色 44"/>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584">
    <w:name w:val="清单表 3 - 着色 54"/>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585">
    <w:name w:val="清单表 3 - 着色 64"/>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586">
    <w:name w:val="清单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87">
    <w:name w:val="清单表 4 - 着色 14"/>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88">
    <w:name w:val="清单表 4 - 着色 24"/>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89">
    <w:name w:val="清单表 4 - 着色 34"/>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90">
    <w:name w:val="清单表 4 - 着色 44"/>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91">
    <w:name w:val="清单表 4 - 着色 54"/>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92">
    <w:name w:val="清单表 4 - 着色 64"/>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93">
    <w:name w:val="清单表 5 深色4"/>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4">
    <w:name w:val="清单表 5 深色 - 着色 14"/>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5">
    <w:name w:val="清单表 5 深色 - 着色 24"/>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6">
    <w:name w:val="清单表 5 深色 - 着色 34"/>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7">
    <w:name w:val="清单表 5 深色 - 着色 44"/>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8">
    <w:name w:val="清单表 5 深色 - 着色 54"/>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9">
    <w:name w:val="清单表 5 深色 - 着色 64"/>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00">
    <w:name w:val="清单表 6 彩色4"/>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1">
    <w:name w:val="清单表 6 彩色 - 着色 14"/>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02">
    <w:name w:val="清单表 6 彩色 - 着色 24"/>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03">
    <w:name w:val="清单表 6 彩色 - 着色 34"/>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04">
    <w:name w:val="清单表 6 彩色 - 着色 44"/>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05">
    <w:name w:val="清单表 6 彩色 - 着色 54"/>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06">
    <w:name w:val="清单表 6 彩色 - 着色 64"/>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07">
    <w:name w:val="清单表 7 彩色4"/>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8">
    <w:name w:val="清单表 7 彩色 - 着色 14"/>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9">
    <w:name w:val="清单表 7 彩色 - 着色 24"/>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0">
    <w:name w:val="清单表 7 彩色 - 着色 34"/>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1">
    <w:name w:val="清单表 7 彩色 - 着色 44"/>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2">
    <w:name w:val="清单表 7 彩色 - 着色 54"/>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3">
    <w:name w:val="清单表 7 彩色 - 着色 64"/>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4">
    <w:name w:val="网格表 1 浅色4"/>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15">
    <w:name w:val="网格表 1 浅色 - 着色 14"/>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616">
    <w:name w:val="网格表 1 浅色 - 着色 24"/>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617">
    <w:name w:val="网格表 1 浅色 - 着色 34"/>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618">
    <w:name w:val="网格表 1 浅色 - 着色 44"/>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619">
    <w:name w:val="网格表 1 浅色 - 着色 54"/>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620">
    <w:name w:val="网格表 1 浅色 - 着色 64"/>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621">
    <w:name w:val="网格表 24"/>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22">
    <w:name w:val="网格表 2 - 着色 14"/>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23">
    <w:name w:val="网格表 2 - 着色 24"/>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24">
    <w:name w:val="网格表 2 - 着色 34"/>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25">
    <w:name w:val="网格表 2 - 着色 44"/>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26">
    <w:name w:val="网格表 2 - 着色 54"/>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27">
    <w:name w:val="网格表 2 - 着色 64"/>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28">
    <w:name w:val="网格表 34"/>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29">
    <w:name w:val="网格表 3 - 着色 14"/>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30">
    <w:name w:val="网格表 3 - 着色 24"/>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31">
    <w:name w:val="网格表 3 - 着色 34"/>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32">
    <w:name w:val="网格表 3 - 着色 44"/>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33">
    <w:name w:val="网格表 3 - 着色 54"/>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34">
    <w:name w:val="网格表 3 - 着色 64"/>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35">
    <w:name w:val="网格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6">
    <w:name w:val="网格表 4 - 着色 14"/>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37">
    <w:name w:val="网格表 4 - 着色 24"/>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38">
    <w:name w:val="网格表 4 - 着色 34"/>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39">
    <w:name w:val="网格表 4 - 着色 44"/>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40">
    <w:name w:val="网格表 4 - 着色 54"/>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41">
    <w:name w:val="网格表 4 - 着色 64"/>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42">
    <w:name w:val="网格表 5 深色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43">
    <w:name w:val="网格表 5 深色 - 着色 1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644">
    <w:name w:val="网格表 5 深色 - 着色 2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645">
    <w:name w:val="网格表 5 深色 - 着色 3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646">
    <w:name w:val="网格表 5 深色 - 着色 4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647">
    <w:name w:val="网格表 5 深色 - 着色 5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648">
    <w:name w:val="网格表 5 深色 - 着色 6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649">
    <w:name w:val="网格表 6 彩色4"/>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0">
    <w:name w:val="网格表 6 彩色 - 着色 14"/>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51">
    <w:name w:val="网格表 6 彩色 - 着色 24"/>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52">
    <w:name w:val="网格表 6 彩色 - 着色 34"/>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53">
    <w:name w:val="网格表 6 彩色 - 着色 44"/>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54">
    <w:name w:val="网格表 6 彩色 - 着色 54"/>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55">
    <w:name w:val="网格表 6 彩色 - 着色 64"/>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56">
    <w:name w:val="网格表 7 彩色4"/>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57">
    <w:name w:val="网格表 7 彩色 - 着色 14"/>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58">
    <w:name w:val="网格表 7 彩色 - 着色 24"/>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59">
    <w:name w:val="网格表 7 彩色 - 着色 34"/>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60">
    <w:name w:val="网格表 7 彩色 - 着色 44"/>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61">
    <w:name w:val="网格表 7 彩色 - 着色 54"/>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62">
    <w:name w:val="网格表 7 彩色 - 着色 64"/>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63">
    <w:name w:val="网格型浅色4"/>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64">
    <w:name w:val="无格式表格 14"/>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5">
    <w:name w:val="无格式表格 24"/>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6">
    <w:name w:val="无格式表格 34"/>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67">
    <w:name w:val="无格式表格 44"/>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8">
    <w:name w:val="无格式表格 54"/>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69">
    <w:name w:val="纯文本 字符"/>
    <w:link w:val="45"/>
    <w:qFormat/>
    <w:uiPriority w:val="0"/>
    <w:rPr>
      <w:rFonts w:ascii="宋体" w:hAnsi="Courier New"/>
    </w:rPr>
  </w:style>
  <w:style w:type="character" w:customStyle="1" w:styleId="670">
    <w:name w:val="电子邮件签名 字符"/>
    <w:link w:val="20"/>
    <w:qFormat/>
    <w:uiPriority w:val="0"/>
  </w:style>
  <w:style w:type="character" w:customStyle="1" w:styleId="671">
    <w:name w:val="宏文本 字符"/>
    <w:link w:val="3"/>
    <w:qFormat/>
    <w:uiPriority w:val="0"/>
    <w:rPr>
      <w:rFonts w:ascii="Courier New" w:hAnsi="Courier New" w:eastAsiaTheme="minorEastAsia" w:cstheme="minorBidi"/>
      <w:kern w:val="2"/>
      <w:sz w:val="24"/>
      <w:lang w:val="en-US" w:eastAsia="zh-CN"/>
    </w:rPr>
  </w:style>
  <w:style w:type="character" w:customStyle="1" w:styleId="672">
    <w:name w:val="结束语 字符"/>
    <w:link w:val="33"/>
    <w:qFormat/>
    <w:uiPriority w:val="0"/>
  </w:style>
  <w:style w:type="paragraph" w:customStyle="1" w:styleId="673">
    <w:name w:val="书目1"/>
    <w:basedOn w:val="1"/>
    <w:next w:val="1"/>
    <w:semiHidden/>
    <w:unhideWhenUsed/>
    <w:qFormat/>
    <w:uiPriority w:val="37"/>
  </w:style>
  <w:style w:type="character" w:customStyle="1" w:styleId="674">
    <w:name w:val="文档结构图 字符"/>
    <w:link w:val="27"/>
    <w:qFormat/>
    <w:uiPriority w:val="0"/>
  </w:style>
  <w:style w:type="character" w:customStyle="1" w:styleId="675">
    <w:name w:val="信息标题 字符"/>
    <w:link w:val="79"/>
    <w:qFormat/>
    <w:uiPriority w:val="0"/>
    <w:rPr>
      <w:rFonts w:ascii="Arial" w:hAnsi="Arial"/>
      <w:sz w:val="24"/>
    </w:rPr>
  </w:style>
  <w:style w:type="character" w:customStyle="1" w:styleId="676">
    <w:name w:val="注释标题 字符"/>
    <w:link w:val="17"/>
    <w:qFormat/>
    <w:uiPriority w:val="0"/>
  </w:style>
  <w:style w:type="character" w:customStyle="1" w:styleId="677">
    <w:name w:val="列表 4 字符"/>
    <w:link w:val="77"/>
    <w:qFormat/>
    <w:uiPriority w:val="0"/>
  </w:style>
  <w:style w:type="paragraph" w:customStyle="1" w:styleId="678">
    <w:name w:val="主送对象"/>
    <w:qFormat/>
    <w:uiPriority w:val="0"/>
    <w:rPr>
      <w:rFonts w:hint="eastAsia" w:ascii="汉仪正圆 55简" w:hAnsi="汉仪正圆 55简" w:eastAsia="汉仪正圆 55简" w:cstheme="minorBidi"/>
      <w:sz w:val="24"/>
      <w:szCs w:val="24"/>
      <w:lang w:val="en-US" w:eastAsia="zh-CN" w:bidi="ar-SA"/>
    </w:rPr>
  </w:style>
  <w:style w:type="paragraph" w:customStyle="1" w:styleId="679">
    <w:name w:val="文档说明标题"/>
    <w:qFormat/>
    <w:uiPriority w:val="0"/>
    <w:pPr>
      <w:adjustRightInd w:val="0"/>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80">
    <w:name w:val="章前标题"/>
    <w:qFormat/>
    <w:uiPriority w:val="0"/>
    <w:pPr>
      <w:adjustRightInd w:val="0"/>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81">
    <w:name w:val="章标题"/>
    <w:qFormat/>
    <w:uiPriority w:val="0"/>
    <w:pPr>
      <w:keepNext/>
      <w:keepLines/>
      <w:adjustRightInd w:val="0"/>
      <w:snapToGrid w:val="0"/>
      <w:jc w:val="center"/>
      <w:textAlignment w:val="bottom"/>
      <w:outlineLvl w:val="0"/>
    </w:pPr>
    <w:rPr>
      <w:rFonts w:hint="eastAsia" w:ascii="汉仪正圆 55简" w:hAnsi="汉仪正圆 55简" w:eastAsia="汉仪正圆 55简" w:cs="Times New Roman"/>
      <w:b/>
      <w:bCs/>
      <w:kern w:val="44"/>
      <w:sz w:val="32"/>
      <w:szCs w:val="32"/>
      <w:lang w:val="en-US" w:eastAsia="zh-CN" w:bidi="ar-SA"/>
    </w:rPr>
  </w:style>
  <w:style w:type="paragraph" w:customStyle="1" w:styleId="682">
    <w:name w:val="节标题"/>
    <w:qFormat/>
    <w:uiPriority w:val="0"/>
    <w:pPr>
      <w:keepNext/>
      <w:keepLines/>
      <w:widowControl w:val="0"/>
      <w:adjustRightInd w:val="0"/>
      <w:snapToGrid w:val="0"/>
      <w:jc w:val="center"/>
      <w:textAlignment w:val="bottom"/>
    </w:pPr>
    <w:rPr>
      <w:rFonts w:hint="eastAsia" w:ascii="汉仪正圆 55简" w:hAnsi="汉仪正圆 55简" w:eastAsia="汉仪正圆 55简" w:cs="Times New Roman"/>
      <w:b/>
      <w:bCs/>
      <w:sz w:val="32"/>
      <w:szCs w:val="32"/>
      <w:lang w:val="en-US" w:eastAsia="zh-CN" w:bidi="ar-SA"/>
    </w:rPr>
  </w:style>
  <w:style w:type="paragraph" w:customStyle="1" w:styleId="683">
    <w:name w:val="附录标题"/>
    <w:qFormat/>
    <w:uiPriority w:val="0"/>
    <w:pPr>
      <w:keepNext/>
      <w:keepLines/>
      <w:widowControl w:val="0"/>
      <w:adjustRightInd w:val="0"/>
      <w:snapToGrid w:val="0"/>
      <w:jc w:val="center"/>
      <w:textAlignment w:val="bottom"/>
      <w:outlineLvl w:val="0"/>
    </w:pPr>
    <w:rPr>
      <w:rFonts w:hint="eastAsia" w:ascii="汉仪正圆 55简" w:hAnsi="汉仪正圆 55简" w:eastAsia="汉仪正圆 55简" w:cs="Times New Roman"/>
      <w:b/>
      <w:bCs/>
      <w:kern w:val="44"/>
      <w:sz w:val="32"/>
      <w:szCs w:val="32"/>
      <w:lang w:val="en-US" w:eastAsia="zh-CN" w:bidi="ar-SA"/>
    </w:rPr>
  </w:style>
  <w:style w:type="paragraph" w:customStyle="1" w:styleId="684">
    <w:name w:val="声明标题"/>
    <w:qFormat/>
    <w:uiPriority w:val="0"/>
    <w:pPr>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85">
    <w:name w:val="声明正文"/>
    <w:basedOn w:val="1"/>
    <w:qFormat/>
    <w:uiPriority w:val="0"/>
    <w:pPr>
      <w:ind w:firstLine="1041"/>
    </w:pPr>
    <w:rPr>
      <w:rFonts w:hint="eastAsia"/>
    </w:rPr>
  </w:style>
  <w:style w:type="character" w:customStyle="1" w:styleId="686">
    <w:name w:val="摘要"/>
    <w:basedOn w:val="231"/>
    <w:qFormat/>
    <w:uiPriority w:val="0"/>
    <w:rPr>
      <w:rFonts w:ascii="楷体" w:hAnsi="楷体" w:eastAsia="楷体" w:cs="Times New Roman"/>
      <w:b/>
      <w:bCs/>
      <w:color w:val="auto"/>
      <w:kern w:val="2"/>
      <w:sz w:val="24"/>
      <w:szCs w:val="24"/>
      <w:lang w:val="en-US" w:eastAsia="zh-CN" w:bidi="ar-SA"/>
    </w:rPr>
  </w:style>
  <w:style w:type="paragraph" w:customStyle="1" w:styleId="687">
    <w:name w:val="摘要标题"/>
    <w:basedOn w:val="58"/>
    <w:qFormat/>
    <w:uiPriority w:val="0"/>
    <w:pPr>
      <w:jc w:val="center"/>
    </w:pPr>
    <w:rPr>
      <w:kern w:val="28"/>
      <w:sz w:val="44"/>
      <w:szCs w:val="44"/>
    </w:rPr>
  </w:style>
  <w:style w:type="paragraph" w:customStyle="1" w:styleId="688">
    <w:name w:val="摘要正文"/>
    <w:basedOn w:val="1"/>
    <w:qFormat/>
    <w:uiPriority w:val="0"/>
    <w:pPr>
      <w:ind w:firstLine="1041"/>
    </w:pPr>
    <w:rPr>
      <w:rFonts w:hint="eastAsia"/>
    </w:rPr>
  </w:style>
  <w:style w:type="paragraph" w:customStyle="1" w:styleId="689">
    <w:name w:val="关键词正文"/>
    <w:qFormat/>
    <w:uiPriority w:val="0"/>
    <w:rPr>
      <w:rFonts w:ascii="汉仪正圆 55简" w:hAnsi="汉仪正圆 55简" w:eastAsia="汉仪正圆 55简" w:cstheme="minorBidi"/>
      <w:sz w:val="24"/>
      <w:szCs w:val="24"/>
      <w:lang w:val="en-US" w:eastAsia="zh-CN" w:bidi="ar-SA"/>
    </w:rPr>
  </w:style>
  <w:style w:type="character" w:customStyle="1" w:styleId="690">
    <w:name w:val="关键词"/>
    <w:basedOn w:val="231"/>
    <w:qFormat/>
    <w:uiPriority w:val="0"/>
    <w:rPr>
      <w:rFonts w:ascii="楷体" w:hAnsi="楷体" w:eastAsia="楷体" w:cstheme="minorBidi"/>
      <w:b/>
      <w:bCs/>
      <w:color w:val="auto"/>
      <w:sz w:val="24"/>
      <w:szCs w:val="24"/>
      <w:lang w:val="en-US" w:eastAsia="zh-CN" w:bidi="ar-SA"/>
    </w:rPr>
  </w:style>
  <w:style w:type="paragraph" w:customStyle="1" w:styleId="691">
    <w:name w:val="英文摘要标题"/>
    <w:qFormat/>
    <w:uiPriority w:val="0"/>
    <w:pPr>
      <w:adjustRightInd w:val="0"/>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92">
    <w:name w:val="英文摘要正文"/>
    <w:basedOn w:val="1"/>
    <w:qFormat/>
    <w:uiPriority w:val="0"/>
    <w:pPr>
      <w:ind w:firstLine="1041"/>
    </w:pPr>
    <w:rPr>
      <w:rFonts w:hint="eastAsia"/>
    </w:rPr>
  </w:style>
  <w:style w:type="paragraph" w:customStyle="1" w:styleId="693">
    <w:name w:val="英文关键词正文"/>
    <w:qFormat/>
    <w:uiPriority w:val="0"/>
    <w:pPr>
      <w:adjustRightInd w:val="0"/>
      <w:snapToGrid w:val="0"/>
      <w:spacing w:after="50" w:afterLines="50"/>
    </w:pPr>
    <w:rPr>
      <w:rFonts w:hint="eastAsia" w:ascii="汉仪正圆 55简" w:hAnsi="汉仪正圆 55简" w:eastAsia="汉仪正圆 55简" w:cstheme="minorBidi"/>
      <w:sz w:val="24"/>
      <w:szCs w:val="24"/>
      <w:lang w:val="en-US" w:eastAsia="zh-CN" w:bidi="ar-SA"/>
    </w:rPr>
  </w:style>
  <w:style w:type="paragraph" w:customStyle="1" w:styleId="694">
    <w:name w:val="参考文献标题"/>
    <w:qFormat/>
    <w:uiPriority w:val="0"/>
    <w:pPr>
      <w:adjustRightInd w:val="0"/>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95">
    <w:name w:val="参考文献条目"/>
    <w:qFormat/>
    <w:uiPriority w:val="0"/>
    <w:pPr>
      <w:numPr>
        <w:ilvl w:val="0"/>
        <w:numId w:val="11"/>
      </w:numPr>
      <w:adjustRightInd w:val="0"/>
      <w:snapToGrid w:val="0"/>
      <w:ind w:left="0" w:firstLine="0"/>
    </w:pPr>
    <w:rPr>
      <w:rFonts w:hint="eastAsia" w:ascii="汉仪正圆 55简" w:hAnsi="汉仪正圆 55简" w:eastAsia="汉仪正圆 55简" w:cstheme="minorBidi"/>
      <w:sz w:val="21"/>
      <w:szCs w:val="21"/>
      <w:lang w:val="en-US" w:eastAsia="zh-CN" w:bidi="ar-SA"/>
    </w:rPr>
  </w:style>
  <w:style w:type="paragraph" w:customStyle="1" w:styleId="696">
    <w:name w:val="致谢标题"/>
    <w:qFormat/>
    <w:uiPriority w:val="0"/>
    <w:pPr>
      <w:adjustRightInd w:val="0"/>
      <w:snapToGrid w:val="0"/>
      <w:spacing w:after="50" w:afterLines="50"/>
      <w:jc w:val="center"/>
    </w:pPr>
    <w:rPr>
      <w:rFonts w:hint="eastAsia" w:ascii="汉仪正圆 55简" w:hAnsi="汉仪正圆 55简" w:eastAsia="汉仪正圆 55简" w:cstheme="minorBidi"/>
      <w:b/>
      <w:bCs/>
      <w:kern w:val="28"/>
      <w:sz w:val="44"/>
      <w:szCs w:val="44"/>
      <w:lang w:val="en-US" w:eastAsia="zh-CN" w:bidi="ar-SA"/>
    </w:rPr>
  </w:style>
  <w:style w:type="paragraph" w:customStyle="1" w:styleId="697">
    <w:name w:val="致谢正文"/>
    <w:basedOn w:val="1"/>
    <w:qFormat/>
    <w:uiPriority w:val="0"/>
    <w:pPr>
      <w:ind w:firstLine="1041"/>
      <w:jc w:val="left"/>
    </w:pPr>
    <w:rPr>
      <w:rFonts w:hint="eastAsia"/>
    </w:rPr>
  </w:style>
  <w:style w:type="paragraph" w:customStyle="1" w:styleId="698">
    <w:name w:val="表格标题"/>
    <w:qFormat/>
    <w:uiPriority w:val="0"/>
    <w:pPr>
      <w:numPr>
        <w:ilvl w:val="0"/>
        <w:numId w:val="12"/>
      </w:numPr>
      <w:adjustRightInd w:val="0"/>
      <w:snapToGrid w:val="0"/>
      <w:jc w:val="center"/>
    </w:pPr>
    <w:rPr>
      <w:rFonts w:hint="eastAsia" w:ascii="汉仪正圆 55简" w:hAnsi="汉仪正圆 55简" w:eastAsia="汉仪正圆 55简" w:cstheme="minorBidi"/>
      <w:sz w:val="21"/>
      <w:szCs w:val="21"/>
      <w:lang w:val="en-US" w:eastAsia="zh-CN" w:bidi="ar-SA"/>
    </w:rPr>
  </w:style>
  <w:style w:type="paragraph" w:customStyle="1" w:styleId="699">
    <w:name w:val="图片标题"/>
    <w:qFormat/>
    <w:uiPriority w:val="0"/>
    <w:pPr>
      <w:numPr>
        <w:ilvl w:val="0"/>
        <w:numId w:val="13"/>
      </w:numPr>
      <w:adjustRightInd w:val="0"/>
      <w:snapToGrid w:val="0"/>
      <w:jc w:val="center"/>
    </w:pPr>
    <w:rPr>
      <w:rFonts w:hint="eastAsia" w:ascii="汉仪正圆 55简" w:hAnsi="汉仪正圆 55简" w:eastAsia="汉仪正圆 55简" w:cstheme="minorBidi"/>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16977</Words>
  <Characters>17833</Characters>
  <Lines>185</Lines>
  <Paragraphs>52</Paragraphs>
  <TotalTime>20</TotalTime>
  <ScaleCrop>false</ScaleCrop>
  <LinksUpToDate>false</LinksUpToDate>
  <CharactersWithSpaces>18886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2025-07-19T01:20:00Z</dcterms:created>
  <dc:creator>一生平安</dc:creator>
  <cp:lastModifiedBy>一生平安</cp:lastModifiedBy>
  <dcterms:modified xsi:type="dcterms:W3CDTF">2025-07-27T01:48:40Z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9B8409A5BD4440A8A0A3643AA4C7B668_11</vt:lpwstr>
  </property>
  <property fmtid="{D5CDD505-2E9C-101B-9397-08002B2CF9AE}" pid="4" name="KSOTemplateDocerSaveRecord">
    <vt:lpwstr>eyJoZGlkIjoiYjcxMzY5OTI4Mjk4NDU0ZGFiNzZkODNjZjNlMWM4YjIiLCJ1c2VySWQiOiI2MjM5MDcyNDkifQ==</vt:lpwstr>
  </property>
</Properties>
</file>